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16D08" w14:textId="77777777" w:rsidR="00007EF9" w:rsidRPr="007261BD" w:rsidRDefault="00007EF9" w:rsidP="00923865">
      <w:pPr>
        <w:rPr>
          <w:szCs w:val="22"/>
          <w:lang w:val="sr-Latn-RS"/>
        </w:rPr>
      </w:pPr>
    </w:p>
    <w:p w14:paraId="1B116D09" w14:textId="2E38EF35" w:rsidR="00007EF9" w:rsidRPr="007261BD" w:rsidRDefault="00007EF9" w:rsidP="00923865">
      <w:pPr>
        <w:jc w:val="center"/>
        <w:rPr>
          <w:b/>
          <w:bCs/>
          <w:iCs/>
          <w:szCs w:val="22"/>
          <w:u w:val="single"/>
          <w:lang w:val="sr-Latn-RS"/>
        </w:rPr>
      </w:pPr>
      <w:r w:rsidRPr="007261BD">
        <w:rPr>
          <w:b/>
          <w:bCs/>
          <w:iCs/>
          <w:szCs w:val="22"/>
          <w:u w:val="single"/>
          <w:lang w:val="sr-Latn-RS"/>
        </w:rPr>
        <w:t>SAŽETAK KARAKTERISTIKA L</w:t>
      </w:r>
      <w:r w:rsidR="001F704A" w:rsidRPr="007261BD">
        <w:rPr>
          <w:b/>
          <w:bCs/>
          <w:iCs/>
          <w:szCs w:val="22"/>
          <w:u w:val="single"/>
          <w:lang w:val="sr-Latn-RS"/>
        </w:rPr>
        <w:t>IJ</w:t>
      </w:r>
      <w:r w:rsidRPr="007261BD">
        <w:rPr>
          <w:b/>
          <w:bCs/>
          <w:iCs/>
          <w:szCs w:val="22"/>
          <w:u w:val="single"/>
          <w:lang w:val="sr-Latn-RS"/>
        </w:rPr>
        <w:t>EKA</w:t>
      </w:r>
    </w:p>
    <w:p w14:paraId="1B116D0A" w14:textId="77777777" w:rsidR="00007EF9" w:rsidRPr="007261BD" w:rsidRDefault="00007EF9" w:rsidP="0092386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 </w:t>
      </w:r>
    </w:p>
    <w:p w14:paraId="1B116D0B" w14:textId="77777777" w:rsidR="00007EF9" w:rsidRPr="007261BD" w:rsidRDefault="00007EF9" w:rsidP="00923865">
      <w:pPr>
        <w:rPr>
          <w:szCs w:val="22"/>
          <w:lang w:val="sr-Latn-RS"/>
        </w:rPr>
      </w:pPr>
    </w:p>
    <w:p w14:paraId="1B116D11" w14:textId="1FCB4EFB" w:rsidR="00007EF9" w:rsidRPr="007261BD" w:rsidRDefault="00007EF9" w:rsidP="0088122E">
      <w:pPr>
        <w:pStyle w:val="NASLOV123"/>
        <w:spacing w:before="0"/>
        <w:rPr>
          <w:lang w:val="sr-Latn-RS"/>
        </w:rPr>
      </w:pPr>
      <w:r w:rsidRPr="007261BD">
        <w:rPr>
          <w:lang w:val="sr-Latn-RS"/>
        </w:rPr>
        <w:t xml:space="preserve">1. </w:t>
      </w:r>
      <w:r w:rsidR="001F704A" w:rsidRPr="007261BD">
        <w:rPr>
          <w:lang w:val="sr-Latn-RS"/>
        </w:rPr>
        <w:t>NAZIV</w:t>
      </w:r>
      <w:r w:rsidRPr="007261BD">
        <w:rPr>
          <w:lang w:val="sr-Latn-RS"/>
        </w:rPr>
        <w:t xml:space="preserve"> L</w:t>
      </w:r>
      <w:r w:rsidR="001F704A" w:rsidRPr="007261BD">
        <w:rPr>
          <w:lang w:val="sr-Latn-RS"/>
        </w:rPr>
        <w:t>IJ</w:t>
      </w:r>
      <w:r w:rsidRPr="007261BD">
        <w:rPr>
          <w:lang w:val="sr-Latn-RS"/>
        </w:rPr>
        <w:t>EKA</w:t>
      </w:r>
    </w:p>
    <w:p w14:paraId="39DF08ED" w14:textId="77777777" w:rsidR="00480E7D" w:rsidRPr="007261BD" w:rsidRDefault="00480E7D" w:rsidP="00480E7D">
      <w:pPr>
        <w:rPr>
          <w:szCs w:val="22"/>
          <w:lang w:val="sr-Latn-RS"/>
        </w:rPr>
      </w:pPr>
    </w:p>
    <w:p w14:paraId="7E6CAD0A" w14:textId="02F987E5" w:rsidR="00F65BA6" w:rsidRPr="007261BD" w:rsidRDefault="00F65BA6" w:rsidP="00480E7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Enagal, 250 mg, film tableta</w:t>
      </w:r>
    </w:p>
    <w:p w14:paraId="2A374BCD" w14:textId="25ACC1D7" w:rsidR="00F65BA6" w:rsidRPr="007261BD" w:rsidRDefault="00F65BA6" w:rsidP="00480E7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Enagal, 500 mg, film tableta</w:t>
      </w:r>
    </w:p>
    <w:p w14:paraId="1B116D16" w14:textId="77777777" w:rsidR="00007EF9" w:rsidRPr="007261BD" w:rsidRDefault="00007EF9" w:rsidP="00480E7D">
      <w:pPr>
        <w:rPr>
          <w:bCs/>
          <w:szCs w:val="22"/>
          <w:lang w:val="sr-Latn-RS"/>
        </w:rPr>
      </w:pPr>
    </w:p>
    <w:p w14:paraId="1B116D18" w14:textId="4D0A3E64" w:rsidR="00007EF9" w:rsidRPr="007261BD" w:rsidRDefault="00007EF9" w:rsidP="00480E7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INN:</w:t>
      </w:r>
      <w:r w:rsidR="007B530A" w:rsidRPr="007261BD">
        <w:rPr>
          <w:szCs w:val="22"/>
          <w:lang w:val="sr-Latn-RS"/>
        </w:rPr>
        <w:t xml:space="preserve"> abirateron</w:t>
      </w:r>
    </w:p>
    <w:p w14:paraId="1D0861B7" w14:textId="3756FB6A" w:rsidR="00096118" w:rsidRPr="007261BD" w:rsidRDefault="00096118" w:rsidP="00480E7D">
      <w:pPr>
        <w:rPr>
          <w:szCs w:val="22"/>
          <w:lang w:val="sr-Latn-RS"/>
        </w:rPr>
      </w:pPr>
    </w:p>
    <w:p w14:paraId="1EF7D758" w14:textId="77777777" w:rsidR="00096118" w:rsidRPr="007261BD" w:rsidRDefault="00096118" w:rsidP="00480E7D">
      <w:pPr>
        <w:rPr>
          <w:szCs w:val="22"/>
          <w:lang w:val="sr-Latn-RS"/>
        </w:rPr>
      </w:pPr>
    </w:p>
    <w:p w14:paraId="1B116D1C" w14:textId="77777777" w:rsidR="00007EF9" w:rsidRPr="007261BD" w:rsidRDefault="00007EF9" w:rsidP="0088122E">
      <w:pPr>
        <w:pStyle w:val="NASLOV123"/>
        <w:spacing w:before="0" w:after="0"/>
        <w:rPr>
          <w:lang w:val="sr-Latn-RS"/>
        </w:rPr>
      </w:pPr>
      <w:r w:rsidRPr="007261BD">
        <w:rPr>
          <w:lang w:val="sr-Latn-RS"/>
        </w:rPr>
        <w:t>2. KVALITATIVNI I KVANTITATIVNI SASTAV</w:t>
      </w:r>
    </w:p>
    <w:p w14:paraId="3D99C42C" w14:textId="77777777" w:rsidR="00480E7D" w:rsidRPr="007261BD" w:rsidRDefault="00480E7D" w:rsidP="00480E7D">
      <w:pPr>
        <w:rPr>
          <w:bCs/>
          <w:i/>
          <w:iCs/>
          <w:szCs w:val="22"/>
          <w:lang w:val="sr-Latn-CS"/>
        </w:rPr>
      </w:pPr>
    </w:p>
    <w:p w14:paraId="5E85C70C" w14:textId="7A237704" w:rsidR="00BB429B" w:rsidRPr="007261BD" w:rsidRDefault="00F65BA6" w:rsidP="00480E7D">
      <w:pPr>
        <w:rPr>
          <w:bCs/>
          <w:i/>
          <w:iCs/>
          <w:szCs w:val="22"/>
          <w:lang w:val="sr-Latn-CS"/>
        </w:rPr>
      </w:pPr>
      <w:r w:rsidRPr="007261BD">
        <w:rPr>
          <w:bCs/>
          <w:i/>
          <w:iCs/>
          <w:szCs w:val="22"/>
          <w:lang w:val="sr-Latn-CS"/>
        </w:rPr>
        <w:t>Enagal</w:t>
      </w:r>
      <w:r w:rsidR="00096118" w:rsidRPr="007261BD">
        <w:rPr>
          <w:bCs/>
          <w:i/>
          <w:iCs/>
          <w:szCs w:val="22"/>
          <w:lang w:val="sr-Latn-CS"/>
        </w:rPr>
        <w:t>,</w:t>
      </w:r>
      <w:r w:rsidRPr="007261BD">
        <w:rPr>
          <w:bCs/>
          <w:i/>
          <w:iCs/>
          <w:szCs w:val="22"/>
          <w:vertAlign w:val="superscript"/>
          <w:lang w:val="sr-Latn-CS"/>
        </w:rPr>
        <w:t xml:space="preserve"> </w:t>
      </w:r>
      <w:r w:rsidRPr="007261BD">
        <w:rPr>
          <w:bCs/>
          <w:i/>
          <w:iCs/>
          <w:szCs w:val="22"/>
          <w:lang w:val="sr-Latn-CS"/>
        </w:rPr>
        <w:t>250 mg, film tableta:</w:t>
      </w:r>
    </w:p>
    <w:p w14:paraId="5EF5CD42" w14:textId="444BF5D0" w:rsidR="00F65BA6" w:rsidRPr="007261BD" w:rsidRDefault="00F65BA6" w:rsidP="00480E7D">
      <w:pPr>
        <w:rPr>
          <w:szCs w:val="22"/>
        </w:rPr>
      </w:pPr>
      <w:r w:rsidRPr="007261BD">
        <w:rPr>
          <w:szCs w:val="22"/>
        </w:rPr>
        <w:t xml:space="preserve">Jedna </w:t>
      </w:r>
      <w:r w:rsidR="00860A54" w:rsidRPr="007261BD">
        <w:rPr>
          <w:szCs w:val="22"/>
        </w:rPr>
        <w:t xml:space="preserve">film </w:t>
      </w:r>
      <w:r w:rsidRPr="007261BD">
        <w:rPr>
          <w:szCs w:val="22"/>
        </w:rPr>
        <w:t xml:space="preserve">tableta sadrži 250 mg </w:t>
      </w:r>
      <w:r w:rsidR="001F704A" w:rsidRPr="007261BD">
        <w:rPr>
          <w:szCs w:val="22"/>
        </w:rPr>
        <w:t>abirateron</w:t>
      </w:r>
      <w:r w:rsidR="00096118" w:rsidRPr="007261BD">
        <w:rPr>
          <w:szCs w:val="22"/>
        </w:rPr>
        <w:t xml:space="preserve"> </w:t>
      </w:r>
      <w:r w:rsidR="001E0C4C" w:rsidRPr="007261BD">
        <w:rPr>
          <w:szCs w:val="22"/>
        </w:rPr>
        <w:t>acetata</w:t>
      </w:r>
      <w:r w:rsidR="00096118" w:rsidRPr="007261BD">
        <w:rPr>
          <w:szCs w:val="22"/>
        </w:rPr>
        <w:t>.</w:t>
      </w:r>
    </w:p>
    <w:p w14:paraId="12F02152" w14:textId="77777777" w:rsidR="00BB429B" w:rsidRPr="007261BD" w:rsidRDefault="00BB429B" w:rsidP="008560D8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</w:p>
    <w:p w14:paraId="5DB602C6" w14:textId="4D3204D4" w:rsidR="00F65BA6" w:rsidRPr="007261BD" w:rsidRDefault="00F65BA6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  <w:r w:rsidRPr="007261BD">
        <w:rPr>
          <w:szCs w:val="22"/>
        </w:rPr>
        <w:t xml:space="preserve">Pomoćne supstance </w:t>
      </w:r>
      <w:proofErr w:type="gramStart"/>
      <w:r w:rsidRPr="007261BD">
        <w:rPr>
          <w:szCs w:val="22"/>
        </w:rPr>
        <w:t>sa</w:t>
      </w:r>
      <w:proofErr w:type="gramEnd"/>
      <w:r w:rsidRPr="007261BD">
        <w:rPr>
          <w:szCs w:val="22"/>
        </w:rPr>
        <w:t xml:space="preserve"> potvrđenim dejstvom:</w:t>
      </w:r>
    </w:p>
    <w:p w14:paraId="2A955DBE" w14:textId="0264E332" w:rsidR="00F65BA6" w:rsidRPr="007261BD" w:rsidRDefault="00F65BA6">
      <w:pPr>
        <w:rPr>
          <w:szCs w:val="22"/>
          <w:lang w:val="sr-Latn-RS"/>
        </w:rPr>
      </w:pPr>
      <w:r w:rsidRPr="007261BD">
        <w:rPr>
          <w:szCs w:val="22"/>
        </w:rPr>
        <w:t xml:space="preserve">Jedna </w:t>
      </w:r>
      <w:r w:rsidR="00860A54" w:rsidRPr="007261BD">
        <w:rPr>
          <w:szCs w:val="22"/>
        </w:rPr>
        <w:t xml:space="preserve">film </w:t>
      </w:r>
      <w:r w:rsidRPr="007261BD">
        <w:rPr>
          <w:szCs w:val="22"/>
        </w:rPr>
        <w:t>tableta sadrži 32</w:t>
      </w:r>
      <w:r w:rsidR="00096118" w:rsidRPr="007261BD">
        <w:rPr>
          <w:szCs w:val="22"/>
        </w:rPr>
        <w:t>.</w:t>
      </w:r>
      <w:r w:rsidRPr="007261BD">
        <w:rPr>
          <w:szCs w:val="22"/>
        </w:rPr>
        <w:t>3 mg laktoze i 6</w:t>
      </w:r>
      <w:r w:rsidR="00096118" w:rsidRPr="007261BD">
        <w:rPr>
          <w:szCs w:val="22"/>
        </w:rPr>
        <w:t>.</w:t>
      </w:r>
      <w:r w:rsidRPr="007261BD">
        <w:rPr>
          <w:szCs w:val="22"/>
        </w:rPr>
        <w:t>8 mg natrijuma.</w:t>
      </w:r>
    </w:p>
    <w:p w14:paraId="63FB0E2D" w14:textId="77777777" w:rsidR="00F65BA6" w:rsidRPr="007261BD" w:rsidRDefault="00F65BA6">
      <w:pPr>
        <w:rPr>
          <w:bCs/>
          <w:i/>
          <w:iCs/>
          <w:szCs w:val="22"/>
          <w:lang w:val="sr-Latn-CS"/>
        </w:rPr>
      </w:pPr>
    </w:p>
    <w:p w14:paraId="67233DFC" w14:textId="327A936D" w:rsidR="00BB429B" w:rsidRPr="007261BD" w:rsidRDefault="00F65BA6">
      <w:pPr>
        <w:rPr>
          <w:i/>
          <w:iCs/>
          <w:szCs w:val="22"/>
        </w:rPr>
      </w:pPr>
      <w:r w:rsidRPr="007261BD">
        <w:rPr>
          <w:bCs/>
          <w:i/>
          <w:iCs/>
          <w:szCs w:val="22"/>
          <w:lang w:val="sr-Latn-CS"/>
        </w:rPr>
        <w:t>Enagal</w:t>
      </w:r>
      <w:r w:rsidR="00096118" w:rsidRPr="007261BD">
        <w:rPr>
          <w:bCs/>
          <w:i/>
          <w:iCs/>
          <w:szCs w:val="22"/>
          <w:lang w:val="sr-Latn-CS"/>
        </w:rPr>
        <w:t>,</w:t>
      </w:r>
      <w:r w:rsidRPr="007261BD">
        <w:rPr>
          <w:bCs/>
          <w:i/>
          <w:iCs/>
          <w:szCs w:val="22"/>
          <w:vertAlign w:val="superscript"/>
          <w:lang w:val="sr-Latn-CS"/>
        </w:rPr>
        <w:t xml:space="preserve"> </w:t>
      </w:r>
      <w:r w:rsidRPr="007261BD">
        <w:rPr>
          <w:bCs/>
          <w:i/>
          <w:iCs/>
          <w:szCs w:val="22"/>
          <w:lang w:val="sr-Latn-CS"/>
        </w:rPr>
        <w:t>500 mg, film tableta:</w:t>
      </w:r>
    </w:p>
    <w:p w14:paraId="2AC51918" w14:textId="736CACAF" w:rsidR="00F65BA6" w:rsidRPr="007261BD" w:rsidRDefault="00F65BA6">
      <w:pPr>
        <w:rPr>
          <w:szCs w:val="22"/>
        </w:rPr>
      </w:pPr>
      <w:r w:rsidRPr="007261BD">
        <w:rPr>
          <w:szCs w:val="22"/>
        </w:rPr>
        <w:t>Jedna</w:t>
      </w:r>
      <w:r w:rsidR="00860A54" w:rsidRPr="007261BD">
        <w:rPr>
          <w:szCs w:val="22"/>
        </w:rPr>
        <w:t xml:space="preserve"> film</w:t>
      </w:r>
      <w:r w:rsidRPr="007261BD">
        <w:rPr>
          <w:szCs w:val="22"/>
        </w:rPr>
        <w:t xml:space="preserve"> tableta sadrži 500 mg </w:t>
      </w:r>
      <w:r w:rsidR="001F704A" w:rsidRPr="007261BD">
        <w:rPr>
          <w:szCs w:val="22"/>
        </w:rPr>
        <w:t xml:space="preserve">abirateron </w:t>
      </w:r>
      <w:r w:rsidR="001E0C4C" w:rsidRPr="007261BD">
        <w:rPr>
          <w:szCs w:val="22"/>
        </w:rPr>
        <w:t>acetata</w:t>
      </w:r>
      <w:r w:rsidR="00096118" w:rsidRPr="007261BD">
        <w:rPr>
          <w:szCs w:val="22"/>
        </w:rPr>
        <w:t>.</w:t>
      </w:r>
    </w:p>
    <w:p w14:paraId="53D84372" w14:textId="77777777" w:rsidR="00BB429B" w:rsidRPr="007261BD" w:rsidRDefault="00BB429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</w:p>
    <w:p w14:paraId="67FD1755" w14:textId="086CDFF4" w:rsidR="00F65BA6" w:rsidRPr="007261BD" w:rsidRDefault="00F65BA6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  <w:r w:rsidRPr="007261BD">
        <w:rPr>
          <w:szCs w:val="22"/>
        </w:rPr>
        <w:t xml:space="preserve">Pomoćne supstance </w:t>
      </w:r>
      <w:proofErr w:type="gramStart"/>
      <w:r w:rsidRPr="007261BD">
        <w:rPr>
          <w:szCs w:val="22"/>
        </w:rPr>
        <w:t>sa</w:t>
      </w:r>
      <w:proofErr w:type="gramEnd"/>
      <w:r w:rsidRPr="007261BD">
        <w:rPr>
          <w:szCs w:val="22"/>
        </w:rPr>
        <w:t xml:space="preserve"> potvrđenim dejstvom:</w:t>
      </w:r>
    </w:p>
    <w:p w14:paraId="737500C7" w14:textId="77DC76CF" w:rsidR="00F65BA6" w:rsidRPr="007261BD" w:rsidRDefault="00F65BA6">
      <w:pPr>
        <w:rPr>
          <w:szCs w:val="22"/>
          <w:lang w:val="sr-Latn-RS"/>
        </w:rPr>
      </w:pPr>
      <w:r w:rsidRPr="007261BD">
        <w:rPr>
          <w:szCs w:val="22"/>
        </w:rPr>
        <w:t>Jedna</w:t>
      </w:r>
      <w:r w:rsidR="00860A54" w:rsidRPr="007261BD">
        <w:rPr>
          <w:szCs w:val="22"/>
        </w:rPr>
        <w:t xml:space="preserve"> film</w:t>
      </w:r>
      <w:r w:rsidRPr="007261BD">
        <w:rPr>
          <w:szCs w:val="22"/>
        </w:rPr>
        <w:t xml:space="preserve"> tableta sadrži 64</w:t>
      </w:r>
      <w:r w:rsidR="00096118" w:rsidRPr="007261BD">
        <w:rPr>
          <w:szCs w:val="22"/>
        </w:rPr>
        <w:t>.</w:t>
      </w:r>
      <w:r w:rsidRPr="007261BD">
        <w:rPr>
          <w:szCs w:val="22"/>
        </w:rPr>
        <w:t>6 mg laktoze i 13</w:t>
      </w:r>
      <w:r w:rsidR="00096118" w:rsidRPr="007261BD">
        <w:rPr>
          <w:szCs w:val="22"/>
        </w:rPr>
        <w:t>.</w:t>
      </w:r>
      <w:r w:rsidRPr="007261BD">
        <w:rPr>
          <w:szCs w:val="22"/>
        </w:rPr>
        <w:t>6 mg natrijuma.</w:t>
      </w:r>
    </w:p>
    <w:p w14:paraId="66408442" w14:textId="77777777" w:rsidR="00F65BA6" w:rsidRPr="007261BD" w:rsidRDefault="00F65BA6">
      <w:pPr>
        <w:rPr>
          <w:szCs w:val="22"/>
          <w:lang w:val="sr-Latn-RS"/>
        </w:rPr>
      </w:pPr>
    </w:p>
    <w:p w14:paraId="3797BC2E" w14:textId="77777777" w:rsidR="00803C71" w:rsidRPr="007261BD" w:rsidRDefault="00803C71" w:rsidP="0088122E">
      <w:pPr>
        <w:pStyle w:val="NASLOV123"/>
        <w:spacing w:before="0" w:after="0"/>
        <w:rPr>
          <w:b w:val="0"/>
        </w:rPr>
      </w:pPr>
      <w:r w:rsidRPr="007261BD">
        <w:rPr>
          <w:b w:val="0"/>
        </w:rPr>
        <w:t>Za spisak svih ekscipijenasa, pogledati dio 6.1.</w:t>
      </w:r>
    </w:p>
    <w:p w14:paraId="796F1514" w14:textId="77777777" w:rsidR="00096118" w:rsidRPr="007261BD" w:rsidRDefault="00096118" w:rsidP="0088122E">
      <w:pPr>
        <w:pStyle w:val="NASLOV123"/>
        <w:spacing w:before="0" w:after="0"/>
        <w:rPr>
          <w:lang w:val="sr-Latn-RS"/>
        </w:rPr>
      </w:pPr>
    </w:p>
    <w:p w14:paraId="5813D955" w14:textId="77777777" w:rsidR="00096118" w:rsidRPr="007261BD" w:rsidRDefault="00096118" w:rsidP="0088122E">
      <w:pPr>
        <w:pStyle w:val="NASLOV123"/>
        <w:spacing w:before="0" w:after="0"/>
        <w:rPr>
          <w:lang w:val="sr-Latn-RS"/>
        </w:rPr>
      </w:pPr>
    </w:p>
    <w:p w14:paraId="1B116D1F" w14:textId="2197D003" w:rsidR="00007EF9" w:rsidRPr="007261BD" w:rsidRDefault="00007EF9" w:rsidP="0088122E">
      <w:pPr>
        <w:pStyle w:val="NASLOV123"/>
        <w:spacing w:before="0" w:after="0"/>
        <w:rPr>
          <w:lang w:val="sr-Latn-RS"/>
        </w:rPr>
      </w:pPr>
      <w:r w:rsidRPr="007261BD">
        <w:rPr>
          <w:lang w:val="sr-Latn-RS"/>
        </w:rPr>
        <w:t>3. FARMACEUTSKI OBLIK</w:t>
      </w:r>
    </w:p>
    <w:p w14:paraId="70FB4481" w14:textId="77777777" w:rsidR="00480E7D" w:rsidRPr="007261BD" w:rsidRDefault="00480E7D" w:rsidP="00480E7D">
      <w:pPr>
        <w:rPr>
          <w:szCs w:val="22"/>
          <w:lang w:val="sr-Latn-RS"/>
        </w:rPr>
      </w:pPr>
    </w:p>
    <w:p w14:paraId="1B116D21" w14:textId="6ADB0FD5" w:rsidR="00007EF9" w:rsidRPr="007261BD" w:rsidRDefault="00BB429B" w:rsidP="00480E7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Film tableta.</w:t>
      </w:r>
    </w:p>
    <w:p w14:paraId="7CD658CD" w14:textId="77777777" w:rsidR="00BB429B" w:rsidRPr="007261BD" w:rsidRDefault="00BB429B" w:rsidP="00480E7D">
      <w:pPr>
        <w:rPr>
          <w:szCs w:val="22"/>
          <w:lang w:val="sr-Latn-RS"/>
        </w:rPr>
      </w:pPr>
    </w:p>
    <w:p w14:paraId="4226665A" w14:textId="05843708" w:rsidR="00BB429B" w:rsidRPr="007261BD" w:rsidRDefault="00BB429B" w:rsidP="008560D8">
      <w:pPr>
        <w:rPr>
          <w:i/>
          <w:iCs/>
          <w:szCs w:val="22"/>
        </w:rPr>
      </w:pPr>
      <w:r w:rsidRPr="007261BD">
        <w:rPr>
          <w:bCs/>
          <w:i/>
          <w:iCs/>
          <w:szCs w:val="22"/>
          <w:lang w:val="sr-Latn-CS"/>
        </w:rPr>
        <w:t>Enagal</w:t>
      </w:r>
      <w:r w:rsidR="00480E7D" w:rsidRPr="007261BD">
        <w:rPr>
          <w:bCs/>
          <w:i/>
          <w:iCs/>
          <w:szCs w:val="22"/>
          <w:lang w:val="sr-Latn-CS"/>
        </w:rPr>
        <w:t>,</w:t>
      </w:r>
      <w:r w:rsidRPr="007261BD">
        <w:rPr>
          <w:bCs/>
          <w:i/>
          <w:iCs/>
          <w:szCs w:val="22"/>
          <w:vertAlign w:val="superscript"/>
          <w:lang w:val="sr-Latn-CS"/>
        </w:rPr>
        <w:t xml:space="preserve"> </w:t>
      </w:r>
      <w:r w:rsidRPr="007261BD">
        <w:rPr>
          <w:bCs/>
          <w:i/>
          <w:iCs/>
          <w:szCs w:val="22"/>
          <w:lang w:val="sr-Latn-CS"/>
        </w:rPr>
        <w:t>250 mg, film tableta:</w:t>
      </w:r>
    </w:p>
    <w:p w14:paraId="56316176" w14:textId="05ACDFFA" w:rsidR="00BB429B" w:rsidRPr="007261BD" w:rsidRDefault="00BB429B" w:rsidP="00480E7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B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ele do skoro b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ele, ovalne, filmom obložene tablete, sa oznakom „250“ sa jedne strane</w:t>
      </w:r>
      <w:r w:rsidR="008F6467" w:rsidRPr="007261BD">
        <w:rPr>
          <w:szCs w:val="22"/>
          <w:lang w:val="sr-Latn-RS"/>
        </w:rPr>
        <w:t xml:space="preserve"> i dimenzijama 14</w:t>
      </w:r>
      <w:r w:rsidR="00480E7D" w:rsidRPr="007261BD">
        <w:rPr>
          <w:szCs w:val="22"/>
          <w:lang w:val="sr-Latn-RS"/>
        </w:rPr>
        <w:t>.</w:t>
      </w:r>
      <w:r w:rsidR="008F6467" w:rsidRPr="007261BD">
        <w:rPr>
          <w:szCs w:val="22"/>
          <w:lang w:val="sr-Latn-RS"/>
        </w:rPr>
        <w:t>2 mm x 7</w:t>
      </w:r>
      <w:r w:rsidR="00480E7D" w:rsidRPr="007261BD">
        <w:rPr>
          <w:szCs w:val="22"/>
          <w:lang w:val="sr-Latn-RS"/>
        </w:rPr>
        <w:t>.</w:t>
      </w:r>
      <w:r w:rsidR="008F6467" w:rsidRPr="007261BD">
        <w:rPr>
          <w:szCs w:val="22"/>
          <w:lang w:val="sr-Latn-RS"/>
        </w:rPr>
        <w:t>2 mm.</w:t>
      </w:r>
    </w:p>
    <w:p w14:paraId="639016ED" w14:textId="77777777" w:rsidR="00BB429B" w:rsidRPr="007261BD" w:rsidRDefault="00BB429B" w:rsidP="00480E7D">
      <w:pPr>
        <w:rPr>
          <w:bCs/>
          <w:i/>
          <w:iCs/>
          <w:szCs w:val="22"/>
          <w:lang w:val="sr-Latn-CS"/>
        </w:rPr>
      </w:pPr>
    </w:p>
    <w:p w14:paraId="079F8F42" w14:textId="4E130127" w:rsidR="00BB429B" w:rsidRPr="007261BD" w:rsidRDefault="00BB429B" w:rsidP="008560D8">
      <w:pPr>
        <w:rPr>
          <w:i/>
          <w:iCs/>
          <w:szCs w:val="22"/>
        </w:rPr>
      </w:pPr>
      <w:r w:rsidRPr="007261BD">
        <w:rPr>
          <w:bCs/>
          <w:i/>
          <w:iCs/>
          <w:szCs w:val="22"/>
          <w:lang w:val="sr-Latn-CS"/>
        </w:rPr>
        <w:t>Enagal</w:t>
      </w:r>
      <w:r w:rsidR="00480E7D" w:rsidRPr="007261BD">
        <w:rPr>
          <w:bCs/>
          <w:i/>
          <w:iCs/>
          <w:szCs w:val="22"/>
          <w:lang w:val="sr-Latn-CS"/>
        </w:rPr>
        <w:t>,</w:t>
      </w:r>
      <w:r w:rsidRPr="007261BD">
        <w:rPr>
          <w:bCs/>
          <w:i/>
          <w:iCs/>
          <w:szCs w:val="22"/>
          <w:vertAlign w:val="superscript"/>
          <w:lang w:val="sr-Latn-CS"/>
        </w:rPr>
        <w:t xml:space="preserve"> </w:t>
      </w:r>
      <w:r w:rsidRPr="007261BD">
        <w:rPr>
          <w:bCs/>
          <w:i/>
          <w:iCs/>
          <w:szCs w:val="22"/>
          <w:lang w:val="sr-Latn-CS"/>
        </w:rPr>
        <w:t>500 mg, film tableta:</w:t>
      </w:r>
    </w:p>
    <w:p w14:paraId="68F04CCC" w14:textId="530D5EBD" w:rsidR="00BB429B" w:rsidRPr="007261BD" w:rsidRDefault="00BB429B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Ljubičaste, ovalne, filmom obložene tablete, sa oznakom „500“ sa jedne strane</w:t>
      </w:r>
      <w:r w:rsidR="008F6467" w:rsidRPr="007261BD">
        <w:rPr>
          <w:szCs w:val="22"/>
          <w:lang w:val="sr-Latn-RS"/>
        </w:rPr>
        <w:t xml:space="preserve"> i dimenzijama 18</w:t>
      </w:r>
      <w:r w:rsidR="00480E7D" w:rsidRPr="007261BD">
        <w:rPr>
          <w:szCs w:val="22"/>
          <w:lang w:val="sr-Latn-RS"/>
        </w:rPr>
        <w:t>.</w:t>
      </w:r>
      <w:r w:rsidR="008F6467" w:rsidRPr="007261BD">
        <w:rPr>
          <w:szCs w:val="22"/>
          <w:lang w:val="sr-Latn-RS"/>
        </w:rPr>
        <w:t>9 mm</w:t>
      </w:r>
      <w:r w:rsidR="00F85109" w:rsidRPr="007261BD">
        <w:rPr>
          <w:szCs w:val="22"/>
          <w:lang w:val="sr-Latn-RS"/>
        </w:rPr>
        <w:t xml:space="preserve"> x </w:t>
      </w:r>
      <w:r w:rsidR="008F6467" w:rsidRPr="007261BD">
        <w:rPr>
          <w:szCs w:val="22"/>
          <w:lang w:val="sr-Latn-RS"/>
        </w:rPr>
        <w:t xml:space="preserve"> 9</w:t>
      </w:r>
      <w:r w:rsidR="00480E7D" w:rsidRPr="007261BD">
        <w:rPr>
          <w:szCs w:val="22"/>
          <w:lang w:val="sr-Latn-RS"/>
        </w:rPr>
        <w:t>.</w:t>
      </w:r>
      <w:r w:rsidR="008F6467" w:rsidRPr="007261BD">
        <w:rPr>
          <w:szCs w:val="22"/>
          <w:lang w:val="sr-Latn-RS"/>
        </w:rPr>
        <w:t>5 mm</w:t>
      </w:r>
      <w:r w:rsidRPr="007261BD">
        <w:rPr>
          <w:szCs w:val="22"/>
          <w:lang w:val="sr-Latn-RS"/>
        </w:rPr>
        <w:t>.</w:t>
      </w:r>
    </w:p>
    <w:p w14:paraId="1F08E644" w14:textId="77777777" w:rsidR="00480E7D" w:rsidRPr="007261BD" w:rsidRDefault="00480E7D" w:rsidP="0088122E">
      <w:pPr>
        <w:pStyle w:val="NASLOV123"/>
        <w:spacing w:before="0" w:after="0"/>
        <w:rPr>
          <w:lang w:val="sr-Latn-RS"/>
        </w:rPr>
      </w:pPr>
    </w:p>
    <w:p w14:paraId="4505BBCE" w14:textId="77777777" w:rsidR="00480E7D" w:rsidRPr="007261BD" w:rsidRDefault="00480E7D" w:rsidP="0088122E">
      <w:pPr>
        <w:pStyle w:val="NASLOV123"/>
        <w:spacing w:before="0" w:after="0"/>
        <w:rPr>
          <w:lang w:val="sr-Latn-RS"/>
        </w:rPr>
      </w:pPr>
    </w:p>
    <w:p w14:paraId="1B116D22" w14:textId="776C1554" w:rsidR="00007EF9" w:rsidRPr="007261BD" w:rsidRDefault="00007EF9" w:rsidP="0088122E">
      <w:pPr>
        <w:pStyle w:val="NASLOV123"/>
        <w:spacing w:before="0" w:after="0"/>
        <w:rPr>
          <w:lang w:val="sr-Latn-RS"/>
        </w:rPr>
      </w:pPr>
      <w:r w:rsidRPr="007261BD">
        <w:rPr>
          <w:lang w:val="sr-Latn-RS"/>
        </w:rPr>
        <w:t>4. KLINIČKI PODACI</w:t>
      </w:r>
    </w:p>
    <w:p w14:paraId="087B3746" w14:textId="77777777" w:rsidR="00480E7D" w:rsidRPr="007261BD" w:rsidRDefault="00480E7D" w:rsidP="0088122E">
      <w:pPr>
        <w:pStyle w:val="NASLOV123"/>
        <w:spacing w:before="0" w:after="0"/>
        <w:rPr>
          <w:lang w:val="sr-Latn-RS"/>
        </w:rPr>
      </w:pPr>
    </w:p>
    <w:p w14:paraId="1B116D23" w14:textId="5F8CEFAA" w:rsidR="00007EF9" w:rsidRPr="007261BD" w:rsidRDefault="00007EF9" w:rsidP="00480E7D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4.1. Terapijske indikacije</w:t>
      </w:r>
    </w:p>
    <w:p w14:paraId="3CD33B47" w14:textId="77777777" w:rsidR="00292662" w:rsidRPr="007261BD" w:rsidRDefault="00292662" w:rsidP="00480E7D">
      <w:pPr>
        <w:rPr>
          <w:b/>
          <w:bCs/>
          <w:szCs w:val="22"/>
          <w:lang w:val="sr-Latn-RS"/>
        </w:rPr>
      </w:pPr>
    </w:p>
    <w:p w14:paraId="1937836C" w14:textId="1ECD707B" w:rsidR="007B530A" w:rsidRPr="007261BD" w:rsidRDefault="007B530A" w:rsidP="00480E7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L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je indikovan sa prednizonom ili prednizolonom za:</w:t>
      </w:r>
    </w:p>
    <w:p w14:paraId="15ADDB5B" w14:textId="4F70D217" w:rsidR="007B530A" w:rsidRPr="007261BD" w:rsidRDefault="007B530A" w:rsidP="00480E7D">
      <w:pPr>
        <w:numPr>
          <w:ilvl w:val="0"/>
          <w:numId w:val="6"/>
        </w:numPr>
        <w:rPr>
          <w:szCs w:val="22"/>
          <w:lang w:val="sr-Latn-RS"/>
        </w:rPr>
      </w:pPr>
      <w:r w:rsidRPr="007261BD">
        <w:rPr>
          <w:szCs w:val="22"/>
          <w:lang w:val="sr-Latn-RS"/>
        </w:rPr>
        <w:t>terapiju novodijagnostifikovanog hormonski os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etljivog metastatskog karcinoma prostate</w:t>
      </w:r>
      <w:r w:rsidR="003219B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visokog rizika (engl. </w:t>
      </w:r>
      <w:r w:rsidRPr="007261BD">
        <w:rPr>
          <w:i/>
          <w:iCs/>
          <w:szCs w:val="22"/>
          <w:lang w:val="sr-Latn-RS"/>
        </w:rPr>
        <w:t xml:space="preserve">metastatic hormone sensitive prostate cancer, </w:t>
      </w:r>
      <w:r w:rsidRPr="007261BD">
        <w:rPr>
          <w:szCs w:val="22"/>
          <w:lang w:val="sr-Latn-RS"/>
        </w:rPr>
        <w:t>mHSPC</w:t>
      </w:r>
      <w:r w:rsidRPr="007261BD">
        <w:rPr>
          <w:i/>
          <w:iCs/>
          <w:szCs w:val="22"/>
          <w:lang w:val="sr-Latn-RS"/>
        </w:rPr>
        <w:t xml:space="preserve">) </w:t>
      </w:r>
      <w:r w:rsidRPr="007261BD">
        <w:rPr>
          <w:szCs w:val="22"/>
          <w:lang w:val="sr-Latn-RS"/>
        </w:rPr>
        <w:t>kod odraslih</w:t>
      </w:r>
      <w:r w:rsidR="003219B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muškaraca u kombinaciji sa androgen deprivacionom terapijom (ADT) (vid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1F704A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5.1)</w:t>
      </w:r>
    </w:p>
    <w:p w14:paraId="01F3BB48" w14:textId="57488386" w:rsidR="007B530A" w:rsidRPr="007261BD" w:rsidRDefault="007B530A" w:rsidP="00480E7D">
      <w:pPr>
        <w:numPr>
          <w:ilvl w:val="0"/>
          <w:numId w:val="6"/>
        </w:num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terapiju metastatskog karcinoma prostate koji je rezistentan na kastraciju (engl. </w:t>
      </w:r>
      <w:r w:rsidR="003219B6" w:rsidRPr="007261BD">
        <w:rPr>
          <w:i/>
          <w:iCs/>
          <w:szCs w:val="22"/>
          <w:lang w:val="sr-Latn-RS"/>
        </w:rPr>
        <w:t>M</w:t>
      </w:r>
      <w:r w:rsidRPr="007261BD">
        <w:rPr>
          <w:i/>
          <w:iCs/>
          <w:szCs w:val="22"/>
          <w:lang w:val="sr-Latn-RS"/>
        </w:rPr>
        <w:t>etastatic</w:t>
      </w:r>
      <w:r w:rsidR="003219B6" w:rsidRPr="007261BD">
        <w:rPr>
          <w:i/>
          <w:iCs/>
          <w:szCs w:val="22"/>
          <w:lang w:val="sr-Latn-RS"/>
        </w:rPr>
        <w:t xml:space="preserve"> </w:t>
      </w:r>
      <w:r w:rsidRPr="007261BD">
        <w:rPr>
          <w:i/>
          <w:iCs/>
          <w:szCs w:val="22"/>
          <w:lang w:val="sr-Latn-RS"/>
        </w:rPr>
        <w:t>castration resistant prostate cancer</w:t>
      </w:r>
      <w:r w:rsidRPr="007261BD">
        <w:rPr>
          <w:szCs w:val="22"/>
          <w:lang w:val="sr-Latn-RS"/>
        </w:rPr>
        <w:t>, mCRPC) kod odraslih muškaraca koji nemaju simptome</w:t>
      </w:r>
      <w:r w:rsidR="003219B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bolesti ili su simptomi bolesti blagi nakon neusp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eha sa androgen deprivacionom terapijom, i</w:t>
      </w:r>
      <w:r w:rsidR="003219B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kod kojih hemioterapija još nije klinički indikovana (vid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1F704A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5.1)</w:t>
      </w:r>
    </w:p>
    <w:p w14:paraId="1B116D24" w14:textId="30DC74A2" w:rsidR="00007EF9" w:rsidRPr="007261BD" w:rsidRDefault="007B530A" w:rsidP="00480E7D">
      <w:pPr>
        <w:numPr>
          <w:ilvl w:val="0"/>
          <w:numId w:val="6"/>
        </w:numPr>
        <w:rPr>
          <w:szCs w:val="22"/>
          <w:lang w:val="sr-Latn-RS"/>
        </w:rPr>
      </w:pPr>
      <w:r w:rsidRPr="007261BD">
        <w:rPr>
          <w:szCs w:val="22"/>
          <w:lang w:val="sr-Latn-RS"/>
        </w:rPr>
        <w:lastRenderedPageBreak/>
        <w:t xml:space="preserve">terapiju metastatskog karcinoma prostate koji je rezistentan na kastraciju (engl. </w:t>
      </w:r>
      <w:r w:rsidR="003219B6" w:rsidRPr="007261BD">
        <w:rPr>
          <w:i/>
          <w:iCs/>
          <w:szCs w:val="22"/>
          <w:lang w:val="sr-Latn-RS"/>
        </w:rPr>
        <w:t>M</w:t>
      </w:r>
      <w:r w:rsidRPr="007261BD">
        <w:rPr>
          <w:i/>
          <w:iCs/>
          <w:szCs w:val="22"/>
          <w:lang w:val="sr-Latn-RS"/>
        </w:rPr>
        <w:t>etastatic</w:t>
      </w:r>
      <w:r w:rsidR="003219B6" w:rsidRPr="007261BD">
        <w:rPr>
          <w:i/>
          <w:iCs/>
          <w:szCs w:val="22"/>
          <w:lang w:val="sr-Latn-RS"/>
        </w:rPr>
        <w:t xml:space="preserve"> </w:t>
      </w:r>
      <w:r w:rsidRPr="007261BD">
        <w:rPr>
          <w:i/>
          <w:iCs/>
          <w:szCs w:val="22"/>
          <w:lang w:val="sr-Latn-RS"/>
        </w:rPr>
        <w:t>castration resistant prostate cancer</w:t>
      </w:r>
      <w:r w:rsidRPr="007261BD">
        <w:rPr>
          <w:szCs w:val="22"/>
          <w:lang w:val="sr-Latn-RS"/>
        </w:rPr>
        <w:t>, mCRPC) kod odraslih muškaraca kod kojih je bolest</w:t>
      </w:r>
      <w:r w:rsidR="003219B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progredirala tokom ili posl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hemioterapijskog režima zasnovanog na docetakselu</w:t>
      </w:r>
      <w:r w:rsidR="00F85109" w:rsidRPr="007261BD">
        <w:rPr>
          <w:szCs w:val="22"/>
          <w:lang w:val="sr-Latn-RS"/>
        </w:rPr>
        <w:t>.</w:t>
      </w:r>
    </w:p>
    <w:p w14:paraId="1B116D25" w14:textId="77777777" w:rsidR="00007EF9" w:rsidRPr="007261BD" w:rsidRDefault="00007EF9" w:rsidP="008560D8">
      <w:pPr>
        <w:rPr>
          <w:szCs w:val="22"/>
          <w:lang w:val="sr-Latn-RS"/>
        </w:rPr>
      </w:pPr>
    </w:p>
    <w:p w14:paraId="1B116D26" w14:textId="0E95E990" w:rsidR="00007EF9" w:rsidRPr="007261BD" w:rsidRDefault="00007EF9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4.2. Doziranje i način prim</w:t>
      </w:r>
      <w:r w:rsidR="001F704A" w:rsidRPr="007261BD">
        <w:rPr>
          <w:b/>
          <w:bCs/>
          <w:szCs w:val="22"/>
          <w:lang w:val="sr-Latn-RS"/>
        </w:rPr>
        <w:t>j</w:t>
      </w:r>
      <w:r w:rsidRPr="007261BD">
        <w:rPr>
          <w:b/>
          <w:bCs/>
          <w:szCs w:val="22"/>
          <w:lang w:val="sr-Latn-RS"/>
        </w:rPr>
        <w:t>ene</w:t>
      </w:r>
    </w:p>
    <w:p w14:paraId="282DF9D4" w14:textId="77777777" w:rsidR="00292662" w:rsidRPr="007261BD" w:rsidRDefault="00292662">
      <w:pPr>
        <w:rPr>
          <w:b/>
          <w:bCs/>
          <w:szCs w:val="22"/>
          <w:lang w:val="sr-Latn-RS"/>
        </w:rPr>
      </w:pPr>
    </w:p>
    <w:p w14:paraId="397193A1" w14:textId="766045EF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Ovaj l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ek treba da propiše odgovarajući zdravstveni radnik.</w:t>
      </w:r>
    </w:p>
    <w:p w14:paraId="573B1603" w14:textId="77777777" w:rsidR="008D4F51" w:rsidRPr="007261BD" w:rsidRDefault="008D4F51">
      <w:pPr>
        <w:rPr>
          <w:szCs w:val="22"/>
          <w:lang w:val="sr-Latn-RS"/>
        </w:rPr>
      </w:pPr>
    </w:p>
    <w:p w14:paraId="55394EAB" w14:textId="1EEBCD98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Doziranje</w:t>
      </w:r>
    </w:p>
    <w:p w14:paraId="4757BFC0" w14:textId="73B3CD7F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Preporučena doza je 1000 mg (dv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tablete od 500 mg</w:t>
      </w:r>
      <w:r w:rsidR="008D4F51" w:rsidRPr="007261BD">
        <w:rPr>
          <w:szCs w:val="22"/>
          <w:lang w:val="sr-Latn-RS"/>
        </w:rPr>
        <w:t xml:space="preserve"> ili četiri tablete od 250 mg</w:t>
      </w:r>
      <w:r w:rsidRPr="007261BD">
        <w:rPr>
          <w:szCs w:val="22"/>
          <w:lang w:val="sr-Latn-RS"/>
        </w:rPr>
        <w:t>) kao pojedinačna dnevna doza koja se ne sm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</w:t>
      </w:r>
      <w:r w:rsidR="00141EEF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uzimati sa hranom (vid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1F704A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</w:t>
      </w:r>
      <w:r w:rsidRPr="007261BD">
        <w:rPr>
          <w:i/>
          <w:iCs/>
          <w:szCs w:val="22"/>
          <w:lang w:val="sr-Latn-RS"/>
        </w:rPr>
        <w:t>Način prim</w:t>
      </w:r>
      <w:r w:rsidR="001F704A" w:rsidRPr="007261BD">
        <w:rPr>
          <w:i/>
          <w:iCs/>
          <w:szCs w:val="22"/>
          <w:lang w:val="sr-Latn-RS"/>
        </w:rPr>
        <w:t>j</w:t>
      </w:r>
      <w:r w:rsidRPr="007261BD">
        <w:rPr>
          <w:i/>
          <w:iCs/>
          <w:szCs w:val="22"/>
          <w:lang w:val="sr-Latn-RS"/>
        </w:rPr>
        <w:t>ene</w:t>
      </w:r>
      <w:r w:rsidRPr="007261BD">
        <w:rPr>
          <w:szCs w:val="22"/>
          <w:lang w:val="sr-Latn-RS"/>
        </w:rPr>
        <w:t>). Uzimanje ovih tableta sa hranom povećava</w:t>
      </w:r>
      <w:r w:rsidR="00141EEF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sistemsku izloženost abirateronu (vid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1F704A" w:rsidRPr="007261BD">
        <w:rPr>
          <w:szCs w:val="22"/>
          <w:lang w:val="sr-Latn-RS"/>
        </w:rPr>
        <w:t>djelove</w:t>
      </w:r>
      <w:r w:rsidRPr="007261BD">
        <w:rPr>
          <w:szCs w:val="22"/>
          <w:lang w:val="sr-Latn-RS"/>
        </w:rPr>
        <w:t xml:space="preserve"> 4.5 i 5.2).</w:t>
      </w:r>
    </w:p>
    <w:p w14:paraId="6ECFBF8E" w14:textId="77777777" w:rsidR="008D4F51" w:rsidRPr="007261BD" w:rsidRDefault="008D4F51">
      <w:pPr>
        <w:rPr>
          <w:i/>
          <w:iCs/>
          <w:szCs w:val="22"/>
          <w:lang w:val="sr-Latn-RS"/>
        </w:rPr>
      </w:pPr>
    </w:p>
    <w:p w14:paraId="0C641566" w14:textId="10C84A1C" w:rsidR="007B530A" w:rsidRPr="007261BD" w:rsidRDefault="007B530A">
      <w:pPr>
        <w:rPr>
          <w:i/>
          <w:iCs/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>Doziranje prednizona ili prednizolona</w:t>
      </w:r>
    </w:p>
    <w:p w14:paraId="7695AC10" w14:textId="3EA5CD0B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Za mHSPC, l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se uzima sa 5 mg prednizona ili prednizolona jednom dnevno.</w:t>
      </w:r>
    </w:p>
    <w:p w14:paraId="1B116D27" w14:textId="63FC9CF6" w:rsidR="00007EF9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Za mCRPC, l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se uzima sa 10 mg prednizona ili prednizolona jednom dnevno</w:t>
      </w:r>
      <w:r w:rsidR="001F704A" w:rsidRPr="007261BD">
        <w:rPr>
          <w:szCs w:val="22"/>
          <w:lang w:val="sr-Latn-RS"/>
        </w:rPr>
        <w:t>.</w:t>
      </w:r>
    </w:p>
    <w:p w14:paraId="313355CF" w14:textId="196FA7D7" w:rsidR="007B530A" w:rsidRPr="007261BD" w:rsidRDefault="007B530A">
      <w:pPr>
        <w:rPr>
          <w:szCs w:val="22"/>
          <w:lang w:val="sr-Latn-RS"/>
        </w:rPr>
      </w:pPr>
    </w:p>
    <w:p w14:paraId="77A912FD" w14:textId="42F860F6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Medicinska kastracija sa analozima LHRH se treba nastaviti tokom terapije abirateronom kod</w:t>
      </w:r>
      <w:r w:rsidR="00141EEF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pacijenata </w:t>
      </w:r>
      <w:r w:rsidR="00FB6C31" w:rsidRPr="007261BD">
        <w:rPr>
          <w:szCs w:val="22"/>
          <w:lang w:val="sr-Latn-RS"/>
        </w:rPr>
        <w:t xml:space="preserve">kod </w:t>
      </w:r>
      <w:r w:rsidRPr="007261BD">
        <w:rPr>
          <w:szCs w:val="22"/>
          <w:lang w:val="sr-Latn-RS"/>
        </w:rPr>
        <w:t>kojih nije izvršena hirurška kast</w:t>
      </w:r>
      <w:r w:rsidR="00480E7D" w:rsidRPr="007261BD">
        <w:rPr>
          <w:szCs w:val="22"/>
          <w:lang w:val="sr-Latn-RS"/>
        </w:rPr>
        <w:t>r</w:t>
      </w:r>
      <w:r w:rsidRPr="007261BD">
        <w:rPr>
          <w:szCs w:val="22"/>
          <w:lang w:val="sr-Latn-RS"/>
        </w:rPr>
        <w:t>acija.</w:t>
      </w:r>
    </w:p>
    <w:p w14:paraId="1D4B42C4" w14:textId="77777777" w:rsidR="00141EEF" w:rsidRPr="007261BD" w:rsidRDefault="00141EEF">
      <w:pPr>
        <w:rPr>
          <w:i/>
          <w:iCs/>
          <w:szCs w:val="22"/>
          <w:lang w:val="sr-Latn-RS"/>
        </w:rPr>
      </w:pPr>
    </w:p>
    <w:p w14:paraId="2C4A6D38" w14:textId="1725B988" w:rsidR="007B530A" w:rsidRPr="007261BD" w:rsidRDefault="007B530A">
      <w:pPr>
        <w:rPr>
          <w:i/>
          <w:iCs/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>Preporučeno praćenje</w:t>
      </w:r>
    </w:p>
    <w:p w14:paraId="56258BD4" w14:textId="03C1EE20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Pr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započinjanja terapije treba izm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eriti vr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transaminaza u serumu, zatim to m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erenje ponavljati</w:t>
      </w:r>
      <w:r w:rsidR="00141EEF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na svake dv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ned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elje u prva tri m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eseca terapije, a potom jednom m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esečno. Krvni pritisak,</w:t>
      </w:r>
      <w:r w:rsidR="00141EEF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koncentraciju kalijuma u serumu i retenciju tečnosti treba kontrolisati jednom m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esečno. Ipak,</w:t>
      </w:r>
      <w:r w:rsidR="00141EEF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pacijente sa značajnim rizikom od kongestivne srčane insuficijencije treba pratiti na svake 2 ned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elje u</w:t>
      </w:r>
      <w:r w:rsidR="00141EEF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toku prva tri m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eseca terapije i jednom m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esečno nakon toga (vid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1F704A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4.4).</w:t>
      </w:r>
    </w:p>
    <w:p w14:paraId="1B01DD20" w14:textId="77777777" w:rsidR="008D4F51" w:rsidRPr="007261BD" w:rsidRDefault="008D4F51">
      <w:pPr>
        <w:rPr>
          <w:szCs w:val="22"/>
          <w:lang w:val="sr-Latn-RS"/>
        </w:rPr>
      </w:pPr>
    </w:p>
    <w:p w14:paraId="2AD34204" w14:textId="6ED8B7E5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Kod pacijenata sa već postojećom hipokal</w:t>
      </w:r>
      <w:r w:rsidR="00A631DE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emijom ili kod kojih se razvije hipokal</w:t>
      </w:r>
      <w:r w:rsidR="00A631DE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emija tokom terapije</w:t>
      </w:r>
      <w:r w:rsidR="00141EEF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l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ekom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>, razmotriti održavanje koncentracije kalijuma kod tog pacijenta na ≥ 4,0 mM.</w:t>
      </w:r>
    </w:p>
    <w:p w14:paraId="5AA36290" w14:textId="0001FADE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Kod pacijenata kod kojih se razvije toksičnost stepena ≥ 3 uključujući hipertenziju, hipokal</w:t>
      </w:r>
      <w:r w:rsidR="00FB6C3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emiju,</w:t>
      </w:r>
      <w:r w:rsidR="00141EEF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edeme i druge toksičnosti koje nisu izazvane mineralokortikoidima, terapiju treba obustaviti i započeti</w:t>
      </w:r>
      <w:r w:rsidR="00141EEF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odgovarajuću medicinsku pomoć. Terapiju l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ekom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ne treba ponovo započinjati dok se</w:t>
      </w:r>
      <w:r w:rsidR="00141EEF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simptomi toksičnosti ne povuku na stepen 1 ili na početne vr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ednosti.</w:t>
      </w:r>
    </w:p>
    <w:p w14:paraId="7A3FD533" w14:textId="4DAC9136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slučaju da se propusti dnevna doza bilo l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eka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>, prednizona ili prednizolona, terapiju treba</w:t>
      </w:r>
      <w:r w:rsidR="00141EEF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nastaviti </w:t>
      </w:r>
      <w:r w:rsidR="00D57730" w:rsidRPr="007261BD">
        <w:rPr>
          <w:szCs w:val="22"/>
          <w:lang w:val="sr-Latn-RS"/>
        </w:rPr>
        <w:t xml:space="preserve">sljedećeg dana </w:t>
      </w:r>
      <w:r w:rsidRPr="007261BD">
        <w:rPr>
          <w:szCs w:val="22"/>
          <w:lang w:val="sr-Latn-RS"/>
        </w:rPr>
        <w:t>uobičajenom dnevnom dozom.</w:t>
      </w:r>
    </w:p>
    <w:p w14:paraId="0596E910" w14:textId="77777777" w:rsidR="008D4F51" w:rsidRPr="007261BD" w:rsidRDefault="008D4F51">
      <w:pPr>
        <w:rPr>
          <w:i/>
          <w:iCs/>
          <w:szCs w:val="22"/>
          <w:lang w:val="sr-Latn-RS"/>
        </w:rPr>
      </w:pPr>
    </w:p>
    <w:p w14:paraId="7DE2FD56" w14:textId="318CE76C" w:rsidR="007B530A" w:rsidRPr="007261BD" w:rsidRDefault="007B530A">
      <w:pPr>
        <w:rPr>
          <w:i/>
          <w:iCs/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>Hepatotoksičnost</w:t>
      </w:r>
    </w:p>
    <w:p w14:paraId="746BB97C" w14:textId="7ACBC888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Za pacijente kod kojih se tokom terapije razvije hepatotoksičnost (alanin aminotransferaza [ALT] ili</w:t>
      </w:r>
      <w:r w:rsidR="00141EEF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aspartat aminotransferaza [AST] pređe vr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 5 puta veću od gornje granice normale [GGN]),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terapiju treba odmah obustaviti (vid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1F704A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4.4). Kada se vr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funkcionalnih testova jetre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pacijenta vrate na početni nivo, može se ponovo uvesti terapija, ali sa smanjenom dozom od 500 mg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(jedna tableta) jednom dnevno. Kod pacijenata koji se ponovo podvrgavaju terapiji, vr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transaminaza u serumu treba kontrolisati najmanje jednom u dv</w:t>
      </w:r>
      <w:r w:rsidR="001F704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ned</w:t>
      </w:r>
      <w:r w:rsidR="001F704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elje tokom tri m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eseca, a potom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jednom m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esečno. Ako se hepatotoksičnost ponovo pojavi, i sa smanjenom dozom od 500 mg dnevno,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terapiju treba prekinuti.</w:t>
      </w:r>
    </w:p>
    <w:p w14:paraId="1D247538" w14:textId="0AB586B8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Ako se kod pacijenta u bilo kom trenutku razvije teška hepatotoksičnost (vr</w:t>
      </w:r>
      <w:r w:rsidR="00FD352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 ALT ili AST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20 puta veća od gornje granice normale), terapiju treba prekinuti i više je ne započinjati.</w:t>
      </w:r>
    </w:p>
    <w:p w14:paraId="524A68DD" w14:textId="77777777" w:rsidR="008D4F51" w:rsidRPr="007261BD" w:rsidRDefault="008D4F51">
      <w:pPr>
        <w:rPr>
          <w:i/>
          <w:iCs/>
          <w:szCs w:val="22"/>
          <w:lang w:val="sr-Latn-RS"/>
        </w:rPr>
      </w:pPr>
    </w:p>
    <w:p w14:paraId="1AB1AC61" w14:textId="0977C197" w:rsidR="007B530A" w:rsidRPr="007261BD" w:rsidRDefault="007B530A">
      <w:pPr>
        <w:rPr>
          <w:i/>
          <w:iCs/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>Oštećenje funkcije jetre</w:t>
      </w:r>
    </w:p>
    <w:p w14:paraId="75908937" w14:textId="3C2E9976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Nije potrebno prilagođavati dozu kod pacijenata sa postojećim blagim oštećenjem funkcije jetre,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i/>
          <w:iCs/>
          <w:szCs w:val="22"/>
          <w:lang w:val="sr-Latn-RS"/>
        </w:rPr>
        <w:t xml:space="preserve">Child-Pugh </w:t>
      </w:r>
      <w:r w:rsidRPr="007261BD">
        <w:rPr>
          <w:szCs w:val="22"/>
          <w:lang w:val="sr-Latn-RS"/>
        </w:rPr>
        <w:t>klase A.</w:t>
      </w:r>
    </w:p>
    <w:p w14:paraId="18C3D6D1" w14:textId="1B11EF27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Pokazano je da um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ereno oštećenje funkcije jetre (</w:t>
      </w:r>
      <w:r w:rsidRPr="007261BD">
        <w:rPr>
          <w:i/>
          <w:iCs/>
          <w:szCs w:val="22"/>
          <w:lang w:val="sr-Latn-RS"/>
        </w:rPr>
        <w:t xml:space="preserve">Child-Pugh </w:t>
      </w:r>
      <w:r w:rsidRPr="007261BD">
        <w:rPr>
          <w:szCs w:val="22"/>
          <w:lang w:val="sr-Latn-RS"/>
        </w:rPr>
        <w:t>klase B) povećava sistemsku izloženost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abirateronu za približno četiri puta nakon prim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pojedinačnih oralnih doza abirateron-acetata od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1000 mg (vid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FD3526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5.2). Nema podataka o kliničkoj bezb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ednosti i efikasnosti višestrukih doza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abirateron-acetata kada se daje pacijentima sa um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erenim ili teškim oštećenjem funkcije jetre (</w:t>
      </w:r>
      <w:r w:rsidRPr="007261BD">
        <w:rPr>
          <w:i/>
          <w:iCs/>
          <w:szCs w:val="22"/>
          <w:lang w:val="sr-Latn-RS"/>
        </w:rPr>
        <w:t xml:space="preserve">Child-Pugh </w:t>
      </w:r>
      <w:r w:rsidRPr="007261BD">
        <w:rPr>
          <w:szCs w:val="22"/>
          <w:lang w:val="sr-Latn-RS"/>
        </w:rPr>
        <w:t>klase B ili C). Predviđa se da nema prilagođavanja doze. Prim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enu l</w:t>
      </w:r>
      <w:r w:rsidR="00FD352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eka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treba pažljivo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proc</w:t>
      </w:r>
      <w:r w:rsidR="00FD352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eniti kod pacijenata sa um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erenim oštećenjem funkcije jetre, kod kojih korist prim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treba da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jasno prevazilazi mogući rizik (vid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FD3526" w:rsidRPr="007261BD">
        <w:rPr>
          <w:szCs w:val="22"/>
          <w:lang w:val="sr-Latn-RS"/>
        </w:rPr>
        <w:t>djelove</w:t>
      </w:r>
      <w:r w:rsidRPr="007261BD">
        <w:rPr>
          <w:szCs w:val="22"/>
          <w:lang w:val="sr-Latn-RS"/>
        </w:rPr>
        <w:t xml:space="preserve"> 4.2 </w:t>
      </w:r>
      <w:r w:rsidRPr="007261BD">
        <w:rPr>
          <w:szCs w:val="22"/>
          <w:lang w:val="sr-Latn-RS"/>
        </w:rPr>
        <w:lastRenderedPageBreak/>
        <w:t>i 5.2). L</w:t>
      </w:r>
      <w:r w:rsidR="00FD352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ne treba prim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enjivati kod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pacijenata sa teškim oštećenjem funkcije jetre (vid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FD3526" w:rsidRPr="007261BD">
        <w:rPr>
          <w:szCs w:val="22"/>
          <w:lang w:val="sr-Latn-RS"/>
        </w:rPr>
        <w:t>djelove</w:t>
      </w:r>
      <w:r w:rsidRPr="007261BD">
        <w:rPr>
          <w:szCs w:val="22"/>
          <w:lang w:val="sr-Latn-RS"/>
        </w:rPr>
        <w:t xml:space="preserve"> 4.3, 4.4 i 5.2).</w:t>
      </w:r>
    </w:p>
    <w:p w14:paraId="72498BF7" w14:textId="77777777" w:rsidR="008D4F51" w:rsidRPr="007261BD" w:rsidRDefault="008D4F51">
      <w:pPr>
        <w:rPr>
          <w:i/>
          <w:iCs/>
          <w:szCs w:val="22"/>
          <w:lang w:val="sr-Latn-RS"/>
        </w:rPr>
      </w:pPr>
    </w:p>
    <w:p w14:paraId="2C14D72F" w14:textId="0BA5CA2B" w:rsidR="007B530A" w:rsidRPr="007261BD" w:rsidRDefault="007B530A">
      <w:pPr>
        <w:rPr>
          <w:i/>
          <w:iCs/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>Oštećenje funkcije bubrega</w:t>
      </w:r>
    </w:p>
    <w:p w14:paraId="33D53A25" w14:textId="752E0ECE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Nije neophodno prilagođavanje doze kod pacijenata sa oštećenjem bubrežne funkcije (vid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FD3526" w:rsidRPr="007261BD">
        <w:rPr>
          <w:szCs w:val="22"/>
          <w:lang w:val="sr-Latn-RS"/>
        </w:rPr>
        <w:t>dio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5.2)</w:t>
      </w:r>
      <w:r w:rsidRPr="007261BD">
        <w:rPr>
          <w:i/>
          <w:iCs/>
          <w:szCs w:val="22"/>
          <w:lang w:val="sr-Latn-RS"/>
        </w:rPr>
        <w:t xml:space="preserve">. </w:t>
      </w:r>
      <w:r w:rsidRPr="007261BD">
        <w:rPr>
          <w:szCs w:val="22"/>
          <w:lang w:val="sr-Latn-RS"/>
        </w:rPr>
        <w:t>Međutim, nema kliničkih iskustava sa pacijentima koji imaju rak prostate i teško oštećenje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funkcije bubrega. Kod ovih pacijenata sav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etuje se oprez (vid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FD3526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4.4).</w:t>
      </w:r>
    </w:p>
    <w:p w14:paraId="22D4F779" w14:textId="77777777" w:rsidR="008D4F51" w:rsidRPr="007261BD" w:rsidRDefault="008D4F51">
      <w:pPr>
        <w:rPr>
          <w:i/>
          <w:iCs/>
          <w:szCs w:val="22"/>
          <w:lang w:val="sr-Latn-RS"/>
        </w:rPr>
      </w:pPr>
    </w:p>
    <w:p w14:paraId="16246035" w14:textId="0A8B735A" w:rsidR="007B530A" w:rsidRPr="007261BD" w:rsidRDefault="007B530A">
      <w:pPr>
        <w:rPr>
          <w:i/>
          <w:iCs/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>Pedijatrijska populacija</w:t>
      </w:r>
    </w:p>
    <w:p w14:paraId="6B869B13" w14:textId="3D016DC2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Nema relevantne prim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l</w:t>
      </w:r>
      <w:r w:rsidR="00FD352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eka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u pedijatrijskoj populaciji</w:t>
      </w:r>
      <w:r w:rsidR="006A21EC" w:rsidRPr="007261BD">
        <w:rPr>
          <w:szCs w:val="22"/>
          <w:lang w:val="sr-Latn-RS"/>
        </w:rPr>
        <w:t>.</w:t>
      </w:r>
    </w:p>
    <w:p w14:paraId="6D605BED" w14:textId="24B397CC" w:rsidR="007B530A" w:rsidRPr="007261BD" w:rsidRDefault="007B530A">
      <w:pPr>
        <w:rPr>
          <w:szCs w:val="22"/>
          <w:lang w:val="sr-Latn-RS"/>
        </w:rPr>
      </w:pPr>
    </w:p>
    <w:p w14:paraId="1B95B0D5" w14:textId="7ADC8802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Način prim</w:t>
      </w:r>
      <w:r w:rsidR="00FD3526" w:rsidRPr="007261BD">
        <w:rPr>
          <w:szCs w:val="22"/>
          <w:u w:val="single"/>
          <w:lang w:val="sr-Latn-RS"/>
        </w:rPr>
        <w:t>j</w:t>
      </w:r>
      <w:r w:rsidRPr="007261BD">
        <w:rPr>
          <w:szCs w:val="22"/>
          <w:u w:val="single"/>
          <w:lang w:val="sr-Latn-RS"/>
        </w:rPr>
        <w:t>ene</w:t>
      </w:r>
    </w:p>
    <w:p w14:paraId="58AD9D77" w14:textId="5DCEB9C3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L</w:t>
      </w:r>
      <w:r w:rsidR="00FD352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je nam</w:t>
      </w:r>
      <w:r w:rsidR="00FD352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enjen za oralnu upotrebu.</w:t>
      </w:r>
    </w:p>
    <w:p w14:paraId="18D33AF6" w14:textId="1700084E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Tablete treba uzeti najmanje dva sata posl</w:t>
      </w:r>
      <w:r w:rsidR="00FD352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jela, i potom, pošto se tablete progutaju, nikakvu hranu ne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treba uzimati još najmanje jedan sat. Tablete treba progutati c</w:t>
      </w:r>
      <w:r w:rsidR="00FD352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ele, sa vodom.</w:t>
      </w:r>
    </w:p>
    <w:p w14:paraId="1B116D28" w14:textId="77777777" w:rsidR="00007EF9" w:rsidRPr="007261BD" w:rsidRDefault="00007EF9">
      <w:pPr>
        <w:rPr>
          <w:szCs w:val="22"/>
          <w:lang w:val="sr-Latn-RS"/>
        </w:rPr>
      </w:pPr>
    </w:p>
    <w:p w14:paraId="1B116D29" w14:textId="06D5FC8E" w:rsidR="00007EF9" w:rsidRPr="007261BD" w:rsidRDefault="00007EF9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4.3. Kontraindikacije</w:t>
      </w:r>
    </w:p>
    <w:p w14:paraId="5A469273" w14:textId="77777777" w:rsidR="00292662" w:rsidRPr="007261BD" w:rsidRDefault="00292662">
      <w:pPr>
        <w:rPr>
          <w:b/>
          <w:bCs/>
          <w:szCs w:val="22"/>
          <w:lang w:val="sr-Latn-RS"/>
        </w:rPr>
      </w:pPr>
    </w:p>
    <w:p w14:paraId="30FC5566" w14:textId="50BC236A" w:rsidR="007B530A" w:rsidRPr="007261BD" w:rsidRDefault="007B530A">
      <w:pPr>
        <w:numPr>
          <w:ilvl w:val="0"/>
          <w:numId w:val="8"/>
        </w:numPr>
        <w:rPr>
          <w:szCs w:val="22"/>
          <w:lang w:val="sr-Latn-RS"/>
        </w:rPr>
      </w:pPr>
      <w:r w:rsidRPr="007261BD">
        <w:rPr>
          <w:szCs w:val="22"/>
          <w:lang w:val="sr-Latn-RS"/>
        </w:rPr>
        <w:t>Preos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etljivost na aktivnu supstancu ili na bilo koju od pomoćnih supstanci navedenih u </w:t>
      </w:r>
      <w:r w:rsidR="00FD3526" w:rsidRPr="007261BD">
        <w:rPr>
          <w:szCs w:val="22"/>
          <w:lang w:val="sr-Latn-RS"/>
        </w:rPr>
        <w:t>dijelu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6.1.</w:t>
      </w:r>
    </w:p>
    <w:p w14:paraId="5B64FAFA" w14:textId="6F493140" w:rsidR="007B530A" w:rsidRPr="007261BD" w:rsidRDefault="007B530A">
      <w:pPr>
        <w:numPr>
          <w:ilvl w:val="0"/>
          <w:numId w:val="8"/>
        </w:numPr>
        <w:rPr>
          <w:szCs w:val="22"/>
          <w:lang w:val="sr-Latn-RS"/>
        </w:rPr>
      </w:pPr>
      <w:r w:rsidRPr="007261BD">
        <w:rPr>
          <w:szCs w:val="22"/>
          <w:lang w:val="sr-Latn-RS"/>
        </w:rPr>
        <w:t>Žene koje su trudne ili koje bi mogle biti trudne (vid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FD3526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4.6).</w:t>
      </w:r>
    </w:p>
    <w:p w14:paraId="1B116D2A" w14:textId="704BA845" w:rsidR="00007EF9" w:rsidRPr="007261BD" w:rsidRDefault="007B530A">
      <w:pPr>
        <w:numPr>
          <w:ilvl w:val="0"/>
          <w:numId w:val="8"/>
        </w:numPr>
        <w:rPr>
          <w:szCs w:val="22"/>
          <w:lang w:val="sr-Latn-RS"/>
        </w:rPr>
      </w:pPr>
      <w:r w:rsidRPr="007261BD">
        <w:rPr>
          <w:szCs w:val="22"/>
          <w:lang w:val="sr-Latn-RS"/>
        </w:rPr>
        <w:t>Teško oštećenje funkcije jetre (</w:t>
      </w:r>
      <w:r w:rsidRPr="007261BD">
        <w:rPr>
          <w:i/>
          <w:iCs/>
          <w:szCs w:val="22"/>
          <w:lang w:val="sr-Latn-RS"/>
        </w:rPr>
        <w:t xml:space="preserve">Child-Pugh </w:t>
      </w:r>
      <w:r w:rsidRPr="007261BD">
        <w:rPr>
          <w:szCs w:val="22"/>
          <w:lang w:val="sr-Latn-RS"/>
        </w:rPr>
        <w:t>klase C (vid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FD3526" w:rsidRPr="007261BD">
        <w:rPr>
          <w:szCs w:val="22"/>
          <w:lang w:val="sr-Latn-RS"/>
        </w:rPr>
        <w:t>djelove</w:t>
      </w:r>
      <w:r w:rsidRPr="007261BD">
        <w:rPr>
          <w:szCs w:val="22"/>
          <w:lang w:val="sr-Latn-RS"/>
        </w:rPr>
        <w:t xml:space="preserve"> 4.2, 4.4 i 5.2)).</w:t>
      </w:r>
    </w:p>
    <w:p w14:paraId="1D0F4922" w14:textId="6402C2B6" w:rsidR="008D4F51" w:rsidRPr="007261BD" w:rsidRDefault="00D832D2">
      <w:pPr>
        <w:numPr>
          <w:ilvl w:val="0"/>
          <w:numId w:val="8"/>
        </w:numPr>
        <w:rPr>
          <w:szCs w:val="22"/>
          <w:lang w:val="sr-Latn-RS"/>
        </w:rPr>
      </w:pPr>
      <w:r w:rsidRPr="007261BD">
        <w:rPr>
          <w:szCs w:val="22"/>
          <w:lang w:val="sr-Latn-RS"/>
        </w:rPr>
        <w:t>Enagal</w:t>
      </w:r>
      <w:r w:rsidR="008D4F51" w:rsidRPr="007261BD">
        <w:rPr>
          <w:szCs w:val="22"/>
          <w:lang w:val="sr-Latn-RS"/>
        </w:rPr>
        <w:t>, u kombinaciji sa prednizonom/prednizolonom, kontraindikovan je u kombinaciji sa Ra-223</w:t>
      </w:r>
    </w:p>
    <w:p w14:paraId="1B116D2B" w14:textId="77777777" w:rsidR="00007EF9" w:rsidRPr="007261BD" w:rsidRDefault="00007EF9">
      <w:pPr>
        <w:rPr>
          <w:szCs w:val="22"/>
          <w:lang w:val="sr-Latn-RS"/>
        </w:rPr>
      </w:pPr>
    </w:p>
    <w:p w14:paraId="1B116D2C" w14:textId="606D2ED3" w:rsidR="00007EF9" w:rsidRPr="007261BD" w:rsidRDefault="00007EF9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4.4. Posebna upozorenja i m</w:t>
      </w:r>
      <w:r w:rsidR="00FD3526" w:rsidRPr="007261BD">
        <w:rPr>
          <w:b/>
          <w:bCs/>
          <w:szCs w:val="22"/>
          <w:lang w:val="sr-Latn-RS"/>
        </w:rPr>
        <w:t>j</w:t>
      </w:r>
      <w:r w:rsidRPr="007261BD">
        <w:rPr>
          <w:b/>
          <w:bCs/>
          <w:szCs w:val="22"/>
          <w:lang w:val="sr-Latn-RS"/>
        </w:rPr>
        <w:t>ere opreza pri upotrebi l</w:t>
      </w:r>
      <w:r w:rsidR="00FD3526" w:rsidRPr="007261BD">
        <w:rPr>
          <w:b/>
          <w:bCs/>
          <w:szCs w:val="22"/>
          <w:lang w:val="sr-Latn-RS"/>
        </w:rPr>
        <w:t>ij</w:t>
      </w:r>
      <w:r w:rsidRPr="007261BD">
        <w:rPr>
          <w:b/>
          <w:bCs/>
          <w:szCs w:val="22"/>
          <w:lang w:val="sr-Latn-RS"/>
        </w:rPr>
        <w:t>eka</w:t>
      </w:r>
    </w:p>
    <w:p w14:paraId="57AA47D1" w14:textId="77777777" w:rsidR="00292662" w:rsidRPr="007261BD" w:rsidRDefault="00292662">
      <w:pPr>
        <w:rPr>
          <w:b/>
          <w:bCs/>
          <w:szCs w:val="22"/>
          <w:lang w:val="sr-Latn-RS"/>
        </w:rPr>
      </w:pPr>
    </w:p>
    <w:p w14:paraId="25FB2311" w14:textId="1DE837D5" w:rsidR="008D4F51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Hipertenzija, hipokal</w:t>
      </w:r>
      <w:r w:rsidR="00733EA8" w:rsidRPr="007261BD">
        <w:rPr>
          <w:szCs w:val="22"/>
          <w:u w:val="single"/>
          <w:lang w:val="sr-Latn-RS"/>
        </w:rPr>
        <w:t>ij</w:t>
      </w:r>
      <w:r w:rsidRPr="007261BD">
        <w:rPr>
          <w:szCs w:val="22"/>
          <w:u w:val="single"/>
          <w:lang w:val="sr-Latn-RS"/>
        </w:rPr>
        <w:t>emija, retencija tečnosti i srčana insuficijencija zbog prekom</w:t>
      </w:r>
      <w:r w:rsidR="00FD3526" w:rsidRPr="007261BD">
        <w:rPr>
          <w:szCs w:val="22"/>
          <w:u w:val="single"/>
          <w:lang w:val="sr-Latn-RS"/>
        </w:rPr>
        <w:t>j</w:t>
      </w:r>
      <w:r w:rsidRPr="007261BD">
        <w:rPr>
          <w:szCs w:val="22"/>
          <w:u w:val="single"/>
          <w:lang w:val="sr-Latn-RS"/>
        </w:rPr>
        <w:t>ernog nivoa</w:t>
      </w:r>
      <w:r w:rsidR="006A21EC" w:rsidRPr="007261BD">
        <w:rPr>
          <w:szCs w:val="22"/>
          <w:u w:val="single"/>
          <w:lang w:val="sr-Latn-RS"/>
        </w:rPr>
        <w:t xml:space="preserve"> </w:t>
      </w:r>
      <w:r w:rsidRPr="007261BD">
        <w:rPr>
          <w:szCs w:val="22"/>
          <w:u w:val="single"/>
          <w:lang w:val="sr-Latn-RS"/>
        </w:rPr>
        <w:t>mineralokortikoida</w:t>
      </w:r>
      <w:r w:rsidR="006A21EC" w:rsidRPr="007261BD">
        <w:rPr>
          <w:szCs w:val="22"/>
          <w:u w:val="single"/>
          <w:lang w:val="sr-Latn-RS"/>
        </w:rPr>
        <w:t xml:space="preserve"> </w:t>
      </w:r>
    </w:p>
    <w:p w14:paraId="3B88F1FB" w14:textId="21834F3C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L</w:t>
      </w:r>
      <w:r w:rsidR="00FD352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može izazvati hipertenziju, hipokal</w:t>
      </w:r>
      <w:r w:rsidR="00733EA8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emiju i retenciju tečnosti (vid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FD3526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4.8) kao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posl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edicu porasta nivoa mineralokortikoida usl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 inhibicije CYP17 (vid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eti</w:t>
      </w:r>
      <w:r w:rsidR="00FD3526" w:rsidRPr="007261BD">
        <w:rPr>
          <w:szCs w:val="22"/>
          <w:lang w:val="sr-Latn-RS"/>
        </w:rPr>
        <w:t xml:space="preserve"> dio</w:t>
      </w:r>
      <w:r w:rsidRPr="007261BD">
        <w:rPr>
          <w:szCs w:val="22"/>
          <w:lang w:val="sr-Latn-RS"/>
        </w:rPr>
        <w:t xml:space="preserve"> 5.1). Istovremena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prim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ena sa kortikosteroidima suprimira oslobađanje adenokortikotropnog hormona (ACTH) što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dovodi do smanjene incidence i težine ovih neželjenih </w:t>
      </w:r>
      <w:r w:rsidR="00C1569C" w:rsidRPr="007261BD">
        <w:rPr>
          <w:szCs w:val="22"/>
          <w:lang w:val="sr-Latn-RS"/>
        </w:rPr>
        <w:t>dejstava</w:t>
      </w:r>
      <w:r w:rsidRPr="007261BD">
        <w:rPr>
          <w:szCs w:val="22"/>
          <w:lang w:val="sr-Latn-RS"/>
        </w:rPr>
        <w:t>. Potreban je oprez pri l</w:t>
      </w:r>
      <w:r w:rsidR="00FD352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ečenju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pacijenata čija već postojeća medicinska stanja mogu biti pogoršana povećanjem krvnog pritiska,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hipokal</w:t>
      </w:r>
      <w:r w:rsidR="00733EA8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emijom (npr. kod onih koji uzimaju kardiotonične glikozide), ili zadržavanjem tečnosti (npr.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kod onih sa srčanom insuficijencijom, teškom ili nestabilnom anginom pektoris, nedavnim infarktom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miokarda ili ventrikularnom aritmijom i kod onih sa teškim oštećenjem bubrežne funkcije).</w:t>
      </w:r>
    </w:p>
    <w:p w14:paraId="667531ED" w14:textId="77777777" w:rsidR="008D4F51" w:rsidRPr="007261BD" w:rsidRDefault="008D4F51">
      <w:pPr>
        <w:rPr>
          <w:szCs w:val="22"/>
          <w:lang w:val="sr-Latn-RS"/>
        </w:rPr>
      </w:pPr>
    </w:p>
    <w:p w14:paraId="3AFDB353" w14:textId="081DC109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L</w:t>
      </w:r>
      <w:r w:rsidR="00FD352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treba oprezno prim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enjivati kod pacijenata sa kardiovaskularnim bolestima u anamnezi.</w:t>
      </w:r>
      <w:r w:rsidR="008D4F51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Iz studija faze 3 sprovedenih sa </w:t>
      </w:r>
      <w:r w:rsidR="009024FE" w:rsidRPr="007261BD">
        <w:rPr>
          <w:szCs w:val="22"/>
          <w:lang w:val="sr-Latn-RS"/>
        </w:rPr>
        <w:t>abirateronom</w:t>
      </w:r>
      <w:r w:rsidRPr="007261BD">
        <w:rPr>
          <w:szCs w:val="22"/>
          <w:lang w:val="sr-Latn-RS"/>
        </w:rPr>
        <w:t xml:space="preserve"> isključeni su pacijenti sa nekontrolisanom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hipertenzijom, klinički značajnim oboljenjem srca što se manifestovalo infarktom miokarda, ili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arterijskim trombotičkim događajem u prethodnih 6 m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eseci, pacijenti sa teškom ili nestabilnom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anginom, ili srčanom insuficijencijom klase III ili IV (studija 301) ili klase II do IV (studije 3011 i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302) po NYHA klasifikaciji (engl. </w:t>
      </w:r>
      <w:r w:rsidRPr="007261BD">
        <w:rPr>
          <w:i/>
          <w:iCs/>
          <w:szCs w:val="22"/>
          <w:lang w:val="sr-Latn-RS"/>
        </w:rPr>
        <w:t xml:space="preserve">New York Heart Association Class) </w:t>
      </w:r>
      <w:r w:rsidRPr="007261BD">
        <w:rPr>
          <w:szCs w:val="22"/>
          <w:lang w:val="sr-Latn-RS"/>
        </w:rPr>
        <w:t>ili pacijenti kod kojih je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izm</w:t>
      </w:r>
      <w:r w:rsidR="00FD352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erena srčana ejekciona frakcija &lt; 50%. Pacijenti sa atrijalnom fibrilacijom ili drugim srčanim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aritmijama koje zaht</w:t>
      </w:r>
      <w:r w:rsidR="00FD352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evaju medicinsku terapiju su bili isključeni iz studija 3011 i 302. Nije utvrđena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bezb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ednost kod pacijenata koji imaju ejekcionu frakciju l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eve komore (engl. </w:t>
      </w:r>
      <w:r w:rsidRPr="007261BD">
        <w:rPr>
          <w:i/>
          <w:iCs/>
          <w:szCs w:val="22"/>
          <w:lang w:val="sr-Latn-RS"/>
        </w:rPr>
        <w:t>left ventricular ejection</w:t>
      </w:r>
      <w:r w:rsidR="006A21EC" w:rsidRPr="007261BD">
        <w:rPr>
          <w:i/>
          <w:iCs/>
          <w:szCs w:val="22"/>
          <w:lang w:val="sr-Latn-RS"/>
        </w:rPr>
        <w:t xml:space="preserve"> </w:t>
      </w:r>
      <w:r w:rsidRPr="007261BD">
        <w:rPr>
          <w:i/>
          <w:iCs/>
          <w:szCs w:val="22"/>
          <w:lang w:val="sr-Latn-RS"/>
        </w:rPr>
        <w:t>fraction</w:t>
      </w:r>
      <w:r w:rsidRPr="007261BD">
        <w:rPr>
          <w:szCs w:val="22"/>
          <w:lang w:val="sr-Latn-RS"/>
        </w:rPr>
        <w:t>, LVEF) &lt; 50% ili srčanu insuficijenciju NYHA klase III ili IV (studija 301) ili srčanu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insuficijenciju NYHA klase II do IV (u studijama 3011 i 302) (vid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7E26C0" w:rsidRPr="007261BD">
        <w:rPr>
          <w:szCs w:val="22"/>
          <w:lang w:val="sr-Latn-RS"/>
        </w:rPr>
        <w:t>djelove</w:t>
      </w:r>
      <w:r w:rsidRPr="007261BD">
        <w:rPr>
          <w:szCs w:val="22"/>
          <w:lang w:val="sr-Latn-RS"/>
        </w:rPr>
        <w:t xml:space="preserve"> 4.8 i 5.1).</w:t>
      </w:r>
    </w:p>
    <w:p w14:paraId="315098E2" w14:textId="77777777" w:rsidR="008D4F51" w:rsidRPr="007261BD" w:rsidRDefault="008D4F51">
      <w:pPr>
        <w:rPr>
          <w:szCs w:val="22"/>
          <w:lang w:val="sr-Latn-RS"/>
        </w:rPr>
      </w:pPr>
    </w:p>
    <w:p w14:paraId="7E3CD721" w14:textId="61F1A651" w:rsidR="008C6E9C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lang w:val="sr-Latn-RS"/>
        </w:rPr>
        <w:t>Pr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l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ečenja pacijenata sa značajnim rizikom za nastanak kongestivne srčane insuficijencije (npr.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srčana insuficijencija, nekontrolisana hipertenzija ili srčani događaji kao što je ishemijska bolest srca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u anamnezi) treba razmotriti dobijanje proc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srčane funkcije (npr. ultrazvuk srca). Pr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terapije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l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ekom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>, treba l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ečiti srčanu insuficijenciju i optimizirati srčanu funkciju. Hipertenziju,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hipokal</w:t>
      </w:r>
      <w:r w:rsidR="00A631DE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emiju i retenciju tečnosti treba korigovati i kontrolisati. Tokom terapije treba kontrolisati krvni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pritisak, koncentraciju kalijuma u serumu, retenciju tečnosti (dobijanje na težini, periferni edemi), i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druge znake i simptome kongestivne srčane insuficijencije, na svake 2 ned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elje u toku 3 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eseca i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nakon toga jednom 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esečno i korigovati prim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ećena odstupanja. Produženje QT intervala je bilo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prim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ećeno kod pacijenata koji su imali hipokal</w:t>
      </w:r>
      <w:r w:rsidR="00A631DE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emiju povezanu sa prim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enom l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eka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>. Proc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eniti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srčanu funkciju prema kliničkim indikacijama, sprovesti odgovarajuće </w:t>
      </w:r>
      <w:r w:rsidRPr="007261BD">
        <w:rPr>
          <w:szCs w:val="22"/>
          <w:lang w:val="sr-Latn-RS"/>
        </w:rPr>
        <w:lastRenderedPageBreak/>
        <w:t>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ere i razmotriti ukidanje ove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terapije ako postoji klinički značajno smanjenje srčane funkcije (vid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7E26C0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4.2).</w:t>
      </w:r>
    </w:p>
    <w:p w14:paraId="002B4009" w14:textId="77777777" w:rsidR="00480E7D" w:rsidRPr="007261BD" w:rsidRDefault="00480E7D">
      <w:pPr>
        <w:rPr>
          <w:szCs w:val="22"/>
          <w:u w:val="single"/>
          <w:lang w:val="sr-Latn-RS"/>
        </w:rPr>
      </w:pPr>
    </w:p>
    <w:p w14:paraId="01E07B9E" w14:textId="1BF417AC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Hepatotoksičnost i oštećenje funkcije jetre</w:t>
      </w:r>
    </w:p>
    <w:p w14:paraId="2DF14806" w14:textId="091DD9F2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kontrolisanim kliničkim ispitivanjima dolazilo je do znatnog povećanja vr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enzima jetre zbog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čega je prekidana terapija ili je doza modifikovana (vid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7E26C0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4.8). Vr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transaminaza u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serumu treba 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eriti pr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započinjanja ove terapije, na svake dv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ned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elje u prva tri 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eseca terapije i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potom jednom 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esečno. Ako se razviju klinički simptomi ili znaci koji ukazuju na hepatotoksičnost,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odmah treba izm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eriti vr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 transaminaza u serumu. Ako u bilo kom trenutku vr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 ALT ili AST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pređe petostruku vr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 gornje granice normale, terapiju treba odmah obustaviti i pažljivo pratiti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funkciju jetre. Terapija se može ponovo uvesti samo kada se vr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funkcionalnih testova jetre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pacijenta vrate na početni nivo i sa smanjenom dozom (vid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7E26C0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4.2).</w:t>
      </w:r>
    </w:p>
    <w:p w14:paraId="2413C6EC" w14:textId="5A0000D1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Ako pacijenti razviju tešku hepatotoksičnost (vr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 ALT ili AST 20 puta veća od gornje granice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normale) u bilo kom trenutku dok su na terapiji, terapiju treba prekinuti i više je ne uvoditi kod ovih</w:t>
      </w:r>
      <w:r w:rsidR="008D4F51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pacijenata.</w:t>
      </w:r>
    </w:p>
    <w:p w14:paraId="47CAC980" w14:textId="34AB97F3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Pacijenti sa aktivnim ili simptomatskim virusnim hepatitisom bili su isključeni iz kliničkih ispitivanja;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stoga nema podataka koji bi podržali upotrebu l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eka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u ovoj populaciji.</w:t>
      </w:r>
    </w:p>
    <w:p w14:paraId="402C5B05" w14:textId="0A219050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Nema podataka o kliničkoj bezb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ednosti i efikasnosti višestrukih doza abirateron-acetata kada se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prim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enjuje kod pacijenata sa um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erenim ili teškim oštećenjem funkcije jetre (</w:t>
      </w:r>
      <w:r w:rsidRPr="007261BD">
        <w:rPr>
          <w:i/>
          <w:iCs/>
          <w:szCs w:val="22"/>
          <w:lang w:val="sr-Latn-RS"/>
        </w:rPr>
        <w:t xml:space="preserve">Child-Pugh </w:t>
      </w:r>
      <w:r w:rsidRPr="007261BD">
        <w:rPr>
          <w:szCs w:val="22"/>
          <w:lang w:val="sr-Latn-RS"/>
        </w:rPr>
        <w:t>klase B ili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C). Prim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enu l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eka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treba pažljivo proc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eniti kod pacijenata sa um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erenim oštećenjem funkcije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jetre, kod kojih korist treba da jasno prevazilazi mogući rizik (vid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7E26C0" w:rsidRPr="007261BD">
        <w:rPr>
          <w:szCs w:val="22"/>
          <w:lang w:val="sr-Latn-RS"/>
        </w:rPr>
        <w:t>djelove</w:t>
      </w:r>
      <w:r w:rsidRPr="007261BD">
        <w:rPr>
          <w:szCs w:val="22"/>
          <w:lang w:val="sr-Latn-RS"/>
        </w:rPr>
        <w:t xml:space="preserve"> 4.2 i 5.2). L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</w:t>
      </w:r>
      <w:r w:rsidR="00D832D2" w:rsidRPr="007261BD">
        <w:rPr>
          <w:szCs w:val="22"/>
          <w:lang w:val="sr-Latn-RS"/>
        </w:rPr>
        <w:t>E</w:t>
      </w:r>
      <w:r w:rsidR="009024FE" w:rsidRPr="007261BD">
        <w:rPr>
          <w:szCs w:val="22"/>
          <w:lang w:val="sr-Latn-RS"/>
        </w:rPr>
        <w:t>nagal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se ne sm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prim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enjivati kod pacijenata sa teškim oštećenjem funkcije jetre (vid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7E26C0" w:rsidRPr="007261BD">
        <w:rPr>
          <w:szCs w:val="22"/>
          <w:lang w:val="sr-Latn-RS"/>
        </w:rPr>
        <w:t>djelove</w:t>
      </w:r>
      <w:r w:rsidRPr="007261BD">
        <w:rPr>
          <w:szCs w:val="22"/>
          <w:lang w:val="sr-Latn-RS"/>
        </w:rPr>
        <w:t xml:space="preserve"> 4.2, 4.3 i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5.2).</w:t>
      </w:r>
    </w:p>
    <w:p w14:paraId="7CF12E21" w14:textId="10E29B76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periodu postmarketinškog praćenja, bili su prijavljeni r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etki slučajevi akutne insuficijencije jetre i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fulminantnog hepatitisa, od kojih su neki bili sa smrtnim ishodom (vid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eti d</w:t>
      </w:r>
      <w:r w:rsidR="007E26C0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>o 4.8.).</w:t>
      </w:r>
    </w:p>
    <w:p w14:paraId="36252BD9" w14:textId="77777777" w:rsidR="008D4F51" w:rsidRPr="007261BD" w:rsidRDefault="008D4F51">
      <w:pPr>
        <w:rPr>
          <w:szCs w:val="22"/>
          <w:lang w:val="sr-Latn-RS"/>
        </w:rPr>
      </w:pPr>
    </w:p>
    <w:p w14:paraId="4B839802" w14:textId="2A1319C4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Obustava prim</w:t>
      </w:r>
      <w:r w:rsidR="007E26C0" w:rsidRPr="007261BD">
        <w:rPr>
          <w:szCs w:val="22"/>
          <w:u w:val="single"/>
          <w:lang w:val="sr-Latn-RS"/>
        </w:rPr>
        <w:t>j</w:t>
      </w:r>
      <w:r w:rsidRPr="007261BD">
        <w:rPr>
          <w:szCs w:val="22"/>
          <w:u w:val="single"/>
          <w:lang w:val="sr-Latn-RS"/>
        </w:rPr>
        <w:t>ene kortikosteroida i r</w:t>
      </w:r>
      <w:r w:rsidR="007E26C0" w:rsidRPr="007261BD">
        <w:rPr>
          <w:szCs w:val="22"/>
          <w:u w:val="single"/>
          <w:lang w:val="sr-Latn-RS"/>
        </w:rPr>
        <w:t>j</w:t>
      </w:r>
      <w:r w:rsidRPr="007261BD">
        <w:rPr>
          <w:szCs w:val="22"/>
          <w:u w:val="single"/>
          <w:lang w:val="sr-Latn-RS"/>
        </w:rPr>
        <w:t>ešavanje stresnih situacija</w:t>
      </w:r>
    </w:p>
    <w:p w14:paraId="5D9B2D6D" w14:textId="0E865E73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Sav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etuje se oprez i praćenje eventualne pojave adrenokortikalne insuficijencije ukoliko se kod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pacijenata obustavi terapija prednizonom ili prednizolonom. Ako se nastavi sa davanjem l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eka</w:t>
      </w:r>
      <w:r w:rsidR="006A21EC" w:rsidRPr="007261BD">
        <w:rPr>
          <w:szCs w:val="22"/>
          <w:lang w:val="sr-Latn-RS"/>
        </w:rPr>
        <w:t xml:space="preserve">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i pošto se obustavi prim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ena kortikosteroida, pacijente treba pratiti kako bi se na vr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eme uočili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simptomi prekom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ernog nivoa mineralokortikoida (vid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eti informacije gore</w:t>
      </w:r>
      <w:r w:rsidR="00B25C0E" w:rsidRPr="007261BD">
        <w:rPr>
          <w:szCs w:val="22"/>
          <w:lang w:val="sr-Latn-RS"/>
        </w:rPr>
        <w:t xml:space="preserve"> navedene</w:t>
      </w:r>
      <w:r w:rsidRPr="007261BD">
        <w:rPr>
          <w:szCs w:val="22"/>
          <w:lang w:val="sr-Latn-RS"/>
        </w:rPr>
        <w:t>).</w:t>
      </w:r>
    </w:p>
    <w:p w14:paraId="6E33A62A" w14:textId="17D9C9FB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Kod pacijenata koji primaju prednizon ili prednizolon, a koji su izloženi neuobičajenom stresu, može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biti indikovana prim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ena povećanih doza kortikosteroida pr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e, tokom i posl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stresnih situacija.</w:t>
      </w:r>
    </w:p>
    <w:p w14:paraId="3C33874F" w14:textId="77777777" w:rsidR="008D4F51" w:rsidRPr="007261BD" w:rsidRDefault="008D4F51">
      <w:pPr>
        <w:rPr>
          <w:szCs w:val="22"/>
          <w:lang w:val="sr-Latn-RS"/>
        </w:rPr>
      </w:pPr>
    </w:p>
    <w:p w14:paraId="4E7A88FA" w14:textId="4B0FE791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Gustina kostiju</w:t>
      </w:r>
    </w:p>
    <w:p w14:paraId="4369E830" w14:textId="025DDE03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Kod muškaraca sa metastatskim uznapredovalim karcinomom prostate može doći do smanjenja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gustine kostiju. Kombinovana prim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ena l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eka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sa glukokokortikoidima može da pojača taj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efekat.</w:t>
      </w:r>
    </w:p>
    <w:p w14:paraId="237F2425" w14:textId="77777777" w:rsidR="008D4F51" w:rsidRPr="007261BD" w:rsidRDefault="008D4F51">
      <w:pPr>
        <w:rPr>
          <w:szCs w:val="22"/>
          <w:lang w:val="sr-Latn-RS"/>
        </w:rPr>
      </w:pPr>
    </w:p>
    <w:p w14:paraId="50FD4D22" w14:textId="661AC91E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Prethodna prim</w:t>
      </w:r>
      <w:r w:rsidR="007E26C0" w:rsidRPr="007261BD">
        <w:rPr>
          <w:szCs w:val="22"/>
          <w:u w:val="single"/>
          <w:lang w:val="sr-Latn-RS"/>
        </w:rPr>
        <w:t>j</w:t>
      </w:r>
      <w:r w:rsidRPr="007261BD">
        <w:rPr>
          <w:szCs w:val="22"/>
          <w:u w:val="single"/>
          <w:lang w:val="sr-Latn-RS"/>
        </w:rPr>
        <w:t>ena ketokonazola</w:t>
      </w:r>
    </w:p>
    <w:p w14:paraId="25A16F96" w14:textId="1A836424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Može se očekivati niži stepen odgovora kod pacijenata koji su prethodno primali ketokonazol kao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terapiju za karcinom prostate.</w:t>
      </w:r>
    </w:p>
    <w:p w14:paraId="428503D7" w14:textId="77777777" w:rsidR="008D4F51" w:rsidRPr="007261BD" w:rsidRDefault="008D4F51">
      <w:pPr>
        <w:rPr>
          <w:szCs w:val="22"/>
          <w:lang w:val="sr-Latn-RS"/>
        </w:rPr>
      </w:pPr>
    </w:p>
    <w:p w14:paraId="3D42A35C" w14:textId="5F9A6E44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Hiperglikemija</w:t>
      </w:r>
    </w:p>
    <w:p w14:paraId="518AC368" w14:textId="44ADF19D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Prim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ena glukokortikoida može povećati hiperglikemiju, zato treba često 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eriti vr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šećera u krvi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kod pacijenata sa dijabetesom.</w:t>
      </w:r>
    </w:p>
    <w:p w14:paraId="5477CC33" w14:textId="12E19F3D" w:rsidR="008D4F51" w:rsidRPr="007261BD" w:rsidRDefault="008D4F51">
      <w:pPr>
        <w:rPr>
          <w:szCs w:val="22"/>
          <w:lang w:val="sr-Latn-RS"/>
        </w:rPr>
      </w:pPr>
    </w:p>
    <w:p w14:paraId="74A6B169" w14:textId="797E1D77" w:rsidR="008D4F51" w:rsidRPr="007261BD" w:rsidRDefault="008D4F51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Hipoglikemija</w:t>
      </w:r>
    </w:p>
    <w:p w14:paraId="763D543D" w14:textId="1697153C" w:rsidR="008D4F51" w:rsidRPr="007261BD" w:rsidRDefault="008D4F51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Kod pacijenata sa dijabetesom na terapiji pioglitazonom ili repaglinidom prijavljeni su slučajevi hipoglikemije pri prim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eni abiraterona u kombinaciji sa prednizonom/prednizolonom (vid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7E26C0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4.5). Zbog toga je neophodna kontrola glikemije kod pacijenata sa dijabetesom.</w:t>
      </w:r>
    </w:p>
    <w:p w14:paraId="6F090CC3" w14:textId="77777777" w:rsidR="008D4F51" w:rsidRPr="007261BD" w:rsidRDefault="008D4F51">
      <w:pPr>
        <w:rPr>
          <w:szCs w:val="22"/>
          <w:lang w:val="sr-Latn-RS"/>
        </w:rPr>
      </w:pPr>
    </w:p>
    <w:p w14:paraId="53774D83" w14:textId="77777777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Upotreba sa hemioterapijom</w:t>
      </w:r>
    </w:p>
    <w:p w14:paraId="5A8D70A7" w14:textId="3F7B5F3D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Bezb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ednost i efikasnost istovremene prim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l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eka </w:t>
      </w:r>
      <w:r w:rsidR="00D832D2" w:rsidRPr="007261BD">
        <w:rPr>
          <w:szCs w:val="22"/>
          <w:lang w:val="sr-Latn-RS"/>
        </w:rPr>
        <w:t>E</w:t>
      </w:r>
      <w:r w:rsidR="00FB426D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sa citotoksičnom hemioterapijom nije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utvrđena (vid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7E26C0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5.1).</w:t>
      </w:r>
    </w:p>
    <w:p w14:paraId="649C53FF" w14:textId="77777777" w:rsidR="00686A4C" w:rsidRPr="007261BD" w:rsidRDefault="00686A4C">
      <w:pPr>
        <w:rPr>
          <w:szCs w:val="22"/>
          <w:lang w:val="sr-Latn-RS"/>
        </w:rPr>
      </w:pPr>
    </w:p>
    <w:p w14:paraId="7F27A75B" w14:textId="3802F5CC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Intolerancija na pomoćne supstance</w:t>
      </w:r>
    </w:p>
    <w:p w14:paraId="1E7725AC" w14:textId="71C42868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Ovaj l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ek sadrži laktozu. Pacijenti sa r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etkim nasl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ednim oboljenjem intolerancije na galaktozu,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nedostatkom Lapp laktaze ili glukozno-galaktoznom malapsorpcijom ne sm</w:t>
      </w:r>
      <w:r w:rsidR="007E26C0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>ju da uzimaju ovaj l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ek.</w:t>
      </w:r>
    </w:p>
    <w:p w14:paraId="7FA56099" w14:textId="3119EE96" w:rsidR="007B530A" w:rsidRPr="007261BD" w:rsidRDefault="00835A9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lastRenderedPageBreak/>
        <w:t>Ovaj l</w:t>
      </w:r>
      <w:r w:rsidR="008E480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sadrži 1,18 mmol (ili 27,2 mg) natrijuma po dnevnoj dozi, što odgovara 1,36 % maksimalnog dnevnog unosa od 2 g natrijuma prema preporukama SZO za odraslu osobu. </w:t>
      </w:r>
      <w:r w:rsidR="007B530A" w:rsidRPr="007261BD">
        <w:rPr>
          <w:szCs w:val="22"/>
          <w:lang w:val="sr-Latn-RS"/>
        </w:rPr>
        <w:t>Ovo treba da se</w:t>
      </w:r>
      <w:r w:rsidR="006A21EC" w:rsidRPr="007261BD">
        <w:rPr>
          <w:szCs w:val="22"/>
          <w:lang w:val="sr-Latn-RS"/>
        </w:rPr>
        <w:t xml:space="preserve"> </w:t>
      </w:r>
      <w:r w:rsidR="007B530A" w:rsidRPr="007261BD">
        <w:rPr>
          <w:szCs w:val="22"/>
          <w:lang w:val="sr-Latn-RS"/>
        </w:rPr>
        <w:t>uzme u obzir kod pacijenata koji su na ishrani sa ograničenim unosom natrijuma.</w:t>
      </w:r>
    </w:p>
    <w:p w14:paraId="67CAC113" w14:textId="77777777" w:rsidR="00686A4C" w:rsidRPr="007261BD" w:rsidRDefault="00686A4C">
      <w:pPr>
        <w:rPr>
          <w:szCs w:val="22"/>
          <w:lang w:val="sr-Latn-RS"/>
        </w:rPr>
      </w:pPr>
    </w:p>
    <w:p w14:paraId="5628CFC2" w14:textId="5C4F4303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Mogući rizici</w:t>
      </w:r>
    </w:p>
    <w:p w14:paraId="6ADA30DA" w14:textId="10A4AED8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Anemija i seksualna disfunkcija se mogu javiti kod muškaraca sa metastatskim karcinomom prostate</w:t>
      </w:r>
      <w:r w:rsidR="00686A4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uključujući i one koji su na terapiji l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ekom </w:t>
      </w:r>
      <w:r w:rsidR="00D832D2" w:rsidRPr="007261BD">
        <w:rPr>
          <w:szCs w:val="22"/>
          <w:lang w:val="sr-Latn-RS"/>
        </w:rPr>
        <w:t>E</w:t>
      </w:r>
      <w:r w:rsidR="00EC3A7B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>.</w:t>
      </w:r>
    </w:p>
    <w:p w14:paraId="40C83B6B" w14:textId="77777777" w:rsidR="00686A4C" w:rsidRPr="007261BD" w:rsidRDefault="00686A4C">
      <w:pPr>
        <w:rPr>
          <w:szCs w:val="22"/>
          <w:lang w:val="sr-Latn-RS"/>
        </w:rPr>
      </w:pPr>
    </w:p>
    <w:p w14:paraId="4F911A7F" w14:textId="1A9427D1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Uticaj na skeletne mišiće</w:t>
      </w:r>
    </w:p>
    <w:p w14:paraId="5B53EEBF" w14:textId="06CC9BE3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Slučajevi miopatije</w:t>
      </w:r>
      <w:r w:rsidR="00686A4C" w:rsidRPr="007261BD">
        <w:rPr>
          <w:szCs w:val="22"/>
          <w:lang w:val="sr-Latn-RS"/>
        </w:rPr>
        <w:t xml:space="preserve"> i rabdomiolize</w:t>
      </w:r>
      <w:r w:rsidRPr="007261BD">
        <w:rPr>
          <w:szCs w:val="22"/>
          <w:lang w:val="sr-Latn-RS"/>
        </w:rPr>
        <w:t xml:space="preserve"> su bili prijavljeni kod pacijenata koji su uzimali l</w:t>
      </w:r>
      <w:r w:rsidR="007E26C0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</w:t>
      </w:r>
      <w:r w:rsidR="00D832D2" w:rsidRPr="007261BD">
        <w:rPr>
          <w:szCs w:val="22"/>
          <w:lang w:val="sr-Latn-RS"/>
        </w:rPr>
        <w:t>E</w:t>
      </w:r>
      <w:r w:rsidR="00EC3A7B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. Većina slučajeva se razvila unutar </w:t>
      </w:r>
      <w:r w:rsidR="00686A4C" w:rsidRPr="007261BD">
        <w:rPr>
          <w:szCs w:val="22"/>
          <w:lang w:val="sr-Latn-RS"/>
        </w:rPr>
        <w:t>prvih šest</w:t>
      </w:r>
      <w:r w:rsidRPr="007261BD">
        <w:rPr>
          <w:szCs w:val="22"/>
          <w:lang w:val="sr-Latn-RS"/>
        </w:rPr>
        <w:t xml:space="preserve"> m</w:t>
      </w:r>
      <w:r w:rsidR="007E26C0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</w:t>
      </w:r>
      <w:r w:rsidR="00686A4C" w:rsidRPr="007261BD">
        <w:rPr>
          <w:szCs w:val="22"/>
          <w:lang w:val="sr-Latn-RS"/>
        </w:rPr>
        <w:t>ci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terapije i povukla se nakon obustavljanja prim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l</w:t>
      </w:r>
      <w:r w:rsidR="00787DE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eka </w:t>
      </w:r>
      <w:r w:rsidR="00D832D2" w:rsidRPr="007261BD">
        <w:rPr>
          <w:szCs w:val="22"/>
          <w:lang w:val="sr-Latn-RS"/>
        </w:rPr>
        <w:t>E</w:t>
      </w:r>
      <w:r w:rsidR="00EC3A7B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>. Preporučuje se oprez kod pacijenata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koji istovremeno primaju l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ekove za koje se zna da mogu da izazovu miopatiju/rabdomiolizu.</w:t>
      </w:r>
    </w:p>
    <w:p w14:paraId="69CAB61C" w14:textId="77777777" w:rsidR="00686A4C" w:rsidRPr="007261BD" w:rsidRDefault="00686A4C">
      <w:pPr>
        <w:rPr>
          <w:szCs w:val="22"/>
          <w:lang w:val="sr-Latn-RS"/>
        </w:rPr>
      </w:pPr>
    </w:p>
    <w:p w14:paraId="3DFAEEED" w14:textId="72851ACB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Interakcije sa drugim l</w:t>
      </w:r>
      <w:r w:rsidR="00787DE2" w:rsidRPr="007261BD">
        <w:rPr>
          <w:szCs w:val="22"/>
          <w:u w:val="single"/>
          <w:lang w:val="sr-Latn-RS"/>
        </w:rPr>
        <w:t>j</w:t>
      </w:r>
      <w:r w:rsidRPr="007261BD">
        <w:rPr>
          <w:szCs w:val="22"/>
          <w:u w:val="single"/>
          <w:lang w:val="sr-Latn-RS"/>
        </w:rPr>
        <w:t>ekovima</w:t>
      </w:r>
    </w:p>
    <w:p w14:paraId="72979F24" w14:textId="4653FB86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Prim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enu snažnih induktora CYP3A4 tokom terapije treba izb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egavati, osim ukoliko ne postoji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terapijska alternativa, zbog rizika od smanjenja izloženosti abirateronu (vid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787DE2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4.5).</w:t>
      </w:r>
    </w:p>
    <w:p w14:paraId="7CA9EE72" w14:textId="1E2D83AD" w:rsidR="00686A4C" w:rsidRPr="007261BD" w:rsidRDefault="00686A4C">
      <w:pPr>
        <w:rPr>
          <w:szCs w:val="22"/>
          <w:lang w:val="sr-Latn-RS"/>
        </w:rPr>
      </w:pPr>
    </w:p>
    <w:p w14:paraId="53214BDA" w14:textId="5990F3A6" w:rsidR="00686A4C" w:rsidRPr="007261BD" w:rsidRDefault="00686A4C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Kombinacija abiraterona i prednizona/prednizolona sa Ra-223</w:t>
      </w:r>
    </w:p>
    <w:p w14:paraId="28E0203E" w14:textId="0A0ADFC4" w:rsidR="00686A4C" w:rsidRPr="007261BD" w:rsidRDefault="00686A4C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Kontraindikovana je prim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ena abiraterona i prednizona/prednizolona u kombinaciji sa Ra-223 (vid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787DE2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4.3), zbog povećanog rizika od fraktura i povećanog trenda smrtnosti kod pacijenata sa karcinomom prostate bez simptoma ili sa blagim simptomima, što je uočeno u kliničkim ispitivanjima.</w:t>
      </w:r>
    </w:p>
    <w:p w14:paraId="6A3F4B5B" w14:textId="47F7BBA5" w:rsidR="00686A4C" w:rsidRPr="007261BD" w:rsidRDefault="00686A4C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Preporuka je da se l</w:t>
      </w:r>
      <w:r w:rsidR="00787DE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ečenje sa Ra-223 ne započinje dok ne prođe najmanje 5 dana od posl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ednje prim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l</w:t>
      </w:r>
      <w:r w:rsidR="00787DE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eka </w:t>
      </w:r>
      <w:r w:rsidR="00D832D2" w:rsidRPr="007261BD">
        <w:rPr>
          <w:szCs w:val="22"/>
          <w:lang w:val="sr-Latn-RS"/>
        </w:rPr>
        <w:t>Enagal</w:t>
      </w:r>
      <w:r w:rsidRPr="007261BD">
        <w:rPr>
          <w:szCs w:val="22"/>
          <w:lang w:val="sr-Latn-RS"/>
        </w:rPr>
        <w:t xml:space="preserve"> u kombinaciji sa prednizonom/prednizolonom.</w:t>
      </w:r>
    </w:p>
    <w:p w14:paraId="1B116D2E" w14:textId="77777777" w:rsidR="00007EF9" w:rsidRPr="007261BD" w:rsidRDefault="00007EF9">
      <w:pPr>
        <w:rPr>
          <w:szCs w:val="22"/>
          <w:lang w:val="sr-Latn-RS"/>
        </w:rPr>
      </w:pPr>
    </w:p>
    <w:p w14:paraId="1B116D2F" w14:textId="3A91FDBC" w:rsidR="00007EF9" w:rsidRPr="007261BD" w:rsidRDefault="00007EF9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4.5. Interakcije sa drugim l</w:t>
      </w:r>
      <w:r w:rsidR="00787DE2" w:rsidRPr="007261BD">
        <w:rPr>
          <w:b/>
          <w:bCs/>
          <w:szCs w:val="22"/>
          <w:lang w:val="sr-Latn-RS"/>
        </w:rPr>
        <w:t>j</w:t>
      </w:r>
      <w:r w:rsidRPr="007261BD">
        <w:rPr>
          <w:b/>
          <w:bCs/>
          <w:szCs w:val="22"/>
          <w:lang w:val="sr-Latn-RS"/>
        </w:rPr>
        <w:t>ekovima i druge vrste interakcija</w:t>
      </w:r>
    </w:p>
    <w:p w14:paraId="0DBFE2DA" w14:textId="77777777" w:rsidR="00292662" w:rsidRPr="007261BD" w:rsidRDefault="00292662">
      <w:pPr>
        <w:rPr>
          <w:b/>
          <w:bCs/>
          <w:szCs w:val="22"/>
          <w:lang w:val="sr-Latn-RS"/>
        </w:rPr>
      </w:pPr>
    </w:p>
    <w:p w14:paraId="31A79033" w14:textId="099BC1A4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Uticaj hrane na abirateron</w:t>
      </w:r>
    </w:p>
    <w:p w14:paraId="1D006A7B" w14:textId="4A78968E" w:rsidR="007B530A" w:rsidRPr="007261BD" w:rsidRDefault="007B530A">
      <w:pPr>
        <w:rPr>
          <w:i/>
          <w:iCs/>
          <w:szCs w:val="22"/>
          <w:lang w:val="sr-Latn-RS"/>
        </w:rPr>
      </w:pPr>
      <w:r w:rsidRPr="007261BD">
        <w:rPr>
          <w:szCs w:val="22"/>
          <w:lang w:val="sr-Latn-RS"/>
        </w:rPr>
        <w:t>Prim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ena sa hranom značajno povećava resorpciju abirateron</w:t>
      </w:r>
      <w:r w:rsidR="00787DE2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acetata. Nisu utvrđene efikasnost i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bezb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ednost kada se uzima sa hranom, zato se ovaj l</w:t>
      </w:r>
      <w:r w:rsidR="00787DE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ek se ne sm</w:t>
      </w:r>
      <w:r w:rsidR="00787DE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uzimati sa hranom (vid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787DE2" w:rsidRPr="007261BD">
        <w:rPr>
          <w:szCs w:val="22"/>
          <w:lang w:val="sr-Latn-RS"/>
        </w:rPr>
        <w:t>djelove</w:t>
      </w:r>
      <w:r w:rsidRPr="007261BD">
        <w:rPr>
          <w:szCs w:val="22"/>
          <w:lang w:val="sr-Latn-RS"/>
        </w:rPr>
        <w:t xml:space="preserve"> 4.2</w:t>
      </w:r>
      <w:r w:rsidR="006A21EC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 5.2)</w:t>
      </w:r>
      <w:r w:rsidRPr="007261BD">
        <w:rPr>
          <w:i/>
          <w:iCs/>
          <w:szCs w:val="22"/>
          <w:lang w:val="sr-Latn-RS"/>
        </w:rPr>
        <w:t>.</w:t>
      </w:r>
    </w:p>
    <w:p w14:paraId="07106CB7" w14:textId="77777777" w:rsidR="00686A4C" w:rsidRPr="007261BD" w:rsidRDefault="00686A4C">
      <w:pPr>
        <w:rPr>
          <w:szCs w:val="22"/>
          <w:lang w:val="sr-Latn-RS"/>
        </w:rPr>
      </w:pPr>
    </w:p>
    <w:p w14:paraId="3401A9A1" w14:textId="0F34A067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Interakcije sa drugim l</w:t>
      </w:r>
      <w:r w:rsidR="00787DE2" w:rsidRPr="007261BD">
        <w:rPr>
          <w:szCs w:val="22"/>
          <w:u w:val="single"/>
          <w:lang w:val="sr-Latn-RS"/>
        </w:rPr>
        <w:t>j</w:t>
      </w:r>
      <w:r w:rsidRPr="007261BD">
        <w:rPr>
          <w:szCs w:val="22"/>
          <w:u w:val="single"/>
          <w:lang w:val="sr-Latn-RS"/>
        </w:rPr>
        <w:t>ekovima</w:t>
      </w:r>
    </w:p>
    <w:p w14:paraId="3ED56120" w14:textId="70FA4896" w:rsidR="007B530A" w:rsidRPr="007261BD" w:rsidRDefault="007B530A">
      <w:pPr>
        <w:rPr>
          <w:i/>
          <w:iCs/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>Mogući uticaj drugih l</w:t>
      </w:r>
      <w:r w:rsidR="00787DE2" w:rsidRPr="007261BD">
        <w:rPr>
          <w:i/>
          <w:iCs/>
          <w:szCs w:val="22"/>
          <w:lang w:val="sr-Latn-RS"/>
        </w:rPr>
        <w:t>j</w:t>
      </w:r>
      <w:r w:rsidRPr="007261BD">
        <w:rPr>
          <w:i/>
          <w:iCs/>
          <w:szCs w:val="22"/>
          <w:lang w:val="sr-Latn-RS"/>
        </w:rPr>
        <w:t>ekova na izloženost abirateronu</w:t>
      </w:r>
    </w:p>
    <w:p w14:paraId="14353D1C" w14:textId="28FBD2A2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kliničkoj studiji farmakokinetičkih interakcija, kod zdravih ispitanika koji su prethodno dobijali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snažan CYP3A4 induktor rifampicin, 600 mg u toku 6 dana, a zatim dobijali pojedinačnu dozu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abirateron</w:t>
      </w:r>
      <w:r w:rsidR="00787DE2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acetata od 1000 mg, srednja vr</w:t>
      </w:r>
      <w:r w:rsidR="00787DE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 PIK∞ abiraterona u plazmi je bila smanjena za 55%.</w:t>
      </w:r>
    </w:p>
    <w:p w14:paraId="09163150" w14:textId="77777777" w:rsidR="00F85109" w:rsidRPr="007261BD" w:rsidRDefault="00F85109">
      <w:pPr>
        <w:rPr>
          <w:szCs w:val="22"/>
          <w:lang w:val="sr-Latn-RS"/>
        </w:rPr>
      </w:pPr>
    </w:p>
    <w:p w14:paraId="2CB39B28" w14:textId="37606BD9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Snažne induktore CYP3A4 (npr. fenitoin, karbamazepin, rifampicin, rifabutin, rifapentin,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fenobarbital, kantarion (</w:t>
      </w:r>
      <w:r w:rsidRPr="007261BD">
        <w:rPr>
          <w:i/>
          <w:iCs/>
          <w:szCs w:val="22"/>
          <w:lang w:val="sr-Latn-RS"/>
        </w:rPr>
        <w:t>Hypericum perforatum</w:t>
      </w:r>
      <w:r w:rsidRPr="007261BD">
        <w:rPr>
          <w:szCs w:val="22"/>
          <w:lang w:val="sr-Latn-RS"/>
        </w:rPr>
        <w:t>)) treba izb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egavati tokom terapije, osim ukoliko ne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postoji terapijska alternativa.</w:t>
      </w:r>
    </w:p>
    <w:p w14:paraId="2FC4B4F6" w14:textId="77777777" w:rsidR="00F85109" w:rsidRPr="007261BD" w:rsidRDefault="00F85109">
      <w:pPr>
        <w:rPr>
          <w:szCs w:val="22"/>
          <w:lang w:val="sr-Latn-RS"/>
        </w:rPr>
      </w:pPr>
    </w:p>
    <w:p w14:paraId="351EEC1A" w14:textId="336E767F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odvojenoj kliničkoj studiji farmakokinetičkih interakcija kod zdravih ispitanika, istovremena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prim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ena sa ketokonazolom, snažnim inhibitorom CYP3A4, nije imala klinički značajan efekat na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farmakokinetiku abiraterona.</w:t>
      </w:r>
    </w:p>
    <w:p w14:paraId="08091927" w14:textId="77777777" w:rsidR="005E5B8F" w:rsidRPr="007261BD" w:rsidRDefault="005E5B8F">
      <w:pPr>
        <w:rPr>
          <w:i/>
          <w:iCs/>
          <w:szCs w:val="22"/>
          <w:lang w:val="sr-Latn-RS"/>
        </w:rPr>
      </w:pPr>
    </w:p>
    <w:p w14:paraId="7E5483EF" w14:textId="285F1E81" w:rsidR="007B530A" w:rsidRPr="007261BD" w:rsidRDefault="007B530A">
      <w:pPr>
        <w:rPr>
          <w:i/>
          <w:iCs/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>Mogući uticaj</w:t>
      </w:r>
      <w:r w:rsidR="005E5B8F" w:rsidRPr="007261BD">
        <w:rPr>
          <w:i/>
          <w:iCs/>
          <w:szCs w:val="22"/>
          <w:lang w:val="sr-Latn-RS"/>
        </w:rPr>
        <w:t xml:space="preserve"> ab</w:t>
      </w:r>
      <w:r w:rsidR="00F85109" w:rsidRPr="007261BD">
        <w:rPr>
          <w:i/>
          <w:iCs/>
          <w:szCs w:val="22"/>
          <w:lang w:val="sr-Latn-RS"/>
        </w:rPr>
        <w:t>i</w:t>
      </w:r>
      <w:r w:rsidR="005E5B8F" w:rsidRPr="007261BD">
        <w:rPr>
          <w:i/>
          <w:iCs/>
          <w:szCs w:val="22"/>
          <w:lang w:val="sr-Latn-RS"/>
        </w:rPr>
        <w:t>raterona</w:t>
      </w:r>
      <w:r w:rsidRPr="007261BD">
        <w:rPr>
          <w:i/>
          <w:iCs/>
          <w:szCs w:val="22"/>
          <w:lang w:val="sr-Latn-RS"/>
        </w:rPr>
        <w:t xml:space="preserve"> na izloženost drugim l</w:t>
      </w:r>
      <w:r w:rsidR="00787DE2" w:rsidRPr="007261BD">
        <w:rPr>
          <w:i/>
          <w:iCs/>
          <w:szCs w:val="22"/>
          <w:lang w:val="sr-Latn-RS"/>
        </w:rPr>
        <w:t>j</w:t>
      </w:r>
      <w:r w:rsidRPr="007261BD">
        <w:rPr>
          <w:i/>
          <w:iCs/>
          <w:szCs w:val="22"/>
          <w:lang w:val="sr-Latn-RS"/>
        </w:rPr>
        <w:t>ekovima</w:t>
      </w:r>
    </w:p>
    <w:p w14:paraId="0B567242" w14:textId="5F7C7620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Abirateron je inhibitor hepatičkih enzima CYP2D6 i CYP2C8 koji metabolišu l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ekove.</w:t>
      </w:r>
    </w:p>
    <w:p w14:paraId="5B3BB45C" w14:textId="418EE0E6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studiji u kojoj je trebalo utvrditi dejstvo abirateron-acetata (uz prednizon) na pojedinačnu dozu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CYP2D6 supstrata dekstrometorfana, sistemska izloženost (PIK) dekstrometorfanu povećana je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približno 2,9 puta. PIK</w:t>
      </w:r>
      <w:r w:rsidRPr="007261BD">
        <w:rPr>
          <w:szCs w:val="22"/>
          <w:vertAlign w:val="subscript"/>
          <w:lang w:val="sr-Latn-RS"/>
        </w:rPr>
        <w:t>24</w:t>
      </w:r>
      <w:r w:rsidRPr="007261BD">
        <w:rPr>
          <w:szCs w:val="22"/>
          <w:lang w:val="sr-Latn-RS"/>
        </w:rPr>
        <w:t xml:space="preserve"> za dekstrorfan, aktivni metabolit dekstrometorfana, povećana je za oko 33%.</w:t>
      </w:r>
    </w:p>
    <w:p w14:paraId="18AD37E7" w14:textId="77777777" w:rsidR="005E5B8F" w:rsidRPr="007261BD" w:rsidRDefault="005E5B8F">
      <w:pPr>
        <w:rPr>
          <w:szCs w:val="22"/>
          <w:lang w:val="sr-Latn-RS"/>
        </w:rPr>
      </w:pPr>
    </w:p>
    <w:p w14:paraId="7C8141E2" w14:textId="77248D6B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Sav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etuje se oprez kada se abirateron</w:t>
      </w:r>
      <w:r w:rsidR="00787DE2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 prim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enjuje sa l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ekovima koji se aktiviraju ili metabolišu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putem CYP2D6, posebno sa l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ekovima koji imaju uzan terapijski indeks. Treba razmotriti smanjenje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doze l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ekova koji imaju uzan terapijski indeks i koji se metabolišu putem CYP2D6. Prim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eri l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ekova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koji se metabolišu putem CYP2D6 su metoprolol, propranolol, desipramin, venlafaksin, haloperidol,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risperidon, propafenon, </w:t>
      </w:r>
      <w:r w:rsidRPr="007261BD">
        <w:rPr>
          <w:szCs w:val="22"/>
          <w:lang w:val="sr-Latn-RS"/>
        </w:rPr>
        <w:lastRenderedPageBreak/>
        <w:t>flekainid, kodein, oksikodon i tramadol (posl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ednja tri l</w:t>
      </w:r>
      <w:r w:rsidR="00787DE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eka iziskuju CYP2D6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za formiranje njihovih aktivnih metabolita koji imaju analgetičko dejstvo).</w:t>
      </w:r>
    </w:p>
    <w:p w14:paraId="4C692ACD" w14:textId="77777777" w:rsidR="005E5B8F" w:rsidRPr="007261BD" w:rsidRDefault="005E5B8F">
      <w:pPr>
        <w:rPr>
          <w:szCs w:val="22"/>
          <w:lang w:val="sr-Latn-RS"/>
        </w:rPr>
      </w:pPr>
    </w:p>
    <w:p w14:paraId="1B116D30" w14:textId="31284FB2" w:rsidR="00007EF9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ispitivanju interakcija l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ekova koji se metabolišu putem CYP2C8, kod zdravih ispitanika, vr</w:t>
      </w:r>
      <w:r w:rsidR="00787DE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PIK pioglitazona je bila povećana za 46% i vr</w:t>
      </w:r>
      <w:r w:rsidR="00787DE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PIK za M-III i M-IV, aktivne metabolite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pioglitazona, bile su smanjene za 10% za svaki, kada se pioglitazon davao zajedno sa pojedinačnom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dozom od 1000 mg abirateron</w:t>
      </w:r>
      <w:r w:rsidR="00787DE2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acetata. </w:t>
      </w:r>
      <w:r w:rsidR="00FB6950" w:rsidRPr="007261BD">
        <w:rPr>
          <w:szCs w:val="22"/>
          <w:lang w:val="sr-Latn-RS"/>
        </w:rPr>
        <w:t>P</w:t>
      </w:r>
      <w:r w:rsidRPr="007261BD">
        <w:rPr>
          <w:szCs w:val="22"/>
          <w:lang w:val="sr-Latn-RS"/>
        </w:rPr>
        <w:t xml:space="preserve">acijente treba pažljivo pratiti za znake toksičnosti povezane sa </w:t>
      </w:r>
      <w:bookmarkStart w:id="0" w:name="_Hlk148951758"/>
      <w:r w:rsidRPr="007261BD">
        <w:rPr>
          <w:szCs w:val="22"/>
          <w:lang w:val="sr-Latn-RS"/>
        </w:rPr>
        <w:t>CYP2C8</w:t>
      </w:r>
      <w:bookmarkEnd w:id="0"/>
      <w:r w:rsidRPr="007261BD">
        <w:rPr>
          <w:szCs w:val="22"/>
          <w:lang w:val="sr-Latn-RS"/>
        </w:rPr>
        <w:t xml:space="preserve"> supstratom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sa uskim terapijskim indeksom, ako se prim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enjuju istovremeno.</w:t>
      </w:r>
      <w:r w:rsidR="00FB6950" w:rsidRPr="007261BD">
        <w:rPr>
          <w:szCs w:val="22"/>
          <w:lang w:val="sr-Latn-RS"/>
        </w:rPr>
        <w:t xml:space="preserve"> Primjeri ljekova koji se metabolišu putem CYP2C8 uključuju pioglitazon i repaglinid (vidjeti dio 4.4)</w:t>
      </w:r>
    </w:p>
    <w:p w14:paraId="4E3178BC" w14:textId="5AF19E96" w:rsidR="007B530A" w:rsidRPr="007261BD" w:rsidRDefault="007B530A">
      <w:pPr>
        <w:rPr>
          <w:szCs w:val="22"/>
          <w:lang w:val="sr-Latn-RS"/>
        </w:rPr>
      </w:pPr>
    </w:p>
    <w:p w14:paraId="7C6ED18F" w14:textId="769ED166" w:rsidR="007B530A" w:rsidRPr="007261BD" w:rsidRDefault="007B530A">
      <w:pPr>
        <w:rPr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>In vitro</w:t>
      </w:r>
      <w:r w:rsidRPr="007261BD">
        <w:rPr>
          <w:szCs w:val="22"/>
          <w:lang w:val="sr-Latn-RS"/>
        </w:rPr>
        <w:t>, glavni metaboliti abirateron</w:t>
      </w:r>
      <w:r w:rsidR="00AA62DA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sulfat i N-oksid abirateron</w:t>
      </w:r>
      <w:r w:rsidR="00AA62DA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sulfat, pokazali su da inhibiraju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hepatičko preuzimanje transporterom OATP1B1 i za posl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edicu, mogu da povećaju koncentraciju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l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ekova koji se eliminišu putem OATP1B1. Nema dostupnih kliničkih podataka koji bi potvrdili ovu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interakciju zasnovanu na transporteru.</w:t>
      </w:r>
    </w:p>
    <w:p w14:paraId="6C4C1A4A" w14:textId="77777777" w:rsidR="005E5B8F" w:rsidRPr="007261BD" w:rsidRDefault="005E5B8F">
      <w:pPr>
        <w:rPr>
          <w:i/>
          <w:iCs/>
          <w:szCs w:val="22"/>
          <w:lang w:val="sr-Latn-RS"/>
        </w:rPr>
      </w:pPr>
    </w:p>
    <w:p w14:paraId="426A608C" w14:textId="7AB43F5C" w:rsidR="007B530A" w:rsidRPr="007261BD" w:rsidRDefault="007B530A">
      <w:pPr>
        <w:rPr>
          <w:i/>
          <w:iCs/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>Prim</w:t>
      </w:r>
      <w:r w:rsidR="00787DE2" w:rsidRPr="007261BD">
        <w:rPr>
          <w:i/>
          <w:iCs/>
          <w:szCs w:val="22"/>
          <w:lang w:val="sr-Latn-RS"/>
        </w:rPr>
        <w:t>j</w:t>
      </w:r>
      <w:r w:rsidRPr="007261BD">
        <w:rPr>
          <w:i/>
          <w:iCs/>
          <w:szCs w:val="22"/>
          <w:lang w:val="sr-Latn-RS"/>
        </w:rPr>
        <w:t>ena sa l</w:t>
      </w:r>
      <w:r w:rsidR="00787DE2" w:rsidRPr="007261BD">
        <w:rPr>
          <w:i/>
          <w:iCs/>
          <w:szCs w:val="22"/>
          <w:lang w:val="sr-Latn-RS"/>
        </w:rPr>
        <w:t>j</w:t>
      </w:r>
      <w:r w:rsidRPr="007261BD">
        <w:rPr>
          <w:i/>
          <w:iCs/>
          <w:szCs w:val="22"/>
          <w:lang w:val="sr-Latn-RS"/>
        </w:rPr>
        <w:t>ekovima koji produžavaju QT interval</w:t>
      </w:r>
    </w:p>
    <w:p w14:paraId="33A8A4BE" w14:textId="45D41A62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Zbog toga što androgen deprivaciona terapija može da produži QT interval, sav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etuje se oprez kada se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l</w:t>
      </w:r>
      <w:r w:rsidR="00787DE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</w:t>
      </w:r>
      <w:r w:rsidR="00D832D2" w:rsidRPr="007261BD">
        <w:rPr>
          <w:szCs w:val="22"/>
          <w:lang w:val="sr-Latn-RS"/>
        </w:rPr>
        <w:t>E</w:t>
      </w:r>
      <w:r w:rsidR="00BC24C2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prim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enjuje sa l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ekovima za koje se zna da produžavaju QT interval ili sa l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ekovima koji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mogu da indukuju </w:t>
      </w:r>
      <w:r w:rsidRPr="007261BD">
        <w:rPr>
          <w:i/>
          <w:iCs/>
          <w:szCs w:val="22"/>
          <w:lang w:val="sr-Latn-RS"/>
        </w:rPr>
        <w:t xml:space="preserve">torsades de pointes </w:t>
      </w:r>
      <w:r w:rsidRPr="007261BD">
        <w:rPr>
          <w:szCs w:val="22"/>
          <w:lang w:val="sr-Latn-RS"/>
        </w:rPr>
        <w:t>kao što su klasa IA antiaritmika (npr. hinidin, dizopiramid) ili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klasa III antiaritmika (npr. amjodaron, sotalol, dofetilid, ibutilid), metadon, moksifloksacin,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antipsihotici, itd.</w:t>
      </w:r>
    </w:p>
    <w:p w14:paraId="2160F76F" w14:textId="77777777" w:rsidR="005E5B8F" w:rsidRPr="007261BD" w:rsidRDefault="005E5B8F">
      <w:pPr>
        <w:rPr>
          <w:i/>
          <w:iCs/>
          <w:szCs w:val="22"/>
          <w:lang w:val="sr-Latn-RS"/>
        </w:rPr>
      </w:pPr>
    </w:p>
    <w:p w14:paraId="67C4ED14" w14:textId="5DF0E9C2" w:rsidR="007B530A" w:rsidRPr="007261BD" w:rsidRDefault="007B530A">
      <w:pPr>
        <w:rPr>
          <w:i/>
          <w:iCs/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>Prim</w:t>
      </w:r>
      <w:r w:rsidR="00787DE2" w:rsidRPr="007261BD">
        <w:rPr>
          <w:i/>
          <w:iCs/>
          <w:szCs w:val="22"/>
          <w:lang w:val="sr-Latn-RS"/>
        </w:rPr>
        <w:t>j</w:t>
      </w:r>
      <w:r w:rsidRPr="007261BD">
        <w:rPr>
          <w:i/>
          <w:iCs/>
          <w:szCs w:val="22"/>
          <w:lang w:val="sr-Latn-RS"/>
        </w:rPr>
        <w:t>ena sa spironolaktonom</w:t>
      </w:r>
    </w:p>
    <w:p w14:paraId="025DB59D" w14:textId="5DD025AD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Spironolakton se vezuje za androgene receptore i može da poveća vr</w:t>
      </w:r>
      <w:r w:rsidR="00787DE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prostata specifičnog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antigena (PSA). Prim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ena sa l</w:t>
      </w:r>
      <w:r w:rsidR="00787DE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ekom </w:t>
      </w:r>
      <w:r w:rsidR="00D832D2" w:rsidRPr="007261BD">
        <w:rPr>
          <w:szCs w:val="22"/>
          <w:lang w:val="sr-Latn-RS"/>
        </w:rPr>
        <w:t>E</w:t>
      </w:r>
      <w:r w:rsidR="00BC24C2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se ne preporučuje (vid</w:t>
      </w:r>
      <w:r w:rsidR="00787DE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787DE2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5.1).</w:t>
      </w:r>
    </w:p>
    <w:p w14:paraId="1B116D31" w14:textId="77777777" w:rsidR="00007EF9" w:rsidRPr="007261BD" w:rsidRDefault="00007EF9">
      <w:pPr>
        <w:rPr>
          <w:szCs w:val="22"/>
          <w:lang w:val="sr-Latn-RS"/>
        </w:rPr>
      </w:pPr>
    </w:p>
    <w:p w14:paraId="1B116D32" w14:textId="156E7899" w:rsidR="00007EF9" w:rsidRPr="007261BD" w:rsidRDefault="00007EF9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4.6. Plodnost, trudnoća i dojenje</w:t>
      </w:r>
    </w:p>
    <w:p w14:paraId="4A155049" w14:textId="77777777" w:rsidR="00292662" w:rsidRPr="007261BD" w:rsidRDefault="00292662">
      <w:pPr>
        <w:rPr>
          <w:b/>
          <w:bCs/>
          <w:szCs w:val="22"/>
          <w:lang w:val="sr-Latn-RS"/>
        </w:rPr>
      </w:pPr>
    </w:p>
    <w:p w14:paraId="69DD16C7" w14:textId="77777777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Žene u reproduktivnom periodu</w:t>
      </w:r>
    </w:p>
    <w:p w14:paraId="14A62CAF" w14:textId="43438A3F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Nema podataka o prim</w:t>
      </w:r>
      <w:r w:rsidR="004B3DC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eni l</w:t>
      </w:r>
      <w:r w:rsidR="004B3DC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eka </w:t>
      </w:r>
      <w:r w:rsidR="00D832D2" w:rsidRPr="007261BD">
        <w:rPr>
          <w:szCs w:val="22"/>
          <w:lang w:val="sr-Latn-RS"/>
        </w:rPr>
        <w:t>E</w:t>
      </w:r>
      <w:r w:rsidR="00BC24C2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tokom trudnoće kod žena, budući da ovaj l</w:t>
      </w:r>
      <w:r w:rsidR="004B3DC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ek uopšte nije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nam</w:t>
      </w:r>
      <w:r w:rsidR="004B3DC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enjen za prim</w:t>
      </w:r>
      <w:r w:rsidR="004B3DC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enu kod žena u reproduktivnom periodu.</w:t>
      </w:r>
    </w:p>
    <w:p w14:paraId="65FC627A" w14:textId="77777777" w:rsidR="005E5B8F" w:rsidRPr="007261BD" w:rsidRDefault="005E5B8F">
      <w:pPr>
        <w:rPr>
          <w:szCs w:val="22"/>
          <w:lang w:val="sr-Latn-RS"/>
        </w:rPr>
      </w:pPr>
    </w:p>
    <w:p w14:paraId="460CF197" w14:textId="20011E84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Kontracepcija muškaraca i žena</w:t>
      </w:r>
    </w:p>
    <w:p w14:paraId="5665953F" w14:textId="7D72C443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Nije poznato da li su abirateron ili njegovi metaboliti prisutni u spermi. Potrebno je da pacijenti koji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su seksualno aktivni koriste kondom ako im je partnerka trudna. Ako pacijent ima seksualne odnose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sa ženom u reproduktivnom periodu, potrebno je da koristi kondom uz još neko efektivno sredstvo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kontracepcije. Studije na životinjama su pokazale reproduktivnu toksičnost (vid</w:t>
      </w:r>
      <w:r w:rsidR="004B3DC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4B3DC2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5.3).</w:t>
      </w:r>
    </w:p>
    <w:p w14:paraId="1BD70CB6" w14:textId="77777777" w:rsidR="005E5B8F" w:rsidRPr="007261BD" w:rsidRDefault="005E5B8F">
      <w:pPr>
        <w:rPr>
          <w:szCs w:val="22"/>
          <w:lang w:val="sr-Latn-RS"/>
        </w:rPr>
      </w:pPr>
    </w:p>
    <w:p w14:paraId="121B776B" w14:textId="1E5AC8D3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Trudnoća</w:t>
      </w:r>
    </w:p>
    <w:p w14:paraId="0092FADC" w14:textId="71068D0B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L</w:t>
      </w:r>
      <w:r w:rsidR="004B3DC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</w:t>
      </w:r>
      <w:r w:rsidR="00D832D2" w:rsidRPr="007261BD">
        <w:rPr>
          <w:szCs w:val="22"/>
          <w:lang w:val="sr-Latn-RS"/>
        </w:rPr>
        <w:t>E</w:t>
      </w:r>
      <w:r w:rsidR="00BC24C2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nije nam</w:t>
      </w:r>
      <w:r w:rsidR="004B3DC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enjen za prim</w:t>
      </w:r>
      <w:r w:rsidR="004B3DC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enu kod žena i kontraindikovan je kod žena koje su trudne ili bi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mogle biti trudne (vid</w:t>
      </w:r>
      <w:r w:rsidR="004B3DC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4B3DC2" w:rsidRPr="007261BD">
        <w:rPr>
          <w:szCs w:val="22"/>
          <w:lang w:val="sr-Latn-RS"/>
        </w:rPr>
        <w:t>djelove</w:t>
      </w:r>
      <w:r w:rsidRPr="007261BD">
        <w:rPr>
          <w:szCs w:val="22"/>
          <w:lang w:val="sr-Latn-RS"/>
        </w:rPr>
        <w:t xml:space="preserve"> 4.3 i 5.3).</w:t>
      </w:r>
    </w:p>
    <w:p w14:paraId="001EE2AC" w14:textId="77777777" w:rsidR="005E5B8F" w:rsidRPr="007261BD" w:rsidRDefault="005E5B8F">
      <w:pPr>
        <w:rPr>
          <w:szCs w:val="22"/>
          <w:lang w:val="sr-Latn-RS"/>
        </w:rPr>
      </w:pPr>
    </w:p>
    <w:p w14:paraId="21AE85DE" w14:textId="240F7597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Dojenje</w:t>
      </w:r>
    </w:p>
    <w:p w14:paraId="3F52551D" w14:textId="4B1A4481" w:rsidR="007B530A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L</w:t>
      </w:r>
      <w:r w:rsidR="004B3DC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</w:t>
      </w:r>
      <w:r w:rsidR="00D832D2" w:rsidRPr="007261BD">
        <w:rPr>
          <w:szCs w:val="22"/>
          <w:lang w:val="sr-Latn-RS"/>
        </w:rPr>
        <w:t>E</w:t>
      </w:r>
      <w:r w:rsidR="00BC24C2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nije nam</w:t>
      </w:r>
      <w:r w:rsidR="004B3DC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enjen za prim</w:t>
      </w:r>
      <w:r w:rsidR="004B3DC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enu kod žena.</w:t>
      </w:r>
    </w:p>
    <w:p w14:paraId="31EA6E27" w14:textId="77777777" w:rsidR="005E5B8F" w:rsidRPr="007261BD" w:rsidRDefault="005E5B8F">
      <w:pPr>
        <w:rPr>
          <w:szCs w:val="22"/>
          <w:lang w:val="sr-Latn-RS"/>
        </w:rPr>
      </w:pPr>
    </w:p>
    <w:p w14:paraId="5498191B" w14:textId="3BEA9888" w:rsidR="007B530A" w:rsidRPr="007261BD" w:rsidRDefault="007B530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Plodnost</w:t>
      </w:r>
    </w:p>
    <w:p w14:paraId="1B116D33" w14:textId="60ACCF5B" w:rsidR="00007EF9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Abirateron utiče na plodnost mužjaka i ženki pacova, ali su ovi efekti potpuno reverzibilni (vid</w:t>
      </w:r>
      <w:r w:rsidR="004B3DC2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eti</w:t>
      </w:r>
      <w:r w:rsidR="009C3119" w:rsidRPr="007261BD">
        <w:rPr>
          <w:szCs w:val="22"/>
          <w:lang w:val="sr-Latn-RS"/>
        </w:rPr>
        <w:t xml:space="preserve"> </w:t>
      </w:r>
      <w:r w:rsidR="004B3DC2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5.3).</w:t>
      </w:r>
    </w:p>
    <w:p w14:paraId="1B116D34" w14:textId="77777777" w:rsidR="00007EF9" w:rsidRPr="007261BD" w:rsidRDefault="00007EF9">
      <w:pPr>
        <w:rPr>
          <w:szCs w:val="22"/>
          <w:lang w:val="sr-Latn-RS"/>
        </w:rPr>
      </w:pPr>
    </w:p>
    <w:p w14:paraId="1B116D35" w14:textId="79C611EE" w:rsidR="00007EF9" w:rsidRPr="007261BD" w:rsidRDefault="00007EF9">
      <w:pPr>
        <w:rPr>
          <w:b/>
          <w:bCs/>
          <w:spacing w:val="-8"/>
          <w:szCs w:val="22"/>
          <w:lang w:val="sr-Latn-RS"/>
        </w:rPr>
      </w:pPr>
      <w:r w:rsidRPr="007261BD">
        <w:rPr>
          <w:b/>
          <w:bCs/>
          <w:spacing w:val="-8"/>
          <w:szCs w:val="22"/>
          <w:lang w:val="sr-Latn-RS"/>
        </w:rPr>
        <w:t>4.7. Uticaj l</w:t>
      </w:r>
      <w:r w:rsidR="004B3DC2" w:rsidRPr="007261BD">
        <w:rPr>
          <w:b/>
          <w:bCs/>
          <w:spacing w:val="-8"/>
          <w:szCs w:val="22"/>
          <w:lang w:val="sr-Latn-RS"/>
        </w:rPr>
        <w:t>ij</w:t>
      </w:r>
      <w:r w:rsidRPr="007261BD">
        <w:rPr>
          <w:b/>
          <w:bCs/>
          <w:spacing w:val="-8"/>
          <w:szCs w:val="22"/>
          <w:lang w:val="sr-Latn-RS"/>
        </w:rPr>
        <w:t>eka na sposobnost upravljanja vozilima i rukovanja mašinama</w:t>
      </w:r>
    </w:p>
    <w:p w14:paraId="3EAABF3D" w14:textId="77777777" w:rsidR="008C6E9C" w:rsidRPr="007261BD" w:rsidRDefault="008C6E9C">
      <w:pPr>
        <w:rPr>
          <w:b/>
          <w:bCs/>
          <w:spacing w:val="-8"/>
          <w:szCs w:val="22"/>
          <w:lang w:val="sr-Latn-RS"/>
        </w:rPr>
      </w:pPr>
    </w:p>
    <w:p w14:paraId="1B116D36" w14:textId="33F51B30" w:rsidR="00007EF9" w:rsidRPr="007261BD" w:rsidRDefault="007B530A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L</w:t>
      </w:r>
      <w:r w:rsidR="004B3DC2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</w:t>
      </w:r>
      <w:r w:rsidR="00D832D2" w:rsidRPr="007261BD">
        <w:rPr>
          <w:szCs w:val="22"/>
          <w:lang w:val="sr-Latn-RS"/>
        </w:rPr>
        <w:t>E</w:t>
      </w:r>
      <w:r w:rsidR="00BC24C2" w:rsidRPr="007261BD">
        <w:rPr>
          <w:szCs w:val="22"/>
          <w:lang w:val="sr-Latn-RS"/>
        </w:rPr>
        <w:t>nagal</w:t>
      </w:r>
      <w:r w:rsidRPr="007261BD">
        <w:rPr>
          <w:szCs w:val="22"/>
          <w:lang w:val="sr-Latn-RS"/>
        </w:rPr>
        <w:t xml:space="preserve"> nema ili ima zanemarljiv uticaj na sposobnost upravljanja vozilima i rukovanja</w:t>
      </w:r>
      <w:r w:rsidR="005E5B8F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mašinama.</w:t>
      </w:r>
    </w:p>
    <w:p w14:paraId="1B116D37" w14:textId="77777777" w:rsidR="00007EF9" w:rsidRPr="007261BD" w:rsidRDefault="00007EF9">
      <w:pPr>
        <w:rPr>
          <w:szCs w:val="22"/>
          <w:lang w:val="sr-Latn-RS"/>
        </w:rPr>
      </w:pPr>
    </w:p>
    <w:p w14:paraId="1B116D38" w14:textId="77777777" w:rsidR="00007EF9" w:rsidRPr="007261BD" w:rsidRDefault="00007EF9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4.8. Neželjena dejstva</w:t>
      </w:r>
    </w:p>
    <w:p w14:paraId="1B116D39" w14:textId="4FEF50AB" w:rsidR="00007EF9" w:rsidRPr="007261BD" w:rsidRDefault="00007EF9">
      <w:pPr>
        <w:rPr>
          <w:noProof/>
          <w:szCs w:val="22"/>
          <w:lang w:val="sr-Latn-RS"/>
        </w:rPr>
      </w:pPr>
    </w:p>
    <w:p w14:paraId="796C50D9" w14:textId="5D20C23A" w:rsidR="007B530A" w:rsidRPr="007261BD" w:rsidRDefault="007B530A">
      <w:pPr>
        <w:rPr>
          <w:noProof/>
          <w:szCs w:val="22"/>
          <w:u w:val="single"/>
          <w:lang w:val="sr-Latn-RS"/>
        </w:rPr>
      </w:pPr>
      <w:r w:rsidRPr="007261BD">
        <w:rPr>
          <w:noProof/>
          <w:szCs w:val="22"/>
          <w:u w:val="single"/>
          <w:lang w:val="sr-Latn-RS"/>
        </w:rPr>
        <w:t>Sažetak bezb</w:t>
      </w:r>
      <w:r w:rsidR="004B3DC2" w:rsidRPr="007261BD">
        <w:rPr>
          <w:noProof/>
          <w:szCs w:val="22"/>
          <w:u w:val="single"/>
          <w:lang w:val="sr-Latn-RS"/>
        </w:rPr>
        <w:t>j</w:t>
      </w:r>
      <w:r w:rsidRPr="007261BD">
        <w:rPr>
          <w:noProof/>
          <w:szCs w:val="22"/>
          <w:u w:val="single"/>
          <w:lang w:val="sr-Latn-RS"/>
        </w:rPr>
        <w:t>ednosnog profila</w:t>
      </w:r>
    </w:p>
    <w:p w14:paraId="2D97BA17" w14:textId="4C92DB2C" w:rsidR="007B530A" w:rsidRPr="007261BD" w:rsidRDefault="007B530A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lastRenderedPageBreak/>
        <w:t xml:space="preserve">U analizi neželjenih </w:t>
      </w:r>
      <w:r w:rsidR="00C1569C" w:rsidRPr="007261BD">
        <w:rPr>
          <w:noProof/>
          <w:szCs w:val="22"/>
          <w:lang w:val="sr-Latn-RS"/>
        </w:rPr>
        <w:t>dejstava</w:t>
      </w:r>
      <w:r w:rsidR="00E11CFD" w:rsidRPr="007261BD">
        <w:rPr>
          <w:noProof/>
          <w:szCs w:val="22"/>
          <w:lang w:val="sr-Latn-RS"/>
        </w:rPr>
        <w:t xml:space="preserve"> u</w:t>
      </w:r>
      <w:r w:rsidR="00C1569C" w:rsidRPr="007261BD">
        <w:rPr>
          <w:noProof/>
          <w:szCs w:val="22"/>
          <w:lang w:val="sr-Latn-RS"/>
        </w:rPr>
        <w:t xml:space="preserve"> </w:t>
      </w:r>
      <w:r w:rsidR="00E11CFD" w:rsidRPr="007261BD">
        <w:rPr>
          <w:noProof/>
          <w:szCs w:val="22"/>
          <w:lang w:val="sr-Latn-RS"/>
        </w:rPr>
        <w:t xml:space="preserve">kliničkim </w:t>
      </w:r>
      <w:r w:rsidRPr="007261BD">
        <w:rPr>
          <w:noProof/>
          <w:szCs w:val="22"/>
          <w:lang w:val="sr-Latn-RS"/>
        </w:rPr>
        <w:t>studija</w:t>
      </w:r>
      <w:r w:rsidR="00E11CFD" w:rsidRPr="007261BD">
        <w:rPr>
          <w:noProof/>
          <w:szCs w:val="22"/>
          <w:lang w:val="sr-Latn-RS"/>
        </w:rPr>
        <w:t>ma</w:t>
      </w:r>
      <w:r w:rsidRPr="007261BD">
        <w:rPr>
          <w:noProof/>
          <w:szCs w:val="22"/>
          <w:lang w:val="sr-Latn-RS"/>
        </w:rPr>
        <w:t xml:space="preserve"> faze 3 sa l</w:t>
      </w:r>
      <w:r w:rsidR="004B3DC2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 xml:space="preserve">ekom </w:t>
      </w:r>
      <w:r w:rsidR="00D832D2" w:rsidRPr="007261BD">
        <w:rPr>
          <w:noProof/>
          <w:szCs w:val="22"/>
          <w:lang w:val="sr-Latn-RS"/>
        </w:rPr>
        <w:t>E</w:t>
      </w:r>
      <w:r w:rsidR="00BC24C2" w:rsidRPr="007261BD">
        <w:rPr>
          <w:noProof/>
          <w:szCs w:val="22"/>
          <w:lang w:val="sr-Latn-RS"/>
        </w:rPr>
        <w:t>nagal</w:t>
      </w:r>
      <w:r w:rsidRPr="007261BD">
        <w:rPr>
          <w:noProof/>
          <w:szCs w:val="22"/>
          <w:lang w:val="sr-Latn-RS"/>
        </w:rPr>
        <w:t xml:space="preserve">, </w:t>
      </w:r>
      <w:r w:rsidR="00C1569C" w:rsidRPr="007261BD">
        <w:rPr>
          <w:noProof/>
          <w:szCs w:val="22"/>
          <w:lang w:val="sr-Latn-RS"/>
        </w:rPr>
        <w:t xml:space="preserve">neželjena dejstava </w:t>
      </w:r>
      <w:r w:rsidRPr="007261BD">
        <w:rPr>
          <w:noProof/>
          <w:szCs w:val="22"/>
          <w:lang w:val="sr-Latn-RS"/>
        </w:rPr>
        <w:t xml:space="preserve">koje su </w:t>
      </w:r>
      <w:r w:rsidR="0003411A" w:rsidRPr="007261BD">
        <w:rPr>
          <w:noProof/>
          <w:szCs w:val="22"/>
          <w:lang w:val="sr-Latn-RS"/>
        </w:rPr>
        <w:t xml:space="preserve">bila zabilježena </w:t>
      </w:r>
      <w:r w:rsidRPr="007261BD">
        <w:rPr>
          <w:noProof/>
          <w:szCs w:val="22"/>
          <w:lang w:val="sr-Latn-RS"/>
        </w:rPr>
        <w:t xml:space="preserve">kod ≥10% pacijenata </w:t>
      </w:r>
      <w:r w:rsidR="0003411A" w:rsidRPr="007261BD">
        <w:rPr>
          <w:noProof/>
          <w:szCs w:val="22"/>
          <w:lang w:val="sr-Latn-RS"/>
        </w:rPr>
        <w:t xml:space="preserve">bila </w:t>
      </w:r>
      <w:r w:rsidRPr="007261BD">
        <w:rPr>
          <w:noProof/>
          <w:szCs w:val="22"/>
          <w:lang w:val="sr-Latn-RS"/>
        </w:rPr>
        <w:t>su periferni edemi, hipokal</w:t>
      </w:r>
      <w:r w:rsidR="00A631DE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emija,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hipertenzija, infekcija urinarnog trakta i povećanje vr</w:t>
      </w:r>
      <w:r w:rsidR="004B3DC2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alanin aminotransferaze i/ili povećanje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vr</w:t>
      </w:r>
      <w:r w:rsidR="004B3DC2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aspartat aminotransferaze.</w:t>
      </w:r>
    </w:p>
    <w:p w14:paraId="2AF68218" w14:textId="285BC6B1" w:rsidR="007B530A" w:rsidRPr="007261BD" w:rsidRDefault="0003411A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 xml:space="preserve">Druga važna neželjena dejstva </w:t>
      </w:r>
      <w:r w:rsidR="007B530A" w:rsidRPr="007261BD">
        <w:rPr>
          <w:noProof/>
          <w:szCs w:val="22"/>
          <w:lang w:val="sr-Latn-RS"/>
        </w:rPr>
        <w:t>uključuju srčane poremećaje, hepatotoksičnost, frakture i alergijski</w:t>
      </w:r>
      <w:r w:rsidR="009C3119" w:rsidRPr="007261BD">
        <w:rPr>
          <w:noProof/>
          <w:szCs w:val="22"/>
          <w:lang w:val="sr-Latn-RS"/>
        </w:rPr>
        <w:t xml:space="preserve"> </w:t>
      </w:r>
      <w:r w:rsidR="007B530A" w:rsidRPr="007261BD">
        <w:rPr>
          <w:noProof/>
          <w:szCs w:val="22"/>
          <w:lang w:val="sr-Latn-RS"/>
        </w:rPr>
        <w:t>alveolitis.</w:t>
      </w:r>
    </w:p>
    <w:p w14:paraId="16EA0E81" w14:textId="2C3B381E" w:rsidR="007B530A" w:rsidRPr="007261BD" w:rsidRDefault="007B530A">
      <w:pPr>
        <w:rPr>
          <w:noProof/>
          <w:szCs w:val="22"/>
          <w:lang w:val="sr-Latn-RS"/>
        </w:rPr>
      </w:pPr>
    </w:p>
    <w:p w14:paraId="563F5645" w14:textId="696F3BB5" w:rsidR="007B530A" w:rsidRPr="007261BD" w:rsidRDefault="007B530A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>L</w:t>
      </w:r>
      <w:r w:rsidR="004B3DC2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 xml:space="preserve">ek </w:t>
      </w:r>
      <w:r w:rsidR="00D832D2" w:rsidRPr="007261BD">
        <w:rPr>
          <w:noProof/>
          <w:szCs w:val="22"/>
          <w:lang w:val="sr-Latn-RS"/>
        </w:rPr>
        <w:t>E</w:t>
      </w:r>
      <w:r w:rsidR="00BC24C2" w:rsidRPr="007261BD">
        <w:rPr>
          <w:noProof/>
          <w:szCs w:val="22"/>
          <w:lang w:val="sr-Latn-RS"/>
        </w:rPr>
        <w:t>nagal</w:t>
      </w:r>
      <w:r w:rsidRPr="007261BD">
        <w:rPr>
          <w:noProof/>
          <w:szCs w:val="22"/>
          <w:lang w:val="sr-Latn-RS"/>
        </w:rPr>
        <w:t xml:space="preserve"> može da izazove hipertenziju, hipokal</w:t>
      </w:r>
      <w:r w:rsidR="00A631DE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emiju i retenciju tečnosti, kao farmakodinamske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posl</w:t>
      </w:r>
      <w:r w:rsidR="004B3DC2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 xml:space="preserve">edice mehanizma dejstva. U fazi 3 studija, očekivane </w:t>
      </w:r>
      <w:r w:rsidR="0003411A" w:rsidRPr="007261BD">
        <w:rPr>
          <w:noProof/>
          <w:szCs w:val="22"/>
          <w:lang w:val="sr-Latn-RS"/>
        </w:rPr>
        <w:t xml:space="preserve">mineralokortikoidna neželjena dejstva </w:t>
      </w:r>
      <w:r w:rsidRPr="007261BD">
        <w:rPr>
          <w:noProof/>
          <w:szCs w:val="22"/>
          <w:lang w:val="sr-Latn-RS"/>
        </w:rPr>
        <w:t>bil</w:t>
      </w:r>
      <w:r w:rsidR="0003411A" w:rsidRPr="007261BD">
        <w:rPr>
          <w:noProof/>
          <w:szCs w:val="22"/>
          <w:lang w:val="sr-Latn-RS"/>
        </w:rPr>
        <w:t>a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su češće zab</w:t>
      </w:r>
      <w:r w:rsidR="004B3DC2" w:rsidRPr="007261BD">
        <w:rPr>
          <w:noProof/>
          <w:szCs w:val="22"/>
          <w:lang w:val="sr-Latn-RS"/>
        </w:rPr>
        <w:t>i</w:t>
      </w:r>
      <w:r w:rsidRPr="007261BD">
        <w:rPr>
          <w:noProof/>
          <w:szCs w:val="22"/>
          <w:lang w:val="sr-Latn-RS"/>
        </w:rPr>
        <w:t>l</w:t>
      </w:r>
      <w:r w:rsidR="004B3DC2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ežene kod pacijenata koji su uzimali abirateron</w:t>
      </w:r>
      <w:r w:rsidR="007910C2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acetat nego kod onih koji su dobijali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placebo: hipokal</w:t>
      </w:r>
      <w:r w:rsidR="008736D3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 xml:space="preserve">emija 18% </w:t>
      </w:r>
      <w:r w:rsidR="0003411A" w:rsidRPr="007261BD">
        <w:rPr>
          <w:noProof/>
          <w:szCs w:val="22"/>
          <w:lang w:val="sr-Latn-RS"/>
        </w:rPr>
        <w:t xml:space="preserve">naspram </w:t>
      </w:r>
      <w:r w:rsidRPr="007261BD">
        <w:rPr>
          <w:noProof/>
          <w:szCs w:val="22"/>
          <w:lang w:val="sr-Latn-RS"/>
        </w:rPr>
        <w:t xml:space="preserve">8%, hipertenzija 22% </w:t>
      </w:r>
      <w:r w:rsidR="0003411A" w:rsidRPr="007261BD">
        <w:rPr>
          <w:noProof/>
          <w:szCs w:val="22"/>
          <w:lang w:val="sr-Latn-RS"/>
        </w:rPr>
        <w:t xml:space="preserve">naspram </w:t>
      </w:r>
      <w:r w:rsidRPr="007261BD">
        <w:rPr>
          <w:noProof/>
          <w:szCs w:val="22"/>
          <w:lang w:val="sr-Latn-RS"/>
        </w:rPr>
        <w:t>16% i retencija tečnosti (periferni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 xml:space="preserve">edemi) 23% </w:t>
      </w:r>
      <w:r w:rsidR="0003411A" w:rsidRPr="007261BD">
        <w:rPr>
          <w:noProof/>
          <w:szCs w:val="22"/>
          <w:lang w:val="sr-Latn-RS"/>
        </w:rPr>
        <w:t xml:space="preserve">naspram </w:t>
      </w:r>
      <w:r w:rsidRPr="007261BD">
        <w:rPr>
          <w:noProof/>
          <w:szCs w:val="22"/>
          <w:lang w:val="sr-Latn-RS"/>
        </w:rPr>
        <w:t>17%</w:t>
      </w:r>
      <w:r w:rsidRPr="007261BD">
        <w:rPr>
          <w:i/>
          <w:iCs/>
          <w:noProof/>
          <w:szCs w:val="22"/>
          <w:lang w:val="sr-Latn-RS"/>
        </w:rPr>
        <w:t xml:space="preserve">. </w:t>
      </w:r>
      <w:r w:rsidRPr="007261BD">
        <w:rPr>
          <w:noProof/>
          <w:szCs w:val="22"/>
          <w:lang w:val="sr-Latn-RS"/>
        </w:rPr>
        <w:t>Kod pacijenata koji su uzimali abirateron</w:t>
      </w:r>
      <w:r w:rsidR="007910C2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acetat</w:t>
      </w:r>
      <w:r w:rsidR="00152498" w:rsidRPr="007261BD">
        <w:rPr>
          <w:noProof/>
          <w:szCs w:val="22"/>
          <w:lang w:val="sr-Latn-RS"/>
        </w:rPr>
        <w:t xml:space="preserve"> u poređenju sa pacijentima koji su uzimali placebo</w:t>
      </w:r>
      <w:r w:rsidRPr="007261BD">
        <w:rPr>
          <w:noProof/>
          <w:szCs w:val="22"/>
          <w:lang w:val="sr-Latn-RS"/>
        </w:rPr>
        <w:t>, hipokal</w:t>
      </w:r>
      <w:r w:rsidR="00152498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emija stepena 3 i 4,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 xml:space="preserve">prema Zajedničkim kriterijumima terminologije za neželjene događaje (engl. </w:t>
      </w:r>
      <w:r w:rsidRPr="007261BD">
        <w:rPr>
          <w:i/>
          <w:iCs/>
          <w:noProof/>
          <w:szCs w:val="22"/>
          <w:lang w:val="sr-Latn-RS"/>
        </w:rPr>
        <w:t>Common Terminology</w:t>
      </w:r>
      <w:r w:rsidR="009C3119" w:rsidRPr="007261BD">
        <w:rPr>
          <w:i/>
          <w:iCs/>
          <w:noProof/>
          <w:szCs w:val="22"/>
          <w:lang w:val="sr-Latn-RS"/>
        </w:rPr>
        <w:t xml:space="preserve"> </w:t>
      </w:r>
      <w:r w:rsidRPr="007261BD">
        <w:rPr>
          <w:i/>
          <w:iCs/>
          <w:noProof/>
          <w:szCs w:val="22"/>
          <w:lang w:val="sr-Latn-RS"/>
        </w:rPr>
        <w:t>Criteria for Adverse Events</w:t>
      </w:r>
      <w:r w:rsidRPr="007261BD">
        <w:rPr>
          <w:noProof/>
          <w:szCs w:val="22"/>
          <w:lang w:val="sr-Latn-RS"/>
        </w:rPr>
        <w:t>, CTCAE (verzija 4.0)) je zab</w:t>
      </w:r>
      <w:r w:rsidR="007910C2" w:rsidRPr="007261BD">
        <w:rPr>
          <w:noProof/>
          <w:szCs w:val="22"/>
          <w:lang w:val="sr-Latn-RS"/>
        </w:rPr>
        <w:t>i</w:t>
      </w:r>
      <w:r w:rsidRPr="007261BD">
        <w:rPr>
          <w:noProof/>
          <w:szCs w:val="22"/>
          <w:lang w:val="sr-Latn-RS"/>
        </w:rPr>
        <w:t>l</w:t>
      </w:r>
      <w:r w:rsidR="007910C2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 xml:space="preserve">ežena kod 6% </w:t>
      </w:r>
      <w:r w:rsidR="00152498" w:rsidRPr="007261BD">
        <w:rPr>
          <w:noProof/>
          <w:szCs w:val="22"/>
          <w:lang w:val="sr-Latn-RS"/>
        </w:rPr>
        <w:t>naspram</w:t>
      </w:r>
      <w:r w:rsidR="008736D3" w:rsidRPr="007261BD">
        <w:rPr>
          <w:noProof/>
          <w:szCs w:val="22"/>
          <w:lang w:val="sr-Latn-RS"/>
        </w:rPr>
        <w:t xml:space="preserve"> 1</w:t>
      </w:r>
      <w:r w:rsidRPr="007261BD">
        <w:rPr>
          <w:noProof/>
          <w:szCs w:val="22"/>
          <w:lang w:val="sr-Latn-RS"/>
        </w:rPr>
        <w:t>% pacijenata,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hipertenzija stepena 3 i 4 prema CTCAE (verzija 4.0) je zab</w:t>
      </w:r>
      <w:r w:rsidR="007910C2" w:rsidRPr="007261BD">
        <w:rPr>
          <w:noProof/>
          <w:szCs w:val="22"/>
          <w:lang w:val="sr-Latn-RS"/>
        </w:rPr>
        <w:t>i</w:t>
      </w:r>
      <w:r w:rsidRPr="007261BD">
        <w:rPr>
          <w:noProof/>
          <w:szCs w:val="22"/>
          <w:lang w:val="sr-Latn-RS"/>
        </w:rPr>
        <w:t>l</w:t>
      </w:r>
      <w:r w:rsidR="007910C2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 xml:space="preserve">ežena kod </w:t>
      </w:r>
      <w:r w:rsidR="008736D3" w:rsidRPr="007261BD">
        <w:rPr>
          <w:noProof/>
          <w:szCs w:val="22"/>
          <w:lang w:val="sr-Latn-RS"/>
        </w:rPr>
        <w:t>7</w:t>
      </w:r>
      <w:r w:rsidRPr="007261BD">
        <w:rPr>
          <w:noProof/>
          <w:szCs w:val="22"/>
          <w:lang w:val="sr-Latn-RS"/>
        </w:rPr>
        <w:t>%</w:t>
      </w:r>
      <w:r w:rsidR="00152498" w:rsidRPr="007261BD">
        <w:rPr>
          <w:noProof/>
          <w:szCs w:val="22"/>
          <w:lang w:val="sr-Latn-RS"/>
        </w:rPr>
        <w:t xml:space="preserve"> naspram</w:t>
      </w:r>
      <w:r w:rsidRPr="007261BD">
        <w:rPr>
          <w:noProof/>
          <w:szCs w:val="22"/>
          <w:lang w:val="sr-Latn-RS"/>
        </w:rPr>
        <w:t xml:space="preserve"> 5%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pacijenata</w:t>
      </w:r>
      <w:r w:rsidR="008736D3" w:rsidRPr="007261BD">
        <w:rPr>
          <w:noProof/>
          <w:szCs w:val="22"/>
          <w:lang w:val="sr-Latn-RS"/>
        </w:rPr>
        <w:t>,</w:t>
      </w:r>
      <w:r w:rsidRPr="007261BD">
        <w:rPr>
          <w:noProof/>
          <w:szCs w:val="22"/>
          <w:lang w:val="sr-Latn-RS"/>
        </w:rPr>
        <w:t xml:space="preserve"> a retencija tečnosti (periferni edemi) stepena 3 i 4 su zab</w:t>
      </w:r>
      <w:r w:rsidR="007910C2" w:rsidRPr="007261BD">
        <w:rPr>
          <w:noProof/>
          <w:szCs w:val="22"/>
          <w:lang w:val="sr-Latn-RS"/>
        </w:rPr>
        <w:t>i</w:t>
      </w:r>
      <w:r w:rsidRPr="007261BD">
        <w:rPr>
          <w:noProof/>
          <w:szCs w:val="22"/>
          <w:lang w:val="sr-Latn-RS"/>
        </w:rPr>
        <w:t>l</w:t>
      </w:r>
      <w:r w:rsidR="007910C2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 xml:space="preserve">eženi kod 1% </w:t>
      </w:r>
      <w:r w:rsidR="00152498" w:rsidRPr="007261BD">
        <w:rPr>
          <w:noProof/>
          <w:szCs w:val="22"/>
          <w:lang w:val="sr-Latn-RS"/>
        </w:rPr>
        <w:t>naspram</w:t>
      </w:r>
      <w:r w:rsidRPr="007261BD">
        <w:rPr>
          <w:noProof/>
          <w:szCs w:val="22"/>
          <w:lang w:val="sr-Latn-RS"/>
        </w:rPr>
        <w:t xml:space="preserve"> 1%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pacijenata. Uopšteno, mineralokortikoidne reakcije su usp</w:t>
      </w:r>
      <w:r w:rsidR="007910C2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ešno medicinski kontrolisane. Istovremena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prim</w:t>
      </w:r>
      <w:r w:rsidR="007910C2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 xml:space="preserve">ena kortikosteroida smanjuje incidencu i težinu ovih neželjenih </w:t>
      </w:r>
      <w:r w:rsidR="00DA6F4C" w:rsidRPr="007261BD">
        <w:rPr>
          <w:noProof/>
          <w:szCs w:val="22"/>
          <w:lang w:val="sr-Latn-RS"/>
        </w:rPr>
        <w:t xml:space="preserve">dejstava </w:t>
      </w:r>
      <w:r w:rsidRPr="007261BD">
        <w:rPr>
          <w:noProof/>
          <w:szCs w:val="22"/>
          <w:lang w:val="sr-Latn-RS"/>
        </w:rPr>
        <w:t>(vid</w:t>
      </w:r>
      <w:r w:rsidR="007910C2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 xml:space="preserve">eti </w:t>
      </w:r>
      <w:r w:rsidR="007910C2" w:rsidRPr="007261BD">
        <w:rPr>
          <w:noProof/>
          <w:szCs w:val="22"/>
          <w:lang w:val="sr-Latn-RS"/>
        </w:rPr>
        <w:t>dio</w:t>
      </w:r>
      <w:r w:rsidRPr="007261BD">
        <w:rPr>
          <w:noProof/>
          <w:szCs w:val="22"/>
          <w:lang w:val="sr-Latn-RS"/>
        </w:rPr>
        <w:t xml:space="preserve"> 4.4).</w:t>
      </w:r>
    </w:p>
    <w:p w14:paraId="38459CEF" w14:textId="77777777" w:rsidR="005E5B8F" w:rsidRPr="007261BD" w:rsidRDefault="005E5B8F">
      <w:pPr>
        <w:rPr>
          <w:noProof/>
          <w:szCs w:val="22"/>
          <w:lang w:val="sr-Latn-RS"/>
        </w:rPr>
      </w:pPr>
    </w:p>
    <w:p w14:paraId="56DD8130" w14:textId="6B528031" w:rsidR="007B530A" w:rsidRPr="007261BD" w:rsidRDefault="007B530A">
      <w:pPr>
        <w:rPr>
          <w:noProof/>
          <w:szCs w:val="22"/>
          <w:u w:val="single"/>
          <w:lang w:val="sr-Latn-RS"/>
        </w:rPr>
      </w:pPr>
      <w:r w:rsidRPr="007261BD">
        <w:rPr>
          <w:noProof/>
          <w:szCs w:val="22"/>
          <w:u w:val="single"/>
          <w:lang w:val="sr-Latn-RS"/>
        </w:rPr>
        <w:t xml:space="preserve">Tabelarni prikaz neželjenih </w:t>
      </w:r>
      <w:r w:rsidR="0003411A" w:rsidRPr="007261BD">
        <w:rPr>
          <w:noProof/>
          <w:szCs w:val="22"/>
          <w:u w:val="single"/>
          <w:lang w:val="sr-Latn-RS"/>
        </w:rPr>
        <w:t>dejstava</w:t>
      </w:r>
    </w:p>
    <w:p w14:paraId="05087825" w14:textId="4894B82E" w:rsidR="007B530A" w:rsidRPr="007261BD" w:rsidRDefault="007B530A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>U studijama sa pacijentima koji imaju metastatski uznapredovali karcinom prostate koji su primali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LHRH analog, ili su prethodno podvrgnuti orhiektomiji, l</w:t>
      </w:r>
      <w:r w:rsidR="007910C2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 xml:space="preserve">ek </w:t>
      </w:r>
      <w:r w:rsidR="00BC24C2" w:rsidRPr="007261BD">
        <w:rPr>
          <w:noProof/>
          <w:szCs w:val="22"/>
          <w:lang w:val="sr-Latn-RS"/>
        </w:rPr>
        <w:t>Enagal</w:t>
      </w:r>
      <w:r w:rsidRPr="007261BD">
        <w:rPr>
          <w:noProof/>
          <w:szCs w:val="22"/>
          <w:lang w:val="sr-Latn-RS"/>
        </w:rPr>
        <w:t xml:space="preserve"> je prim</w:t>
      </w:r>
      <w:r w:rsidR="007910C2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enjivan u dozi od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1000 mg na dan u kombinaciji sa manjim dozama prednizona ili prednizolona (bilo 5 mg ili 10 mg na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dan zavisno od indikacije).</w:t>
      </w:r>
    </w:p>
    <w:p w14:paraId="28B60E08" w14:textId="77777777" w:rsidR="005E5B8F" w:rsidRPr="007261BD" w:rsidRDefault="005E5B8F">
      <w:pPr>
        <w:rPr>
          <w:noProof/>
          <w:szCs w:val="22"/>
          <w:lang w:val="sr-Latn-RS"/>
        </w:rPr>
      </w:pPr>
    </w:p>
    <w:p w14:paraId="602EF753" w14:textId="5EA9B38F" w:rsidR="007B530A" w:rsidRPr="007261BD" w:rsidRDefault="00C1569C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 xml:space="preserve">Neželjena dejstva zabilježena </w:t>
      </w:r>
      <w:r w:rsidR="007B530A" w:rsidRPr="007261BD">
        <w:rPr>
          <w:noProof/>
          <w:szCs w:val="22"/>
          <w:lang w:val="sr-Latn-RS"/>
        </w:rPr>
        <w:t>tokom kliničkih ispitivanja i u postmarketinškom periodu navedene su</w:t>
      </w:r>
      <w:r w:rsidR="009C3119" w:rsidRPr="007261BD">
        <w:rPr>
          <w:noProof/>
          <w:szCs w:val="22"/>
          <w:lang w:val="sr-Latn-RS"/>
        </w:rPr>
        <w:t xml:space="preserve"> </w:t>
      </w:r>
      <w:r w:rsidR="007B530A" w:rsidRPr="007261BD">
        <w:rPr>
          <w:noProof/>
          <w:szCs w:val="22"/>
          <w:lang w:val="sr-Latn-RS"/>
        </w:rPr>
        <w:t>u Tabeli 1, po kategorijama učestalosti. Kategorije učestalosti se definišu na sl</w:t>
      </w:r>
      <w:r w:rsidR="007910C2" w:rsidRPr="007261BD">
        <w:rPr>
          <w:noProof/>
          <w:szCs w:val="22"/>
          <w:lang w:val="sr-Latn-RS"/>
        </w:rPr>
        <w:t>j</w:t>
      </w:r>
      <w:r w:rsidR="007B530A" w:rsidRPr="007261BD">
        <w:rPr>
          <w:noProof/>
          <w:szCs w:val="22"/>
          <w:lang w:val="sr-Latn-RS"/>
        </w:rPr>
        <w:t>edeći način: veoma</w:t>
      </w:r>
      <w:r w:rsidR="009C3119" w:rsidRPr="007261BD">
        <w:rPr>
          <w:noProof/>
          <w:szCs w:val="22"/>
          <w:lang w:val="sr-Latn-RS"/>
        </w:rPr>
        <w:t xml:space="preserve"> </w:t>
      </w:r>
      <w:r w:rsidR="007B530A" w:rsidRPr="007261BD">
        <w:rPr>
          <w:noProof/>
          <w:szCs w:val="22"/>
          <w:lang w:val="sr-Latn-RS"/>
        </w:rPr>
        <w:t>često (≥ 1/10); često (≥ 1/100 do &lt; 1/10); povremeno (≥ 1/1000 do &lt; 1/100); r</w:t>
      </w:r>
      <w:r w:rsidR="007910C2" w:rsidRPr="007261BD">
        <w:rPr>
          <w:noProof/>
          <w:szCs w:val="22"/>
          <w:lang w:val="sr-Latn-RS"/>
        </w:rPr>
        <w:t>ij</w:t>
      </w:r>
      <w:r w:rsidR="007B530A" w:rsidRPr="007261BD">
        <w:rPr>
          <w:noProof/>
          <w:szCs w:val="22"/>
          <w:lang w:val="sr-Latn-RS"/>
        </w:rPr>
        <w:t>etko (≥1/10000 do</w:t>
      </w:r>
      <w:r w:rsidR="009C3119" w:rsidRPr="007261BD">
        <w:rPr>
          <w:noProof/>
          <w:szCs w:val="22"/>
          <w:lang w:val="sr-Latn-RS"/>
        </w:rPr>
        <w:t xml:space="preserve"> </w:t>
      </w:r>
      <w:r w:rsidR="007B530A" w:rsidRPr="007261BD">
        <w:rPr>
          <w:noProof/>
          <w:szCs w:val="22"/>
          <w:lang w:val="sr-Latn-RS"/>
        </w:rPr>
        <w:t>&lt;1/1000); veoma r</w:t>
      </w:r>
      <w:r w:rsidR="007910C2" w:rsidRPr="007261BD">
        <w:rPr>
          <w:noProof/>
          <w:szCs w:val="22"/>
          <w:lang w:val="sr-Latn-RS"/>
        </w:rPr>
        <w:t>ij</w:t>
      </w:r>
      <w:r w:rsidR="007B530A" w:rsidRPr="007261BD">
        <w:rPr>
          <w:noProof/>
          <w:szCs w:val="22"/>
          <w:lang w:val="sr-Latn-RS"/>
        </w:rPr>
        <w:t>etko (&lt;1/10000) i nepoznato (učestalost se ne može proc</w:t>
      </w:r>
      <w:r w:rsidR="007910C2" w:rsidRPr="007261BD">
        <w:rPr>
          <w:noProof/>
          <w:szCs w:val="22"/>
          <w:lang w:val="sr-Latn-RS"/>
        </w:rPr>
        <w:t>ij</w:t>
      </w:r>
      <w:r w:rsidR="007B530A" w:rsidRPr="007261BD">
        <w:rPr>
          <w:noProof/>
          <w:szCs w:val="22"/>
          <w:lang w:val="sr-Latn-RS"/>
        </w:rPr>
        <w:t>eniti na osnovu dostupnih</w:t>
      </w:r>
      <w:r w:rsidR="009C3119" w:rsidRPr="007261BD">
        <w:rPr>
          <w:noProof/>
          <w:szCs w:val="22"/>
          <w:lang w:val="sr-Latn-RS"/>
        </w:rPr>
        <w:t xml:space="preserve"> </w:t>
      </w:r>
      <w:r w:rsidR="007B530A" w:rsidRPr="007261BD">
        <w:rPr>
          <w:noProof/>
          <w:szCs w:val="22"/>
          <w:lang w:val="sr-Latn-RS"/>
        </w:rPr>
        <w:t>podataka).</w:t>
      </w:r>
    </w:p>
    <w:p w14:paraId="04D31867" w14:textId="77777777" w:rsidR="007B530A" w:rsidRPr="007261BD" w:rsidRDefault="007B530A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>U svakoj grupi učestalosti neželjena dejstva su prikazivana po opadajućoj ozbiljnosti.</w:t>
      </w:r>
    </w:p>
    <w:p w14:paraId="52CF1389" w14:textId="77777777" w:rsidR="005E5B8F" w:rsidRPr="007261BD" w:rsidRDefault="005E5B8F">
      <w:pPr>
        <w:rPr>
          <w:b/>
          <w:bCs/>
          <w:noProof/>
          <w:szCs w:val="22"/>
          <w:lang w:val="sr-Latn-RS"/>
        </w:rPr>
      </w:pPr>
    </w:p>
    <w:p w14:paraId="76E494C9" w14:textId="2647D95B" w:rsidR="007B530A" w:rsidRPr="007261BD" w:rsidRDefault="007B530A">
      <w:pPr>
        <w:rPr>
          <w:noProof/>
          <w:szCs w:val="22"/>
          <w:lang w:val="sr-Latn-RS"/>
        </w:rPr>
      </w:pPr>
      <w:r w:rsidRPr="007261BD">
        <w:rPr>
          <w:b/>
          <w:bCs/>
          <w:noProof/>
          <w:szCs w:val="22"/>
          <w:lang w:val="sr-Latn-RS"/>
        </w:rPr>
        <w:t xml:space="preserve">Tabela 1: </w:t>
      </w:r>
      <w:r w:rsidR="00C1569C" w:rsidRPr="007261BD">
        <w:rPr>
          <w:b/>
          <w:bCs/>
          <w:noProof/>
          <w:szCs w:val="22"/>
          <w:lang w:val="sr-Latn-RS"/>
        </w:rPr>
        <w:t xml:space="preserve">Neželjena dejstva zabilježena </w:t>
      </w:r>
      <w:r w:rsidRPr="007261BD">
        <w:rPr>
          <w:b/>
          <w:bCs/>
          <w:noProof/>
          <w:szCs w:val="22"/>
          <w:lang w:val="sr-Latn-RS"/>
        </w:rPr>
        <w:t>u kliničkim ispitivanjima i postmarketinški</w:t>
      </w:r>
    </w:p>
    <w:p w14:paraId="1C31EC7D" w14:textId="77777777" w:rsidR="007B530A" w:rsidRPr="007261BD" w:rsidRDefault="007B530A">
      <w:pPr>
        <w:rPr>
          <w:noProof/>
          <w:szCs w:val="22"/>
          <w:lang w:val="sr-Latn-R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7"/>
        <w:gridCol w:w="4410"/>
      </w:tblGrid>
      <w:tr w:rsidR="007B530A" w:rsidRPr="007261BD" w14:paraId="6AB6BEA6" w14:textId="77777777" w:rsidTr="007910C2">
        <w:trPr>
          <w:trHeight w:val="252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2A83" w14:textId="77777777" w:rsidR="007B530A" w:rsidRPr="007261BD" w:rsidRDefault="007B530A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t>Klasa Sistema Organa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B8C9" w14:textId="2D6A4649" w:rsidR="007B530A" w:rsidRPr="007261BD" w:rsidRDefault="007B530A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t xml:space="preserve">Neželjena </w:t>
            </w:r>
            <w:r w:rsidR="00C1569C" w:rsidRPr="007261BD">
              <w:rPr>
                <w:b/>
                <w:bCs/>
                <w:noProof/>
                <w:szCs w:val="22"/>
                <w:lang w:val="sr-Latn-RS"/>
              </w:rPr>
              <w:t xml:space="preserve">dejstva </w:t>
            </w:r>
            <w:r w:rsidRPr="007261BD">
              <w:rPr>
                <w:b/>
                <w:bCs/>
                <w:noProof/>
                <w:szCs w:val="22"/>
                <w:lang w:val="sr-Latn-RS"/>
              </w:rPr>
              <w:t>i učestalost</w:t>
            </w:r>
          </w:p>
        </w:tc>
      </w:tr>
      <w:tr w:rsidR="007B530A" w:rsidRPr="007261BD" w14:paraId="2C76A762" w14:textId="77777777" w:rsidTr="007910C2">
        <w:trPr>
          <w:trHeight w:val="499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D904" w14:textId="77777777" w:rsidR="007B530A" w:rsidRPr="007261BD" w:rsidRDefault="007B530A" w:rsidP="00480E7D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t>Infekcije i infestacije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722E" w14:textId="77777777" w:rsidR="007B530A" w:rsidRPr="007261BD" w:rsidRDefault="007B530A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veoma često: infekcija urinarnog trakta</w:t>
            </w:r>
          </w:p>
          <w:p w14:paraId="12CF0EC7" w14:textId="77777777" w:rsidR="007B530A" w:rsidRPr="007261BD" w:rsidRDefault="007B530A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često: sepsa</w:t>
            </w:r>
          </w:p>
        </w:tc>
      </w:tr>
      <w:tr w:rsidR="005E5B8F" w:rsidRPr="007261BD" w14:paraId="1D4B8F77" w14:textId="77777777" w:rsidTr="007910C2">
        <w:trPr>
          <w:trHeight w:val="499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9D06" w14:textId="34CB7FB8" w:rsidR="005E5B8F" w:rsidRPr="007261BD" w:rsidRDefault="005E5B8F" w:rsidP="00480E7D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t>Poremećaji imunog sistema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E652" w14:textId="673B5BE8" w:rsidR="005E5B8F" w:rsidRPr="007261BD" w:rsidRDefault="005E5B8F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nepoznato: anafilaktička reakcija</w:t>
            </w:r>
          </w:p>
        </w:tc>
      </w:tr>
      <w:tr w:rsidR="007B530A" w:rsidRPr="007261BD" w14:paraId="7CC3BDE0" w14:textId="77777777" w:rsidTr="007910C2">
        <w:trPr>
          <w:trHeight w:val="251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3231" w14:textId="77777777" w:rsidR="007B530A" w:rsidRPr="007261BD" w:rsidRDefault="007B530A" w:rsidP="00480E7D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t>Endokrini poremećaji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689B" w14:textId="77777777" w:rsidR="007B530A" w:rsidRPr="007261BD" w:rsidRDefault="007B530A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povremeno: adrenalna insuficijencija</w:t>
            </w:r>
          </w:p>
        </w:tc>
      </w:tr>
      <w:tr w:rsidR="007B530A" w:rsidRPr="007261BD" w14:paraId="584A264C" w14:textId="77777777" w:rsidTr="007910C2">
        <w:trPr>
          <w:trHeight w:val="504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23B9" w14:textId="77777777" w:rsidR="007B530A" w:rsidRPr="007261BD" w:rsidRDefault="007B530A" w:rsidP="00480E7D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t>Poremećaji metabolizma i ishrane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5908" w14:textId="14B9D734" w:rsidR="007B530A" w:rsidRPr="007261BD" w:rsidRDefault="007B530A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veoma često: hipokal</w:t>
            </w:r>
            <w:r w:rsidR="00A631DE" w:rsidRPr="007261BD">
              <w:rPr>
                <w:noProof/>
                <w:szCs w:val="22"/>
                <w:lang w:val="sr-Latn-RS"/>
              </w:rPr>
              <w:t>ij</w:t>
            </w:r>
            <w:r w:rsidRPr="007261BD">
              <w:rPr>
                <w:noProof/>
                <w:szCs w:val="22"/>
                <w:lang w:val="sr-Latn-RS"/>
              </w:rPr>
              <w:t>emija</w:t>
            </w:r>
          </w:p>
          <w:p w14:paraId="50E7663E" w14:textId="77777777" w:rsidR="007B530A" w:rsidRPr="007261BD" w:rsidRDefault="007B530A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često: hipertrigliceridemija</w:t>
            </w:r>
          </w:p>
        </w:tc>
      </w:tr>
      <w:tr w:rsidR="007B530A" w:rsidRPr="007261BD" w14:paraId="66F1AD09" w14:textId="77777777" w:rsidTr="007910C2">
        <w:trPr>
          <w:trHeight w:val="1253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2048" w14:textId="77777777" w:rsidR="007B530A" w:rsidRPr="007261BD" w:rsidRDefault="007B530A" w:rsidP="00480E7D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t>Kardiološki poremećaji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287E" w14:textId="77777777" w:rsidR="007B530A" w:rsidRPr="007261BD" w:rsidRDefault="007B530A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često: srčana insuficijencija*, angina pektoris, atrijalna fibrilacija, tahikardija</w:t>
            </w:r>
          </w:p>
          <w:p w14:paraId="52A16EC5" w14:textId="77777777" w:rsidR="007B530A" w:rsidRPr="007261BD" w:rsidRDefault="007B530A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povremeno: ostale aritmije</w:t>
            </w:r>
          </w:p>
          <w:p w14:paraId="1623654B" w14:textId="2EFDAD98" w:rsidR="007B530A" w:rsidRPr="007261BD" w:rsidRDefault="007B530A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nepoznato: infarkt miokarda, produženje QT intervala (vid</w:t>
            </w:r>
            <w:r w:rsidR="007910C2" w:rsidRPr="007261BD">
              <w:rPr>
                <w:noProof/>
                <w:szCs w:val="22"/>
                <w:lang w:val="sr-Latn-RS"/>
              </w:rPr>
              <w:t>j</w:t>
            </w:r>
            <w:r w:rsidRPr="007261BD">
              <w:rPr>
                <w:noProof/>
                <w:szCs w:val="22"/>
                <w:lang w:val="sr-Latn-RS"/>
              </w:rPr>
              <w:t xml:space="preserve">eti </w:t>
            </w:r>
            <w:r w:rsidR="007910C2" w:rsidRPr="007261BD">
              <w:rPr>
                <w:noProof/>
                <w:szCs w:val="22"/>
                <w:lang w:val="sr-Latn-RS"/>
              </w:rPr>
              <w:t>djelove</w:t>
            </w:r>
            <w:r w:rsidRPr="007261BD">
              <w:rPr>
                <w:noProof/>
                <w:szCs w:val="22"/>
                <w:lang w:val="sr-Latn-RS"/>
              </w:rPr>
              <w:t xml:space="preserve"> 4.4 i 4.5)</w:t>
            </w:r>
          </w:p>
        </w:tc>
      </w:tr>
      <w:tr w:rsidR="007B530A" w:rsidRPr="007261BD" w14:paraId="08BC3AD6" w14:textId="77777777" w:rsidTr="007910C2">
        <w:trPr>
          <w:trHeight w:val="251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1459" w14:textId="77777777" w:rsidR="007B530A" w:rsidRPr="007261BD" w:rsidRDefault="007B530A" w:rsidP="00480E7D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t>Vaskularni poremećaji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919E" w14:textId="77777777" w:rsidR="007B530A" w:rsidRPr="007261BD" w:rsidRDefault="007B530A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veoma često: hipertenzija</w:t>
            </w:r>
          </w:p>
        </w:tc>
      </w:tr>
      <w:tr w:rsidR="007B530A" w:rsidRPr="007261BD" w14:paraId="206987F9" w14:textId="77777777" w:rsidTr="007910C2">
        <w:trPr>
          <w:trHeight w:val="499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CE74" w14:textId="77777777" w:rsidR="007B530A" w:rsidRPr="007261BD" w:rsidRDefault="007B530A" w:rsidP="00480E7D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t>Respiratorni, torakalni i medijastinalni</w:t>
            </w:r>
          </w:p>
          <w:p w14:paraId="36E20026" w14:textId="77777777" w:rsidR="007B530A" w:rsidRPr="007261BD" w:rsidRDefault="007B530A" w:rsidP="00480E7D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t>poremećaji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7AA3" w14:textId="7D2658A9" w:rsidR="007B530A" w:rsidRPr="007261BD" w:rsidRDefault="007B530A" w:rsidP="00480E7D">
            <w:pPr>
              <w:rPr>
                <w:noProof/>
                <w:szCs w:val="22"/>
                <w:vertAlign w:val="superscript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r</w:t>
            </w:r>
            <w:r w:rsidR="007910C2" w:rsidRPr="007261BD">
              <w:rPr>
                <w:noProof/>
                <w:szCs w:val="22"/>
                <w:lang w:val="sr-Latn-RS"/>
              </w:rPr>
              <w:t>ij</w:t>
            </w:r>
            <w:r w:rsidRPr="007261BD">
              <w:rPr>
                <w:noProof/>
                <w:szCs w:val="22"/>
                <w:lang w:val="sr-Latn-RS"/>
              </w:rPr>
              <w:t>etko: alergijski alveolitis</w:t>
            </w:r>
            <w:r w:rsidRPr="007261BD">
              <w:rPr>
                <w:noProof/>
                <w:szCs w:val="22"/>
                <w:vertAlign w:val="superscript"/>
                <w:lang w:val="sr-Latn-RS"/>
              </w:rPr>
              <w:t>a</w:t>
            </w:r>
          </w:p>
        </w:tc>
      </w:tr>
      <w:tr w:rsidR="007B530A" w:rsidRPr="007261BD" w14:paraId="5662BAA4" w14:textId="77777777" w:rsidTr="007910C2">
        <w:trPr>
          <w:trHeight w:val="504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1D3F" w14:textId="77777777" w:rsidR="007B530A" w:rsidRPr="007261BD" w:rsidRDefault="007B530A" w:rsidP="00480E7D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t>Gastrointestinalni poremećaji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935A" w14:textId="77777777" w:rsidR="005E5B8F" w:rsidRPr="007261BD" w:rsidRDefault="007B530A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 xml:space="preserve">veoma često: dijareja </w:t>
            </w:r>
          </w:p>
          <w:p w14:paraId="7F78BFCB" w14:textId="6B41BDAD" w:rsidR="007B530A" w:rsidRPr="007261BD" w:rsidRDefault="007B530A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često: dispepsija</w:t>
            </w:r>
          </w:p>
        </w:tc>
      </w:tr>
      <w:tr w:rsidR="007B530A" w:rsidRPr="007261BD" w14:paraId="03DF0B17" w14:textId="77777777" w:rsidTr="007910C2">
        <w:trPr>
          <w:trHeight w:val="1257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1500" w14:textId="77777777" w:rsidR="007B530A" w:rsidRPr="007261BD" w:rsidRDefault="007B530A" w:rsidP="00480E7D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t>Hepatobilijarni poremećaji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584D" w14:textId="5C0D2F84" w:rsidR="007B530A" w:rsidRPr="007261BD" w:rsidRDefault="007B530A" w:rsidP="00480E7D">
            <w:pPr>
              <w:rPr>
                <w:noProof/>
                <w:szCs w:val="22"/>
                <w:vertAlign w:val="superscript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veoma često: povišena vr</w:t>
            </w:r>
            <w:r w:rsidR="007910C2" w:rsidRPr="007261BD">
              <w:rPr>
                <w:noProof/>
                <w:szCs w:val="22"/>
                <w:lang w:val="sr-Latn-RS"/>
              </w:rPr>
              <w:t>ij</w:t>
            </w:r>
            <w:r w:rsidRPr="007261BD">
              <w:rPr>
                <w:noProof/>
                <w:szCs w:val="22"/>
                <w:lang w:val="sr-Latn-RS"/>
              </w:rPr>
              <w:t>ednost alanin aminotransferaze i/ili povišena vr</w:t>
            </w:r>
            <w:r w:rsidR="007910C2" w:rsidRPr="007261BD">
              <w:rPr>
                <w:noProof/>
                <w:szCs w:val="22"/>
                <w:lang w:val="sr-Latn-RS"/>
              </w:rPr>
              <w:t>ij</w:t>
            </w:r>
            <w:r w:rsidRPr="007261BD">
              <w:rPr>
                <w:noProof/>
                <w:szCs w:val="22"/>
                <w:lang w:val="sr-Latn-RS"/>
              </w:rPr>
              <w:t>ednost aspartat aminotransferaze</w:t>
            </w:r>
            <w:r w:rsidRPr="007261BD">
              <w:rPr>
                <w:noProof/>
                <w:szCs w:val="22"/>
                <w:vertAlign w:val="superscript"/>
                <w:lang w:val="sr-Latn-RS"/>
              </w:rPr>
              <w:t>b</w:t>
            </w:r>
          </w:p>
          <w:p w14:paraId="30493766" w14:textId="60D902D7" w:rsidR="007B530A" w:rsidRPr="007261BD" w:rsidRDefault="007B530A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r</w:t>
            </w:r>
            <w:r w:rsidR="007910C2" w:rsidRPr="007261BD">
              <w:rPr>
                <w:noProof/>
                <w:szCs w:val="22"/>
                <w:lang w:val="sr-Latn-RS"/>
              </w:rPr>
              <w:t>ij</w:t>
            </w:r>
            <w:r w:rsidRPr="007261BD">
              <w:rPr>
                <w:noProof/>
                <w:szCs w:val="22"/>
                <w:lang w:val="sr-Latn-RS"/>
              </w:rPr>
              <w:t>etko: fulminantni hepatitis, akutna insuficijencija jetre</w:t>
            </w:r>
          </w:p>
        </w:tc>
      </w:tr>
      <w:tr w:rsidR="007B530A" w:rsidRPr="007261BD" w14:paraId="5CD0162D" w14:textId="77777777" w:rsidTr="007910C2">
        <w:trPr>
          <w:trHeight w:val="247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2C54" w14:textId="77777777" w:rsidR="007B530A" w:rsidRPr="007261BD" w:rsidRDefault="007B530A" w:rsidP="00480E7D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t>Poremećaji kože i potkožnog tkiva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441E" w14:textId="77777777" w:rsidR="007B530A" w:rsidRPr="007261BD" w:rsidRDefault="007B530A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često: osip</w:t>
            </w:r>
          </w:p>
        </w:tc>
      </w:tr>
      <w:tr w:rsidR="007B530A" w:rsidRPr="007261BD" w14:paraId="0C98C07F" w14:textId="77777777" w:rsidTr="007910C2">
        <w:trPr>
          <w:trHeight w:val="504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B00A" w14:textId="77777777" w:rsidR="007B530A" w:rsidRPr="007261BD" w:rsidRDefault="007B530A" w:rsidP="00480E7D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lastRenderedPageBreak/>
              <w:t>Poremećaji mišićno-koštanog sistema i</w:t>
            </w:r>
          </w:p>
          <w:p w14:paraId="4741347E" w14:textId="77777777" w:rsidR="007B530A" w:rsidRPr="007261BD" w:rsidRDefault="007B530A" w:rsidP="00480E7D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t>vezivnog tkiva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9CD7" w14:textId="77777777" w:rsidR="007B530A" w:rsidRPr="007261BD" w:rsidRDefault="007B530A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povremeno: miopatija, rabdomioliza</w:t>
            </w:r>
          </w:p>
        </w:tc>
      </w:tr>
      <w:tr w:rsidR="007B530A" w:rsidRPr="007261BD" w14:paraId="4026A839" w14:textId="77777777" w:rsidTr="007910C2">
        <w:trPr>
          <w:trHeight w:val="252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7A30" w14:textId="77777777" w:rsidR="007B530A" w:rsidRPr="007261BD" w:rsidRDefault="007B530A" w:rsidP="00480E7D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t>Poremećaji bubrega i urinarnog sistema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6A2B" w14:textId="77777777" w:rsidR="007B530A" w:rsidRPr="007261BD" w:rsidRDefault="007B530A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često: hematurija</w:t>
            </w:r>
          </w:p>
        </w:tc>
      </w:tr>
      <w:tr w:rsidR="007B530A" w:rsidRPr="007261BD" w14:paraId="608DBA21" w14:textId="77777777" w:rsidTr="007910C2">
        <w:trPr>
          <w:trHeight w:val="366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59D1" w14:textId="6AECF4CC" w:rsidR="007B530A" w:rsidRPr="007261BD" w:rsidRDefault="007B530A" w:rsidP="00480E7D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t>Opšti poremećaji i reakcije na m</w:t>
            </w:r>
            <w:r w:rsidR="007910C2" w:rsidRPr="007261BD">
              <w:rPr>
                <w:b/>
                <w:bCs/>
                <w:noProof/>
                <w:szCs w:val="22"/>
                <w:lang w:val="sr-Latn-RS"/>
              </w:rPr>
              <w:t>j</w:t>
            </w:r>
            <w:r w:rsidRPr="007261BD">
              <w:rPr>
                <w:b/>
                <w:bCs/>
                <w:noProof/>
                <w:szCs w:val="22"/>
                <w:lang w:val="sr-Latn-RS"/>
              </w:rPr>
              <w:t>estu prim</w:t>
            </w:r>
            <w:r w:rsidR="007910C2" w:rsidRPr="007261BD">
              <w:rPr>
                <w:b/>
                <w:bCs/>
                <w:noProof/>
                <w:szCs w:val="22"/>
                <w:lang w:val="sr-Latn-RS"/>
              </w:rPr>
              <w:t>j</w:t>
            </w:r>
            <w:r w:rsidRPr="007261BD">
              <w:rPr>
                <w:b/>
                <w:bCs/>
                <w:noProof/>
                <w:szCs w:val="22"/>
                <w:lang w:val="sr-Latn-RS"/>
              </w:rPr>
              <w:t>ene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68DC" w14:textId="77777777" w:rsidR="007B530A" w:rsidRPr="007261BD" w:rsidRDefault="007B530A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veoma često: periferni edem</w:t>
            </w:r>
          </w:p>
        </w:tc>
      </w:tr>
      <w:tr w:rsidR="007B530A" w:rsidRPr="007261BD" w14:paraId="170EBC7C" w14:textId="77777777" w:rsidTr="007910C2">
        <w:trPr>
          <w:trHeight w:val="416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BCE1" w14:textId="580D9407" w:rsidR="007B530A" w:rsidRPr="007261BD" w:rsidRDefault="007B530A" w:rsidP="00480E7D">
            <w:pPr>
              <w:rPr>
                <w:b/>
                <w:bCs/>
                <w:noProof/>
                <w:szCs w:val="22"/>
                <w:lang w:val="sr-Latn-RS"/>
              </w:rPr>
            </w:pPr>
            <w:r w:rsidRPr="007261BD">
              <w:rPr>
                <w:b/>
                <w:bCs/>
                <w:noProof/>
                <w:szCs w:val="22"/>
                <w:lang w:val="sr-Latn-RS"/>
              </w:rPr>
              <w:t>Povrede, trovanja i proceduralne komplikacije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D1F7" w14:textId="2A0BA44A" w:rsidR="007B530A" w:rsidRPr="007261BD" w:rsidRDefault="007B530A" w:rsidP="00480E7D">
            <w:pPr>
              <w:rPr>
                <w:noProof/>
                <w:szCs w:val="22"/>
                <w:lang w:val="sr-Latn-RS"/>
              </w:rPr>
            </w:pPr>
            <w:r w:rsidRPr="007261BD">
              <w:rPr>
                <w:noProof/>
                <w:szCs w:val="22"/>
                <w:lang w:val="sr-Latn-RS"/>
              </w:rPr>
              <w:t>često: frakture**</w:t>
            </w:r>
          </w:p>
        </w:tc>
      </w:tr>
    </w:tbl>
    <w:p w14:paraId="79A8D610" w14:textId="47A4D3CF" w:rsidR="007B530A" w:rsidRPr="007261BD" w:rsidRDefault="007B530A" w:rsidP="00480E7D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>* Srčana insuficijencija uključuje i kongestivnu srčanu insuficijenciju, disfunkciju l</w:t>
      </w:r>
      <w:r w:rsidR="007910C2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eve komore i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smanjenje ejekcione frakcije</w:t>
      </w:r>
    </w:p>
    <w:p w14:paraId="5D2919AC" w14:textId="77777777" w:rsidR="007B530A" w:rsidRPr="007261BD" w:rsidRDefault="007B530A" w:rsidP="00480E7D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>** Frakture uključuju osteoporozu i sve frakture osim patoloških fraktura</w:t>
      </w:r>
    </w:p>
    <w:p w14:paraId="0CCAD10D" w14:textId="195E88D0" w:rsidR="007B530A" w:rsidRPr="007261BD" w:rsidRDefault="007B530A" w:rsidP="00480E7D">
      <w:pPr>
        <w:rPr>
          <w:noProof/>
          <w:szCs w:val="22"/>
          <w:lang w:val="sr-Latn-RS"/>
        </w:rPr>
      </w:pPr>
      <w:r w:rsidRPr="007261BD">
        <w:rPr>
          <w:noProof/>
          <w:szCs w:val="22"/>
          <w:vertAlign w:val="superscript"/>
          <w:lang w:val="sr-Latn-RS"/>
        </w:rPr>
        <w:t xml:space="preserve">a </w:t>
      </w:r>
      <w:r w:rsidRPr="007261BD">
        <w:rPr>
          <w:noProof/>
          <w:szCs w:val="22"/>
          <w:lang w:val="sr-Latn-RS"/>
        </w:rPr>
        <w:t>Spontani izv</w:t>
      </w:r>
      <w:r w:rsidR="007910C2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eštaji iz postmarketinškog iskustva</w:t>
      </w:r>
    </w:p>
    <w:p w14:paraId="77FC0DF3" w14:textId="787CB73B" w:rsidR="007B530A" w:rsidRPr="007261BD" w:rsidRDefault="007B530A" w:rsidP="00480E7D">
      <w:pPr>
        <w:rPr>
          <w:noProof/>
          <w:szCs w:val="22"/>
          <w:lang w:val="sr-Latn-RS"/>
        </w:rPr>
      </w:pPr>
      <w:r w:rsidRPr="007261BD">
        <w:rPr>
          <w:noProof/>
          <w:szCs w:val="22"/>
          <w:vertAlign w:val="superscript"/>
          <w:lang w:val="sr-Latn-RS"/>
        </w:rPr>
        <w:t>b</w:t>
      </w:r>
      <w:r w:rsidR="004B2EA0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Povećanje vr</w:t>
      </w:r>
      <w:r w:rsidR="007910C2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alanin aminotransferaze i/ili povećanje vr</w:t>
      </w:r>
      <w:r w:rsidR="007910C2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aspartat aminotransferaze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uključuju</w:t>
      </w:r>
      <w:r w:rsidR="005E5B8F" w:rsidRPr="007261BD">
        <w:rPr>
          <w:noProof/>
          <w:szCs w:val="22"/>
          <w:lang w:val="sr-Latn-RS"/>
        </w:rPr>
        <w:t>je</w:t>
      </w:r>
      <w:r w:rsidRPr="007261BD">
        <w:rPr>
          <w:noProof/>
          <w:szCs w:val="22"/>
          <w:lang w:val="sr-Latn-RS"/>
        </w:rPr>
        <w:t xml:space="preserve"> povećanje vr</w:t>
      </w:r>
      <w:r w:rsidR="007910C2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ALT, povećanje vr</w:t>
      </w:r>
      <w:r w:rsidR="007910C2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 xml:space="preserve">ednosti AST i </w:t>
      </w:r>
      <w:r w:rsidR="005E5B8F" w:rsidRPr="007261BD">
        <w:rPr>
          <w:noProof/>
          <w:szCs w:val="22"/>
          <w:lang w:val="sr-Latn-RS"/>
        </w:rPr>
        <w:t>poremećaj</w:t>
      </w:r>
      <w:r w:rsidRPr="007261BD">
        <w:rPr>
          <w:noProof/>
          <w:szCs w:val="22"/>
          <w:lang w:val="sr-Latn-RS"/>
        </w:rPr>
        <w:t xml:space="preserve"> funkcij</w:t>
      </w:r>
      <w:r w:rsidR="005E5B8F" w:rsidRPr="007261BD">
        <w:rPr>
          <w:noProof/>
          <w:szCs w:val="22"/>
          <w:lang w:val="sr-Latn-RS"/>
        </w:rPr>
        <w:t>e</w:t>
      </w:r>
      <w:r w:rsidRPr="007261BD">
        <w:rPr>
          <w:noProof/>
          <w:szCs w:val="22"/>
          <w:lang w:val="sr-Latn-RS"/>
        </w:rPr>
        <w:t xml:space="preserve"> jetre.</w:t>
      </w:r>
    </w:p>
    <w:p w14:paraId="40E497B2" w14:textId="1C9C628E" w:rsidR="007B530A" w:rsidRPr="007261BD" w:rsidRDefault="007B530A" w:rsidP="00480E7D">
      <w:pPr>
        <w:rPr>
          <w:noProof/>
          <w:szCs w:val="22"/>
          <w:lang w:val="sr-Latn-RS"/>
        </w:rPr>
      </w:pPr>
    </w:p>
    <w:p w14:paraId="2BD79096" w14:textId="37582C70" w:rsidR="007B530A" w:rsidRPr="007261BD" w:rsidRDefault="007B530A" w:rsidP="008560D8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>Kod pacijenata koji su uzimali abirateron</w:t>
      </w:r>
      <w:r w:rsidR="007910C2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acetat zab</w:t>
      </w:r>
      <w:r w:rsidR="007910C2" w:rsidRPr="007261BD">
        <w:rPr>
          <w:noProof/>
          <w:szCs w:val="22"/>
          <w:lang w:val="sr-Latn-RS"/>
        </w:rPr>
        <w:t>i</w:t>
      </w:r>
      <w:r w:rsidRPr="007261BD">
        <w:rPr>
          <w:noProof/>
          <w:szCs w:val="22"/>
          <w:lang w:val="sr-Latn-RS"/>
        </w:rPr>
        <w:t>l</w:t>
      </w:r>
      <w:r w:rsidR="007910C2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 xml:space="preserve">ežene su </w:t>
      </w:r>
      <w:r w:rsidR="00C1569C" w:rsidRPr="007261BD">
        <w:rPr>
          <w:noProof/>
          <w:szCs w:val="22"/>
          <w:lang w:val="sr-Latn-RS"/>
        </w:rPr>
        <w:t xml:space="preserve">sljedeća neželjena dejstva </w:t>
      </w:r>
      <w:r w:rsidRPr="007261BD">
        <w:rPr>
          <w:noProof/>
          <w:szCs w:val="22"/>
          <w:lang w:val="sr-Latn-RS"/>
        </w:rPr>
        <w:t>stepena 3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prema CTCAE (verzija 4.0): hipokal</w:t>
      </w:r>
      <w:r w:rsidR="00A631DE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emija 5%; infekcija urinarnog trakta 2%; povećanje vr</w:t>
      </w:r>
      <w:r w:rsidR="007910C2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alanin aminotransferaze i/ili povećanje vr</w:t>
      </w:r>
      <w:r w:rsidR="007910C2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aspartat aminotransferaze 4%; hipertenzija 6%;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frakture 2%; periferni edemi, srčana insuficijencija i atrijalna fibrilacija, kod 1% pacijenata.</w:t>
      </w:r>
    </w:p>
    <w:p w14:paraId="46569E1C" w14:textId="6DE6A3B6" w:rsidR="007B530A" w:rsidRPr="007261BD" w:rsidRDefault="007B530A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>Hipertrigliceridemija i angina pektoris stepena 3 prema CTCAE (verzija 4.0) javile su se kod &lt; 1%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pacijenata. Infekcija urinarnog trakta, povećanje vr</w:t>
      </w:r>
      <w:r w:rsidR="007910C2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alanin aminotransferaze i/ili povećanje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vr</w:t>
      </w:r>
      <w:r w:rsidR="007910C2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aspartat aminotransferaze, hipokal</w:t>
      </w:r>
      <w:r w:rsidR="00A631DE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emija, srčana insuficijencija, atrijalna fibrilacija i frakture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stepena 4 prema CTCAE (verzija 4.0) zab</w:t>
      </w:r>
      <w:r w:rsidR="007910C2" w:rsidRPr="007261BD">
        <w:rPr>
          <w:noProof/>
          <w:szCs w:val="22"/>
          <w:lang w:val="sr-Latn-RS"/>
        </w:rPr>
        <w:t>i</w:t>
      </w:r>
      <w:r w:rsidRPr="007261BD">
        <w:rPr>
          <w:noProof/>
          <w:szCs w:val="22"/>
          <w:lang w:val="sr-Latn-RS"/>
        </w:rPr>
        <w:t>l</w:t>
      </w:r>
      <w:r w:rsidR="007910C2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eženi su kod &lt; 1% pacijenata.</w:t>
      </w:r>
    </w:p>
    <w:p w14:paraId="3F9DDC0D" w14:textId="775AB53B" w:rsidR="007B530A" w:rsidRPr="007261BD" w:rsidRDefault="007B530A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>Veća incidenca hipe</w:t>
      </w:r>
      <w:r w:rsidR="00CD7164" w:rsidRPr="007261BD">
        <w:rPr>
          <w:noProof/>
          <w:szCs w:val="22"/>
          <w:lang w:val="sr-Latn-RS"/>
        </w:rPr>
        <w:t>r</w:t>
      </w:r>
      <w:r w:rsidRPr="007261BD">
        <w:rPr>
          <w:noProof/>
          <w:szCs w:val="22"/>
          <w:lang w:val="sr-Latn-RS"/>
        </w:rPr>
        <w:t>tenzije i hipokal</w:t>
      </w:r>
      <w:r w:rsidR="00CD7164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emije je zab</w:t>
      </w:r>
      <w:r w:rsidR="007910C2" w:rsidRPr="007261BD">
        <w:rPr>
          <w:noProof/>
          <w:szCs w:val="22"/>
          <w:lang w:val="sr-Latn-RS"/>
        </w:rPr>
        <w:t>i</w:t>
      </w:r>
      <w:r w:rsidRPr="007261BD">
        <w:rPr>
          <w:noProof/>
          <w:szCs w:val="22"/>
          <w:lang w:val="sr-Latn-RS"/>
        </w:rPr>
        <w:t>l</w:t>
      </w:r>
      <w:r w:rsidR="007910C2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ežena kod hormonski os</w:t>
      </w:r>
      <w:r w:rsidR="007910C2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etljive populacije (studija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3011). Hipertenzija je bila prijavljena kod 36,7% pacijenata kod hormonski os</w:t>
      </w:r>
      <w:r w:rsidR="007910C2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etljive populacije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(studija 3011) u odnosu na 11,8% pacijenata u studiji 301, odnosno 20,2% pacijenata u studiji 302.</w:t>
      </w:r>
    </w:p>
    <w:p w14:paraId="44C37700" w14:textId="023DDB4A" w:rsidR="007B530A" w:rsidRPr="007261BD" w:rsidRDefault="007B530A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>Hipokal</w:t>
      </w:r>
      <w:r w:rsidR="00A631DE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emija je zab</w:t>
      </w:r>
      <w:r w:rsidR="007910C2" w:rsidRPr="007261BD">
        <w:rPr>
          <w:noProof/>
          <w:szCs w:val="22"/>
          <w:lang w:val="sr-Latn-RS"/>
        </w:rPr>
        <w:t>i</w:t>
      </w:r>
      <w:r w:rsidRPr="007261BD">
        <w:rPr>
          <w:noProof/>
          <w:szCs w:val="22"/>
          <w:lang w:val="sr-Latn-RS"/>
        </w:rPr>
        <w:t>l</w:t>
      </w:r>
      <w:r w:rsidR="007910C2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ežena kod 20,4% pacijenata kod hormonski os</w:t>
      </w:r>
      <w:r w:rsidR="007910C2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etljive populacije (studija 3011) u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odnosu na 19,2% pacijenata u studiji 301 odnosno 14,9% pacijenata u studiji 302.</w:t>
      </w:r>
    </w:p>
    <w:p w14:paraId="46595A30" w14:textId="72ACAB29" w:rsidR="007B530A" w:rsidRPr="007261BD" w:rsidRDefault="007B530A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>Incidenca i težina neželjenih događaja je bila veća u podgrupi pacijenata sa početnom vr</w:t>
      </w:r>
      <w:r w:rsidR="007910C2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ECOG funkcionalnog statusa jednakoj 2, prema klasifikaciji Istočne kooperativne onkološke grupe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 xml:space="preserve">(engl. </w:t>
      </w:r>
      <w:r w:rsidRPr="007261BD">
        <w:rPr>
          <w:i/>
          <w:iCs/>
          <w:noProof/>
          <w:szCs w:val="22"/>
          <w:lang w:val="sr-Latn-RS"/>
        </w:rPr>
        <w:t>Eastern Cooperative Oncology Group</w:t>
      </w:r>
      <w:r w:rsidRPr="007261BD">
        <w:rPr>
          <w:noProof/>
          <w:szCs w:val="22"/>
          <w:lang w:val="sr-Latn-RS"/>
        </w:rPr>
        <w:t>, ECOG) i takođe kod starijih pacijenata (≥75 godina).</w:t>
      </w:r>
    </w:p>
    <w:p w14:paraId="0AE377FF" w14:textId="77777777" w:rsidR="00AE13E1" w:rsidRPr="007261BD" w:rsidRDefault="00AE13E1">
      <w:pPr>
        <w:rPr>
          <w:noProof/>
          <w:szCs w:val="22"/>
          <w:u w:val="single"/>
          <w:lang w:val="sr-Latn-RS"/>
        </w:rPr>
      </w:pPr>
    </w:p>
    <w:p w14:paraId="6CE5AF56" w14:textId="4CAD8FC4" w:rsidR="007B530A" w:rsidRPr="007261BD" w:rsidRDefault="007B530A">
      <w:pPr>
        <w:rPr>
          <w:noProof/>
          <w:szCs w:val="22"/>
          <w:u w:val="single"/>
          <w:lang w:val="sr-Latn-RS"/>
        </w:rPr>
      </w:pPr>
      <w:r w:rsidRPr="007261BD">
        <w:rPr>
          <w:noProof/>
          <w:szCs w:val="22"/>
          <w:u w:val="single"/>
          <w:lang w:val="sr-Latn-RS"/>
        </w:rPr>
        <w:t xml:space="preserve">Opis odabranih neželjenih </w:t>
      </w:r>
      <w:r w:rsidR="00C1569C" w:rsidRPr="007261BD">
        <w:rPr>
          <w:noProof/>
          <w:szCs w:val="22"/>
          <w:u w:val="single"/>
          <w:lang w:val="sr-Latn-RS"/>
        </w:rPr>
        <w:t>dejstava</w:t>
      </w:r>
    </w:p>
    <w:p w14:paraId="42847685" w14:textId="77777777" w:rsidR="007B530A" w:rsidRPr="007261BD" w:rsidRDefault="007B530A">
      <w:pPr>
        <w:rPr>
          <w:i/>
          <w:iCs/>
          <w:noProof/>
          <w:szCs w:val="22"/>
          <w:lang w:val="sr-Latn-RS"/>
        </w:rPr>
      </w:pPr>
      <w:r w:rsidRPr="007261BD">
        <w:rPr>
          <w:i/>
          <w:iCs/>
          <w:noProof/>
          <w:szCs w:val="22"/>
          <w:lang w:val="sr-Latn-RS"/>
        </w:rPr>
        <w:t>Kardiovaskularne reakcije</w:t>
      </w:r>
    </w:p>
    <w:p w14:paraId="1A5B47A0" w14:textId="5859A712" w:rsidR="007B530A" w:rsidRPr="007261BD" w:rsidRDefault="007B530A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>Iz tri studije faze 3 isključeni su pacijenti sa nekontrolisanom hipertenzijom, klinički značajnim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oboljenjem srca što se manifestovalo infarktom miokarda, ili arterijskim trombotičkim događajima u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prethodnih 6 m</w:t>
      </w:r>
      <w:r w:rsidR="00647BEA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eseci, teškom ili nestabilnom anginom, ili srčanom insuficijencijom klase III ili IV po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klasifikaciji NYHA (studija 301) ili srčanom insuficijencijom klase II ili IV po klasifikaciji NYHA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(studije 3011 i 302) ili kod kojih je izm</w:t>
      </w:r>
      <w:r w:rsidR="00647BEA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erena srčana ejekciona frakcija &lt; 50%. Svi uključeni pacijenti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(i oni koji su uzimali aktivnu supstancu i koji su dobijali placebo) istovremeno su bili podvrgnuti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androgen deprivacionoj terapiji, uglavnom upotrebom analoga LHRH, što je bilo udruženo sa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pojavom dijabetesa, infarkta miokarda, cerebrovaskularnog događaja i iznenadne srčane smrti.</w:t>
      </w:r>
    </w:p>
    <w:p w14:paraId="77E88FAB" w14:textId="39712C31" w:rsidR="007B530A" w:rsidRPr="007261BD" w:rsidRDefault="007B530A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 xml:space="preserve">Incidenca kardiovaskularnih neželjenih </w:t>
      </w:r>
      <w:r w:rsidR="00C1569C" w:rsidRPr="007261BD">
        <w:rPr>
          <w:noProof/>
          <w:szCs w:val="22"/>
          <w:lang w:val="sr-Latn-RS"/>
        </w:rPr>
        <w:t xml:space="preserve">dejstava </w:t>
      </w:r>
      <w:r w:rsidRPr="007261BD">
        <w:rPr>
          <w:noProof/>
          <w:szCs w:val="22"/>
          <w:lang w:val="sr-Latn-RS"/>
        </w:rPr>
        <w:t>u studijama faze 3 kod pacijenata koji su uzimali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abirateron</w:t>
      </w:r>
      <w:r w:rsidR="00647BEA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acetat u odnosu na pacijente koji su dobijali placebo bila je sl</w:t>
      </w:r>
      <w:r w:rsidR="00647BEA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edeća: atrijalna fibrilacija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2,6% u odnosu na 2,0%, tahikardija 1,9% u odnosu na 1,0%, angina pektoris 1,7% u odnosu na 0,8%,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srčana insuficijencija 0,7% u odnosu na 0,2% i aritmija 0,7% u odnosu na 0,5%.</w:t>
      </w:r>
    </w:p>
    <w:p w14:paraId="775CC584" w14:textId="77777777" w:rsidR="005E5B8F" w:rsidRPr="007261BD" w:rsidRDefault="005E5B8F">
      <w:pPr>
        <w:rPr>
          <w:i/>
          <w:iCs/>
          <w:noProof/>
          <w:szCs w:val="22"/>
          <w:lang w:val="sr-Latn-RS"/>
        </w:rPr>
      </w:pPr>
    </w:p>
    <w:p w14:paraId="2FDC7B46" w14:textId="787D3B67" w:rsidR="007B530A" w:rsidRPr="007261BD" w:rsidRDefault="007B530A">
      <w:pPr>
        <w:rPr>
          <w:i/>
          <w:iCs/>
          <w:noProof/>
          <w:szCs w:val="22"/>
          <w:lang w:val="sr-Latn-RS"/>
        </w:rPr>
      </w:pPr>
      <w:r w:rsidRPr="007261BD">
        <w:rPr>
          <w:i/>
          <w:iCs/>
          <w:noProof/>
          <w:szCs w:val="22"/>
          <w:lang w:val="sr-Latn-RS"/>
        </w:rPr>
        <w:t>Hepatotoksičnost</w:t>
      </w:r>
    </w:p>
    <w:p w14:paraId="1A3E689E" w14:textId="5F9858B3" w:rsidR="007B530A" w:rsidRPr="007261BD" w:rsidRDefault="007B530A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>Hepatotoksičnost sa povišenim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ednostima ALT, AST i ukupnog bilirubina zab</w:t>
      </w:r>
      <w:r w:rsidR="00647BEA" w:rsidRPr="007261BD">
        <w:rPr>
          <w:noProof/>
          <w:szCs w:val="22"/>
          <w:lang w:val="sr-Latn-RS"/>
        </w:rPr>
        <w:t>i</w:t>
      </w:r>
      <w:r w:rsidRPr="007261BD">
        <w:rPr>
          <w:noProof/>
          <w:szCs w:val="22"/>
          <w:lang w:val="sr-Latn-RS"/>
        </w:rPr>
        <w:t>l</w:t>
      </w:r>
      <w:r w:rsidR="00647BEA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ežena je kod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pacijenata koji su uzimali abirateron</w:t>
      </w:r>
      <w:r w:rsidR="00647BEA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acetat. U kliničkim studijama faze 3, hepatotoksičnost stepena 3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i 4, (npr.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ALT ili AST povišene &gt; 5 x iznad gornje granice normalnih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(GGN) ili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povećanje bilirubina &gt; 1.5 x GGN) zab</w:t>
      </w:r>
      <w:r w:rsidR="00647BEA" w:rsidRPr="007261BD">
        <w:rPr>
          <w:noProof/>
          <w:szCs w:val="22"/>
          <w:lang w:val="sr-Latn-RS"/>
        </w:rPr>
        <w:t>i</w:t>
      </w:r>
      <w:r w:rsidRPr="007261BD">
        <w:rPr>
          <w:noProof/>
          <w:szCs w:val="22"/>
          <w:lang w:val="sr-Latn-RS"/>
        </w:rPr>
        <w:t>l</w:t>
      </w:r>
      <w:r w:rsidR="00647BEA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eženo je kod približno 6% pacijenata koji su uzimali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abirateron</w:t>
      </w:r>
      <w:r w:rsidR="00647BEA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acetat, tipično tokom prva tri m</w:t>
      </w:r>
      <w:r w:rsidR="00647BEA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eseca po započinjanju terapije. U studiji 3011,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hepatotoksičnost stepena 3 ili 4 je zab</w:t>
      </w:r>
      <w:r w:rsidR="00647BEA" w:rsidRPr="007261BD">
        <w:rPr>
          <w:noProof/>
          <w:szCs w:val="22"/>
          <w:lang w:val="sr-Latn-RS"/>
        </w:rPr>
        <w:t>i</w:t>
      </w:r>
      <w:r w:rsidRPr="007261BD">
        <w:rPr>
          <w:noProof/>
          <w:szCs w:val="22"/>
          <w:lang w:val="sr-Latn-RS"/>
        </w:rPr>
        <w:t>l</w:t>
      </w:r>
      <w:r w:rsidR="00647BEA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 xml:space="preserve">ežena kod 8,4% pacijenata koji su uzimali </w:t>
      </w:r>
      <w:r w:rsidR="005E5B8F" w:rsidRPr="007261BD">
        <w:rPr>
          <w:noProof/>
          <w:szCs w:val="22"/>
          <w:lang w:val="sr-Latn-RS"/>
        </w:rPr>
        <w:t>abirateron</w:t>
      </w:r>
      <w:r w:rsidR="00E97398" w:rsidRPr="007261BD">
        <w:rPr>
          <w:noProof/>
          <w:szCs w:val="22"/>
          <w:lang w:val="sr-Latn-RS"/>
        </w:rPr>
        <w:t xml:space="preserve"> acetat</w:t>
      </w:r>
      <w:r w:rsidRPr="007261BD">
        <w:rPr>
          <w:noProof/>
          <w:szCs w:val="22"/>
          <w:lang w:val="sr-Latn-RS"/>
        </w:rPr>
        <w:t>. Deset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 xml:space="preserve">pacijenata koji su uzimali </w:t>
      </w:r>
      <w:r w:rsidR="005E5B8F" w:rsidRPr="007261BD">
        <w:rPr>
          <w:noProof/>
          <w:szCs w:val="22"/>
          <w:lang w:val="sr-Latn-RS"/>
        </w:rPr>
        <w:t>abirateron</w:t>
      </w:r>
      <w:r w:rsidR="00E97398" w:rsidRPr="007261BD">
        <w:rPr>
          <w:noProof/>
          <w:szCs w:val="22"/>
          <w:lang w:val="sr-Latn-RS"/>
        </w:rPr>
        <w:t xml:space="preserve"> acetat</w:t>
      </w:r>
      <w:r w:rsidRPr="007261BD">
        <w:rPr>
          <w:noProof/>
          <w:szCs w:val="22"/>
          <w:lang w:val="sr-Latn-RS"/>
        </w:rPr>
        <w:t xml:space="preserve"> su bili isključeni iz studije zbog hepatotoksičnosti; dva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pacijenta su imala hepatotoksičnost stepena 2, šest pacijenata je imalo hepatotoksičnost stepena 3 i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dva pacijenta su imala stepen 4 hepatotoksičnosti. Hepatotoksičnost nije bila uzrok smrti kod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pacijenata u studiji 3011. U kliničkim studijama faze 3, v</w:t>
      </w:r>
      <w:r w:rsidR="00647BEA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erovatnoća da će doći do povećanja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lastRenderedPageBreak/>
        <w:t>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funkcionalnih testova jetre bila je veća kod pacijenata kojima je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 ALT ili AST bila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povećana i pr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 uvođenja ispitivane terapije u odnosu na one pacijente čije su početne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bile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normalne. Kada je zab</w:t>
      </w:r>
      <w:r w:rsidR="00647BEA" w:rsidRPr="007261BD">
        <w:rPr>
          <w:noProof/>
          <w:szCs w:val="22"/>
          <w:lang w:val="sr-Latn-RS"/>
        </w:rPr>
        <w:t>i</w:t>
      </w:r>
      <w:r w:rsidRPr="007261BD">
        <w:rPr>
          <w:noProof/>
          <w:szCs w:val="22"/>
          <w:lang w:val="sr-Latn-RS"/>
        </w:rPr>
        <w:t>l</w:t>
      </w:r>
      <w:r w:rsidR="00647BEA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ežen porast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bilo ALT ili AST &gt; 5 x GGN, ili povećanja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bilirubina &gt; 3 x GGN, abirateron</w:t>
      </w:r>
      <w:r w:rsidR="00647BEA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acetat je obustavljan privremeno ili trajno. U dva slučaja došlo je do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izrazitog povećanja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funkcionalnih testova jetre (vid</w:t>
      </w:r>
      <w:r w:rsidR="00647BEA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 xml:space="preserve">eti </w:t>
      </w:r>
      <w:r w:rsidR="00647BEA" w:rsidRPr="007261BD">
        <w:rPr>
          <w:noProof/>
          <w:szCs w:val="22"/>
          <w:lang w:val="sr-Latn-RS"/>
        </w:rPr>
        <w:t>dio</w:t>
      </w:r>
      <w:r w:rsidRPr="007261BD">
        <w:rPr>
          <w:noProof/>
          <w:szCs w:val="22"/>
          <w:lang w:val="sr-Latn-RS"/>
        </w:rPr>
        <w:t xml:space="preserve"> 4.4). Kod ova dva pacijenta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kod kojih su na početku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parametara funkcije jetre bile normalne došlo je do porasta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ALT ili AST od 15 do 40 x GGN i povećanja bilirubina od 2 do 6 x GGN. Po obustavi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terapije, kod oba pacijenta došlo je do normalizacije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funkcionalnih testova jetre i kod jednog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pacijenta terapija je ponovo uvedena, a ovi skokovi se nisu ponovili. U studiji 302, porast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ALT ili AST stepena 3 ili 4 je bio zab</w:t>
      </w:r>
      <w:r w:rsidR="00647BEA" w:rsidRPr="007261BD">
        <w:rPr>
          <w:noProof/>
          <w:szCs w:val="22"/>
          <w:lang w:val="sr-Latn-RS"/>
        </w:rPr>
        <w:t>i</w:t>
      </w:r>
      <w:r w:rsidRPr="007261BD">
        <w:rPr>
          <w:noProof/>
          <w:szCs w:val="22"/>
          <w:lang w:val="sr-Latn-RS"/>
        </w:rPr>
        <w:t>l</w:t>
      </w:r>
      <w:r w:rsidR="00647BEA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ežen kod 35 (6,5%) pacijenata koji su uzimali abirateron</w:t>
      </w:r>
      <w:r w:rsidR="00647BEA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acetat.</w:t>
      </w:r>
    </w:p>
    <w:p w14:paraId="3BAA6F7E" w14:textId="45B93369" w:rsidR="007B530A" w:rsidRPr="007261BD" w:rsidRDefault="00CD7164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 xml:space="preserve">Povišene </w:t>
      </w:r>
      <w:r w:rsidR="007B530A" w:rsidRPr="007261BD">
        <w:rPr>
          <w:noProof/>
          <w:szCs w:val="22"/>
          <w:lang w:val="sr-Latn-RS"/>
        </w:rPr>
        <w:t>vr</w:t>
      </w:r>
      <w:r w:rsidR="00647BEA" w:rsidRPr="007261BD">
        <w:rPr>
          <w:noProof/>
          <w:szCs w:val="22"/>
          <w:lang w:val="sr-Latn-RS"/>
        </w:rPr>
        <w:t>ij</w:t>
      </w:r>
      <w:r w:rsidR="007B530A" w:rsidRPr="007261BD">
        <w:rPr>
          <w:noProof/>
          <w:szCs w:val="22"/>
          <w:lang w:val="sr-Latn-RS"/>
        </w:rPr>
        <w:t>ednosti aminotransferaza povukle su se kod svih osim kod 3 pacijenta (kod 2</w:t>
      </w:r>
      <w:r w:rsidR="009C3119" w:rsidRPr="007261BD">
        <w:rPr>
          <w:noProof/>
          <w:szCs w:val="22"/>
          <w:lang w:val="sr-Latn-RS"/>
        </w:rPr>
        <w:t xml:space="preserve"> </w:t>
      </w:r>
      <w:r w:rsidR="007B530A" w:rsidRPr="007261BD">
        <w:rPr>
          <w:noProof/>
          <w:szCs w:val="22"/>
          <w:lang w:val="sr-Latn-RS"/>
        </w:rPr>
        <w:t>pacijenta sa novim višestrukim metastazama na jetri i kod jednog pacijenta sa porastom vr</w:t>
      </w:r>
      <w:r w:rsidR="00647BEA" w:rsidRPr="007261BD">
        <w:rPr>
          <w:noProof/>
          <w:szCs w:val="22"/>
          <w:lang w:val="sr-Latn-RS"/>
        </w:rPr>
        <w:t>ij</w:t>
      </w:r>
      <w:r w:rsidR="007B530A" w:rsidRPr="007261BD">
        <w:rPr>
          <w:noProof/>
          <w:szCs w:val="22"/>
          <w:lang w:val="sr-Latn-RS"/>
        </w:rPr>
        <w:t>ednosti</w:t>
      </w:r>
      <w:r w:rsidR="009C3119" w:rsidRPr="007261BD">
        <w:rPr>
          <w:noProof/>
          <w:szCs w:val="22"/>
          <w:lang w:val="sr-Latn-RS"/>
        </w:rPr>
        <w:t xml:space="preserve"> </w:t>
      </w:r>
      <w:r w:rsidR="007B530A" w:rsidRPr="007261BD">
        <w:rPr>
          <w:noProof/>
          <w:szCs w:val="22"/>
          <w:lang w:val="sr-Latn-RS"/>
        </w:rPr>
        <w:t>AST približno 3 ned</w:t>
      </w:r>
      <w:r w:rsidR="00647BEA" w:rsidRPr="007261BD">
        <w:rPr>
          <w:noProof/>
          <w:szCs w:val="22"/>
          <w:lang w:val="sr-Latn-RS"/>
        </w:rPr>
        <w:t>j</w:t>
      </w:r>
      <w:r w:rsidR="007B530A" w:rsidRPr="007261BD">
        <w:rPr>
          <w:noProof/>
          <w:szCs w:val="22"/>
          <w:lang w:val="sr-Latn-RS"/>
        </w:rPr>
        <w:t>elje nakon posl</w:t>
      </w:r>
      <w:r w:rsidR="00647BEA" w:rsidRPr="007261BD">
        <w:rPr>
          <w:noProof/>
          <w:szCs w:val="22"/>
          <w:lang w:val="sr-Latn-RS"/>
        </w:rPr>
        <w:t>j</w:t>
      </w:r>
      <w:r w:rsidR="007B530A" w:rsidRPr="007261BD">
        <w:rPr>
          <w:noProof/>
          <w:szCs w:val="22"/>
          <w:lang w:val="sr-Latn-RS"/>
        </w:rPr>
        <w:t>ednje doze abirateron-acetata). U kliničkim studijama faze 3,</w:t>
      </w:r>
      <w:r w:rsidR="009C3119" w:rsidRPr="007261BD">
        <w:rPr>
          <w:noProof/>
          <w:szCs w:val="22"/>
          <w:lang w:val="sr-Latn-RS"/>
        </w:rPr>
        <w:t xml:space="preserve"> </w:t>
      </w:r>
      <w:r w:rsidR="007B530A" w:rsidRPr="007261BD">
        <w:rPr>
          <w:noProof/>
          <w:szCs w:val="22"/>
          <w:lang w:val="sr-Latn-RS"/>
        </w:rPr>
        <w:t>prekid terapije zbog povećanja vr</w:t>
      </w:r>
      <w:r w:rsidR="00647BEA" w:rsidRPr="007261BD">
        <w:rPr>
          <w:noProof/>
          <w:szCs w:val="22"/>
          <w:lang w:val="sr-Latn-RS"/>
        </w:rPr>
        <w:t>ij</w:t>
      </w:r>
      <w:r w:rsidR="007B530A" w:rsidRPr="007261BD">
        <w:rPr>
          <w:noProof/>
          <w:szCs w:val="22"/>
          <w:lang w:val="sr-Latn-RS"/>
        </w:rPr>
        <w:t>ednosti ALT i AST ili poremećaja funkcije jetre je bio prijavljen kod</w:t>
      </w:r>
      <w:r w:rsidR="009C3119" w:rsidRPr="007261BD">
        <w:rPr>
          <w:noProof/>
          <w:szCs w:val="22"/>
          <w:lang w:val="sr-Latn-RS"/>
        </w:rPr>
        <w:t xml:space="preserve"> </w:t>
      </w:r>
      <w:r w:rsidR="007B530A" w:rsidRPr="007261BD">
        <w:rPr>
          <w:noProof/>
          <w:szCs w:val="22"/>
          <w:lang w:val="sr-Latn-RS"/>
        </w:rPr>
        <w:t>1,1% pacijenata koji su uzimali abirateron</w:t>
      </w:r>
      <w:r w:rsidR="00647BEA" w:rsidRPr="007261BD">
        <w:rPr>
          <w:noProof/>
          <w:szCs w:val="22"/>
          <w:lang w:val="sr-Latn-RS"/>
        </w:rPr>
        <w:t xml:space="preserve"> </w:t>
      </w:r>
      <w:r w:rsidR="007B530A" w:rsidRPr="007261BD">
        <w:rPr>
          <w:noProof/>
          <w:szCs w:val="22"/>
          <w:lang w:val="sr-Latn-RS"/>
        </w:rPr>
        <w:t>acetat i 0,6% pacijenata koji su dobijali placebo; nisu</w:t>
      </w:r>
      <w:r w:rsidR="009C3119" w:rsidRPr="007261BD">
        <w:rPr>
          <w:noProof/>
          <w:szCs w:val="22"/>
          <w:lang w:val="sr-Latn-RS"/>
        </w:rPr>
        <w:t xml:space="preserve"> </w:t>
      </w:r>
      <w:r w:rsidR="007B530A" w:rsidRPr="007261BD">
        <w:rPr>
          <w:noProof/>
          <w:szCs w:val="22"/>
          <w:lang w:val="sr-Latn-RS"/>
        </w:rPr>
        <w:t>prijavljeni smrtni ishodi zbog hepatotoksičnog događaja.</w:t>
      </w:r>
    </w:p>
    <w:p w14:paraId="4EAE877E" w14:textId="77777777" w:rsidR="00AE13E1" w:rsidRPr="007261BD" w:rsidRDefault="00AE13E1">
      <w:pPr>
        <w:rPr>
          <w:noProof/>
          <w:szCs w:val="22"/>
          <w:lang w:val="sr-Latn-RS"/>
        </w:rPr>
      </w:pPr>
    </w:p>
    <w:p w14:paraId="262951A0" w14:textId="61CB3649" w:rsidR="007B530A" w:rsidRPr="007261BD" w:rsidRDefault="007B530A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>U kliničkim ispitivanjima, rizik od hepatotoksičnosti smanjen je isključivanjem pacijenata sa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hepatitisom kao postojećom bolešću ili značajnim abnormalnostima u funkcionalnim testovima jetre.</w:t>
      </w:r>
    </w:p>
    <w:p w14:paraId="2E029E1F" w14:textId="7C5BB126" w:rsidR="007B530A" w:rsidRPr="007261BD" w:rsidRDefault="007B530A">
      <w:pPr>
        <w:rPr>
          <w:noProof/>
          <w:szCs w:val="22"/>
          <w:lang w:val="sr-Latn-RS"/>
        </w:rPr>
      </w:pPr>
      <w:r w:rsidRPr="007261BD">
        <w:rPr>
          <w:noProof/>
          <w:szCs w:val="22"/>
          <w:lang w:val="sr-Latn-RS"/>
        </w:rPr>
        <w:t>Iz studije 3011 bili su isključeni pacijenti sa početnom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ednošću ALT i AST &gt; 2,5 x GGN,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bilirubinom &gt; 1,5 x GGN ili pacijenti sa aktivnim ili simptomatskim virusnim hepatitisom ili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hroničnim oboljenjem jetre; pacijenti sa ascitesom ili sa poremećajem krvarenja kao posl</w:t>
      </w:r>
      <w:r w:rsidR="00647BEA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edicom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disfunkcije jetre. U studiji 301, pacijenti sa početnim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ednostima ALT i AST ≥ 2,5 x GGN i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odsustvom metastaza na jetri i pacijenti sa metastazama na jetri i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ednostima ALT i AST &gt; 5 x GGN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su bili isključeni. U studiji 302, pacijenti sa metastazama na jetri nisu bili podobni, a pacijenti sa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početnim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ednostima ALT i AST ≥ 2,5 x GGN su bili isključeni. Povećanje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funkcionalnih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testova jetre kod pacijenata koji su učestvovali u kliničkim ispitivanjima r</w:t>
      </w:r>
      <w:r w:rsidR="00647BEA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ešavalo se odlučnim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prekidom terapije i dozvolom da se ona ponovo uvede tek pošto se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ovih testova vrate na one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koje je pacijent imao na početku ispitivanja (vid</w:t>
      </w:r>
      <w:r w:rsidR="00647BEA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 xml:space="preserve">eti </w:t>
      </w:r>
      <w:r w:rsidR="00647BEA" w:rsidRPr="007261BD">
        <w:rPr>
          <w:noProof/>
          <w:szCs w:val="22"/>
          <w:lang w:val="sr-Latn-RS"/>
        </w:rPr>
        <w:t>dio</w:t>
      </w:r>
      <w:r w:rsidRPr="007261BD">
        <w:rPr>
          <w:noProof/>
          <w:szCs w:val="22"/>
          <w:lang w:val="sr-Latn-RS"/>
        </w:rPr>
        <w:t xml:space="preserve"> 4.2). Terapija nije ponovo uvođena kod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pacijenata čije su vr</w:t>
      </w:r>
      <w:r w:rsidR="00647BEA" w:rsidRPr="007261BD">
        <w:rPr>
          <w:noProof/>
          <w:szCs w:val="22"/>
          <w:lang w:val="sr-Latn-RS"/>
        </w:rPr>
        <w:t>ij</w:t>
      </w:r>
      <w:r w:rsidRPr="007261BD">
        <w:rPr>
          <w:noProof/>
          <w:szCs w:val="22"/>
          <w:lang w:val="sr-Latn-RS"/>
        </w:rPr>
        <w:t>ednosti ALT ili AST dostizale &gt; 20 x GGN. Nije poznato koliko je bezb</w:t>
      </w:r>
      <w:r w:rsidR="00647BEA" w:rsidRPr="007261BD">
        <w:rPr>
          <w:noProof/>
          <w:szCs w:val="22"/>
          <w:lang w:val="sr-Latn-RS"/>
        </w:rPr>
        <w:t>j</w:t>
      </w:r>
      <w:r w:rsidRPr="007261BD">
        <w:rPr>
          <w:noProof/>
          <w:szCs w:val="22"/>
          <w:lang w:val="sr-Latn-RS"/>
        </w:rPr>
        <w:t>edno da</w:t>
      </w:r>
      <w:r w:rsidR="009C3119" w:rsidRPr="007261BD">
        <w:rPr>
          <w:noProof/>
          <w:szCs w:val="22"/>
          <w:lang w:val="sr-Latn-RS"/>
        </w:rPr>
        <w:t xml:space="preserve"> </w:t>
      </w:r>
      <w:r w:rsidRPr="007261BD">
        <w:rPr>
          <w:noProof/>
          <w:szCs w:val="22"/>
          <w:lang w:val="sr-Latn-RS"/>
        </w:rPr>
        <w:t>se kod ovih pacijenata terapija ponovo uvodi. Mehanizam hepatotoksičnosti nije razjašnjen.</w:t>
      </w:r>
    </w:p>
    <w:p w14:paraId="23037A5D" w14:textId="77777777" w:rsidR="009551A3" w:rsidRPr="007261BD" w:rsidRDefault="009551A3">
      <w:pPr>
        <w:rPr>
          <w:noProof/>
          <w:szCs w:val="22"/>
          <w:lang w:val="sr-Latn-RS"/>
        </w:rPr>
      </w:pPr>
    </w:p>
    <w:p w14:paraId="04D2E6DB" w14:textId="77777777" w:rsidR="00AE13E1" w:rsidRPr="007261BD" w:rsidRDefault="00AE13E1" w:rsidP="0088122E">
      <w:pPr>
        <w:tabs>
          <w:tab w:val="clear" w:pos="284"/>
        </w:tabs>
        <w:spacing w:line="276" w:lineRule="auto"/>
        <w:jc w:val="left"/>
        <w:rPr>
          <w:rFonts w:eastAsia="Calibri"/>
          <w:szCs w:val="22"/>
          <w:u w:val="single"/>
          <w:lang w:val="sr-Latn-RS"/>
        </w:rPr>
      </w:pPr>
      <w:r w:rsidRPr="007261BD">
        <w:rPr>
          <w:rFonts w:eastAsia="Calibri"/>
          <w:szCs w:val="22"/>
          <w:u w:val="single"/>
          <w:lang w:val="sr-Latn-RS"/>
        </w:rPr>
        <w:t>Prijavljivanje sumnji na neželjena dejstva</w:t>
      </w:r>
    </w:p>
    <w:p w14:paraId="29EF13DC" w14:textId="77777777" w:rsidR="00AE13E1" w:rsidRPr="007261BD" w:rsidRDefault="00AE13E1" w:rsidP="0088122E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7261BD">
        <w:rPr>
          <w:rFonts w:eastAsia="Calibri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53D9B085" w14:textId="77777777" w:rsidR="00AE13E1" w:rsidRPr="007261BD" w:rsidRDefault="00AE13E1" w:rsidP="00480E7D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7261BD">
        <w:rPr>
          <w:rFonts w:eastAsia="Calibri"/>
          <w:szCs w:val="22"/>
          <w:lang w:val="sr-Latn-RS"/>
        </w:rPr>
        <w:t xml:space="preserve">Institut za ljekove i medicinska sredstva </w:t>
      </w:r>
    </w:p>
    <w:p w14:paraId="6155B0BC" w14:textId="77777777" w:rsidR="00AE13E1" w:rsidRPr="007261BD" w:rsidRDefault="00AE13E1" w:rsidP="00480E7D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7261BD">
        <w:rPr>
          <w:rFonts w:eastAsia="Calibri"/>
          <w:szCs w:val="22"/>
          <w:lang w:val="sr-Latn-RS"/>
        </w:rPr>
        <w:t>Odjeljenje za farmakovigilancu</w:t>
      </w:r>
    </w:p>
    <w:p w14:paraId="2F6A1502" w14:textId="77777777" w:rsidR="00AE13E1" w:rsidRPr="007261BD" w:rsidRDefault="00AE13E1" w:rsidP="00480E7D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7261BD">
        <w:rPr>
          <w:rFonts w:eastAsia="Calibri"/>
          <w:szCs w:val="22"/>
          <w:lang w:val="sr-Latn-RS"/>
        </w:rPr>
        <w:t>Bulevar Ivana Crnojevića 64a, 81000 Podgorica</w:t>
      </w:r>
    </w:p>
    <w:p w14:paraId="13B4B91C" w14:textId="77777777" w:rsidR="00AE13E1" w:rsidRPr="007261BD" w:rsidRDefault="00AE13E1" w:rsidP="00480E7D">
      <w:pPr>
        <w:tabs>
          <w:tab w:val="clear" w:pos="284"/>
        </w:tabs>
        <w:jc w:val="left"/>
        <w:rPr>
          <w:rFonts w:eastAsia="Calibri"/>
          <w:szCs w:val="22"/>
          <w:lang w:val="sr-Latn-RS"/>
        </w:rPr>
      </w:pPr>
    </w:p>
    <w:p w14:paraId="172E104F" w14:textId="77777777" w:rsidR="00AE13E1" w:rsidRPr="007261BD" w:rsidRDefault="00AE13E1" w:rsidP="00480E7D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7261BD">
        <w:rPr>
          <w:rFonts w:eastAsia="Calibri"/>
          <w:szCs w:val="22"/>
          <w:lang w:val="sr-Latn-RS"/>
        </w:rPr>
        <w:t>tel: +382 (0) 20 310 280</w:t>
      </w:r>
    </w:p>
    <w:p w14:paraId="5D3475D2" w14:textId="77777777" w:rsidR="00AE13E1" w:rsidRPr="007261BD" w:rsidRDefault="00AE13E1" w:rsidP="008560D8">
      <w:pPr>
        <w:tabs>
          <w:tab w:val="clear" w:pos="284"/>
          <w:tab w:val="left" w:pos="6720"/>
        </w:tabs>
        <w:rPr>
          <w:rFonts w:eastAsia="Calibri"/>
          <w:szCs w:val="22"/>
          <w:lang w:val="sr-Latn-RS"/>
        </w:rPr>
      </w:pPr>
      <w:r w:rsidRPr="007261BD">
        <w:rPr>
          <w:rFonts w:eastAsia="Calibri"/>
          <w:szCs w:val="22"/>
          <w:lang w:val="sr-Latn-RS"/>
        </w:rPr>
        <w:t>fax: +382 (0) 20 310 581</w:t>
      </w:r>
      <w:r w:rsidRPr="007261BD">
        <w:rPr>
          <w:rFonts w:eastAsia="Calibri"/>
          <w:szCs w:val="22"/>
          <w:lang w:val="sr-Latn-RS"/>
        </w:rPr>
        <w:tab/>
      </w:r>
    </w:p>
    <w:p w14:paraId="4098F24C" w14:textId="77777777" w:rsidR="00AE13E1" w:rsidRPr="007261BD" w:rsidRDefault="00CA13F7" w:rsidP="008560D8">
      <w:pPr>
        <w:tabs>
          <w:tab w:val="clear" w:pos="284"/>
        </w:tabs>
        <w:rPr>
          <w:rFonts w:eastAsia="Calibri"/>
          <w:szCs w:val="22"/>
          <w:lang w:val="sr-Latn-RS"/>
        </w:rPr>
      </w:pPr>
      <w:hyperlink r:id="rId8" w:history="1">
        <w:r w:rsidR="00AE13E1" w:rsidRPr="007261BD">
          <w:rPr>
            <w:rFonts w:eastAsia="Calibri"/>
            <w:color w:val="0563C1"/>
            <w:szCs w:val="22"/>
            <w:u w:val="single"/>
            <w:lang w:val="sr-Latn-RS"/>
          </w:rPr>
          <w:t>www.cinmed.me</w:t>
        </w:r>
      </w:hyperlink>
    </w:p>
    <w:p w14:paraId="469434DC" w14:textId="77777777" w:rsidR="00AE13E1" w:rsidRPr="007261BD" w:rsidRDefault="00CA13F7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RS"/>
        </w:rPr>
      </w:pPr>
      <w:hyperlink r:id="rId9" w:history="1">
        <w:r w:rsidR="00AE13E1" w:rsidRPr="007261BD">
          <w:rPr>
            <w:rFonts w:eastAsia="Calibri"/>
            <w:color w:val="0563C1"/>
            <w:szCs w:val="22"/>
            <w:u w:val="single"/>
            <w:lang w:val="sr-Latn-RS"/>
          </w:rPr>
          <w:t>nezeljenadejstva@cinmed.me</w:t>
        </w:r>
      </w:hyperlink>
    </w:p>
    <w:p w14:paraId="3EBCC14D" w14:textId="77777777" w:rsidR="00AE13E1" w:rsidRPr="007261BD" w:rsidRDefault="00AE13E1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7261BD">
        <w:rPr>
          <w:rFonts w:eastAsia="Calibri"/>
          <w:szCs w:val="22"/>
          <w:lang w:val="sr-Latn-RS"/>
        </w:rPr>
        <w:t>putem IS zdravstvene zaštite</w:t>
      </w:r>
    </w:p>
    <w:p w14:paraId="6A507798" w14:textId="77777777" w:rsidR="00AE13E1" w:rsidRPr="007261BD" w:rsidRDefault="00AE13E1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7261BD">
        <w:rPr>
          <w:rFonts w:eastAsia="Calibri"/>
          <w:szCs w:val="22"/>
          <w:lang w:val="sr-Latn-RS"/>
        </w:rPr>
        <w:t>QR kod za online prijavu sumnje na neželjeno dejstvo lijeka:</w:t>
      </w:r>
    </w:p>
    <w:p w14:paraId="2C08ED25" w14:textId="77777777" w:rsidR="00AE13E1" w:rsidRPr="007261BD" w:rsidRDefault="00AE13E1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6D7E5FA2" w14:textId="02EECB85" w:rsidR="00AE13E1" w:rsidRPr="007261BD" w:rsidRDefault="00DE0AA6">
      <w:pPr>
        <w:tabs>
          <w:tab w:val="clear" w:pos="284"/>
        </w:tabs>
        <w:jc w:val="left"/>
        <w:rPr>
          <w:rFonts w:eastAsia="Calibri"/>
          <w:szCs w:val="22"/>
          <w:lang w:val="sr-Latn-RS"/>
        </w:rPr>
      </w:pPr>
      <w:r w:rsidRPr="007261BD">
        <w:rPr>
          <w:noProof/>
          <w:szCs w:val="22"/>
          <w:lang w:val="sr-Latn-ME" w:eastAsia="sr-Latn-ME"/>
        </w:rPr>
        <w:drawing>
          <wp:inline distT="0" distB="0" distL="0" distR="0" wp14:anchorId="1A54FE1B" wp14:editId="6D702956">
            <wp:extent cx="971550" cy="971550"/>
            <wp:effectExtent l="0" t="0" r="0" b="0"/>
            <wp:docPr id="1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7839" w14:textId="16030B51" w:rsidR="000F60F3" w:rsidRPr="007261BD" w:rsidRDefault="000F60F3">
      <w:pPr>
        <w:rPr>
          <w:szCs w:val="22"/>
          <w:lang w:val="sr-Latn-RS"/>
        </w:rPr>
      </w:pPr>
    </w:p>
    <w:p w14:paraId="0DD5EEC8" w14:textId="77777777" w:rsidR="00100486" w:rsidRPr="007261BD" w:rsidRDefault="00100486">
      <w:pPr>
        <w:rPr>
          <w:szCs w:val="22"/>
          <w:lang w:val="sr-Latn-RS"/>
        </w:rPr>
      </w:pPr>
    </w:p>
    <w:p w14:paraId="1B116D4C" w14:textId="77777777" w:rsidR="00007EF9" w:rsidRPr="007261BD" w:rsidRDefault="00007EF9" w:rsidP="0088122E">
      <w:pPr>
        <w:pStyle w:val="NASLOV123"/>
        <w:spacing w:before="0" w:after="0"/>
        <w:jc w:val="both"/>
        <w:rPr>
          <w:lang w:val="sr-Latn-RS"/>
        </w:rPr>
      </w:pPr>
      <w:r w:rsidRPr="007261BD">
        <w:rPr>
          <w:lang w:val="sr-Latn-RS"/>
        </w:rPr>
        <w:t>5. FARMAKOLOŠKI PODACI</w:t>
      </w:r>
    </w:p>
    <w:p w14:paraId="216D59EB" w14:textId="77777777" w:rsidR="00100486" w:rsidRPr="007261BD" w:rsidRDefault="00100486" w:rsidP="00480E7D">
      <w:pPr>
        <w:rPr>
          <w:b/>
          <w:bCs/>
          <w:szCs w:val="22"/>
          <w:lang w:val="sr-Latn-RS"/>
        </w:rPr>
      </w:pPr>
    </w:p>
    <w:p w14:paraId="1B116D4D" w14:textId="54B0E5D1" w:rsidR="00007EF9" w:rsidRPr="007261BD" w:rsidRDefault="00007EF9" w:rsidP="00480E7D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5.1. Farmakodinamski podaci</w:t>
      </w:r>
    </w:p>
    <w:p w14:paraId="73165FFD" w14:textId="77777777" w:rsidR="00803C71" w:rsidRPr="007261BD" w:rsidRDefault="00803C71" w:rsidP="00480E7D">
      <w:pPr>
        <w:rPr>
          <w:b/>
          <w:bCs/>
          <w:szCs w:val="22"/>
          <w:lang w:val="sr-Latn-RS"/>
        </w:rPr>
      </w:pPr>
    </w:p>
    <w:p w14:paraId="1B116D4E" w14:textId="1E92CE96" w:rsidR="00007EF9" w:rsidRPr="007261BD" w:rsidRDefault="00007EF9" w:rsidP="00480E7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Farmakoterapijska grupa:</w:t>
      </w:r>
      <w:r w:rsidR="007B530A" w:rsidRPr="007261BD">
        <w:rPr>
          <w:szCs w:val="22"/>
          <w:lang w:val="sr-Latn-RS"/>
        </w:rPr>
        <w:t xml:space="preserve"> endokrinološka terapija, ostali hormonski antagonisti i srodni l</w:t>
      </w:r>
      <w:r w:rsidR="003525D9" w:rsidRPr="007261BD">
        <w:rPr>
          <w:szCs w:val="22"/>
          <w:lang w:val="sr-Latn-RS"/>
        </w:rPr>
        <w:t>j</w:t>
      </w:r>
      <w:r w:rsidR="007B530A" w:rsidRPr="007261BD">
        <w:rPr>
          <w:szCs w:val="22"/>
          <w:lang w:val="sr-Latn-RS"/>
        </w:rPr>
        <w:t>ekovi</w:t>
      </w:r>
    </w:p>
    <w:p w14:paraId="1B116D50" w14:textId="7F355465" w:rsidR="00007EF9" w:rsidRPr="007261BD" w:rsidRDefault="00007EF9" w:rsidP="00480E7D">
      <w:pPr>
        <w:rPr>
          <w:b/>
          <w:bCs/>
          <w:szCs w:val="22"/>
          <w:lang w:val="sr-Latn-RS"/>
        </w:rPr>
      </w:pPr>
      <w:r w:rsidRPr="007261BD">
        <w:rPr>
          <w:szCs w:val="22"/>
          <w:lang w:val="sr-Latn-RS"/>
        </w:rPr>
        <w:t xml:space="preserve">ATC </w:t>
      </w:r>
      <w:r w:rsidR="00803C71" w:rsidRPr="007261BD">
        <w:rPr>
          <w:szCs w:val="22"/>
          <w:lang w:val="sr-Latn-RS"/>
        </w:rPr>
        <w:t>kod</w:t>
      </w:r>
      <w:r w:rsidRPr="007261BD">
        <w:rPr>
          <w:szCs w:val="22"/>
          <w:lang w:val="sr-Latn-RS"/>
        </w:rPr>
        <w:t>:</w:t>
      </w:r>
      <w:r w:rsidR="000A2695" w:rsidRPr="007261BD">
        <w:rPr>
          <w:szCs w:val="22"/>
          <w:lang w:val="sr-Latn-RS"/>
        </w:rPr>
        <w:t xml:space="preserve"> L02BX03</w:t>
      </w:r>
    </w:p>
    <w:p w14:paraId="34B9BACA" w14:textId="77777777" w:rsidR="009551A3" w:rsidRPr="007261BD" w:rsidRDefault="009551A3" w:rsidP="00480E7D">
      <w:pPr>
        <w:rPr>
          <w:szCs w:val="22"/>
          <w:lang w:val="sr-Latn-RS"/>
        </w:rPr>
      </w:pPr>
    </w:p>
    <w:p w14:paraId="248457A5" w14:textId="2D691E3C" w:rsidR="000A2695" w:rsidRPr="007261BD" w:rsidRDefault="000A2695" w:rsidP="008560D8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Mehanizam dejstva</w:t>
      </w:r>
    </w:p>
    <w:p w14:paraId="04231B87" w14:textId="1FC2AC0B" w:rsidR="000A2695" w:rsidRPr="007261BD" w:rsidRDefault="000A269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Abirateron</w:t>
      </w:r>
      <w:r w:rsidR="00647BEA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 (l</w:t>
      </w:r>
      <w:r w:rsidR="00647BE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</w:t>
      </w:r>
      <w:r w:rsidR="00BC24C2" w:rsidRPr="007261BD">
        <w:rPr>
          <w:noProof/>
          <w:szCs w:val="22"/>
          <w:lang w:val="sr-Latn-RS"/>
        </w:rPr>
        <w:t>Enagal</w:t>
      </w:r>
      <w:r w:rsidRPr="007261BD">
        <w:rPr>
          <w:szCs w:val="22"/>
          <w:lang w:val="sr-Latn-RS"/>
        </w:rPr>
        <w:t xml:space="preserve">) se </w:t>
      </w:r>
      <w:r w:rsidRPr="007261BD">
        <w:rPr>
          <w:i/>
          <w:iCs/>
          <w:szCs w:val="22"/>
          <w:lang w:val="sr-Latn-RS"/>
        </w:rPr>
        <w:t xml:space="preserve">in vivo </w:t>
      </w:r>
      <w:r w:rsidRPr="007261BD">
        <w:rPr>
          <w:szCs w:val="22"/>
          <w:lang w:val="sr-Latn-RS"/>
        </w:rPr>
        <w:t>pretvara u abirateron, inhibitor biosinteze androgena.</w:t>
      </w:r>
    </w:p>
    <w:p w14:paraId="2985A202" w14:textId="5BA774AB" w:rsidR="000A2695" w:rsidRPr="007261BD" w:rsidRDefault="000A269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Specifično, abirateron selektivno inhibira enzim 17α-hidroksilazu/C17,20-liazu (CYP17). Ovaj enzim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se eksprimira i potreban je za biosintezu androgena u tkivima tumora testisa, nadbubrega i prostate.</w:t>
      </w:r>
    </w:p>
    <w:p w14:paraId="7E67C225" w14:textId="7BD730D7" w:rsidR="000A2695" w:rsidRPr="007261BD" w:rsidRDefault="000A269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CYP17 katalizuje konverziju pregnenolona i progesterona u prekursore testosterona, i to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17α-hidroksilacijom u prekursor DHEA, odnosno c</w:t>
      </w:r>
      <w:r w:rsidR="003525D9" w:rsidRPr="007261BD">
        <w:rPr>
          <w:szCs w:val="22"/>
          <w:lang w:val="sr-Latn-RS"/>
        </w:rPr>
        <w:t>i</w:t>
      </w:r>
      <w:r w:rsidR="00647BE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epanjem C17,20 veze u prekursor androstendion.</w:t>
      </w:r>
    </w:p>
    <w:p w14:paraId="47583228" w14:textId="2D22B0D9" w:rsidR="000A2695" w:rsidRPr="007261BD" w:rsidRDefault="000A269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Inhibicija CYP17 dovodi i do povećane produkcije mineralokortikoida u nadbubrežnim žl</w:t>
      </w:r>
      <w:r w:rsidR="00647BE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ezdama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(vid</w:t>
      </w:r>
      <w:r w:rsidR="00647BE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647BEA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4.4).</w:t>
      </w:r>
    </w:p>
    <w:p w14:paraId="29D51103" w14:textId="6CF6144A" w:rsidR="009551A3" w:rsidRPr="007261BD" w:rsidRDefault="000A269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Androgen-senzitivni karcinom prostate odgovara na terapiju kojom se snižavaju koncentracije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androgena. Androgen deprivacione terapije kao što je terapija analozima LHRH ili orhiektomija,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smanjuju stvaranje androgena u testisima, ali ne utiče na stvaranje androgena u nadbubrežnim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žl</w:t>
      </w:r>
      <w:r w:rsidR="00647BE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ezdama ili u tumoru. Terapija l</w:t>
      </w:r>
      <w:r w:rsidR="00647BE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ekom </w:t>
      </w:r>
      <w:r w:rsidR="00BC24C2" w:rsidRPr="007261BD">
        <w:rPr>
          <w:noProof/>
          <w:szCs w:val="22"/>
          <w:lang w:val="sr-Latn-RS"/>
        </w:rPr>
        <w:t>Enagal</w:t>
      </w:r>
      <w:r w:rsidRPr="007261BD">
        <w:rPr>
          <w:szCs w:val="22"/>
          <w:lang w:val="sr-Latn-RS"/>
        </w:rPr>
        <w:t xml:space="preserve"> smanjuje koncentraciju testosterona u serumu ispod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nivoa detekcije (kada se koriste komercijalni testovi) kada se daje uz analoge LHRH (ili uz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orhiektomiju).</w:t>
      </w:r>
    </w:p>
    <w:p w14:paraId="6A973F9C" w14:textId="77777777" w:rsidR="006B7C4E" w:rsidRPr="007261BD" w:rsidRDefault="006B7C4E">
      <w:pPr>
        <w:rPr>
          <w:szCs w:val="22"/>
          <w:u w:val="single"/>
          <w:lang w:val="sr-Latn-RS"/>
        </w:rPr>
      </w:pPr>
    </w:p>
    <w:p w14:paraId="45A5F3D5" w14:textId="057665DB" w:rsidR="000A2695" w:rsidRPr="007261BD" w:rsidRDefault="000A2695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Farmakodinamsk</w:t>
      </w:r>
      <w:r w:rsidR="00AE13E1" w:rsidRPr="007261BD">
        <w:rPr>
          <w:szCs w:val="22"/>
          <w:u w:val="single"/>
          <w:lang w:val="sr-Latn-RS"/>
        </w:rPr>
        <w:t>o</w:t>
      </w:r>
      <w:r w:rsidRPr="007261BD">
        <w:rPr>
          <w:szCs w:val="22"/>
          <w:u w:val="single"/>
          <w:lang w:val="sr-Latn-RS"/>
        </w:rPr>
        <w:t xml:space="preserve"> dejstv</w:t>
      </w:r>
      <w:r w:rsidR="00AE13E1" w:rsidRPr="007261BD">
        <w:rPr>
          <w:szCs w:val="22"/>
          <w:u w:val="single"/>
          <w:lang w:val="sr-Latn-RS"/>
        </w:rPr>
        <w:t>o</w:t>
      </w:r>
    </w:p>
    <w:p w14:paraId="44C7F53C" w14:textId="58C2D74D" w:rsidR="000A2695" w:rsidRPr="007261BD" w:rsidRDefault="000A269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L</w:t>
      </w:r>
      <w:r w:rsidR="00647BE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</w:t>
      </w:r>
      <w:r w:rsidR="00BC24C2" w:rsidRPr="007261BD">
        <w:rPr>
          <w:noProof/>
          <w:szCs w:val="22"/>
          <w:lang w:val="sr-Latn-RS"/>
        </w:rPr>
        <w:t>Enagal</w:t>
      </w:r>
      <w:r w:rsidRPr="007261BD">
        <w:rPr>
          <w:szCs w:val="22"/>
          <w:lang w:val="sr-Latn-RS"/>
        </w:rPr>
        <w:t xml:space="preserve"> snižava koncentraciju testosterona i drugih androgena u serumu do koncentracija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manjih od onih koji se postižu prim</w:t>
      </w:r>
      <w:r w:rsidR="00647BE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enom samih analoga LHRH ili orhiektomijom. Ovo je rezultat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selektivne inhibicije CYP17 enzima koji je potreban za biosintezu androgena. Antigen specifičan za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prostatu (PSA) služi kao biomarker kod pacijenata sa karcinomom prostate. U kliničkoj studiji faze 3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kod pacijenata koji nisu odgovorili na prethodnu hemioterapiju taksanima, kod 38% pacijenata koji su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uzimali abirateron</w:t>
      </w:r>
      <w:r w:rsidR="00647BEA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 i kod 10% pacijenata koji su dobijali placebo, postignuto je smanjenje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vr</w:t>
      </w:r>
      <w:r w:rsidR="00647BE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PSA za najmanje 50% u odnosu na početne vr</w:t>
      </w:r>
      <w:r w:rsidR="00647BE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ednosti.</w:t>
      </w:r>
    </w:p>
    <w:p w14:paraId="3944BDC0" w14:textId="77777777" w:rsidR="009551A3" w:rsidRPr="007261BD" w:rsidRDefault="009551A3">
      <w:pPr>
        <w:rPr>
          <w:szCs w:val="22"/>
          <w:lang w:val="sr-Latn-RS"/>
        </w:rPr>
      </w:pPr>
    </w:p>
    <w:p w14:paraId="4617DF3B" w14:textId="45CA8F25" w:rsidR="000A2695" w:rsidRPr="007261BD" w:rsidRDefault="000A2695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Klinička efikasnost i bezb</w:t>
      </w:r>
      <w:r w:rsidR="00647BEA" w:rsidRPr="007261BD">
        <w:rPr>
          <w:szCs w:val="22"/>
          <w:u w:val="single"/>
          <w:lang w:val="sr-Latn-RS"/>
        </w:rPr>
        <w:t>j</w:t>
      </w:r>
      <w:r w:rsidRPr="007261BD">
        <w:rPr>
          <w:szCs w:val="22"/>
          <w:u w:val="single"/>
          <w:lang w:val="sr-Latn-RS"/>
        </w:rPr>
        <w:t>ednost</w:t>
      </w:r>
    </w:p>
    <w:p w14:paraId="67F6FFE7" w14:textId="483CE97E" w:rsidR="000A2695" w:rsidRPr="007261BD" w:rsidRDefault="000A269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Efikasnost je utvrđena u tri multicentrične, randomizovane placebo-kontrolisane kliničke studije faze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3 (studije 3011, 302 i 301) kod pacijenata sa mHSPC i mCRPC. Studija 3011 je uključivala pacijente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sa novodijagnostifikovanim (unutar 3 m</w:t>
      </w:r>
      <w:r w:rsidR="00647BE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eseca od randomizacije) mHSPC koji su imali prognostičke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faktore visokog rizika. Prognostički faktori visokog rizika su bili definisani kao najmanje 2 od sl</w:t>
      </w:r>
      <w:r w:rsidR="00647BE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edeća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3 faktora rizika: (1) </w:t>
      </w:r>
      <w:r w:rsidRPr="007261BD">
        <w:rPr>
          <w:i/>
          <w:iCs/>
          <w:szCs w:val="22"/>
          <w:lang w:val="sr-Latn-RS"/>
        </w:rPr>
        <w:t xml:space="preserve">Gleason </w:t>
      </w:r>
      <w:r w:rsidRPr="007261BD">
        <w:rPr>
          <w:szCs w:val="22"/>
          <w:lang w:val="sr-Latn-RS"/>
        </w:rPr>
        <w:t>skor ≥8; (2) postojanje 3 ili više lezija na snimku kostiju; (3) prisustvo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m</w:t>
      </w:r>
      <w:r w:rsidR="00647BE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erljivih visceralnih (isključujući oboljenja limfnih nodusa) metastaza. U aktivnoj grupi (grupa koja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uzima aktivnu supstancu), </w:t>
      </w:r>
      <w:bookmarkStart w:id="1" w:name="_Hlk80188163"/>
      <w:r w:rsidR="009551A3" w:rsidRPr="007261BD">
        <w:rPr>
          <w:szCs w:val="22"/>
          <w:lang w:val="sr-Latn-RS"/>
        </w:rPr>
        <w:t>abirateron</w:t>
      </w:r>
      <w:r w:rsidR="00E97398" w:rsidRPr="007261BD">
        <w:rPr>
          <w:szCs w:val="22"/>
          <w:lang w:val="sr-Latn-RS"/>
        </w:rPr>
        <w:t xml:space="preserve"> acetat</w:t>
      </w:r>
      <w:r w:rsidRPr="007261BD">
        <w:rPr>
          <w:szCs w:val="22"/>
          <w:lang w:val="sr-Latn-RS"/>
        </w:rPr>
        <w:t xml:space="preserve"> </w:t>
      </w:r>
      <w:bookmarkEnd w:id="1"/>
      <w:r w:rsidRPr="007261BD">
        <w:rPr>
          <w:szCs w:val="22"/>
          <w:lang w:val="sr-Latn-RS"/>
        </w:rPr>
        <w:t>je bio prim</w:t>
      </w:r>
      <w:r w:rsidR="00647BE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enjen u dozi od 1000 mg na dan u kombinaciji sa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malom dozom prednizona od 5 mg jednom dnevno dodatno uz androgen deprivacionu terapiju (ADT)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(LHRH agonisti ili orhiektomija) što je bila standardna terapija. Pacijenti u kontrolnoj grupi su primili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ADT i placebo um</w:t>
      </w:r>
      <w:r w:rsidR="00647BE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esto </w:t>
      </w:r>
      <w:r w:rsidR="009551A3" w:rsidRPr="007261BD">
        <w:rPr>
          <w:szCs w:val="22"/>
          <w:lang w:val="sr-Latn-RS"/>
        </w:rPr>
        <w:t>abirateron</w:t>
      </w:r>
      <w:r w:rsidR="00E97398" w:rsidRPr="007261BD">
        <w:rPr>
          <w:szCs w:val="22"/>
          <w:lang w:val="sr-Latn-RS"/>
        </w:rPr>
        <w:t xml:space="preserve"> acetata</w:t>
      </w:r>
      <w:r w:rsidR="009551A3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 prednizona. Studija 302 je uključivala pacijente koji nisu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primali docetaksel; dok su u studiju 301 bili uključeni pacijenti koji su prethodno primali docetaksel.</w:t>
      </w:r>
    </w:p>
    <w:p w14:paraId="5E57C886" w14:textId="6ADD526B" w:rsidR="000A2695" w:rsidRPr="007261BD" w:rsidRDefault="000A269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Pacijenti su primali neki LHRH analog ili su prethodno podvrgnuti orhiektomiji. U aktivnoj grupi,</w:t>
      </w:r>
      <w:r w:rsidR="009C3119" w:rsidRPr="007261BD">
        <w:rPr>
          <w:szCs w:val="22"/>
          <w:lang w:val="sr-Latn-RS"/>
        </w:rPr>
        <w:t xml:space="preserve"> </w:t>
      </w:r>
      <w:r w:rsidR="009551A3" w:rsidRPr="007261BD">
        <w:rPr>
          <w:szCs w:val="22"/>
          <w:lang w:val="sr-Latn-RS"/>
        </w:rPr>
        <w:t>abirateron</w:t>
      </w:r>
      <w:r w:rsidR="00E97398" w:rsidRPr="007261BD">
        <w:rPr>
          <w:szCs w:val="22"/>
          <w:lang w:val="sr-Latn-RS"/>
        </w:rPr>
        <w:t xml:space="preserve"> acetat</w:t>
      </w:r>
      <w:r w:rsidR="009551A3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je prim</w:t>
      </w:r>
      <w:r w:rsidR="00647BEA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enjivan u dozi od 1000 mg na dan u kombinaciji sa malom dozom prednizona ili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prednizolona 5 mg dva puta na dan. Pacijenti u kontrolnoj grupi su dobijali placebo i malu dozu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prednizona ili prednizolona 5 mg dva puta na dan.</w:t>
      </w:r>
    </w:p>
    <w:p w14:paraId="1B116D51" w14:textId="20F9CD08" w:rsidR="00007EF9" w:rsidRPr="007261BD" w:rsidRDefault="000A269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Same prom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u koncentraciji PSA u serumu ne predviđaju uv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ek kliničku korist. Prema tome, u svim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studijama je bilo preporučeno da pacijenti nastave sa terapijom prim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enjenom u studiji, dok se ne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ustanove kriterijumi za prekidanje terapije kako je navedeno u tekstu ispod za svaku studiju.</w:t>
      </w:r>
    </w:p>
    <w:p w14:paraId="663C4617" w14:textId="67BD909A" w:rsidR="000A2695" w:rsidRPr="007261BD" w:rsidRDefault="000A269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svim studijama prim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ena spironolaktona nije bila dozvoljena jer se spironolakton vezuje za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androgene receptore i može da poveća vr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 PSA.</w:t>
      </w:r>
    </w:p>
    <w:p w14:paraId="25485466" w14:textId="77777777" w:rsidR="009551A3" w:rsidRPr="007261BD" w:rsidRDefault="009551A3">
      <w:pPr>
        <w:rPr>
          <w:b/>
          <w:bCs/>
          <w:i/>
          <w:iCs/>
          <w:szCs w:val="22"/>
          <w:lang w:val="sr-Latn-RS"/>
        </w:rPr>
      </w:pPr>
    </w:p>
    <w:p w14:paraId="3159DDDD" w14:textId="69C4283B" w:rsidR="000A2695" w:rsidRPr="007261BD" w:rsidRDefault="000A2695">
      <w:pPr>
        <w:rPr>
          <w:b/>
          <w:bCs/>
          <w:i/>
          <w:iCs/>
          <w:szCs w:val="22"/>
          <w:lang w:val="sr-Latn-RS"/>
        </w:rPr>
      </w:pPr>
      <w:r w:rsidRPr="007261BD">
        <w:rPr>
          <w:b/>
          <w:bCs/>
          <w:i/>
          <w:iCs/>
          <w:szCs w:val="22"/>
          <w:lang w:val="sr-Latn-RS"/>
        </w:rPr>
        <w:t>Studija 3011 (pacijenti sa novodijagnostifikovanim mHSPC visokog rizika)</w:t>
      </w:r>
    </w:p>
    <w:p w14:paraId="582B4CC6" w14:textId="620829A2" w:rsidR="000A2695" w:rsidRPr="007261BD" w:rsidRDefault="000A269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studiji 3011, (n=1199) pros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ečna starost uključenih pacijenata je bila 67 godina. Broj pacijenata koji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su uzimali </w:t>
      </w:r>
      <w:r w:rsidR="009551A3" w:rsidRPr="007261BD">
        <w:rPr>
          <w:szCs w:val="22"/>
          <w:lang w:val="sr-Latn-RS"/>
        </w:rPr>
        <w:t>abirateron</w:t>
      </w:r>
      <w:r w:rsidR="00E97398" w:rsidRPr="007261BD">
        <w:rPr>
          <w:szCs w:val="22"/>
          <w:lang w:val="sr-Latn-RS"/>
        </w:rPr>
        <w:t xml:space="preserve"> acetat</w:t>
      </w:r>
      <w:r w:rsidR="009551A3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prema rasnim grupama, bio je sl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edeći: b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ela rasa 832 (69,4%), </w:t>
      </w:r>
      <w:r w:rsidR="007144BA" w:rsidRPr="007261BD">
        <w:rPr>
          <w:szCs w:val="22"/>
          <w:lang w:val="sr-Latn-RS"/>
        </w:rPr>
        <w:t>A</w:t>
      </w:r>
      <w:r w:rsidRPr="007261BD">
        <w:rPr>
          <w:szCs w:val="22"/>
          <w:lang w:val="sr-Latn-RS"/>
        </w:rPr>
        <w:t>zijati 246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(20,5%) crna rasa ili afroamerikanci 25 (2,1%), ostali 80 (6,7%) nepoznato/neprijavljeno 13 (1,1%) 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3 (0,3%) američka indijanca ili domoroca sa Aljaske. Vr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 ECOG funkcionalnog statusa je bila 0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ili 1 za 97% pacijenata. Pacijenti sa potvrđenim metastazama na mozgu, nekontrolisanom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hipertenzijom, značajnim srčanim oboljenjem ili sa srčanom insuficijencijom NYHA klase II do IV su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bili isključeni. Pacijenti koji su prethodno </w:t>
      </w:r>
      <w:r w:rsidRPr="007261BD">
        <w:rPr>
          <w:szCs w:val="22"/>
          <w:lang w:val="sr-Latn-RS"/>
        </w:rPr>
        <w:lastRenderedPageBreak/>
        <w:t>bili podvrgnuti farmakoterapiji, radioterapiji ili hirurškom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zahvatu za metastatski karcinom prostate su bili isključeni sa izuzetkom od najviše 3 m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androgen deprivacione terapije (ADT) ili 1 ciklusa palijativne radijacije ili hirurškog zahvata za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l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ečenje simptoma koji su rezultat metastatskog oboljenja. </w:t>
      </w:r>
      <w:r w:rsidR="00DC49BD" w:rsidRPr="007261BD">
        <w:rPr>
          <w:szCs w:val="22"/>
          <w:lang w:val="sr-Latn-RS"/>
        </w:rPr>
        <w:t>K</w:t>
      </w:r>
      <w:r w:rsidR="00B95173" w:rsidRPr="007261BD">
        <w:rPr>
          <w:szCs w:val="22"/>
          <w:lang w:val="sr-Latn-RS"/>
        </w:rPr>
        <w:t>o</w:t>
      </w:r>
      <w:r w:rsidR="00DC49BD" w:rsidRPr="007261BD">
        <w:rPr>
          <w:szCs w:val="22"/>
          <w:lang w:val="sr-Latn-RS"/>
        </w:rPr>
        <w:t>p</w:t>
      </w:r>
      <w:r w:rsidRPr="007261BD">
        <w:rPr>
          <w:szCs w:val="22"/>
          <w:lang w:val="sr-Latn-RS"/>
        </w:rPr>
        <w:t xml:space="preserve">rimarni </w:t>
      </w:r>
      <w:r w:rsidR="00DC49BD" w:rsidRPr="007261BD">
        <w:rPr>
          <w:szCs w:val="22"/>
          <w:lang w:val="sr-Latn-RS"/>
        </w:rPr>
        <w:t>ciljevi</w:t>
      </w:r>
      <w:r w:rsidRPr="007261BD">
        <w:rPr>
          <w:szCs w:val="22"/>
          <w:lang w:val="sr-Latn-RS"/>
        </w:rPr>
        <w:t xml:space="preserve"> efikasnosti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terapije su bili ukupno preživljavanje (engl. </w:t>
      </w:r>
      <w:r w:rsidRPr="007261BD">
        <w:rPr>
          <w:i/>
          <w:iCs/>
          <w:szCs w:val="22"/>
          <w:lang w:val="sr-Latn-RS"/>
        </w:rPr>
        <w:t>overall survival</w:t>
      </w:r>
      <w:r w:rsidRPr="007261BD">
        <w:rPr>
          <w:szCs w:val="22"/>
          <w:lang w:val="sr-Latn-RS"/>
        </w:rPr>
        <w:t>, OS) i preživljavanje bez radiografske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progresije (engl. </w:t>
      </w:r>
      <w:r w:rsidRPr="007261BD">
        <w:rPr>
          <w:i/>
          <w:iCs/>
          <w:szCs w:val="22"/>
          <w:lang w:val="sr-Latn-RS"/>
        </w:rPr>
        <w:t>radiographic progression-free survival</w:t>
      </w:r>
      <w:r w:rsidRPr="007261BD">
        <w:rPr>
          <w:szCs w:val="22"/>
          <w:lang w:val="sr-Latn-RS"/>
        </w:rPr>
        <w:t>, rPFS). Medijana početne vr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rezultata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bola, m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ereno prema kratkom upitniku za bol (engl. </w:t>
      </w:r>
      <w:r w:rsidRPr="007261BD">
        <w:rPr>
          <w:i/>
          <w:iCs/>
          <w:szCs w:val="22"/>
          <w:lang w:val="sr-Latn-RS"/>
        </w:rPr>
        <w:t>Brief Pain Inventory-Short Form</w:t>
      </w:r>
      <w:r w:rsidRPr="007261BD">
        <w:rPr>
          <w:szCs w:val="22"/>
          <w:lang w:val="sr-Latn-RS"/>
        </w:rPr>
        <w:t>, BPI-SF) bila je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2,0 i u aktivnoj i u placebo grupi. Dodatno uz </w:t>
      </w:r>
      <w:r w:rsidR="00085768" w:rsidRPr="007261BD">
        <w:rPr>
          <w:szCs w:val="22"/>
          <w:lang w:val="sr-Latn-RS"/>
        </w:rPr>
        <w:t>ko</w:t>
      </w:r>
      <w:r w:rsidRPr="007261BD">
        <w:rPr>
          <w:szCs w:val="22"/>
          <w:lang w:val="sr-Latn-RS"/>
        </w:rPr>
        <w:t xml:space="preserve">primarne </w:t>
      </w:r>
      <w:r w:rsidR="00085768" w:rsidRPr="007261BD">
        <w:rPr>
          <w:szCs w:val="22"/>
          <w:lang w:val="sr-Latn-RS"/>
        </w:rPr>
        <w:t>ciljeve efikasnosti</w:t>
      </w:r>
      <w:r w:rsidRPr="007261BD">
        <w:rPr>
          <w:szCs w:val="22"/>
          <w:lang w:val="sr-Latn-RS"/>
        </w:rPr>
        <w:t>, korist je takođe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proc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enjivana i vremenom do pojave događaja povezanih sa koštanim sistemom (engl. </w:t>
      </w:r>
      <w:r w:rsidRPr="007261BD">
        <w:rPr>
          <w:i/>
          <w:iCs/>
          <w:szCs w:val="22"/>
          <w:lang w:val="sr-Latn-RS"/>
        </w:rPr>
        <w:t>skeletal-related</w:t>
      </w:r>
      <w:r w:rsidR="009C3119" w:rsidRPr="007261BD">
        <w:rPr>
          <w:i/>
          <w:iCs/>
          <w:szCs w:val="22"/>
          <w:lang w:val="sr-Latn-RS"/>
        </w:rPr>
        <w:t xml:space="preserve"> </w:t>
      </w:r>
      <w:r w:rsidRPr="007261BD">
        <w:rPr>
          <w:i/>
          <w:iCs/>
          <w:szCs w:val="22"/>
          <w:lang w:val="sr-Latn-RS"/>
        </w:rPr>
        <w:t>event</w:t>
      </w:r>
      <w:r w:rsidRPr="007261BD">
        <w:rPr>
          <w:szCs w:val="22"/>
          <w:lang w:val="sr-Latn-RS"/>
        </w:rPr>
        <w:t>, SRE), vremenom do sl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edeće terapije za karcinom prostate, vremenom do započinjanja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hemioterapije, vremenom do progresije bola i vremenom do progresije vr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PSA. Terapija se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nastavila do progresije bolesti, povlačenja pristanka, pojavom neprihvatljive toksičnosti ili smrti.</w:t>
      </w:r>
    </w:p>
    <w:p w14:paraId="3B5832AA" w14:textId="307C9DC1" w:rsidR="000A2695" w:rsidRPr="007261BD" w:rsidRDefault="000A269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Preživljavanje bez radiografske progresije je bilo definisano kao vr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eme od randomizacije do pojave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radiografske progresije ili smrti zbog bilo kog uzroka. Radiografska progresija je uključivala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progresiju prema snimcima kostiju (prema modifikovanim PCWG2 kriterijumima) ili progresiju lezija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mekog tkiva prema CT-u ili MR-u (prema kriterijumima RECIST 1,1).</w:t>
      </w:r>
    </w:p>
    <w:p w14:paraId="419C7BCC" w14:textId="6E32198B" w:rsidR="000A2695" w:rsidRPr="007261BD" w:rsidRDefault="000A269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Zab</w:t>
      </w:r>
      <w:r w:rsidR="00C27E73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>l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ežena je značajna razlika u rPSF između ispitivanih grupa (vid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eti Tabelu 2 i Sliku 1)</w:t>
      </w:r>
    </w:p>
    <w:p w14:paraId="3E77B300" w14:textId="77777777" w:rsidR="009E5900" w:rsidRPr="007261BD" w:rsidRDefault="009E5900">
      <w:pPr>
        <w:rPr>
          <w:b/>
          <w:bCs/>
          <w:szCs w:val="22"/>
          <w:lang w:val="sr-Latn-RS"/>
        </w:rPr>
      </w:pPr>
    </w:p>
    <w:p w14:paraId="4C8A084C" w14:textId="77777777" w:rsidR="009E5900" w:rsidRPr="007261BD" w:rsidRDefault="009E5900">
      <w:pPr>
        <w:rPr>
          <w:b/>
          <w:bCs/>
          <w:szCs w:val="22"/>
          <w:lang w:val="sr-Latn-RS"/>
        </w:rPr>
      </w:pPr>
    </w:p>
    <w:p w14:paraId="2B462B5C" w14:textId="111ACF29" w:rsidR="000A2695" w:rsidRPr="007261BD" w:rsidRDefault="000A2695">
      <w:pPr>
        <w:rPr>
          <w:b/>
          <w:bCs/>
          <w:i/>
          <w:i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 xml:space="preserve">Tabela 2: Preživljavanje bez radiografske progresije – stratifikovana analiza; </w:t>
      </w:r>
      <w:r w:rsidRPr="007261BD">
        <w:rPr>
          <w:b/>
          <w:bCs/>
          <w:i/>
          <w:iCs/>
          <w:szCs w:val="22"/>
          <w:lang w:val="sr-Latn-RS"/>
        </w:rPr>
        <w:t>Intent–to-treat</w:t>
      </w:r>
      <w:r w:rsidR="009551A3" w:rsidRPr="007261BD">
        <w:rPr>
          <w:b/>
          <w:bCs/>
          <w:i/>
          <w:iCs/>
          <w:szCs w:val="22"/>
          <w:lang w:val="sr-Latn-RS"/>
        </w:rPr>
        <w:t xml:space="preserve"> </w:t>
      </w:r>
    </w:p>
    <w:p w14:paraId="51B985A6" w14:textId="130AE6B4" w:rsidR="000A2695" w:rsidRPr="007261BD" w:rsidRDefault="000A2695">
      <w:pPr>
        <w:rPr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populacija (Studija PCR3011)</w:t>
      </w:r>
    </w:p>
    <w:p w14:paraId="77928695" w14:textId="008F5D11" w:rsidR="000A2695" w:rsidRPr="007261BD" w:rsidRDefault="000A2695" w:rsidP="0088122E">
      <w:pPr>
        <w:tabs>
          <w:tab w:val="clear" w:pos="284"/>
        </w:tabs>
        <w:kinsoku w:val="0"/>
        <w:overflowPunct w:val="0"/>
        <w:autoSpaceDE w:val="0"/>
        <w:autoSpaceDN w:val="0"/>
        <w:adjustRightInd w:val="0"/>
        <w:spacing w:before="117"/>
        <w:ind w:left="2752"/>
        <w:jc w:val="left"/>
        <w:rPr>
          <w:szCs w:val="22"/>
          <w:lang w:val="sr-Latn-RS"/>
        </w:rPr>
      </w:pPr>
      <w:r w:rsidRPr="007261BD">
        <w:rPr>
          <w:szCs w:val="22"/>
          <w:u w:val="single"/>
          <w:lang w:val="sr-Latn-RS"/>
        </w:rPr>
        <w:t xml:space="preserve">            AA-P </w:t>
      </w:r>
      <w:r w:rsidRPr="007261BD">
        <w:rPr>
          <w:szCs w:val="22"/>
          <w:u w:val="single"/>
          <w:lang w:val="sr-Latn-RS"/>
        </w:rPr>
        <w:tab/>
      </w:r>
      <w:r w:rsidRPr="007261BD">
        <w:rPr>
          <w:szCs w:val="22"/>
          <w:u w:val="single"/>
          <w:lang w:val="sr-Latn-RS"/>
        </w:rPr>
        <w:tab/>
      </w:r>
      <w:r w:rsidRPr="007261BD">
        <w:rPr>
          <w:szCs w:val="22"/>
          <w:u w:val="single"/>
          <w:lang w:val="sr-Latn-RS"/>
        </w:rPr>
        <w:tab/>
      </w:r>
      <w:r w:rsidRPr="007261BD">
        <w:rPr>
          <w:szCs w:val="22"/>
          <w:u w:val="single"/>
          <w:lang w:val="sr-Latn-RS"/>
        </w:rPr>
        <w:tab/>
        <w:t xml:space="preserve">  Placebo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4"/>
        <w:gridCol w:w="2526"/>
        <w:gridCol w:w="2237"/>
      </w:tblGrid>
      <w:tr w:rsidR="000A2695" w:rsidRPr="007261BD" w14:paraId="43D4C4AF" w14:textId="77777777">
        <w:trPr>
          <w:trHeight w:val="247"/>
        </w:trPr>
        <w:tc>
          <w:tcPr>
            <w:tcW w:w="2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4208DA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27" w:lineRule="exact"/>
              <w:ind w:left="50"/>
              <w:jc w:val="left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Randomizovani ispitanici</w:t>
            </w:r>
          </w:p>
        </w:tc>
        <w:tc>
          <w:tcPr>
            <w:tcW w:w="2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5A5D73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27" w:lineRule="exact"/>
              <w:ind w:left="316" w:right="1063"/>
              <w:jc w:val="center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597</w:t>
            </w:r>
          </w:p>
        </w:tc>
        <w:tc>
          <w:tcPr>
            <w:tcW w:w="2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BFDED8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27" w:lineRule="exact"/>
              <w:ind w:left="1058" w:right="33"/>
              <w:jc w:val="center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602</w:t>
            </w:r>
          </w:p>
        </w:tc>
      </w:tr>
      <w:tr w:rsidR="000A2695" w:rsidRPr="007261BD" w14:paraId="250FDE00" w14:textId="77777777">
        <w:trPr>
          <w:trHeight w:val="252"/>
        </w:trPr>
        <w:tc>
          <w:tcPr>
            <w:tcW w:w="2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8A3A99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232"/>
              <w:jc w:val="left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Događaj</w:t>
            </w:r>
          </w:p>
        </w:tc>
        <w:tc>
          <w:tcPr>
            <w:tcW w:w="2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F6F54B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322" w:right="1063"/>
              <w:jc w:val="center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239 (40,0%)</w:t>
            </w:r>
          </w:p>
        </w:tc>
        <w:tc>
          <w:tcPr>
            <w:tcW w:w="2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2D25CB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63" w:right="33"/>
              <w:jc w:val="center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354 (58,8%)</w:t>
            </w:r>
          </w:p>
        </w:tc>
      </w:tr>
      <w:tr w:rsidR="000A2695" w:rsidRPr="007261BD" w14:paraId="04258D75" w14:textId="77777777">
        <w:trPr>
          <w:trHeight w:val="249"/>
        </w:trPr>
        <w:tc>
          <w:tcPr>
            <w:tcW w:w="2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C46636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232"/>
              <w:jc w:val="left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Cenzurisano</w:t>
            </w:r>
          </w:p>
        </w:tc>
        <w:tc>
          <w:tcPr>
            <w:tcW w:w="2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21902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322" w:right="1063"/>
              <w:jc w:val="center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358 (60,0%)</w:t>
            </w:r>
          </w:p>
        </w:tc>
        <w:tc>
          <w:tcPr>
            <w:tcW w:w="2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63114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063" w:right="33"/>
              <w:jc w:val="center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248 (41,2%)</w:t>
            </w:r>
          </w:p>
        </w:tc>
      </w:tr>
    </w:tbl>
    <w:p w14:paraId="2FB07608" w14:textId="77777777" w:rsidR="000A2695" w:rsidRPr="007261BD" w:rsidRDefault="000A2695" w:rsidP="00480E7D">
      <w:pPr>
        <w:tabs>
          <w:tab w:val="clear" w:pos="284"/>
        </w:tabs>
        <w:kinsoku w:val="0"/>
        <w:overflowPunct w:val="0"/>
        <w:autoSpaceDE w:val="0"/>
        <w:autoSpaceDN w:val="0"/>
        <w:adjustRightInd w:val="0"/>
        <w:spacing w:before="4"/>
        <w:jc w:val="left"/>
        <w:rPr>
          <w:szCs w:val="22"/>
          <w:lang w:val="sr-Latn-RS"/>
        </w:rPr>
      </w:pPr>
    </w:p>
    <w:p w14:paraId="1FACD10C" w14:textId="73F80E09" w:rsidR="000A2695" w:rsidRPr="007261BD" w:rsidRDefault="000A2695" w:rsidP="0088122E">
      <w:pPr>
        <w:tabs>
          <w:tab w:val="clear" w:pos="284"/>
        </w:tabs>
        <w:kinsoku w:val="0"/>
        <w:overflowPunct w:val="0"/>
        <w:autoSpaceDE w:val="0"/>
        <w:autoSpaceDN w:val="0"/>
        <w:adjustRightInd w:val="0"/>
        <w:spacing w:line="237" w:lineRule="auto"/>
        <w:ind w:left="246" w:right="6311" w:hanging="87"/>
        <w:jc w:val="left"/>
        <w:rPr>
          <w:szCs w:val="22"/>
          <w:lang w:val="sr-Latn-RS"/>
        </w:rPr>
      </w:pPr>
      <w:r w:rsidRPr="007261BD">
        <w:rPr>
          <w:szCs w:val="22"/>
          <w:lang w:val="sr-Latn-RS"/>
        </w:rPr>
        <w:t>Vr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eme do događaja (m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eseci)</w:t>
      </w: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0"/>
        <w:gridCol w:w="2584"/>
        <w:gridCol w:w="2640"/>
      </w:tblGrid>
      <w:tr w:rsidR="000A2695" w:rsidRPr="007261BD" w14:paraId="4CD23E24" w14:textId="77777777">
        <w:trPr>
          <w:trHeight w:val="249"/>
        </w:trPr>
        <w:tc>
          <w:tcPr>
            <w:tcW w:w="2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C7F6B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50"/>
              <w:jc w:val="left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Medijana (95% CI)</w:t>
            </w:r>
          </w:p>
        </w:tc>
        <w:tc>
          <w:tcPr>
            <w:tcW w:w="25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0FF56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90" w:right="765"/>
              <w:jc w:val="center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33,02 (29,57; NP)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2093C9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766" w:right="31"/>
              <w:jc w:val="center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14,78 (14,69; 18,27)</w:t>
            </w:r>
          </w:p>
        </w:tc>
      </w:tr>
      <w:tr w:rsidR="000A2695" w:rsidRPr="007261BD" w14:paraId="5F6B8168" w14:textId="77777777">
        <w:trPr>
          <w:trHeight w:val="365"/>
        </w:trPr>
        <w:tc>
          <w:tcPr>
            <w:tcW w:w="2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A6C6CB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ind w:left="50"/>
              <w:jc w:val="left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Raspon</w:t>
            </w:r>
          </w:p>
        </w:tc>
        <w:tc>
          <w:tcPr>
            <w:tcW w:w="25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519CF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ind w:left="185" w:right="765"/>
              <w:jc w:val="center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(0,0+; 41,0+)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5BFFA7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ind w:left="762" w:right="31"/>
              <w:jc w:val="center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(0,0+; 40,6+)</w:t>
            </w:r>
          </w:p>
        </w:tc>
      </w:tr>
      <w:tr w:rsidR="000A2695" w:rsidRPr="007261BD" w14:paraId="4C717BC4" w14:textId="77777777">
        <w:trPr>
          <w:trHeight w:val="647"/>
        </w:trPr>
        <w:tc>
          <w:tcPr>
            <w:tcW w:w="2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06785" w14:textId="305FA0D4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35"/>
              <w:ind w:left="50"/>
              <w:jc w:val="left"/>
              <w:rPr>
                <w:szCs w:val="22"/>
                <w:vertAlign w:val="superscript"/>
                <w:lang w:val="sr-Latn-RS"/>
              </w:rPr>
            </w:pPr>
            <w:r w:rsidRPr="007261BD">
              <w:rPr>
                <w:szCs w:val="22"/>
                <w:lang w:val="sr-Latn-RS"/>
              </w:rPr>
              <w:t>p-vr</w:t>
            </w:r>
            <w:r w:rsidR="00C27E73" w:rsidRPr="007261BD">
              <w:rPr>
                <w:szCs w:val="22"/>
                <w:lang w:val="sr-Latn-RS"/>
              </w:rPr>
              <w:t>ij</w:t>
            </w:r>
            <w:r w:rsidRPr="007261BD">
              <w:rPr>
                <w:szCs w:val="22"/>
                <w:lang w:val="sr-Latn-RS"/>
              </w:rPr>
              <w:t>ednost</w:t>
            </w:r>
            <w:r w:rsidRPr="007261BD">
              <w:rPr>
                <w:szCs w:val="22"/>
                <w:vertAlign w:val="superscript"/>
                <w:lang w:val="sr-Latn-RS"/>
              </w:rPr>
              <w:t>a</w:t>
            </w:r>
          </w:p>
          <w:p w14:paraId="39A03302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50"/>
              <w:jc w:val="left"/>
              <w:rPr>
                <w:szCs w:val="22"/>
                <w:vertAlign w:val="superscript"/>
                <w:lang w:val="sr-Latn-RS"/>
              </w:rPr>
            </w:pPr>
            <w:r w:rsidRPr="007261BD">
              <w:rPr>
                <w:i/>
                <w:iCs/>
                <w:szCs w:val="22"/>
                <w:lang w:val="sr-Latn-RS"/>
              </w:rPr>
              <w:t xml:space="preserve">Hazard ratio </w:t>
            </w:r>
            <w:r w:rsidRPr="007261BD">
              <w:rPr>
                <w:szCs w:val="22"/>
                <w:lang w:val="sr-Latn-RS"/>
              </w:rPr>
              <w:t>(95% CI)</w:t>
            </w:r>
            <w:r w:rsidRPr="007261BD">
              <w:rPr>
                <w:szCs w:val="22"/>
                <w:vertAlign w:val="superscript"/>
                <w:lang w:val="sr-Latn-RS"/>
              </w:rPr>
              <w:t>b</w:t>
            </w:r>
          </w:p>
        </w:tc>
        <w:tc>
          <w:tcPr>
            <w:tcW w:w="25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19776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35"/>
              <w:ind w:left="187" w:right="765"/>
              <w:jc w:val="center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&lt; 0,0001</w:t>
            </w:r>
          </w:p>
          <w:p w14:paraId="70AC6B7F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38" w:lineRule="exact"/>
              <w:ind w:left="179" w:right="765"/>
              <w:jc w:val="center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0,466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4DAFA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0A2695" w:rsidRPr="007261BD" w14:paraId="546493B9" w14:textId="77777777">
        <w:trPr>
          <w:trHeight w:val="249"/>
        </w:trPr>
        <w:tc>
          <w:tcPr>
            <w:tcW w:w="2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A5EAF7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25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3DAA0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90" w:right="765"/>
              <w:jc w:val="center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(0,394;0,550)</w:t>
            </w:r>
          </w:p>
        </w:tc>
        <w:tc>
          <w:tcPr>
            <w:tcW w:w="26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6FE3E" w14:textId="77777777" w:rsidR="000A2695" w:rsidRPr="007261BD" w:rsidRDefault="000A2695" w:rsidP="00480E7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</w:tbl>
    <w:p w14:paraId="11E7D691" w14:textId="13FA5F27" w:rsidR="000A2695" w:rsidRPr="007261BD" w:rsidRDefault="000A2695" w:rsidP="00480E7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Napomena: +=cenzurisano opažanje, NP=nije proc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enjivo. Radiografska progresija i smrt su uzeti u obzir pri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definisanju rPFS događaja. AA-P=ispitanici koji su primili abirateron</w:t>
      </w:r>
      <w:r w:rsidR="00C27E73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 i prednizon.</w:t>
      </w:r>
    </w:p>
    <w:p w14:paraId="061F3E4A" w14:textId="77777777" w:rsidR="000A2695" w:rsidRPr="007261BD" w:rsidRDefault="000A2695" w:rsidP="00480E7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CI – interval pouzdanosti</w:t>
      </w:r>
    </w:p>
    <w:p w14:paraId="1A901C0A" w14:textId="63D15148" w:rsidR="000A2695" w:rsidRPr="007261BD" w:rsidRDefault="000A2695" w:rsidP="00480E7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a p-vr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 je iz log-rang testa stratifikovanog prema vr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ECOG funkcionalnog statusa (0/1 ili 2) 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visceralnim lezijama (odsutne ili prisutne).</w:t>
      </w:r>
    </w:p>
    <w:p w14:paraId="25906182" w14:textId="77777777" w:rsidR="000A2695" w:rsidRPr="007261BD" w:rsidRDefault="000A2695" w:rsidP="00480E7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b </w:t>
      </w:r>
      <w:r w:rsidRPr="007261BD">
        <w:rPr>
          <w:i/>
          <w:iCs/>
          <w:szCs w:val="22"/>
          <w:lang w:val="sr-Latn-RS"/>
        </w:rPr>
        <w:t xml:space="preserve">Hazard ratio </w:t>
      </w:r>
      <w:r w:rsidRPr="007261BD">
        <w:rPr>
          <w:szCs w:val="22"/>
          <w:lang w:val="sr-Latn-RS"/>
        </w:rPr>
        <w:t xml:space="preserve">je iz stratifikovanog modela proporcionalnih hazarda. </w:t>
      </w:r>
      <w:r w:rsidRPr="007261BD">
        <w:rPr>
          <w:i/>
          <w:iCs/>
          <w:szCs w:val="22"/>
          <w:lang w:val="sr-Latn-RS"/>
        </w:rPr>
        <w:t xml:space="preserve">Hazard ratio </w:t>
      </w:r>
      <w:r w:rsidRPr="007261BD">
        <w:rPr>
          <w:szCs w:val="22"/>
          <w:lang w:val="sr-Latn-RS"/>
        </w:rPr>
        <w:t>&lt;1 je u korist AA-P</w:t>
      </w:r>
    </w:p>
    <w:p w14:paraId="2FFC7D80" w14:textId="4FAD2F71" w:rsidR="000A2695" w:rsidRPr="007261BD" w:rsidRDefault="000A2695" w:rsidP="00480E7D">
      <w:pPr>
        <w:rPr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 xml:space="preserve">Intent-to-treat </w:t>
      </w:r>
      <w:r w:rsidRPr="007261BD">
        <w:rPr>
          <w:szCs w:val="22"/>
          <w:lang w:val="sr-Latn-RS"/>
        </w:rPr>
        <w:t>populacija – grupa pacijenata predviđenih za l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ečenje</w:t>
      </w:r>
    </w:p>
    <w:p w14:paraId="0ED00FA7" w14:textId="2F8B098D" w:rsidR="000A2695" w:rsidRPr="007261BD" w:rsidRDefault="000A2695" w:rsidP="008560D8">
      <w:pPr>
        <w:rPr>
          <w:szCs w:val="22"/>
          <w:lang w:val="sr-Latn-RS"/>
        </w:rPr>
      </w:pPr>
    </w:p>
    <w:p w14:paraId="7D50B35B" w14:textId="77777777" w:rsidR="00A839AE" w:rsidRDefault="00A839AE">
      <w:pPr>
        <w:rPr>
          <w:b/>
          <w:bCs/>
          <w:szCs w:val="22"/>
          <w:lang w:val="sr-Latn-RS"/>
        </w:rPr>
      </w:pPr>
    </w:p>
    <w:p w14:paraId="310C92AB" w14:textId="77777777" w:rsidR="00A839AE" w:rsidRDefault="00A839AE">
      <w:pPr>
        <w:rPr>
          <w:b/>
          <w:bCs/>
          <w:szCs w:val="22"/>
          <w:lang w:val="sr-Latn-RS"/>
        </w:rPr>
      </w:pPr>
    </w:p>
    <w:p w14:paraId="060F3FA7" w14:textId="77777777" w:rsidR="00A839AE" w:rsidRDefault="00A839AE">
      <w:pPr>
        <w:rPr>
          <w:b/>
          <w:bCs/>
          <w:szCs w:val="22"/>
          <w:lang w:val="sr-Latn-RS"/>
        </w:rPr>
      </w:pPr>
    </w:p>
    <w:p w14:paraId="2624B494" w14:textId="77777777" w:rsidR="00A839AE" w:rsidRDefault="00A839AE">
      <w:pPr>
        <w:rPr>
          <w:b/>
          <w:bCs/>
          <w:szCs w:val="22"/>
          <w:lang w:val="sr-Latn-RS"/>
        </w:rPr>
      </w:pPr>
    </w:p>
    <w:p w14:paraId="0A89B086" w14:textId="77777777" w:rsidR="00A839AE" w:rsidRDefault="00A839AE">
      <w:pPr>
        <w:rPr>
          <w:b/>
          <w:bCs/>
          <w:szCs w:val="22"/>
          <w:lang w:val="sr-Latn-RS"/>
        </w:rPr>
      </w:pPr>
    </w:p>
    <w:p w14:paraId="5FBAAA31" w14:textId="77777777" w:rsidR="00A839AE" w:rsidRDefault="00A839AE">
      <w:pPr>
        <w:rPr>
          <w:b/>
          <w:bCs/>
          <w:szCs w:val="22"/>
          <w:lang w:val="sr-Latn-RS"/>
        </w:rPr>
      </w:pPr>
    </w:p>
    <w:p w14:paraId="1A829F94" w14:textId="77777777" w:rsidR="00A839AE" w:rsidRDefault="00A839AE">
      <w:pPr>
        <w:rPr>
          <w:b/>
          <w:bCs/>
          <w:szCs w:val="22"/>
          <w:lang w:val="sr-Latn-RS"/>
        </w:rPr>
      </w:pPr>
    </w:p>
    <w:p w14:paraId="2E7244A9" w14:textId="77777777" w:rsidR="00A839AE" w:rsidRDefault="00A839AE">
      <w:pPr>
        <w:rPr>
          <w:b/>
          <w:bCs/>
          <w:szCs w:val="22"/>
          <w:lang w:val="sr-Latn-RS"/>
        </w:rPr>
      </w:pPr>
    </w:p>
    <w:p w14:paraId="078489F6" w14:textId="77777777" w:rsidR="00A839AE" w:rsidRDefault="00A839AE">
      <w:pPr>
        <w:rPr>
          <w:b/>
          <w:bCs/>
          <w:szCs w:val="22"/>
          <w:lang w:val="sr-Latn-RS"/>
        </w:rPr>
      </w:pPr>
    </w:p>
    <w:p w14:paraId="4420BC39" w14:textId="77777777" w:rsidR="00A839AE" w:rsidRDefault="00A839AE">
      <w:pPr>
        <w:rPr>
          <w:b/>
          <w:bCs/>
          <w:szCs w:val="22"/>
          <w:lang w:val="sr-Latn-RS"/>
        </w:rPr>
      </w:pPr>
    </w:p>
    <w:p w14:paraId="48124310" w14:textId="77777777" w:rsidR="00A839AE" w:rsidRDefault="00A839AE">
      <w:pPr>
        <w:rPr>
          <w:b/>
          <w:bCs/>
          <w:szCs w:val="22"/>
          <w:lang w:val="sr-Latn-RS"/>
        </w:rPr>
      </w:pPr>
    </w:p>
    <w:p w14:paraId="349754B7" w14:textId="77777777" w:rsidR="00A839AE" w:rsidRDefault="00A839AE">
      <w:pPr>
        <w:rPr>
          <w:b/>
          <w:bCs/>
          <w:szCs w:val="22"/>
          <w:lang w:val="sr-Latn-RS"/>
        </w:rPr>
      </w:pPr>
    </w:p>
    <w:p w14:paraId="681F5B6D" w14:textId="77777777" w:rsidR="00A839AE" w:rsidRDefault="00A839AE">
      <w:pPr>
        <w:rPr>
          <w:b/>
          <w:bCs/>
          <w:szCs w:val="22"/>
          <w:lang w:val="sr-Latn-RS"/>
        </w:rPr>
      </w:pPr>
    </w:p>
    <w:p w14:paraId="4AEBC01E" w14:textId="77777777" w:rsidR="00A839AE" w:rsidRDefault="00A839AE">
      <w:pPr>
        <w:rPr>
          <w:b/>
          <w:bCs/>
          <w:szCs w:val="22"/>
          <w:lang w:val="sr-Latn-RS"/>
        </w:rPr>
      </w:pPr>
    </w:p>
    <w:p w14:paraId="6CE5A125" w14:textId="77777777" w:rsidR="00A839AE" w:rsidRDefault="00A839AE">
      <w:pPr>
        <w:rPr>
          <w:b/>
          <w:bCs/>
          <w:szCs w:val="22"/>
          <w:lang w:val="sr-Latn-RS"/>
        </w:rPr>
      </w:pPr>
    </w:p>
    <w:p w14:paraId="03BAF2F6" w14:textId="313C2F0C" w:rsidR="000A2695" w:rsidRPr="007261BD" w:rsidRDefault="000A2695">
      <w:pPr>
        <w:rPr>
          <w:b/>
          <w:bCs/>
          <w:i/>
          <w:i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lastRenderedPageBreak/>
        <w:t xml:space="preserve">Slika 1: </w:t>
      </w:r>
      <w:r w:rsidRPr="007261BD">
        <w:rPr>
          <w:b/>
          <w:bCs/>
          <w:i/>
          <w:iCs/>
          <w:szCs w:val="22"/>
          <w:lang w:val="sr-Latn-RS"/>
        </w:rPr>
        <w:t xml:space="preserve">Kaplan-Meier </w:t>
      </w:r>
      <w:r w:rsidRPr="007261BD">
        <w:rPr>
          <w:b/>
          <w:bCs/>
          <w:szCs w:val="22"/>
          <w:lang w:val="sr-Latn-RS"/>
        </w:rPr>
        <w:t xml:space="preserve">grafički prikaz preživljavanja bez radigrafske progresije; </w:t>
      </w:r>
      <w:r w:rsidRPr="007261BD">
        <w:rPr>
          <w:b/>
          <w:bCs/>
          <w:i/>
          <w:iCs/>
          <w:szCs w:val="22"/>
          <w:lang w:val="sr-Latn-RS"/>
        </w:rPr>
        <w:t>Intent-to-treat</w:t>
      </w:r>
    </w:p>
    <w:p w14:paraId="69B8E107" w14:textId="7B56F5B3" w:rsidR="000A2695" w:rsidRDefault="000A2695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populacija (Studija PCR3011)</w:t>
      </w:r>
    </w:p>
    <w:p w14:paraId="521CD1C2" w14:textId="77777777" w:rsidR="00A839AE" w:rsidRPr="007261BD" w:rsidRDefault="00A839AE">
      <w:pPr>
        <w:rPr>
          <w:szCs w:val="22"/>
          <w:lang w:val="sr-Latn-RS"/>
        </w:rPr>
      </w:pPr>
    </w:p>
    <w:p w14:paraId="62F5A5B5" w14:textId="0FE1343B" w:rsidR="000A2695" w:rsidRPr="007261BD" w:rsidRDefault="00DE0AA6">
      <w:pPr>
        <w:rPr>
          <w:szCs w:val="22"/>
          <w:lang w:val="sr-Latn-RS"/>
        </w:rPr>
      </w:pPr>
      <w:r w:rsidRPr="007261BD">
        <w:rPr>
          <w:noProof/>
          <w:szCs w:val="22"/>
          <w:lang w:val="sr-Latn-ME" w:eastAsia="sr-Latn-ME"/>
        </w:rPr>
        <w:drawing>
          <wp:inline distT="0" distB="0" distL="0" distR="0" wp14:anchorId="74CAB6A1" wp14:editId="3B347716">
            <wp:extent cx="5915551" cy="24795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109" cy="253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FE4E" w14:textId="77777777" w:rsidR="009551A3" w:rsidRPr="007261BD" w:rsidRDefault="009551A3">
      <w:pPr>
        <w:rPr>
          <w:szCs w:val="22"/>
          <w:lang w:val="sr-Latn-RS"/>
        </w:rPr>
      </w:pPr>
    </w:p>
    <w:p w14:paraId="4B0516A2" w14:textId="5A1B743F" w:rsidR="009C3119" w:rsidRPr="007261BD" w:rsidRDefault="000A2695">
      <w:pPr>
        <w:rPr>
          <w:b/>
          <w:bCs/>
          <w:szCs w:val="22"/>
          <w:lang w:val="sr-Latn-RS"/>
        </w:rPr>
      </w:pPr>
      <w:r w:rsidRPr="007261BD">
        <w:rPr>
          <w:szCs w:val="22"/>
          <w:lang w:val="sr-Latn-RS"/>
        </w:rPr>
        <w:t>Statistički značajno poboljšanje u OS u korist grupe koja je uzimala AA-P sa ADT bilo je zab</w:t>
      </w:r>
      <w:r w:rsidR="00C27E73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>l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eženo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sa 3</w:t>
      </w:r>
      <w:r w:rsidR="001B5A29" w:rsidRPr="007261BD">
        <w:rPr>
          <w:szCs w:val="22"/>
          <w:lang w:val="sr-Latn-RS"/>
        </w:rPr>
        <w:t>4</w:t>
      </w:r>
      <w:r w:rsidRPr="007261BD">
        <w:rPr>
          <w:szCs w:val="22"/>
          <w:lang w:val="sr-Latn-RS"/>
        </w:rPr>
        <w:t>%-nim smanjenjem rizika od smrti u odnosu na grupu koja je dobijala placebo sa ADT</w:t>
      </w:r>
      <w:r w:rsidR="009C3119" w:rsidRPr="007261BD">
        <w:rPr>
          <w:szCs w:val="22"/>
          <w:lang w:val="sr-Latn-RS"/>
        </w:rPr>
        <w:t xml:space="preserve"> </w:t>
      </w:r>
      <w:r w:rsidR="00C10ED6" w:rsidRPr="007261BD">
        <w:rPr>
          <w:szCs w:val="22"/>
          <w:lang w:val="sr-Latn-RS"/>
        </w:rPr>
        <w:t>(HR=0,66; 95% CI: 0,56; 0,78; p &lt; 0,0001) (vid</w:t>
      </w:r>
      <w:r w:rsidR="00085768" w:rsidRPr="007261BD">
        <w:rPr>
          <w:szCs w:val="22"/>
          <w:lang w:val="sr-Latn-RS"/>
        </w:rPr>
        <w:t>j</w:t>
      </w:r>
      <w:r w:rsidR="00C10ED6" w:rsidRPr="007261BD">
        <w:rPr>
          <w:szCs w:val="22"/>
          <w:lang w:val="sr-Latn-RS"/>
        </w:rPr>
        <w:t>eti Tabelu 3 i Sliku 2).</w:t>
      </w:r>
    </w:p>
    <w:p w14:paraId="0890859A" w14:textId="77777777" w:rsidR="00BC24C2" w:rsidRPr="007261BD" w:rsidRDefault="00BC24C2">
      <w:pPr>
        <w:rPr>
          <w:b/>
          <w:bCs/>
          <w:szCs w:val="22"/>
          <w:lang w:val="sr-Latn-RS"/>
        </w:rPr>
      </w:pPr>
    </w:p>
    <w:p w14:paraId="1A847CBF" w14:textId="158701F8" w:rsidR="00C10ED6" w:rsidRPr="007261BD" w:rsidRDefault="00C10ED6">
      <w:pPr>
        <w:rPr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 xml:space="preserve">Tabela 3: Ukupno preživljavanje pacijenata liječenih sa abirateronom ili placebom; </w:t>
      </w:r>
      <w:r w:rsidRPr="007261BD">
        <w:rPr>
          <w:b/>
          <w:bCs/>
          <w:i/>
          <w:iCs/>
          <w:szCs w:val="22"/>
          <w:lang w:val="sr-Latn-RS"/>
        </w:rPr>
        <w:t xml:space="preserve">Intent-to-treat </w:t>
      </w:r>
      <w:r w:rsidRPr="007261BD">
        <w:rPr>
          <w:b/>
          <w:bCs/>
          <w:szCs w:val="22"/>
          <w:lang w:val="sr-Latn-RS"/>
        </w:rPr>
        <w:t>populacija (Studija PCR3011)</w:t>
      </w:r>
    </w:p>
    <w:p w14:paraId="67B25AD0" w14:textId="77777777" w:rsidR="00C10ED6" w:rsidRPr="007261BD" w:rsidRDefault="00C10ED6">
      <w:pPr>
        <w:rPr>
          <w:szCs w:val="22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5D4FAD" w:rsidRPr="007261BD" w14:paraId="29513E33" w14:textId="77777777">
        <w:tc>
          <w:tcPr>
            <w:tcW w:w="3209" w:type="dxa"/>
            <w:shd w:val="clear" w:color="auto" w:fill="auto"/>
          </w:tcPr>
          <w:p w14:paraId="4052DCF1" w14:textId="77777777" w:rsidR="00C10ED6" w:rsidRPr="007261BD" w:rsidRDefault="00C10ED6">
            <w:pPr>
              <w:rPr>
                <w:b/>
                <w:szCs w:val="22"/>
                <w:lang w:val="sr-Latn-RS"/>
              </w:rPr>
            </w:pPr>
            <w:r w:rsidRPr="007261BD">
              <w:rPr>
                <w:b/>
                <w:szCs w:val="22"/>
                <w:lang w:val="sr-Latn-RS"/>
              </w:rPr>
              <w:t>Ukupno preživljavanje</w:t>
            </w:r>
          </w:p>
        </w:tc>
        <w:tc>
          <w:tcPr>
            <w:tcW w:w="3210" w:type="dxa"/>
            <w:shd w:val="clear" w:color="auto" w:fill="auto"/>
          </w:tcPr>
          <w:p w14:paraId="45F2DB4C" w14:textId="77777777" w:rsidR="00C10ED6" w:rsidRPr="007261BD" w:rsidRDefault="00C10ED6">
            <w:pPr>
              <w:rPr>
                <w:b/>
                <w:szCs w:val="22"/>
                <w:lang w:val="sr-Latn-RS"/>
              </w:rPr>
            </w:pPr>
            <w:r w:rsidRPr="007261BD">
              <w:rPr>
                <w:b/>
                <w:szCs w:val="22"/>
                <w:lang w:val="sr-Latn-RS"/>
              </w:rPr>
              <w:t>Abirateron-acetat sa prednizonom (N=597)</w:t>
            </w:r>
          </w:p>
        </w:tc>
        <w:tc>
          <w:tcPr>
            <w:tcW w:w="3210" w:type="dxa"/>
            <w:shd w:val="clear" w:color="auto" w:fill="auto"/>
          </w:tcPr>
          <w:p w14:paraId="10D3D2F8" w14:textId="77777777" w:rsidR="00C10ED6" w:rsidRPr="007261BD" w:rsidRDefault="00C10ED6">
            <w:pPr>
              <w:rPr>
                <w:b/>
                <w:szCs w:val="22"/>
                <w:lang w:val="sr-Latn-RS"/>
              </w:rPr>
            </w:pPr>
            <w:r w:rsidRPr="007261BD">
              <w:rPr>
                <w:b/>
                <w:szCs w:val="22"/>
                <w:lang w:val="sr-Latn-RS"/>
              </w:rPr>
              <w:t>Placebo (N=602)</w:t>
            </w:r>
          </w:p>
        </w:tc>
      </w:tr>
      <w:tr w:rsidR="005D4FAD" w:rsidRPr="007261BD" w14:paraId="3F7F6C55" w14:textId="77777777">
        <w:tc>
          <w:tcPr>
            <w:tcW w:w="3209" w:type="dxa"/>
            <w:shd w:val="clear" w:color="auto" w:fill="auto"/>
          </w:tcPr>
          <w:p w14:paraId="2CCBF6A8" w14:textId="77777777" w:rsidR="00C10ED6" w:rsidRPr="007261BD" w:rsidRDefault="00C10ED6" w:rsidP="00480E7D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Smrtni ishod (%)</w:t>
            </w:r>
          </w:p>
        </w:tc>
        <w:tc>
          <w:tcPr>
            <w:tcW w:w="3210" w:type="dxa"/>
            <w:shd w:val="clear" w:color="auto" w:fill="auto"/>
          </w:tcPr>
          <w:p w14:paraId="27C2537D" w14:textId="77777777" w:rsidR="00C10ED6" w:rsidRPr="007261BD" w:rsidRDefault="00C10ED6" w:rsidP="00480E7D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275 (46%)</w:t>
            </w:r>
          </w:p>
        </w:tc>
        <w:tc>
          <w:tcPr>
            <w:tcW w:w="3210" w:type="dxa"/>
            <w:shd w:val="clear" w:color="auto" w:fill="auto"/>
          </w:tcPr>
          <w:p w14:paraId="6509AEAF" w14:textId="77777777" w:rsidR="00C10ED6" w:rsidRPr="007261BD" w:rsidRDefault="00C10ED6" w:rsidP="00480E7D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343 (57%)</w:t>
            </w:r>
          </w:p>
        </w:tc>
      </w:tr>
      <w:tr w:rsidR="005D4FAD" w:rsidRPr="007261BD" w14:paraId="10D0EE31" w14:textId="77777777">
        <w:tc>
          <w:tcPr>
            <w:tcW w:w="3209" w:type="dxa"/>
            <w:shd w:val="clear" w:color="auto" w:fill="auto"/>
          </w:tcPr>
          <w:p w14:paraId="166BBCEB" w14:textId="77634D60" w:rsidR="00C10ED6" w:rsidRPr="007261BD" w:rsidRDefault="00C10ED6" w:rsidP="00480E7D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Medijana preživljavanja (mjeseci)</w:t>
            </w:r>
          </w:p>
        </w:tc>
        <w:tc>
          <w:tcPr>
            <w:tcW w:w="3210" w:type="dxa"/>
            <w:shd w:val="clear" w:color="auto" w:fill="auto"/>
          </w:tcPr>
          <w:p w14:paraId="3E3B3426" w14:textId="77777777" w:rsidR="00C10ED6" w:rsidRPr="007261BD" w:rsidRDefault="00C10ED6" w:rsidP="00480E7D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53,3</w:t>
            </w:r>
          </w:p>
        </w:tc>
        <w:tc>
          <w:tcPr>
            <w:tcW w:w="3210" w:type="dxa"/>
            <w:shd w:val="clear" w:color="auto" w:fill="auto"/>
          </w:tcPr>
          <w:p w14:paraId="004C792A" w14:textId="77777777" w:rsidR="00C10ED6" w:rsidRPr="007261BD" w:rsidRDefault="00C10ED6" w:rsidP="00480E7D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36,5</w:t>
            </w:r>
          </w:p>
        </w:tc>
      </w:tr>
      <w:tr w:rsidR="005D4FAD" w:rsidRPr="007261BD" w14:paraId="113C3675" w14:textId="77777777">
        <w:tc>
          <w:tcPr>
            <w:tcW w:w="3209" w:type="dxa"/>
            <w:shd w:val="clear" w:color="auto" w:fill="auto"/>
          </w:tcPr>
          <w:p w14:paraId="3A4E8E8A" w14:textId="77777777" w:rsidR="00C10ED6" w:rsidRPr="007261BD" w:rsidRDefault="00C10ED6" w:rsidP="00480E7D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(95% CI)</w:t>
            </w:r>
          </w:p>
        </w:tc>
        <w:tc>
          <w:tcPr>
            <w:tcW w:w="3210" w:type="dxa"/>
            <w:shd w:val="clear" w:color="auto" w:fill="auto"/>
          </w:tcPr>
          <w:p w14:paraId="72BF29F0" w14:textId="77777777" w:rsidR="00C10ED6" w:rsidRPr="007261BD" w:rsidRDefault="00C10ED6" w:rsidP="00480E7D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(48,2 NP)</w:t>
            </w:r>
          </w:p>
        </w:tc>
        <w:tc>
          <w:tcPr>
            <w:tcW w:w="3210" w:type="dxa"/>
            <w:shd w:val="clear" w:color="auto" w:fill="auto"/>
          </w:tcPr>
          <w:p w14:paraId="2AB8DE7D" w14:textId="77777777" w:rsidR="00C10ED6" w:rsidRPr="007261BD" w:rsidRDefault="00C10ED6" w:rsidP="00480E7D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(33,5  40,0)</w:t>
            </w:r>
          </w:p>
        </w:tc>
      </w:tr>
      <w:tr w:rsidR="005D4FAD" w:rsidRPr="007261BD" w14:paraId="3D5056E0" w14:textId="77777777">
        <w:tc>
          <w:tcPr>
            <w:tcW w:w="3209" w:type="dxa"/>
            <w:shd w:val="clear" w:color="auto" w:fill="auto"/>
          </w:tcPr>
          <w:p w14:paraId="4E01E033" w14:textId="77777777" w:rsidR="00C10ED6" w:rsidRPr="007261BD" w:rsidRDefault="00C10ED6" w:rsidP="00480E7D">
            <w:pPr>
              <w:rPr>
                <w:szCs w:val="22"/>
                <w:vertAlign w:val="superscript"/>
                <w:lang w:val="sr-Latn-RS"/>
              </w:rPr>
            </w:pPr>
            <w:r w:rsidRPr="007261BD">
              <w:rPr>
                <w:i/>
                <w:iCs/>
                <w:szCs w:val="22"/>
                <w:lang w:val="sr-Latn-RS"/>
              </w:rPr>
              <w:t xml:space="preserve">Hazard ratio </w:t>
            </w:r>
            <w:r w:rsidRPr="007261BD">
              <w:rPr>
                <w:szCs w:val="22"/>
                <w:lang w:val="sr-Latn-RS"/>
              </w:rPr>
              <w:t>(95% CI)</w:t>
            </w:r>
            <w:r w:rsidRPr="007261BD">
              <w:rPr>
                <w:szCs w:val="22"/>
                <w:vertAlign w:val="superscript"/>
                <w:lang w:val="sr-Latn-RS"/>
              </w:rPr>
              <w:t>1</w:t>
            </w:r>
          </w:p>
        </w:tc>
        <w:tc>
          <w:tcPr>
            <w:tcW w:w="6420" w:type="dxa"/>
            <w:gridSpan w:val="2"/>
            <w:shd w:val="clear" w:color="auto" w:fill="auto"/>
          </w:tcPr>
          <w:p w14:paraId="3902D91F" w14:textId="787E85A8" w:rsidR="00C10ED6" w:rsidRPr="007261BD" w:rsidRDefault="00C10ED6" w:rsidP="00480E7D">
            <w:pPr>
              <w:jc w:val="center"/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0,66 (0,56</w:t>
            </w:r>
            <w:r w:rsidR="000A2C83" w:rsidRPr="007261BD">
              <w:rPr>
                <w:szCs w:val="22"/>
                <w:lang w:val="sr-Latn-RS"/>
              </w:rPr>
              <w:t>;</w:t>
            </w:r>
            <w:r w:rsidRPr="007261BD">
              <w:rPr>
                <w:szCs w:val="22"/>
                <w:lang w:val="sr-Latn-RS"/>
              </w:rPr>
              <w:t xml:space="preserve"> 0,78)</w:t>
            </w:r>
          </w:p>
        </w:tc>
      </w:tr>
    </w:tbl>
    <w:p w14:paraId="4E219655" w14:textId="00F32624" w:rsidR="00C10ED6" w:rsidRPr="007261BD" w:rsidRDefault="00C10ED6" w:rsidP="00480E7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NP- Nije procijenjeno</w:t>
      </w:r>
    </w:p>
    <w:p w14:paraId="7991153D" w14:textId="77777777" w:rsidR="00C10ED6" w:rsidRPr="007261BD" w:rsidRDefault="00C10ED6" w:rsidP="00480E7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1 – </w:t>
      </w:r>
      <w:r w:rsidRPr="007261BD">
        <w:rPr>
          <w:i/>
          <w:szCs w:val="22"/>
          <w:lang w:val="sr-Latn-RS"/>
        </w:rPr>
        <w:t>Hazard ratio</w:t>
      </w:r>
      <w:r w:rsidRPr="007261BD">
        <w:rPr>
          <w:szCs w:val="22"/>
          <w:lang w:val="sr-Latn-RS"/>
        </w:rPr>
        <w:t xml:space="preserve"> je izveden iz stratifikovanog proporcionalnog modela rizika. </w:t>
      </w:r>
      <w:r w:rsidRPr="007261BD">
        <w:rPr>
          <w:i/>
          <w:iCs/>
          <w:szCs w:val="22"/>
          <w:lang w:val="sr-Latn-RS"/>
        </w:rPr>
        <w:t xml:space="preserve">Hazard ratio </w:t>
      </w:r>
      <w:r w:rsidRPr="007261BD">
        <w:rPr>
          <w:szCs w:val="22"/>
          <w:lang w:val="sr-Latn-RS"/>
        </w:rPr>
        <w:sym w:font="Symbol" w:char="F03C"/>
      </w:r>
      <w:r w:rsidRPr="007261BD">
        <w:rPr>
          <w:szCs w:val="22"/>
          <w:lang w:val="sr-Latn-RS"/>
        </w:rPr>
        <w:t xml:space="preserve"> 1 favorizuje abirateron sa prednizonom u odnosu na placebo.  </w:t>
      </w:r>
    </w:p>
    <w:p w14:paraId="5396560B" w14:textId="68439C5A" w:rsidR="000A2695" w:rsidRPr="007261BD" w:rsidRDefault="000A2695" w:rsidP="00480E7D">
      <w:pPr>
        <w:rPr>
          <w:szCs w:val="22"/>
          <w:lang w:val="sr-Latn-RS"/>
        </w:rPr>
      </w:pPr>
    </w:p>
    <w:p w14:paraId="58211F1A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2FA4B4F4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1E9EEE3B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27572D0E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44AF4B55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77284249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2733EB58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4E9B1FEA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3D489D33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29E0E383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70F62BB0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3257BB32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7A2ADA14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43DB62C7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113A1B08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6FCA4A0C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79DDA0FD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7CC89334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27A41246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462798F6" w14:textId="77777777" w:rsidR="00A839AE" w:rsidRDefault="00A839AE" w:rsidP="00480E7D">
      <w:pPr>
        <w:rPr>
          <w:b/>
          <w:bCs/>
          <w:szCs w:val="22"/>
          <w:lang w:val="sr-Latn-RS"/>
        </w:rPr>
      </w:pPr>
    </w:p>
    <w:p w14:paraId="648EF424" w14:textId="64590527" w:rsidR="00E44B36" w:rsidRPr="007261BD" w:rsidRDefault="00E44B36" w:rsidP="00480E7D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 xml:space="preserve">Slika 2: </w:t>
      </w:r>
      <w:r w:rsidRPr="007261BD">
        <w:rPr>
          <w:b/>
          <w:bCs/>
          <w:i/>
          <w:iCs/>
          <w:szCs w:val="22"/>
          <w:lang w:val="sr-Latn-RS"/>
        </w:rPr>
        <w:t xml:space="preserve">Kaplan-Meier </w:t>
      </w:r>
      <w:r w:rsidRPr="007261BD">
        <w:rPr>
          <w:b/>
          <w:bCs/>
          <w:szCs w:val="22"/>
          <w:lang w:val="sr-Latn-RS"/>
        </w:rPr>
        <w:t xml:space="preserve">grafički prikaz ukupnog preživljavanja; </w:t>
      </w:r>
      <w:r w:rsidRPr="007261BD">
        <w:rPr>
          <w:b/>
          <w:bCs/>
          <w:i/>
          <w:iCs/>
          <w:szCs w:val="22"/>
          <w:lang w:val="sr-Latn-RS"/>
        </w:rPr>
        <w:t xml:space="preserve">Intent-to-treat </w:t>
      </w:r>
      <w:r w:rsidRPr="007261BD">
        <w:rPr>
          <w:b/>
          <w:bCs/>
          <w:szCs w:val="22"/>
          <w:lang w:val="sr-Latn-RS"/>
        </w:rPr>
        <w:t>populacija</w:t>
      </w:r>
    </w:p>
    <w:p w14:paraId="5D851B6A" w14:textId="5B38E337" w:rsidR="000A2695" w:rsidRPr="007261BD" w:rsidRDefault="00E44B36" w:rsidP="00480E7D">
      <w:pPr>
        <w:rPr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(Studija PCR3011)</w:t>
      </w:r>
    </w:p>
    <w:p w14:paraId="06C7CB1A" w14:textId="39C755AD" w:rsidR="00E44B36" w:rsidRPr="007261BD" w:rsidRDefault="00E44B36" w:rsidP="00480E7D">
      <w:pPr>
        <w:rPr>
          <w:szCs w:val="22"/>
          <w:lang w:val="sr-Latn-RS"/>
        </w:rPr>
      </w:pPr>
    </w:p>
    <w:p w14:paraId="3E217167" w14:textId="1ED7CE0A" w:rsidR="00C10ED6" w:rsidRPr="007261BD" w:rsidRDefault="00DE0AA6" w:rsidP="00480E7D">
      <w:pPr>
        <w:rPr>
          <w:szCs w:val="22"/>
          <w:lang w:val="sr-Latn-RS"/>
        </w:rPr>
      </w:pPr>
      <w:r w:rsidRPr="007261BD">
        <w:rPr>
          <w:noProof/>
          <w:szCs w:val="22"/>
          <w:lang w:val="sr-Latn-ME" w:eastAsia="sr-Latn-ME"/>
        </w:rPr>
        <w:drawing>
          <wp:inline distT="0" distB="0" distL="0" distR="0" wp14:anchorId="2975F964" wp14:editId="68D2F3AE">
            <wp:extent cx="5934075" cy="3743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E5360" w14:textId="77777777" w:rsidR="00100486" w:rsidRPr="007261BD" w:rsidRDefault="00100486">
      <w:pPr>
        <w:rPr>
          <w:szCs w:val="22"/>
          <w:lang w:val="sr-Latn-RS"/>
        </w:rPr>
      </w:pPr>
    </w:p>
    <w:p w14:paraId="287A0DC3" w14:textId="2839B055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Analize podgrupa dosl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edno ukazuju na prednost u terapiji </w:t>
      </w:r>
      <w:r w:rsidR="00BC24C2" w:rsidRPr="007261BD">
        <w:rPr>
          <w:szCs w:val="22"/>
          <w:lang w:val="sr-Latn-RS"/>
        </w:rPr>
        <w:t>abirateron</w:t>
      </w:r>
      <w:r w:rsidR="00C10ED6" w:rsidRPr="007261BD">
        <w:rPr>
          <w:szCs w:val="22"/>
          <w:lang w:val="sr-Latn-RS"/>
        </w:rPr>
        <w:t>om</w:t>
      </w:r>
      <w:r w:rsidRPr="007261BD">
        <w:rPr>
          <w:szCs w:val="22"/>
          <w:lang w:val="sr-Latn-RS"/>
        </w:rPr>
        <w:t>. Terapijski efekat AA-P na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rPFS i OS u svim prethodno definisanim podgrupama je bio pozitivan i konzistentan u c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elokupnoj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ispitivanoj populaciji, osim za pogrupu ECOG rezultata 2 gde nije zab</w:t>
      </w:r>
      <w:r w:rsidR="00C27E73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>l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ežen trend koristi, međutim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mala veličina uzorka (n=40) ograničava donošenje značajnog zaključka.</w:t>
      </w:r>
    </w:p>
    <w:p w14:paraId="5BCFD6DE" w14:textId="6B6086CF" w:rsidR="00C52527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dodatku na zab</w:t>
      </w:r>
      <w:r w:rsidR="00C27E73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>l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ežena poboljšanja ukupnog preživljavanja i rPFS, korist je dokazana za </w:t>
      </w:r>
      <w:r w:rsidR="009551A3" w:rsidRPr="007261BD">
        <w:rPr>
          <w:szCs w:val="22"/>
          <w:lang w:val="sr-Latn-RS"/>
        </w:rPr>
        <w:t>abirateron</w:t>
      </w:r>
      <w:r w:rsidR="00E97398" w:rsidRPr="007261BD">
        <w:rPr>
          <w:szCs w:val="22"/>
          <w:lang w:val="sr-Latn-RS"/>
        </w:rPr>
        <w:t xml:space="preserve"> acetat</w:t>
      </w:r>
      <w:r w:rsidR="009551A3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u odnosu na prim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enu placeba u svim prospektivno definisanim sekundarnim parametrima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praćenja ishoda</w:t>
      </w:r>
      <w:r w:rsidR="00C52527" w:rsidRPr="007261BD">
        <w:rPr>
          <w:szCs w:val="22"/>
          <w:lang w:val="sr-Latn-RS"/>
        </w:rPr>
        <w:t>.</w:t>
      </w:r>
    </w:p>
    <w:p w14:paraId="36B6033F" w14:textId="35BCB57F" w:rsidR="00EF0516" w:rsidRPr="007261BD" w:rsidRDefault="00EF0516">
      <w:pPr>
        <w:rPr>
          <w:i/>
          <w:iCs/>
          <w:szCs w:val="22"/>
          <w:lang w:val="sr-Latn-RS"/>
        </w:rPr>
      </w:pPr>
    </w:p>
    <w:p w14:paraId="25A938B4" w14:textId="32CFFC0E" w:rsidR="00E44B36" w:rsidRPr="007261BD" w:rsidRDefault="00E44B36">
      <w:pPr>
        <w:rPr>
          <w:i/>
          <w:iCs/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>Studija 302 (pacijenti koji ni</w:t>
      </w:r>
      <w:r w:rsidR="00EF0516" w:rsidRPr="007261BD">
        <w:rPr>
          <w:i/>
          <w:iCs/>
          <w:szCs w:val="22"/>
          <w:lang w:val="sr-Latn-RS"/>
        </w:rPr>
        <w:t>je</w:t>
      </w:r>
      <w:r w:rsidRPr="007261BD">
        <w:rPr>
          <w:i/>
          <w:iCs/>
          <w:szCs w:val="22"/>
          <w:lang w:val="sr-Latn-RS"/>
        </w:rPr>
        <w:t>su primali hemioterapiju)</w:t>
      </w:r>
    </w:p>
    <w:p w14:paraId="2CA9F3D9" w14:textId="7AEE1E4C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ovu studiju su uključivani pacijenti koji nisu primali hemioterapiju i koji su bili asimptomatični ili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su imali blage simptome i kod kojih hemioterapija još uv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ek nije bila klinički indikovana. Rezultat od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0-1 na kratkom upitniku za bol (engl. </w:t>
      </w:r>
      <w:r w:rsidRPr="007261BD">
        <w:rPr>
          <w:i/>
          <w:iCs/>
          <w:szCs w:val="22"/>
          <w:lang w:val="sr-Latn-RS"/>
        </w:rPr>
        <w:t>Brief Pain Inventory-Short Form</w:t>
      </w:r>
      <w:r w:rsidRPr="007261BD">
        <w:rPr>
          <w:szCs w:val="22"/>
          <w:lang w:val="sr-Latn-RS"/>
        </w:rPr>
        <w:t>, BPI-SF) za najjaču bol u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posl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ednja 24 sata se smatrao asimptomatskim, a rezultat od 2-3 je smatran blago simptomatski.</w:t>
      </w:r>
    </w:p>
    <w:p w14:paraId="3F8CBA7D" w14:textId="28DA85E1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studiji 302, (n=1088) medijana starosti uključenih pacijenata je bila 71 godina za pacijente koji su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uzimali </w:t>
      </w:r>
      <w:r w:rsidR="009551A3" w:rsidRPr="007261BD">
        <w:rPr>
          <w:szCs w:val="22"/>
          <w:lang w:val="sr-Latn-RS"/>
        </w:rPr>
        <w:t xml:space="preserve">abirateron </w:t>
      </w:r>
      <w:r w:rsidR="00E97398" w:rsidRPr="007261BD">
        <w:rPr>
          <w:szCs w:val="22"/>
          <w:lang w:val="sr-Latn-RS"/>
        </w:rPr>
        <w:t xml:space="preserve">acetat </w:t>
      </w:r>
      <w:r w:rsidRPr="007261BD">
        <w:rPr>
          <w:szCs w:val="22"/>
          <w:lang w:val="sr-Latn-RS"/>
        </w:rPr>
        <w:t>uz prednizon ili prednizolon i 70 godina za pacijente koji su dobijali placebo uz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prednizon ili prednizolon. Broj pacijenata koji su uzimali </w:t>
      </w:r>
      <w:r w:rsidR="009551A3" w:rsidRPr="007261BD">
        <w:rPr>
          <w:szCs w:val="22"/>
          <w:lang w:val="sr-Latn-RS"/>
        </w:rPr>
        <w:t>abirateron</w:t>
      </w:r>
      <w:r w:rsidR="00E97398" w:rsidRPr="007261BD">
        <w:rPr>
          <w:szCs w:val="22"/>
          <w:lang w:val="sr-Latn-RS"/>
        </w:rPr>
        <w:t xml:space="preserve"> acetat</w:t>
      </w:r>
      <w:r w:rsidRPr="007261BD">
        <w:rPr>
          <w:szCs w:val="22"/>
          <w:lang w:val="sr-Latn-RS"/>
        </w:rPr>
        <w:t>, prema rasnim grupama, bio je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sl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edeći: b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ela rasa 520 (95,4%), crna rasa 15 (2,8%), </w:t>
      </w:r>
      <w:r w:rsidR="00EF0516" w:rsidRPr="007261BD">
        <w:rPr>
          <w:szCs w:val="22"/>
          <w:lang w:val="sr-Latn-RS"/>
        </w:rPr>
        <w:t>A</w:t>
      </w:r>
      <w:r w:rsidRPr="007261BD">
        <w:rPr>
          <w:szCs w:val="22"/>
          <w:lang w:val="sr-Latn-RS"/>
        </w:rPr>
        <w:t>zijati 4 (0,7%) i ostali 6 (1,1%). Funkcionalni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status prema ECOG klasifikaciji je bio 0 za 76% pacijenata, i 1 za 24% pacijenata u ob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 grupe.</w:t>
      </w:r>
    </w:p>
    <w:p w14:paraId="19D056BE" w14:textId="1AB1866C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Pedeset procenata pacijenata su imali samo metastaze na kostima, dodatnih 31% pacijenata je imalo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metastaze na kostima i mekim tkivima ili limfnim nodusima i 19% pacijenata je imalo samo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metastaze na mekom tkivu ili limfnom nodusu. Pacijenti sa visceralnim mestastazama su bili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isključeni. </w:t>
      </w:r>
      <w:r w:rsidR="006343B6" w:rsidRPr="007261BD">
        <w:rPr>
          <w:szCs w:val="22"/>
          <w:lang w:val="sr-Latn-RS"/>
        </w:rPr>
        <w:t>Ko-p</w:t>
      </w:r>
      <w:r w:rsidRPr="007261BD">
        <w:rPr>
          <w:szCs w:val="22"/>
          <w:lang w:val="sr-Latn-RS"/>
        </w:rPr>
        <w:t xml:space="preserve">rimarni </w:t>
      </w:r>
      <w:r w:rsidR="006343B6" w:rsidRPr="007261BD">
        <w:rPr>
          <w:szCs w:val="22"/>
          <w:lang w:val="sr-Latn-RS"/>
        </w:rPr>
        <w:t>ciljevi</w:t>
      </w:r>
      <w:r w:rsidRPr="007261BD">
        <w:rPr>
          <w:szCs w:val="22"/>
          <w:lang w:val="sr-Latn-RS"/>
        </w:rPr>
        <w:t xml:space="preserve"> efikasnosti bili su ukupno preživljavanje i preživljavanje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bez radiografske progresije (rPFS). Dodatno uz </w:t>
      </w:r>
      <w:r w:rsidR="000A2C83" w:rsidRPr="007261BD">
        <w:rPr>
          <w:szCs w:val="22"/>
          <w:lang w:val="sr-Latn-RS"/>
        </w:rPr>
        <w:t>ko</w:t>
      </w:r>
      <w:r w:rsidRPr="007261BD">
        <w:rPr>
          <w:szCs w:val="22"/>
          <w:lang w:val="sr-Latn-RS"/>
        </w:rPr>
        <w:t xml:space="preserve">primarne </w:t>
      </w:r>
      <w:r w:rsidR="000A2C83" w:rsidRPr="007261BD">
        <w:rPr>
          <w:szCs w:val="22"/>
          <w:lang w:val="sr-Latn-RS"/>
        </w:rPr>
        <w:t>ciljeve efikasnosti</w:t>
      </w:r>
      <w:r w:rsidRPr="007261BD">
        <w:rPr>
          <w:szCs w:val="22"/>
          <w:lang w:val="sr-Latn-RS"/>
        </w:rPr>
        <w:t>, korist je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takođe proc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enjivana vremenom do uzimanja opijata za bol karcinomskog por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ekla, vremenom do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započinjanja citotoksične hemioterapije, vremenom do pogoršanja vr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ECOG funkcionalnog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statusa ≥ 1 i vremenom do progresije vr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ednosti PSA zasnovanom na kriterijumu Radne </w:t>
      </w:r>
      <w:r w:rsidR="006343B6" w:rsidRPr="007261BD">
        <w:rPr>
          <w:szCs w:val="22"/>
          <w:lang w:val="sr-Latn-RS"/>
        </w:rPr>
        <w:t>g</w:t>
      </w:r>
      <w:r w:rsidRPr="007261BD">
        <w:rPr>
          <w:szCs w:val="22"/>
          <w:lang w:val="sr-Latn-RS"/>
        </w:rPr>
        <w:t>rupe za</w:t>
      </w:r>
      <w:r w:rsidR="009C3119" w:rsidRPr="007261BD">
        <w:rPr>
          <w:szCs w:val="22"/>
          <w:lang w:val="sr-Latn-RS"/>
        </w:rPr>
        <w:t xml:space="preserve"> </w:t>
      </w:r>
      <w:r w:rsidR="006343B6" w:rsidRPr="007261BD">
        <w:rPr>
          <w:szCs w:val="22"/>
          <w:lang w:val="sr-Latn-RS"/>
        </w:rPr>
        <w:t>k</w:t>
      </w:r>
      <w:r w:rsidRPr="007261BD">
        <w:rPr>
          <w:szCs w:val="22"/>
          <w:lang w:val="sr-Latn-RS"/>
        </w:rPr>
        <w:t xml:space="preserve">arcinom </w:t>
      </w:r>
      <w:r w:rsidR="006343B6" w:rsidRPr="007261BD">
        <w:rPr>
          <w:szCs w:val="22"/>
          <w:lang w:val="sr-Latn-RS"/>
        </w:rPr>
        <w:t>p</w:t>
      </w:r>
      <w:r w:rsidRPr="007261BD">
        <w:rPr>
          <w:szCs w:val="22"/>
          <w:lang w:val="sr-Latn-RS"/>
        </w:rPr>
        <w:t xml:space="preserve">rostate 2 (engl. </w:t>
      </w:r>
      <w:r w:rsidRPr="007261BD">
        <w:rPr>
          <w:i/>
          <w:iCs/>
          <w:szCs w:val="22"/>
          <w:lang w:val="sr-Latn-RS"/>
        </w:rPr>
        <w:t>Prostate Cancer Working Group-2</w:t>
      </w:r>
      <w:r w:rsidRPr="007261BD">
        <w:rPr>
          <w:szCs w:val="22"/>
          <w:lang w:val="sr-Latn-RS"/>
        </w:rPr>
        <w:t>, PCWG2). Terapije u studiji su bile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prekinute kada je nedvosmisleno došlo do kliničke progresije. Terapije su takođe bile prekinute u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vr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eme potvrđene radiografske progresije po nahođenju istraživača.</w:t>
      </w:r>
    </w:p>
    <w:p w14:paraId="3FBAADBF" w14:textId="486157E8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lastRenderedPageBreak/>
        <w:t>Preživljavanje bez radiografske progresije (rPFS) je proc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enjeno upotrebom studija sekvencijalnih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slika (engl. </w:t>
      </w:r>
      <w:r w:rsidRPr="007261BD">
        <w:rPr>
          <w:i/>
          <w:iCs/>
          <w:szCs w:val="22"/>
          <w:lang w:val="sr-Latn-RS"/>
        </w:rPr>
        <w:t>sequential imaging studies</w:t>
      </w:r>
      <w:r w:rsidRPr="007261BD">
        <w:rPr>
          <w:szCs w:val="22"/>
          <w:lang w:val="sr-Latn-RS"/>
        </w:rPr>
        <w:t>), kao što je definisano PCWG2 kriterijumima (za lezije na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kostima) i modifikovanim Kriterijumima za evaluaciju odgovora kod solidnih tumora (engl. </w:t>
      </w:r>
      <w:r w:rsidRPr="007261BD">
        <w:rPr>
          <w:i/>
          <w:iCs/>
          <w:szCs w:val="22"/>
          <w:lang w:val="sr-Latn-RS"/>
        </w:rPr>
        <w:t>Response</w:t>
      </w:r>
      <w:r w:rsidR="009C3119" w:rsidRPr="007261BD">
        <w:rPr>
          <w:i/>
          <w:iCs/>
          <w:szCs w:val="22"/>
          <w:lang w:val="sr-Latn-RS"/>
        </w:rPr>
        <w:t xml:space="preserve"> </w:t>
      </w:r>
      <w:r w:rsidRPr="007261BD">
        <w:rPr>
          <w:i/>
          <w:iCs/>
          <w:szCs w:val="22"/>
          <w:lang w:val="sr-Latn-RS"/>
        </w:rPr>
        <w:t>Evaluation Criteria In Solid Tumors</w:t>
      </w:r>
      <w:r w:rsidRPr="007261BD">
        <w:rPr>
          <w:szCs w:val="22"/>
          <w:lang w:val="sr-Latn-RS"/>
        </w:rPr>
        <w:t>, RECIST) (za lezije na mekim tkivima). U analizi rPFS je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korišćen centralni pregled radiografske proc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progresije.</w:t>
      </w:r>
    </w:p>
    <w:p w14:paraId="402AB210" w14:textId="2E8ACE44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U planiranoj rPFS analizi bio je 401 događaj, 150 (28%) pacijenata koji su dobijali </w:t>
      </w:r>
      <w:r w:rsidR="009551A3" w:rsidRPr="007261BD">
        <w:rPr>
          <w:szCs w:val="22"/>
          <w:lang w:val="sr-Latn-RS"/>
        </w:rPr>
        <w:t>abirateron</w:t>
      </w:r>
      <w:r w:rsidR="00E97398" w:rsidRPr="007261BD">
        <w:rPr>
          <w:szCs w:val="22"/>
          <w:lang w:val="sr-Latn-RS"/>
        </w:rPr>
        <w:t xml:space="preserve"> acetat</w:t>
      </w:r>
      <w:r w:rsidR="009551A3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 251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(46%) pacijenata su dobijali placebo su imali radiografski dokaze progresije ili su umrli. Prim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ećena je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značajna razlika u rPFS između terapijskih grupa (vid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eti Tabelu 4 i Sliku 3).</w:t>
      </w:r>
    </w:p>
    <w:p w14:paraId="142417B5" w14:textId="77777777" w:rsidR="009C3119" w:rsidRPr="007261BD" w:rsidRDefault="009C3119">
      <w:pPr>
        <w:rPr>
          <w:szCs w:val="22"/>
          <w:lang w:val="sr-Latn-RS"/>
        </w:rPr>
      </w:pPr>
    </w:p>
    <w:p w14:paraId="1278C943" w14:textId="277EA4DE" w:rsidR="000A2695" w:rsidRPr="007261BD" w:rsidRDefault="00E44B36">
      <w:pPr>
        <w:rPr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Tabela 4: Studija 302: Preživljavanje bez radiografske progresije kod pacijenata koji su</w:t>
      </w:r>
      <w:r w:rsidR="00BA2DE7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 xml:space="preserve">dobijali  </w:t>
      </w:r>
      <w:r w:rsidR="00BA2DE7" w:rsidRPr="007261BD">
        <w:rPr>
          <w:b/>
          <w:bCs/>
          <w:szCs w:val="22"/>
          <w:lang w:val="sr-Latn-RS"/>
        </w:rPr>
        <w:t>abirateron</w:t>
      </w:r>
      <w:r w:rsidRPr="007261BD">
        <w:rPr>
          <w:b/>
          <w:bCs/>
          <w:szCs w:val="22"/>
          <w:lang w:val="sr-Latn-RS"/>
        </w:rPr>
        <w:t xml:space="preserve"> ili placebo u kombinaciji sa prednizonom ili prednizolonom uz</w:t>
      </w:r>
      <w:r w:rsidR="00BA2DE7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>analoge LHRH ili prethodnu orhiektomiju</w:t>
      </w:r>
    </w:p>
    <w:p w14:paraId="05B82699" w14:textId="0763A475" w:rsidR="00E44B36" w:rsidRPr="007261BD" w:rsidRDefault="00E44B36">
      <w:pPr>
        <w:pBdr>
          <w:bottom w:val="single" w:sz="4" w:space="1" w:color="auto"/>
        </w:pBd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="009551A3" w:rsidRPr="007261BD">
        <w:rPr>
          <w:b/>
          <w:bCs/>
          <w:szCs w:val="22"/>
          <w:lang w:val="sr-Latn-RS"/>
        </w:rPr>
        <w:t>ABIRATERON</w:t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  <w:t>Placebo</w:t>
      </w:r>
    </w:p>
    <w:p w14:paraId="52336A09" w14:textId="5FA235BD" w:rsidR="00E44B36" w:rsidRPr="007261BD" w:rsidRDefault="00E44B36">
      <w:pPr>
        <w:pBdr>
          <w:bottom w:val="single" w:sz="4" w:space="1" w:color="auto"/>
        </w:pBdr>
        <w:rPr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  <w:t xml:space="preserve">(N=546) </w:t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  <w:t>(N=542)</w:t>
      </w:r>
    </w:p>
    <w:p w14:paraId="24AF42C0" w14:textId="1977ABE5" w:rsidR="00E44B36" w:rsidRPr="007261BD" w:rsidRDefault="00E44B36">
      <w:pPr>
        <w:rPr>
          <w:b/>
          <w:bCs/>
          <w:szCs w:val="22"/>
          <w:lang w:val="sr-Latn-RS"/>
        </w:rPr>
      </w:pPr>
    </w:p>
    <w:p w14:paraId="564AE745" w14:textId="77777777" w:rsidR="00E44B36" w:rsidRPr="007261BD" w:rsidRDefault="00E44B36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 xml:space="preserve">Preživljavanje bez </w:t>
      </w:r>
    </w:p>
    <w:p w14:paraId="49FBBF8A" w14:textId="2A92A183" w:rsidR="00E44B36" w:rsidRPr="007261BD" w:rsidRDefault="00E44B36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radiografske progresije (rPFS)</w:t>
      </w:r>
    </w:p>
    <w:p w14:paraId="79CCC127" w14:textId="77777777" w:rsidR="00E44B36" w:rsidRPr="007261BD" w:rsidRDefault="00E44B36">
      <w:pPr>
        <w:rPr>
          <w:b/>
          <w:bCs/>
          <w:szCs w:val="22"/>
          <w:lang w:val="sr-Latn-RS"/>
        </w:rPr>
      </w:pPr>
    </w:p>
    <w:p w14:paraId="3F1AE0EA" w14:textId="2294C79F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Progresija ili smrtni ishod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 xml:space="preserve">150 (28%)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251 (46%)</w:t>
      </w:r>
    </w:p>
    <w:p w14:paraId="053352A5" w14:textId="77777777" w:rsidR="00E44B36" w:rsidRPr="007261BD" w:rsidRDefault="00E44B36">
      <w:pPr>
        <w:rPr>
          <w:szCs w:val="22"/>
          <w:lang w:val="sr-Latn-RS"/>
        </w:rPr>
      </w:pPr>
    </w:p>
    <w:p w14:paraId="4F5D5A02" w14:textId="0811E7E0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Medijana rPFS u m</w:t>
      </w:r>
      <w:r w:rsidR="00C27E73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esecima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nije dostignuto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8,3</w:t>
      </w:r>
    </w:p>
    <w:p w14:paraId="388A6770" w14:textId="0D57BBE9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(95% CI)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 xml:space="preserve">(11,66; NP)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(8,12; 8,54)</w:t>
      </w:r>
    </w:p>
    <w:p w14:paraId="2CA249DF" w14:textId="3FFB2C60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p-vr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ednost*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&lt; 0,0001</w:t>
      </w:r>
    </w:p>
    <w:p w14:paraId="68F8CA13" w14:textId="77777777" w:rsidR="00E44B36" w:rsidRPr="007261BD" w:rsidRDefault="00E44B36">
      <w:pPr>
        <w:rPr>
          <w:szCs w:val="22"/>
          <w:lang w:val="sr-Latn-RS"/>
        </w:rPr>
      </w:pPr>
    </w:p>
    <w:p w14:paraId="2B6D217B" w14:textId="77777777" w:rsidR="00E44B36" w:rsidRPr="007261BD" w:rsidRDefault="00E44B36">
      <w:pPr>
        <w:rPr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>Hazard ratio</w:t>
      </w:r>
      <w:r w:rsidRPr="007261BD">
        <w:rPr>
          <w:szCs w:val="22"/>
          <w:lang w:val="sr-Latn-RS"/>
        </w:rPr>
        <w:t>**</w:t>
      </w:r>
    </w:p>
    <w:p w14:paraId="60869585" w14:textId="07069BEE" w:rsidR="00E44B36" w:rsidRPr="007261BD" w:rsidRDefault="00E44B36">
      <w:pPr>
        <w:pBdr>
          <w:bottom w:val="single" w:sz="4" w:space="1" w:color="auto"/>
        </w:pBd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(95% CI)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0,425 (0,347; 0,522)</w:t>
      </w:r>
    </w:p>
    <w:p w14:paraId="14AA38B6" w14:textId="2622F00D" w:rsidR="00E44B36" w:rsidRPr="007261BD" w:rsidRDefault="00E44B36">
      <w:pPr>
        <w:rPr>
          <w:szCs w:val="22"/>
          <w:lang w:val="sr-Latn-RS"/>
        </w:rPr>
      </w:pPr>
    </w:p>
    <w:p w14:paraId="3582BEA4" w14:textId="77777777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CI – interval pouzdanosti</w:t>
      </w:r>
    </w:p>
    <w:p w14:paraId="73D864F4" w14:textId="7F27F054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NP- Nije proc</w:t>
      </w:r>
      <w:r w:rsidR="00C27E73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enjeno</w:t>
      </w:r>
    </w:p>
    <w:p w14:paraId="4FA5DA81" w14:textId="68C181AC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* p-vr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 je izvedena iz log-rang testa stratifikovanog prema početnoj 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ECOG funkcionalnog</w:t>
      </w:r>
    </w:p>
    <w:p w14:paraId="28BC5610" w14:textId="77777777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statusa (0 ili 1)</w:t>
      </w:r>
    </w:p>
    <w:p w14:paraId="614E6D77" w14:textId="6DD91372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**</w:t>
      </w:r>
      <w:r w:rsidRPr="007261BD">
        <w:rPr>
          <w:i/>
          <w:iCs/>
          <w:szCs w:val="22"/>
          <w:lang w:val="sr-Latn-RS"/>
        </w:rPr>
        <w:t xml:space="preserve">Hazard ratio </w:t>
      </w:r>
      <w:r w:rsidRPr="007261BD">
        <w:rPr>
          <w:szCs w:val="22"/>
          <w:lang w:val="sr-Latn-RS"/>
        </w:rPr>
        <w:t xml:space="preserve">&lt;1 daje prednost </w:t>
      </w:r>
      <w:r w:rsidR="009551A3" w:rsidRPr="007261BD">
        <w:rPr>
          <w:szCs w:val="22"/>
          <w:lang w:val="sr-Latn-RS"/>
        </w:rPr>
        <w:t>abirateron</w:t>
      </w:r>
      <w:r w:rsidR="00E97398" w:rsidRPr="007261BD">
        <w:rPr>
          <w:szCs w:val="22"/>
          <w:lang w:val="sr-Latn-RS"/>
        </w:rPr>
        <w:t xml:space="preserve"> acetatu</w:t>
      </w:r>
    </w:p>
    <w:p w14:paraId="33372C09" w14:textId="77777777" w:rsidR="00A90281" w:rsidRPr="007261BD" w:rsidRDefault="00A90281">
      <w:pPr>
        <w:rPr>
          <w:b/>
          <w:bCs/>
          <w:szCs w:val="22"/>
          <w:lang w:val="sr-Latn-RS"/>
        </w:rPr>
      </w:pPr>
    </w:p>
    <w:p w14:paraId="4AE1021F" w14:textId="01D4B981" w:rsidR="000F60F3" w:rsidRPr="007261BD" w:rsidRDefault="000F60F3">
      <w:pPr>
        <w:rPr>
          <w:b/>
          <w:bCs/>
          <w:szCs w:val="22"/>
          <w:lang w:val="sr-Latn-RS"/>
        </w:rPr>
      </w:pPr>
    </w:p>
    <w:p w14:paraId="6A7AA6CF" w14:textId="77777777" w:rsidR="00A839AE" w:rsidRDefault="00A839AE">
      <w:pPr>
        <w:rPr>
          <w:b/>
          <w:bCs/>
          <w:szCs w:val="22"/>
          <w:lang w:val="sr-Latn-RS"/>
        </w:rPr>
      </w:pPr>
    </w:p>
    <w:p w14:paraId="744E5591" w14:textId="77777777" w:rsidR="00A839AE" w:rsidRDefault="00A839AE">
      <w:pPr>
        <w:rPr>
          <w:b/>
          <w:bCs/>
          <w:szCs w:val="22"/>
          <w:lang w:val="sr-Latn-RS"/>
        </w:rPr>
      </w:pPr>
    </w:p>
    <w:p w14:paraId="3B449E89" w14:textId="77777777" w:rsidR="00A839AE" w:rsidRDefault="00A839AE">
      <w:pPr>
        <w:rPr>
          <w:b/>
          <w:bCs/>
          <w:szCs w:val="22"/>
          <w:lang w:val="sr-Latn-RS"/>
        </w:rPr>
      </w:pPr>
    </w:p>
    <w:p w14:paraId="4D36566C" w14:textId="77777777" w:rsidR="00A839AE" w:rsidRDefault="00A839AE">
      <w:pPr>
        <w:rPr>
          <w:b/>
          <w:bCs/>
          <w:szCs w:val="22"/>
          <w:lang w:val="sr-Latn-RS"/>
        </w:rPr>
      </w:pPr>
    </w:p>
    <w:p w14:paraId="261FD7A5" w14:textId="77777777" w:rsidR="00A839AE" w:rsidRDefault="00A839AE">
      <w:pPr>
        <w:rPr>
          <w:b/>
          <w:bCs/>
          <w:szCs w:val="22"/>
          <w:lang w:val="sr-Latn-RS"/>
        </w:rPr>
      </w:pPr>
    </w:p>
    <w:p w14:paraId="55927A22" w14:textId="77777777" w:rsidR="00A839AE" w:rsidRDefault="00A839AE">
      <w:pPr>
        <w:rPr>
          <w:b/>
          <w:bCs/>
          <w:szCs w:val="22"/>
          <w:lang w:val="sr-Latn-RS"/>
        </w:rPr>
      </w:pPr>
    </w:p>
    <w:p w14:paraId="2D337160" w14:textId="77777777" w:rsidR="00A839AE" w:rsidRDefault="00A839AE">
      <w:pPr>
        <w:rPr>
          <w:b/>
          <w:bCs/>
          <w:szCs w:val="22"/>
          <w:lang w:val="sr-Latn-RS"/>
        </w:rPr>
      </w:pPr>
    </w:p>
    <w:p w14:paraId="488EBDC5" w14:textId="77777777" w:rsidR="00A839AE" w:rsidRDefault="00A839AE">
      <w:pPr>
        <w:rPr>
          <w:b/>
          <w:bCs/>
          <w:szCs w:val="22"/>
          <w:lang w:val="sr-Latn-RS"/>
        </w:rPr>
      </w:pPr>
    </w:p>
    <w:p w14:paraId="6FE979B3" w14:textId="77777777" w:rsidR="00A839AE" w:rsidRDefault="00A839AE">
      <w:pPr>
        <w:rPr>
          <w:b/>
          <w:bCs/>
          <w:szCs w:val="22"/>
          <w:lang w:val="sr-Latn-RS"/>
        </w:rPr>
      </w:pPr>
    </w:p>
    <w:p w14:paraId="01457038" w14:textId="77777777" w:rsidR="00A839AE" w:rsidRDefault="00A839AE">
      <w:pPr>
        <w:rPr>
          <w:b/>
          <w:bCs/>
          <w:szCs w:val="22"/>
          <w:lang w:val="sr-Latn-RS"/>
        </w:rPr>
      </w:pPr>
    </w:p>
    <w:p w14:paraId="2439E6ED" w14:textId="77777777" w:rsidR="00A839AE" w:rsidRDefault="00A839AE">
      <w:pPr>
        <w:rPr>
          <w:b/>
          <w:bCs/>
          <w:szCs w:val="22"/>
          <w:lang w:val="sr-Latn-RS"/>
        </w:rPr>
      </w:pPr>
    </w:p>
    <w:p w14:paraId="2B4ABCE9" w14:textId="77777777" w:rsidR="00A839AE" w:rsidRDefault="00A839AE">
      <w:pPr>
        <w:rPr>
          <w:b/>
          <w:bCs/>
          <w:szCs w:val="22"/>
          <w:lang w:val="sr-Latn-RS"/>
        </w:rPr>
      </w:pPr>
    </w:p>
    <w:p w14:paraId="0DC8C613" w14:textId="77777777" w:rsidR="00A839AE" w:rsidRDefault="00A839AE">
      <w:pPr>
        <w:rPr>
          <w:b/>
          <w:bCs/>
          <w:szCs w:val="22"/>
          <w:lang w:val="sr-Latn-RS"/>
        </w:rPr>
      </w:pPr>
    </w:p>
    <w:p w14:paraId="6F9DA10E" w14:textId="77777777" w:rsidR="00A839AE" w:rsidRDefault="00A839AE">
      <w:pPr>
        <w:rPr>
          <w:b/>
          <w:bCs/>
          <w:szCs w:val="22"/>
          <w:lang w:val="sr-Latn-RS"/>
        </w:rPr>
      </w:pPr>
    </w:p>
    <w:p w14:paraId="1C704398" w14:textId="77777777" w:rsidR="00A839AE" w:rsidRDefault="00A839AE">
      <w:pPr>
        <w:rPr>
          <w:b/>
          <w:bCs/>
          <w:szCs w:val="22"/>
          <w:lang w:val="sr-Latn-RS"/>
        </w:rPr>
      </w:pPr>
    </w:p>
    <w:p w14:paraId="693C5192" w14:textId="77777777" w:rsidR="00A839AE" w:rsidRDefault="00A839AE">
      <w:pPr>
        <w:rPr>
          <w:b/>
          <w:bCs/>
          <w:szCs w:val="22"/>
          <w:lang w:val="sr-Latn-RS"/>
        </w:rPr>
      </w:pPr>
    </w:p>
    <w:p w14:paraId="2230E626" w14:textId="77777777" w:rsidR="00A839AE" w:rsidRDefault="00A839AE">
      <w:pPr>
        <w:rPr>
          <w:b/>
          <w:bCs/>
          <w:szCs w:val="22"/>
          <w:lang w:val="sr-Latn-RS"/>
        </w:rPr>
      </w:pPr>
    </w:p>
    <w:p w14:paraId="54A6CAE5" w14:textId="77777777" w:rsidR="00A839AE" w:rsidRDefault="00A839AE">
      <w:pPr>
        <w:rPr>
          <w:b/>
          <w:bCs/>
          <w:szCs w:val="22"/>
          <w:lang w:val="sr-Latn-RS"/>
        </w:rPr>
      </w:pPr>
    </w:p>
    <w:p w14:paraId="0A9C2E07" w14:textId="77777777" w:rsidR="00A839AE" w:rsidRDefault="00A839AE">
      <w:pPr>
        <w:rPr>
          <w:b/>
          <w:bCs/>
          <w:szCs w:val="22"/>
          <w:lang w:val="sr-Latn-RS"/>
        </w:rPr>
      </w:pPr>
    </w:p>
    <w:p w14:paraId="6011343F" w14:textId="77777777" w:rsidR="00A839AE" w:rsidRDefault="00A839AE">
      <w:pPr>
        <w:rPr>
          <w:b/>
          <w:bCs/>
          <w:szCs w:val="22"/>
          <w:lang w:val="sr-Latn-RS"/>
        </w:rPr>
      </w:pPr>
    </w:p>
    <w:p w14:paraId="0C220CBB" w14:textId="77777777" w:rsidR="00A839AE" w:rsidRDefault="00A839AE">
      <w:pPr>
        <w:rPr>
          <w:b/>
          <w:bCs/>
          <w:szCs w:val="22"/>
          <w:lang w:val="sr-Latn-RS"/>
        </w:rPr>
      </w:pPr>
    </w:p>
    <w:p w14:paraId="32966EFD" w14:textId="4A8930CD" w:rsidR="00E44B36" w:rsidRPr="007261BD" w:rsidRDefault="00E44B36">
      <w:pPr>
        <w:rPr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lastRenderedPageBreak/>
        <w:t xml:space="preserve">Slika 3: </w:t>
      </w:r>
      <w:r w:rsidRPr="007261BD">
        <w:rPr>
          <w:b/>
          <w:bCs/>
          <w:i/>
          <w:iCs/>
          <w:szCs w:val="22"/>
          <w:lang w:val="sr-Latn-RS"/>
        </w:rPr>
        <w:t xml:space="preserve">Kaplan-Meier </w:t>
      </w:r>
      <w:r w:rsidRPr="007261BD">
        <w:rPr>
          <w:b/>
          <w:bCs/>
          <w:szCs w:val="22"/>
          <w:lang w:val="sr-Latn-RS"/>
        </w:rPr>
        <w:t>krive preživljavanja bez radigrafske progresije kod pacijenata koji su</w:t>
      </w:r>
      <w:r w:rsidR="009551A3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 xml:space="preserve">uzimali ili </w:t>
      </w:r>
      <w:r w:rsidR="00C10ED6" w:rsidRPr="007261BD">
        <w:rPr>
          <w:b/>
          <w:bCs/>
          <w:szCs w:val="22"/>
          <w:lang w:val="sr-Latn-RS"/>
        </w:rPr>
        <w:t>a</w:t>
      </w:r>
      <w:r w:rsidR="009551A3" w:rsidRPr="007261BD">
        <w:rPr>
          <w:b/>
          <w:bCs/>
          <w:szCs w:val="22"/>
          <w:lang w:val="sr-Latn-RS"/>
        </w:rPr>
        <w:t>birateron</w:t>
      </w:r>
      <w:r w:rsidR="00C10ED6" w:rsidRPr="007261BD">
        <w:rPr>
          <w:b/>
          <w:bCs/>
          <w:szCs w:val="22"/>
          <w:lang w:val="sr-Latn-RS"/>
        </w:rPr>
        <w:t xml:space="preserve"> acetat</w:t>
      </w:r>
      <w:r w:rsidR="009551A3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>ili placebo u kombinaciji sa prednizonom ili prednizolonom uz</w:t>
      </w:r>
      <w:r w:rsidR="009551A3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>analoge LHRH ili prethodnu orhiektomiju</w:t>
      </w:r>
    </w:p>
    <w:p w14:paraId="5E8B702C" w14:textId="265B25CC" w:rsidR="00E44B36" w:rsidRPr="007261BD" w:rsidRDefault="00E44B36">
      <w:pPr>
        <w:rPr>
          <w:szCs w:val="22"/>
          <w:lang w:val="sr-Latn-RS"/>
        </w:rPr>
      </w:pPr>
    </w:p>
    <w:p w14:paraId="11C5C679" w14:textId="3F2A6435" w:rsidR="00E44B36" w:rsidRPr="007261BD" w:rsidRDefault="00DE0AA6">
      <w:pPr>
        <w:rPr>
          <w:szCs w:val="22"/>
          <w:lang w:val="sr-Latn-RS"/>
        </w:rPr>
      </w:pPr>
      <w:r w:rsidRPr="007261BD">
        <w:rPr>
          <w:noProof/>
          <w:szCs w:val="22"/>
          <w:lang w:val="sr-Latn-ME" w:eastAsia="sr-Latn-ME"/>
        </w:rPr>
        <w:drawing>
          <wp:inline distT="0" distB="0" distL="0" distR="0" wp14:anchorId="1E17C690" wp14:editId="41B1D5A2">
            <wp:extent cx="5934075" cy="3618332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004" cy="362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4A944" w14:textId="62669960" w:rsidR="00C10ED6" w:rsidRPr="007261BD" w:rsidRDefault="00C10ED6">
      <w:pPr>
        <w:rPr>
          <w:bCs/>
          <w:szCs w:val="22"/>
          <w:lang w:val="sr-Latn-RS"/>
        </w:rPr>
      </w:pPr>
      <w:r w:rsidRPr="007261BD">
        <w:rPr>
          <w:bCs/>
          <w:szCs w:val="22"/>
          <w:lang w:val="sr-Latn-RS"/>
        </w:rPr>
        <w:t>AA= abirateron acetat</w:t>
      </w:r>
    </w:p>
    <w:p w14:paraId="7FD9DD13" w14:textId="77777777" w:rsidR="00C10ED6" w:rsidRPr="007261BD" w:rsidRDefault="00C10ED6">
      <w:pPr>
        <w:rPr>
          <w:szCs w:val="22"/>
          <w:lang w:val="sr-Latn-RS"/>
        </w:rPr>
      </w:pPr>
    </w:p>
    <w:p w14:paraId="6429BB0B" w14:textId="77777777" w:rsidR="00C10ED6" w:rsidRPr="007261BD" w:rsidRDefault="00C10ED6">
      <w:pPr>
        <w:rPr>
          <w:szCs w:val="22"/>
          <w:lang w:val="sr-Latn-RS"/>
        </w:rPr>
      </w:pPr>
    </w:p>
    <w:p w14:paraId="0E9EB858" w14:textId="64030D7F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Ipak, nastavljeno je prikupljanje podataka o ispitanicima do druge </w:t>
      </w:r>
      <w:r w:rsidRPr="007261BD">
        <w:rPr>
          <w:i/>
          <w:iCs/>
          <w:szCs w:val="22"/>
          <w:lang w:val="sr-Latn-RS"/>
        </w:rPr>
        <w:t xml:space="preserve">interim </w:t>
      </w:r>
      <w:r w:rsidRPr="007261BD">
        <w:rPr>
          <w:szCs w:val="22"/>
          <w:lang w:val="sr-Latn-RS"/>
        </w:rPr>
        <w:t>analize ukupnog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preživljavanja (OS). Radiografska proc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ena rPFS od strane istraživača, izvršena je kao analiza praćenja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os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etljivosti i prikazana je u Tabeli 5 i na Slici 4.</w:t>
      </w:r>
    </w:p>
    <w:p w14:paraId="12C6553C" w14:textId="76DF85BE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Šest stotina i sedam (607) ispitanika je imalo radiografsku progresiju ili su umrli: 271 (50%) u grupi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koja je uzimala abirateron</w:t>
      </w:r>
      <w:r w:rsidR="00505A81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 i 336 (62%) u grupi koja je dobijala placebo. Terapija abirateron</w:t>
      </w:r>
      <w:r w:rsidR="00505A81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acetatom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smanjuje rizik od radiografske progresije ili smrti za 47% u odnosu na placebo (HR=0,530;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95% interval pouzdanosti (CI): 0,451; 0,623; p&lt; 0,0001). Medijana rPFS je 16,5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 u grupi koja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je uzimala abirateron</w:t>
      </w:r>
      <w:r w:rsidR="00505A81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 i 8,3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eseca u grupi koja je dobijala placebo.</w:t>
      </w:r>
    </w:p>
    <w:p w14:paraId="2B8B9C35" w14:textId="77777777" w:rsidR="00C10ED6" w:rsidRPr="007261BD" w:rsidRDefault="00C10ED6">
      <w:pPr>
        <w:rPr>
          <w:b/>
          <w:bCs/>
          <w:szCs w:val="22"/>
          <w:lang w:val="sr-Latn-RS"/>
        </w:rPr>
      </w:pPr>
    </w:p>
    <w:p w14:paraId="5A29F341" w14:textId="4087A500" w:rsidR="00E44B36" w:rsidRPr="007261BD" w:rsidRDefault="00E44B36">
      <w:pPr>
        <w:rPr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Tabela 5: Studija 302: Preživljavanje bez radiografske progresije kod pacijenata koji su</w:t>
      </w:r>
      <w:r w:rsidR="009551A3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 xml:space="preserve">primali </w:t>
      </w:r>
      <w:r w:rsidR="00C10ED6" w:rsidRPr="007261BD">
        <w:rPr>
          <w:b/>
          <w:bCs/>
          <w:szCs w:val="22"/>
          <w:lang w:val="sr-Latn-RS"/>
        </w:rPr>
        <w:t>a</w:t>
      </w:r>
      <w:r w:rsidR="009551A3" w:rsidRPr="007261BD">
        <w:rPr>
          <w:b/>
          <w:bCs/>
          <w:szCs w:val="22"/>
          <w:lang w:val="sr-Latn-RS"/>
        </w:rPr>
        <w:t>birateron</w:t>
      </w:r>
      <w:r w:rsidR="00C10ED6" w:rsidRPr="007261BD">
        <w:rPr>
          <w:b/>
          <w:bCs/>
          <w:szCs w:val="22"/>
          <w:lang w:val="sr-Latn-RS"/>
        </w:rPr>
        <w:t xml:space="preserve"> acetat</w:t>
      </w:r>
      <w:r w:rsidR="009551A3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>ili placebo u kombinaciji sa prednizonom ili prednizolonom uz</w:t>
      </w:r>
      <w:r w:rsidR="009551A3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 xml:space="preserve">analoge LHRH ili prethodnu orhiektomiju (Druga </w:t>
      </w:r>
      <w:r w:rsidRPr="007261BD">
        <w:rPr>
          <w:b/>
          <w:bCs/>
          <w:i/>
          <w:iCs/>
          <w:szCs w:val="22"/>
          <w:lang w:val="sr-Latn-RS"/>
        </w:rPr>
        <w:t xml:space="preserve">interim </w:t>
      </w:r>
      <w:r w:rsidRPr="007261BD">
        <w:rPr>
          <w:b/>
          <w:bCs/>
          <w:szCs w:val="22"/>
          <w:lang w:val="sr-Latn-RS"/>
        </w:rPr>
        <w:t>analiza ukupnog</w:t>
      </w:r>
      <w:r w:rsidR="009551A3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>preživljavanja (OS) - Proc</w:t>
      </w:r>
      <w:r w:rsidR="00505A81" w:rsidRPr="007261BD">
        <w:rPr>
          <w:b/>
          <w:bCs/>
          <w:szCs w:val="22"/>
          <w:lang w:val="sr-Latn-RS"/>
        </w:rPr>
        <w:t>j</w:t>
      </w:r>
      <w:r w:rsidRPr="007261BD">
        <w:rPr>
          <w:b/>
          <w:bCs/>
          <w:szCs w:val="22"/>
          <w:lang w:val="sr-Latn-RS"/>
        </w:rPr>
        <w:t xml:space="preserve">ena </w:t>
      </w:r>
      <w:r w:rsidR="000A2C83" w:rsidRPr="007261BD">
        <w:rPr>
          <w:b/>
          <w:bCs/>
          <w:szCs w:val="22"/>
          <w:lang w:val="sr-Latn-RS"/>
        </w:rPr>
        <w:t>i</w:t>
      </w:r>
      <w:r w:rsidRPr="007261BD">
        <w:rPr>
          <w:b/>
          <w:bCs/>
          <w:szCs w:val="22"/>
          <w:lang w:val="sr-Latn-RS"/>
        </w:rPr>
        <w:t>straživača)</w:t>
      </w:r>
    </w:p>
    <w:p w14:paraId="60E52DD7" w14:textId="531C7CC7" w:rsidR="00E44B36" w:rsidRPr="007261BD" w:rsidRDefault="00E44B36">
      <w:pPr>
        <w:rPr>
          <w:szCs w:val="22"/>
          <w:lang w:val="sr-Latn-RS"/>
        </w:rPr>
      </w:pPr>
    </w:p>
    <w:p w14:paraId="7B7C0D53" w14:textId="463C6A6C" w:rsidR="00E44B36" w:rsidRPr="007261BD" w:rsidRDefault="00E44B36">
      <w:pPr>
        <w:pBdr>
          <w:bottom w:val="single" w:sz="4" w:space="1" w:color="auto"/>
        </w:pBd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="009551A3" w:rsidRPr="007261BD">
        <w:rPr>
          <w:b/>
          <w:bCs/>
          <w:szCs w:val="22"/>
          <w:lang w:val="sr-Latn-RS"/>
        </w:rPr>
        <w:t xml:space="preserve">Abirateron </w:t>
      </w:r>
      <w:r w:rsidRPr="007261BD">
        <w:rPr>
          <w:b/>
          <w:bCs/>
          <w:szCs w:val="22"/>
          <w:lang w:val="sr-Latn-RS"/>
        </w:rPr>
        <w:t xml:space="preserve">(N=546) </w:t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  <w:t>Placebo (N=542)</w:t>
      </w:r>
    </w:p>
    <w:p w14:paraId="3E1AA524" w14:textId="77777777" w:rsidR="00E44B36" w:rsidRPr="007261BD" w:rsidRDefault="00E44B36">
      <w:pPr>
        <w:rPr>
          <w:szCs w:val="22"/>
          <w:lang w:val="sr-Latn-RS"/>
        </w:rPr>
      </w:pPr>
    </w:p>
    <w:p w14:paraId="6E625ECD" w14:textId="77777777" w:rsidR="00E44B36" w:rsidRPr="007261BD" w:rsidRDefault="00E44B36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 xml:space="preserve">Preživljavanje bez </w:t>
      </w:r>
    </w:p>
    <w:p w14:paraId="1F3E2D12" w14:textId="58707C6E" w:rsidR="00E44B36" w:rsidRPr="007261BD" w:rsidRDefault="00E44B36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radiografske progresije (rPFS)</w:t>
      </w:r>
    </w:p>
    <w:p w14:paraId="26610289" w14:textId="0E7B413E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Progresija ili smrtni ishod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 xml:space="preserve">271 (50%)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336 (62%)</w:t>
      </w:r>
    </w:p>
    <w:p w14:paraId="42316E82" w14:textId="0F1B3CF3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Medijana rPFS u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esecima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16,5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8,3</w:t>
      </w:r>
    </w:p>
    <w:p w14:paraId="68AFE598" w14:textId="10F6199C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(95% CI)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 xml:space="preserve">(13,80; 16,79)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(8,05; 9,43)</w:t>
      </w:r>
    </w:p>
    <w:p w14:paraId="78B6E0FC" w14:textId="04FA0063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p-vr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ednost*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 xml:space="preserve"> &lt; 0,0001</w:t>
      </w:r>
    </w:p>
    <w:p w14:paraId="6EF5A057" w14:textId="77777777" w:rsidR="00E44B36" w:rsidRPr="007261BD" w:rsidRDefault="00E44B36">
      <w:pPr>
        <w:rPr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>Hazard ratio</w:t>
      </w:r>
      <w:r w:rsidRPr="007261BD">
        <w:rPr>
          <w:szCs w:val="22"/>
          <w:lang w:val="sr-Latn-RS"/>
        </w:rPr>
        <w:t>**</w:t>
      </w:r>
    </w:p>
    <w:p w14:paraId="5EF8D409" w14:textId="545950C0" w:rsidR="00E44B36" w:rsidRPr="007261BD" w:rsidRDefault="00E44B36">
      <w:pPr>
        <w:pBdr>
          <w:bottom w:val="single" w:sz="4" w:space="1" w:color="auto"/>
        </w:pBd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(95% CI)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0,530 (0,451; 0,623)</w:t>
      </w:r>
    </w:p>
    <w:p w14:paraId="01A59F4E" w14:textId="77777777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CI – interval pouzdanosti</w:t>
      </w:r>
    </w:p>
    <w:p w14:paraId="45B09985" w14:textId="56869DCB" w:rsidR="00E44B36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*p-vr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 je izvedena iz log-rang testa stratifikovanog prema početnoj 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ECOG funkcionalnog statusa</w:t>
      </w:r>
      <w:r w:rsidR="00A90281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(0 ili 1)</w:t>
      </w:r>
    </w:p>
    <w:p w14:paraId="3FC4D8E9" w14:textId="63EEC8DC" w:rsidR="000A2695" w:rsidRPr="007261BD" w:rsidRDefault="00E44B36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lastRenderedPageBreak/>
        <w:t>**</w:t>
      </w:r>
      <w:r w:rsidRPr="007261BD">
        <w:rPr>
          <w:i/>
          <w:iCs/>
          <w:szCs w:val="22"/>
          <w:lang w:val="sr-Latn-RS"/>
        </w:rPr>
        <w:t xml:space="preserve">Hazard ratio </w:t>
      </w:r>
      <w:r w:rsidR="00A90281" w:rsidRPr="007261BD">
        <w:rPr>
          <w:szCs w:val="22"/>
          <w:lang w:val="sr-Latn-RS"/>
        </w:rPr>
        <w:t>&lt;</w:t>
      </w:r>
      <w:r w:rsidRPr="007261BD">
        <w:rPr>
          <w:szCs w:val="22"/>
          <w:lang w:val="sr-Latn-RS"/>
        </w:rPr>
        <w:t xml:space="preserve">1 daje prednost </w:t>
      </w:r>
      <w:r w:rsidR="00BC24C2" w:rsidRPr="007261BD">
        <w:rPr>
          <w:szCs w:val="22"/>
          <w:lang w:val="sr-Latn-RS"/>
        </w:rPr>
        <w:t>abirateron</w:t>
      </w:r>
      <w:r w:rsidR="00E97398" w:rsidRPr="007261BD">
        <w:rPr>
          <w:szCs w:val="22"/>
          <w:lang w:val="sr-Latn-RS"/>
        </w:rPr>
        <w:t xml:space="preserve"> acetatu</w:t>
      </w:r>
    </w:p>
    <w:p w14:paraId="5FB2ACB2" w14:textId="77777777" w:rsidR="00C745D0" w:rsidRPr="007261BD" w:rsidRDefault="00C745D0">
      <w:pPr>
        <w:rPr>
          <w:b/>
          <w:bCs/>
          <w:szCs w:val="22"/>
          <w:lang w:val="sr-Latn-RS"/>
        </w:rPr>
      </w:pPr>
    </w:p>
    <w:p w14:paraId="1D114DCC" w14:textId="2ED1CE5D" w:rsidR="00F656A5" w:rsidRPr="007261BD" w:rsidRDefault="00F656A5">
      <w:pPr>
        <w:rPr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 xml:space="preserve">Slika 4: </w:t>
      </w:r>
      <w:r w:rsidRPr="007261BD">
        <w:rPr>
          <w:b/>
          <w:bCs/>
          <w:i/>
          <w:iCs/>
          <w:szCs w:val="22"/>
          <w:lang w:val="sr-Latn-RS"/>
        </w:rPr>
        <w:t xml:space="preserve">Kaplan-Meier </w:t>
      </w:r>
      <w:r w:rsidRPr="007261BD">
        <w:rPr>
          <w:b/>
          <w:bCs/>
          <w:szCs w:val="22"/>
          <w:lang w:val="sr-Latn-RS"/>
        </w:rPr>
        <w:t>krive preživljavanja bez radiografske progresije kod pacijenata koji su</w:t>
      </w:r>
      <w:r w:rsidR="009551A3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 xml:space="preserve">uzimali ili </w:t>
      </w:r>
      <w:r w:rsidR="00C745D0" w:rsidRPr="007261BD">
        <w:rPr>
          <w:b/>
          <w:bCs/>
          <w:szCs w:val="22"/>
          <w:lang w:val="sr-Latn-RS"/>
        </w:rPr>
        <w:t>abirateron acetat</w:t>
      </w:r>
      <w:r w:rsidRPr="007261BD">
        <w:rPr>
          <w:b/>
          <w:bCs/>
          <w:szCs w:val="22"/>
          <w:lang w:val="sr-Latn-RS"/>
        </w:rPr>
        <w:t xml:space="preserve"> ili placebo u kombinaciji sa prednizonom ili prednizolonom uz analoge</w:t>
      </w:r>
      <w:r w:rsidR="009551A3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 xml:space="preserve">LHRH ili prethodnu orhiektomiju (Druga </w:t>
      </w:r>
      <w:r w:rsidRPr="007261BD">
        <w:rPr>
          <w:b/>
          <w:bCs/>
          <w:i/>
          <w:iCs/>
          <w:szCs w:val="22"/>
          <w:lang w:val="sr-Latn-RS"/>
        </w:rPr>
        <w:t xml:space="preserve">interim </w:t>
      </w:r>
      <w:r w:rsidRPr="007261BD">
        <w:rPr>
          <w:b/>
          <w:bCs/>
          <w:szCs w:val="22"/>
          <w:lang w:val="sr-Latn-RS"/>
        </w:rPr>
        <w:t>analiza ukupnog preživljavanja (OS) -Proc</w:t>
      </w:r>
      <w:r w:rsidR="00505A81" w:rsidRPr="007261BD">
        <w:rPr>
          <w:b/>
          <w:bCs/>
          <w:szCs w:val="22"/>
          <w:lang w:val="sr-Latn-RS"/>
        </w:rPr>
        <w:t>j</w:t>
      </w:r>
      <w:r w:rsidRPr="007261BD">
        <w:rPr>
          <w:b/>
          <w:bCs/>
          <w:szCs w:val="22"/>
          <w:lang w:val="sr-Latn-RS"/>
        </w:rPr>
        <w:t xml:space="preserve">ena </w:t>
      </w:r>
      <w:r w:rsidR="000A2C83" w:rsidRPr="007261BD">
        <w:rPr>
          <w:b/>
          <w:bCs/>
          <w:szCs w:val="22"/>
          <w:lang w:val="sr-Latn-RS"/>
        </w:rPr>
        <w:t>i</w:t>
      </w:r>
      <w:r w:rsidRPr="007261BD">
        <w:rPr>
          <w:b/>
          <w:bCs/>
          <w:szCs w:val="22"/>
          <w:lang w:val="sr-Latn-RS"/>
        </w:rPr>
        <w:t>straživača)</w:t>
      </w:r>
    </w:p>
    <w:p w14:paraId="739B9A3C" w14:textId="3378F46C" w:rsidR="00F656A5" w:rsidRPr="007261BD" w:rsidRDefault="00F656A5">
      <w:pPr>
        <w:rPr>
          <w:szCs w:val="22"/>
          <w:lang w:val="sr-Latn-RS"/>
        </w:rPr>
      </w:pPr>
    </w:p>
    <w:p w14:paraId="42459A31" w14:textId="4DD23A54" w:rsidR="00F656A5" w:rsidRPr="007261BD" w:rsidRDefault="00DE0AA6">
      <w:pPr>
        <w:rPr>
          <w:szCs w:val="22"/>
          <w:lang w:val="sr-Latn-RS"/>
        </w:rPr>
      </w:pPr>
      <w:r w:rsidRPr="007261BD">
        <w:rPr>
          <w:noProof/>
          <w:szCs w:val="22"/>
          <w:lang w:val="sr-Latn-ME" w:eastAsia="sr-Latn-ME"/>
        </w:rPr>
        <w:drawing>
          <wp:inline distT="0" distB="0" distL="0" distR="0" wp14:anchorId="2DF49A6F" wp14:editId="78BB8B0C">
            <wp:extent cx="5934075" cy="44481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D3B58" w14:textId="5C4A81E0" w:rsidR="00F656A5" w:rsidRPr="007261BD" w:rsidRDefault="00F656A5">
      <w:pPr>
        <w:rPr>
          <w:szCs w:val="22"/>
          <w:lang w:val="sr-Latn-RS"/>
        </w:rPr>
      </w:pPr>
    </w:p>
    <w:p w14:paraId="7130D8E7" w14:textId="0B6C12F6" w:rsidR="00C745D0" w:rsidRPr="007261BD" w:rsidRDefault="00C745D0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AA = abirateron acetat</w:t>
      </w:r>
    </w:p>
    <w:p w14:paraId="2466EC37" w14:textId="77777777" w:rsidR="00C745D0" w:rsidRPr="007261BD" w:rsidRDefault="00C745D0">
      <w:pPr>
        <w:rPr>
          <w:szCs w:val="22"/>
          <w:lang w:val="sr-Latn-RS"/>
        </w:rPr>
      </w:pPr>
    </w:p>
    <w:p w14:paraId="30E462C0" w14:textId="2DD60066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Planirana </w:t>
      </w:r>
      <w:r w:rsidRPr="007261BD">
        <w:rPr>
          <w:i/>
          <w:iCs/>
          <w:szCs w:val="22"/>
          <w:lang w:val="sr-Latn-RS"/>
        </w:rPr>
        <w:t xml:space="preserve">interim </w:t>
      </w:r>
      <w:r w:rsidRPr="007261BD">
        <w:rPr>
          <w:szCs w:val="22"/>
          <w:lang w:val="sr-Latn-RS"/>
        </w:rPr>
        <w:t>analiza (IA) ukupnog preživljavanja (OS) je sprovedena nakon 333 zab</w:t>
      </w:r>
      <w:r w:rsidR="00505A81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>l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ežena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smrtna ishoda. Studija nije bila otvorena (engl. </w:t>
      </w:r>
      <w:r w:rsidRPr="007261BD">
        <w:rPr>
          <w:i/>
          <w:iCs/>
          <w:szCs w:val="22"/>
          <w:lang w:val="sr-Latn-RS"/>
        </w:rPr>
        <w:t>unblinded</w:t>
      </w:r>
      <w:r w:rsidRPr="007261BD">
        <w:rPr>
          <w:szCs w:val="22"/>
          <w:lang w:val="sr-Latn-RS"/>
        </w:rPr>
        <w:t>) na osnovu uočene značajne kliničke koristi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i pacijentima iz placebo grupe bila je ponuđena terapija </w:t>
      </w:r>
      <w:r w:rsidR="009551A3" w:rsidRPr="007261BD">
        <w:rPr>
          <w:szCs w:val="22"/>
          <w:lang w:val="sr-Latn-RS"/>
        </w:rPr>
        <w:t>abirateron</w:t>
      </w:r>
      <w:r w:rsidR="00E97398" w:rsidRPr="007261BD">
        <w:rPr>
          <w:szCs w:val="22"/>
          <w:lang w:val="sr-Latn-RS"/>
        </w:rPr>
        <w:t xml:space="preserve"> acetatom</w:t>
      </w:r>
      <w:r w:rsidRPr="007261BD">
        <w:rPr>
          <w:szCs w:val="22"/>
          <w:lang w:val="sr-Latn-RS"/>
        </w:rPr>
        <w:t>. Ukupno preživljavanje je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bilo duže sa </w:t>
      </w:r>
      <w:r w:rsidR="009551A3" w:rsidRPr="007261BD">
        <w:rPr>
          <w:szCs w:val="22"/>
          <w:lang w:val="sr-Latn-RS"/>
        </w:rPr>
        <w:t xml:space="preserve">abirateron </w:t>
      </w:r>
      <w:r w:rsidR="00E97398" w:rsidRPr="007261BD">
        <w:rPr>
          <w:szCs w:val="22"/>
          <w:lang w:val="sr-Latn-RS"/>
        </w:rPr>
        <w:t xml:space="preserve">acetatom </w:t>
      </w:r>
      <w:r w:rsidRPr="007261BD">
        <w:rPr>
          <w:szCs w:val="22"/>
          <w:lang w:val="sr-Latn-RS"/>
        </w:rPr>
        <w:t>nego sa placebom, sa smanjenjem rizika od smrti od 25% (HR=0,752;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95% CI: [0,606; 0,934], p=0,0097), ali rezultati za ukupno preživljavanje (OS) nisu bili kompletni 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rezultati </w:t>
      </w:r>
      <w:r w:rsidRPr="007261BD">
        <w:rPr>
          <w:i/>
          <w:iCs/>
          <w:szCs w:val="22"/>
          <w:lang w:val="sr-Latn-RS"/>
        </w:rPr>
        <w:t xml:space="preserve">interim </w:t>
      </w:r>
      <w:r w:rsidRPr="007261BD">
        <w:rPr>
          <w:szCs w:val="22"/>
          <w:lang w:val="sr-Latn-RS"/>
        </w:rPr>
        <w:t>analize nisu dostigli unapr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 utvrđenu granicu obustavljanja za statističku značajnost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(vid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Tabelu 4). Nastavlja se praćenje preživljavanja nakon ove </w:t>
      </w:r>
      <w:r w:rsidRPr="007261BD">
        <w:rPr>
          <w:i/>
          <w:iCs/>
          <w:szCs w:val="22"/>
          <w:lang w:val="sr-Latn-RS"/>
        </w:rPr>
        <w:t xml:space="preserve">interim </w:t>
      </w:r>
      <w:r w:rsidRPr="007261BD">
        <w:rPr>
          <w:szCs w:val="22"/>
          <w:lang w:val="sr-Latn-RS"/>
        </w:rPr>
        <w:t>analize (IA).</w:t>
      </w:r>
      <w:r w:rsidR="009C3119" w:rsidRPr="007261BD">
        <w:rPr>
          <w:szCs w:val="22"/>
          <w:lang w:val="sr-Latn-RS"/>
        </w:rPr>
        <w:t xml:space="preserve"> </w:t>
      </w:r>
    </w:p>
    <w:p w14:paraId="16375825" w14:textId="4EA8CDDF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Planirana završna analiza ukupnog preživljavanja (OS) je sprovedena nakon 741 zab</w:t>
      </w:r>
      <w:r w:rsidR="00505A81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>l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ežena smrtna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ishoda (medijana praćenja od 49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eseci). Umrlo je 65% (354 od 546) pacijenata koji su uzimali </w:t>
      </w:r>
      <w:r w:rsidR="009551A3" w:rsidRPr="007261BD">
        <w:rPr>
          <w:szCs w:val="22"/>
          <w:lang w:val="sr-Latn-RS"/>
        </w:rPr>
        <w:t>abirateron</w:t>
      </w:r>
      <w:r w:rsidR="00E97398" w:rsidRPr="007261BD">
        <w:rPr>
          <w:szCs w:val="22"/>
          <w:lang w:val="sr-Latn-RS"/>
        </w:rPr>
        <w:t xml:space="preserve"> acetat</w:t>
      </w:r>
      <w:r w:rsidRPr="007261BD">
        <w:rPr>
          <w:szCs w:val="22"/>
          <w:lang w:val="sr-Latn-RS"/>
        </w:rPr>
        <w:t>, u poređenju sa 71% (387 od 542) pacijenata koji su dobijali placebo. Pokazana je statistički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značajna korist ukupnog preživljavanja u korist grupe koja je uzimala </w:t>
      </w:r>
      <w:r w:rsidR="009551A3" w:rsidRPr="007261BD">
        <w:rPr>
          <w:szCs w:val="22"/>
          <w:lang w:val="sr-Latn-RS"/>
        </w:rPr>
        <w:t>abirateron</w:t>
      </w:r>
      <w:r w:rsidR="00E97398" w:rsidRPr="007261BD">
        <w:rPr>
          <w:szCs w:val="22"/>
          <w:lang w:val="sr-Latn-RS"/>
        </w:rPr>
        <w:t xml:space="preserve"> acetat</w:t>
      </w:r>
      <w:r w:rsidR="009551A3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kroz smanjenje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rizika od smrti od 19,4% (HR=0,806; 95% CI: [0,697; 0,931], p=0,0033) i poboljšanjem medijane OS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od 4,4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eseca (</w:t>
      </w:r>
      <w:r w:rsidR="009551A3" w:rsidRPr="007261BD">
        <w:rPr>
          <w:szCs w:val="22"/>
          <w:lang w:val="sr-Latn-RS"/>
        </w:rPr>
        <w:t xml:space="preserve">abirateron </w:t>
      </w:r>
      <w:r w:rsidR="00E97398" w:rsidRPr="007261BD">
        <w:rPr>
          <w:szCs w:val="22"/>
          <w:lang w:val="sr-Latn-RS"/>
        </w:rPr>
        <w:t xml:space="preserve">acetat </w:t>
      </w:r>
      <w:r w:rsidRPr="007261BD">
        <w:rPr>
          <w:szCs w:val="22"/>
          <w:lang w:val="sr-Latn-RS"/>
        </w:rPr>
        <w:t>34,7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eseca; placebo 30,3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eseca) (vid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eti Tabelu 6 i Sliku 5). Ovo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poboljšanje je pokazano iako je 44% pacijenata u placebo grupi dobilo </w:t>
      </w:r>
      <w:r w:rsidR="009551A3" w:rsidRPr="007261BD">
        <w:rPr>
          <w:szCs w:val="22"/>
          <w:lang w:val="sr-Latn-RS"/>
        </w:rPr>
        <w:t xml:space="preserve">abirateron </w:t>
      </w:r>
      <w:r w:rsidR="00E97398" w:rsidRPr="007261BD">
        <w:rPr>
          <w:szCs w:val="22"/>
          <w:lang w:val="sr-Latn-RS"/>
        </w:rPr>
        <w:t xml:space="preserve">acetat </w:t>
      </w:r>
      <w:r w:rsidRPr="007261BD">
        <w:rPr>
          <w:szCs w:val="22"/>
          <w:lang w:val="sr-Latn-RS"/>
        </w:rPr>
        <w:t>kao narednu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terapiju.</w:t>
      </w:r>
    </w:p>
    <w:p w14:paraId="1DCBDC42" w14:textId="77777777" w:rsidR="009C3119" w:rsidRPr="007261BD" w:rsidRDefault="009C3119">
      <w:pPr>
        <w:rPr>
          <w:b/>
          <w:bCs/>
          <w:szCs w:val="22"/>
          <w:lang w:val="sr-Latn-RS"/>
        </w:rPr>
      </w:pPr>
    </w:p>
    <w:p w14:paraId="4FC6CF7E" w14:textId="77777777" w:rsidR="008A3074" w:rsidRPr="007261BD" w:rsidRDefault="008A3074">
      <w:pPr>
        <w:rPr>
          <w:b/>
          <w:bCs/>
          <w:szCs w:val="22"/>
          <w:lang w:val="sr-Latn-RS"/>
        </w:rPr>
      </w:pPr>
    </w:p>
    <w:p w14:paraId="47F5BCFA" w14:textId="77777777" w:rsidR="008A3074" w:rsidRPr="007261BD" w:rsidRDefault="008A3074">
      <w:pPr>
        <w:rPr>
          <w:b/>
          <w:bCs/>
          <w:szCs w:val="22"/>
          <w:lang w:val="sr-Latn-RS"/>
        </w:rPr>
      </w:pPr>
    </w:p>
    <w:p w14:paraId="1B2615AE" w14:textId="77777777" w:rsidR="008A3074" w:rsidRPr="007261BD" w:rsidRDefault="008A3074">
      <w:pPr>
        <w:rPr>
          <w:b/>
          <w:bCs/>
          <w:szCs w:val="22"/>
          <w:lang w:val="sr-Latn-RS"/>
        </w:rPr>
      </w:pPr>
    </w:p>
    <w:p w14:paraId="4B27840C" w14:textId="77777777" w:rsidR="008A3074" w:rsidRPr="007261BD" w:rsidRDefault="008A3074">
      <w:pPr>
        <w:rPr>
          <w:b/>
          <w:bCs/>
          <w:szCs w:val="22"/>
          <w:lang w:val="sr-Latn-RS"/>
        </w:rPr>
      </w:pPr>
    </w:p>
    <w:p w14:paraId="061E2DFE" w14:textId="77777777" w:rsidR="008A3074" w:rsidRPr="007261BD" w:rsidRDefault="008A3074">
      <w:pPr>
        <w:rPr>
          <w:b/>
          <w:bCs/>
          <w:szCs w:val="22"/>
          <w:lang w:val="sr-Latn-RS"/>
        </w:rPr>
      </w:pPr>
    </w:p>
    <w:p w14:paraId="3165563A" w14:textId="498172CE" w:rsidR="00F656A5" w:rsidRPr="007261BD" w:rsidRDefault="00F656A5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 xml:space="preserve">Tabela 6: Studija 302: Ukupno preživljavanje kod pacijenata koji su uzimali ili </w:t>
      </w:r>
      <w:r w:rsidR="00C745D0" w:rsidRPr="007261BD">
        <w:rPr>
          <w:b/>
          <w:bCs/>
          <w:szCs w:val="22"/>
          <w:lang w:val="sr-Latn-RS"/>
        </w:rPr>
        <w:t>a</w:t>
      </w:r>
      <w:r w:rsidR="009551A3" w:rsidRPr="007261BD">
        <w:rPr>
          <w:b/>
          <w:bCs/>
          <w:szCs w:val="22"/>
          <w:lang w:val="sr-Latn-RS"/>
        </w:rPr>
        <w:t>birateron</w:t>
      </w:r>
      <w:r w:rsidR="00C745D0" w:rsidRPr="007261BD">
        <w:rPr>
          <w:b/>
          <w:bCs/>
          <w:szCs w:val="22"/>
          <w:lang w:val="sr-Latn-RS"/>
        </w:rPr>
        <w:t xml:space="preserve"> acetat</w:t>
      </w:r>
      <w:r w:rsidR="009551A3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>ili</w:t>
      </w:r>
      <w:r w:rsidR="009C3119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>placebo u kombinaciji sa prednizonom ili prednizolonom uz analoge LHRH ili prethodnu</w:t>
      </w:r>
      <w:r w:rsidR="009551A3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>orhiektomiju</w:t>
      </w:r>
    </w:p>
    <w:p w14:paraId="335E3C63" w14:textId="77777777" w:rsidR="00F656A5" w:rsidRPr="007261BD" w:rsidRDefault="00F656A5">
      <w:pPr>
        <w:rPr>
          <w:szCs w:val="22"/>
          <w:lang w:val="sr-Latn-R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6"/>
        <w:gridCol w:w="2664"/>
        <w:gridCol w:w="2133"/>
      </w:tblGrid>
      <w:tr w:rsidR="00F656A5" w:rsidRPr="007261BD" w14:paraId="00B172EC" w14:textId="77777777">
        <w:trPr>
          <w:trHeight w:val="508"/>
        </w:trPr>
        <w:tc>
          <w:tcPr>
            <w:tcW w:w="339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13F5DE8" w14:textId="77777777" w:rsidR="00F656A5" w:rsidRPr="007261BD" w:rsidRDefault="00F656A5">
            <w:pPr>
              <w:rPr>
                <w:szCs w:val="22"/>
                <w:lang w:val="sr-Latn-RS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702731C" w14:textId="50A0C4B8" w:rsidR="00F656A5" w:rsidRPr="007261BD" w:rsidRDefault="009551A3">
            <w:pPr>
              <w:rPr>
                <w:b/>
                <w:bCs/>
                <w:szCs w:val="22"/>
                <w:lang w:val="sr-Latn-RS"/>
              </w:rPr>
            </w:pPr>
            <w:r w:rsidRPr="007261BD">
              <w:rPr>
                <w:b/>
                <w:bCs/>
                <w:szCs w:val="22"/>
                <w:lang w:val="sr-Latn-RS"/>
              </w:rPr>
              <w:t>Abirateron</w:t>
            </w:r>
          </w:p>
          <w:p w14:paraId="7406CD3D" w14:textId="77777777" w:rsidR="00F656A5" w:rsidRPr="007261BD" w:rsidRDefault="00F656A5">
            <w:pPr>
              <w:rPr>
                <w:b/>
                <w:bCs/>
                <w:szCs w:val="22"/>
                <w:lang w:val="sr-Latn-RS"/>
              </w:rPr>
            </w:pPr>
            <w:r w:rsidRPr="007261BD">
              <w:rPr>
                <w:b/>
                <w:bCs/>
                <w:szCs w:val="22"/>
                <w:lang w:val="sr-Latn-RS"/>
              </w:rPr>
              <w:t>(N=546)</w:t>
            </w:r>
          </w:p>
        </w:tc>
        <w:tc>
          <w:tcPr>
            <w:tcW w:w="213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3FC95B8" w14:textId="77777777" w:rsidR="00F656A5" w:rsidRPr="007261BD" w:rsidRDefault="00F656A5">
            <w:pPr>
              <w:rPr>
                <w:b/>
                <w:bCs/>
                <w:szCs w:val="22"/>
                <w:lang w:val="sr-Latn-RS"/>
              </w:rPr>
            </w:pPr>
            <w:r w:rsidRPr="007261BD">
              <w:rPr>
                <w:b/>
                <w:bCs/>
                <w:szCs w:val="22"/>
                <w:lang w:val="sr-Latn-RS"/>
              </w:rPr>
              <w:t>Placebo</w:t>
            </w:r>
          </w:p>
          <w:p w14:paraId="4C0897B9" w14:textId="77777777" w:rsidR="00F656A5" w:rsidRPr="007261BD" w:rsidRDefault="00F656A5">
            <w:pPr>
              <w:rPr>
                <w:b/>
                <w:bCs/>
                <w:szCs w:val="22"/>
                <w:lang w:val="sr-Latn-RS"/>
              </w:rPr>
            </w:pPr>
            <w:r w:rsidRPr="007261BD">
              <w:rPr>
                <w:b/>
                <w:bCs/>
                <w:szCs w:val="22"/>
                <w:lang w:val="sr-Latn-RS"/>
              </w:rPr>
              <w:t>(N=542)</w:t>
            </w:r>
          </w:p>
        </w:tc>
      </w:tr>
      <w:tr w:rsidR="00F656A5" w:rsidRPr="007261BD" w14:paraId="65861BA2" w14:textId="77777777">
        <w:trPr>
          <w:trHeight w:val="501"/>
        </w:trPr>
        <w:tc>
          <w:tcPr>
            <w:tcW w:w="339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26BA0" w14:textId="77777777" w:rsidR="00F656A5" w:rsidRPr="007261BD" w:rsidRDefault="00F656A5" w:rsidP="00480E7D">
            <w:pPr>
              <w:rPr>
                <w:b/>
                <w:bCs/>
                <w:szCs w:val="22"/>
                <w:lang w:val="sr-Latn-RS"/>
              </w:rPr>
            </w:pPr>
            <w:r w:rsidRPr="007261BD">
              <w:rPr>
                <w:b/>
                <w:bCs/>
                <w:i/>
                <w:iCs/>
                <w:szCs w:val="22"/>
                <w:lang w:val="sr-Latn-RS"/>
              </w:rPr>
              <w:t xml:space="preserve">Interim </w:t>
            </w:r>
            <w:r w:rsidRPr="007261BD">
              <w:rPr>
                <w:b/>
                <w:bCs/>
                <w:szCs w:val="22"/>
                <w:lang w:val="sr-Latn-RS"/>
              </w:rPr>
              <w:t>analiza preživljavanja</w:t>
            </w:r>
          </w:p>
          <w:p w14:paraId="3637B331" w14:textId="77777777" w:rsidR="00F656A5" w:rsidRPr="007261BD" w:rsidRDefault="00F656A5" w:rsidP="00480E7D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smrtni ishodi (%)</w:t>
            </w:r>
          </w:p>
        </w:tc>
        <w:tc>
          <w:tcPr>
            <w:tcW w:w="266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E22A85" w14:textId="77777777" w:rsidR="00F656A5" w:rsidRPr="007261BD" w:rsidRDefault="00F656A5" w:rsidP="00480E7D">
            <w:pPr>
              <w:rPr>
                <w:szCs w:val="22"/>
                <w:lang w:val="sr-Latn-RS"/>
              </w:rPr>
            </w:pPr>
          </w:p>
          <w:p w14:paraId="2C85E5AB" w14:textId="77777777" w:rsidR="00F656A5" w:rsidRPr="007261BD" w:rsidRDefault="00F656A5" w:rsidP="00480E7D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147 (27%)</w:t>
            </w:r>
          </w:p>
        </w:tc>
        <w:tc>
          <w:tcPr>
            <w:tcW w:w="213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C89130" w14:textId="77777777" w:rsidR="00F656A5" w:rsidRPr="007261BD" w:rsidRDefault="00F656A5" w:rsidP="00480E7D">
            <w:pPr>
              <w:rPr>
                <w:szCs w:val="22"/>
                <w:lang w:val="sr-Latn-RS"/>
              </w:rPr>
            </w:pPr>
          </w:p>
          <w:p w14:paraId="54769D87" w14:textId="77777777" w:rsidR="00F656A5" w:rsidRPr="007261BD" w:rsidRDefault="00F656A5" w:rsidP="008560D8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186 (34%)</w:t>
            </w:r>
          </w:p>
        </w:tc>
      </w:tr>
      <w:tr w:rsidR="00F656A5" w:rsidRPr="007261BD" w14:paraId="0F3F6524" w14:textId="77777777">
        <w:trPr>
          <w:trHeight w:val="251"/>
        </w:trPr>
        <w:tc>
          <w:tcPr>
            <w:tcW w:w="33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EFCA7" w14:textId="650EBB85" w:rsidR="00F656A5" w:rsidRPr="007261BD" w:rsidRDefault="00F656A5" w:rsidP="00480E7D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Medijana (m</w:t>
            </w:r>
            <w:r w:rsidR="00505A81" w:rsidRPr="007261BD">
              <w:rPr>
                <w:szCs w:val="22"/>
                <w:lang w:val="sr-Latn-RS"/>
              </w:rPr>
              <w:t>j</w:t>
            </w:r>
            <w:r w:rsidRPr="007261BD">
              <w:rPr>
                <w:szCs w:val="22"/>
                <w:lang w:val="sr-Latn-RS"/>
              </w:rPr>
              <w:t>eseci)</w:t>
            </w:r>
          </w:p>
        </w:tc>
        <w:tc>
          <w:tcPr>
            <w:tcW w:w="26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8F7499" w14:textId="77777777" w:rsidR="00F656A5" w:rsidRPr="007261BD" w:rsidRDefault="00F656A5" w:rsidP="00480E7D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nije dostignuto</w:t>
            </w: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78FAEE" w14:textId="77777777" w:rsidR="00F656A5" w:rsidRPr="007261BD" w:rsidRDefault="00F656A5" w:rsidP="00480E7D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27,2</w:t>
            </w:r>
          </w:p>
        </w:tc>
      </w:tr>
      <w:tr w:rsidR="00F656A5" w:rsidRPr="007261BD" w14:paraId="5A95A1D3" w14:textId="77777777">
        <w:trPr>
          <w:trHeight w:val="249"/>
        </w:trPr>
        <w:tc>
          <w:tcPr>
            <w:tcW w:w="33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7C01E" w14:textId="77777777" w:rsidR="00F656A5" w:rsidRPr="007261BD" w:rsidRDefault="00F656A5" w:rsidP="00480E7D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(95% CI)</w:t>
            </w:r>
          </w:p>
        </w:tc>
        <w:tc>
          <w:tcPr>
            <w:tcW w:w="26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1EE8E" w14:textId="77777777" w:rsidR="00F656A5" w:rsidRPr="007261BD" w:rsidRDefault="00F656A5" w:rsidP="00480E7D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(NP; NP)</w:t>
            </w: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98524" w14:textId="77777777" w:rsidR="00F656A5" w:rsidRPr="007261BD" w:rsidRDefault="00F656A5" w:rsidP="00480E7D">
            <w:pPr>
              <w:rPr>
                <w:szCs w:val="22"/>
                <w:lang w:val="sr-Latn-RS"/>
              </w:rPr>
            </w:pPr>
            <w:r w:rsidRPr="007261BD">
              <w:rPr>
                <w:szCs w:val="22"/>
                <w:lang w:val="sr-Latn-RS"/>
              </w:rPr>
              <w:t>(25,95; NP)</w:t>
            </w:r>
          </w:p>
        </w:tc>
      </w:tr>
      <w:tr w:rsidR="00F656A5" w:rsidRPr="007261BD" w14:paraId="4EA6F8EC" w14:textId="77777777">
        <w:trPr>
          <w:trHeight w:val="249"/>
        </w:trPr>
        <w:tc>
          <w:tcPr>
            <w:tcW w:w="33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435F45" w14:textId="77777777" w:rsidR="00F656A5" w:rsidRPr="007261BD" w:rsidRDefault="00F656A5" w:rsidP="00480E7D">
            <w:pPr>
              <w:rPr>
                <w:szCs w:val="22"/>
                <w:lang w:val="sr-Latn-RS"/>
              </w:rPr>
            </w:pPr>
          </w:p>
        </w:tc>
        <w:tc>
          <w:tcPr>
            <w:tcW w:w="26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AAB8C6" w14:textId="77777777" w:rsidR="00F656A5" w:rsidRPr="007261BD" w:rsidRDefault="00F656A5" w:rsidP="00480E7D">
            <w:pPr>
              <w:rPr>
                <w:szCs w:val="22"/>
                <w:lang w:val="sr-Latn-RS"/>
              </w:rPr>
            </w:pP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F748C" w14:textId="77777777" w:rsidR="00F656A5" w:rsidRPr="007261BD" w:rsidRDefault="00F656A5" w:rsidP="00480E7D">
            <w:pPr>
              <w:rPr>
                <w:szCs w:val="22"/>
                <w:lang w:val="sr-Latn-RS"/>
              </w:rPr>
            </w:pPr>
          </w:p>
        </w:tc>
      </w:tr>
      <w:tr w:rsidR="00F656A5" w:rsidRPr="007261BD" w14:paraId="59E35547" w14:textId="77777777">
        <w:trPr>
          <w:trHeight w:val="249"/>
        </w:trPr>
        <w:tc>
          <w:tcPr>
            <w:tcW w:w="33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5F6F9" w14:textId="77777777" w:rsidR="00F656A5" w:rsidRPr="007261BD" w:rsidRDefault="00F656A5" w:rsidP="00480E7D">
            <w:pPr>
              <w:rPr>
                <w:szCs w:val="22"/>
                <w:lang w:val="sr-Latn-RS"/>
              </w:rPr>
            </w:pPr>
          </w:p>
        </w:tc>
        <w:tc>
          <w:tcPr>
            <w:tcW w:w="26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0866C" w14:textId="77777777" w:rsidR="00F656A5" w:rsidRPr="007261BD" w:rsidRDefault="00F656A5" w:rsidP="00480E7D">
            <w:pPr>
              <w:rPr>
                <w:szCs w:val="22"/>
                <w:lang w:val="sr-Latn-RS"/>
              </w:rPr>
            </w:pPr>
          </w:p>
        </w:tc>
        <w:tc>
          <w:tcPr>
            <w:tcW w:w="2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21C083" w14:textId="77777777" w:rsidR="00F656A5" w:rsidRPr="007261BD" w:rsidRDefault="00F656A5" w:rsidP="00480E7D">
            <w:pPr>
              <w:rPr>
                <w:szCs w:val="22"/>
                <w:lang w:val="sr-Latn-RS"/>
              </w:rPr>
            </w:pPr>
          </w:p>
        </w:tc>
      </w:tr>
    </w:tbl>
    <w:p w14:paraId="2A7883A7" w14:textId="16788697" w:rsidR="00F656A5" w:rsidRPr="007261BD" w:rsidRDefault="00F656A5" w:rsidP="00480E7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p-vr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ednost*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0,0097</w:t>
      </w:r>
    </w:p>
    <w:p w14:paraId="23B53C34" w14:textId="3502EFC2" w:rsidR="00F656A5" w:rsidRPr="007261BD" w:rsidRDefault="00F656A5" w:rsidP="00480E7D">
      <w:pPr>
        <w:rPr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>Hazard ratio</w:t>
      </w:r>
      <w:r w:rsidRPr="007261BD">
        <w:rPr>
          <w:szCs w:val="22"/>
          <w:lang w:val="sr-Latn-RS"/>
        </w:rPr>
        <w:t>** (95% CI)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 xml:space="preserve"> 0,752 (0,606; 0,934)</w:t>
      </w:r>
    </w:p>
    <w:p w14:paraId="7AD36B2F" w14:textId="77777777" w:rsidR="00F656A5" w:rsidRPr="007261BD" w:rsidRDefault="00F656A5" w:rsidP="00480E7D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Završna analiza preživljavanja</w:t>
      </w:r>
    </w:p>
    <w:p w14:paraId="0BB05310" w14:textId="48CA0F7E" w:rsidR="00F656A5" w:rsidRPr="007261BD" w:rsidRDefault="00F656A5" w:rsidP="00480E7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Smrtni ishodi                                                 </w:t>
      </w:r>
      <w:r w:rsidRPr="007261BD">
        <w:rPr>
          <w:szCs w:val="22"/>
          <w:lang w:val="sr-Latn-RS"/>
        </w:rPr>
        <w:tab/>
        <w:t xml:space="preserve">354 (65%)        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387 (71%)</w:t>
      </w:r>
    </w:p>
    <w:p w14:paraId="066F4F0E" w14:textId="77777777" w:rsidR="00F656A5" w:rsidRPr="007261BD" w:rsidRDefault="00F656A5" w:rsidP="00480E7D">
      <w:pPr>
        <w:rPr>
          <w:szCs w:val="22"/>
          <w:lang w:val="sr-Latn-RS"/>
        </w:rPr>
      </w:pPr>
    </w:p>
    <w:p w14:paraId="2F944C66" w14:textId="104975D2" w:rsidR="00F656A5" w:rsidRPr="007261BD" w:rsidRDefault="00F656A5" w:rsidP="008560D8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Medijana ukupnog preživljavanja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 xml:space="preserve">34,7 (32,7; 36,8) </w:t>
      </w:r>
      <w:r w:rsidRPr="007261BD">
        <w:rPr>
          <w:szCs w:val="22"/>
          <w:lang w:val="sr-Latn-RS"/>
        </w:rPr>
        <w:tab/>
        <w:t>30,3 (28,7; 33,3)</w:t>
      </w:r>
    </w:p>
    <w:p w14:paraId="77386F13" w14:textId="28D00B2D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esecima (95% CI)</w:t>
      </w:r>
    </w:p>
    <w:p w14:paraId="4CEEEE4E" w14:textId="2F782DDC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p-vr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ednost*                                                                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 xml:space="preserve"> 0,0033</w:t>
      </w:r>
    </w:p>
    <w:p w14:paraId="05390A12" w14:textId="4E6B72DE" w:rsidR="00F656A5" w:rsidRPr="007261BD" w:rsidRDefault="00F656A5">
      <w:pPr>
        <w:pBdr>
          <w:bottom w:val="single" w:sz="4" w:space="1" w:color="auto"/>
        </w:pBdr>
        <w:rPr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>Hazard ratio</w:t>
      </w:r>
      <w:r w:rsidRPr="007261BD">
        <w:rPr>
          <w:szCs w:val="22"/>
          <w:lang w:val="sr-Latn-RS"/>
        </w:rPr>
        <w:t xml:space="preserve">** (95% CI)                                             </w:t>
      </w:r>
      <w:r w:rsidRPr="007261BD">
        <w:rPr>
          <w:szCs w:val="22"/>
          <w:lang w:val="sr-Latn-RS"/>
        </w:rPr>
        <w:tab/>
        <w:t>0,806 (0,697; 0,931)</w:t>
      </w:r>
    </w:p>
    <w:p w14:paraId="42701114" w14:textId="77777777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CI – interval pouzdanosti</w:t>
      </w:r>
    </w:p>
    <w:p w14:paraId="61DA913A" w14:textId="02B92B04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*p-vr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 je izvedena iz log-rang testa stratifikovanog prema početnoj 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ECOG funkcionalnog statusa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(0 ili 1)</w:t>
      </w:r>
    </w:p>
    <w:p w14:paraId="19023EE1" w14:textId="3AA26C03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**</w:t>
      </w:r>
      <w:r w:rsidRPr="007261BD">
        <w:rPr>
          <w:i/>
          <w:iCs/>
          <w:szCs w:val="22"/>
          <w:lang w:val="sr-Latn-RS"/>
        </w:rPr>
        <w:t xml:space="preserve">Hazard ratio </w:t>
      </w:r>
      <w:r w:rsidR="00A90281" w:rsidRPr="007261BD">
        <w:rPr>
          <w:szCs w:val="22"/>
          <w:lang w:val="sr-Latn-RS"/>
        </w:rPr>
        <w:t>&lt;</w:t>
      </w:r>
      <w:r w:rsidRPr="007261BD">
        <w:rPr>
          <w:szCs w:val="22"/>
          <w:lang w:val="sr-Latn-RS"/>
        </w:rPr>
        <w:t xml:space="preserve">1 daje prednost </w:t>
      </w:r>
      <w:r w:rsidR="00BA2DE7" w:rsidRPr="007261BD">
        <w:rPr>
          <w:szCs w:val="22"/>
          <w:lang w:val="sr-Latn-RS"/>
        </w:rPr>
        <w:t>abirateron</w:t>
      </w:r>
      <w:r w:rsidR="00E97398" w:rsidRPr="007261BD">
        <w:rPr>
          <w:szCs w:val="22"/>
          <w:lang w:val="sr-Latn-RS"/>
        </w:rPr>
        <w:t xml:space="preserve"> acetatu</w:t>
      </w:r>
    </w:p>
    <w:p w14:paraId="5B29BD6B" w14:textId="77777777" w:rsidR="009C3119" w:rsidRPr="007261BD" w:rsidRDefault="009C3119">
      <w:pPr>
        <w:rPr>
          <w:b/>
          <w:bCs/>
          <w:szCs w:val="22"/>
          <w:lang w:val="sr-Latn-RS"/>
        </w:rPr>
      </w:pPr>
    </w:p>
    <w:p w14:paraId="5E2BA48F" w14:textId="3F1A232F" w:rsidR="00F656A5" w:rsidRPr="007261BD" w:rsidRDefault="00F656A5">
      <w:pPr>
        <w:rPr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Slika 5</w:t>
      </w:r>
      <w:r w:rsidRPr="007261BD">
        <w:rPr>
          <w:szCs w:val="22"/>
          <w:lang w:val="sr-Latn-RS"/>
        </w:rPr>
        <w:t xml:space="preserve">: </w:t>
      </w:r>
      <w:r w:rsidRPr="007261BD">
        <w:rPr>
          <w:b/>
          <w:bCs/>
          <w:i/>
          <w:iCs/>
          <w:szCs w:val="22"/>
          <w:lang w:val="sr-Latn-RS"/>
        </w:rPr>
        <w:t xml:space="preserve">Kaplan-Meier </w:t>
      </w:r>
      <w:r w:rsidRPr="007261BD">
        <w:rPr>
          <w:b/>
          <w:bCs/>
          <w:szCs w:val="22"/>
          <w:lang w:val="sr-Latn-RS"/>
        </w:rPr>
        <w:t xml:space="preserve">krive preživljavanja kod pacijenata koji su uzimali ili </w:t>
      </w:r>
      <w:r w:rsidR="00C745D0" w:rsidRPr="007261BD">
        <w:rPr>
          <w:b/>
          <w:bCs/>
          <w:szCs w:val="22"/>
          <w:lang w:val="sr-Latn-RS"/>
        </w:rPr>
        <w:t>abirateron acetat</w:t>
      </w:r>
      <w:r w:rsidRPr="007261BD">
        <w:rPr>
          <w:b/>
          <w:bCs/>
          <w:szCs w:val="22"/>
          <w:lang w:val="sr-Latn-RS"/>
        </w:rPr>
        <w:t xml:space="preserve"> ili</w:t>
      </w:r>
      <w:r w:rsidR="009C3119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>placebo u kombinaciji sa prednizonom ili prednizolonom uz analoge LHRH ili prethodnu</w:t>
      </w:r>
      <w:r w:rsidR="009C3119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>orhiektomiju, završna analiza</w:t>
      </w:r>
    </w:p>
    <w:p w14:paraId="128ED9E7" w14:textId="12523C98" w:rsidR="00F656A5" w:rsidRPr="007261BD" w:rsidRDefault="00DE0AA6">
      <w:pPr>
        <w:rPr>
          <w:szCs w:val="22"/>
          <w:lang w:val="sr-Latn-RS"/>
        </w:rPr>
      </w:pPr>
      <w:r w:rsidRPr="007261BD">
        <w:rPr>
          <w:noProof/>
          <w:szCs w:val="22"/>
          <w:lang w:val="sr-Latn-ME" w:eastAsia="sr-Latn-ME"/>
        </w:rPr>
        <w:drawing>
          <wp:inline distT="0" distB="0" distL="0" distR="0" wp14:anchorId="03931F05" wp14:editId="2F9F6E2B">
            <wp:extent cx="5715000" cy="41052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C584B" w14:textId="53440D5D" w:rsidR="00F656A5" w:rsidRPr="007261BD" w:rsidRDefault="00F656A5">
      <w:pPr>
        <w:rPr>
          <w:szCs w:val="22"/>
          <w:lang w:val="sr-Latn-RS"/>
        </w:rPr>
      </w:pPr>
    </w:p>
    <w:p w14:paraId="54018E83" w14:textId="65395D03" w:rsidR="00C745D0" w:rsidRPr="007261BD" w:rsidRDefault="00C745D0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lastRenderedPageBreak/>
        <w:t>AA= abirateron acetat</w:t>
      </w:r>
    </w:p>
    <w:p w14:paraId="422D72AA" w14:textId="77777777" w:rsidR="00C745D0" w:rsidRPr="007261BD" w:rsidRDefault="00C745D0">
      <w:pPr>
        <w:rPr>
          <w:szCs w:val="22"/>
          <w:lang w:val="sr-Latn-RS"/>
        </w:rPr>
      </w:pPr>
    </w:p>
    <w:p w14:paraId="793510C5" w14:textId="635FC31E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Pored uočenih poboljšanja u ukupnom preživljavanju i rPFS, korist terapije </w:t>
      </w:r>
      <w:r w:rsidR="009551A3" w:rsidRPr="007261BD">
        <w:rPr>
          <w:szCs w:val="22"/>
          <w:lang w:val="sr-Latn-RS"/>
        </w:rPr>
        <w:t xml:space="preserve">abirateron </w:t>
      </w:r>
      <w:r w:rsidR="00884418" w:rsidRPr="007261BD">
        <w:rPr>
          <w:szCs w:val="22"/>
          <w:lang w:val="sr-Latn-RS"/>
        </w:rPr>
        <w:t xml:space="preserve">acetatom </w:t>
      </w:r>
      <w:r w:rsidRPr="007261BD">
        <w:rPr>
          <w:szCs w:val="22"/>
          <w:lang w:val="sr-Latn-RS"/>
        </w:rPr>
        <w:t>u odnosu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na placebo je pokazana u svim sekundarnim parametrima praćenja ishoda, kao što sl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edi:</w:t>
      </w:r>
    </w:p>
    <w:p w14:paraId="078BF944" w14:textId="7FE3AE06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eme do progresije 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PSA zasnovano na kriterijumima PCWG2: Medijana vremena do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progresije 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PSA je bila 11,1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esec za pacijente koji su uzimali </w:t>
      </w:r>
      <w:r w:rsidR="009551A3" w:rsidRPr="007261BD">
        <w:rPr>
          <w:szCs w:val="22"/>
          <w:lang w:val="sr-Latn-RS"/>
        </w:rPr>
        <w:t>abirateron</w:t>
      </w:r>
      <w:r w:rsidR="00884418" w:rsidRPr="007261BD">
        <w:rPr>
          <w:szCs w:val="22"/>
          <w:lang w:val="sr-Latn-RS"/>
        </w:rPr>
        <w:t xml:space="preserve"> acetat</w:t>
      </w:r>
      <w:r w:rsidR="009551A3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 5,6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 za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pacijente koji su dobijali placebo (HR=0,488; 95% CI: [0,420; 0,568], p &lt; 0,0001). 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eme do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progresije 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ednosti PSA je bilo približno udvostručeno sa terapijom </w:t>
      </w:r>
      <w:r w:rsidR="009551A3" w:rsidRPr="007261BD">
        <w:rPr>
          <w:szCs w:val="22"/>
          <w:lang w:val="sr-Latn-RS"/>
        </w:rPr>
        <w:t xml:space="preserve">abirateron </w:t>
      </w:r>
      <w:r w:rsidR="00E97398" w:rsidRPr="007261BD">
        <w:rPr>
          <w:szCs w:val="22"/>
          <w:lang w:val="sr-Latn-RS"/>
        </w:rPr>
        <w:t xml:space="preserve">acetatom </w:t>
      </w:r>
      <w:r w:rsidRPr="007261BD">
        <w:rPr>
          <w:szCs w:val="22"/>
          <w:lang w:val="sr-Latn-RS"/>
        </w:rPr>
        <w:t>(HR=0,488).</w:t>
      </w:r>
    </w:p>
    <w:p w14:paraId="6595CE7D" w14:textId="51103CF9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Ud</w:t>
      </w:r>
      <w:r w:rsidR="00505A81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 xml:space="preserve">o ispitanika sa potvrđenim PSA odgovorom je bio veći u grupi koja je uzimala </w:t>
      </w:r>
      <w:r w:rsidR="009551A3" w:rsidRPr="007261BD">
        <w:rPr>
          <w:szCs w:val="22"/>
          <w:lang w:val="sr-Latn-RS"/>
        </w:rPr>
        <w:t xml:space="preserve">abirateron </w:t>
      </w:r>
      <w:r w:rsidR="00C745D0" w:rsidRPr="007261BD">
        <w:rPr>
          <w:szCs w:val="22"/>
          <w:lang w:val="sr-Latn-RS"/>
        </w:rPr>
        <w:t xml:space="preserve">acetat </w:t>
      </w:r>
      <w:r w:rsidRPr="007261BD">
        <w:rPr>
          <w:szCs w:val="22"/>
          <w:lang w:val="sr-Latn-RS"/>
        </w:rPr>
        <w:t>nego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u grupi koja je dobijala placebo (62% prema 24%; p&lt;0,0001). Od ispitanika sa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erljivim oboljenjem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mekog tkiva koji su uzimali </w:t>
      </w:r>
      <w:r w:rsidR="009551A3" w:rsidRPr="007261BD">
        <w:rPr>
          <w:szCs w:val="22"/>
          <w:lang w:val="sr-Latn-RS"/>
        </w:rPr>
        <w:t>abirateron</w:t>
      </w:r>
      <w:r w:rsidR="00E97398" w:rsidRPr="007261BD">
        <w:rPr>
          <w:szCs w:val="22"/>
          <w:lang w:val="sr-Latn-RS"/>
        </w:rPr>
        <w:t xml:space="preserve"> acetatom</w:t>
      </w:r>
      <w:r w:rsidRPr="007261BD">
        <w:rPr>
          <w:szCs w:val="22"/>
          <w:lang w:val="sr-Latn-RS"/>
        </w:rPr>
        <w:t>, značajno je povećan broj potpunih ili d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elimičnih tumorskih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odgovora.</w:t>
      </w:r>
    </w:p>
    <w:p w14:paraId="3E13F090" w14:textId="41E685B3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eme do upotrebe opijata za </w:t>
      </w:r>
      <w:r w:rsidR="00C60F51" w:rsidRPr="007261BD">
        <w:rPr>
          <w:szCs w:val="22"/>
          <w:lang w:val="sr-Latn-RS"/>
        </w:rPr>
        <w:t xml:space="preserve">karcinomski </w:t>
      </w:r>
      <w:r w:rsidRPr="007261BD">
        <w:rPr>
          <w:szCs w:val="22"/>
          <w:lang w:val="sr-Latn-RS"/>
        </w:rPr>
        <w:t>bol: Medijana vremena do upotrebe opijata za bol karcinoma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prostate, u 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eme završne analize, bilo je 33,4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eseca, za pacijente koji su uzimali </w:t>
      </w:r>
      <w:r w:rsidR="009551A3" w:rsidRPr="007261BD">
        <w:rPr>
          <w:szCs w:val="22"/>
          <w:lang w:val="sr-Latn-RS"/>
        </w:rPr>
        <w:t xml:space="preserve">abirateron </w:t>
      </w:r>
      <w:r w:rsidR="00C745D0" w:rsidRPr="007261BD">
        <w:rPr>
          <w:szCs w:val="22"/>
          <w:lang w:val="sr-Latn-RS"/>
        </w:rPr>
        <w:t xml:space="preserve">acetat </w:t>
      </w:r>
      <w:r w:rsidRPr="007261BD">
        <w:rPr>
          <w:szCs w:val="22"/>
          <w:lang w:val="sr-Latn-RS"/>
        </w:rPr>
        <w:t>dok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je u grupi koja je dobijala placebo bilo 23,4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eseca (HR=0,721; 95% CI: [0,614; 0,846], p&lt;0,0001).</w:t>
      </w:r>
    </w:p>
    <w:p w14:paraId="0B78EF8F" w14:textId="6AD96CB6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eme do započinjanja citotoksične hemioterapije: Medijana vremena do započinjanja citotoksične</w:t>
      </w:r>
      <w:r w:rsidR="009C3119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hemioterapije je bila 25,2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eseca kod pacijenata koji su uzimali </w:t>
      </w:r>
      <w:r w:rsidR="009551A3" w:rsidRPr="007261BD">
        <w:rPr>
          <w:szCs w:val="22"/>
          <w:lang w:val="sr-Latn-RS"/>
        </w:rPr>
        <w:t xml:space="preserve">abirateron </w:t>
      </w:r>
      <w:r w:rsidR="00C745D0" w:rsidRPr="007261BD">
        <w:rPr>
          <w:szCs w:val="22"/>
          <w:lang w:val="sr-Latn-RS"/>
        </w:rPr>
        <w:t xml:space="preserve">acetat </w:t>
      </w:r>
      <w:r w:rsidRPr="007261BD">
        <w:rPr>
          <w:szCs w:val="22"/>
          <w:lang w:val="sr-Latn-RS"/>
        </w:rPr>
        <w:t>i 16,8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 kod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pacijenata koji su dobijali placebo (HR=0,580; 95% CI: [0,487; 0,691], p &lt; 0,0001).</w:t>
      </w:r>
    </w:p>
    <w:p w14:paraId="626025BA" w14:textId="5EB49045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eme do pogoršanja 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ECOG funkcionalnog statusa ≥ 1: Medijana vremena do pogoršanja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vr</w:t>
      </w:r>
      <w:r w:rsidR="00505A81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ECOG funkcionalnog statusa ≥ 1 je bilo 12,3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eseca kod pacijenata koji su uzimali</w:t>
      </w:r>
      <w:r w:rsidR="00DC50A6" w:rsidRPr="007261BD">
        <w:rPr>
          <w:szCs w:val="22"/>
          <w:lang w:val="sr-Latn-RS"/>
        </w:rPr>
        <w:t xml:space="preserve"> </w:t>
      </w:r>
      <w:r w:rsidR="009551A3" w:rsidRPr="007261BD">
        <w:rPr>
          <w:szCs w:val="22"/>
          <w:lang w:val="sr-Latn-RS"/>
        </w:rPr>
        <w:t xml:space="preserve">abirateron </w:t>
      </w:r>
      <w:r w:rsidR="00C745D0" w:rsidRPr="007261BD">
        <w:rPr>
          <w:szCs w:val="22"/>
          <w:lang w:val="sr-Latn-RS"/>
        </w:rPr>
        <w:t xml:space="preserve">acetat </w:t>
      </w:r>
      <w:r w:rsidRPr="007261BD">
        <w:rPr>
          <w:szCs w:val="22"/>
          <w:lang w:val="sr-Latn-RS"/>
        </w:rPr>
        <w:t>i 10,9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 kod pacijenata koji su dobijali placebo (HR=0,821; 95% CI: [0,714; 0,943],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p=0,0053).</w:t>
      </w:r>
    </w:p>
    <w:p w14:paraId="5C45009C" w14:textId="21516A6E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Sl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edeći parametri efikasnosti studije su pokazale statistički značajnu prednost u korist terapije</w:t>
      </w:r>
      <w:r w:rsidR="00DC50A6" w:rsidRPr="007261BD">
        <w:rPr>
          <w:szCs w:val="22"/>
          <w:lang w:val="sr-Latn-RS"/>
        </w:rPr>
        <w:t xml:space="preserve"> </w:t>
      </w:r>
      <w:r w:rsidR="009551A3" w:rsidRPr="007261BD">
        <w:rPr>
          <w:szCs w:val="22"/>
          <w:lang w:val="sr-Latn-RS"/>
        </w:rPr>
        <w:t>abirateron</w:t>
      </w:r>
      <w:r w:rsidR="00C745D0" w:rsidRPr="007261BD">
        <w:rPr>
          <w:szCs w:val="22"/>
          <w:lang w:val="sr-Latn-RS"/>
        </w:rPr>
        <w:t xml:space="preserve"> acetatom</w:t>
      </w:r>
      <w:r w:rsidRPr="007261BD">
        <w:rPr>
          <w:szCs w:val="22"/>
          <w:lang w:val="sr-Latn-RS"/>
        </w:rPr>
        <w:t>:</w:t>
      </w:r>
    </w:p>
    <w:p w14:paraId="0B079BF5" w14:textId="3037C513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Objektivni odgovor: Objektivni odgovor je definisan kao ud</w:t>
      </w:r>
      <w:r w:rsidR="00505A81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>o ispitanika sa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erljivom bolešću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(prisustvo najmanje jedne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erljive lezije, engl. </w:t>
      </w:r>
      <w:r w:rsidRPr="007261BD">
        <w:rPr>
          <w:i/>
          <w:iCs/>
          <w:szCs w:val="22"/>
          <w:lang w:val="sr-Latn-RS"/>
        </w:rPr>
        <w:t>measurable disease</w:t>
      </w:r>
      <w:r w:rsidRPr="007261BD">
        <w:rPr>
          <w:szCs w:val="22"/>
          <w:lang w:val="sr-Latn-RS"/>
        </w:rPr>
        <w:t>) koji su dostigli potpun ili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d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elimičan odgovor prema RECIST kriterijumima (bilo je potrebno da polazna veličina limfnog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nodusa bude ≥ 2 cm, da bi se smatrao ciljnom lezijom). Ud</w:t>
      </w:r>
      <w:r w:rsidR="00505A81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>o ispitanika sa m</w:t>
      </w:r>
      <w:r w:rsidR="00505A81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erljivom bolešću na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početku terapije koji su imali objektivni odgovor bio je 36% u grupi koja je uzimala </w:t>
      </w:r>
      <w:r w:rsidR="009551A3" w:rsidRPr="007261BD">
        <w:rPr>
          <w:szCs w:val="22"/>
          <w:lang w:val="sr-Latn-RS"/>
        </w:rPr>
        <w:t xml:space="preserve">abirateron </w:t>
      </w:r>
      <w:r w:rsidR="00C745D0" w:rsidRPr="007261BD">
        <w:rPr>
          <w:szCs w:val="22"/>
          <w:lang w:val="sr-Latn-RS"/>
        </w:rPr>
        <w:t xml:space="preserve">acetat </w:t>
      </w:r>
      <w:r w:rsidRPr="007261BD">
        <w:rPr>
          <w:szCs w:val="22"/>
          <w:lang w:val="sr-Latn-RS"/>
        </w:rPr>
        <w:t>i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16% u grupi koja je dobijala placebo (p &lt; 0,0001).</w:t>
      </w:r>
    </w:p>
    <w:p w14:paraId="44384225" w14:textId="38FC6A13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Bol: Terapij</w:t>
      </w:r>
      <w:r w:rsidR="00C745D0" w:rsidRPr="007261BD">
        <w:rPr>
          <w:szCs w:val="22"/>
          <w:lang w:val="sr-Latn-RS"/>
        </w:rPr>
        <w:t>a</w:t>
      </w:r>
      <w:r w:rsidRPr="007261BD">
        <w:rPr>
          <w:szCs w:val="22"/>
          <w:lang w:val="sr-Latn-RS"/>
        </w:rPr>
        <w:t xml:space="preserve"> </w:t>
      </w:r>
      <w:r w:rsidR="009551A3" w:rsidRPr="007261BD">
        <w:rPr>
          <w:szCs w:val="22"/>
          <w:lang w:val="sr-Latn-RS"/>
        </w:rPr>
        <w:t>abirateron</w:t>
      </w:r>
      <w:r w:rsidR="00C745D0" w:rsidRPr="007261BD">
        <w:rPr>
          <w:szCs w:val="22"/>
          <w:lang w:val="sr-Latn-RS"/>
        </w:rPr>
        <w:t xml:space="preserve"> acetatom</w:t>
      </w:r>
      <w:r w:rsidR="009551A3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značajno je smanjila rizik od progresije intenziteta pros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ečnog bola za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18% u poređenju sa placebom (p=0,0490). Medijana vremena do progresije je bila 26,7 m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 u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grupi pacijenata koja je uzimala </w:t>
      </w:r>
      <w:r w:rsidR="009551A3" w:rsidRPr="007261BD">
        <w:rPr>
          <w:szCs w:val="22"/>
          <w:lang w:val="sr-Latn-RS"/>
        </w:rPr>
        <w:t>abirateron</w:t>
      </w:r>
      <w:r w:rsidR="00C745D0" w:rsidRPr="007261BD">
        <w:rPr>
          <w:szCs w:val="22"/>
          <w:lang w:val="sr-Latn-RS"/>
        </w:rPr>
        <w:t xml:space="preserve"> acetat</w:t>
      </w:r>
      <w:r w:rsidR="009551A3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 18,4 m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eseca u grupi koja je dobijala placebo.</w:t>
      </w:r>
    </w:p>
    <w:p w14:paraId="59A9BAD9" w14:textId="50DF1C7F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Vr</w:t>
      </w:r>
      <w:r w:rsidR="00C5152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eme do smanjenja FACT-P (engl. </w:t>
      </w:r>
      <w:r w:rsidRPr="007261BD">
        <w:rPr>
          <w:i/>
          <w:iCs/>
          <w:szCs w:val="22"/>
          <w:lang w:val="sr-Latn-RS"/>
        </w:rPr>
        <w:t>Functional Assessment of Cancer Therapy-Prostate</w:t>
      </w:r>
      <w:r w:rsidRPr="007261BD">
        <w:rPr>
          <w:szCs w:val="22"/>
          <w:lang w:val="sr-Latn-RS"/>
        </w:rPr>
        <w:t>) (ukupan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rezultat): Terapija </w:t>
      </w:r>
      <w:r w:rsidR="009551A3" w:rsidRPr="007261BD">
        <w:rPr>
          <w:szCs w:val="22"/>
          <w:lang w:val="sr-Latn-RS"/>
        </w:rPr>
        <w:t xml:space="preserve">abirateron </w:t>
      </w:r>
      <w:r w:rsidR="00C745D0" w:rsidRPr="007261BD">
        <w:rPr>
          <w:szCs w:val="22"/>
          <w:lang w:val="sr-Latn-RS"/>
        </w:rPr>
        <w:t xml:space="preserve">acetatom </w:t>
      </w:r>
      <w:r w:rsidRPr="007261BD">
        <w:rPr>
          <w:szCs w:val="22"/>
          <w:lang w:val="sr-Latn-RS"/>
        </w:rPr>
        <w:t>smanjila je rizik od smanjenja FACT-P (ukupan rezultat) za 22% u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poređenju sa placebom (p=0,0028). Medijana vremena do pada FACT-P (ukupan rezultat) je bila 12,7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m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eseci u grupi koja je uzimala </w:t>
      </w:r>
      <w:r w:rsidR="009551A3" w:rsidRPr="007261BD">
        <w:rPr>
          <w:szCs w:val="22"/>
          <w:lang w:val="sr-Latn-RS"/>
        </w:rPr>
        <w:t>abirateron</w:t>
      </w:r>
      <w:r w:rsidR="00C745D0" w:rsidRPr="007261BD">
        <w:rPr>
          <w:szCs w:val="22"/>
          <w:lang w:val="sr-Latn-RS"/>
        </w:rPr>
        <w:t xml:space="preserve"> acetatom</w:t>
      </w:r>
      <w:r w:rsidR="009551A3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 8,3 m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eseca u grupi koja je dobijala placebo.</w:t>
      </w:r>
    </w:p>
    <w:p w14:paraId="0D75D5C6" w14:textId="77777777" w:rsidR="00A90281" w:rsidRPr="007261BD" w:rsidRDefault="00A90281">
      <w:pPr>
        <w:rPr>
          <w:i/>
          <w:iCs/>
          <w:szCs w:val="22"/>
          <w:lang w:val="sr-Latn-RS"/>
        </w:rPr>
      </w:pPr>
    </w:p>
    <w:p w14:paraId="5F71EEA5" w14:textId="6D0254A3" w:rsidR="00F656A5" w:rsidRPr="007261BD" w:rsidRDefault="00F656A5">
      <w:pPr>
        <w:rPr>
          <w:i/>
          <w:iCs/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>Studija 301 (pacijenti koji su prethodno primili hemioterapiju)</w:t>
      </w:r>
    </w:p>
    <w:p w14:paraId="2FAB04E0" w14:textId="6DB1CF65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Studija 301 je uključila pacijente koji su prethodno primali docetaksel. Nije bilo potrebno da kod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pacijenta koji su primali docetaksel dođe do progresije bolesti, jer je toksičnost ove hemioterapije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mogla da dovede do prekida terapije. Pacijenti su održavani na studijskoj terapiji sve do progresije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vr</w:t>
      </w:r>
      <w:r w:rsidR="00C5152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PSA (potvrđeni rast od 25% u odnosu na početne/najniže vr</w:t>
      </w:r>
      <w:r w:rsidR="00C5152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za svakog pacijenta) uz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protokolom definisanu radiografsku progresiju i simptomatsku ili kliničku progresiju. Iz ove studije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isključeni su pacijenti koji su prethodno primali ketokonazol kao terapiju za karcinom prostate.</w:t>
      </w:r>
      <w:r w:rsidR="00DC50A6" w:rsidRPr="007261BD">
        <w:rPr>
          <w:szCs w:val="22"/>
          <w:lang w:val="sr-Latn-RS"/>
        </w:rPr>
        <w:t xml:space="preserve"> </w:t>
      </w:r>
    </w:p>
    <w:p w14:paraId="4EE6C297" w14:textId="77777777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Primarni parameter praćenja efikasnosti bio je ukupno preživljavanje.</w:t>
      </w:r>
    </w:p>
    <w:p w14:paraId="1857C99E" w14:textId="6A96B7FA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Medijana starosti uključenih pacijenata bila je 69 godina (raspon 39-95). Broj pacijenata koji su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uzimali </w:t>
      </w:r>
      <w:r w:rsidR="009551A3" w:rsidRPr="007261BD">
        <w:rPr>
          <w:szCs w:val="22"/>
          <w:lang w:val="sr-Latn-RS"/>
        </w:rPr>
        <w:t>abirateron</w:t>
      </w:r>
      <w:r w:rsidR="00884418" w:rsidRPr="007261BD">
        <w:rPr>
          <w:szCs w:val="22"/>
          <w:lang w:val="sr-Latn-RS"/>
        </w:rPr>
        <w:t xml:space="preserve"> acetat</w:t>
      </w:r>
      <w:r w:rsidRPr="007261BD">
        <w:rPr>
          <w:szCs w:val="22"/>
          <w:lang w:val="sr-Latn-RS"/>
        </w:rPr>
        <w:t>, prema rasnim grupama bio je sl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edeći: b</w:t>
      </w:r>
      <w:r w:rsidR="00C5152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ela rasa 737 (93,2%), crna rasa 28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(3,5%), azijati 11 (1,4%) i ostali 14 (1,8%). Prema ECOG klasifikaciji, 11% uključenih pacijenata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imalo je rezultat 2; 70% pacijenata su imali radiografske dokaze progresije bolesti sa ili bez progresije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vr</w:t>
      </w:r>
      <w:r w:rsidR="00C5152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PSA; 70% pacijenata su prethodno primili jednu citotoksičnu terapiju, a 30% pacijenata su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primili dv</w:t>
      </w:r>
      <w:r w:rsidR="00C5152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e. Metastaze na jetri su bile prisutne kod 11% pacijenata koji su uzimali </w:t>
      </w:r>
      <w:r w:rsidR="009551A3" w:rsidRPr="007261BD">
        <w:rPr>
          <w:szCs w:val="22"/>
          <w:lang w:val="sr-Latn-RS"/>
        </w:rPr>
        <w:t>abirateron</w:t>
      </w:r>
      <w:r w:rsidR="00884418" w:rsidRPr="007261BD">
        <w:rPr>
          <w:szCs w:val="22"/>
          <w:lang w:val="sr-Latn-RS"/>
        </w:rPr>
        <w:t xml:space="preserve"> acetat</w:t>
      </w:r>
      <w:r w:rsidRPr="007261BD">
        <w:rPr>
          <w:szCs w:val="22"/>
          <w:lang w:val="sr-Latn-RS"/>
        </w:rPr>
        <w:t>.</w:t>
      </w:r>
      <w:r w:rsidR="00DC50A6" w:rsidRPr="007261BD">
        <w:rPr>
          <w:szCs w:val="22"/>
          <w:lang w:val="sr-Latn-RS"/>
        </w:rPr>
        <w:t xml:space="preserve"> </w:t>
      </w:r>
    </w:p>
    <w:p w14:paraId="255EC1B3" w14:textId="015DDC67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planiranoj analizi sprovedenoj nakon 552 zab</w:t>
      </w:r>
      <w:r w:rsidR="00C51527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>l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ežena smrtna ishoda, umrlo je 42% (333 od 797)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pacijenata koji su uzimali </w:t>
      </w:r>
      <w:r w:rsidR="009551A3" w:rsidRPr="007261BD">
        <w:rPr>
          <w:szCs w:val="22"/>
          <w:lang w:val="sr-Latn-RS"/>
        </w:rPr>
        <w:t xml:space="preserve">abirateron </w:t>
      </w:r>
      <w:r w:rsidR="00884418" w:rsidRPr="007261BD">
        <w:rPr>
          <w:szCs w:val="22"/>
          <w:lang w:val="sr-Latn-RS"/>
        </w:rPr>
        <w:t xml:space="preserve">acetat </w:t>
      </w:r>
      <w:r w:rsidRPr="007261BD">
        <w:rPr>
          <w:szCs w:val="22"/>
          <w:lang w:val="sr-Latn-RS"/>
        </w:rPr>
        <w:t>u poređenju sa 55% (219 od 398) pacijenata koji su dobijali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placebo. Kod pacijenata koji su uzimali </w:t>
      </w:r>
      <w:r w:rsidR="00BC24C2" w:rsidRPr="007261BD">
        <w:rPr>
          <w:szCs w:val="22"/>
          <w:lang w:val="sr-Latn-RS"/>
        </w:rPr>
        <w:t>abirateron</w:t>
      </w:r>
      <w:r w:rsidR="00194B57" w:rsidRPr="007261BD">
        <w:rPr>
          <w:szCs w:val="22"/>
          <w:lang w:val="sr-Latn-RS"/>
        </w:rPr>
        <w:t xml:space="preserve"> acetat</w:t>
      </w:r>
      <w:r w:rsidRPr="007261BD">
        <w:rPr>
          <w:szCs w:val="22"/>
          <w:lang w:val="sr-Latn-RS"/>
        </w:rPr>
        <w:t xml:space="preserve"> zab</w:t>
      </w:r>
      <w:r w:rsidR="00C51527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>l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eženo je statistički značajno poboljšanje u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medijani ukupnog preživljavanja (vid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eti Tabelu 7).</w:t>
      </w:r>
    </w:p>
    <w:p w14:paraId="2247F1C5" w14:textId="3D12CE36" w:rsidR="00F656A5" w:rsidRPr="007261BD" w:rsidRDefault="00F656A5">
      <w:pPr>
        <w:rPr>
          <w:szCs w:val="22"/>
          <w:lang w:val="sr-Latn-RS"/>
        </w:rPr>
      </w:pPr>
    </w:p>
    <w:p w14:paraId="157DB793" w14:textId="3A88B9D1" w:rsidR="00F656A5" w:rsidRPr="007261BD" w:rsidRDefault="00F656A5">
      <w:pPr>
        <w:rPr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lastRenderedPageBreak/>
        <w:t xml:space="preserve">Tabela 7: Ukupno preživljavanje pacijenata koji su uzimali ili </w:t>
      </w:r>
      <w:r w:rsidR="00884418" w:rsidRPr="007261BD">
        <w:rPr>
          <w:b/>
          <w:bCs/>
          <w:szCs w:val="22"/>
          <w:lang w:val="sr-Latn-RS"/>
        </w:rPr>
        <w:t>a</w:t>
      </w:r>
      <w:r w:rsidR="009551A3" w:rsidRPr="007261BD">
        <w:rPr>
          <w:b/>
          <w:bCs/>
          <w:szCs w:val="22"/>
          <w:lang w:val="sr-Latn-RS"/>
        </w:rPr>
        <w:t xml:space="preserve">birateron </w:t>
      </w:r>
      <w:r w:rsidR="00884418" w:rsidRPr="007261BD">
        <w:rPr>
          <w:b/>
          <w:bCs/>
          <w:szCs w:val="22"/>
          <w:lang w:val="sr-Latn-RS"/>
        </w:rPr>
        <w:t xml:space="preserve">acetat </w:t>
      </w:r>
      <w:r w:rsidRPr="007261BD">
        <w:rPr>
          <w:b/>
          <w:bCs/>
          <w:szCs w:val="22"/>
          <w:lang w:val="sr-Latn-RS"/>
        </w:rPr>
        <w:t>ili placebo u</w:t>
      </w:r>
      <w:r w:rsidR="009551A3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>kombinaciji sa prednizonom ili prednizolonom uz analoge LHRH ili prethodnu</w:t>
      </w:r>
      <w:r w:rsidR="009551A3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>orhiektomiju</w:t>
      </w:r>
    </w:p>
    <w:p w14:paraId="0E285FA0" w14:textId="77777777" w:rsidR="00A90281" w:rsidRPr="007261BD" w:rsidRDefault="00A90281">
      <w:pPr>
        <w:rPr>
          <w:b/>
          <w:bCs/>
          <w:szCs w:val="22"/>
          <w:lang w:val="sr-Latn-RS"/>
        </w:rPr>
      </w:pPr>
    </w:p>
    <w:p w14:paraId="1B93F66C" w14:textId="05439E9B" w:rsidR="00F656A5" w:rsidRPr="007261BD" w:rsidRDefault="00F656A5">
      <w:pPr>
        <w:pBdr>
          <w:bottom w:val="single" w:sz="4" w:space="1" w:color="auto"/>
        </w:pBd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</w:r>
      <w:r w:rsidR="009551A3" w:rsidRPr="007261BD">
        <w:rPr>
          <w:b/>
          <w:bCs/>
          <w:szCs w:val="22"/>
          <w:lang w:val="sr-Latn-RS"/>
        </w:rPr>
        <w:t xml:space="preserve">Abirateron </w:t>
      </w:r>
      <w:r w:rsidRPr="007261BD">
        <w:rPr>
          <w:b/>
          <w:bCs/>
          <w:szCs w:val="22"/>
          <w:lang w:val="sr-Latn-RS"/>
        </w:rPr>
        <w:t xml:space="preserve">(N=797) </w:t>
      </w:r>
      <w:r w:rsidRPr="007261BD">
        <w:rPr>
          <w:b/>
          <w:bCs/>
          <w:szCs w:val="22"/>
          <w:lang w:val="sr-Latn-RS"/>
        </w:rPr>
        <w:tab/>
      </w:r>
      <w:r w:rsidRPr="007261BD">
        <w:rPr>
          <w:b/>
          <w:bCs/>
          <w:szCs w:val="22"/>
          <w:lang w:val="sr-Latn-RS"/>
        </w:rPr>
        <w:tab/>
        <w:t>Placebo (N=398)</w:t>
      </w:r>
    </w:p>
    <w:p w14:paraId="764771EA" w14:textId="77777777" w:rsidR="00F656A5" w:rsidRPr="007261BD" w:rsidRDefault="00F656A5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Primarna analiza preživljavanja</w:t>
      </w:r>
    </w:p>
    <w:p w14:paraId="02FE283A" w14:textId="77777777" w:rsidR="00F656A5" w:rsidRPr="007261BD" w:rsidRDefault="00F656A5">
      <w:pPr>
        <w:rPr>
          <w:b/>
          <w:bCs/>
          <w:szCs w:val="22"/>
          <w:lang w:val="sr-Latn-RS"/>
        </w:rPr>
      </w:pPr>
    </w:p>
    <w:p w14:paraId="6B59F935" w14:textId="71C0BA05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Smrtni ishodi (%)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 xml:space="preserve">333 (42%)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219 (55%)</w:t>
      </w:r>
    </w:p>
    <w:p w14:paraId="75BA52AD" w14:textId="77777777" w:rsidR="00F656A5" w:rsidRPr="007261BD" w:rsidRDefault="00F656A5">
      <w:pPr>
        <w:rPr>
          <w:szCs w:val="22"/>
          <w:lang w:val="sr-Latn-RS"/>
        </w:rPr>
      </w:pPr>
    </w:p>
    <w:p w14:paraId="69E91104" w14:textId="62E6D1D3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Medijana preživljavanja (m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eseci)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 xml:space="preserve">14,8 (14,1; 15,4)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10,9 (10,2; 12,0)</w:t>
      </w:r>
    </w:p>
    <w:p w14:paraId="0802A153" w14:textId="09AD3D0B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(95% CI)</w:t>
      </w:r>
    </w:p>
    <w:p w14:paraId="4AC785F1" w14:textId="77777777" w:rsidR="00F656A5" w:rsidRPr="007261BD" w:rsidRDefault="00F656A5">
      <w:pPr>
        <w:rPr>
          <w:szCs w:val="22"/>
          <w:lang w:val="sr-Latn-RS"/>
        </w:rPr>
      </w:pPr>
    </w:p>
    <w:p w14:paraId="636A5281" w14:textId="1680F7B4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p-vr</w:t>
      </w:r>
      <w:r w:rsidR="00C5152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</w:t>
      </w:r>
      <w:r w:rsidRPr="007261BD">
        <w:rPr>
          <w:szCs w:val="22"/>
          <w:vertAlign w:val="superscript"/>
          <w:lang w:val="sr-Latn-RS"/>
        </w:rPr>
        <w:t>a</w:t>
      </w:r>
      <w:r w:rsidRPr="007261BD">
        <w:rPr>
          <w:szCs w:val="22"/>
          <w:lang w:val="sr-Latn-RS"/>
        </w:rPr>
        <w:t xml:space="preserve">                                                           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&lt; 0,0001</w:t>
      </w:r>
    </w:p>
    <w:p w14:paraId="00EC048C" w14:textId="36C77A15" w:rsidR="00F656A5" w:rsidRPr="007261BD" w:rsidRDefault="00F656A5">
      <w:pPr>
        <w:rPr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 xml:space="preserve">Hazard ratio </w:t>
      </w:r>
      <w:r w:rsidRPr="007261BD">
        <w:rPr>
          <w:szCs w:val="22"/>
          <w:lang w:val="sr-Latn-RS"/>
        </w:rPr>
        <w:t>(95% CI)</w:t>
      </w:r>
      <w:r w:rsidRPr="007261BD">
        <w:rPr>
          <w:szCs w:val="22"/>
          <w:vertAlign w:val="superscript"/>
          <w:lang w:val="sr-Latn-RS"/>
        </w:rPr>
        <w:t>b</w:t>
      </w:r>
      <w:r w:rsidRPr="007261BD">
        <w:rPr>
          <w:szCs w:val="22"/>
          <w:lang w:val="sr-Latn-RS"/>
        </w:rPr>
        <w:t xml:space="preserve">                                         </w:t>
      </w:r>
      <w:r w:rsidRPr="007261BD">
        <w:rPr>
          <w:szCs w:val="22"/>
          <w:lang w:val="sr-Latn-RS"/>
        </w:rPr>
        <w:tab/>
        <w:t>0,646 (0,543; 0,768)</w:t>
      </w:r>
    </w:p>
    <w:p w14:paraId="59CBD5B3" w14:textId="77777777" w:rsidR="00F656A5" w:rsidRPr="007261BD" w:rsidRDefault="00F656A5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 xml:space="preserve">Ažurirana analiza </w:t>
      </w:r>
    </w:p>
    <w:p w14:paraId="79770EA0" w14:textId="2D315D0F" w:rsidR="00F656A5" w:rsidRPr="007261BD" w:rsidRDefault="00F656A5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preživljavanja</w:t>
      </w:r>
    </w:p>
    <w:p w14:paraId="677910ED" w14:textId="65D8CFA2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Smrtni ishodi (%)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 xml:space="preserve">501 (63%)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274 (69%)</w:t>
      </w:r>
    </w:p>
    <w:p w14:paraId="2A8B42C5" w14:textId="77777777" w:rsidR="00F656A5" w:rsidRPr="007261BD" w:rsidRDefault="00F656A5">
      <w:pPr>
        <w:rPr>
          <w:szCs w:val="22"/>
          <w:lang w:val="sr-Latn-RS"/>
        </w:rPr>
      </w:pPr>
    </w:p>
    <w:p w14:paraId="0FC94585" w14:textId="79A88287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Medijana preživljavanja (m</w:t>
      </w:r>
      <w:r w:rsidR="00F3579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eseci)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 xml:space="preserve">15,8 (14,8; 17,0)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11,2 (10,4; 13,1)</w:t>
      </w:r>
    </w:p>
    <w:p w14:paraId="3B8D3DE8" w14:textId="49A263BA" w:rsidR="00F656A5" w:rsidRPr="007261BD" w:rsidRDefault="00F656A5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(95% CI)</w:t>
      </w:r>
    </w:p>
    <w:p w14:paraId="2EF62FA0" w14:textId="1BF2DAE2" w:rsidR="00F656A5" w:rsidRPr="007261BD" w:rsidRDefault="00F656A5">
      <w:pPr>
        <w:pBdr>
          <w:bottom w:val="single" w:sz="4" w:space="1" w:color="auto"/>
        </w:pBdr>
        <w:rPr>
          <w:szCs w:val="22"/>
          <w:lang w:val="sr-Latn-RS"/>
        </w:rPr>
      </w:pPr>
      <w:r w:rsidRPr="007261BD">
        <w:rPr>
          <w:i/>
          <w:iCs/>
          <w:szCs w:val="22"/>
          <w:lang w:val="sr-Latn-RS"/>
        </w:rPr>
        <w:t xml:space="preserve">Hazard ratio </w:t>
      </w:r>
      <w:r w:rsidRPr="007261BD">
        <w:rPr>
          <w:szCs w:val="22"/>
          <w:lang w:val="sr-Latn-RS"/>
        </w:rPr>
        <w:t>(95% CI)</w:t>
      </w:r>
      <w:r w:rsidRPr="007261BD">
        <w:rPr>
          <w:szCs w:val="22"/>
          <w:vertAlign w:val="superscript"/>
          <w:lang w:val="sr-Latn-RS"/>
        </w:rPr>
        <w:t>b</w:t>
      </w:r>
      <w:r w:rsidRPr="007261BD">
        <w:rPr>
          <w:szCs w:val="22"/>
          <w:vertAlign w:val="superscript"/>
          <w:lang w:val="sr-Latn-RS"/>
        </w:rPr>
        <w:tab/>
      </w:r>
      <w:r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</w:r>
      <w:r w:rsidRPr="007261BD">
        <w:rPr>
          <w:szCs w:val="22"/>
          <w:lang w:val="sr-Latn-RS"/>
        </w:rPr>
        <w:tab/>
        <w:t>0,740 (0,638; 0,859)</w:t>
      </w:r>
    </w:p>
    <w:p w14:paraId="6E565509" w14:textId="77777777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CI – interval pouzdanosti</w:t>
      </w:r>
    </w:p>
    <w:p w14:paraId="38E29693" w14:textId="31EDCE85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a </w:t>
      </w:r>
      <w:r w:rsidR="00F35797" w:rsidRPr="007261BD">
        <w:rPr>
          <w:szCs w:val="22"/>
          <w:lang w:val="sr-Latn-RS"/>
        </w:rPr>
        <w:t>-</w:t>
      </w:r>
      <w:r w:rsidRPr="007261BD">
        <w:rPr>
          <w:szCs w:val="22"/>
          <w:lang w:val="sr-Latn-RS"/>
        </w:rPr>
        <w:t>p-vr</w:t>
      </w:r>
      <w:r w:rsidR="00C5152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 je izvedena iz log-rang testa stratifikovanog prema vr</w:t>
      </w:r>
      <w:r w:rsidR="00C5152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ECOG funkcionalnog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statusa (0-1 ili 2), rezultatu bola (prisutan ili odsutan), broju prethodnih režima hemioterapije (1 ili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2), i tipu progresije bolesti (samo PSA ili radiografska progresija).</w:t>
      </w:r>
    </w:p>
    <w:p w14:paraId="7F15D2FB" w14:textId="04F5E355" w:rsidR="00376D72" w:rsidRPr="007261BD" w:rsidRDefault="00F35797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b -</w:t>
      </w:r>
      <w:r w:rsidR="00376D72" w:rsidRPr="007261BD">
        <w:rPr>
          <w:i/>
          <w:iCs/>
          <w:szCs w:val="22"/>
          <w:lang w:val="sr-Latn-RS"/>
        </w:rPr>
        <w:t xml:space="preserve">Hazard ratio </w:t>
      </w:r>
      <w:r w:rsidR="00376D72" w:rsidRPr="007261BD">
        <w:rPr>
          <w:szCs w:val="22"/>
          <w:lang w:val="sr-Latn-RS"/>
        </w:rPr>
        <w:t xml:space="preserve">je izveden iz stratifikovanog modela proporcionalne hazardnosti. </w:t>
      </w:r>
      <w:r w:rsidR="00376D72" w:rsidRPr="007261BD">
        <w:rPr>
          <w:i/>
          <w:iCs/>
          <w:szCs w:val="22"/>
          <w:lang w:val="sr-Latn-RS"/>
        </w:rPr>
        <w:t xml:space="preserve">Hazard ratio </w:t>
      </w:r>
      <w:r w:rsidRPr="007261BD">
        <w:rPr>
          <w:i/>
          <w:iCs/>
          <w:szCs w:val="22"/>
          <w:lang w:val="sr-Latn-RS"/>
        </w:rPr>
        <w:t>&lt;</w:t>
      </w:r>
      <w:r w:rsidR="00376D72" w:rsidRPr="007261BD">
        <w:rPr>
          <w:szCs w:val="22"/>
          <w:lang w:val="sr-Latn-RS"/>
        </w:rPr>
        <w:t>1 daje</w:t>
      </w:r>
      <w:r w:rsidR="00DC50A6" w:rsidRPr="007261BD">
        <w:rPr>
          <w:szCs w:val="22"/>
          <w:lang w:val="sr-Latn-RS"/>
        </w:rPr>
        <w:t xml:space="preserve"> </w:t>
      </w:r>
      <w:r w:rsidR="00376D72" w:rsidRPr="007261BD">
        <w:rPr>
          <w:szCs w:val="22"/>
          <w:lang w:val="sr-Latn-RS"/>
        </w:rPr>
        <w:t xml:space="preserve">prednost </w:t>
      </w:r>
      <w:r w:rsidR="00BC24C2" w:rsidRPr="007261BD">
        <w:rPr>
          <w:szCs w:val="22"/>
          <w:lang w:val="sr-Latn-RS"/>
        </w:rPr>
        <w:t>abirateron</w:t>
      </w:r>
      <w:r w:rsidR="00884418" w:rsidRPr="007261BD">
        <w:rPr>
          <w:szCs w:val="22"/>
          <w:lang w:val="sr-Latn-RS"/>
        </w:rPr>
        <w:t xml:space="preserve"> acetatu</w:t>
      </w:r>
      <w:r w:rsidRPr="007261BD">
        <w:rPr>
          <w:szCs w:val="22"/>
          <w:lang w:val="sr-Latn-RS"/>
        </w:rPr>
        <w:t>.</w:t>
      </w:r>
    </w:p>
    <w:p w14:paraId="74FA4ADC" w14:textId="77D5D561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svim vremenskim tačkama u kojima su rađene proc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posl</w:t>
      </w:r>
      <w:r w:rsidR="00C5152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nekoliko početnih m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 terapije,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preživeo je veći ud</w:t>
      </w:r>
      <w:r w:rsidR="00C51527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 xml:space="preserve">o pacijenata koji su uzimali </w:t>
      </w:r>
      <w:r w:rsidR="00BC24C2" w:rsidRPr="007261BD">
        <w:rPr>
          <w:szCs w:val="22"/>
          <w:lang w:val="sr-Latn-RS"/>
        </w:rPr>
        <w:t>abirateron</w:t>
      </w:r>
      <w:r w:rsidRPr="007261BD">
        <w:rPr>
          <w:szCs w:val="22"/>
          <w:lang w:val="sr-Latn-RS"/>
        </w:rPr>
        <w:t xml:space="preserve"> </w:t>
      </w:r>
      <w:r w:rsidR="00884418" w:rsidRPr="007261BD">
        <w:rPr>
          <w:szCs w:val="22"/>
          <w:lang w:val="sr-Latn-RS"/>
        </w:rPr>
        <w:t xml:space="preserve">acetat </w:t>
      </w:r>
      <w:r w:rsidRPr="007261BD">
        <w:rPr>
          <w:szCs w:val="22"/>
          <w:lang w:val="sr-Latn-RS"/>
        </w:rPr>
        <w:t>u poređenju sa ud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elom pacijenata koji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su dobijali placebo (vid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eti Sliku 6).</w:t>
      </w:r>
    </w:p>
    <w:p w14:paraId="6BE30812" w14:textId="77777777" w:rsidR="009551A3" w:rsidRPr="007261BD" w:rsidRDefault="009551A3">
      <w:pPr>
        <w:rPr>
          <w:b/>
          <w:bCs/>
          <w:szCs w:val="22"/>
          <w:lang w:val="sr-Latn-RS"/>
        </w:rPr>
      </w:pPr>
    </w:p>
    <w:p w14:paraId="65C47213" w14:textId="277903A8" w:rsidR="00F656A5" w:rsidRPr="007261BD" w:rsidRDefault="00376D72">
      <w:pPr>
        <w:rPr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 xml:space="preserve">Slika 6: </w:t>
      </w:r>
      <w:r w:rsidRPr="007261BD">
        <w:rPr>
          <w:b/>
          <w:bCs/>
          <w:i/>
          <w:iCs/>
          <w:szCs w:val="22"/>
          <w:lang w:val="sr-Latn-RS"/>
        </w:rPr>
        <w:t xml:space="preserve">Kaplan-Meier </w:t>
      </w:r>
      <w:r w:rsidRPr="007261BD">
        <w:rPr>
          <w:b/>
          <w:bCs/>
          <w:szCs w:val="22"/>
          <w:lang w:val="sr-Latn-RS"/>
        </w:rPr>
        <w:t xml:space="preserve">krive preživljavanja pacijenata koji su uzimali ili </w:t>
      </w:r>
      <w:r w:rsidR="00BA2DE7" w:rsidRPr="007261BD">
        <w:rPr>
          <w:b/>
          <w:bCs/>
          <w:szCs w:val="22"/>
          <w:lang w:val="sr-Latn-RS"/>
        </w:rPr>
        <w:t>abirateron</w:t>
      </w:r>
      <w:r w:rsidR="00884418" w:rsidRPr="007261BD">
        <w:rPr>
          <w:b/>
          <w:bCs/>
          <w:szCs w:val="22"/>
          <w:lang w:val="sr-Latn-RS"/>
        </w:rPr>
        <w:t xml:space="preserve"> acetat</w:t>
      </w:r>
      <w:r w:rsidRPr="007261BD">
        <w:rPr>
          <w:b/>
          <w:bCs/>
          <w:szCs w:val="22"/>
          <w:lang w:val="sr-Latn-RS"/>
        </w:rPr>
        <w:t xml:space="preserve"> ili placebo</w:t>
      </w:r>
      <w:r w:rsidR="00DC50A6" w:rsidRPr="007261BD">
        <w:rPr>
          <w:b/>
          <w:bCs/>
          <w:szCs w:val="22"/>
          <w:lang w:val="sr-Latn-RS"/>
        </w:rPr>
        <w:t xml:space="preserve"> </w:t>
      </w:r>
      <w:r w:rsidRPr="007261BD">
        <w:rPr>
          <w:b/>
          <w:bCs/>
          <w:szCs w:val="22"/>
          <w:lang w:val="sr-Latn-RS"/>
        </w:rPr>
        <w:t>u kombinaciji sa prednizonom ili prednizolonom uz analoge LHRH ili prethodnu orhiektomiju</w:t>
      </w:r>
    </w:p>
    <w:p w14:paraId="44BE5385" w14:textId="5496E650" w:rsidR="00F656A5" w:rsidRPr="007261BD" w:rsidRDefault="00F656A5">
      <w:pPr>
        <w:rPr>
          <w:szCs w:val="22"/>
          <w:lang w:val="sr-Latn-RS"/>
        </w:rPr>
      </w:pPr>
    </w:p>
    <w:p w14:paraId="3C0E7277" w14:textId="64FAC4FF" w:rsidR="00F656A5" w:rsidRPr="007261BD" w:rsidRDefault="00DE0AA6">
      <w:pPr>
        <w:rPr>
          <w:szCs w:val="22"/>
          <w:lang w:val="sr-Latn-RS"/>
        </w:rPr>
      </w:pPr>
      <w:r w:rsidRPr="007261BD">
        <w:rPr>
          <w:noProof/>
          <w:szCs w:val="22"/>
          <w:lang w:val="sr-Latn-ME" w:eastAsia="sr-Latn-ME"/>
        </w:rPr>
        <w:drawing>
          <wp:inline distT="0" distB="0" distL="0" distR="0" wp14:anchorId="51CCE98A" wp14:editId="47B2C405">
            <wp:extent cx="5932982" cy="33546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960" cy="336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22F74" w14:textId="14A360D1" w:rsidR="00F656A5" w:rsidRPr="007261BD" w:rsidRDefault="00F656A5">
      <w:pPr>
        <w:rPr>
          <w:szCs w:val="22"/>
          <w:lang w:val="sr-Latn-RS"/>
        </w:rPr>
      </w:pPr>
    </w:p>
    <w:p w14:paraId="45BDED8B" w14:textId="3538DD86" w:rsidR="00884418" w:rsidRPr="007261BD" w:rsidRDefault="00884418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AA = abirateron acetat</w:t>
      </w:r>
    </w:p>
    <w:p w14:paraId="42170D5D" w14:textId="77777777" w:rsidR="00884418" w:rsidRPr="007261BD" w:rsidRDefault="00884418">
      <w:pPr>
        <w:rPr>
          <w:szCs w:val="22"/>
          <w:lang w:val="sr-Latn-RS"/>
        </w:rPr>
      </w:pPr>
    </w:p>
    <w:p w14:paraId="085CADC6" w14:textId="69827A7C" w:rsidR="00A90281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Analize preživljavanja po podgrupama pokazale su dosl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ednu korist terapije </w:t>
      </w:r>
      <w:r w:rsidR="00BA2DE7" w:rsidRPr="007261BD">
        <w:rPr>
          <w:szCs w:val="22"/>
          <w:lang w:val="sr-Latn-RS"/>
        </w:rPr>
        <w:t>abirateron</w:t>
      </w:r>
      <w:r w:rsidR="00884418" w:rsidRPr="007261BD">
        <w:rPr>
          <w:szCs w:val="22"/>
          <w:lang w:val="sr-Latn-RS"/>
        </w:rPr>
        <w:t xml:space="preserve"> acetatom</w:t>
      </w:r>
      <w:r w:rsidRPr="007261BD">
        <w:rPr>
          <w:szCs w:val="22"/>
          <w:lang w:val="sr-Latn-RS"/>
        </w:rPr>
        <w:t>, kada se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radi o preživljavanju (vid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eti Sliku 7).</w:t>
      </w:r>
      <w:r w:rsidR="00DC50A6" w:rsidRPr="007261BD">
        <w:rPr>
          <w:szCs w:val="22"/>
          <w:lang w:val="sr-Latn-RS"/>
        </w:rPr>
        <w:t xml:space="preserve"> </w:t>
      </w:r>
    </w:p>
    <w:p w14:paraId="5576442A" w14:textId="77777777" w:rsidR="00A90281" w:rsidRPr="007261BD" w:rsidRDefault="00A90281">
      <w:pPr>
        <w:rPr>
          <w:b/>
          <w:bCs/>
          <w:szCs w:val="22"/>
          <w:lang w:val="sr-Latn-RS"/>
        </w:rPr>
      </w:pPr>
    </w:p>
    <w:p w14:paraId="5AC5E613" w14:textId="1E291B95" w:rsidR="00F656A5" w:rsidRPr="007261BD" w:rsidRDefault="00376D72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 xml:space="preserve">Slika 7: Ukupno preživljavanje, po podgrupama: </w:t>
      </w:r>
      <w:r w:rsidRPr="007261BD">
        <w:rPr>
          <w:b/>
          <w:bCs/>
          <w:i/>
          <w:iCs/>
          <w:szCs w:val="22"/>
          <w:lang w:val="sr-Latn-RS"/>
        </w:rPr>
        <w:t xml:space="preserve">Hazard ratio </w:t>
      </w:r>
      <w:r w:rsidRPr="007261BD">
        <w:rPr>
          <w:b/>
          <w:bCs/>
          <w:szCs w:val="22"/>
          <w:lang w:val="sr-Latn-RS"/>
        </w:rPr>
        <w:t>i interval pouzdanosti 95%</w:t>
      </w:r>
    </w:p>
    <w:p w14:paraId="2A13DEB3" w14:textId="77777777" w:rsidR="00F35797" w:rsidRPr="007261BD" w:rsidRDefault="00F35797">
      <w:pPr>
        <w:rPr>
          <w:szCs w:val="22"/>
          <w:lang w:val="sr-Latn-RS"/>
        </w:rPr>
      </w:pPr>
    </w:p>
    <w:p w14:paraId="1F3E5ADA" w14:textId="681EF391" w:rsidR="00F656A5" w:rsidRPr="007261BD" w:rsidRDefault="00F35797">
      <w:pPr>
        <w:rPr>
          <w:szCs w:val="22"/>
          <w:lang w:val="sr-Latn-RS"/>
        </w:rPr>
      </w:pPr>
      <w:r w:rsidRPr="007261BD">
        <w:rPr>
          <w:noProof/>
          <w:szCs w:val="22"/>
        </w:rPr>
        <w:t xml:space="preserve">     </w:t>
      </w:r>
      <w:r w:rsidRPr="007261BD">
        <w:rPr>
          <w:noProof/>
          <w:szCs w:val="22"/>
          <w:lang w:val="sr-Latn-ME" w:eastAsia="sr-Latn-ME"/>
        </w:rPr>
        <w:drawing>
          <wp:inline distT="0" distB="0" distL="0" distR="0" wp14:anchorId="2BA1848D" wp14:editId="1DB77D46">
            <wp:extent cx="5138817" cy="3030195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64772" cy="30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08119" w14:textId="41458AE7" w:rsidR="00F656A5" w:rsidRPr="007261BD" w:rsidRDefault="00F656A5">
      <w:pPr>
        <w:rPr>
          <w:szCs w:val="22"/>
          <w:lang w:val="sr-Latn-RS"/>
        </w:rPr>
      </w:pPr>
    </w:p>
    <w:p w14:paraId="36A9883C" w14:textId="39AC78FF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AA=</w:t>
      </w:r>
      <w:r w:rsidR="009551A3" w:rsidRPr="007261BD">
        <w:rPr>
          <w:szCs w:val="22"/>
          <w:lang w:val="sr-Latn-RS"/>
        </w:rPr>
        <w:t>abirateron</w:t>
      </w:r>
      <w:r w:rsidR="00884418" w:rsidRPr="007261BD">
        <w:rPr>
          <w:szCs w:val="22"/>
          <w:lang w:val="sr-Latn-RS"/>
        </w:rPr>
        <w:t xml:space="preserve"> acetat</w:t>
      </w:r>
      <w:r w:rsidRPr="007261BD">
        <w:rPr>
          <w:szCs w:val="22"/>
          <w:lang w:val="sr-Latn-RS"/>
        </w:rPr>
        <w:t>; BPI=Kratak upitnik za bol; CI= interval pouzdanosti; ECOG=Funkcionalni status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prema klasifikaciji Istočne kooperativne onkološke grupe (engl. </w:t>
      </w:r>
      <w:r w:rsidRPr="007261BD">
        <w:rPr>
          <w:i/>
          <w:iCs/>
          <w:szCs w:val="22"/>
          <w:lang w:val="sr-Latn-RS"/>
        </w:rPr>
        <w:t>Eastern Cooperative Oncology</w:t>
      </w:r>
      <w:r w:rsidR="00DC50A6" w:rsidRPr="007261BD">
        <w:rPr>
          <w:i/>
          <w:iCs/>
          <w:szCs w:val="22"/>
          <w:lang w:val="sr-Latn-RS"/>
        </w:rPr>
        <w:t xml:space="preserve"> </w:t>
      </w:r>
      <w:r w:rsidRPr="007261BD">
        <w:rPr>
          <w:i/>
          <w:iCs/>
          <w:szCs w:val="22"/>
          <w:lang w:val="sr-Latn-RS"/>
        </w:rPr>
        <w:t>Group</w:t>
      </w:r>
      <w:r w:rsidRPr="007261BD">
        <w:rPr>
          <w:szCs w:val="22"/>
          <w:lang w:val="sr-Latn-RS"/>
        </w:rPr>
        <w:t>, ECOG); HR=</w:t>
      </w:r>
      <w:r w:rsidRPr="007261BD">
        <w:rPr>
          <w:i/>
          <w:iCs/>
          <w:szCs w:val="22"/>
          <w:lang w:val="sr-Latn-RS"/>
        </w:rPr>
        <w:t>Hazard ratio</w:t>
      </w:r>
      <w:r w:rsidRPr="007261BD">
        <w:rPr>
          <w:szCs w:val="22"/>
          <w:lang w:val="sr-Latn-RS"/>
        </w:rPr>
        <w:t>; NP=nije proc</w:t>
      </w:r>
      <w:r w:rsidR="00884418" w:rsidRPr="007261BD">
        <w:rPr>
          <w:szCs w:val="22"/>
          <w:lang w:val="sr-Latn-RS"/>
        </w:rPr>
        <w:t>i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</w:t>
      </w:r>
      <w:r w:rsidR="00884418" w:rsidRPr="007261BD">
        <w:rPr>
          <w:szCs w:val="22"/>
          <w:lang w:val="sr-Latn-RS"/>
        </w:rPr>
        <w:t>jeno</w:t>
      </w:r>
      <w:r w:rsidR="00DC50A6" w:rsidRPr="007261BD">
        <w:rPr>
          <w:szCs w:val="22"/>
          <w:lang w:val="sr-Latn-RS"/>
        </w:rPr>
        <w:t xml:space="preserve"> </w:t>
      </w:r>
    </w:p>
    <w:p w14:paraId="2394B661" w14:textId="77777777" w:rsidR="00A90281" w:rsidRPr="007261BD" w:rsidRDefault="00A90281">
      <w:pPr>
        <w:rPr>
          <w:szCs w:val="22"/>
          <w:lang w:val="sr-Latn-RS"/>
        </w:rPr>
      </w:pPr>
    </w:p>
    <w:p w14:paraId="3BCFA9F4" w14:textId="68D9D32C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Uz zab</w:t>
      </w:r>
      <w:r w:rsidR="00C51527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>l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eženo poboljšanje u ukupnom preživljavanju, svi sekundarni parametri praćenja efikasnosti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studije dali su prednost </w:t>
      </w:r>
      <w:r w:rsidR="009551A3" w:rsidRPr="007261BD">
        <w:rPr>
          <w:szCs w:val="22"/>
          <w:lang w:val="sr-Latn-RS"/>
        </w:rPr>
        <w:t>abirateron</w:t>
      </w:r>
      <w:r w:rsidR="00884418" w:rsidRPr="007261BD">
        <w:rPr>
          <w:szCs w:val="22"/>
          <w:lang w:val="sr-Latn-RS"/>
        </w:rPr>
        <w:t xml:space="preserve"> acetatu</w:t>
      </w:r>
      <w:r w:rsidR="009551A3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 bili su statistički značajni nakon podešavanja za višestruka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testiranja na sl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edeći način:</w:t>
      </w:r>
    </w:p>
    <w:p w14:paraId="0AEB69DF" w14:textId="3AC8CD29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 xml:space="preserve">Pacijenti koji su uzimali </w:t>
      </w:r>
      <w:r w:rsidR="009551A3" w:rsidRPr="007261BD">
        <w:rPr>
          <w:szCs w:val="22"/>
          <w:lang w:val="sr-Latn-RS"/>
        </w:rPr>
        <w:t xml:space="preserve">abirateron </w:t>
      </w:r>
      <w:r w:rsidR="00884418" w:rsidRPr="007261BD">
        <w:rPr>
          <w:szCs w:val="22"/>
          <w:lang w:val="sr-Latn-RS"/>
        </w:rPr>
        <w:t xml:space="preserve">acetat </w:t>
      </w:r>
      <w:r w:rsidRPr="007261BD">
        <w:rPr>
          <w:szCs w:val="22"/>
          <w:lang w:val="sr-Latn-RS"/>
        </w:rPr>
        <w:t>pokazali su značajno veću stopu odgovora na terapiju, m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erenu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preko vr</w:t>
      </w:r>
      <w:r w:rsidR="00C5152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ukupnog PSA (koja se definiše kao smanjenje ≥ 50% u odnosu na početnu vr</w:t>
      </w:r>
      <w:r w:rsidR="00C5152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ednost),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u poređenju sa pacijentima koji su dobijali placebo, 38% naspram 10%, p &lt; 0,0001.</w:t>
      </w:r>
    </w:p>
    <w:p w14:paraId="05BD3E15" w14:textId="01BB43E0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Medijana vremena do progresije vr</w:t>
      </w:r>
      <w:r w:rsidR="00C5152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ednosti PSA iznosila je 10,2 m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eseci za pacijente koji su uzimali </w:t>
      </w:r>
      <w:r w:rsidR="009551A3" w:rsidRPr="007261BD">
        <w:rPr>
          <w:szCs w:val="22"/>
          <w:lang w:val="sr-Latn-RS"/>
        </w:rPr>
        <w:t xml:space="preserve">abirateron </w:t>
      </w:r>
      <w:r w:rsidR="00884418" w:rsidRPr="007261BD">
        <w:rPr>
          <w:szCs w:val="22"/>
          <w:lang w:val="sr-Latn-RS"/>
        </w:rPr>
        <w:t xml:space="preserve">acetat </w:t>
      </w:r>
      <w:r w:rsidRPr="007261BD">
        <w:rPr>
          <w:szCs w:val="22"/>
          <w:lang w:val="sr-Latn-RS"/>
        </w:rPr>
        <w:t>i 6,6 m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 za pacijente koji su dobijali placebo (HR=0,580; 95% CI: [0,462; 0,728],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 &lt; 0,0001).</w:t>
      </w:r>
    </w:p>
    <w:p w14:paraId="5385EA59" w14:textId="17A7F394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Medijana preživljavanja bez radiografske progresije iznosila je 5,6 m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eseci za pacijente koji su uzimali </w:t>
      </w:r>
      <w:r w:rsidR="009551A3" w:rsidRPr="007261BD">
        <w:rPr>
          <w:szCs w:val="22"/>
          <w:lang w:val="sr-Latn-RS"/>
        </w:rPr>
        <w:t>abirateron</w:t>
      </w:r>
      <w:r w:rsidR="00884418" w:rsidRPr="007261BD">
        <w:rPr>
          <w:szCs w:val="22"/>
          <w:lang w:val="sr-Latn-RS"/>
        </w:rPr>
        <w:t xml:space="preserve"> acetat</w:t>
      </w:r>
      <w:r w:rsidR="009551A3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 3,6 m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 za pacijente koji su dobijali placebo (HR</w:t>
      </w:r>
      <w:r w:rsidRPr="007261BD">
        <w:rPr>
          <w:b/>
          <w:bCs/>
          <w:szCs w:val="22"/>
          <w:lang w:val="sr-Latn-RS"/>
        </w:rPr>
        <w:t>=</w:t>
      </w:r>
      <w:r w:rsidRPr="007261BD">
        <w:rPr>
          <w:szCs w:val="22"/>
          <w:lang w:val="sr-Latn-RS"/>
        </w:rPr>
        <w:t>0,673; 95% CI: [0,585; 0,776],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 &lt; 0,0001).</w:t>
      </w:r>
    </w:p>
    <w:p w14:paraId="067FC8D7" w14:textId="77777777" w:rsidR="00A90281" w:rsidRPr="007261BD" w:rsidRDefault="00A90281">
      <w:pPr>
        <w:rPr>
          <w:szCs w:val="22"/>
          <w:lang w:val="sr-Latn-RS"/>
        </w:rPr>
      </w:pPr>
    </w:p>
    <w:p w14:paraId="537C2B20" w14:textId="1B25717F" w:rsidR="00376D72" w:rsidRPr="007261BD" w:rsidRDefault="00376D72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Bol</w:t>
      </w:r>
    </w:p>
    <w:p w14:paraId="23EE8C46" w14:textId="74BBF430" w:rsidR="00F656A5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Ud</w:t>
      </w:r>
      <w:r w:rsidR="00C51527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 xml:space="preserve">o pacijenata sa ublaženim bolom bio je statistički značajno veći u grupi koja je uzimala </w:t>
      </w:r>
      <w:r w:rsidR="009551A3" w:rsidRPr="007261BD">
        <w:rPr>
          <w:szCs w:val="22"/>
          <w:lang w:val="sr-Latn-RS"/>
        </w:rPr>
        <w:t xml:space="preserve">abirateron </w:t>
      </w:r>
      <w:r w:rsidR="00884418" w:rsidRPr="007261BD">
        <w:rPr>
          <w:szCs w:val="22"/>
          <w:lang w:val="sr-Latn-RS"/>
        </w:rPr>
        <w:t xml:space="preserve">acetat </w:t>
      </w:r>
      <w:r w:rsidRPr="007261BD">
        <w:rPr>
          <w:szCs w:val="22"/>
          <w:lang w:val="sr-Latn-RS"/>
        </w:rPr>
        <w:t>nego kod onoj koji su dobijali placebo (44% naspram 27%, p=0,0002). Pacijent koji reaguje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na ublažavanje bola definiše se kao onaj kod koga se postiže smanjenje intenziteta najjačeg bola za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najmanje 30% u odnosu na početnu vr</w:t>
      </w:r>
      <w:r w:rsidR="00C5152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 dobijenu prema kratkom upitniku za bol (BPI-SF),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tokom protekla 24 sata, bez ikakvog povećanja upotrebe analgetika u dva uzastopna oc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enjivanja u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razmaku od četiri ned</w:t>
      </w:r>
      <w:r w:rsidR="00C5152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elje. Analiza ublažavanja bola rađena je samo kod pacijenata kod kojih je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početni intenzitet bola ≥ 4 i pri najmanje još jednom rezultatu proc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intenziteta bola nakon početka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terapije (N=512).</w:t>
      </w:r>
    </w:p>
    <w:p w14:paraId="291B5472" w14:textId="111EE96E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Mali ud</w:t>
      </w:r>
      <w:r w:rsidR="00710836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 xml:space="preserve">o pacijenata koji su uzimali </w:t>
      </w:r>
      <w:r w:rsidR="009551A3" w:rsidRPr="007261BD">
        <w:rPr>
          <w:szCs w:val="22"/>
          <w:lang w:val="sr-Latn-RS"/>
        </w:rPr>
        <w:t xml:space="preserve">abirateron </w:t>
      </w:r>
      <w:r w:rsidR="004A2AEA" w:rsidRPr="007261BD">
        <w:rPr>
          <w:szCs w:val="22"/>
          <w:lang w:val="sr-Latn-RS"/>
        </w:rPr>
        <w:t xml:space="preserve">acetat </w:t>
      </w:r>
      <w:r w:rsidRPr="007261BD">
        <w:rPr>
          <w:szCs w:val="22"/>
          <w:lang w:val="sr-Latn-RS"/>
        </w:rPr>
        <w:t>imao je progresiju bola u poređenju sa onima koji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su dobijali placebo posl</w:t>
      </w:r>
      <w:r w:rsidR="004A2AEA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6 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 (22% naspram 28%), 12 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 (30% naspram 38%) i 18 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(35% naspram 46%). Progresija bola je definisana kao porast intenziteta najjačeg bola za ≥ 30% u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odnosu na početnu vr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ednost dobijenu prema kratkom upitniku za bol (BPI-SF), tokom protekla 24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sata, bez smanjenja upotrebe analgetika u dva uzastopna oc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enjivanja, ili povećanje upotrebe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analgetika za ≥ 30% zab</w:t>
      </w:r>
      <w:r w:rsidR="00710836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>l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eženo u dva </w:t>
      </w:r>
      <w:r w:rsidRPr="007261BD">
        <w:rPr>
          <w:szCs w:val="22"/>
          <w:lang w:val="sr-Latn-RS"/>
        </w:rPr>
        <w:lastRenderedPageBreak/>
        <w:t>uzastopna oc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enjivanja. Vr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eme do progresije bola na 25</w:t>
      </w:r>
      <w:r w:rsidR="00F35797" w:rsidRPr="007261BD">
        <w:rPr>
          <w:szCs w:val="22"/>
          <w:lang w:val="sr-Latn-RS"/>
        </w:rPr>
        <w:t>.</w:t>
      </w:r>
      <w:r w:rsidRPr="007261BD">
        <w:rPr>
          <w:szCs w:val="22"/>
          <w:lang w:val="sr-Latn-RS"/>
        </w:rPr>
        <w:t xml:space="preserve"> percentilu iznosilo je 7,4 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eseci u grupi koja je uzimala </w:t>
      </w:r>
      <w:r w:rsidR="009551A3" w:rsidRPr="007261BD">
        <w:rPr>
          <w:szCs w:val="22"/>
          <w:lang w:val="sr-Latn-RS"/>
        </w:rPr>
        <w:t>abirateron</w:t>
      </w:r>
      <w:r w:rsidR="004A2AEA" w:rsidRPr="007261BD">
        <w:rPr>
          <w:szCs w:val="22"/>
          <w:lang w:val="sr-Latn-RS"/>
        </w:rPr>
        <w:t xml:space="preserve"> acetat</w:t>
      </w:r>
      <w:r w:rsidRPr="007261BD">
        <w:rPr>
          <w:szCs w:val="22"/>
          <w:lang w:val="sr-Latn-RS"/>
        </w:rPr>
        <w:t>, prema 4,7 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 u grupi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koja je dobijala placebo.</w:t>
      </w:r>
    </w:p>
    <w:p w14:paraId="18836013" w14:textId="0AB2BF47" w:rsidR="00376D72" w:rsidRPr="007261BD" w:rsidRDefault="00376D72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Događaji povezani sa koštanim sistemom</w:t>
      </w:r>
    </w:p>
    <w:p w14:paraId="5BA0F2AC" w14:textId="05BC94AC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Manji ud</w:t>
      </w:r>
      <w:r w:rsidR="00710836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 xml:space="preserve">o pacijenata u grupi koja je uzimala </w:t>
      </w:r>
      <w:r w:rsidR="009551A3" w:rsidRPr="007261BD">
        <w:rPr>
          <w:szCs w:val="22"/>
          <w:lang w:val="sr-Latn-RS"/>
        </w:rPr>
        <w:t>abirateron</w:t>
      </w:r>
      <w:r w:rsidR="004A2AEA" w:rsidRPr="007261BD">
        <w:rPr>
          <w:szCs w:val="22"/>
          <w:lang w:val="sr-Latn-RS"/>
        </w:rPr>
        <w:t xml:space="preserve"> acetat</w:t>
      </w:r>
      <w:r w:rsidR="009551A3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imao je događaje u vezi sa koštanim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sistemom u poređenju sa grupom koja je dobijala placebo posl</w:t>
      </w:r>
      <w:r w:rsidR="00F3579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6 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 (18% naspram 28%),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12 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 (30% naspram 40%), i 18 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 (35% naspram 40%). Vr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eme do prvog događaja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povezanog sa koštanim sistemom na 25. percentilu u grupi koja je uzimala </w:t>
      </w:r>
      <w:r w:rsidR="009551A3" w:rsidRPr="007261BD">
        <w:rPr>
          <w:szCs w:val="22"/>
          <w:lang w:val="sr-Latn-RS"/>
        </w:rPr>
        <w:t xml:space="preserve">abirateron </w:t>
      </w:r>
      <w:r w:rsidR="004A2AEA" w:rsidRPr="007261BD">
        <w:rPr>
          <w:szCs w:val="22"/>
          <w:lang w:val="sr-Latn-RS"/>
        </w:rPr>
        <w:t xml:space="preserve">acetat </w:t>
      </w:r>
      <w:r w:rsidRPr="007261BD">
        <w:rPr>
          <w:szCs w:val="22"/>
          <w:lang w:val="sr-Latn-RS"/>
        </w:rPr>
        <w:t>bilo je dva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puta duže nego kod kontrolne grupe, odnosno 9,9 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 naspram 4,9 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eseci. Događaj povezan sa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koštanim sistemom definisan je kao patološka fraktura, kompresija kičmene moždine, palijativno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zračenje kosti, ili hirurška intervencija na kosti.</w:t>
      </w:r>
    </w:p>
    <w:p w14:paraId="681C700A" w14:textId="77777777" w:rsidR="00A90281" w:rsidRPr="007261BD" w:rsidRDefault="00A90281">
      <w:pPr>
        <w:rPr>
          <w:szCs w:val="22"/>
          <w:lang w:val="sr-Latn-RS"/>
        </w:rPr>
      </w:pPr>
    </w:p>
    <w:p w14:paraId="488A9257" w14:textId="49E4C312" w:rsidR="00376D72" w:rsidRPr="007261BD" w:rsidRDefault="00376D72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Pedijatrijska populacija</w:t>
      </w:r>
    </w:p>
    <w:p w14:paraId="162575AA" w14:textId="533F6A33" w:rsidR="00F656A5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Evropska agencija za l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ekove izuzela je od obaveze podnošenja rezultata ispitivanja </w:t>
      </w:r>
      <w:r w:rsidR="00BA2DE7" w:rsidRPr="007261BD">
        <w:rPr>
          <w:szCs w:val="22"/>
          <w:lang w:val="sr-Latn-RS"/>
        </w:rPr>
        <w:t>abirateron</w:t>
      </w:r>
      <w:r w:rsidRPr="007261BD">
        <w:rPr>
          <w:szCs w:val="22"/>
          <w:lang w:val="sr-Latn-RS"/>
        </w:rPr>
        <w:t xml:space="preserve"> </w:t>
      </w:r>
      <w:r w:rsidR="004A2AEA" w:rsidRPr="007261BD">
        <w:rPr>
          <w:szCs w:val="22"/>
          <w:lang w:val="sr-Latn-RS"/>
        </w:rPr>
        <w:t xml:space="preserve">acetata </w:t>
      </w:r>
      <w:r w:rsidRPr="007261BD">
        <w:rPr>
          <w:szCs w:val="22"/>
          <w:lang w:val="sr-Latn-RS"/>
        </w:rPr>
        <w:t>u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svim podgrupama pedijatrijske populacije u uznapredovalom karcinomu prostate. Vid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710836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4.2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za informacije o upotrebi u pedijatrijskoj populaciji.</w:t>
      </w:r>
    </w:p>
    <w:p w14:paraId="552293B9" w14:textId="77777777" w:rsidR="00F656A5" w:rsidRPr="007261BD" w:rsidRDefault="00F656A5">
      <w:pPr>
        <w:rPr>
          <w:szCs w:val="22"/>
          <w:lang w:val="sr-Latn-RS"/>
        </w:rPr>
      </w:pPr>
    </w:p>
    <w:p w14:paraId="1B116D53" w14:textId="77777777" w:rsidR="00007EF9" w:rsidRPr="007261BD" w:rsidRDefault="00007EF9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5.2. Farmakokinetički podaci</w:t>
      </w:r>
    </w:p>
    <w:p w14:paraId="1B116D54" w14:textId="1B01D90B" w:rsidR="00007EF9" w:rsidRPr="007261BD" w:rsidRDefault="00007EF9">
      <w:pPr>
        <w:rPr>
          <w:szCs w:val="22"/>
          <w:lang w:val="sr-Latn-RS"/>
        </w:rPr>
      </w:pPr>
    </w:p>
    <w:p w14:paraId="519A7BB3" w14:textId="268486B8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Nakon prim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abirateron</w:t>
      </w:r>
      <w:r w:rsidR="0071083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acetata, farmakokinetika abiraterona</w:t>
      </w:r>
      <w:r w:rsidR="004A2AEA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ispitivana je kod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zdravih ispitanika, pacijenata sa metastatskim uznapredovalim karcinomom prostate i ispitanicima bez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karcinoma ali sa insuficijencijom bubrega ili jetre. Abirateron</w:t>
      </w:r>
      <w:r w:rsidR="0071083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acetat se </w:t>
      </w:r>
      <w:r w:rsidRPr="007261BD">
        <w:rPr>
          <w:i/>
          <w:iCs/>
          <w:szCs w:val="22"/>
          <w:lang w:val="sr-Latn-RS"/>
        </w:rPr>
        <w:t xml:space="preserve">in vivo </w:t>
      </w:r>
      <w:r w:rsidRPr="007261BD">
        <w:rPr>
          <w:szCs w:val="22"/>
          <w:lang w:val="sr-Latn-RS"/>
        </w:rPr>
        <w:t>brzo pretvara u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abirateron, inhibitor biosinteze androgena (vid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710836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5.1).</w:t>
      </w:r>
    </w:p>
    <w:p w14:paraId="1CCC28F0" w14:textId="77777777" w:rsidR="009551A3" w:rsidRPr="007261BD" w:rsidRDefault="009551A3">
      <w:pPr>
        <w:rPr>
          <w:szCs w:val="22"/>
          <w:lang w:val="sr-Latn-RS"/>
        </w:rPr>
      </w:pPr>
    </w:p>
    <w:p w14:paraId="2E886A2E" w14:textId="3868853C" w:rsidR="00376D72" w:rsidRPr="007261BD" w:rsidRDefault="00376D72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Resorpcija</w:t>
      </w:r>
    </w:p>
    <w:p w14:paraId="31E2954C" w14:textId="03F6FD8E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Nakon oralne prim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abirateron</w:t>
      </w:r>
      <w:r w:rsidR="0071083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acetata na tašte, vr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eme do postizanja maksimalne koncentracije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abiraterona u plazmi iznosi približno 2 sata.</w:t>
      </w:r>
      <w:r w:rsidR="00DC50A6" w:rsidRPr="007261BD">
        <w:rPr>
          <w:szCs w:val="22"/>
          <w:lang w:val="sr-Latn-RS"/>
        </w:rPr>
        <w:t xml:space="preserve"> </w:t>
      </w:r>
    </w:p>
    <w:p w14:paraId="65496EBF" w14:textId="74F4257E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Prim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ena abirateron</w:t>
      </w:r>
      <w:r w:rsidR="0071083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acetata sa hranom, u poređenju sa prim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enom na tašte dovodi do povećanja srednje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sistemske izloženosti abirateronu, do 10 puta (PIK) i do 17 puta (C</w:t>
      </w:r>
      <w:r w:rsidRPr="007261BD">
        <w:rPr>
          <w:szCs w:val="22"/>
          <w:vertAlign w:val="subscript"/>
          <w:lang w:val="sr-Latn-RS"/>
        </w:rPr>
        <w:t>max</w:t>
      </w:r>
      <w:r w:rsidRPr="007261BD">
        <w:rPr>
          <w:szCs w:val="22"/>
          <w:lang w:val="sr-Latn-RS"/>
        </w:rPr>
        <w:t>), zavisno od sadržaja masti u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 xml:space="preserve">obroku. </w:t>
      </w:r>
      <w:r w:rsidR="004A2AEA" w:rsidRPr="007261BD">
        <w:rPr>
          <w:szCs w:val="22"/>
          <w:lang w:val="sr-Latn-RS"/>
        </w:rPr>
        <w:t>S o</w:t>
      </w:r>
      <w:r w:rsidRPr="007261BD">
        <w:rPr>
          <w:szCs w:val="22"/>
          <w:lang w:val="sr-Latn-RS"/>
        </w:rPr>
        <w:t>bzirom na uobičajene razlike u sadržaju i sastavu obroka, uzimanje l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eka </w:t>
      </w:r>
      <w:r w:rsidR="00D832D2" w:rsidRPr="007261BD">
        <w:rPr>
          <w:szCs w:val="22"/>
          <w:lang w:val="sr-Latn-RS"/>
        </w:rPr>
        <w:t>ENAGAL</w:t>
      </w:r>
      <w:r w:rsidRPr="007261BD">
        <w:rPr>
          <w:szCs w:val="22"/>
          <w:lang w:val="sr-Latn-RS"/>
        </w:rPr>
        <w:t xml:space="preserve"> uz obroke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ima potencijal da dovede do velikih varijacija u izloženosti l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eku. Prema tome, l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</w:t>
      </w:r>
      <w:r w:rsidR="00D832D2" w:rsidRPr="007261BD">
        <w:rPr>
          <w:szCs w:val="22"/>
          <w:lang w:val="sr-Latn-RS"/>
        </w:rPr>
        <w:t>ENAGAL</w:t>
      </w:r>
      <w:r w:rsidRPr="007261BD">
        <w:rPr>
          <w:szCs w:val="22"/>
          <w:lang w:val="sr-Latn-RS"/>
        </w:rPr>
        <w:t xml:space="preserve"> se ne sm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uzimati sa hranom. L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 xml:space="preserve">ek </w:t>
      </w:r>
      <w:r w:rsidR="00D832D2" w:rsidRPr="007261BD">
        <w:rPr>
          <w:szCs w:val="22"/>
          <w:lang w:val="sr-Latn-RS"/>
        </w:rPr>
        <w:t>ENAGAL</w:t>
      </w:r>
      <w:r w:rsidRPr="007261BD">
        <w:rPr>
          <w:szCs w:val="22"/>
          <w:lang w:val="sr-Latn-RS"/>
        </w:rPr>
        <w:t xml:space="preserve"> treba uzimati najmanje dva sata posl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obroka i nakon uzimanja l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eka</w:t>
      </w:r>
      <w:r w:rsidR="00DC50A6" w:rsidRPr="007261BD">
        <w:rPr>
          <w:szCs w:val="22"/>
          <w:lang w:val="sr-Latn-RS"/>
        </w:rPr>
        <w:t xml:space="preserve"> </w:t>
      </w:r>
      <w:r w:rsidR="00D832D2" w:rsidRPr="007261BD">
        <w:rPr>
          <w:szCs w:val="22"/>
          <w:lang w:val="sr-Latn-RS"/>
        </w:rPr>
        <w:t>ENAGAL</w:t>
      </w:r>
      <w:r w:rsidRPr="007261BD">
        <w:rPr>
          <w:szCs w:val="22"/>
          <w:lang w:val="sr-Latn-RS"/>
        </w:rPr>
        <w:t xml:space="preserve"> se još najmanje jedan sat ne sm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uzimati nikakva hrana. Tablete treba progutati c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ele, sa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vodom (vid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710836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4.2).</w:t>
      </w:r>
    </w:p>
    <w:p w14:paraId="6058188E" w14:textId="77777777" w:rsidR="00A90281" w:rsidRPr="007261BD" w:rsidRDefault="00A90281">
      <w:pPr>
        <w:rPr>
          <w:szCs w:val="22"/>
          <w:u w:val="single"/>
          <w:lang w:val="sr-Latn-RS"/>
        </w:rPr>
      </w:pPr>
    </w:p>
    <w:p w14:paraId="4D2A84F4" w14:textId="26031C0E" w:rsidR="00376D72" w:rsidRPr="007261BD" w:rsidRDefault="00376D72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Distribucija</w:t>
      </w:r>
    </w:p>
    <w:p w14:paraId="4A4DA7B4" w14:textId="4263CECC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Vezivanje 14C-abiraterona za proteine plazme u humanoj plazmi iznosi 99,8%. Prividan volumen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distribucije približno iznosi 5,630 L, što ukazuje da se abirateron obimno distribuira u periferna tkiva.</w:t>
      </w:r>
    </w:p>
    <w:p w14:paraId="204BA540" w14:textId="77777777" w:rsidR="00A90281" w:rsidRPr="007261BD" w:rsidRDefault="00A90281">
      <w:pPr>
        <w:rPr>
          <w:szCs w:val="22"/>
          <w:u w:val="single"/>
          <w:lang w:val="sr-Latn-RS"/>
        </w:rPr>
      </w:pPr>
    </w:p>
    <w:p w14:paraId="6A41191B" w14:textId="77777777" w:rsidR="004A2AEA" w:rsidRPr="007261BD" w:rsidRDefault="004A2AE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Biotransformacija</w:t>
      </w:r>
    </w:p>
    <w:p w14:paraId="30F04866" w14:textId="4E2B7B94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Nakon oralne prim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14C-abirateron</w:t>
      </w:r>
      <w:r w:rsidR="0071083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acetata u obliku kapsula, abirateron</w:t>
      </w:r>
      <w:r w:rsidR="0071083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 se hidrolizuje u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abirateron, koji potom podl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eže metabolizmu, prvenstveno u jetri, što uključuje sulfaciju,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hidroksilaciju i oksidaciju. Većina radioaktivnosti u cirkulaciji (približno 92%) nalazi se u obliku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metabolita abiraterona. Od 15 metabolita koji se mogu pronaći, svaki od 2 glavna metabolita,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abirateron</w:t>
      </w:r>
      <w:r w:rsidR="0071083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sulfat i N-oksid abirateron</w:t>
      </w:r>
      <w:r w:rsidR="0071083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sulfat, čini približno 43% ukupne radioaktivnosti.</w:t>
      </w:r>
    </w:p>
    <w:p w14:paraId="292A7D0D" w14:textId="5E0C121E" w:rsidR="00376D72" w:rsidRPr="007261BD" w:rsidRDefault="00376D72">
      <w:pPr>
        <w:rPr>
          <w:szCs w:val="22"/>
          <w:lang w:val="sr-Latn-RS"/>
        </w:rPr>
      </w:pPr>
    </w:p>
    <w:p w14:paraId="44B6AD02" w14:textId="77777777" w:rsidR="00376D72" w:rsidRPr="007261BD" w:rsidRDefault="00376D72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Eliminacija</w:t>
      </w:r>
    </w:p>
    <w:p w14:paraId="0A535B56" w14:textId="75BB9101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Srednje poluvr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eme eliminacije abiraterona u plazmi iznosi približno 15 sati na osnovu podataka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dobijenih na zdravim ispitanicima. Nakon oralne prim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1000 mg 14C-abirateron</w:t>
      </w:r>
      <w:r w:rsidR="0071083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acetata, približno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88% radiokativne doze pronađeno je u fecesu, a 5% u urinu. Glavna jedinjenja prisutna u fecesu su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neprom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enjeni abirateron</w:t>
      </w:r>
      <w:r w:rsidR="0071083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 i abirateron (oko 55% odnosno 22% od prim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enjene doze).</w:t>
      </w:r>
    </w:p>
    <w:p w14:paraId="156F66D3" w14:textId="77777777" w:rsidR="00A90281" w:rsidRPr="007261BD" w:rsidRDefault="00A90281">
      <w:pPr>
        <w:rPr>
          <w:szCs w:val="22"/>
          <w:lang w:val="sr-Latn-RS"/>
        </w:rPr>
      </w:pPr>
    </w:p>
    <w:p w14:paraId="3AE397DB" w14:textId="110F5CFF" w:rsidR="00376D72" w:rsidRPr="007261BD" w:rsidRDefault="00376D72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Oštećenje funkcije jetre</w:t>
      </w:r>
    </w:p>
    <w:p w14:paraId="2F4FFC92" w14:textId="40D098EF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Farmakokinetika abirateron</w:t>
      </w:r>
      <w:r w:rsidR="0071083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acetata ispitivana je kod ispitanika koji su već imali blago do um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ereno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oštećenje funkcije jetre (</w:t>
      </w:r>
      <w:r w:rsidRPr="007261BD">
        <w:rPr>
          <w:i/>
          <w:iCs/>
          <w:szCs w:val="22"/>
          <w:lang w:val="sr-Latn-RS"/>
        </w:rPr>
        <w:t xml:space="preserve">Child-Pugh </w:t>
      </w:r>
      <w:r w:rsidRPr="007261BD">
        <w:rPr>
          <w:szCs w:val="22"/>
          <w:lang w:val="sr-Latn-RS"/>
        </w:rPr>
        <w:t>klase A, odnosno B) i kod zdravih ispitanika u kontrolnoj grupi.</w:t>
      </w:r>
    </w:p>
    <w:p w14:paraId="046C96BB" w14:textId="1EAF735A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Sistemska izloženost abirateronu posl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pojedinačne oralne doze od 1000 mg povećala se za oko 11%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kod ispitanika sa već postojećim blagim oštećenjem jetre, a 260% kod onih koji čija je funkcija jetre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već um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ereno oštećena. Srednje poluvr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eme eliminacije abiraterona produženo je na oko 18 sati kod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ispitanika koji sa blagim oštećenjem funkcije jetre i na oko 19 sati kod ispitanika sa um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erenim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oštećenjem funkcije jetre.</w:t>
      </w:r>
    </w:p>
    <w:p w14:paraId="7261CDEA" w14:textId="44AC95A8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lastRenderedPageBreak/>
        <w:t>U drugom ispitivanju, ispitivana je farmakokinetika abiraterona kod ispitanika sa već postojećom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teškim (n=8) oštećenjem funkcije jetre (</w:t>
      </w:r>
      <w:r w:rsidRPr="007261BD">
        <w:rPr>
          <w:i/>
          <w:iCs/>
          <w:szCs w:val="22"/>
          <w:lang w:val="sr-Latn-RS"/>
        </w:rPr>
        <w:t xml:space="preserve">Child-Pugh </w:t>
      </w:r>
      <w:r w:rsidRPr="007261BD">
        <w:rPr>
          <w:szCs w:val="22"/>
          <w:lang w:val="sr-Latn-RS"/>
        </w:rPr>
        <w:t>klase C) i kod 8 zdravih ispitanika u kontrolnoj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grupi sa normalnom funkcijom jetre. Sistemska izloženost (PIK) abirateronu je bila povećana za oko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600% i frakcija slobodnog l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eka je bila povećana za oko 80%, kod ispitanika sa teškim oštećenjem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funkcije jetre u odnosu na ispitanike sa normalnom funkcijom jetre.</w:t>
      </w:r>
    </w:p>
    <w:p w14:paraId="415676AA" w14:textId="26C6D0D8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Nije potrebno prilagođavanje doze kod pacijenata sa već postojećom blagim oštećenjem funkcije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jetre. Prim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enu abirateron</w:t>
      </w:r>
      <w:r w:rsidR="0071083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acetata treba precizno oc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eniti kod pacijenata sa um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erenim oštećenjem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funkcije jetre kod kojih korist jasno prevazilazi mogući rizik (vid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B1090A" w:rsidRPr="007261BD">
        <w:rPr>
          <w:szCs w:val="22"/>
          <w:lang w:val="sr-Latn-RS"/>
        </w:rPr>
        <w:t xml:space="preserve">djelove </w:t>
      </w:r>
      <w:r w:rsidRPr="007261BD">
        <w:rPr>
          <w:szCs w:val="22"/>
          <w:lang w:val="sr-Latn-RS"/>
        </w:rPr>
        <w:t>4.2 i 4.4). Abirateron</w:t>
      </w:r>
      <w:r w:rsidR="0071083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ne treba davati pacijentima sa teškim oštećenjem funkcije jetre (vid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eti d</w:t>
      </w:r>
      <w:r w:rsidR="00B1090A" w:rsidRPr="007261BD">
        <w:rPr>
          <w:szCs w:val="22"/>
          <w:lang w:val="sr-Latn-RS"/>
        </w:rPr>
        <w:t>jelove</w:t>
      </w:r>
      <w:r w:rsidRPr="007261BD">
        <w:rPr>
          <w:szCs w:val="22"/>
          <w:lang w:val="sr-Latn-RS"/>
        </w:rPr>
        <w:t xml:space="preserve"> 4.2</w:t>
      </w:r>
      <w:r w:rsidR="00B1090A" w:rsidRPr="007261BD">
        <w:rPr>
          <w:szCs w:val="22"/>
          <w:lang w:val="sr-Latn-RS"/>
        </w:rPr>
        <w:t>,</w:t>
      </w:r>
      <w:r w:rsidRPr="007261BD">
        <w:rPr>
          <w:szCs w:val="22"/>
          <w:lang w:val="sr-Latn-RS"/>
        </w:rPr>
        <w:t xml:space="preserve"> 4.3</w:t>
      </w:r>
      <w:r w:rsidR="00B1090A" w:rsidRPr="007261BD">
        <w:rPr>
          <w:szCs w:val="22"/>
          <w:lang w:val="sr-Latn-RS"/>
        </w:rPr>
        <w:t xml:space="preserve"> i </w:t>
      </w:r>
      <w:r w:rsidRPr="007261BD">
        <w:rPr>
          <w:szCs w:val="22"/>
          <w:lang w:val="sr-Latn-RS"/>
        </w:rPr>
        <w:t>4.4).</w:t>
      </w:r>
    </w:p>
    <w:p w14:paraId="55AD1D61" w14:textId="0D344034" w:rsidR="00376D72" w:rsidRPr="007261BD" w:rsidRDefault="00376D72">
      <w:pPr>
        <w:rPr>
          <w:i/>
          <w:iCs/>
          <w:szCs w:val="22"/>
          <w:lang w:val="sr-Latn-RS"/>
        </w:rPr>
      </w:pPr>
      <w:r w:rsidRPr="007261BD">
        <w:rPr>
          <w:szCs w:val="22"/>
          <w:lang w:val="sr-Latn-RS"/>
        </w:rPr>
        <w:t>Za pacijente kod kojih se tokom terapije razvije hepatotoksičnost, može biti potrebno da se prekine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terapija i da se prilagodi doza (vid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710836" w:rsidRPr="007261BD">
        <w:rPr>
          <w:szCs w:val="22"/>
          <w:lang w:val="sr-Latn-RS"/>
        </w:rPr>
        <w:t>djelove</w:t>
      </w:r>
      <w:r w:rsidRPr="007261BD">
        <w:rPr>
          <w:szCs w:val="22"/>
          <w:lang w:val="sr-Latn-RS"/>
        </w:rPr>
        <w:t xml:space="preserve"> 4.2 i 4.4)</w:t>
      </w:r>
      <w:r w:rsidRPr="007261BD">
        <w:rPr>
          <w:i/>
          <w:iCs/>
          <w:szCs w:val="22"/>
          <w:lang w:val="sr-Latn-RS"/>
        </w:rPr>
        <w:t>.</w:t>
      </w:r>
    </w:p>
    <w:p w14:paraId="3CCBD043" w14:textId="77777777" w:rsidR="00A90281" w:rsidRPr="007261BD" w:rsidRDefault="00A90281">
      <w:pPr>
        <w:rPr>
          <w:szCs w:val="22"/>
          <w:lang w:val="sr-Latn-RS"/>
        </w:rPr>
      </w:pPr>
    </w:p>
    <w:p w14:paraId="6D4D046D" w14:textId="6DC86B5D" w:rsidR="00376D72" w:rsidRPr="007261BD" w:rsidRDefault="00376D72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Oštećenje funkcije bubrega</w:t>
      </w:r>
    </w:p>
    <w:p w14:paraId="10200429" w14:textId="15C30217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Farmakokinetika abirateron</w:t>
      </w:r>
      <w:r w:rsidR="0071083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acetata upoređena je kod pacijenata sa terminalnom fazom bubrežnog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oboljenja koji su na redovnoj hemodijalizi sa ispitanicima u kontrolnoj grupi čija je funkcija bubrega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normalna. Sistemska izloženost abirateronu posl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 pojedinačne oralne doze od 1000 mg nije se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povećala kod ispitanika u terminalnoj fazi bubrežnog oboljenja koji su na dijalizi. Prim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ena ovog l</w:t>
      </w:r>
      <w:r w:rsidR="00710836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eka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kod pacijenata sa oštećenjem funkcije bubrega, uključujući i teško oštećenje funkcije bubrega, ne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iziskuje smanjenje doze (vid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 xml:space="preserve">eti </w:t>
      </w:r>
      <w:r w:rsidR="00710836" w:rsidRPr="007261BD">
        <w:rPr>
          <w:szCs w:val="22"/>
          <w:lang w:val="sr-Latn-RS"/>
        </w:rPr>
        <w:t>dio</w:t>
      </w:r>
      <w:r w:rsidRPr="007261BD">
        <w:rPr>
          <w:szCs w:val="22"/>
          <w:lang w:val="sr-Latn-RS"/>
        </w:rPr>
        <w:t xml:space="preserve"> 4.2). Međutim, nema kliničkih iskustava kod pacijenata sa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karcinomom prostate i teškim oštećenjem funkcije bubrega. Stoga se kod ovih pacijenata sav</w:t>
      </w:r>
      <w:r w:rsidR="00710836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etuje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oprez.</w:t>
      </w:r>
    </w:p>
    <w:p w14:paraId="0CB23354" w14:textId="77777777" w:rsidR="00376D72" w:rsidRPr="007261BD" w:rsidRDefault="00376D72">
      <w:pPr>
        <w:rPr>
          <w:szCs w:val="22"/>
          <w:lang w:val="sr-Latn-RS"/>
        </w:rPr>
      </w:pPr>
    </w:p>
    <w:p w14:paraId="41E2E46B" w14:textId="77777777" w:rsidR="00292662" w:rsidRPr="007261BD" w:rsidRDefault="00007EF9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5.3. Pretklinički podaci o bezb</w:t>
      </w:r>
      <w:r w:rsidR="006D1947" w:rsidRPr="007261BD">
        <w:rPr>
          <w:b/>
          <w:bCs/>
          <w:szCs w:val="22"/>
          <w:lang w:val="sr-Latn-RS"/>
        </w:rPr>
        <w:t>j</w:t>
      </w:r>
      <w:r w:rsidRPr="007261BD">
        <w:rPr>
          <w:b/>
          <w:bCs/>
          <w:szCs w:val="22"/>
          <w:lang w:val="sr-Latn-RS"/>
        </w:rPr>
        <w:t>ednosti</w:t>
      </w:r>
    </w:p>
    <w:p w14:paraId="1B116D55" w14:textId="1E085CF5" w:rsidR="00007EF9" w:rsidRPr="007261BD" w:rsidRDefault="00007EF9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 xml:space="preserve"> </w:t>
      </w:r>
      <w:r w:rsidR="00DC50A6" w:rsidRPr="007261BD">
        <w:rPr>
          <w:b/>
          <w:bCs/>
          <w:szCs w:val="22"/>
          <w:lang w:val="sr-Latn-RS"/>
        </w:rPr>
        <w:t xml:space="preserve"> </w:t>
      </w:r>
    </w:p>
    <w:p w14:paraId="5435D9B8" w14:textId="5C745AB2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svim ispitivanjima toksičnosti na životinjama, koncentracije testosterona u krvi su bile značajno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smanjene. Kao rezultat, bile su uočene prom</w:t>
      </w:r>
      <w:r w:rsidR="006D194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u vidu smanjene težine organa i morfoloških i/ili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histopatoloških prom</w:t>
      </w:r>
      <w:r w:rsidR="006D194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ena u reproduktivnim organima, i nadbubrežnim žl</w:t>
      </w:r>
      <w:r w:rsidR="006D194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ezdama, hipofizi i ml</w:t>
      </w:r>
      <w:r w:rsidR="006D194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ečnim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žl</w:t>
      </w:r>
      <w:r w:rsidR="006D194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ezdama. Sve prom</w:t>
      </w:r>
      <w:r w:rsidR="006D194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su bile potpuno ili d</w:t>
      </w:r>
      <w:r w:rsidR="006D194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elimično reverzibilne. Prom</w:t>
      </w:r>
      <w:r w:rsidR="006D194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u repoduktivnim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organima i androgen-senzitivnim organima su u skladu sa farmakologijom abiraterona. Sve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hormonske prom</w:t>
      </w:r>
      <w:r w:rsidR="006D194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koje su bile povezane sa terapijom su bile reverzibilne ili je pokazana tendencija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poboljšanja nakon 4-ned</w:t>
      </w:r>
      <w:r w:rsidR="006D194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eljnog perioda oporavka.</w:t>
      </w:r>
    </w:p>
    <w:p w14:paraId="1B116D56" w14:textId="7A76C1F4" w:rsidR="00007EF9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studijama ispitivanja plodnosti kod ženki i mužjaka pacova, abirateron</w:t>
      </w:r>
      <w:r w:rsidR="006D1947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 je smanjio plodnost,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što je bilo potpuno reverzibilno u toku 4 do 16 ned</w:t>
      </w:r>
      <w:r w:rsidR="006D194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elja nakon prestanka prim</w:t>
      </w:r>
      <w:r w:rsidR="006D194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ene abirateron</w:t>
      </w:r>
      <w:r w:rsidR="006D1947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acetata.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U ispitivanjimu razvojne toksičnosti kod pacova, abirateron</w:t>
      </w:r>
      <w:r w:rsidR="006D1947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 je uticao na trudnoću uključujući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smanjenje fetalne težine i preživljavanje. Uočeni su efekti na spoljne genitalije, iako abirateron</w:t>
      </w:r>
      <w:r w:rsidR="006D1947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nije bio teratogen.</w:t>
      </w:r>
    </w:p>
    <w:p w14:paraId="64A62C81" w14:textId="23112632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U ovim ispitivanjima plodnosti i razvojne toksičnosti koje su rađene na pacovima, svi efekti su bili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povezani sa farmakološkom aktivnošću abitaterona.</w:t>
      </w:r>
    </w:p>
    <w:p w14:paraId="179F85DF" w14:textId="08612F00" w:rsidR="00376D72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Izuzev prom</w:t>
      </w:r>
      <w:r w:rsidR="006D194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ena na reproduktivnim organima koje su zab</w:t>
      </w:r>
      <w:r w:rsidR="006D1947" w:rsidRPr="007261BD">
        <w:rPr>
          <w:szCs w:val="22"/>
          <w:lang w:val="sr-Latn-RS"/>
        </w:rPr>
        <w:t>i</w:t>
      </w:r>
      <w:r w:rsidRPr="007261BD">
        <w:rPr>
          <w:szCs w:val="22"/>
          <w:lang w:val="sr-Latn-RS"/>
        </w:rPr>
        <w:t>l</w:t>
      </w:r>
      <w:r w:rsidR="006D194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ežene u svim toksikološkim ispitivanjima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na životinjama, neklinički podaci ne ukazuju na poseban rizik za ljude na osnovu konvencionalnih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ispitivanja farmakološke bezb</w:t>
      </w:r>
      <w:r w:rsidR="006D194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ednosti, toksičnosti ponovljenih doza, genotoksičnosti i karcinogenog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potencijala. Abirateron</w:t>
      </w:r>
      <w:r w:rsidR="006D1947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 nije bio karcinogen u 6-m</w:t>
      </w:r>
      <w:r w:rsidR="006D194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esečnom ispitivanju na transgenskim (engl.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Tg.rasH2) miševima. U 24-m</w:t>
      </w:r>
      <w:r w:rsidR="006D194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esečnom ispitivanju karcinogenosti kod pacova, abirateron</w:t>
      </w:r>
      <w:r w:rsidR="006D1947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 je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povećao incidencu neoplazmi intersticijalnih ćelija u testisima. Ovaj slučaj se smatra povezanim sa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farmakološkom akcijom abiraterona i da je specifičan za pacove. Abirateron</w:t>
      </w:r>
      <w:r w:rsidR="006D1947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acetat nije bio</w:t>
      </w:r>
      <w:r w:rsidR="00DC50A6" w:rsidRPr="007261BD">
        <w:rPr>
          <w:szCs w:val="22"/>
          <w:lang w:val="sr-Latn-RS"/>
        </w:rPr>
        <w:t xml:space="preserve"> </w:t>
      </w:r>
      <w:r w:rsidRPr="007261BD">
        <w:rPr>
          <w:szCs w:val="22"/>
          <w:lang w:val="sr-Latn-RS"/>
        </w:rPr>
        <w:t>karcinogen kod ženki pacova.</w:t>
      </w:r>
    </w:p>
    <w:p w14:paraId="78ED5842" w14:textId="77777777" w:rsidR="004A2AEA" w:rsidRPr="007261BD" w:rsidRDefault="004A2AEA">
      <w:pPr>
        <w:rPr>
          <w:szCs w:val="22"/>
          <w:lang w:val="sr-Latn-RS"/>
        </w:rPr>
      </w:pPr>
    </w:p>
    <w:p w14:paraId="2B7D8EAC" w14:textId="49892EF0" w:rsidR="004A2AEA" w:rsidRPr="007261BD" w:rsidRDefault="004A2AEA">
      <w:pPr>
        <w:rPr>
          <w:szCs w:val="22"/>
          <w:u w:val="single"/>
          <w:lang w:val="sr-Latn-RS"/>
        </w:rPr>
      </w:pPr>
      <w:r w:rsidRPr="007261BD">
        <w:rPr>
          <w:szCs w:val="22"/>
          <w:u w:val="single"/>
          <w:lang w:val="sr-Latn-RS"/>
        </w:rPr>
        <w:t>Proc</w:t>
      </w:r>
      <w:r w:rsidR="00B1090A" w:rsidRPr="007261BD">
        <w:rPr>
          <w:szCs w:val="22"/>
          <w:u w:val="single"/>
          <w:lang w:val="sr-Latn-RS"/>
        </w:rPr>
        <w:t>j</w:t>
      </w:r>
      <w:r w:rsidRPr="007261BD">
        <w:rPr>
          <w:szCs w:val="22"/>
          <w:u w:val="single"/>
          <w:lang w:val="sr-Latn-RS"/>
        </w:rPr>
        <w:t xml:space="preserve">ena rizika na životnu okolinu (engl. </w:t>
      </w:r>
      <w:r w:rsidRPr="007261BD">
        <w:rPr>
          <w:i/>
          <w:szCs w:val="22"/>
          <w:u w:val="single"/>
          <w:lang w:val="sr-Latn-RS"/>
        </w:rPr>
        <w:t>Environmental risk assessment – ERA</w:t>
      </w:r>
      <w:r w:rsidRPr="007261BD">
        <w:rPr>
          <w:szCs w:val="22"/>
          <w:u w:val="single"/>
          <w:lang w:val="sr-Latn-RS"/>
        </w:rPr>
        <w:t>)</w:t>
      </w:r>
    </w:p>
    <w:p w14:paraId="1B116D57" w14:textId="5DDF73E8" w:rsidR="00007EF9" w:rsidRPr="007261BD" w:rsidRDefault="00376D7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Aktivna supstanca, abirateron, pokazuje ekološki rizik po vodenu sredinu, naročito po ribu.</w:t>
      </w:r>
    </w:p>
    <w:p w14:paraId="4784B718" w14:textId="77777777" w:rsidR="00100486" w:rsidRPr="007261BD" w:rsidRDefault="00100486" w:rsidP="0088122E">
      <w:pPr>
        <w:pStyle w:val="NASLOV123"/>
        <w:spacing w:before="0" w:after="0"/>
        <w:rPr>
          <w:lang w:val="sr-Latn-RS"/>
        </w:rPr>
      </w:pPr>
    </w:p>
    <w:p w14:paraId="2C2D1B57" w14:textId="77777777" w:rsidR="00100486" w:rsidRPr="007261BD" w:rsidRDefault="00100486" w:rsidP="0088122E">
      <w:pPr>
        <w:pStyle w:val="NASLOV123"/>
        <w:spacing w:before="0" w:after="0"/>
        <w:rPr>
          <w:lang w:val="sr-Latn-RS"/>
        </w:rPr>
      </w:pPr>
    </w:p>
    <w:p w14:paraId="1B116D58" w14:textId="07C503BD" w:rsidR="00007EF9" w:rsidRPr="007261BD" w:rsidRDefault="00007EF9" w:rsidP="0088122E">
      <w:pPr>
        <w:pStyle w:val="NASLOV123"/>
        <w:spacing w:before="0" w:after="0"/>
        <w:rPr>
          <w:lang w:val="sr-Latn-RS"/>
        </w:rPr>
      </w:pPr>
      <w:r w:rsidRPr="007261BD">
        <w:rPr>
          <w:lang w:val="sr-Latn-RS"/>
        </w:rPr>
        <w:t>6. FARMACEUTSKI PODACI</w:t>
      </w:r>
    </w:p>
    <w:p w14:paraId="4870C279" w14:textId="77777777" w:rsidR="00100486" w:rsidRPr="007261BD" w:rsidRDefault="00100486" w:rsidP="00480E7D">
      <w:pPr>
        <w:rPr>
          <w:b/>
          <w:bCs/>
          <w:szCs w:val="22"/>
          <w:lang w:val="sr-Latn-RS"/>
        </w:rPr>
      </w:pPr>
    </w:p>
    <w:p w14:paraId="1B116D59" w14:textId="59A92156" w:rsidR="00007EF9" w:rsidRPr="007261BD" w:rsidRDefault="00007EF9" w:rsidP="00480E7D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6.1. Lista pomoćnih supstanci</w:t>
      </w:r>
      <w:r w:rsidR="00803C71" w:rsidRPr="007261BD">
        <w:rPr>
          <w:b/>
          <w:bCs/>
          <w:szCs w:val="22"/>
          <w:lang w:val="sr-Latn-RS"/>
        </w:rPr>
        <w:t xml:space="preserve"> (ekscipijenasa)</w:t>
      </w:r>
    </w:p>
    <w:p w14:paraId="18CBE3D9" w14:textId="77777777" w:rsidR="00BA2DE7" w:rsidRPr="007261BD" w:rsidRDefault="00BA2DE7" w:rsidP="00480E7D">
      <w:pPr>
        <w:rPr>
          <w:szCs w:val="22"/>
          <w:u w:val="single"/>
          <w:lang w:val="sr-Latn-RS"/>
        </w:rPr>
      </w:pPr>
    </w:p>
    <w:p w14:paraId="3429FAD2" w14:textId="3446C5FC" w:rsidR="004A2AEA" w:rsidRPr="007261BD" w:rsidRDefault="004A2AEA" w:rsidP="00480E7D">
      <w:pPr>
        <w:rPr>
          <w:bCs/>
          <w:i/>
          <w:iCs/>
          <w:szCs w:val="22"/>
          <w:lang w:val="sr-Latn-CS"/>
        </w:rPr>
      </w:pPr>
      <w:r w:rsidRPr="007261BD">
        <w:rPr>
          <w:bCs/>
          <w:i/>
          <w:iCs/>
          <w:szCs w:val="22"/>
          <w:lang w:val="sr-Latn-CS"/>
        </w:rPr>
        <w:t>Enagal</w:t>
      </w:r>
      <w:r w:rsidR="00100486" w:rsidRPr="007261BD">
        <w:rPr>
          <w:bCs/>
          <w:i/>
          <w:iCs/>
          <w:szCs w:val="22"/>
          <w:lang w:val="sr-Latn-CS"/>
        </w:rPr>
        <w:t>,</w:t>
      </w:r>
      <w:r w:rsidRPr="007261BD">
        <w:rPr>
          <w:bCs/>
          <w:i/>
          <w:iCs/>
          <w:szCs w:val="22"/>
          <w:lang w:val="sr-Latn-CS"/>
        </w:rPr>
        <w:t xml:space="preserve"> 250 mg</w:t>
      </w:r>
      <w:r w:rsidR="00100486" w:rsidRPr="007261BD">
        <w:rPr>
          <w:bCs/>
          <w:i/>
          <w:iCs/>
          <w:szCs w:val="22"/>
          <w:lang w:val="sr-Latn-CS"/>
        </w:rPr>
        <w:t>,</w:t>
      </w:r>
      <w:r w:rsidRPr="007261BD">
        <w:rPr>
          <w:bCs/>
          <w:i/>
          <w:iCs/>
          <w:szCs w:val="22"/>
          <w:lang w:val="sr-Latn-CS"/>
        </w:rPr>
        <w:t xml:space="preserve"> film tablet</w:t>
      </w:r>
      <w:r w:rsidR="00100486" w:rsidRPr="007261BD">
        <w:rPr>
          <w:bCs/>
          <w:i/>
          <w:iCs/>
          <w:szCs w:val="22"/>
          <w:lang w:val="sr-Latn-CS"/>
        </w:rPr>
        <w:t>a:</w:t>
      </w:r>
    </w:p>
    <w:p w14:paraId="12BAC3CC" w14:textId="77777777" w:rsidR="00100486" w:rsidRPr="007261BD" w:rsidRDefault="00100486" w:rsidP="00480E7D">
      <w:pPr>
        <w:rPr>
          <w:bCs/>
          <w:i/>
          <w:iCs/>
          <w:szCs w:val="22"/>
          <w:u w:val="single"/>
          <w:lang w:val="sr-Latn-CS"/>
        </w:rPr>
      </w:pPr>
    </w:p>
    <w:p w14:paraId="49880ACD" w14:textId="0936B497" w:rsidR="004A2AEA" w:rsidRPr="007261BD" w:rsidRDefault="004A2AEA" w:rsidP="00480E7D">
      <w:pPr>
        <w:rPr>
          <w:bCs/>
          <w:iCs/>
          <w:szCs w:val="22"/>
          <w:u w:val="single"/>
          <w:lang w:val="sr-Latn-CS"/>
        </w:rPr>
      </w:pPr>
      <w:r w:rsidRPr="007261BD">
        <w:rPr>
          <w:bCs/>
          <w:iCs/>
          <w:szCs w:val="22"/>
          <w:u w:val="single"/>
          <w:lang w:val="sr-Latn-CS"/>
        </w:rPr>
        <w:t>Jezgro tablete:</w:t>
      </w:r>
    </w:p>
    <w:p w14:paraId="03134360" w14:textId="2C5BE6CE" w:rsidR="004A2AEA" w:rsidRPr="007261BD" w:rsidRDefault="009024FE" w:rsidP="00480E7D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k</w:t>
      </w:r>
      <w:r w:rsidR="004A2AEA" w:rsidRPr="007261BD">
        <w:rPr>
          <w:bCs/>
          <w:iCs/>
          <w:szCs w:val="22"/>
          <w:lang w:val="sr-Latn-CS"/>
        </w:rPr>
        <w:t>roskarmeloza natrijum;</w:t>
      </w:r>
    </w:p>
    <w:p w14:paraId="150C78BE" w14:textId="3A9F56F0" w:rsidR="004A2AEA" w:rsidRPr="007261BD" w:rsidRDefault="004A2AEA" w:rsidP="008560D8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lastRenderedPageBreak/>
        <w:t>natrijum</w:t>
      </w:r>
      <w:r w:rsidR="009024FE" w:rsidRPr="007261BD">
        <w:rPr>
          <w:bCs/>
          <w:iCs/>
          <w:szCs w:val="22"/>
          <w:lang w:val="sr-Latn-CS"/>
        </w:rPr>
        <w:t xml:space="preserve"> </w:t>
      </w:r>
      <w:r w:rsidRPr="007261BD">
        <w:rPr>
          <w:bCs/>
          <w:iCs/>
          <w:szCs w:val="22"/>
          <w:lang w:val="sr-Latn-CS"/>
        </w:rPr>
        <w:t>laurilsulfat;</w:t>
      </w:r>
    </w:p>
    <w:p w14:paraId="1A80D3B7" w14:textId="77777777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povidon (K 30);</w:t>
      </w:r>
    </w:p>
    <w:p w14:paraId="5B46D0EC" w14:textId="77777777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celuloza, mikrokristalna (tip 102);</w:t>
      </w:r>
    </w:p>
    <w:p w14:paraId="46C9C57A" w14:textId="77777777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laktoza, monohidrat;</w:t>
      </w:r>
    </w:p>
    <w:p w14:paraId="45A9A7B2" w14:textId="0FB0027A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silicijum</w:t>
      </w:r>
      <w:r w:rsidR="009024FE" w:rsidRPr="007261BD">
        <w:rPr>
          <w:bCs/>
          <w:iCs/>
          <w:szCs w:val="22"/>
          <w:lang w:val="sr-Latn-CS"/>
        </w:rPr>
        <w:t xml:space="preserve"> </w:t>
      </w:r>
      <w:r w:rsidRPr="007261BD">
        <w:rPr>
          <w:bCs/>
          <w:iCs/>
          <w:szCs w:val="22"/>
          <w:lang w:val="sr-Latn-CS"/>
        </w:rPr>
        <w:t>dioksid, koloidni, bezvodni;</w:t>
      </w:r>
    </w:p>
    <w:p w14:paraId="1893315B" w14:textId="4DDEB5DA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magnezijum</w:t>
      </w:r>
      <w:r w:rsidR="009024FE" w:rsidRPr="007261BD">
        <w:rPr>
          <w:bCs/>
          <w:iCs/>
          <w:szCs w:val="22"/>
          <w:lang w:val="sr-Latn-CS"/>
        </w:rPr>
        <w:t xml:space="preserve"> </w:t>
      </w:r>
      <w:r w:rsidRPr="007261BD">
        <w:rPr>
          <w:bCs/>
          <w:iCs/>
          <w:szCs w:val="22"/>
          <w:lang w:val="sr-Latn-CS"/>
        </w:rPr>
        <w:t>stearat.</w:t>
      </w:r>
    </w:p>
    <w:p w14:paraId="61D933CB" w14:textId="77777777" w:rsidR="004A2AEA" w:rsidRPr="007261BD" w:rsidRDefault="004A2AEA">
      <w:pPr>
        <w:rPr>
          <w:bCs/>
          <w:iCs/>
          <w:szCs w:val="22"/>
          <w:lang w:val="sr-Latn-CS"/>
        </w:rPr>
      </w:pPr>
    </w:p>
    <w:p w14:paraId="64A4D460" w14:textId="63625700" w:rsidR="004A2AEA" w:rsidRPr="007261BD" w:rsidRDefault="004A2AEA">
      <w:pPr>
        <w:rPr>
          <w:bCs/>
          <w:i/>
          <w:iCs/>
          <w:szCs w:val="22"/>
          <w:u w:val="single"/>
          <w:lang w:val="sr-Latn-CS"/>
        </w:rPr>
      </w:pPr>
      <w:r w:rsidRPr="007261BD">
        <w:rPr>
          <w:bCs/>
          <w:iCs/>
          <w:szCs w:val="22"/>
          <w:u w:val="single"/>
          <w:lang w:val="sr-Latn-CS"/>
        </w:rPr>
        <w:t xml:space="preserve">Film </w:t>
      </w:r>
      <w:r w:rsidR="001804D1" w:rsidRPr="007261BD">
        <w:rPr>
          <w:bCs/>
          <w:iCs/>
          <w:szCs w:val="22"/>
          <w:u w:val="single"/>
          <w:lang w:val="sr-Latn-CS"/>
        </w:rPr>
        <w:t xml:space="preserve">obloga </w:t>
      </w:r>
      <w:r w:rsidRPr="007261BD">
        <w:rPr>
          <w:bCs/>
          <w:iCs/>
          <w:szCs w:val="22"/>
          <w:u w:val="single"/>
          <w:lang w:val="sr-Latn-CS"/>
        </w:rPr>
        <w:t>tablete</w:t>
      </w:r>
      <w:r w:rsidRPr="007261BD">
        <w:rPr>
          <w:bCs/>
          <w:i/>
          <w:iCs/>
          <w:szCs w:val="22"/>
          <w:u w:val="single"/>
          <w:lang w:val="sr-Latn-CS"/>
        </w:rPr>
        <w:t xml:space="preserve"> (Opadry II</w:t>
      </w:r>
      <w:r w:rsidRPr="007261BD">
        <w:rPr>
          <w:bCs/>
          <w:i/>
          <w:iCs/>
          <w:szCs w:val="22"/>
          <w:u w:val="single"/>
          <w:vertAlign w:val="superscript"/>
          <w:lang w:val="sr-Latn-CS"/>
        </w:rPr>
        <w:t>®</w:t>
      </w:r>
      <w:r w:rsidRPr="007261BD">
        <w:rPr>
          <w:bCs/>
          <w:i/>
          <w:iCs/>
          <w:szCs w:val="22"/>
          <w:u w:val="single"/>
          <w:lang w:val="sr-Latn-CS"/>
        </w:rPr>
        <w:t xml:space="preserve"> 85F18422 White):</w:t>
      </w:r>
    </w:p>
    <w:p w14:paraId="22745AB7" w14:textId="3A964A14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polivinil</w:t>
      </w:r>
      <w:r w:rsidR="001804D1" w:rsidRPr="007261BD">
        <w:rPr>
          <w:bCs/>
          <w:iCs/>
          <w:szCs w:val="22"/>
          <w:lang w:val="sr-Latn-CS"/>
        </w:rPr>
        <w:t xml:space="preserve"> </w:t>
      </w:r>
      <w:r w:rsidRPr="007261BD">
        <w:rPr>
          <w:bCs/>
          <w:iCs/>
          <w:szCs w:val="22"/>
          <w:lang w:val="sr-Latn-CS"/>
        </w:rPr>
        <w:t>alkohol;</w:t>
      </w:r>
    </w:p>
    <w:p w14:paraId="64C8F146" w14:textId="57CF8D8F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titan</w:t>
      </w:r>
      <w:r w:rsidR="009024FE" w:rsidRPr="007261BD">
        <w:rPr>
          <w:bCs/>
          <w:iCs/>
          <w:szCs w:val="22"/>
          <w:lang w:val="sr-Latn-CS"/>
        </w:rPr>
        <w:t xml:space="preserve"> </w:t>
      </w:r>
      <w:r w:rsidRPr="007261BD">
        <w:rPr>
          <w:bCs/>
          <w:iCs/>
          <w:szCs w:val="22"/>
          <w:lang w:val="sr-Latn-CS"/>
        </w:rPr>
        <w:t>dioksid (E171);</w:t>
      </w:r>
    </w:p>
    <w:p w14:paraId="0BDCFF9F" w14:textId="77777777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makrogol 3350;</w:t>
      </w:r>
    </w:p>
    <w:p w14:paraId="38472D89" w14:textId="0B52CC25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talk</w:t>
      </w:r>
      <w:r w:rsidR="00100486" w:rsidRPr="007261BD">
        <w:rPr>
          <w:bCs/>
          <w:iCs/>
          <w:szCs w:val="22"/>
          <w:lang w:val="sr-Latn-CS"/>
        </w:rPr>
        <w:t>.</w:t>
      </w:r>
    </w:p>
    <w:p w14:paraId="1DAAB225" w14:textId="77777777" w:rsidR="004A2AEA" w:rsidRPr="007261BD" w:rsidRDefault="004A2AEA">
      <w:pPr>
        <w:rPr>
          <w:bCs/>
          <w:i/>
          <w:iCs/>
          <w:szCs w:val="22"/>
          <w:lang w:val="sr-Latn-CS"/>
        </w:rPr>
      </w:pPr>
    </w:p>
    <w:p w14:paraId="0CC663F4" w14:textId="77777777" w:rsidR="00100486" w:rsidRPr="007261BD" w:rsidRDefault="004A2AEA">
      <w:pPr>
        <w:rPr>
          <w:bCs/>
          <w:i/>
          <w:iCs/>
          <w:szCs w:val="22"/>
          <w:lang w:val="sr-Latn-CS"/>
        </w:rPr>
      </w:pPr>
      <w:r w:rsidRPr="007261BD">
        <w:rPr>
          <w:bCs/>
          <w:i/>
          <w:iCs/>
          <w:szCs w:val="22"/>
          <w:lang w:val="sr-Latn-CS"/>
        </w:rPr>
        <w:t>Enagal</w:t>
      </w:r>
      <w:r w:rsidR="00100486" w:rsidRPr="007261BD">
        <w:rPr>
          <w:bCs/>
          <w:i/>
          <w:iCs/>
          <w:szCs w:val="22"/>
          <w:lang w:val="sr-Latn-CS"/>
        </w:rPr>
        <w:t>,</w:t>
      </w:r>
      <w:r w:rsidRPr="007261BD">
        <w:rPr>
          <w:bCs/>
          <w:i/>
          <w:iCs/>
          <w:szCs w:val="22"/>
          <w:lang w:val="sr-Latn-CS"/>
        </w:rPr>
        <w:t xml:space="preserve"> 500 mg, film tablet</w:t>
      </w:r>
      <w:r w:rsidR="00100486" w:rsidRPr="007261BD">
        <w:rPr>
          <w:bCs/>
          <w:i/>
          <w:iCs/>
          <w:szCs w:val="22"/>
          <w:lang w:val="sr-Latn-CS"/>
        </w:rPr>
        <w:t>a:</w:t>
      </w:r>
    </w:p>
    <w:p w14:paraId="3880F2F5" w14:textId="1A263462" w:rsidR="004A2AEA" w:rsidRPr="007261BD" w:rsidRDefault="004A2AEA">
      <w:pPr>
        <w:rPr>
          <w:bCs/>
          <w:i/>
          <w:iCs/>
          <w:szCs w:val="22"/>
          <w:lang w:val="sr-Latn-CS"/>
        </w:rPr>
      </w:pPr>
    </w:p>
    <w:p w14:paraId="45F57FB7" w14:textId="77777777" w:rsidR="004A2AEA" w:rsidRPr="007261BD" w:rsidRDefault="004A2AEA">
      <w:pPr>
        <w:rPr>
          <w:bCs/>
          <w:iCs/>
          <w:szCs w:val="22"/>
          <w:u w:val="single"/>
          <w:lang w:val="sr-Latn-CS"/>
        </w:rPr>
      </w:pPr>
      <w:r w:rsidRPr="007261BD">
        <w:rPr>
          <w:bCs/>
          <w:iCs/>
          <w:szCs w:val="22"/>
          <w:u w:val="single"/>
          <w:lang w:val="sr-Latn-CS"/>
        </w:rPr>
        <w:t>Jezgro tablete:</w:t>
      </w:r>
    </w:p>
    <w:p w14:paraId="763159BB" w14:textId="317AF3F4" w:rsidR="004A2AEA" w:rsidRPr="007261BD" w:rsidRDefault="009024FE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k</w:t>
      </w:r>
      <w:r w:rsidR="004A2AEA" w:rsidRPr="007261BD">
        <w:rPr>
          <w:bCs/>
          <w:iCs/>
          <w:szCs w:val="22"/>
          <w:lang w:val="sr-Latn-CS"/>
        </w:rPr>
        <w:t>roskarmeloza</w:t>
      </w:r>
      <w:r w:rsidRPr="007261BD">
        <w:rPr>
          <w:bCs/>
          <w:iCs/>
          <w:szCs w:val="22"/>
          <w:lang w:val="sr-Latn-CS"/>
        </w:rPr>
        <w:t xml:space="preserve"> </w:t>
      </w:r>
      <w:r w:rsidR="004A2AEA" w:rsidRPr="007261BD">
        <w:rPr>
          <w:bCs/>
          <w:iCs/>
          <w:szCs w:val="22"/>
          <w:lang w:val="sr-Latn-CS"/>
        </w:rPr>
        <w:t>natrijum;</w:t>
      </w:r>
    </w:p>
    <w:p w14:paraId="5E4C5B5C" w14:textId="3B3AAA53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natrijum</w:t>
      </w:r>
      <w:r w:rsidR="009024FE" w:rsidRPr="007261BD">
        <w:rPr>
          <w:bCs/>
          <w:iCs/>
          <w:szCs w:val="22"/>
          <w:lang w:val="sr-Latn-CS"/>
        </w:rPr>
        <w:t xml:space="preserve"> </w:t>
      </w:r>
      <w:r w:rsidRPr="007261BD">
        <w:rPr>
          <w:bCs/>
          <w:iCs/>
          <w:szCs w:val="22"/>
          <w:lang w:val="sr-Latn-CS"/>
        </w:rPr>
        <w:t>laurilsulfat;</w:t>
      </w:r>
    </w:p>
    <w:p w14:paraId="3259BF26" w14:textId="77777777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povidon (K 30);</w:t>
      </w:r>
    </w:p>
    <w:p w14:paraId="3806EFC5" w14:textId="77777777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celuloza, mikrokristalna (tip 102);</w:t>
      </w:r>
    </w:p>
    <w:p w14:paraId="7D291FAC" w14:textId="77777777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laktoza, monohidrat;</w:t>
      </w:r>
    </w:p>
    <w:p w14:paraId="2DB0F1C9" w14:textId="5B149D95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silicijum</w:t>
      </w:r>
      <w:r w:rsidR="009024FE" w:rsidRPr="007261BD">
        <w:rPr>
          <w:bCs/>
          <w:iCs/>
          <w:szCs w:val="22"/>
          <w:lang w:val="sr-Latn-CS"/>
        </w:rPr>
        <w:t xml:space="preserve"> </w:t>
      </w:r>
      <w:r w:rsidRPr="007261BD">
        <w:rPr>
          <w:bCs/>
          <w:iCs/>
          <w:szCs w:val="22"/>
          <w:lang w:val="sr-Latn-CS"/>
        </w:rPr>
        <w:t>dioksid, koloidni, bezvodni;</w:t>
      </w:r>
    </w:p>
    <w:p w14:paraId="78387FDC" w14:textId="0EDF0CD6" w:rsidR="004A2AEA" w:rsidRPr="007261BD" w:rsidRDefault="004A2AEA">
      <w:pPr>
        <w:rPr>
          <w:bCs/>
          <w:i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magnezijum</w:t>
      </w:r>
      <w:r w:rsidR="009024FE" w:rsidRPr="007261BD">
        <w:rPr>
          <w:bCs/>
          <w:iCs/>
          <w:szCs w:val="22"/>
          <w:lang w:val="sr-Latn-CS"/>
        </w:rPr>
        <w:t xml:space="preserve"> </w:t>
      </w:r>
      <w:r w:rsidRPr="007261BD">
        <w:rPr>
          <w:bCs/>
          <w:iCs/>
          <w:szCs w:val="22"/>
          <w:lang w:val="sr-Latn-CS"/>
        </w:rPr>
        <w:t>stearat.</w:t>
      </w:r>
    </w:p>
    <w:p w14:paraId="2A8E24F1" w14:textId="77777777" w:rsidR="004A2AEA" w:rsidRPr="007261BD" w:rsidRDefault="004A2AEA">
      <w:pPr>
        <w:rPr>
          <w:bCs/>
          <w:i/>
          <w:iCs/>
          <w:szCs w:val="22"/>
          <w:lang w:val="sr-Latn-CS"/>
        </w:rPr>
      </w:pPr>
    </w:p>
    <w:p w14:paraId="2A2BFB82" w14:textId="61A0DEC8" w:rsidR="004A2AEA" w:rsidRPr="007261BD" w:rsidRDefault="004A2AEA">
      <w:pPr>
        <w:rPr>
          <w:bCs/>
          <w:i/>
          <w:iCs/>
          <w:szCs w:val="22"/>
          <w:u w:val="single"/>
          <w:lang w:val="sr-Latn-CS"/>
        </w:rPr>
      </w:pPr>
      <w:r w:rsidRPr="007261BD">
        <w:rPr>
          <w:bCs/>
          <w:iCs/>
          <w:szCs w:val="22"/>
          <w:u w:val="single"/>
          <w:lang w:val="sr-Latn-CS"/>
        </w:rPr>
        <w:t>Film</w:t>
      </w:r>
      <w:r w:rsidR="001804D1" w:rsidRPr="007261BD">
        <w:rPr>
          <w:bCs/>
          <w:iCs/>
          <w:szCs w:val="22"/>
          <w:u w:val="single"/>
          <w:lang w:val="sr-Latn-CS"/>
        </w:rPr>
        <w:t xml:space="preserve"> obloga</w:t>
      </w:r>
      <w:r w:rsidRPr="007261BD">
        <w:rPr>
          <w:bCs/>
          <w:iCs/>
          <w:szCs w:val="22"/>
          <w:u w:val="single"/>
          <w:lang w:val="sr-Latn-CS"/>
        </w:rPr>
        <w:t xml:space="preserve"> tablete</w:t>
      </w:r>
      <w:r w:rsidRPr="007261BD">
        <w:rPr>
          <w:bCs/>
          <w:i/>
          <w:iCs/>
          <w:szCs w:val="22"/>
          <w:u w:val="single"/>
          <w:lang w:val="sr-Latn-CS"/>
        </w:rPr>
        <w:t xml:space="preserve"> (Opadry II</w:t>
      </w:r>
      <w:r w:rsidRPr="007261BD">
        <w:rPr>
          <w:bCs/>
          <w:i/>
          <w:iCs/>
          <w:szCs w:val="22"/>
          <w:u w:val="single"/>
          <w:vertAlign w:val="superscript"/>
          <w:lang w:val="sr-Latn-CS"/>
        </w:rPr>
        <w:t>®</w:t>
      </w:r>
      <w:r w:rsidRPr="007261BD">
        <w:rPr>
          <w:bCs/>
          <w:i/>
          <w:iCs/>
          <w:szCs w:val="22"/>
          <w:u w:val="single"/>
          <w:lang w:val="sr-Latn-CS"/>
        </w:rPr>
        <w:t xml:space="preserve"> 85F200051 Purple):</w:t>
      </w:r>
    </w:p>
    <w:p w14:paraId="745C686A" w14:textId="3CB4515F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polivinil</w:t>
      </w:r>
      <w:r w:rsidR="001804D1" w:rsidRPr="007261BD">
        <w:rPr>
          <w:bCs/>
          <w:iCs/>
          <w:szCs w:val="22"/>
          <w:lang w:val="sr-Latn-CS"/>
        </w:rPr>
        <w:t xml:space="preserve"> </w:t>
      </w:r>
      <w:r w:rsidRPr="007261BD">
        <w:rPr>
          <w:bCs/>
          <w:iCs/>
          <w:szCs w:val="22"/>
          <w:lang w:val="sr-Latn-CS"/>
        </w:rPr>
        <w:t>alkohol;</w:t>
      </w:r>
    </w:p>
    <w:p w14:paraId="181EA192" w14:textId="6DFD62B8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titan</w:t>
      </w:r>
      <w:r w:rsidR="009024FE" w:rsidRPr="007261BD">
        <w:rPr>
          <w:bCs/>
          <w:iCs/>
          <w:szCs w:val="22"/>
          <w:lang w:val="sr-Latn-CS"/>
        </w:rPr>
        <w:t xml:space="preserve"> </w:t>
      </w:r>
      <w:r w:rsidRPr="007261BD">
        <w:rPr>
          <w:bCs/>
          <w:iCs/>
          <w:szCs w:val="22"/>
          <w:lang w:val="sr-Latn-CS"/>
        </w:rPr>
        <w:t>dioksid (E171);</w:t>
      </w:r>
    </w:p>
    <w:p w14:paraId="6A2929A4" w14:textId="77777777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makrogol 3350;</w:t>
      </w:r>
    </w:p>
    <w:p w14:paraId="482F5CFB" w14:textId="77777777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talk;</w:t>
      </w:r>
    </w:p>
    <w:p w14:paraId="5C0EF24E" w14:textId="06C51B52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gvožđe</w:t>
      </w:r>
      <w:r w:rsidR="009024FE" w:rsidRPr="007261BD">
        <w:rPr>
          <w:bCs/>
          <w:iCs/>
          <w:szCs w:val="22"/>
          <w:lang w:val="sr-Latn-CS"/>
        </w:rPr>
        <w:t xml:space="preserve"> </w:t>
      </w:r>
      <w:r w:rsidRPr="007261BD">
        <w:rPr>
          <w:bCs/>
          <w:iCs/>
          <w:szCs w:val="22"/>
          <w:lang w:val="sr-Latn-CS"/>
        </w:rPr>
        <w:t>oksid, crveni (E172);</w:t>
      </w:r>
    </w:p>
    <w:p w14:paraId="44729478" w14:textId="24D72DF4" w:rsidR="004A2AEA" w:rsidRPr="007261BD" w:rsidRDefault="004A2AEA">
      <w:pPr>
        <w:rPr>
          <w:bCs/>
          <w:iCs/>
          <w:szCs w:val="22"/>
          <w:lang w:val="sr-Latn-CS"/>
        </w:rPr>
      </w:pPr>
      <w:r w:rsidRPr="007261BD">
        <w:rPr>
          <w:bCs/>
          <w:iCs/>
          <w:szCs w:val="22"/>
          <w:lang w:val="sr-Latn-CS"/>
        </w:rPr>
        <w:t>gvožđe</w:t>
      </w:r>
      <w:r w:rsidR="009024FE" w:rsidRPr="007261BD">
        <w:rPr>
          <w:bCs/>
          <w:iCs/>
          <w:szCs w:val="22"/>
          <w:lang w:val="sr-Latn-CS"/>
        </w:rPr>
        <w:t xml:space="preserve"> </w:t>
      </w:r>
      <w:r w:rsidRPr="007261BD">
        <w:rPr>
          <w:bCs/>
          <w:iCs/>
          <w:szCs w:val="22"/>
          <w:lang w:val="sr-Latn-CS"/>
        </w:rPr>
        <w:t>oksid, crni (E172).</w:t>
      </w:r>
    </w:p>
    <w:p w14:paraId="1B116D5B" w14:textId="77777777" w:rsidR="00007EF9" w:rsidRPr="007261BD" w:rsidRDefault="00007EF9">
      <w:pPr>
        <w:rPr>
          <w:szCs w:val="22"/>
          <w:lang w:val="sr-Latn-RS"/>
        </w:rPr>
      </w:pPr>
    </w:p>
    <w:p w14:paraId="1B116D5C" w14:textId="0D75A72A" w:rsidR="00007EF9" w:rsidRPr="007261BD" w:rsidRDefault="00007EF9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6.2. Inkompatibilnost</w:t>
      </w:r>
      <w:r w:rsidR="006D1947" w:rsidRPr="007261BD">
        <w:rPr>
          <w:b/>
          <w:bCs/>
          <w:szCs w:val="22"/>
          <w:lang w:val="sr-Latn-RS"/>
        </w:rPr>
        <w:t>i</w:t>
      </w:r>
    </w:p>
    <w:p w14:paraId="759AAF6D" w14:textId="77777777" w:rsidR="009E6BEC" w:rsidRPr="007261BD" w:rsidRDefault="009E6BEC">
      <w:pPr>
        <w:rPr>
          <w:b/>
          <w:bCs/>
          <w:szCs w:val="22"/>
          <w:lang w:val="sr-Latn-RS"/>
        </w:rPr>
      </w:pPr>
    </w:p>
    <w:p w14:paraId="1B116D5D" w14:textId="3D9BA029" w:rsidR="00007EF9" w:rsidRPr="007261BD" w:rsidRDefault="00BA2DE7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Nije prim</w:t>
      </w:r>
      <w:r w:rsidR="006D1947" w:rsidRPr="007261BD">
        <w:rPr>
          <w:szCs w:val="22"/>
          <w:lang w:val="sr-Latn-RS"/>
        </w:rPr>
        <w:t>j</w:t>
      </w:r>
      <w:r w:rsidRPr="007261BD">
        <w:rPr>
          <w:szCs w:val="22"/>
          <w:lang w:val="sr-Latn-RS"/>
        </w:rPr>
        <w:t>enljivo.</w:t>
      </w:r>
    </w:p>
    <w:p w14:paraId="1B116D5E" w14:textId="77777777" w:rsidR="00007EF9" w:rsidRPr="007261BD" w:rsidRDefault="00007EF9">
      <w:pPr>
        <w:rPr>
          <w:szCs w:val="22"/>
          <w:lang w:val="sr-Latn-RS"/>
        </w:rPr>
      </w:pPr>
    </w:p>
    <w:p w14:paraId="1B116D5F" w14:textId="4A48D924" w:rsidR="00007EF9" w:rsidRPr="007261BD" w:rsidRDefault="00007EF9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6.3. Rok upotrebe</w:t>
      </w:r>
    </w:p>
    <w:p w14:paraId="67BF0D52" w14:textId="77777777" w:rsidR="009E6BEC" w:rsidRPr="007261BD" w:rsidRDefault="009E6BEC">
      <w:pPr>
        <w:rPr>
          <w:b/>
          <w:bCs/>
          <w:szCs w:val="22"/>
          <w:lang w:val="sr-Latn-RS"/>
        </w:rPr>
      </w:pPr>
    </w:p>
    <w:p w14:paraId="1B116D60" w14:textId="1535B21D" w:rsidR="00007EF9" w:rsidRPr="007261BD" w:rsidRDefault="00292662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3</w:t>
      </w:r>
      <w:r w:rsidR="00BA2DE7" w:rsidRPr="007261BD">
        <w:rPr>
          <w:szCs w:val="22"/>
          <w:lang w:val="sr-Latn-RS"/>
        </w:rPr>
        <w:t xml:space="preserve"> godine.</w:t>
      </w:r>
    </w:p>
    <w:p w14:paraId="1B116D61" w14:textId="77777777" w:rsidR="00007EF9" w:rsidRPr="007261BD" w:rsidRDefault="00007EF9">
      <w:pPr>
        <w:rPr>
          <w:szCs w:val="22"/>
          <w:lang w:val="sr-Latn-RS"/>
        </w:rPr>
      </w:pPr>
    </w:p>
    <w:p w14:paraId="1B116D62" w14:textId="0717C7F1" w:rsidR="00007EF9" w:rsidRPr="007261BD" w:rsidRDefault="00007EF9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>6.4. Posebne m</w:t>
      </w:r>
      <w:r w:rsidR="006D1947" w:rsidRPr="007261BD">
        <w:rPr>
          <w:b/>
          <w:bCs/>
          <w:szCs w:val="22"/>
          <w:lang w:val="sr-Latn-RS"/>
        </w:rPr>
        <w:t>j</w:t>
      </w:r>
      <w:r w:rsidRPr="007261BD">
        <w:rPr>
          <w:b/>
          <w:bCs/>
          <w:szCs w:val="22"/>
          <w:lang w:val="sr-Latn-RS"/>
        </w:rPr>
        <w:t>ere opreza pri čuvanju</w:t>
      </w:r>
      <w:r w:rsidR="00803C71" w:rsidRPr="007261BD">
        <w:rPr>
          <w:b/>
          <w:bCs/>
          <w:szCs w:val="22"/>
          <w:lang w:val="sr-Latn-RS"/>
        </w:rPr>
        <w:t xml:space="preserve"> lijeka</w:t>
      </w:r>
    </w:p>
    <w:p w14:paraId="1B116D63" w14:textId="77777777" w:rsidR="00007EF9" w:rsidRPr="007261BD" w:rsidRDefault="00007EF9">
      <w:pPr>
        <w:rPr>
          <w:szCs w:val="22"/>
          <w:lang w:val="sr-Latn-RS"/>
        </w:rPr>
      </w:pPr>
    </w:p>
    <w:p w14:paraId="1B116D64" w14:textId="624F10E2" w:rsidR="00007EF9" w:rsidRPr="007261BD" w:rsidRDefault="00BA2DE7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Ovaj l</w:t>
      </w:r>
      <w:r w:rsidR="006D194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ek ne zaht</w:t>
      </w:r>
      <w:r w:rsidR="006D1947" w:rsidRPr="007261BD">
        <w:rPr>
          <w:szCs w:val="22"/>
          <w:lang w:val="sr-Latn-RS"/>
        </w:rPr>
        <w:t>ij</w:t>
      </w:r>
      <w:r w:rsidRPr="007261BD">
        <w:rPr>
          <w:szCs w:val="22"/>
          <w:lang w:val="sr-Latn-RS"/>
        </w:rPr>
        <w:t>eva posebne uslove čuvanja.</w:t>
      </w:r>
    </w:p>
    <w:p w14:paraId="533BCFDA" w14:textId="77777777" w:rsidR="00BA2DE7" w:rsidRPr="007261BD" w:rsidRDefault="00BA2DE7">
      <w:pPr>
        <w:rPr>
          <w:szCs w:val="22"/>
          <w:lang w:val="sr-Latn-RS"/>
        </w:rPr>
      </w:pPr>
    </w:p>
    <w:p w14:paraId="1B116D65" w14:textId="43AA9E3F" w:rsidR="00007EF9" w:rsidRPr="007261BD" w:rsidRDefault="00007EF9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t xml:space="preserve">6.5. </w:t>
      </w:r>
      <w:r w:rsidR="00292662" w:rsidRPr="007261BD">
        <w:rPr>
          <w:b/>
          <w:bCs/>
          <w:szCs w:val="22"/>
          <w:lang w:val="sr-Latn-RS"/>
        </w:rPr>
        <w:t>Vrsta</w:t>
      </w:r>
      <w:r w:rsidRPr="007261BD">
        <w:rPr>
          <w:b/>
          <w:bCs/>
          <w:szCs w:val="22"/>
          <w:lang w:val="sr-Latn-RS"/>
        </w:rPr>
        <w:t xml:space="preserve"> i sadržaj pakovanja </w:t>
      </w:r>
    </w:p>
    <w:p w14:paraId="1B116D66" w14:textId="38A1B710" w:rsidR="00007EF9" w:rsidRPr="007261BD" w:rsidRDefault="00007EF9">
      <w:pPr>
        <w:rPr>
          <w:szCs w:val="22"/>
          <w:lang w:val="sr-Latn-RS"/>
        </w:rPr>
      </w:pPr>
    </w:p>
    <w:p w14:paraId="0FA696F8" w14:textId="6512C558" w:rsidR="00BA2DE7" w:rsidRPr="007261BD" w:rsidRDefault="00BA2DE7">
      <w:pPr>
        <w:rPr>
          <w:i/>
          <w:iCs/>
          <w:szCs w:val="22"/>
        </w:rPr>
      </w:pPr>
      <w:r w:rsidRPr="007261BD">
        <w:rPr>
          <w:bCs/>
          <w:i/>
          <w:iCs/>
          <w:szCs w:val="22"/>
          <w:lang w:val="sr-Latn-CS"/>
        </w:rPr>
        <w:t>Enagal</w:t>
      </w:r>
      <w:r w:rsidR="00100486" w:rsidRPr="007261BD">
        <w:rPr>
          <w:bCs/>
          <w:i/>
          <w:iCs/>
          <w:szCs w:val="22"/>
          <w:lang w:val="sr-Latn-CS"/>
        </w:rPr>
        <w:t>,</w:t>
      </w:r>
      <w:r w:rsidR="009024FE" w:rsidRPr="007261BD">
        <w:rPr>
          <w:bCs/>
          <w:i/>
          <w:iCs/>
          <w:szCs w:val="22"/>
          <w:vertAlign w:val="superscript"/>
          <w:lang w:val="sr-Latn-CS"/>
        </w:rPr>
        <w:t xml:space="preserve"> </w:t>
      </w:r>
      <w:r w:rsidRPr="007261BD">
        <w:rPr>
          <w:bCs/>
          <w:i/>
          <w:iCs/>
          <w:szCs w:val="22"/>
          <w:vertAlign w:val="superscript"/>
          <w:lang w:val="sr-Latn-CS"/>
        </w:rPr>
        <w:t xml:space="preserve"> </w:t>
      </w:r>
      <w:r w:rsidRPr="007261BD">
        <w:rPr>
          <w:bCs/>
          <w:i/>
          <w:iCs/>
          <w:szCs w:val="22"/>
          <w:lang w:val="sr-Latn-CS"/>
        </w:rPr>
        <w:t>250 mg, film tableta:</w:t>
      </w:r>
    </w:p>
    <w:p w14:paraId="16B6DDC3" w14:textId="0F6A8A96" w:rsidR="00BA2DE7" w:rsidRPr="007261BD" w:rsidRDefault="00BA2DE7">
      <w:pPr>
        <w:rPr>
          <w:szCs w:val="22"/>
        </w:rPr>
      </w:pPr>
      <w:bookmarkStart w:id="2" w:name="_Hlk82675222"/>
      <w:r w:rsidRPr="007261BD">
        <w:rPr>
          <w:szCs w:val="22"/>
          <w:lang w:val="sr-Latn-RS"/>
        </w:rPr>
        <w:t>Unutrašnje pakovanje je aluminijum-OPA/Alu/PVC blister</w:t>
      </w:r>
      <w:r w:rsidR="00982F53" w:rsidRPr="007261BD">
        <w:rPr>
          <w:szCs w:val="22"/>
          <w:lang w:val="sr-Latn-RS"/>
        </w:rPr>
        <w:t xml:space="preserve"> ili </w:t>
      </w:r>
      <w:r w:rsidR="00982F53" w:rsidRPr="007261BD">
        <w:rPr>
          <w:szCs w:val="22"/>
        </w:rPr>
        <w:t>aluminijum-PVC/PE/PVDC blister,</w:t>
      </w:r>
      <w:r w:rsidRPr="007261BD">
        <w:rPr>
          <w:szCs w:val="22"/>
          <w:lang w:val="sr-Latn-RS"/>
        </w:rPr>
        <w:t xml:space="preserve"> </w:t>
      </w:r>
      <w:r w:rsidRPr="007261BD">
        <w:rPr>
          <w:szCs w:val="22"/>
        </w:rPr>
        <w:t>sa 10 film tableta.</w:t>
      </w:r>
    </w:p>
    <w:bookmarkEnd w:id="2"/>
    <w:p w14:paraId="00663A1D" w14:textId="26B58497" w:rsidR="00BA2DE7" w:rsidRPr="007261BD" w:rsidRDefault="00BA2DE7">
      <w:pPr>
        <w:rPr>
          <w:szCs w:val="22"/>
        </w:rPr>
      </w:pPr>
      <w:r w:rsidRPr="007261BD">
        <w:rPr>
          <w:szCs w:val="22"/>
        </w:rPr>
        <w:t>Spoljnje pakovanje je složiva kartonska kutija koja sadrži 12 blistera (ukupno 120 tableta) i Uputstvo za l</w:t>
      </w:r>
      <w:r w:rsidR="006D1947" w:rsidRPr="007261BD">
        <w:rPr>
          <w:szCs w:val="22"/>
        </w:rPr>
        <w:t>ij</w:t>
      </w:r>
      <w:r w:rsidRPr="007261BD">
        <w:rPr>
          <w:szCs w:val="22"/>
        </w:rPr>
        <w:t>ek.</w:t>
      </w:r>
    </w:p>
    <w:p w14:paraId="6CD02DD1" w14:textId="77777777" w:rsidR="00BA2DE7" w:rsidRPr="007261BD" w:rsidRDefault="00BA2DE7">
      <w:pPr>
        <w:rPr>
          <w:szCs w:val="22"/>
        </w:rPr>
      </w:pPr>
    </w:p>
    <w:p w14:paraId="097AAF7B" w14:textId="66D5DF22" w:rsidR="00BA2DE7" w:rsidRPr="007261BD" w:rsidRDefault="00BA2DE7">
      <w:pPr>
        <w:rPr>
          <w:i/>
          <w:iCs/>
          <w:szCs w:val="22"/>
        </w:rPr>
      </w:pPr>
      <w:r w:rsidRPr="007261BD">
        <w:rPr>
          <w:bCs/>
          <w:i/>
          <w:iCs/>
          <w:szCs w:val="22"/>
          <w:lang w:val="sr-Latn-CS"/>
        </w:rPr>
        <w:t>Enagal</w:t>
      </w:r>
      <w:r w:rsidR="00100486" w:rsidRPr="007261BD">
        <w:rPr>
          <w:bCs/>
          <w:i/>
          <w:iCs/>
          <w:szCs w:val="22"/>
          <w:lang w:val="sr-Latn-CS"/>
        </w:rPr>
        <w:t>,</w:t>
      </w:r>
      <w:r w:rsidR="009024FE" w:rsidRPr="007261BD">
        <w:rPr>
          <w:bCs/>
          <w:i/>
          <w:iCs/>
          <w:szCs w:val="22"/>
          <w:vertAlign w:val="superscript"/>
          <w:lang w:val="sr-Latn-CS"/>
        </w:rPr>
        <w:t xml:space="preserve"> </w:t>
      </w:r>
      <w:r w:rsidRPr="007261BD">
        <w:rPr>
          <w:bCs/>
          <w:i/>
          <w:iCs/>
          <w:szCs w:val="22"/>
          <w:vertAlign w:val="superscript"/>
          <w:lang w:val="sr-Latn-CS"/>
        </w:rPr>
        <w:t xml:space="preserve"> </w:t>
      </w:r>
      <w:r w:rsidRPr="007261BD">
        <w:rPr>
          <w:bCs/>
          <w:i/>
          <w:iCs/>
          <w:szCs w:val="22"/>
          <w:lang w:val="sr-Latn-CS"/>
        </w:rPr>
        <w:t>500 mg, film tableta:</w:t>
      </w:r>
    </w:p>
    <w:p w14:paraId="283A0B7C" w14:textId="7E4E993E" w:rsidR="00BA2DE7" w:rsidRPr="007261BD" w:rsidRDefault="00BA2DE7">
      <w:pPr>
        <w:rPr>
          <w:szCs w:val="22"/>
        </w:rPr>
      </w:pPr>
      <w:r w:rsidRPr="007261BD">
        <w:rPr>
          <w:szCs w:val="22"/>
          <w:lang w:val="sr-Latn-RS"/>
        </w:rPr>
        <w:t xml:space="preserve">Unutrašnje pakovanje je </w:t>
      </w:r>
      <w:r w:rsidR="00982F53" w:rsidRPr="007261BD">
        <w:rPr>
          <w:szCs w:val="22"/>
          <w:lang w:val="sr-Latn-RS"/>
        </w:rPr>
        <w:t xml:space="preserve">aluminijum-OPA/Alu/PVC blister ili </w:t>
      </w:r>
      <w:r w:rsidR="00982F53" w:rsidRPr="007261BD">
        <w:rPr>
          <w:szCs w:val="22"/>
        </w:rPr>
        <w:t xml:space="preserve">aluminijum-PVC/PE/PVDC blister </w:t>
      </w:r>
      <w:r w:rsidRPr="007261BD">
        <w:rPr>
          <w:szCs w:val="22"/>
        </w:rPr>
        <w:t>sa 10 film tableta.</w:t>
      </w:r>
    </w:p>
    <w:p w14:paraId="55D75BE7" w14:textId="0F211B25" w:rsidR="00BA2DE7" w:rsidRPr="007261BD" w:rsidRDefault="00BA2DE7">
      <w:pPr>
        <w:rPr>
          <w:szCs w:val="22"/>
        </w:rPr>
      </w:pPr>
      <w:r w:rsidRPr="007261BD">
        <w:rPr>
          <w:szCs w:val="22"/>
        </w:rPr>
        <w:t>Spoljnje pakovanje je složiva kartonska kutija koja sadrži 6 blistera (ukupno 60 tableta) i Uputstvo za l</w:t>
      </w:r>
      <w:r w:rsidR="006D1947" w:rsidRPr="007261BD">
        <w:rPr>
          <w:szCs w:val="22"/>
        </w:rPr>
        <w:t>ij</w:t>
      </w:r>
      <w:r w:rsidRPr="007261BD">
        <w:rPr>
          <w:szCs w:val="22"/>
        </w:rPr>
        <w:t>ek.</w:t>
      </w:r>
    </w:p>
    <w:p w14:paraId="2EF8A4A0" w14:textId="77777777" w:rsidR="00BA2DE7" w:rsidRPr="007261BD" w:rsidRDefault="00BA2DE7">
      <w:pPr>
        <w:rPr>
          <w:szCs w:val="22"/>
          <w:lang w:val="sr-Latn-RS"/>
        </w:rPr>
      </w:pPr>
    </w:p>
    <w:p w14:paraId="1B116D67" w14:textId="1C1DEE4C" w:rsidR="00007EF9" w:rsidRPr="007261BD" w:rsidRDefault="00007EF9">
      <w:pPr>
        <w:rPr>
          <w:b/>
          <w:bCs/>
          <w:szCs w:val="22"/>
          <w:lang w:val="sr-Latn-RS"/>
        </w:rPr>
      </w:pPr>
      <w:r w:rsidRPr="007261BD">
        <w:rPr>
          <w:b/>
          <w:bCs/>
          <w:szCs w:val="22"/>
          <w:lang w:val="sr-Latn-RS"/>
        </w:rPr>
        <w:lastRenderedPageBreak/>
        <w:t>6.6. Posebne m</w:t>
      </w:r>
      <w:r w:rsidR="006D1947" w:rsidRPr="007261BD">
        <w:rPr>
          <w:b/>
          <w:bCs/>
          <w:szCs w:val="22"/>
          <w:lang w:val="sr-Latn-RS"/>
        </w:rPr>
        <w:t>j</w:t>
      </w:r>
      <w:r w:rsidRPr="007261BD">
        <w:rPr>
          <w:b/>
          <w:bCs/>
          <w:szCs w:val="22"/>
          <w:lang w:val="sr-Latn-RS"/>
        </w:rPr>
        <w:t>ere opreza pri odlaganju materijala koji treba odbaciti nakon prim</w:t>
      </w:r>
      <w:r w:rsidR="006D1947" w:rsidRPr="007261BD">
        <w:rPr>
          <w:b/>
          <w:bCs/>
          <w:szCs w:val="22"/>
          <w:lang w:val="sr-Latn-RS"/>
        </w:rPr>
        <w:t>j</w:t>
      </w:r>
      <w:r w:rsidRPr="007261BD">
        <w:rPr>
          <w:b/>
          <w:bCs/>
          <w:szCs w:val="22"/>
          <w:lang w:val="sr-Latn-RS"/>
        </w:rPr>
        <w:t>ene l</w:t>
      </w:r>
      <w:r w:rsidR="006D1947" w:rsidRPr="007261BD">
        <w:rPr>
          <w:b/>
          <w:bCs/>
          <w:szCs w:val="22"/>
          <w:lang w:val="sr-Latn-RS"/>
        </w:rPr>
        <w:t>ij</w:t>
      </w:r>
      <w:r w:rsidRPr="007261BD">
        <w:rPr>
          <w:b/>
          <w:bCs/>
          <w:szCs w:val="22"/>
          <w:lang w:val="sr-Latn-RS"/>
        </w:rPr>
        <w:t>eka (i druga uputstva za rukovanje l</w:t>
      </w:r>
      <w:r w:rsidR="006D1947" w:rsidRPr="007261BD">
        <w:rPr>
          <w:b/>
          <w:bCs/>
          <w:szCs w:val="22"/>
          <w:lang w:val="sr-Latn-RS"/>
        </w:rPr>
        <w:t>ij</w:t>
      </w:r>
      <w:r w:rsidRPr="007261BD">
        <w:rPr>
          <w:b/>
          <w:bCs/>
          <w:szCs w:val="22"/>
          <w:lang w:val="sr-Latn-RS"/>
        </w:rPr>
        <w:t>ekom)</w:t>
      </w:r>
    </w:p>
    <w:p w14:paraId="1B116D68" w14:textId="77777777" w:rsidR="00007EF9" w:rsidRPr="007261BD" w:rsidRDefault="00007EF9">
      <w:pPr>
        <w:rPr>
          <w:szCs w:val="22"/>
          <w:lang w:val="sr-Latn-RS"/>
        </w:rPr>
      </w:pPr>
    </w:p>
    <w:p w14:paraId="51D0A676" w14:textId="470E1888" w:rsidR="00EF09AD" w:rsidRPr="007261BD" w:rsidRDefault="00EF09AD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</w:rPr>
      </w:pPr>
      <w:r w:rsidRPr="007261BD">
        <w:rPr>
          <w:szCs w:val="22"/>
        </w:rPr>
        <w:t>Svu neiskorišćenu količinu l</w:t>
      </w:r>
      <w:r w:rsidR="006D1947" w:rsidRPr="007261BD">
        <w:rPr>
          <w:szCs w:val="22"/>
        </w:rPr>
        <w:t>ij</w:t>
      </w:r>
      <w:r w:rsidRPr="007261BD">
        <w:rPr>
          <w:szCs w:val="22"/>
        </w:rPr>
        <w:t xml:space="preserve">eka </w:t>
      </w:r>
      <w:proofErr w:type="gramStart"/>
      <w:r w:rsidRPr="007261BD">
        <w:rPr>
          <w:szCs w:val="22"/>
        </w:rPr>
        <w:t>ili</w:t>
      </w:r>
      <w:proofErr w:type="gramEnd"/>
      <w:r w:rsidRPr="007261BD">
        <w:rPr>
          <w:szCs w:val="22"/>
        </w:rPr>
        <w:t xml:space="preserve"> otpadnog materijala nakon njegove upotrebe treba ukloniti, u</w:t>
      </w:r>
      <w:r w:rsidR="00185A18" w:rsidRPr="007261BD">
        <w:rPr>
          <w:szCs w:val="22"/>
        </w:rPr>
        <w:t xml:space="preserve"> </w:t>
      </w:r>
      <w:r w:rsidRPr="007261BD">
        <w:rPr>
          <w:szCs w:val="22"/>
        </w:rPr>
        <w:t>skladu sa važećim propisima.</w:t>
      </w:r>
    </w:p>
    <w:p w14:paraId="02F60480" w14:textId="77777777" w:rsidR="009024FE" w:rsidRPr="007261BD" w:rsidRDefault="009024FE">
      <w:pPr>
        <w:rPr>
          <w:szCs w:val="22"/>
        </w:rPr>
      </w:pPr>
    </w:p>
    <w:p w14:paraId="1B116D69" w14:textId="4270F865" w:rsidR="00007EF9" w:rsidRPr="007261BD" w:rsidRDefault="00EF09AD">
      <w:pPr>
        <w:rPr>
          <w:szCs w:val="22"/>
        </w:rPr>
      </w:pPr>
      <w:r w:rsidRPr="007261BD">
        <w:rPr>
          <w:szCs w:val="22"/>
        </w:rPr>
        <w:t>Ovaj l</w:t>
      </w:r>
      <w:r w:rsidR="006D1947" w:rsidRPr="007261BD">
        <w:rPr>
          <w:szCs w:val="22"/>
        </w:rPr>
        <w:t>ij</w:t>
      </w:r>
      <w:r w:rsidRPr="007261BD">
        <w:rPr>
          <w:szCs w:val="22"/>
        </w:rPr>
        <w:t>ek može predstavljati rizik po vodenu sredinu (vid</w:t>
      </w:r>
      <w:r w:rsidR="006D1947" w:rsidRPr="007261BD">
        <w:rPr>
          <w:szCs w:val="22"/>
        </w:rPr>
        <w:t>j</w:t>
      </w:r>
      <w:r w:rsidRPr="007261BD">
        <w:rPr>
          <w:szCs w:val="22"/>
        </w:rPr>
        <w:t xml:space="preserve">eti </w:t>
      </w:r>
      <w:r w:rsidR="006D1947" w:rsidRPr="007261BD">
        <w:rPr>
          <w:szCs w:val="22"/>
        </w:rPr>
        <w:t>dio</w:t>
      </w:r>
      <w:r w:rsidRPr="007261BD">
        <w:rPr>
          <w:szCs w:val="22"/>
        </w:rPr>
        <w:t xml:space="preserve"> 5.3).</w:t>
      </w:r>
    </w:p>
    <w:p w14:paraId="28A1678F" w14:textId="77777777" w:rsidR="00100486" w:rsidRPr="007261BD" w:rsidRDefault="00100486" w:rsidP="0088122E">
      <w:pPr>
        <w:pStyle w:val="NASLOV123"/>
        <w:spacing w:before="0" w:after="0"/>
        <w:rPr>
          <w:lang w:val="sr-Latn-RS"/>
        </w:rPr>
      </w:pPr>
    </w:p>
    <w:p w14:paraId="427FD7EE" w14:textId="77777777" w:rsidR="00100486" w:rsidRPr="007261BD" w:rsidRDefault="00100486" w:rsidP="0088122E">
      <w:pPr>
        <w:pStyle w:val="NASLOV123"/>
        <w:spacing w:before="0" w:after="0"/>
        <w:rPr>
          <w:lang w:val="sr-Latn-RS"/>
        </w:rPr>
      </w:pPr>
    </w:p>
    <w:p w14:paraId="1B116D6A" w14:textId="6267C866" w:rsidR="00007EF9" w:rsidRPr="007261BD" w:rsidRDefault="00007EF9" w:rsidP="0088122E">
      <w:pPr>
        <w:pStyle w:val="NASLOV123"/>
        <w:spacing w:before="0" w:after="0"/>
        <w:rPr>
          <w:lang w:val="sr-Latn-RS"/>
        </w:rPr>
      </w:pPr>
      <w:r w:rsidRPr="007261BD">
        <w:rPr>
          <w:lang w:val="sr-Latn-RS"/>
        </w:rPr>
        <w:t xml:space="preserve">7. NOSILAC DOZVOLE </w:t>
      </w:r>
    </w:p>
    <w:p w14:paraId="2796EB0F" w14:textId="77777777" w:rsidR="00100486" w:rsidRPr="007261BD" w:rsidRDefault="00100486" w:rsidP="00480E7D">
      <w:pPr>
        <w:rPr>
          <w:szCs w:val="22"/>
          <w:lang w:val="sr-Latn-RS"/>
        </w:rPr>
      </w:pPr>
    </w:p>
    <w:p w14:paraId="6DAAB87E" w14:textId="77777777" w:rsidR="00541B7B" w:rsidRPr="007261BD" w:rsidRDefault="00EF09AD" w:rsidP="00480E7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G</w:t>
      </w:r>
      <w:r w:rsidR="00292662" w:rsidRPr="007261BD">
        <w:rPr>
          <w:szCs w:val="22"/>
          <w:lang w:val="sr-Latn-RS"/>
        </w:rPr>
        <w:t>LK pharma d.o.o.</w:t>
      </w:r>
      <w:r w:rsidR="009024FE" w:rsidRPr="007261BD">
        <w:rPr>
          <w:szCs w:val="22"/>
          <w:lang w:val="sr-Latn-RS"/>
        </w:rPr>
        <w:t xml:space="preserve"> Podgorica</w:t>
      </w:r>
      <w:r w:rsidR="00292662" w:rsidRPr="007261BD">
        <w:rPr>
          <w:szCs w:val="22"/>
          <w:lang w:val="sr-Latn-RS"/>
        </w:rPr>
        <w:t xml:space="preserve">, </w:t>
      </w:r>
    </w:p>
    <w:p w14:paraId="29A528B0" w14:textId="0EEC26DC" w:rsidR="00EF09AD" w:rsidRPr="007261BD" w:rsidRDefault="00292662" w:rsidP="00480E7D">
      <w:pPr>
        <w:rPr>
          <w:szCs w:val="22"/>
          <w:lang w:val="sr-Latn-RS"/>
        </w:rPr>
      </w:pPr>
      <w:r w:rsidRPr="007261BD">
        <w:rPr>
          <w:szCs w:val="22"/>
          <w:lang w:val="sr-Latn-RS"/>
        </w:rPr>
        <w:t>Svetozara Markovića</w:t>
      </w:r>
      <w:r w:rsidR="002A7963" w:rsidRPr="007261BD">
        <w:rPr>
          <w:szCs w:val="22"/>
          <w:lang w:val="sr-Latn-RS"/>
        </w:rPr>
        <w:t xml:space="preserve"> 46</w:t>
      </w:r>
      <w:r w:rsidRPr="007261BD">
        <w:rPr>
          <w:szCs w:val="22"/>
          <w:lang w:val="sr-Latn-RS"/>
        </w:rPr>
        <w:t>, 81000 Podgorica, Crna Gora</w:t>
      </w:r>
    </w:p>
    <w:p w14:paraId="5ECBFBA9" w14:textId="78FCD412" w:rsidR="00541B7B" w:rsidRPr="007261BD" w:rsidRDefault="00541B7B" w:rsidP="0088122E">
      <w:pPr>
        <w:pStyle w:val="NASLOV123"/>
        <w:spacing w:after="0"/>
        <w:rPr>
          <w:lang w:val="sr-Latn-RS"/>
        </w:rPr>
      </w:pPr>
    </w:p>
    <w:p w14:paraId="1B116D6D" w14:textId="2DBA4A95" w:rsidR="00007EF9" w:rsidRPr="007261BD" w:rsidRDefault="00007EF9" w:rsidP="0088122E">
      <w:pPr>
        <w:pStyle w:val="NASLOV123"/>
        <w:spacing w:before="0" w:after="0"/>
        <w:rPr>
          <w:lang w:val="sr-Latn-RS"/>
        </w:rPr>
      </w:pPr>
      <w:r w:rsidRPr="007261BD">
        <w:rPr>
          <w:lang w:val="sr-Latn-RS"/>
        </w:rPr>
        <w:t>8. BR</w:t>
      </w:r>
      <w:r w:rsidR="00292662" w:rsidRPr="007261BD">
        <w:rPr>
          <w:lang w:val="sr-Latn-RS"/>
        </w:rPr>
        <w:t>OJ</w:t>
      </w:r>
      <w:r w:rsidRPr="007261BD">
        <w:rPr>
          <w:lang w:val="sr-Latn-RS"/>
        </w:rPr>
        <w:t xml:space="preserve"> DOZVOLE ZA STAVLJANJE L</w:t>
      </w:r>
      <w:r w:rsidR="00292662" w:rsidRPr="007261BD">
        <w:rPr>
          <w:lang w:val="sr-Latn-RS"/>
        </w:rPr>
        <w:t>IJ</w:t>
      </w:r>
      <w:r w:rsidRPr="007261BD">
        <w:rPr>
          <w:lang w:val="sr-Latn-RS"/>
        </w:rPr>
        <w:t>EKA U PROMET</w:t>
      </w:r>
    </w:p>
    <w:p w14:paraId="1B116D70" w14:textId="01EBE1D7" w:rsidR="00007EF9" w:rsidRPr="007261BD" w:rsidRDefault="00007EF9" w:rsidP="00480E7D">
      <w:pPr>
        <w:rPr>
          <w:szCs w:val="22"/>
          <w:lang w:val="sr-Latn-RS"/>
        </w:rPr>
      </w:pPr>
    </w:p>
    <w:p w14:paraId="7F3D66D9" w14:textId="517B9381" w:rsidR="00100486" w:rsidRPr="00A839AE" w:rsidRDefault="007261BD" w:rsidP="00480E7D">
      <w:pPr>
        <w:rPr>
          <w:szCs w:val="22"/>
        </w:rPr>
      </w:pPr>
      <w:r w:rsidRPr="00A839AE">
        <w:rPr>
          <w:szCs w:val="22"/>
        </w:rPr>
        <w:t>Enagal, film tableta, 250</w:t>
      </w:r>
      <w:r w:rsidR="00A839AE">
        <w:rPr>
          <w:szCs w:val="22"/>
        </w:rPr>
        <w:t xml:space="preserve"> </w:t>
      </w:r>
      <w:r w:rsidRPr="00A839AE">
        <w:rPr>
          <w:szCs w:val="22"/>
        </w:rPr>
        <w:t>mg, blister, 120 (12x10) film tableta: 2030/23/4855 – 655</w:t>
      </w:r>
    </w:p>
    <w:p w14:paraId="17DED987" w14:textId="0DB41B86" w:rsidR="007261BD" w:rsidRPr="00A839AE" w:rsidRDefault="007261BD" w:rsidP="00480E7D">
      <w:pPr>
        <w:rPr>
          <w:szCs w:val="22"/>
          <w:lang w:val="sr-Latn-RS"/>
        </w:rPr>
      </w:pPr>
      <w:r w:rsidRPr="00A839AE">
        <w:rPr>
          <w:szCs w:val="22"/>
        </w:rPr>
        <w:t>Enagal, film tableta, 500</w:t>
      </w:r>
      <w:r w:rsidR="00A839AE">
        <w:rPr>
          <w:szCs w:val="22"/>
        </w:rPr>
        <w:t xml:space="preserve"> </w:t>
      </w:r>
      <w:r w:rsidRPr="00A839AE">
        <w:rPr>
          <w:szCs w:val="22"/>
        </w:rPr>
        <w:t>mg, blister, 60 (6x10) film tableta: 2030/23/4856 - 656</w:t>
      </w:r>
    </w:p>
    <w:p w14:paraId="4B9705C4" w14:textId="77777777" w:rsidR="00100486" w:rsidRPr="007261BD" w:rsidRDefault="00100486" w:rsidP="00480E7D">
      <w:pPr>
        <w:rPr>
          <w:szCs w:val="22"/>
          <w:lang w:val="sr-Latn-RS"/>
        </w:rPr>
      </w:pPr>
    </w:p>
    <w:p w14:paraId="068E2736" w14:textId="77777777" w:rsidR="007261BD" w:rsidRDefault="007261BD" w:rsidP="007261BD">
      <w:pPr>
        <w:pStyle w:val="NASLOV123"/>
        <w:spacing w:before="0" w:after="0"/>
        <w:jc w:val="both"/>
        <w:rPr>
          <w:lang w:val="sr-Latn-RS"/>
        </w:rPr>
      </w:pPr>
    </w:p>
    <w:p w14:paraId="1B116D71" w14:textId="6DC7016A" w:rsidR="00007EF9" w:rsidRPr="007261BD" w:rsidRDefault="00007EF9" w:rsidP="007261BD">
      <w:pPr>
        <w:pStyle w:val="NASLOV123"/>
        <w:spacing w:before="0" w:after="0"/>
        <w:jc w:val="both"/>
        <w:rPr>
          <w:lang w:val="sr-Latn-RS"/>
        </w:rPr>
      </w:pPr>
      <w:r w:rsidRPr="007261BD">
        <w:rPr>
          <w:lang w:val="sr-Latn-RS"/>
        </w:rPr>
        <w:t>9. DATUM PRVE DOZVO</w:t>
      </w:r>
      <w:r w:rsidR="00292662" w:rsidRPr="007261BD">
        <w:rPr>
          <w:lang w:val="sr-Latn-RS"/>
        </w:rPr>
        <w:t>LE/</w:t>
      </w:r>
      <w:r w:rsidRPr="007261BD">
        <w:rPr>
          <w:lang w:val="sr-Latn-RS"/>
        </w:rPr>
        <w:t>OBNOVE DOZVOLE ZA STAVLJANJE L</w:t>
      </w:r>
      <w:r w:rsidR="00292662" w:rsidRPr="007261BD">
        <w:rPr>
          <w:lang w:val="sr-Latn-RS"/>
        </w:rPr>
        <w:t>IJ</w:t>
      </w:r>
      <w:r w:rsidRPr="007261BD">
        <w:rPr>
          <w:lang w:val="sr-Latn-RS"/>
        </w:rPr>
        <w:t>EKA U PROMET</w:t>
      </w:r>
    </w:p>
    <w:p w14:paraId="2926FCEA" w14:textId="77777777" w:rsidR="007261BD" w:rsidRDefault="007261BD" w:rsidP="007261BD">
      <w:pPr>
        <w:pStyle w:val="NASLOV123"/>
        <w:spacing w:before="0" w:after="0"/>
        <w:jc w:val="both"/>
        <w:rPr>
          <w:b w:val="0"/>
          <w:lang w:val="sr-Latn-RS"/>
        </w:rPr>
      </w:pPr>
    </w:p>
    <w:p w14:paraId="34A44477" w14:textId="11F618ED" w:rsidR="009D60F3" w:rsidRPr="007261BD" w:rsidRDefault="007261BD" w:rsidP="007261BD">
      <w:pPr>
        <w:pStyle w:val="NASLOV123"/>
        <w:spacing w:before="0" w:after="0"/>
        <w:jc w:val="both"/>
        <w:rPr>
          <w:b w:val="0"/>
          <w:lang w:val="sr-Latn-RS"/>
        </w:rPr>
      </w:pPr>
      <w:bookmarkStart w:id="3" w:name="_GoBack"/>
      <w:r w:rsidRPr="007261BD">
        <w:rPr>
          <w:b w:val="0"/>
          <w:lang w:val="sr-Latn-RS"/>
        </w:rPr>
        <w:t>27.12.2023. godine</w:t>
      </w:r>
    </w:p>
    <w:bookmarkEnd w:id="3"/>
    <w:p w14:paraId="4831CDB6" w14:textId="710E6632" w:rsidR="008560D8" w:rsidRPr="007261BD" w:rsidRDefault="008560D8" w:rsidP="007261BD">
      <w:pPr>
        <w:pStyle w:val="NASLOV123"/>
        <w:spacing w:before="0" w:after="0"/>
        <w:jc w:val="both"/>
        <w:rPr>
          <w:lang w:val="sr-Latn-RS"/>
        </w:rPr>
      </w:pPr>
    </w:p>
    <w:p w14:paraId="2EA4FDBB" w14:textId="77777777" w:rsidR="007261BD" w:rsidRDefault="007261BD" w:rsidP="007261BD">
      <w:pPr>
        <w:pStyle w:val="NASLOV123"/>
        <w:spacing w:before="0" w:after="0"/>
        <w:rPr>
          <w:lang w:val="sr-Latn-RS"/>
        </w:rPr>
      </w:pPr>
    </w:p>
    <w:p w14:paraId="1B116D7C" w14:textId="14AC3CCB" w:rsidR="00007EF9" w:rsidRDefault="00007EF9" w:rsidP="007261BD">
      <w:pPr>
        <w:pStyle w:val="NASLOV123"/>
        <w:spacing w:before="0" w:after="0"/>
        <w:rPr>
          <w:lang w:val="sr-Latn-RS"/>
        </w:rPr>
      </w:pPr>
      <w:r w:rsidRPr="007261BD">
        <w:rPr>
          <w:lang w:val="sr-Latn-RS"/>
        </w:rPr>
        <w:t>10. DATUM REVIZIJE TEKSTA</w:t>
      </w:r>
    </w:p>
    <w:p w14:paraId="38F6AD5C" w14:textId="6D15DDEF" w:rsidR="007261BD" w:rsidRPr="007261BD" w:rsidRDefault="007261BD" w:rsidP="0088122E">
      <w:pPr>
        <w:pStyle w:val="NASLOV123"/>
        <w:spacing w:after="0"/>
        <w:rPr>
          <w:b w:val="0"/>
          <w:lang w:val="sr-Latn-RS"/>
        </w:rPr>
      </w:pPr>
      <w:r w:rsidRPr="007261BD">
        <w:rPr>
          <w:b w:val="0"/>
          <w:lang w:val="sr-Latn-RS"/>
        </w:rPr>
        <w:t>Decembar, 2023. godine</w:t>
      </w:r>
    </w:p>
    <w:sectPr w:rsidR="007261BD" w:rsidRPr="007261BD" w:rsidSect="0088122E">
      <w:footerReference w:type="even" r:id="rId19"/>
      <w:footerReference w:type="default" r:id="rId20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942D7" w14:textId="77777777" w:rsidR="00CA13F7" w:rsidRDefault="00CA13F7">
      <w:r>
        <w:separator/>
      </w:r>
    </w:p>
  </w:endnote>
  <w:endnote w:type="continuationSeparator" w:id="0">
    <w:p w14:paraId="63F8FDC4" w14:textId="77777777" w:rsidR="00CA13F7" w:rsidRDefault="00CA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16D82" w14:textId="77777777" w:rsidR="005C5B4C" w:rsidRDefault="005C5B4C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116D83" w14:textId="77777777" w:rsidR="005C5B4C" w:rsidRDefault="005C5B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16D84" w14:textId="646939E3" w:rsidR="005C5B4C" w:rsidRDefault="005C5B4C" w:rsidP="00CE09F3">
    <w:pPr>
      <w:pStyle w:val="Footer"/>
      <w:tabs>
        <w:tab w:val="left" w:pos="5448"/>
      </w:tabs>
      <w:spacing w:before="360"/>
      <w:jc w:val="center"/>
    </w:pPr>
    <w:r w:rsidRPr="005A4234">
      <w:rPr>
        <w:sz w:val="18"/>
        <w:szCs w:val="18"/>
      </w:rPr>
      <w:fldChar w:fldCharType="begin"/>
    </w:r>
    <w:r w:rsidRPr="005A4234">
      <w:rPr>
        <w:sz w:val="18"/>
        <w:szCs w:val="18"/>
      </w:rPr>
      <w:instrText xml:space="preserve"> PAGE </w:instrText>
    </w:r>
    <w:r w:rsidRPr="005A4234">
      <w:rPr>
        <w:sz w:val="18"/>
        <w:szCs w:val="18"/>
      </w:rPr>
      <w:fldChar w:fldCharType="separate"/>
    </w:r>
    <w:r w:rsidR="00A839AE">
      <w:rPr>
        <w:noProof/>
        <w:sz w:val="18"/>
        <w:szCs w:val="18"/>
      </w:rPr>
      <w:t>23</w:t>
    </w:r>
    <w:r w:rsidRPr="005A4234"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proofErr w:type="gramStart"/>
    <w:r>
      <w:rPr>
        <w:sz w:val="18"/>
        <w:szCs w:val="18"/>
      </w:rPr>
      <w:t xml:space="preserve">/ </w:t>
    </w:r>
    <w:proofErr w:type="gramEnd"/>
    <w:r w:rsidRPr="005A4234">
      <w:rPr>
        <w:sz w:val="18"/>
        <w:szCs w:val="18"/>
      </w:rPr>
      <w:fldChar w:fldCharType="begin"/>
    </w:r>
    <w:r w:rsidRPr="005A4234">
      <w:rPr>
        <w:sz w:val="18"/>
        <w:szCs w:val="18"/>
      </w:rPr>
      <w:instrText xml:space="preserve"> NUMPAGES  </w:instrText>
    </w:r>
    <w:r w:rsidRPr="005A4234">
      <w:rPr>
        <w:sz w:val="18"/>
        <w:szCs w:val="18"/>
      </w:rPr>
      <w:fldChar w:fldCharType="separate"/>
    </w:r>
    <w:r w:rsidR="00A839AE">
      <w:rPr>
        <w:noProof/>
        <w:sz w:val="18"/>
        <w:szCs w:val="18"/>
      </w:rPr>
      <w:t>24</w:t>
    </w:r>
    <w:r w:rsidRPr="005A4234">
      <w:rPr>
        <w:sz w:val="18"/>
        <w:szCs w:val="18"/>
      </w:rPr>
      <w:fldChar w:fldCharType="end"/>
    </w:r>
  </w:p>
  <w:p w14:paraId="1B116D85" w14:textId="77777777" w:rsidR="005C5B4C" w:rsidRPr="00C536C2" w:rsidRDefault="005C5B4C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7DBF9" w14:textId="77777777" w:rsidR="00CA13F7" w:rsidRDefault="00CA13F7">
      <w:r>
        <w:separator/>
      </w:r>
    </w:p>
  </w:footnote>
  <w:footnote w:type="continuationSeparator" w:id="0">
    <w:p w14:paraId="171A208B" w14:textId="77777777" w:rsidR="00CA13F7" w:rsidRDefault="00CA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25945EA3"/>
    <w:multiLevelType w:val="hybridMultilevel"/>
    <w:tmpl w:val="2702BB24"/>
    <w:lvl w:ilvl="0" w:tplc="4E3A83A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70E34"/>
    <w:multiLevelType w:val="hybridMultilevel"/>
    <w:tmpl w:val="0764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FE3700"/>
    <w:multiLevelType w:val="hybridMultilevel"/>
    <w:tmpl w:val="450AFB5A"/>
    <w:lvl w:ilvl="0" w:tplc="D744D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25DB3"/>
    <w:multiLevelType w:val="hybridMultilevel"/>
    <w:tmpl w:val="C868C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80126"/>
    <w:multiLevelType w:val="hybridMultilevel"/>
    <w:tmpl w:val="9E186DBC"/>
    <w:lvl w:ilvl="0" w:tplc="744AC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7EF9"/>
    <w:rsid w:val="00017801"/>
    <w:rsid w:val="0003411A"/>
    <w:rsid w:val="0005798D"/>
    <w:rsid w:val="00064273"/>
    <w:rsid w:val="00083BE0"/>
    <w:rsid w:val="00084FE0"/>
    <w:rsid w:val="00085768"/>
    <w:rsid w:val="00095FB6"/>
    <w:rsid w:val="00096118"/>
    <w:rsid w:val="0009758B"/>
    <w:rsid w:val="000A0F4A"/>
    <w:rsid w:val="000A2695"/>
    <w:rsid w:val="000A2C83"/>
    <w:rsid w:val="000D5631"/>
    <w:rsid w:val="000E75C0"/>
    <w:rsid w:val="000F60F3"/>
    <w:rsid w:val="00100486"/>
    <w:rsid w:val="00141639"/>
    <w:rsid w:val="0014180A"/>
    <w:rsid w:val="00141EEF"/>
    <w:rsid w:val="00142E17"/>
    <w:rsid w:val="00152498"/>
    <w:rsid w:val="00173D18"/>
    <w:rsid w:val="00175772"/>
    <w:rsid w:val="00175A7E"/>
    <w:rsid w:val="001804D1"/>
    <w:rsid w:val="00185A18"/>
    <w:rsid w:val="0018601D"/>
    <w:rsid w:val="00194B57"/>
    <w:rsid w:val="001B2AA1"/>
    <w:rsid w:val="001B5A29"/>
    <w:rsid w:val="001B706A"/>
    <w:rsid w:val="001D10C9"/>
    <w:rsid w:val="001E0A07"/>
    <w:rsid w:val="001E0C4C"/>
    <w:rsid w:val="001E6145"/>
    <w:rsid w:val="001F2D4E"/>
    <w:rsid w:val="001F39B6"/>
    <w:rsid w:val="001F704A"/>
    <w:rsid w:val="00202E3C"/>
    <w:rsid w:val="0022218E"/>
    <w:rsid w:val="0022223A"/>
    <w:rsid w:val="002278E4"/>
    <w:rsid w:val="0024132F"/>
    <w:rsid w:val="00242DCD"/>
    <w:rsid w:val="00247C5C"/>
    <w:rsid w:val="00273BE0"/>
    <w:rsid w:val="00292662"/>
    <w:rsid w:val="002A7963"/>
    <w:rsid w:val="002B6F6A"/>
    <w:rsid w:val="002C0FBF"/>
    <w:rsid w:val="002F5E2F"/>
    <w:rsid w:val="00316FC0"/>
    <w:rsid w:val="003219B6"/>
    <w:rsid w:val="003452C0"/>
    <w:rsid w:val="003525D9"/>
    <w:rsid w:val="00376D72"/>
    <w:rsid w:val="00383195"/>
    <w:rsid w:val="003A2DF8"/>
    <w:rsid w:val="003B2082"/>
    <w:rsid w:val="003B696A"/>
    <w:rsid w:val="003C18A4"/>
    <w:rsid w:val="003E3EC7"/>
    <w:rsid w:val="004123CD"/>
    <w:rsid w:val="004234ED"/>
    <w:rsid w:val="00427D41"/>
    <w:rsid w:val="00462C33"/>
    <w:rsid w:val="00480E7D"/>
    <w:rsid w:val="00492248"/>
    <w:rsid w:val="00497648"/>
    <w:rsid w:val="004A2AEA"/>
    <w:rsid w:val="004B2EA0"/>
    <w:rsid w:val="004B3DC2"/>
    <w:rsid w:val="004B5A11"/>
    <w:rsid w:val="004B7A50"/>
    <w:rsid w:val="004D230F"/>
    <w:rsid w:val="004F6713"/>
    <w:rsid w:val="00503974"/>
    <w:rsid w:val="00505A81"/>
    <w:rsid w:val="0052230B"/>
    <w:rsid w:val="00524D15"/>
    <w:rsid w:val="00525A8A"/>
    <w:rsid w:val="005276F0"/>
    <w:rsid w:val="00530909"/>
    <w:rsid w:val="00541B7B"/>
    <w:rsid w:val="00585FB2"/>
    <w:rsid w:val="005A2950"/>
    <w:rsid w:val="005A4234"/>
    <w:rsid w:val="005B3388"/>
    <w:rsid w:val="005C3F73"/>
    <w:rsid w:val="005C5B4C"/>
    <w:rsid w:val="005C7891"/>
    <w:rsid w:val="005D4FAD"/>
    <w:rsid w:val="005D671E"/>
    <w:rsid w:val="005E5B8F"/>
    <w:rsid w:val="00601BF7"/>
    <w:rsid w:val="00603302"/>
    <w:rsid w:val="00604E4F"/>
    <w:rsid w:val="006054EE"/>
    <w:rsid w:val="006118B6"/>
    <w:rsid w:val="006270C0"/>
    <w:rsid w:val="00630195"/>
    <w:rsid w:val="006343B6"/>
    <w:rsid w:val="006368B4"/>
    <w:rsid w:val="00647BEA"/>
    <w:rsid w:val="006559AF"/>
    <w:rsid w:val="00660ED5"/>
    <w:rsid w:val="00686A4C"/>
    <w:rsid w:val="00693874"/>
    <w:rsid w:val="00693F46"/>
    <w:rsid w:val="006A21EC"/>
    <w:rsid w:val="006B7C4E"/>
    <w:rsid w:val="006D1947"/>
    <w:rsid w:val="006E26E1"/>
    <w:rsid w:val="006F158F"/>
    <w:rsid w:val="00710836"/>
    <w:rsid w:val="007144BA"/>
    <w:rsid w:val="007261BD"/>
    <w:rsid w:val="00733EA8"/>
    <w:rsid w:val="007548D8"/>
    <w:rsid w:val="00755F2D"/>
    <w:rsid w:val="0076002F"/>
    <w:rsid w:val="00764648"/>
    <w:rsid w:val="007672F3"/>
    <w:rsid w:val="00787DE2"/>
    <w:rsid w:val="007910C2"/>
    <w:rsid w:val="007970F2"/>
    <w:rsid w:val="007B16C4"/>
    <w:rsid w:val="007B530A"/>
    <w:rsid w:val="007C2D7E"/>
    <w:rsid w:val="007D17FD"/>
    <w:rsid w:val="007D48C5"/>
    <w:rsid w:val="007E06F0"/>
    <w:rsid w:val="007E26C0"/>
    <w:rsid w:val="00802DFC"/>
    <w:rsid w:val="00803C71"/>
    <w:rsid w:val="00814781"/>
    <w:rsid w:val="00834DBB"/>
    <w:rsid w:val="00835A9D"/>
    <w:rsid w:val="00842FFB"/>
    <w:rsid w:val="008560D8"/>
    <w:rsid w:val="00860A54"/>
    <w:rsid w:val="0086351A"/>
    <w:rsid w:val="008736D3"/>
    <w:rsid w:val="00874B61"/>
    <w:rsid w:val="0088122E"/>
    <w:rsid w:val="00883A75"/>
    <w:rsid w:val="00884418"/>
    <w:rsid w:val="008A3074"/>
    <w:rsid w:val="008A48B7"/>
    <w:rsid w:val="008B3EB5"/>
    <w:rsid w:val="008C5809"/>
    <w:rsid w:val="008C6E9C"/>
    <w:rsid w:val="008D4F51"/>
    <w:rsid w:val="008D78C9"/>
    <w:rsid w:val="008E0FC9"/>
    <w:rsid w:val="008E480A"/>
    <w:rsid w:val="008F6467"/>
    <w:rsid w:val="009024FE"/>
    <w:rsid w:val="00913684"/>
    <w:rsid w:val="00923865"/>
    <w:rsid w:val="0093016E"/>
    <w:rsid w:val="00934B4D"/>
    <w:rsid w:val="00950253"/>
    <w:rsid w:val="009551A3"/>
    <w:rsid w:val="00955C75"/>
    <w:rsid w:val="00960576"/>
    <w:rsid w:val="009677DF"/>
    <w:rsid w:val="00982F53"/>
    <w:rsid w:val="009946F8"/>
    <w:rsid w:val="00996E6B"/>
    <w:rsid w:val="009A1D64"/>
    <w:rsid w:val="009B1292"/>
    <w:rsid w:val="009B2430"/>
    <w:rsid w:val="009B338B"/>
    <w:rsid w:val="009B58AD"/>
    <w:rsid w:val="009B7935"/>
    <w:rsid w:val="009C3119"/>
    <w:rsid w:val="009C7BA2"/>
    <w:rsid w:val="009D1161"/>
    <w:rsid w:val="009D60F3"/>
    <w:rsid w:val="009D667B"/>
    <w:rsid w:val="009E5900"/>
    <w:rsid w:val="009E6BEC"/>
    <w:rsid w:val="009F4449"/>
    <w:rsid w:val="00A02252"/>
    <w:rsid w:val="00A127F1"/>
    <w:rsid w:val="00A27130"/>
    <w:rsid w:val="00A557D7"/>
    <w:rsid w:val="00A631DE"/>
    <w:rsid w:val="00A7147C"/>
    <w:rsid w:val="00A7660B"/>
    <w:rsid w:val="00A81B47"/>
    <w:rsid w:val="00A839AE"/>
    <w:rsid w:val="00A86897"/>
    <w:rsid w:val="00A90281"/>
    <w:rsid w:val="00A95733"/>
    <w:rsid w:val="00AA62DA"/>
    <w:rsid w:val="00AB5465"/>
    <w:rsid w:val="00AC1A45"/>
    <w:rsid w:val="00AE1300"/>
    <w:rsid w:val="00AE13E1"/>
    <w:rsid w:val="00B1090A"/>
    <w:rsid w:val="00B25C0E"/>
    <w:rsid w:val="00B26FAC"/>
    <w:rsid w:val="00B31AA2"/>
    <w:rsid w:val="00B74C0B"/>
    <w:rsid w:val="00B8400D"/>
    <w:rsid w:val="00B93A37"/>
    <w:rsid w:val="00B95173"/>
    <w:rsid w:val="00BA1819"/>
    <w:rsid w:val="00BA2DE7"/>
    <w:rsid w:val="00BA5A22"/>
    <w:rsid w:val="00BB22AD"/>
    <w:rsid w:val="00BB429B"/>
    <w:rsid w:val="00BB55E5"/>
    <w:rsid w:val="00BC24C2"/>
    <w:rsid w:val="00BD725A"/>
    <w:rsid w:val="00BF3750"/>
    <w:rsid w:val="00C06244"/>
    <w:rsid w:val="00C10ED6"/>
    <w:rsid w:val="00C1569C"/>
    <w:rsid w:val="00C27E73"/>
    <w:rsid w:val="00C45E3B"/>
    <w:rsid w:val="00C51527"/>
    <w:rsid w:val="00C52527"/>
    <w:rsid w:val="00C536C2"/>
    <w:rsid w:val="00C55F47"/>
    <w:rsid w:val="00C56DF1"/>
    <w:rsid w:val="00C56E2E"/>
    <w:rsid w:val="00C60F51"/>
    <w:rsid w:val="00C64A31"/>
    <w:rsid w:val="00C708F1"/>
    <w:rsid w:val="00C745D0"/>
    <w:rsid w:val="00C82E8B"/>
    <w:rsid w:val="00CA13F7"/>
    <w:rsid w:val="00CC4C88"/>
    <w:rsid w:val="00CD0B1F"/>
    <w:rsid w:val="00CD3F96"/>
    <w:rsid w:val="00CD7164"/>
    <w:rsid w:val="00CE09F3"/>
    <w:rsid w:val="00CE22D9"/>
    <w:rsid w:val="00CE76DA"/>
    <w:rsid w:val="00D11E94"/>
    <w:rsid w:val="00D30389"/>
    <w:rsid w:val="00D337F6"/>
    <w:rsid w:val="00D52CDB"/>
    <w:rsid w:val="00D57730"/>
    <w:rsid w:val="00D61710"/>
    <w:rsid w:val="00D6192C"/>
    <w:rsid w:val="00D6464F"/>
    <w:rsid w:val="00D6611E"/>
    <w:rsid w:val="00D832D2"/>
    <w:rsid w:val="00D85F37"/>
    <w:rsid w:val="00DA6F4C"/>
    <w:rsid w:val="00DB4534"/>
    <w:rsid w:val="00DC49BD"/>
    <w:rsid w:val="00DC50A6"/>
    <w:rsid w:val="00DD2A82"/>
    <w:rsid w:val="00DE0AA6"/>
    <w:rsid w:val="00DF46E4"/>
    <w:rsid w:val="00E04856"/>
    <w:rsid w:val="00E05AB0"/>
    <w:rsid w:val="00E11CFD"/>
    <w:rsid w:val="00E44B36"/>
    <w:rsid w:val="00E50CD3"/>
    <w:rsid w:val="00E56089"/>
    <w:rsid w:val="00E87BE1"/>
    <w:rsid w:val="00E97398"/>
    <w:rsid w:val="00EA020F"/>
    <w:rsid w:val="00EA1F85"/>
    <w:rsid w:val="00EB4A4B"/>
    <w:rsid w:val="00EC3A7B"/>
    <w:rsid w:val="00ED0C25"/>
    <w:rsid w:val="00ED3A89"/>
    <w:rsid w:val="00ED4585"/>
    <w:rsid w:val="00ED735F"/>
    <w:rsid w:val="00EE1303"/>
    <w:rsid w:val="00EF0516"/>
    <w:rsid w:val="00EF09AD"/>
    <w:rsid w:val="00EF4576"/>
    <w:rsid w:val="00F35797"/>
    <w:rsid w:val="00F42610"/>
    <w:rsid w:val="00F5775F"/>
    <w:rsid w:val="00F63F24"/>
    <w:rsid w:val="00F656A5"/>
    <w:rsid w:val="00F65BA6"/>
    <w:rsid w:val="00F76BED"/>
    <w:rsid w:val="00F85109"/>
    <w:rsid w:val="00FB426D"/>
    <w:rsid w:val="00FB6950"/>
    <w:rsid w:val="00FB6C31"/>
    <w:rsid w:val="00FD3526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116D08"/>
  <w15:docId w15:val="{C3C33939-315E-41D7-9B32-D25E925D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24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B24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B24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B243E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B243E"/>
    <w:rPr>
      <w:szCs w:val="24"/>
    </w:r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C536C2"/>
    <w:rPr>
      <w:rFonts w:ascii="Humanist777" w:hAnsi="Humanist777" w:cs="Times New Roman"/>
      <w:sz w:val="24"/>
      <w:szCs w:val="24"/>
    </w:rPr>
  </w:style>
  <w:style w:type="character" w:styleId="PageNumber">
    <w:name w:val="page number"/>
    <w:uiPriority w:val="99"/>
    <w:rsid w:val="00175A7E"/>
    <w:rPr>
      <w:rFonts w:cs="Times New Roman"/>
    </w:rPr>
  </w:style>
  <w:style w:type="character" w:styleId="CommentReference">
    <w:name w:val="annotation reference"/>
    <w:uiPriority w:val="99"/>
    <w:rsid w:val="003B208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B208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B24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20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24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B2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43E"/>
    <w:rPr>
      <w:sz w:val="0"/>
      <w:szCs w:val="0"/>
    </w:rPr>
  </w:style>
  <w:style w:type="paragraph" w:customStyle="1" w:styleId="NASLOV123">
    <w:name w:val="NASLOV 123"/>
    <w:basedOn w:val="Normal"/>
    <w:uiPriority w:val="99"/>
    <w:rsid w:val="00923865"/>
    <w:pPr>
      <w:spacing w:before="200" w:after="200"/>
      <w:jc w:val="left"/>
    </w:pPr>
    <w:rPr>
      <w:b/>
      <w:szCs w:val="22"/>
    </w:rPr>
  </w:style>
  <w:style w:type="table" w:styleId="TableGrid">
    <w:name w:val="Table Grid"/>
    <w:basedOn w:val="TableNormal"/>
    <w:uiPriority w:val="59"/>
    <w:rsid w:val="00C10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122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primaryreporting.who-umc.org/M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73219-50EA-4C7F-B566-EB4A0A38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10232</Words>
  <Characters>58324</Characters>
  <Application>Microsoft Office Word</Application>
  <DocSecurity>0</DocSecurity>
  <Lines>486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68420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Gordana Boljević</cp:lastModifiedBy>
  <cp:revision>3</cp:revision>
  <cp:lastPrinted>2021-09-23T07:13:00Z</cp:lastPrinted>
  <dcterms:created xsi:type="dcterms:W3CDTF">2023-12-27T08:30:00Z</dcterms:created>
  <dcterms:modified xsi:type="dcterms:W3CDTF">2023-12-28T06:24:00Z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e91ba7-203e-4ac0-a045-4c37ad0b383b_Enabled">
    <vt:lpwstr>true</vt:lpwstr>
  </property>
  <property fmtid="{D5CDD505-2E9C-101B-9397-08002B2CF9AE}" pid="3" name="MSIP_Label_80e91ba7-203e-4ac0-a045-4c37ad0b383b_SetDate">
    <vt:lpwstr>2023-10-23T10:38:31Z</vt:lpwstr>
  </property>
  <property fmtid="{D5CDD505-2E9C-101B-9397-08002B2CF9AE}" pid="4" name="MSIP_Label_80e91ba7-203e-4ac0-a045-4c37ad0b383b_Method">
    <vt:lpwstr>Standard</vt:lpwstr>
  </property>
  <property fmtid="{D5CDD505-2E9C-101B-9397-08002B2CF9AE}" pid="5" name="MSIP_Label_80e91ba7-203e-4ac0-a045-4c37ad0b383b_Name">
    <vt:lpwstr>Interno_Internal</vt:lpwstr>
  </property>
  <property fmtid="{D5CDD505-2E9C-101B-9397-08002B2CF9AE}" pid="6" name="MSIP_Label_80e91ba7-203e-4ac0-a045-4c37ad0b383b_SiteId">
    <vt:lpwstr>61d5927c-a4d9-4b92-8821-c13225cc56bc</vt:lpwstr>
  </property>
  <property fmtid="{D5CDD505-2E9C-101B-9397-08002B2CF9AE}" pid="7" name="MSIP_Label_80e91ba7-203e-4ac0-a045-4c37ad0b383b_ActionId">
    <vt:lpwstr>96826cea-7f83-43d6-8722-17be25b5265c</vt:lpwstr>
  </property>
  <property fmtid="{D5CDD505-2E9C-101B-9397-08002B2CF9AE}" pid="8" name="MSIP_Label_80e91ba7-203e-4ac0-a045-4c37ad0b383b_ContentBits">
    <vt:lpwstr>1</vt:lpwstr>
  </property>
</Properties>
</file>