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792CA" w14:textId="5F082744" w:rsidR="001A5518" w:rsidRPr="00D35073" w:rsidRDefault="00141ACA" w:rsidP="00C35410">
      <w:pPr>
        <w:jc w:val="both"/>
        <w:rPr>
          <w:b/>
          <w:bCs/>
          <w:i/>
          <w:iCs/>
          <w:sz w:val="22"/>
          <w:szCs w:val="22"/>
          <w:u w:val="single"/>
          <w:lang w:val="sr-Latn-ME"/>
        </w:rPr>
      </w:pPr>
      <w:r w:rsidRPr="00D35073">
        <w:rPr>
          <w:b/>
          <w:bCs/>
          <w:i/>
          <w:iCs/>
          <w:sz w:val="22"/>
          <w:szCs w:val="22"/>
          <w:u w:val="single"/>
          <w:lang w:val="sr-Latn-ME"/>
        </w:rPr>
        <w:t xml:space="preserve"> </w:t>
      </w:r>
    </w:p>
    <w:p w14:paraId="07672A6D" w14:textId="77777777" w:rsidR="00F91C7B" w:rsidRPr="00D35073" w:rsidRDefault="00F91C7B" w:rsidP="00C35410">
      <w:pPr>
        <w:jc w:val="center"/>
        <w:rPr>
          <w:b/>
          <w:bCs/>
          <w:i/>
          <w:iCs/>
          <w:sz w:val="22"/>
          <w:szCs w:val="22"/>
          <w:u w:val="single"/>
          <w:lang w:val="sr-Latn-ME"/>
        </w:rPr>
      </w:pPr>
    </w:p>
    <w:p w14:paraId="1BD33F50" w14:textId="78F957F2" w:rsidR="002510A5" w:rsidRPr="00D35073" w:rsidRDefault="002510A5">
      <w:pPr>
        <w:jc w:val="center"/>
        <w:rPr>
          <w:b/>
          <w:bCs/>
          <w:iCs/>
          <w:sz w:val="22"/>
          <w:szCs w:val="22"/>
          <w:u w:val="single"/>
          <w:lang w:val="sr-Latn-ME"/>
        </w:rPr>
      </w:pPr>
      <w:r w:rsidRPr="00D35073">
        <w:rPr>
          <w:b/>
          <w:bCs/>
          <w:iCs/>
          <w:sz w:val="22"/>
          <w:szCs w:val="22"/>
          <w:u w:val="single"/>
          <w:lang w:val="sr-Latn-ME"/>
        </w:rPr>
        <w:t>SAŽETAK KARAKTERISTIKA LIJEKA</w:t>
      </w:r>
    </w:p>
    <w:p w14:paraId="7DA67048" w14:textId="77777777" w:rsidR="007A039C" w:rsidRPr="00D35073" w:rsidRDefault="007A039C" w:rsidP="00C35410">
      <w:pPr>
        <w:jc w:val="center"/>
        <w:rPr>
          <w:b/>
          <w:bCs/>
          <w:iCs/>
          <w:sz w:val="22"/>
          <w:szCs w:val="22"/>
          <w:u w:val="single"/>
          <w:lang w:val="sr-Latn-ME"/>
        </w:rPr>
      </w:pPr>
    </w:p>
    <w:p w14:paraId="133F67C0" w14:textId="77777777" w:rsidR="007A039C" w:rsidRPr="00D35073" w:rsidRDefault="007A039C" w:rsidP="00C35410">
      <w:pPr>
        <w:jc w:val="both"/>
        <w:rPr>
          <w:sz w:val="22"/>
          <w:szCs w:val="22"/>
          <w:lang w:val="sr-Latn-ME"/>
        </w:rPr>
      </w:pPr>
    </w:p>
    <w:p w14:paraId="027BDF22" w14:textId="19F03448" w:rsidR="007A039C" w:rsidRPr="00D35073" w:rsidRDefault="007A039C" w:rsidP="0028663A">
      <w:pPr>
        <w:tabs>
          <w:tab w:val="left" w:pos="540"/>
          <w:tab w:val="left" w:pos="569"/>
        </w:tabs>
        <w:jc w:val="both"/>
        <w:rPr>
          <w:bCs/>
          <w:i/>
          <w:sz w:val="22"/>
          <w:szCs w:val="22"/>
          <w:lang w:val="sr-Latn-ME"/>
        </w:rPr>
      </w:pPr>
      <w:r w:rsidRPr="00D35073">
        <w:rPr>
          <w:noProof/>
          <w:sz w:val="22"/>
          <w:szCs w:val="22"/>
          <w:lang w:val="sr-Latn-ME"/>
        </w:rPr>
        <w:drawing>
          <wp:inline distT="0" distB="0" distL="0" distR="0" wp14:anchorId="5F2B6FD9" wp14:editId="58BE6BC0">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Pr="00D35073">
        <w:rPr>
          <w:noProof/>
          <w:sz w:val="22"/>
          <w:szCs w:val="22"/>
          <w:lang w:val="sr-Latn-ME"/>
        </w:rPr>
        <w:t xml:space="preserve"> Ovaj lijek je pod dodatnim praćenjem.</w:t>
      </w:r>
      <w:r w:rsidRPr="00D35073">
        <w:rPr>
          <w:sz w:val="22"/>
          <w:szCs w:val="22"/>
          <w:lang w:val="sr-Latn-ME"/>
        </w:rPr>
        <w:t xml:space="preserve"> </w:t>
      </w:r>
      <w:r w:rsidRPr="00D35073">
        <w:rPr>
          <w:noProof/>
          <w:sz w:val="22"/>
          <w:szCs w:val="22"/>
          <w:lang w:val="sr-Latn-ME"/>
        </w:rPr>
        <w:t>Time se omogućava brzo otkrivanje novih bezbjednosnih informacija. Zdravstveni radnici treba da prijave svaku sumnju na neželjeno dejstvo ovog lijeka.</w:t>
      </w:r>
      <w:r w:rsidRPr="00D35073">
        <w:rPr>
          <w:sz w:val="22"/>
          <w:szCs w:val="22"/>
          <w:lang w:val="sr-Latn-ME"/>
        </w:rPr>
        <w:t xml:space="preserve"> Za način prijavljivanja neželjenih dejstava vidjeti dio 4.8</w:t>
      </w:r>
      <w:r w:rsidRPr="00D35073">
        <w:rPr>
          <w:noProof/>
          <w:sz w:val="22"/>
          <w:szCs w:val="22"/>
          <w:lang w:val="sr-Latn-ME"/>
        </w:rPr>
        <w:t xml:space="preserve">. </w:t>
      </w:r>
    </w:p>
    <w:p w14:paraId="7E452959" w14:textId="77777777" w:rsidR="003C17AB" w:rsidRPr="00D35073" w:rsidRDefault="003C17AB" w:rsidP="00C35410">
      <w:pPr>
        <w:tabs>
          <w:tab w:val="left" w:pos="540"/>
          <w:tab w:val="left" w:pos="569"/>
        </w:tabs>
        <w:jc w:val="both"/>
        <w:rPr>
          <w:noProof/>
          <w:sz w:val="22"/>
          <w:szCs w:val="22"/>
          <w:lang w:val="sr-Latn-ME"/>
        </w:rPr>
      </w:pPr>
    </w:p>
    <w:p w14:paraId="3E504128" w14:textId="77777777" w:rsidR="00C37FD7" w:rsidRPr="00D35073" w:rsidRDefault="00C37FD7" w:rsidP="00C35410">
      <w:pPr>
        <w:tabs>
          <w:tab w:val="left" w:pos="540"/>
          <w:tab w:val="left" w:pos="569"/>
        </w:tabs>
        <w:jc w:val="both"/>
        <w:rPr>
          <w:bCs/>
          <w:sz w:val="22"/>
          <w:szCs w:val="22"/>
          <w:lang w:val="sr-Latn-ME"/>
        </w:rPr>
      </w:pPr>
    </w:p>
    <w:p w14:paraId="27E05EE5" w14:textId="7777777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t>1.</w:t>
      </w:r>
      <w:r w:rsidR="00F5167F" w:rsidRPr="00D35073">
        <w:rPr>
          <w:b/>
          <w:bCs/>
          <w:sz w:val="22"/>
          <w:szCs w:val="22"/>
          <w:lang w:val="sr-Latn-ME"/>
        </w:rPr>
        <w:tab/>
      </w:r>
      <w:r w:rsidR="002846DB" w:rsidRPr="00D35073">
        <w:rPr>
          <w:b/>
          <w:bCs/>
          <w:sz w:val="22"/>
          <w:szCs w:val="22"/>
          <w:lang w:val="sr-Latn-ME"/>
        </w:rPr>
        <w:t xml:space="preserve">NAZIV </w:t>
      </w:r>
      <w:r w:rsidRPr="00D35073">
        <w:rPr>
          <w:b/>
          <w:bCs/>
          <w:sz w:val="22"/>
          <w:szCs w:val="22"/>
          <w:lang w:val="sr-Latn-ME"/>
        </w:rPr>
        <w:t>LIJEKA</w:t>
      </w:r>
    </w:p>
    <w:p w14:paraId="65A535FB" w14:textId="77777777" w:rsidR="00EC2532" w:rsidRPr="00D35073" w:rsidRDefault="00EC2532" w:rsidP="00C35410">
      <w:pPr>
        <w:jc w:val="both"/>
        <w:rPr>
          <w:sz w:val="22"/>
          <w:szCs w:val="22"/>
          <w:lang w:val="sr-Latn-ME"/>
        </w:rPr>
      </w:pPr>
    </w:p>
    <w:p w14:paraId="4D20C1A0" w14:textId="2BD1B9C9" w:rsidR="000D425A" w:rsidRPr="00D35073" w:rsidRDefault="00940F3B" w:rsidP="00C35410">
      <w:pPr>
        <w:jc w:val="both"/>
        <w:rPr>
          <w:sz w:val="22"/>
          <w:szCs w:val="22"/>
          <w:lang w:val="sr-Latn-ME"/>
        </w:rPr>
      </w:pPr>
      <w:r w:rsidRPr="00D35073">
        <w:rPr>
          <w:sz w:val="22"/>
          <w:szCs w:val="22"/>
          <w:lang w:val="sr-Latn-ME"/>
        </w:rPr>
        <w:t>Cutaquig, 165mg/ml, rastvor  za injekciju</w:t>
      </w:r>
    </w:p>
    <w:p w14:paraId="5A5F6540" w14:textId="77777777" w:rsidR="00940F3B" w:rsidRPr="00D35073" w:rsidRDefault="00940F3B" w:rsidP="00C35410">
      <w:pPr>
        <w:jc w:val="both"/>
        <w:rPr>
          <w:bCs/>
          <w:sz w:val="22"/>
          <w:szCs w:val="22"/>
          <w:lang w:val="sr-Latn-ME"/>
        </w:rPr>
      </w:pPr>
    </w:p>
    <w:p w14:paraId="7CB0F78E" w14:textId="54EB388D" w:rsidR="006D20A5" w:rsidRPr="00D35073" w:rsidRDefault="006D20A5" w:rsidP="00C35410">
      <w:pPr>
        <w:jc w:val="both"/>
        <w:rPr>
          <w:sz w:val="22"/>
          <w:szCs w:val="22"/>
          <w:lang w:val="sr-Latn-ME"/>
        </w:rPr>
      </w:pPr>
      <w:r w:rsidRPr="00D35073">
        <w:rPr>
          <w:sz w:val="22"/>
          <w:szCs w:val="22"/>
          <w:lang w:val="sr-Latn-ME"/>
        </w:rPr>
        <w:t>INN:</w:t>
      </w:r>
      <w:r w:rsidR="00940F3B" w:rsidRPr="00D35073">
        <w:rPr>
          <w:sz w:val="22"/>
          <w:szCs w:val="22"/>
          <w:lang w:val="sr-Latn-ME"/>
        </w:rPr>
        <w:t xml:space="preserve"> </w:t>
      </w:r>
      <w:r w:rsidR="00C4525F" w:rsidRPr="00D35073">
        <w:rPr>
          <w:sz w:val="22"/>
          <w:szCs w:val="22"/>
          <w:lang w:val="sr-Latn-ME"/>
        </w:rPr>
        <w:t>imunoglobulin</w:t>
      </w:r>
      <w:r w:rsidR="005C2F38" w:rsidRPr="00D35073">
        <w:rPr>
          <w:sz w:val="22"/>
          <w:szCs w:val="22"/>
          <w:lang w:val="sr-Latn-ME"/>
        </w:rPr>
        <w:t>,</w:t>
      </w:r>
      <w:r w:rsidR="00C4525F" w:rsidRPr="00D35073">
        <w:rPr>
          <w:sz w:val="22"/>
          <w:szCs w:val="22"/>
          <w:lang w:val="sr-Latn-ME"/>
        </w:rPr>
        <w:t xml:space="preserve"> normalni, humani, za su</w:t>
      </w:r>
      <w:r w:rsidR="009308EA" w:rsidRPr="00D35073">
        <w:rPr>
          <w:sz w:val="22"/>
          <w:szCs w:val="22"/>
          <w:lang w:val="sr-Latn-ME"/>
        </w:rPr>
        <w:t>b</w:t>
      </w:r>
      <w:r w:rsidR="00C4525F" w:rsidRPr="00D35073">
        <w:rPr>
          <w:sz w:val="22"/>
          <w:szCs w:val="22"/>
          <w:lang w:val="sr-Latn-ME"/>
        </w:rPr>
        <w:t xml:space="preserve">kutanu </w:t>
      </w:r>
      <w:r w:rsidR="00767429" w:rsidRPr="00D35073">
        <w:rPr>
          <w:sz w:val="22"/>
          <w:szCs w:val="22"/>
          <w:lang w:val="sr-Latn-ME"/>
        </w:rPr>
        <w:t>primjenu</w:t>
      </w:r>
    </w:p>
    <w:p w14:paraId="2C15FA06" w14:textId="77777777" w:rsidR="006D20A5" w:rsidRPr="00D35073" w:rsidRDefault="006D20A5" w:rsidP="00C35410">
      <w:pPr>
        <w:jc w:val="both"/>
        <w:rPr>
          <w:bCs/>
          <w:sz w:val="22"/>
          <w:szCs w:val="22"/>
          <w:lang w:val="sr-Latn-ME"/>
        </w:rPr>
      </w:pPr>
    </w:p>
    <w:p w14:paraId="62258055" w14:textId="77777777" w:rsidR="00530BD7" w:rsidRPr="00D35073" w:rsidRDefault="00530BD7" w:rsidP="00C35410">
      <w:pPr>
        <w:jc w:val="both"/>
        <w:rPr>
          <w:bCs/>
          <w:sz w:val="22"/>
          <w:szCs w:val="22"/>
          <w:lang w:val="sr-Latn-ME"/>
        </w:rPr>
      </w:pPr>
    </w:p>
    <w:p w14:paraId="53B93A02" w14:textId="7777777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t xml:space="preserve">2. </w:t>
      </w:r>
      <w:r w:rsidR="00F5167F" w:rsidRPr="00D35073">
        <w:rPr>
          <w:b/>
          <w:bCs/>
          <w:sz w:val="22"/>
          <w:szCs w:val="22"/>
          <w:lang w:val="sr-Latn-ME"/>
        </w:rPr>
        <w:tab/>
      </w:r>
      <w:r w:rsidRPr="00D35073">
        <w:rPr>
          <w:b/>
          <w:bCs/>
          <w:sz w:val="22"/>
          <w:szCs w:val="22"/>
          <w:lang w:val="sr-Latn-ME"/>
        </w:rPr>
        <w:t>KVALITATIVNI I KVANTITATIVNI SASTAV</w:t>
      </w:r>
    </w:p>
    <w:p w14:paraId="03F3459B" w14:textId="77777777" w:rsidR="005A0B2E" w:rsidRPr="00D35073" w:rsidRDefault="005A0B2E" w:rsidP="00C35410">
      <w:pPr>
        <w:jc w:val="both"/>
        <w:rPr>
          <w:sz w:val="22"/>
          <w:szCs w:val="22"/>
          <w:lang w:val="sr-Latn-ME"/>
        </w:rPr>
      </w:pPr>
    </w:p>
    <w:p w14:paraId="476732FD" w14:textId="790C983E" w:rsidR="00940F3B" w:rsidRPr="00D35073" w:rsidRDefault="00940F3B" w:rsidP="00C35410">
      <w:pPr>
        <w:jc w:val="both"/>
        <w:rPr>
          <w:sz w:val="22"/>
          <w:szCs w:val="22"/>
          <w:lang w:val="sr-Latn-ME"/>
        </w:rPr>
      </w:pPr>
      <w:r w:rsidRPr="00D35073">
        <w:rPr>
          <w:sz w:val="22"/>
          <w:szCs w:val="22"/>
          <w:lang w:val="sr-Latn-ME"/>
        </w:rPr>
        <w:t>Jedan ml sadr</w:t>
      </w:r>
      <w:r w:rsidR="00680567" w:rsidRPr="00D35073">
        <w:rPr>
          <w:sz w:val="22"/>
          <w:szCs w:val="22"/>
          <w:lang w:val="sr-Latn-ME"/>
        </w:rPr>
        <w:t>ž</w:t>
      </w:r>
      <w:r w:rsidRPr="00D35073">
        <w:rPr>
          <w:sz w:val="22"/>
          <w:szCs w:val="22"/>
          <w:lang w:val="sr-Latn-ME"/>
        </w:rPr>
        <w:t>i:</w:t>
      </w:r>
    </w:p>
    <w:p w14:paraId="5D1BDC97" w14:textId="5EE56A4A" w:rsidR="00940F3B" w:rsidRPr="00D35073" w:rsidRDefault="00940F3B" w:rsidP="00C35410">
      <w:pPr>
        <w:jc w:val="both"/>
        <w:rPr>
          <w:sz w:val="22"/>
          <w:szCs w:val="22"/>
          <w:lang w:val="sr-Latn-ME"/>
        </w:rPr>
      </w:pPr>
      <w:r w:rsidRPr="00D35073">
        <w:rPr>
          <w:sz w:val="22"/>
          <w:szCs w:val="22"/>
          <w:lang w:val="sr-Latn-ME"/>
        </w:rPr>
        <w:t>Imunoglobulin</w:t>
      </w:r>
      <w:r w:rsidR="000C15ED" w:rsidRPr="00D35073">
        <w:rPr>
          <w:sz w:val="22"/>
          <w:szCs w:val="22"/>
          <w:lang w:val="sr-Latn-ME"/>
        </w:rPr>
        <w:t xml:space="preserve">, </w:t>
      </w:r>
      <w:r w:rsidRPr="00D35073">
        <w:rPr>
          <w:sz w:val="22"/>
          <w:szCs w:val="22"/>
          <w:lang w:val="sr-Latn-ME"/>
        </w:rPr>
        <w:t xml:space="preserve">normalni, </w:t>
      </w:r>
      <w:r w:rsidR="00054DCF" w:rsidRPr="00D35073">
        <w:rPr>
          <w:sz w:val="22"/>
          <w:szCs w:val="22"/>
          <w:lang w:val="sr-Latn-ME"/>
        </w:rPr>
        <w:t xml:space="preserve">humani </w:t>
      </w:r>
      <w:r w:rsidRPr="00D35073">
        <w:rPr>
          <w:sz w:val="22"/>
          <w:szCs w:val="22"/>
          <w:lang w:val="sr-Latn-ME"/>
        </w:rPr>
        <w:t>.............................165mg</w:t>
      </w:r>
    </w:p>
    <w:p w14:paraId="10EA6E0A" w14:textId="1275A368" w:rsidR="00940F3B" w:rsidRPr="00D35073" w:rsidRDefault="00940F3B" w:rsidP="00C35410">
      <w:pPr>
        <w:jc w:val="both"/>
        <w:rPr>
          <w:sz w:val="22"/>
          <w:szCs w:val="22"/>
          <w:lang w:val="sr-Latn-ME"/>
        </w:rPr>
      </w:pPr>
      <w:r w:rsidRPr="00D35073">
        <w:rPr>
          <w:sz w:val="22"/>
          <w:szCs w:val="22"/>
          <w:lang w:val="sr-Latn-ME"/>
        </w:rPr>
        <w:t>(</w:t>
      </w:r>
      <w:r w:rsidR="00112620" w:rsidRPr="00D35073">
        <w:rPr>
          <w:sz w:val="22"/>
          <w:szCs w:val="22"/>
          <w:lang w:val="sr-Latn-ME"/>
        </w:rPr>
        <w:t>č</w:t>
      </w:r>
      <w:r w:rsidRPr="00D35073">
        <w:rPr>
          <w:sz w:val="22"/>
          <w:szCs w:val="22"/>
          <w:lang w:val="sr-Latn-ME"/>
        </w:rPr>
        <w:t>isto</w:t>
      </w:r>
      <w:r w:rsidR="00112620" w:rsidRPr="00D35073">
        <w:rPr>
          <w:sz w:val="22"/>
          <w:szCs w:val="22"/>
          <w:lang w:val="sr-Latn-ME"/>
        </w:rPr>
        <w:t>ć</w:t>
      </w:r>
      <w:r w:rsidRPr="00D35073">
        <w:rPr>
          <w:sz w:val="22"/>
          <w:szCs w:val="22"/>
          <w:lang w:val="sr-Latn-ME"/>
        </w:rPr>
        <w:t>e od najmanje 95% IgG)</w:t>
      </w:r>
    </w:p>
    <w:p w14:paraId="0C8C3FAA" w14:textId="77777777" w:rsidR="00940F3B" w:rsidRPr="00D35073" w:rsidRDefault="00940F3B" w:rsidP="00C35410">
      <w:pPr>
        <w:jc w:val="both"/>
        <w:rPr>
          <w:sz w:val="22"/>
          <w:szCs w:val="22"/>
          <w:lang w:val="sr-Latn-ME"/>
        </w:rPr>
      </w:pPr>
    </w:p>
    <w:p w14:paraId="7B7321EA" w14:textId="7869CE8A" w:rsidR="00940F3B" w:rsidRPr="00D35073" w:rsidRDefault="00940F3B" w:rsidP="00C35410">
      <w:pPr>
        <w:jc w:val="both"/>
        <w:rPr>
          <w:sz w:val="22"/>
          <w:szCs w:val="22"/>
          <w:lang w:val="sr-Latn-ME"/>
        </w:rPr>
      </w:pPr>
      <w:r w:rsidRPr="00D35073">
        <w:rPr>
          <w:sz w:val="22"/>
          <w:szCs w:val="22"/>
          <w:lang w:val="sr-Latn-ME"/>
        </w:rPr>
        <w:t>Jedna bočica od 6ml sadrži: 1g imunoglobuli</w:t>
      </w:r>
      <w:r w:rsidR="000C15ED" w:rsidRPr="00D35073">
        <w:rPr>
          <w:sz w:val="22"/>
          <w:szCs w:val="22"/>
          <w:lang w:val="sr-Latn-ME"/>
        </w:rPr>
        <w:t xml:space="preserve">na, </w:t>
      </w:r>
      <w:r w:rsidR="00D15AFD" w:rsidRPr="00D35073">
        <w:rPr>
          <w:sz w:val="22"/>
          <w:szCs w:val="22"/>
          <w:lang w:val="sr-Latn-ME"/>
        </w:rPr>
        <w:t xml:space="preserve">normalnog, humanog  </w:t>
      </w:r>
    </w:p>
    <w:p w14:paraId="0AE900F4" w14:textId="4EBD5B4C" w:rsidR="00940F3B" w:rsidRPr="00D35073" w:rsidRDefault="00940F3B" w:rsidP="00C35410">
      <w:pPr>
        <w:jc w:val="both"/>
        <w:rPr>
          <w:sz w:val="22"/>
          <w:szCs w:val="22"/>
          <w:lang w:val="sr-Latn-ME"/>
        </w:rPr>
      </w:pPr>
      <w:r w:rsidRPr="00D35073">
        <w:rPr>
          <w:sz w:val="22"/>
          <w:szCs w:val="22"/>
          <w:lang w:val="sr-Latn-ME"/>
        </w:rPr>
        <w:t xml:space="preserve">Jedna bočica od 10ml sadrži: 1,65g </w:t>
      </w:r>
      <w:r w:rsidR="00054DCF" w:rsidRPr="00D35073">
        <w:rPr>
          <w:sz w:val="22"/>
          <w:szCs w:val="22"/>
          <w:lang w:val="sr-Latn-ME"/>
        </w:rPr>
        <w:t xml:space="preserve"> </w:t>
      </w:r>
      <w:r w:rsidR="00D15AFD" w:rsidRPr="00D35073">
        <w:rPr>
          <w:sz w:val="22"/>
          <w:szCs w:val="22"/>
          <w:lang w:val="sr-Latn-ME"/>
        </w:rPr>
        <w:t>imunoglobulina</w:t>
      </w:r>
      <w:r w:rsidR="000C15ED" w:rsidRPr="00D35073">
        <w:rPr>
          <w:sz w:val="22"/>
          <w:szCs w:val="22"/>
          <w:lang w:val="sr-Latn-ME"/>
        </w:rPr>
        <w:t>,</w:t>
      </w:r>
      <w:r w:rsidR="00D15AFD" w:rsidRPr="00D35073">
        <w:rPr>
          <w:sz w:val="22"/>
          <w:szCs w:val="22"/>
          <w:lang w:val="sr-Latn-ME"/>
        </w:rPr>
        <w:t xml:space="preserve"> normalnog, humanog  </w:t>
      </w:r>
    </w:p>
    <w:p w14:paraId="27D63655" w14:textId="12B2A879" w:rsidR="00940F3B" w:rsidRPr="00D35073" w:rsidRDefault="00940F3B" w:rsidP="00C35410">
      <w:pPr>
        <w:jc w:val="both"/>
        <w:rPr>
          <w:sz w:val="22"/>
          <w:szCs w:val="22"/>
          <w:lang w:val="sr-Latn-ME"/>
        </w:rPr>
      </w:pPr>
      <w:r w:rsidRPr="00D35073">
        <w:rPr>
          <w:sz w:val="22"/>
          <w:szCs w:val="22"/>
          <w:lang w:val="sr-Latn-ME"/>
        </w:rPr>
        <w:t xml:space="preserve">Jedna bočica od 12ml sadrži: 2g </w:t>
      </w:r>
      <w:r w:rsidR="000C15ED" w:rsidRPr="00D35073">
        <w:rPr>
          <w:sz w:val="22"/>
          <w:szCs w:val="22"/>
          <w:lang w:val="sr-Latn-ME"/>
        </w:rPr>
        <w:t xml:space="preserve">imunoglobulina, normalnog, humanog  </w:t>
      </w:r>
    </w:p>
    <w:p w14:paraId="5FEF1C5D" w14:textId="78A9758C" w:rsidR="00940F3B" w:rsidRPr="00D35073" w:rsidRDefault="00940F3B" w:rsidP="00C35410">
      <w:pPr>
        <w:jc w:val="both"/>
        <w:rPr>
          <w:sz w:val="22"/>
          <w:szCs w:val="22"/>
          <w:lang w:val="sr-Latn-ME"/>
        </w:rPr>
      </w:pPr>
      <w:r w:rsidRPr="00D35073">
        <w:rPr>
          <w:sz w:val="22"/>
          <w:szCs w:val="22"/>
          <w:lang w:val="sr-Latn-ME"/>
        </w:rPr>
        <w:t xml:space="preserve">Jedna bočica od 20ml sadrži: 3,3g </w:t>
      </w:r>
      <w:r w:rsidR="000C15ED" w:rsidRPr="00D35073">
        <w:rPr>
          <w:sz w:val="22"/>
          <w:szCs w:val="22"/>
          <w:lang w:val="sr-Latn-ME"/>
        </w:rPr>
        <w:t xml:space="preserve">imunoglobulina, normalnog, humanog  </w:t>
      </w:r>
    </w:p>
    <w:p w14:paraId="7320128B" w14:textId="2664B48F" w:rsidR="00940F3B" w:rsidRPr="00D35073" w:rsidRDefault="00940F3B" w:rsidP="00C35410">
      <w:pPr>
        <w:jc w:val="both"/>
        <w:rPr>
          <w:sz w:val="22"/>
          <w:szCs w:val="22"/>
          <w:lang w:val="sr-Latn-ME"/>
        </w:rPr>
      </w:pPr>
      <w:r w:rsidRPr="00D35073">
        <w:rPr>
          <w:sz w:val="22"/>
          <w:szCs w:val="22"/>
          <w:lang w:val="sr-Latn-ME"/>
        </w:rPr>
        <w:t xml:space="preserve">Jedna bočica od 24ml sadrži: 4g </w:t>
      </w:r>
      <w:r w:rsidR="000C15ED" w:rsidRPr="00D35073">
        <w:rPr>
          <w:sz w:val="22"/>
          <w:szCs w:val="22"/>
          <w:lang w:val="sr-Latn-ME"/>
        </w:rPr>
        <w:t xml:space="preserve">imunoglobulina, normalnog, humanog  </w:t>
      </w:r>
    </w:p>
    <w:p w14:paraId="30745AE1" w14:textId="5571E953" w:rsidR="00940F3B" w:rsidRPr="00D35073" w:rsidRDefault="00940F3B" w:rsidP="00C35410">
      <w:pPr>
        <w:jc w:val="both"/>
        <w:rPr>
          <w:sz w:val="22"/>
          <w:szCs w:val="22"/>
          <w:lang w:val="sr-Latn-ME"/>
        </w:rPr>
      </w:pPr>
      <w:r w:rsidRPr="00D35073">
        <w:rPr>
          <w:sz w:val="22"/>
          <w:szCs w:val="22"/>
          <w:lang w:val="sr-Latn-ME"/>
        </w:rPr>
        <w:t xml:space="preserve">Jedna bočica od 48ml sadrži: 8g </w:t>
      </w:r>
      <w:r w:rsidR="000C15ED" w:rsidRPr="00D35073">
        <w:rPr>
          <w:sz w:val="22"/>
          <w:szCs w:val="22"/>
          <w:lang w:val="sr-Latn-ME"/>
        </w:rPr>
        <w:t xml:space="preserve">imunoglobulina, normalnog, humanog  </w:t>
      </w:r>
    </w:p>
    <w:p w14:paraId="7ACF314B" w14:textId="77777777" w:rsidR="00940F3B" w:rsidRPr="00D35073" w:rsidRDefault="00940F3B" w:rsidP="00C35410">
      <w:pPr>
        <w:jc w:val="both"/>
        <w:rPr>
          <w:sz w:val="22"/>
          <w:szCs w:val="22"/>
          <w:lang w:val="sr-Latn-ME"/>
        </w:rPr>
      </w:pPr>
    </w:p>
    <w:p w14:paraId="79A2F5FD" w14:textId="0E10EEC5" w:rsidR="00940F3B" w:rsidRPr="00D35073" w:rsidRDefault="00940F3B" w:rsidP="00C35410">
      <w:pPr>
        <w:jc w:val="both"/>
        <w:rPr>
          <w:sz w:val="22"/>
          <w:szCs w:val="22"/>
          <w:lang w:val="sr-Latn-ME"/>
        </w:rPr>
      </w:pPr>
      <w:r w:rsidRPr="00D35073">
        <w:rPr>
          <w:sz w:val="22"/>
          <w:szCs w:val="22"/>
          <w:lang w:val="sr-Latn-ME"/>
        </w:rPr>
        <w:t>Distribucija pod</w:t>
      </w:r>
      <w:r w:rsidR="00112620" w:rsidRPr="00D35073">
        <w:rPr>
          <w:sz w:val="22"/>
          <w:szCs w:val="22"/>
          <w:lang w:val="sr-Latn-ME"/>
        </w:rPr>
        <w:t xml:space="preserve">klase </w:t>
      </w:r>
      <w:r w:rsidRPr="00D35073">
        <w:rPr>
          <w:sz w:val="22"/>
          <w:szCs w:val="22"/>
          <w:lang w:val="sr-Latn-ME"/>
        </w:rPr>
        <w:t xml:space="preserve"> IgG (pribli</w:t>
      </w:r>
      <w:r w:rsidR="00B1328F" w:rsidRPr="00D35073">
        <w:rPr>
          <w:sz w:val="22"/>
          <w:szCs w:val="22"/>
          <w:lang w:val="sr-Latn-ME"/>
        </w:rPr>
        <w:t>ž</w:t>
      </w:r>
      <w:r w:rsidRPr="00D35073">
        <w:rPr>
          <w:sz w:val="22"/>
          <w:szCs w:val="22"/>
          <w:lang w:val="sr-Latn-ME"/>
        </w:rPr>
        <w:t>ne vrijednosti):</w:t>
      </w:r>
    </w:p>
    <w:p w14:paraId="7BC3F2E7" w14:textId="77777777" w:rsidR="00940F3B" w:rsidRPr="00D35073" w:rsidRDefault="00940F3B" w:rsidP="00C35410">
      <w:pPr>
        <w:jc w:val="both"/>
        <w:rPr>
          <w:sz w:val="22"/>
          <w:szCs w:val="22"/>
          <w:lang w:val="sr-Latn-ME"/>
        </w:rPr>
      </w:pPr>
    </w:p>
    <w:p w14:paraId="274A7BD5" w14:textId="77777777" w:rsidR="00940F3B" w:rsidRPr="00D35073" w:rsidRDefault="00940F3B" w:rsidP="00C35410">
      <w:pPr>
        <w:jc w:val="both"/>
        <w:rPr>
          <w:sz w:val="22"/>
          <w:szCs w:val="22"/>
          <w:lang w:val="sr-Latn-ME"/>
        </w:rPr>
      </w:pPr>
      <w:r w:rsidRPr="00D35073">
        <w:rPr>
          <w:sz w:val="22"/>
          <w:szCs w:val="22"/>
          <w:lang w:val="sr-Latn-ME"/>
        </w:rPr>
        <w:t>IgG1............71%</w:t>
      </w:r>
    </w:p>
    <w:p w14:paraId="6F7D7437" w14:textId="77777777" w:rsidR="00940F3B" w:rsidRPr="00D35073" w:rsidRDefault="00940F3B" w:rsidP="00C35410">
      <w:pPr>
        <w:jc w:val="both"/>
        <w:rPr>
          <w:sz w:val="22"/>
          <w:szCs w:val="22"/>
          <w:lang w:val="sr-Latn-ME"/>
        </w:rPr>
      </w:pPr>
      <w:r w:rsidRPr="00D35073">
        <w:rPr>
          <w:sz w:val="22"/>
          <w:szCs w:val="22"/>
          <w:lang w:val="sr-Latn-ME"/>
        </w:rPr>
        <w:t>IgG2.............25%</w:t>
      </w:r>
    </w:p>
    <w:p w14:paraId="3AE05A04" w14:textId="77777777" w:rsidR="00940F3B" w:rsidRPr="00D35073" w:rsidRDefault="00940F3B" w:rsidP="00C35410">
      <w:pPr>
        <w:jc w:val="both"/>
        <w:rPr>
          <w:sz w:val="22"/>
          <w:szCs w:val="22"/>
          <w:lang w:val="sr-Latn-ME"/>
        </w:rPr>
      </w:pPr>
      <w:r w:rsidRPr="00D35073">
        <w:rPr>
          <w:sz w:val="22"/>
          <w:szCs w:val="22"/>
          <w:lang w:val="sr-Latn-ME"/>
        </w:rPr>
        <w:t>IgG3..............3%</w:t>
      </w:r>
    </w:p>
    <w:p w14:paraId="4BEA24FE" w14:textId="77777777" w:rsidR="00940F3B" w:rsidRPr="00D35073" w:rsidRDefault="00940F3B" w:rsidP="00C35410">
      <w:pPr>
        <w:jc w:val="both"/>
        <w:rPr>
          <w:sz w:val="22"/>
          <w:szCs w:val="22"/>
          <w:lang w:val="sr-Latn-ME"/>
        </w:rPr>
      </w:pPr>
      <w:r w:rsidRPr="00D35073">
        <w:rPr>
          <w:sz w:val="22"/>
          <w:szCs w:val="22"/>
          <w:lang w:val="sr-Latn-ME"/>
        </w:rPr>
        <w:t>IgG4...............2%</w:t>
      </w:r>
    </w:p>
    <w:p w14:paraId="709A006F" w14:textId="77777777" w:rsidR="00940F3B" w:rsidRPr="00D35073" w:rsidRDefault="00940F3B" w:rsidP="00C35410">
      <w:pPr>
        <w:jc w:val="both"/>
        <w:rPr>
          <w:sz w:val="22"/>
          <w:szCs w:val="22"/>
          <w:lang w:val="sr-Latn-ME"/>
        </w:rPr>
      </w:pPr>
    </w:p>
    <w:p w14:paraId="5F0F8C32" w14:textId="4A4F1967" w:rsidR="00940F3B" w:rsidRPr="00D35073" w:rsidRDefault="00940F3B" w:rsidP="00C35410">
      <w:pPr>
        <w:jc w:val="both"/>
        <w:rPr>
          <w:sz w:val="22"/>
          <w:szCs w:val="22"/>
          <w:lang w:val="sr-Latn-ME"/>
        </w:rPr>
      </w:pPr>
      <w:r w:rsidRPr="00D35073">
        <w:rPr>
          <w:sz w:val="22"/>
          <w:szCs w:val="22"/>
          <w:lang w:val="sr-Latn-ME"/>
        </w:rPr>
        <w:t>Maksimalni sadržaj IgA je 300 mikrograma /ml</w:t>
      </w:r>
      <w:r w:rsidR="00165376" w:rsidRPr="00D35073">
        <w:rPr>
          <w:sz w:val="22"/>
          <w:szCs w:val="22"/>
          <w:lang w:val="sr-Latn-ME"/>
        </w:rPr>
        <w:t>.</w:t>
      </w:r>
    </w:p>
    <w:p w14:paraId="72824D53" w14:textId="77777777" w:rsidR="00940F3B" w:rsidRPr="00D35073" w:rsidRDefault="00940F3B" w:rsidP="00C35410">
      <w:pPr>
        <w:jc w:val="both"/>
        <w:rPr>
          <w:sz w:val="22"/>
          <w:szCs w:val="22"/>
          <w:lang w:val="sr-Latn-ME"/>
        </w:rPr>
      </w:pPr>
    </w:p>
    <w:p w14:paraId="0BDD7054" w14:textId="77777777" w:rsidR="00940F3B" w:rsidRPr="00D35073" w:rsidRDefault="00940F3B" w:rsidP="00C35410">
      <w:pPr>
        <w:jc w:val="both"/>
        <w:rPr>
          <w:sz w:val="22"/>
          <w:szCs w:val="22"/>
          <w:lang w:val="sr-Latn-ME"/>
        </w:rPr>
      </w:pPr>
      <w:r w:rsidRPr="00D35073">
        <w:rPr>
          <w:sz w:val="22"/>
          <w:szCs w:val="22"/>
          <w:lang w:val="sr-Latn-ME"/>
        </w:rPr>
        <w:t xml:space="preserve">Lijek je proizveden iz plazme ljudskih donora. </w:t>
      </w:r>
    </w:p>
    <w:p w14:paraId="492AEDB4" w14:textId="77777777" w:rsidR="00940F3B" w:rsidRPr="00D35073" w:rsidRDefault="00940F3B" w:rsidP="00C35410">
      <w:pPr>
        <w:jc w:val="both"/>
        <w:rPr>
          <w:sz w:val="22"/>
          <w:szCs w:val="22"/>
          <w:lang w:val="sr-Latn-ME"/>
        </w:rPr>
      </w:pPr>
    </w:p>
    <w:p w14:paraId="0EEDEC28" w14:textId="77777777" w:rsidR="00940F3B" w:rsidRPr="00D35073" w:rsidRDefault="00940F3B" w:rsidP="00C35410">
      <w:pPr>
        <w:jc w:val="both"/>
        <w:rPr>
          <w:sz w:val="22"/>
          <w:szCs w:val="22"/>
          <w:lang w:val="sr-Latn-ME"/>
        </w:rPr>
      </w:pPr>
      <w:r w:rsidRPr="00D35073">
        <w:rPr>
          <w:sz w:val="22"/>
          <w:szCs w:val="22"/>
          <w:lang w:val="sr-Latn-ME"/>
        </w:rPr>
        <w:t xml:space="preserve">Pomoćne supstance sa poznatim djelovanjem: </w:t>
      </w:r>
    </w:p>
    <w:p w14:paraId="7AE8225E" w14:textId="3AA4C3CC" w:rsidR="00940F3B" w:rsidRPr="00D35073" w:rsidRDefault="00940F3B" w:rsidP="00C35410">
      <w:pPr>
        <w:jc w:val="both"/>
        <w:rPr>
          <w:sz w:val="22"/>
          <w:szCs w:val="22"/>
          <w:lang w:val="sr-Latn-ME"/>
        </w:rPr>
      </w:pPr>
      <w:r w:rsidRPr="00D35073">
        <w:rPr>
          <w:sz w:val="22"/>
          <w:szCs w:val="22"/>
          <w:lang w:val="sr-Latn-ME"/>
        </w:rPr>
        <w:t>Ovaj lijek sadrži 33,1mg natrijuma po bočici od 48ml i 13,8m</w:t>
      </w:r>
      <w:r w:rsidR="008C13C5" w:rsidRPr="00D35073">
        <w:rPr>
          <w:sz w:val="22"/>
          <w:szCs w:val="22"/>
          <w:lang w:val="sr-Latn-ME"/>
        </w:rPr>
        <w:t>g</w:t>
      </w:r>
      <w:r w:rsidRPr="00D35073">
        <w:rPr>
          <w:sz w:val="22"/>
          <w:szCs w:val="22"/>
          <w:lang w:val="sr-Latn-ME"/>
        </w:rPr>
        <w:t xml:space="preserve"> natrijuma po bočici od 20ml, vidjeti dio 4.4.</w:t>
      </w:r>
    </w:p>
    <w:p w14:paraId="26C20DD9" w14:textId="37B376FA" w:rsidR="0003793F" w:rsidRPr="00D35073" w:rsidRDefault="0003793F" w:rsidP="00C35410">
      <w:pPr>
        <w:jc w:val="both"/>
        <w:rPr>
          <w:sz w:val="22"/>
          <w:szCs w:val="22"/>
          <w:lang w:val="sr-Latn-ME"/>
        </w:rPr>
      </w:pPr>
      <w:r w:rsidRPr="00D35073">
        <w:rPr>
          <w:sz w:val="22"/>
          <w:szCs w:val="22"/>
          <w:lang w:val="sr-Latn-ME"/>
        </w:rPr>
        <w:t>Za spisak svih ekscipijenasa, pogledati dio 6.1.</w:t>
      </w:r>
    </w:p>
    <w:p w14:paraId="7D99FCB2" w14:textId="77777777" w:rsidR="0003793F" w:rsidRPr="00D35073" w:rsidRDefault="0003793F" w:rsidP="00C35410">
      <w:pPr>
        <w:jc w:val="both"/>
        <w:rPr>
          <w:sz w:val="22"/>
          <w:szCs w:val="22"/>
          <w:lang w:val="sr-Latn-ME"/>
        </w:rPr>
      </w:pPr>
    </w:p>
    <w:p w14:paraId="178021B7" w14:textId="77777777" w:rsidR="00C37FD7" w:rsidRPr="00D35073" w:rsidRDefault="00C37FD7" w:rsidP="00C35410">
      <w:pPr>
        <w:jc w:val="both"/>
        <w:rPr>
          <w:sz w:val="22"/>
          <w:szCs w:val="22"/>
          <w:lang w:val="sr-Latn-ME"/>
        </w:rPr>
      </w:pPr>
    </w:p>
    <w:p w14:paraId="299A366F" w14:textId="7777777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t xml:space="preserve">3. </w:t>
      </w:r>
      <w:r w:rsidR="00F5167F" w:rsidRPr="00D35073">
        <w:rPr>
          <w:b/>
          <w:bCs/>
          <w:sz w:val="22"/>
          <w:szCs w:val="22"/>
          <w:lang w:val="sr-Latn-ME"/>
        </w:rPr>
        <w:tab/>
      </w:r>
      <w:r w:rsidRPr="00D35073">
        <w:rPr>
          <w:b/>
          <w:bCs/>
          <w:sz w:val="22"/>
          <w:szCs w:val="22"/>
          <w:lang w:val="sr-Latn-ME"/>
        </w:rPr>
        <w:t>FARMACEUTSKI OBLIK</w:t>
      </w:r>
      <w:r w:rsidR="009F2D23" w:rsidRPr="00D35073">
        <w:rPr>
          <w:b/>
          <w:bCs/>
          <w:sz w:val="22"/>
          <w:szCs w:val="22"/>
          <w:lang w:val="sr-Latn-ME"/>
        </w:rPr>
        <w:t xml:space="preserve"> </w:t>
      </w:r>
    </w:p>
    <w:p w14:paraId="1C2708B5" w14:textId="77777777" w:rsidR="00411B4B" w:rsidRPr="00D35073" w:rsidRDefault="00411B4B" w:rsidP="00C35410">
      <w:pPr>
        <w:jc w:val="both"/>
        <w:rPr>
          <w:bCs/>
          <w:sz w:val="22"/>
          <w:szCs w:val="22"/>
          <w:lang w:val="sr-Latn-ME"/>
        </w:rPr>
      </w:pPr>
    </w:p>
    <w:p w14:paraId="476526ED" w14:textId="77777777" w:rsidR="00940F3B" w:rsidRPr="00D35073" w:rsidRDefault="00940F3B" w:rsidP="00C35410">
      <w:pPr>
        <w:jc w:val="both"/>
        <w:rPr>
          <w:bCs/>
          <w:sz w:val="22"/>
          <w:szCs w:val="22"/>
          <w:lang w:val="sr-Latn-ME"/>
        </w:rPr>
      </w:pPr>
      <w:r w:rsidRPr="00D35073">
        <w:rPr>
          <w:bCs/>
          <w:sz w:val="22"/>
          <w:szCs w:val="22"/>
          <w:lang w:val="sr-Latn-ME"/>
        </w:rPr>
        <w:t xml:space="preserve">Rastvor za injekciju. </w:t>
      </w:r>
    </w:p>
    <w:p w14:paraId="0E931ADB" w14:textId="77777777" w:rsidR="00940F3B" w:rsidRPr="00D35073" w:rsidRDefault="00940F3B" w:rsidP="00C35410">
      <w:pPr>
        <w:jc w:val="both"/>
        <w:rPr>
          <w:bCs/>
          <w:sz w:val="22"/>
          <w:szCs w:val="22"/>
          <w:lang w:val="sr-Latn-ME"/>
        </w:rPr>
      </w:pPr>
      <w:r w:rsidRPr="00D35073">
        <w:rPr>
          <w:bCs/>
          <w:sz w:val="22"/>
          <w:szCs w:val="22"/>
          <w:lang w:val="sr-Latn-ME"/>
        </w:rPr>
        <w:t>Bistar i bezbojan rastvor.</w:t>
      </w:r>
    </w:p>
    <w:p w14:paraId="3C7A0559" w14:textId="5DF846D8" w:rsidR="00940F3B" w:rsidRPr="00D35073" w:rsidRDefault="00767429" w:rsidP="00C35410">
      <w:pPr>
        <w:jc w:val="both"/>
        <w:rPr>
          <w:bCs/>
          <w:sz w:val="22"/>
          <w:szCs w:val="22"/>
          <w:lang w:val="sr-Latn-ME"/>
        </w:rPr>
      </w:pPr>
      <w:r w:rsidRPr="00D35073">
        <w:rPr>
          <w:bCs/>
          <w:sz w:val="22"/>
          <w:szCs w:val="22"/>
          <w:lang w:val="sr-Latn-ME"/>
        </w:rPr>
        <w:t>U toku</w:t>
      </w:r>
      <w:r w:rsidR="00940F3B" w:rsidRPr="00D35073">
        <w:rPr>
          <w:bCs/>
          <w:sz w:val="22"/>
          <w:szCs w:val="22"/>
          <w:lang w:val="sr-Latn-ME"/>
        </w:rPr>
        <w:t xml:space="preserve"> čuvanja rastvor može postati blago opalescentan do blijedo žut. </w:t>
      </w:r>
    </w:p>
    <w:p w14:paraId="302BED3E" w14:textId="684D250C" w:rsidR="00940F3B" w:rsidRPr="00D35073" w:rsidRDefault="00940F3B" w:rsidP="00C35410">
      <w:pPr>
        <w:jc w:val="both"/>
        <w:rPr>
          <w:bCs/>
          <w:sz w:val="22"/>
          <w:szCs w:val="22"/>
          <w:lang w:val="sr-Latn-ME"/>
        </w:rPr>
      </w:pPr>
      <w:r w:rsidRPr="00D35073">
        <w:rPr>
          <w:bCs/>
          <w:sz w:val="22"/>
          <w:szCs w:val="22"/>
          <w:lang w:val="sr-Latn-ME"/>
        </w:rPr>
        <w:t>Osmolalnost rastvora je 310 do 380</w:t>
      </w:r>
      <w:r w:rsidR="00054DCF" w:rsidRPr="00D35073">
        <w:rPr>
          <w:bCs/>
          <w:sz w:val="22"/>
          <w:szCs w:val="22"/>
          <w:lang w:val="sr-Latn-ME"/>
        </w:rPr>
        <w:t xml:space="preserve"> </w:t>
      </w:r>
      <w:r w:rsidRPr="00D35073">
        <w:rPr>
          <w:bCs/>
          <w:sz w:val="22"/>
          <w:szCs w:val="22"/>
          <w:lang w:val="sr-Latn-ME"/>
        </w:rPr>
        <w:t>mosmol/kg</w:t>
      </w:r>
    </w:p>
    <w:p w14:paraId="5EC43F8C" w14:textId="4FA5C857" w:rsidR="00940F3B" w:rsidRPr="00D35073" w:rsidRDefault="00940F3B" w:rsidP="00C35410">
      <w:pPr>
        <w:jc w:val="both"/>
        <w:rPr>
          <w:bCs/>
          <w:sz w:val="22"/>
          <w:szCs w:val="22"/>
          <w:lang w:val="sr-Latn-ME"/>
        </w:rPr>
      </w:pPr>
      <w:r w:rsidRPr="00D35073">
        <w:rPr>
          <w:bCs/>
          <w:sz w:val="22"/>
          <w:szCs w:val="22"/>
          <w:lang w:val="sr-Latn-ME"/>
        </w:rPr>
        <w:t>pH rastvora je 5-5,5.</w:t>
      </w:r>
    </w:p>
    <w:p w14:paraId="47AD3DC2" w14:textId="77777777" w:rsidR="00940F3B" w:rsidRPr="00D35073" w:rsidRDefault="00940F3B" w:rsidP="00C35410">
      <w:pPr>
        <w:jc w:val="both"/>
        <w:rPr>
          <w:bCs/>
          <w:sz w:val="22"/>
          <w:szCs w:val="22"/>
          <w:lang w:val="sr-Latn-ME"/>
        </w:rPr>
      </w:pPr>
    </w:p>
    <w:p w14:paraId="64945D23" w14:textId="565BA106" w:rsidR="00940F3B" w:rsidRPr="00D35073" w:rsidRDefault="00940F3B" w:rsidP="00C35410">
      <w:pPr>
        <w:jc w:val="both"/>
        <w:rPr>
          <w:bCs/>
          <w:sz w:val="22"/>
          <w:szCs w:val="22"/>
          <w:lang w:val="sr-Latn-ME"/>
        </w:rPr>
      </w:pPr>
    </w:p>
    <w:p w14:paraId="143D584C" w14:textId="77777777" w:rsidR="005277FB" w:rsidRPr="00D35073" w:rsidRDefault="005277FB" w:rsidP="00C35410">
      <w:pPr>
        <w:jc w:val="both"/>
        <w:rPr>
          <w:bCs/>
          <w:sz w:val="22"/>
          <w:szCs w:val="22"/>
          <w:lang w:val="sr-Latn-ME"/>
        </w:rPr>
      </w:pPr>
    </w:p>
    <w:p w14:paraId="4818B953" w14:textId="7777777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lastRenderedPageBreak/>
        <w:t xml:space="preserve">4. </w:t>
      </w:r>
      <w:r w:rsidR="00480FB1" w:rsidRPr="00D35073">
        <w:rPr>
          <w:b/>
          <w:bCs/>
          <w:sz w:val="22"/>
          <w:szCs w:val="22"/>
          <w:lang w:val="sr-Latn-ME"/>
        </w:rPr>
        <w:tab/>
      </w:r>
      <w:r w:rsidRPr="00D35073">
        <w:rPr>
          <w:b/>
          <w:bCs/>
          <w:sz w:val="22"/>
          <w:szCs w:val="22"/>
          <w:lang w:val="sr-Latn-ME"/>
        </w:rPr>
        <w:t>KLINIČKI PODACI</w:t>
      </w:r>
    </w:p>
    <w:p w14:paraId="778A8F2C" w14:textId="77777777" w:rsidR="00CD6F02" w:rsidRPr="00D35073" w:rsidRDefault="00CD6F02" w:rsidP="00C35410">
      <w:pPr>
        <w:tabs>
          <w:tab w:val="left" w:pos="540"/>
          <w:tab w:val="left" w:pos="569"/>
        </w:tabs>
        <w:jc w:val="both"/>
        <w:rPr>
          <w:bCs/>
          <w:sz w:val="22"/>
          <w:szCs w:val="22"/>
          <w:lang w:val="sr-Latn-ME"/>
        </w:rPr>
      </w:pPr>
    </w:p>
    <w:p w14:paraId="19A38C03" w14:textId="7777777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t xml:space="preserve">4.1. </w:t>
      </w:r>
      <w:r w:rsidR="00480FB1" w:rsidRPr="00D35073">
        <w:rPr>
          <w:b/>
          <w:bCs/>
          <w:sz w:val="22"/>
          <w:szCs w:val="22"/>
          <w:lang w:val="sr-Latn-ME"/>
        </w:rPr>
        <w:tab/>
      </w:r>
      <w:r w:rsidRPr="00D35073">
        <w:rPr>
          <w:b/>
          <w:bCs/>
          <w:sz w:val="22"/>
          <w:szCs w:val="22"/>
          <w:lang w:val="sr-Latn-ME"/>
        </w:rPr>
        <w:t>Terapijske indikacije</w:t>
      </w:r>
    </w:p>
    <w:p w14:paraId="7FB2AB0A" w14:textId="77777777" w:rsidR="00940F3B" w:rsidRPr="00D35073" w:rsidRDefault="00940F3B" w:rsidP="00C35410">
      <w:pPr>
        <w:tabs>
          <w:tab w:val="left" w:pos="540"/>
          <w:tab w:val="left" w:pos="569"/>
        </w:tabs>
        <w:jc w:val="both"/>
        <w:rPr>
          <w:b/>
          <w:bCs/>
          <w:sz w:val="22"/>
          <w:szCs w:val="22"/>
          <w:lang w:val="sr-Latn-ME"/>
        </w:rPr>
      </w:pPr>
    </w:p>
    <w:p w14:paraId="6BE8149D" w14:textId="77777777" w:rsidR="00940F3B" w:rsidRPr="00D35073" w:rsidRDefault="00940F3B" w:rsidP="00C35410">
      <w:pPr>
        <w:tabs>
          <w:tab w:val="left" w:pos="540"/>
          <w:tab w:val="left" w:pos="569"/>
        </w:tabs>
        <w:jc w:val="both"/>
        <w:rPr>
          <w:bCs/>
          <w:i/>
          <w:iCs/>
          <w:sz w:val="22"/>
          <w:szCs w:val="22"/>
          <w:u w:val="single"/>
          <w:lang w:val="sr-Latn-ME"/>
        </w:rPr>
      </w:pPr>
      <w:r w:rsidRPr="00D35073">
        <w:rPr>
          <w:bCs/>
          <w:i/>
          <w:iCs/>
          <w:sz w:val="22"/>
          <w:szCs w:val="22"/>
          <w:u w:val="single"/>
          <w:lang w:val="sr-Latn-ME"/>
        </w:rPr>
        <w:t>Supstituciona terapija kod odraslih, djece i adolescenata (0-18 godina) kod:</w:t>
      </w:r>
    </w:p>
    <w:p w14:paraId="56AFCB0A" w14:textId="77777777" w:rsidR="00940F3B" w:rsidRPr="00D35073" w:rsidRDefault="00940F3B" w:rsidP="00C35410">
      <w:pPr>
        <w:tabs>
          <w:tab w:val="left" w:pos="540"/>
          <w:tab w:val="left" w:pos="569"/>
        </w:tabs>
        <w:jc w:val="both"/>
        <w:rPr>
          <w:b/>
          <w:bCs/>
          <w:sz w:val="22"/>
          <w:szCs w:val="22"/>
          <w:lang w:val="sr-Latn-ME"/>
        </w:rPr>
      </w:pPr>
    </w:p>
    <w:p w14:paraId="664A1888" w14:textId="77777777" w:rsidR="00940F3B" w:rsidRPr="00D35073" w:rsidRDefault="00940F3B" w:rsidP="00C35410">
      <w:pPr>
        <w:tabs>
          <w:tab w:val="left" w:pos="540"/>
          <w:tab w:val="left" w:pos="569"/>
        </w:tabs>
        <w:jc w:val="both"/>
        <w:rPr>
          <w:sz w:val="22"/>
          <w:szCs w:val="22"/>
          <w:lang w:val="sr-Latn-ME"/>
        </w:rPr>
      </w:pPr>
      <w:r w:rsidRPr="00D35073">
        <w:rPr>
          <w:b/>
          <w:bCs/>
          <w:sz w:val="22"/>
          <w:szCs w:val="22"/>
          <w:lang w:val="sr-Latn-ME"/>
        </w:rPr>
        <w:t>•</w:t>
      </w:r>
      <w:r w:rsidRPr="00D35073">
        <w:rPr>
          <w:b/>
          <w:bCs/>
          <w:sz w:val="22"/>
          <w:szCs w:val="22"/>
          <w:lang w:val="sr-Latn-ME"/>
        </w:rPr>
        <w:tab/>
      </w:r>
      <w:r w:rsidRPr="00D35073">
        <w:rPr>
          <w:sz w:val="22"/>
          <w:szCs w:val="22"/>
          <w:lang w:val="sr-Latn-ME"/>
        </w:rPr>
        <w:t>Sindrom primarne imunodeficijencije (eng.primary immunodeficiency, PID) sa smanjenim stvaranjem antitijela (vidjeti dio 4.4)</w:t>
      </w:r>
    </w:p>
    <w:p w14:paraId="439BF5DE" w14:textId="20C34C12" w:rsidR="00940F3B" w:rsidRPr="00D35073" w:rsidRDefault="00940F3B" w:rsidP="00C35410">
      <w:pPr>
        <w:tabs>
          <w:tab w:val="left" w:pos="540"/>
          <w:tab w:val="left" w:pos="569"/>
        </w:tabs>
        <w:jc w:val="both"/>
        <w:rPr>
          <w:sz w:val="22"/>
          <w:szCs w:val="22"/>
          <w:lang w:val="sr-Latn-ME"/>
        </w:rPr>
      </w:pPr>
      <w:r w:rsidRPr="00D35073">
        <w:rPr>
          <w:sz w:val="22"/>
          <w:szCs w:val="22"/>
          <w:lang w:val="sr-Latn-ME"/>
        </w:rPr>
        <w:t>•</w:t>
      </w:r>
      <w:r w:rsidRPr="00D35073">
        <w:rPr>
          <w:sz w:val="22"/>
          <w:szCs w:val="22"/>
          <w:lang w:val="sr-Latn-ME"/>
        </w:rPr>
        <w:tab/>
        <w:t>Sekundarne imunodeficijencij</w:t>
      </w:r>
      <w:r w:rsidR="00EA282D" w:rsidRPr="00D35073">
        <w:rPr>
          <w:sz w:val="22"/>
          <w:szCs w:val="22"/>
          <w:lang w:val="sr-Latn-ME"/>
        </w:rPr>
        <w:t>e</w:t>
      </w:r>
      <w:r w:rsidRPr="00D35073">
        <w:rPr>
          <w:sz w:val="22"/>
          <w:szCs w:val="22"/>
          <w:lang w:val="sr-Latn-ME"/>
        </w:rPr>
        <w:t xml:space="preserve">(SID) kod pacijenata sa teškim ili rekurentnim infekcijama, kod kojih antimikrobno liječenje nije bilo djelotvorno i kod bolesnika sa dokazanim nedostatkom stvaranja antitijela (PSAF)* ili koncentracijom IgG-a u serumu &lt;4g/l. </w:t>
      </w:r>
    </w:p>
    <w:p w14:paraId="51342508" w14:textId="77777777" w:rsidR="00940F3B" w:rsidRPr="00D35073" w:rsidRDefault="00940F3B" w:rsidP="00C35410">
      <w:pPr>
        <w:tabs>
          <w:tab w:val="left" w:pos="540"/>
          <w:tab w:val="left" w:pos="569"/>
        </w:tabs>
        <w:jc w:val="both"/>
        <w:rPr>
          <w:sz w:val="22"/>
          <w:szCs w:val="22"/>
          <w:lang w:val="sr-Latn-ME"/>
        </w:rPr>
      </w:pPr>
    </w:p>
    <w:p w14:paraId="587D8683" w14:textId="359FB85B" w:rsidR="00940F3B" w:rsidRPr="00D35073" w:rsidRDefault="00940F3B" w:rsidP="00C35410">
      <w:pPr>
        <w:tabs>
          <w:tab w:val="left" w:pos="540"/>
          <w:tab w:val="left" w:pos="569"/>
        </w:tabs>
        <w:jc w:val="both"/>
        <w:rPr>
          <w:sz w:val="22"/>
          <w:szCs w:val="22"/>
          <w:lang w:val="sr-Latn-ME"/>
        </w:rPr>
      </w:pPr>
      <w:r w:rsidRPr="00D35073">
        <w:rPr>
          <w:sz w:val="22"/>
          <w:szCs w:val="22"/>
          <w:lang w:val="sr-Latn-ME"/>
        </w:rPr>
        <w:t>*PSAF= (eng. Proven specific antibody failure)=nemogućnost postizanja barem dvostrukog porasta IgG antitijela na polisaharide i polipeptidne antigene u pneumokokni</w:t>
      </w:r>
      <w:r w:rsidR="00A45B8C" w:rsidRPr="00D35073">
        <w:rPr>
          <w:sz w:val="22"/>
          <w:szCs w:val="22"/>
          <w:lang w:val="sr-Latn-ME"/>
        </w:rPr>
        <w:t xml:space="preserve">m </w:t>
      </w:r>
      <w:r w:rsidRPr="00D35073">
        <w:rPr>
          <w:sz w:val="22"/>
          <w:szCs w:val="22"/>
          <w:lang w:val="sr-Latn-ME"/>
        </w:rPr>
        <w:t xml:space="preserve"> vakcinama</w:t>
      </w:r>
      <w:r w:rsidR="00EA282D" w:rsidRPr="00D35073">
        <w:rPr>
          <w:sz w:val="22"/>
          <w:szCs w:val="22"/>
          <w:lang w:val="sr-Latn-ME"/>
        </w:rPr>
        <w:t>.</w:t>
      </w:r>
    </w:p>
    <w:p w14:paraId="629E2AED" w14:textId="77777777" w:rsidR="00940F3B" w:rsidRPr="00D35073" w:rsidRDefault="00940F3B" w:rsidP="00C35410">
      <w:pPr>
        <w:tabs>
          <w:tab w:val="left" w:pos="540"/>
          <w:tab w:val="left" w:pos="569"/>
        </w:tabs>
        <w:jc w:val="both"/>
        <w:rPr>
          <w:b/>
          <w:bCs/>
          <w:sz w:val="22"/>
          <w:szCs w:val="22"/>
          <w:lang w:val="sr-Latn-ME"/>
        </w:rPr>
      </w:pPr>
    </w:p>
    <w:p w14:paraId="323F20D6" w14:textId="77777777" w:rsidR="00411B4B" w:rsidRPr="00D35073" w:rsidRDefault="00411B4B" w:rsidP="00C35410">
      <w:pPr>
        <w:tabs>
          <w:tab w:val="left" w:pos="540"/>
          <w:tab w:val="left" w:pos="569"/>
        </w:tabs>
        <w:jc w:val="both"/>
        <w:rPr>
          <w:bCs/>
          <w:sz w:val="22"/>
          <w:szCs w:val="22"/>
          <w:lang w:val="sr-Latn-ME"/>
        </w:rPr>
      </w:pPr>
    </w:p>
    <w:p w14:paraId="3ADB921A" w14:textId="7777777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t xml:space="preserve">4.2. </w:t>
      </w:r>
      <w:r w:rsidR="00480FB1" w:rsidRPr="00D35073">
        <w:rPr>
          <w:b/>
          <w:bCs/>
          <w:sz w:val="22"/>
          <w:szCs w:val="22"/>
          <w:lang w:val="sr-Latn-ME"/>
        </w:rPr>
        <w:tab/>
      </w:r>
      <w:r w:rsidRPr="00D35073">
        <w:rPr>
          <w:b/>
          <w:bCs/>
          <w:sz w:val="22"/>
          <w:szCs w:val="22"/>
          <w:lang w:val="sr-Latn-ME"/>
        </w:rPr>
        <w:t>Doziranje i način primjene</w:t>
      </w:r>
    </w:p>
    <w:p w14:paraId="1480B98D" w14:textId="77777777" w:rsidR="0072020E" w:rsidRPr="00D35073" w:rsidRDefault="0072020E" w:rsidP="00C35410">
      <w:pPr>
        <w:tabs>
          <w:tab w:val="left" w:pos="540"/>
          <w:tab w:val="left" w:pos="569"/>
        </w:tabs>
        <w:jc w:val="both"/>
        <w:rPr>
          <w:bCs/>
          <w:sz w:val="22"/>
          <w:szCs w:val="22"/>
          <w:lang w:val="sr-Latn-ME"/>
        </w:rPr>
      </w:pPr>
    </w:p>
    <w:p w14:paraId="0EBDA11B"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Supstitucionu terapiju treba započeti i nadgledati ljekar sa iskustvom u liječenju imunodeficijencije.</w:t>
      </w:r>
    </w:p>
    <w:p w14:paraId="1BDA3518" w14:textId="77777777" w:rsidR="00940F3B" w:rsidRPr="00D35073" w:rsidRDefault="00940F3B" w:rsidP="00C35410">
      <w:pPr>
        <w:tabs>
          <w:tab w:val="left" w:pos="540"/>
          <w:tab w:val="left" w:pos="569"/>
        </w:tabs>
        <w:jc w:val="both"/>
        <w:rPr>
          <w:bCs/>
          <w:sz w:val="22"/>
          <w:szCs w:val="22"/>
          <w:lang w:val="sr-Latn-ME"/>
        </w:rPr>
      </w:pPr>
    </w:p>
    <w:p w14:paraId="1D339A9C"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Doziranje</w:t>
      </w:r>
    </w:p>
    <w:p w14:paraId="40165D90"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Doza i režim doziranja zavise od indikacije. </w:t>
      </w:r>
    </w:p>
    <w:p w14:paraId="1667E526" w14:textId="27575723" w:rsidR="00FE71EC" w:rsidRPr="00D35073" w:rsidRDefault="00FE71EC" w:rsidP="00C35410">
      <w:pPr>
        <w:tabs>
          <w:tab w:val="left" w:pos="540"/>
          <w:tab w:val="left" w:pos="569"/>
        </w:tabs>
        <w:jc w:val="both"/>
        <w:rPr>
          <w:bCs/>
          <w:sz w:val="22"/>
          <w:szCs w:val="22"/>
          <w:lang w:val="sr-Latn-ME"/>
        </w:rPr>
      </w:pPr>
    </w:p>
    <w:p w14:paraId="351021DF" w14:textId="77777777" w:rsidR="00940F3B" w:rsidRPr="00D35073" w:rsidRDefault="00940F3B" w:rsidP="00C35410">
      <w:pPr>
        <w:tabs>
          <w:tab w:val="left" w:pos="540"/>
          <w:tab w:val="left" w:pos="569"/>
        </w:tabs>
        <w:jc w:val="both"/>
        <w:rPr>
          <w:bCs/>
          <w:sz w:val="22"/>
          <w:szCs w:val="22"/>
          <w:lang w:val="sr-Latn-ME"/>
        </w:rPr>
      </w:pPr>
    </w:p>
    <w:p w14:paraId="46F04991"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Način primjene</w:t>
      </w:r>
    </w:p>
    <w:p w14:paraId="662D561D" w14:textId="34138837" w:rsidR="00FE71EC" w:rsidRPr="00D35073" w:rsidRDefault="00FE71EC" w:rsidP="00C35410">
      <w:pPr>
        <w:tabs>
          <w:tab w:val="left" w:pos="540"/>
          <w:tab w:val="left" w:pos="569"/>
        </w:tabs>
        <w:jc w:val="both"/>
        <w:rPr>
          <w:bCs/>
          <w:sz w:val="22"/>
          <w:szCs w:val="22"/>
          <w:lang w:val="sr-Latn-ME"/>
        </w:rPr>
      </w:pPr>
      <w:r w:rsidRPr="00D35073">
        <w:rPr>
          <w:bCs/>
          <w:sz w:val="22"/>
          <w:szCs w:val="22"/>
          <w:lang w:val="sr-Latn-ME"/>
        </w:rPr>
        <w:t>Supstituciona terapija</w:t>
      </w:r>
    </w:p>
    <w:p w14:paraId="0B432C8D" w14:textId="77777777" w:rsidR="00940F3B" w:rsidRPr="00D35073" w:rsidRDefault="00940F3B" w:rsidP="00C35410">
      <w:pPr>
        <w:tabs>
          <w:tab w:val="left" w:pos="540"/>
          <w:tab w:val="left" w:pos="569"/>
        </w:tabs>
        <w:jc w:val="both"/>
        <w:rPr>
          <w:bCs/>
          <w:sz w:val="22"/>
          <w:szCs w:val="22"/>
          <w:lang w:val="sr-Latn-ME"/>
        </w:rPr>
      </w:pPr>
      <w:bookmarkStart w:id="0" w:name="_GoBack"/>
      <w:bookmarkEnd w:id="0"/>
    </w:p>
    <w:p w14:paraId="2B10CDC7" w14:textId="260394BD"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Lijek je potrebno prim</w:t>
      </w:r>
      <w:r w:rsidR="00ED7635" w:rsidRPr="00D35073">
        <w:rPr>
          <w:bCs/>
          <w:sz w:val="22"/>
          <w:szCs w:val="22"/>
          <w:lang w:val="sr-Latn-ME"/>
        </w:rPr>
        <w:t>i</w:t>
      </w:r>
      <w:r w:rsidRPr="00D35073">
        <w:rPr>
          <w:bCs/>
          <w:sz w:val="22"/>
          <w:szCs w:val="22"/>
          <w:lang w:val="sr-Latn-ME"/>
        </w:rPr>
        <w:t>jeniti su</w:t>
      </w:r>
      <w:r w:rsidR="008C13C5" w:rsidRPr="00D35073">
        <w:rPr>
          <w:bCs/>
          <w:sz w:val="22"/>
          <w:szCs w:val="22"/>
          <w:lang w:val="sr-Latn-ME"/>
        </w:rPr>
        <w:t>b</w:t>
      </w:r>
      <w:r w:rsidRPr="00D35073">
        <w:rPr>
          <w:bCs/>
          <w:sz w:val="22"/>
          <w:szCs w:val="22"/>
          <w:lang w:val="sr-Latn-ME"/>
        </w:rPr>
        <w:t xml:space="preserve">kutano. </w:t>
      </w:r>
    </w:p>
    <w:p w14:paraId="3EB319BE" w14:textId="77777777" w:rsidR="00940F3B" w:rsidRPr="00D35073" w:rsidRDefault="00940F3B" w:rsidP="00C35410">
      <w:pPr>
        <w:tabs>
          <w:tab w:val="left" w:pos="540"/>
          <w:tab w:val="left" w:pos="569"/>
        </w:tabs>
        <w:jc w:val="both"/>
        <w:rPr>
          <w:bCs/>
          <w:sz w:val="22"/>
          <w:szCs w:val="22"/>
          <w:lang w:val="sr-Latn-ME"/>
        </w:rPr>
      </w:pPr>
    </w:p>
    <w:p w14:paraId="77EF6EAE"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Kod supstitucione terapije, doziranje treba individualno prilagoditi svakom pacijentu zavisno od farmakokinetičkog i kliničkog odgovora. </w:t>
      </w:r>
    </w:p>
    <w:p w14:paraId="3775EF30" w14:textId="39A24462"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Cutaquig se može primjenjivati u redovnim intervalima koji mogu biti u rasponu od svakodnevne primjene do primjene svake druge ned</w:t>
      </w:r>
      <w:r w:rsidR="0028663A" w:rsidRPr="00D35073">
        <w:rPr>
          <w:bCs/>
          <w:sz w:val="22"/>
          <w:szCs w:val="22"/>
          <w:lang w:val="sr-Latn-ME"/>
        </w:rPr>
        <w:t>j</w:t>
      </w:r>
      <w:r w:rsidRPr="00D35073">
        <w:rPr>
          <w:bCs/>
          <w:sz w:val="22"/>
          <w:szCs w:val="22"/>
          <w:lang w:val="sr-Latn-ME"/>
        </w:rPr>
        <w:t xml:space="preserve">elje. </w:t>
      </w:r>
    </w:p>
    <w:p w14:paraId="4265E685" w14:textId="50CBE832"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Sl</w:t>
      </w:r>
      <w:r w:rsidR="0028663A" w:rsidRPr="00D35073">
        <w:rPr>
          <w:bCs/>
          <w:sz w:val="22"/>
          <w:szCs w:val="22"/>
          <w:lang w:val="sr-Latn-ME"/>
        </w:rPr>
        <w:t>j</w:t>
      </w:r>
      <w:r w:rsidRPr="00D35073">
        <w:rPr>
          <w:bCs/>
          <w:sz w:val="22"/>
          <w:szCs w:val="22"/>
          <w:lang w:val="sr-Latn-ME"/>
        </w:rPr>
        <w:t>edeći režimi doziranja navedeni su kao smjernice:</w:t>
      </w:r>
    </w:p>
    <w:p w14:paraId="5A494D3D" w14:textId="77777777" w:rsidR="00940F3B" w:rsidRPr="00D35073" w:rsidRDefault="00940F3B" w:rsidP="00C35410">
      <w:pPr>
        <w:tabs>
          <w:tab w:val="left" w:pos="540"/>
          <w:tab w:val="left" w:pos="569"/>
        </w:tabs>
        <w:jc w:val="both"/>
        <w:rPr>
          <w:bCs/>
          <w:sz w:val="22"/>
          <w:szCs w:val="22"/>
          <w:lang w:val="sr-Latn-ME"/>
        </w:rPr>
      </w:pPr>
    </w:p>
    <w:p w14:paraId="4924FD98" w14:textId="77777777" w:rsidR="00940F3B" w:rsidRPr="00D35073" w:rsidRDefault="00940F3B" w:rsidP="00C35410">
      <w:pPr>
        <w:tabs>
          <w:tab w:val="left" w:pos="540"/>
          <w:tab w:val="left" w:pos="569"/>
        </w:tabs>
        <w:jc w:val="both"/>
        <w:rPr>
          <w:bCs/>
          <w:sz w:val="22"/>
          <w:szCs w:val="22"/>
          <w:lang w:val="sr-Latn-ME"/>
        </w:rPr>
      </w:pPr>
      <w:r w:rsidRPr="00D35073">
        <w:rPr>
          <w:bCs/>
          <w:i/>
          <w:iCs/>
          <w:sz w:val="22"/>
          <w:szCs w:val="22"/>
          <w:lang w:val="sr-Latn-ME"/>
        </w:rPr>
        <w:t>Supstituciona terapija kod sindroma primarne imunodeficijencije</w:t>
      </w:r>
      <w:r w:rsidRPr="00D35073">
        <w:rPr>
          <w:bCs/>
          <w:sz w:val="22"/>
          <w:szCs w:val="22"/>
          <w:lang w:val="sr-Latn-ME"/>
        </w:rPr>
        <w:t xml:space="preserve"> </w:t>
      </w:r>
      <w:r w:rsidRPr="00D35073">
        <w:rPr>
          <w:bCs/>
          <w:i/>
          <w:iCs/>
          <w:sz w:val="22"/>
          <w:szCs w:val="22"/>
          <w:lang w:val="sr-Latn-ME"/>
        </w:rPr>
        <w:t>(kako je definisano u dijelu 4.1.)</w:t>
      </w:r>
    </w:p>
    <w:p w14:paraId="2B21814B" w14:textId="77777777" w:rsidR="00940F3B" w:rsidRPr="00D35073" w:rsidRDefault="00940F3B" w:rsidP="00C35410">
      <w:pPr>
        <w:tabs>
          <w:tab w:val="left" w:pos="540"/>
          <w:tab w:val="left" w:pos="569"/>
        </w:tabs>
        <w:jc w:val="both"/>
        <w:rPr>
          <w:bCs/>
          <w:sz w:val="22"/>
          <w:szCs w:val="22"/>
          <w:lang w:val="sr-Latn-ME"/>
        </w:rPr>
      </w:pPr>
    </w:p>
    <w:p w14:paraId="3F69E241" w14:textId="606F1BC3"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Režimom doziranja treba posti</w:t>
      </w:r>
      <w:r w:rsidR="00C85317" w:rsidRPr="00D35073">
        <w:rPr>
          <w:bCs/>
          <w:sz w:val="22"/>
          <w:szCs w:val="22"/>
          <w:lang w:val="sr-Latn-ME"/>
        </w:rPr>
        <w:t>ć</w:t>
      </w:r>
      <w:r w:rsidRPr="00D35073">
        <w:rPr>
          <w:bCs/>
          <w:sz w:val="22"/>
          <w:szCs w:val="22"/>
          <w:lang w:val="sr-Latn-ME"/>
        </w:rPr>
        <w:t>i najnižu koncentraciju IgG-a (izmjerenu prije naredne infuzije) od najmanje 5-6g/l unutar referentnog intervala serumskog IgG-a za određeni uzrast. Može biti potrebna udarna doza od najmanje 0,2 do 0,5 g/kg (1,2 do 3,0</w:t>
      </w:r>
      <w:r w:rsidR="00AB5C52" w:rsidRPr="00D35073">
        <w:rPr>
          <w:bCs/>
          <w:sz w:val="22"/>
          <w:szCs w:val="22"/>
          <w:lang w:val="sr-Latn-ME"/>
        </w:rPr>
        <w:t xml:space="preserve"> </w:t>
      </w:r>
      <w:r w:rsidRPr="00D35073">
        <w:rPr>
          <w:bCs/>
          <w:sz w:val="22"/>
          <w:szCs w:val="22"/>
          <w:lang w:val="sr-Latn-ME"/>
        </w:rPr>
        <w:t xml:space="preserve">ml/kg) tjelesne težine, koju će možda trebati podijeliti na nekoliko dana tako da maksimalna dnevna doza 0,1 do 0,15 g/kg. </w:t>
      </w:r>
    </w:p>
    <w:p w14:paraId="5C19A071" w14:textId="77777777" w:rsidR="00940F3B" w:rsidRPr="00D35073" w:rsidRDefault="00940F3B" w:rsidP="00C35410">
      <w:pPr>
        <w:tabs>
          <w:tab w:val="left" w:pos="540"/>
          <w:tab w:val="left" w:pos="569"/>
        </w:tabs>
        <w:jc w:val="both"/>
        <w:rPr>
          <w:bCs/>
          <w:sz w:val="22"/>
          <w:szCs w:val="22"/>
          <w:lang w:val="sr-Latn-ME"/>
        </w:rPr>
      </w:pPr>
    </w:p>
    <w:p w14:paraId="5E2CFE2B" w14:textId="726DD60C"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Nakon što se postignu vrijednosti IgG-a </w:t>
      </w:r>
      <w:r w:rsidR="0028663A" w:rsidRPr="00D35073">
        <w:rPr>
          <w:bCs/>
          <w:sz w:val="22"/>
          <w:szCs w:val="22"/>
          <w:lang w:val="sr-Latn-ME"/>
        </w:rPr>
        <w:t xml:space="preserve">u </w:t>
      </w:r>
      <w:r w:rsidRPr="00D35073">
        <w:rPr>
          <w:bCs/>
          <w:sz w:val="22"/>
          <w:szCs w:val="22"/>
          <w:lang w:val="sr-Latn-ME"/>
        </w:rPr>
        <w:t xml:space="preserve">stanje dinamičke ravnoteže, doze održavanja primjenjuju se u jednakim intervalima kako bi se postigla ukupna mjesečna doza od 0,4-0,8 g/kg (2,4 do 4,8 ml/kg). Svaku pojedinačnu dozu možda će biti potrebno primjenjivati u različito mjesto. </w:t>
      </w:r>
    </w:p>
    <w:p w14:paraId="7F1F9FC5" w14:textId="77777777" w:rsidR="00940F3B" w:rsidRPr="00D35073" w:rsidRDefault="00940F3B" w:rsidP="00C35410">
      <w:pPr>
        <w:tabs>
          <w:tab w:val="left" w:pos="540"/>
          <w:tab w:val="left" w:pos="569"/>
        </w:tabs>
        <w:jc w:val="both"/>
        <w:rPr>
          <w:bCs/>
          <w:sz w:val="22"/>
          <w:szCs w:val="22"/>
          <w:lang w:val="sr-Latn-ME"/>
        </w:rPr>
      </w:pPr>
    </w:p>
    <w:p w14:paraId="7B4134D6"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Najniže potrebne doze lijeka potrebno je odrediti i dalje procijenjivati u odnosu na učestalost pojave infekcija. Za smanjenje učestalosti infekcija možda će biti potrebno povećati najnižu procijenjenu dozu koju je potrebno dalje održavati. </w:t>
      </w:r>
    </w:p>
    <w:p w14:paraId="39EAC41D" w14:textId="77777777" w:rsidR="00C636D2" w:rsidRPr="00D35073" w:rsidRDefault="00C636D2" w:rsidP="00C35410">
      <w:pPr>
        <w:tabs>
          <w:tab w:val="left" w:pos="540"/>
          <w:tab w:val="left" w:pos="569"/>
        </w:tabs>
        <w:jc w:val="both"/>
        <w:rPr>
          <w:bCs/>
          <w:i/>
          <w:iCs/>
          <w:sz w:val="22"/>
          <w:szCs w:val="22"/>
          <w:lang w:val="sr-Latn-ME"/>
        </w:rPr>
      </w:pPr>
    </w:p>
    <w:p w14:paraId="02F42366" w14:textId="77777777" w:rsidR="00C636D2" w:rsidRPr="00D35073" w:rsidRDefault="00C636D2" w:rsidP="00C35410">
      <w:pPr>
        <w:tabs>
          <w:tab w:val="left" w:pos="540"/>
          <w:tab w:val="left" w:pos="569"/>
        </w:tabs>
        <w:jc w:val="both"/>
        <w:rPr>
          <w:bCs/>
          <w:i/>
          <w:iCs/>
          <w:sz w:val="22"/>
          <w:szCs w:val="22"/>
          <w:lang w:val="sr-Latn-ME"/>
        </w:rPr>
      </w:pPr>
    </w:p>
    <w:p w14:paraId="5DA3F994" w14:textId="7E725357" w:rsidR="00940F3B" w:rsidRPr="00D35073" w:rsidRDefault="00940F3B" w:rsidP="00C35410">
      <w:pPr>
        <w:tabs>
          <w:tab w:val="left" w:pos="540"/>
          <w:tab w:val="left" w:pos="569"/>
        </w:tabs>
        <w:jc w:val="both"/>
        <w:rPr>
          <w:bCs/>
          <w:i/>
          <w:iCs/>
          <w:sz w:val="22"/>
          <w:szCs w:val="22"/>
          <w:lang w:val="sr-Latn-ME"/>
        </w:rPr>
      </w:pPr>
      <w:r w:rsidRPr="00D35073">
        <w:rPr>
          <w:bCs/>
          <w:i/>
          <w:iCs/>
          <w:sz w:val="22"/>
          <w:szCs w:val="22"/>
          <w:lang w:val="sr-Latn-ME"/>
        </w:rPr>
        <w:t>Supstituciona terapija kod sekundarnih imunodeficijencija (kako je definisano u dijelu 4.1)</w:t>
      </w:r>
    </w:p>
    <w:p w14:paraId="76AA8345" w14:textId="77777777" w:rsidR="00940F3B" w:rsidRPr="00D35073" w:rsidRDefault="00940F3B" w:rsidP="00C35410">
      <w:pPr>
        <w:tabs>
          <w:tab w:val="left" w:pos="540"/>
          <w:tab w:val="left" w:pos="569"/>
        </w:tabs>
        <w:jc w:val="both"/>
        <w:rPr>
          <w:bCs/>
          <w:sz w:val="22"/>
          <w:szCs w:val="22"/>
          <w:lang w:val="sr-Latn-ME"/>
        </w:rPr>
      </w:pPr>
    </w:p>
    <w:p w14:paraId="067AEC79" w14:textId="1DBD0323"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Primjena preporučene doze koja se primjenjuje u jednakim intervalima (približno jednom nedeljno) ima u cilju postizanje ukupne mjesečne doze od 0,2 d 0,4 g/kg (</w:t>
      </w:r>
      <w:r w:rsidR="00F51939" w:rsidRPr="00D35073">
        <w:rPr>
          <w:bCs/>
          <w:sz w:val="22"/>
          <w:szCs w:val="22"/>
          <w:lang w:val="sr-Latn-ME"/>
        </w:rPr>
        <w:t xml:space="preserve">1,2- 2,4 </w:t>
      </w:r>
      <w:r w:rsidRPr="00D35073">
        <w:rPr>
          <w:bCs/>
          <w:sz w:val="22"/>
          <w:szCs w:val="22"/>
          <w:lang w:val="sr-Latn-ME"/>
        </w:rPr>
        <w:t>ml/kg). Svaku pojedinačnu dozu možda će biti potrebno prim</w:t>
      </w:r>
      <w:r w:rsidR="00EA282D" w:rsidRPr="00D35073">
        <w:rPr>
          <w:bCs/>
          <w:sz w:val="22"/>
          <w:szCs w:val="22"/>
          <w:lang w:val="sr-Latn-ME"/>
        </w:rPr>
        <w:t>i</w:t>
      </w:r>
      <w:r w:rsidRPr="00D35073">
        <w:rPr>
          <w:bCs/>
          <w:sz w:val="22"/>
          <w:szCs w:val="22"/>
          <w:lang w:val="sr-Latn-ME"/>
        </w:rPr>
        <w:t xml:space="preserve">jeniti u različito mjesto. </w:t>
      </w:r>
    </w:p>
    <w:p w14:paraId="75F5DE44" w14:textId="77777777" w:rsidR="00940F3B" w:rsidRPr="00D35073" w:rsidRDefault="00940F3B" w:rsidP="00C35410">
      <w:pPr>
        <w:tabs>
          <w:tab w:val="left" w:pos="540"/>
          <w:tab w:val="left" w:pos="569"/>
        </w:tabs>
        <w:jc w:val="both"/>
        <w:rPr>
          <w:bCs/>
          <w:sz w:val="22"/>
          <w:szCs w:val="22"/>
          <w:lang w:val="sr-Latn-ME"/>
        </w:rPr>
      </w:pPr>
    </w:p>
    <w:p w14:paraId="745CCEF6"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lastRenderedPageBreak/>
        <w:t xml:space="preserve">Najnižu potrebnu vrijednost IgG-a potrebno je mjeriti i procijenjivati zajedno sa incidencijom infekcije. Dozu treba prilagoditi prema potrebi kako bi se postigla optimalna zaštita od infekcija. Povećanje doze može biti potrebno kod pacijenata sa trajnim infekcijama; smanjenje doze može se razmotriti kod izostanka infekcija. </w:t>
      </w:r>
    </w:p>
    <w:p w14:paraId="277CA1BD" w14:textId="77777777" w:rsidR="00940F3B" w:rsidRPr="00D35073" w:rsidRDefault="00940F3B" w:rsidP="00C35410">
      <w:pPr>
        <w:tabs>
          <w:tab w:val="left" w:pos="540"/>
          <w:tab w:val="left" w:pos="569"/>
        </w:tabs>
        <w:jc w:val="both"/>
        <w:rPr>
          <w:bCs/>
          <w:sz w:val="22"/>
          <w:szCs w:val="22"/>
          <w:lang w:val="sr-Latn-ME"/>
        </w:rPr>
      </w:pPr>
    </w:p>
    <w:p w14:paraId="73559890" w14:textId="77777777" w:rsidR="00940F3B" w:rsidRPr="00D35073" w:rsidRDefault="00940F3B" w:rsidP="00C35410">
      <w:pPr>
        <w:tabs>
          <w:tab w:val="left" w:pos="540"/>
          <w:tab w:val="left" w:pos="569"/>
        </w:tabs>
        <w:jc w:val="both"/>
        <w:rPr>
          <w:bCs/>
          <w:i/>
          <w:iCs/>
          <w:sz w:val="22"/>
          <w:szCs w:val="22"/>
          <w:lang w:val="sr-Latn-ME"/>
        </w:rPr>
      </w:pPr>
      <w:r w:rsidRPr="00D35073">
        <w:rPr>
          <w:bCs/>
          <w:i/>
          <w:iCs/>
          <w:sz w:val="22"/>
          <w:szCs w:val="22"/>
          <w:lang w:val="sr-Latn-ME"/>
        </w:rPr>
        <w:t>Pedijatrijska populacija</w:t>
      </w:r>
    </w:p>
    <w:p w14:paraId="3E90A716"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Doziranje kod djece i adolescenata (0-18 godina) ne razlikuje se od onog kod odraslih, jer se doziranje određuje prema tjelesnoj težini i prilagođava kliničkom ishodu za svaki indikaciju za supstitucionu terapiju. </w:t>
      </w:r>
    </w:p>
    <w:p w14:paraId="56DCCFA6" w14:textId="77777777" w:rsidR="00940F3B" w:rsidRPr="00D35073" w:rsidRDefault="00940F3B" w:rsidP="00C35410">
      <w:pPr>
        <w:tabs>
          <w:tab w:val="left" w:pos="540"/>
          <w:tab w:val="left" w:pos="569"/>
        </w:tabs>
        <w:jc w:val="both"/>
        <w:rPr>
          <w:bCs/>
          <w:sz w:val="22"/>
          <w:szCs w:val="22"/>
          <w:lang w:val="sr-Latn-ME"/>
        </w:rPr>
      </w:pPr>
    </w:p>
    <w:p w14:paraId="7016F2D6" w14:textId="77777777" w:rsidR="00940F3B" w:rsidRPr="00D35073" w:rsidRDefault="00940F3B" w:rsidP="00C35410">
      <w:pPr>
        <w:tabs>
          <w:tab w:val="left" w:pos="540"/>
          <w:tab w:val="left" w:pos="569"/>
        </w:tabs>
        <w:jc w:val="both"/>
        <w:rPr>
          <w:bCs/>
          <w:i/>
          <w:iCs/>
          <w:sz w:val="22"/>
          <w:szCs w:val="22"/>
          <w:lang w:val="sr-Latn-ME"/>
        </w:rPr>
      </w:pPr>
      <w:r w:rsidRPr="00D35073">
        <w:rPr>
          <w:bCs/>
          <w:i/>
          <w:iCs/>
          <w:sz w:val="22"/>
          <w:szCs w:val="22"/>
          <w:lang w:val="sr-Latn-ME"/>
        </w:rPr>
        <w:t>Starija populacija</w:t>
      </w:r>
    </w:p>
    <w:p w14:paraId="296B7FC4" w14:textId="409C666C"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Budući da se doza primjenjuje prema tjelesnoj težini i prilagođava kliničkom ishodu kao što je prethodno navedeno, doza potrebna starijim pacijentima ne treba biti drugačija od doze potrebne pacijentima uzrasta od 18 d 65 godina. U kliničkom ispitivanju, Cutaquig je ocijenjen kod </w:t>
      </w:r>
      <w:r w:rsidR="00071ABD" w:rsidRPr="00D35073">
        <w:rPr>
          <w:bCs/>
          <w:sz w:val="22"/>
          <w:szCs w:val="22"/>
          <w:lang w:val="sr-Latn-ME"/>
        </w:rPr>
        <w:t>17</w:t>
      </w:r>
      <w:r w:rsidRPr="00D35073">
        <w:rPr>
          <w:bCs/>
          <w:sz w:val="22"/>
          <w:szCs w:val="22"/>
          <w:lang w:val="sr-Latn-ME"/>
        </w:rPr>
        <w:t xml:space="preserve"> pacijen</w:t>
      </w:r>
      <w:r w:rsidR="00071ABD" w:rsidRPr="00D35073">
        <w:rPr>
          <w:bCs/>
          <w:sz w:val="22"/>
          <w:szCs w:val="22"/>
          <w:lang w:val="sr-Latn-ME"/>
        </w:rPr>
        <w:t>a</w:t>
      </w:r>
      <w:r w:rsidRPr="00D35073">
        <w:rPr>
          <w:bCs/>
          <w:sz w:val="22"/>
          <w:szCs w:val="22"/>
          <w:lang w:val="sr-Latn-ME"/>
        </w:rPr>
        <w:t xml:space="preserve">ta </w:t>
      </w:r>
      <w:r w:rsidR="00071ABD" w:rsidRPr="00D35073">
        <w:rPr>
          <w:bCs/>
          <w:sz w:val="22"/>
          <w:szCs w:val="22"/>
          <w:lang w:val="sr-Latn-ME"/>
        </w:rPr>
        <w:t xml:space="preserve"> </w:t>
      </w:r>
      <w:r w:rsidRPr="00D35073">
        <w:rPr>
          <w:bCs/>
          <w:sz w:val="22"/>
          <w:szCs w:val="22"/>
          <w:lang w:val="sr-Latn-ME"/>
        </w:rPr>
        <w:t>starij</w:t>
      </w:r>
      <w:r w:rsidR="00071ABD" w:rsidRPr="00D35073">
        <w:rPr>
          <w:bCs/>
          <w:sz w:val="22"/>
          <w:szCs w:val="22"/>
          <w:lang w:val="sr-Latn-ME"/>
        </w:rPr>
        <w:t xml:space="preserve">ih </w:t>
      </w:r>
      <w:r w:rsidRPr="00D35073">
        <w:rPr>
          <w:bCs/>
          <w:sz w:val="22"/>
          <w:szCs w:val="22"/>
          <w:lang w:val="sr-Latn-ME"/>
        </w:rPr>
        <w:t xml:space="preserve"> od 65 godina. Za postizanje željenih vrijednosti IgG-a u serumu nije bio potreban specifični režim doziranja.</w:t>
      </w:r>
    </w:p>
    <w:p w14:paraId="1C11547A" w14:textId="77777777" w:rsidR="00940F3B" w:rsidRPr="00D35073" w:rsidRDefault="00940F3B" w:rsidP="00C35410">
      <w:pPr>
        <w:tabs>
          <w:tab w:val="left" w:pos="540"/>
          <w:tab w:val="left" w:pos="569"/>
        </w:tabs>
        <w:jc w:val="both"/>
        <w:rPr>
          <w:bCs/>
          <w:sz w:val="22"/>
          <w:szCs w:val="22"/>
          <w:lang w:val="sr-Latn-ME"/>
        </w:rPr>
      </w:pPr>
    </w:p>
    <w:p w14:paraId="5FE290BA" w14:textId="77777777"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Način primjene</w:t>
      </w:r>
    </w:p>
    <w:p w14:paraId="0661FB57" w14:textId="7AB97DD2"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Samo za su</w:t>
      </w:r>
      <w:r w:rsidR="00E8093A" w:rsidRPr="00D35073">
        <w:rPr>
          <w:bCs/>
          <w:sz w:val="22"/>
          <w:szCs w:val="22"/>
          <w:lang w:val="sr-Latn-ME"/>
        </w:rPr>
        <w:t>b</w:t>
      </w:r>
      <w:r w:rsidRPr="00D35073">
        <w:rPr>
          <w:bCs/>
          <w:sz w:val="22"/>
          <w:szCs w:val="22"/>
          <w:lang w:val="sr-Latn-ME"/>
        </w:rPr>
        <w:t xml:space="preserve">kutanu primjenu. </w:t>
      </w:r>
    </w:p>
    <w:p w14:paraId="77F3E868" w14:textId="77777777" w:rsidR="00940F3B" w:rsidRPr="00D35073" w:rsidRDefault="00940F3B" w:rsidP="00C35410">
      <w:pPr>
        <w:tabs>
          <w:tab w:val="left" w:pos="540"/>
          <w:tab w:val="left" w:pos="569"/>
        </w:tabs>
        <w:jc w:val="both"/>
        <w:rPr>
          <w:bCs/>
          <w:sz w:val="22"/>
          <w:szCs w:val="22"/>
          <w:lang w:val="sr-Latn-ME"/>
        </w:rPr>
      </w:pPr>
    </w:p>
    <w:p w14:paraId="6327D9A3" w14:textId="391CDE0C"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Su</w:t>
      </w:r>
      <w:r w:rsidR="00E8093A" w:rsidRPr="00D35073">
        <w:rPr>
          <w:bCs/>
          <w:sz w:val="22"/>
          <w:szCs w:val="22"/>
          <w:lang w:val="sr-Latn-ME"/>
        </w:rPr>
        <w:t>b</w:t>
      </w:r>
      <w:r w:rsidRPr="00D35073">
        <w:rPr>
          <w:bCs/>
          <w:sz w:val="22"/>
          <w:szCs w:val="22"/>
          <w:lang w:val="sr-Latn-ME"/>
        </w:rPr>
        <w:t>kutanu</w:t>
      </w:r>
      <w:r w:rsidR="001B26B8" w:rsidRPr="00D35073">
        <w:rPr>
          <w:bCs/>
          <w:sz w:val="22"/>
          <w:szCs w:val="22"/>
          <w:lang w:val="sr-Latn-ME"/>
        </w:rPr>
        <w:t xml:space="preserve"> </w:t>
      </w:r>
      <w:r w:rsidRPr="00D35073">
        <w:rPr>
          <w:bCs/>
          <w:sz w:val="22"/>
          <w:szCs w:val="22"/>
          <w:lang w:val="sr-Latn-ME"/>
        </w:rPr>
        <w:t xml:space="preserve"> </w:t>
      </w:r>
      <w:r w:rsidR="001B26B8" w:rsidRPr="00D35073">
        <w:rPr>
          <w:bCs/>
          <w:sz w:val="22"/>
          <w:szCs w:val="22"/>
          <w:lang w:val="sr-Latn-ME"/>
        </w:rPr>
        <w:t>i</w:t>
      </w:r>
      <w:r w:rsidRPr="00D35073">
        <w:rPr>
          <w:bCs/>
          <w:sz w:val="22"/>
          <w:szCs w:val="22"/>
          <w:lang w:val="sr-Latn-ME"/>
        </w:rPr>
        <w:t xml:space="preserve">nfuziju za kućno liječenje mora započeti i nadgledati zdrastveni radnik sa iskustvom u vođenju pacijenata na kućnom liječenju. Pacijent i/ili njegovatelj moraju biti osposobljeni za primjenu infuzijskog pribora, infuzijske tehnike, aseptične tehnike rukovanja, vođenje dnevnika liječenja, prepoznavanje teških neželjenih efekata i mjere koje je potrebno preuzeti u slučaju njihove pojave. </w:t>
      </w:r>
    </w:p>
    <w:p w14:paraId="0AD525CC" w14:textId="77777777" w:rsidR="00940F3B" w:rsidRPr="00D35073" w:rsidRDefault="00940F3B" w:rsidP="00C35410">
      <w:pPr>
        <w:tabs>
          <w:tab w:val="left" w:pos="540"/>
          <w:tab w:val="left" w:pos="569"/>
        </w:tabs>
        <w:jc w:val="both"/>
        <w:rPr>
          <w:bCs/>
          <w:sz w:val="22"/>
          <w:szCs w:val="22"/>
          <w:lang w:val="sr-Latn-ME"/>
        </w:rPr>
      </w:pPr>
    </w:p>
    <w:p w14:paraId="2E17C5F2" w14:textId="09FE599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Cutaq</w:t>
      </w:r>
      <w:r w:rsidR="001B26B8" w:rsidRPr="00D35073">
        <w:rPr>
          <w:bCs/>
          <w:sz w:val="22"/>
          <w:szCs w:val="22"/>
          <w:lang w:val="sr-Latn-ME"/>
        </w:rPr>
        <w:t>u</w:t>
      </w:r>
      <w:r w:rsidRPr="00D35073">
        <w:rPr>
          <w:bCs/>
          <w:sz w:val="22"/>
          <w:szCs w:val="22"/>
          <w:lang w:val="sr-Latn-ME"/>
        </w:rPr>
        <w:t>ig se može prim</w:t>
      </w:r>
      <w:r w:rsidR="001B26B8" w:rsidRPr="00D35073">
        <w:rPr>
          <w:bCs/>
          <w:sz w:val="22"/>
          <w:szCs w:val="22"/>
          <w:lang w:val="sr-Latn-ME"/>
        </w:rPr>
        <w:t>i</w:t>
      </w:r>
      <w:r w:rsidRPr="00D35073">
        <w:rPr>
          <w:bCs/>
          <w:sz w:val="22"/>
          <w:szCs w:val="22"/>
          <w:lang w:val="sr-Latn-ME"/>
        </w:rPr>
        <w:t xml:space="preserve">jeniti na mjestima poput abdomena, bedra, nadlaktice i u područje kuka. </w:t>
      </w:r>
    </w:p>
    <w:p w14:paraId="6111AFA7" w14:textId="77777777" w:rsidR="00940F3B" w:rsidRPr="00D35073" w:rsidRDefault="00940F3B" w:rsidP="00C35410">
      <w:pPr>
        <w:tabs>
          <w:tab w:val="left" w:pos="540"/>
          <w:tab w:val="left" w:pos="569"/>
        </w:tabs>
        <w:jc w:val="both"/>
        <w:rPr>
          <w:bCs/>
          <w:sz w:val="22"/>
          <w:szCs w:val="22"/>
          <w:lang w:val="sr-Latn-ME"/>
        </w:rPr>
      </w:pPr>
    </w:p>
    <w:p w14:paraId="7E8C723B" w14:textId="77777777"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Brzina infuzije</w:t>
      </w:r>
    </w:p>
    <w:p w14:paraId="48B32FE1"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Prilagođavanje brzine i volumena infuzije prema mjestu primjene temelji se na podnošljivosti pacijenata. </w:t>
      </w:r>
    </w:p>
    <w:p w14:paraId="1D4099A4" w14:textId="77777777" w:rsidR="00940F3B" w:rsidRPr="00D35073" w:rsidRDefault="00940F3B" w:rsidP="00C35410">
      <w:pPr>
        <w:tabs>
          <w:tab w:val="left" w:pos="540"/>
          <w:tab w:val="left" w:pos="569"/>
        </w:tabs>
        <w:jc w:val="both"/>
        <w:rPr>
          <w:bCs/>
          <w:sz w:val="22"/>
          <w:szCs w:val="22"/>
          <w:lang w:val="sr-Latn-ME"/>
        </w:rPr>
      </w:pPr>
    </w:p>
    <w:p w14:paraId="12987797" w14:textId="1D5213A0" w:rsidR="00FA0F48" w:rsidRPr="00D35073" w:rsidRDefault="00FA0F48" w:rsidP="00C35410">
      <w:pPr>
        <w:tabs>
          <w:tab w:val="left" w:pos="540"/>
          <w:tab w:val="left" w:pos="569"/>
        </w:tabs>
        <w:jc w:val="both"/>
        <w:rPr>
          <w:bCs/>
          <w:sz w:val="22"/>
          <w:szCs w:val="22"/>
          <w:lang w:val="sr-Latn-ME"/>
        </w:rPr>
      </w:pPr>
      <w:r w:rsidRPr="00D35073">
        <w:rPr>
          <w:bCs/>
          <w:sz w:val="22"/>
          <w:szCs w:val="22"/>
          <w:lang w:val="sr-Latn-ME"/>
        </w:rPr>
        <w:t>Preporučuje se upotreba početne brzine primjene od 15 ml/h/</w:t>
      </w:r>
      <w:r w:rsidR="0010300C" w:rsidRPr="00D35073">
        <w:rPr>
          <w:bCs/>
          <w:sz w:val="22"/>
          <w:szCs w:val="22"/>
          <w:lang w:val="sr-Latn-ME"/>
        </w:rPr>
        <w:t xml:space="preserve">na </w:t>
      </w:r>
      <w:r w:rsidRPr="00D35073">
        <w:rPr>
          <w:bCs/>
          <w:sz w:val="22"/>
          <w:szCs w:val="22"/>
          <w:lang w:val="sr-Latn-ME"/>
        </w:rPr>
        <w:t>mjestu za pacijente koji nisu na SCIG terapiji. Za pacijente koji su već na SCIG terapiji i prelaze na Cutaquig, preporučuje se korišćenje prethodno korišćenih doza za početne infuzije. Za sljedeće infuzije, ako se dobro tolerišu (vidjeti odeljak 4.4), brzina infuzije se može postepeno povećavati za približno 10 ml/h/</w:t>
      </w:r>
      <w:r w:rsidR="0010300C" w:rsidRPr="00D35073">
        <w:rPr>
          <w:bCs/>
          <w:sz w:val="22"/>
          <w:szCs w:val="22"/>
          <w:lang w:val="sr-Latn-ME"/>
        </w:rPr>
        <w:t xml:space="preserve">na </w:t>
      </w:r>
      <w:r w:rsidRPr="00D35073">
        <w:rPr>
          <w:bCs/>
          <w:sz w:val="22"/>
          <w:szCs w:val="22"/>
          <w:lang w:val="sr-Latn-ME"/>
        </w:rPr>
        <w:t>m</w:t>
      </w:r>
      <w:r w:rsidR="0010300C" w:rsidRPr="00D35073">
        <w:rPr>
          <w:bCs/>
          <w:sz w:val="22"/>
          <w:szCs w:val="22"/>
          <w:lang w:val="sr-Latn-ME"/>
        </w:rPr>
        <w:t>j</w:t>
      </w:r>
      <w:r w:rsidRPr="00D35073">
        <w:rPr>
          <w:bCs/>
          <w:sz w:val="22"/>
          <w:szCs w:val="22"/>
          <w:lang w:val="sr-Latn-ME"/>
        </w:rPr>
        <w:t>estu svake 2-4 ne</w:t>
      </w:r>
      <w:r w:rsidR="00762AC6" w:rsidRPr="00D35073">
        <w:rPr>
          <w:bCs/>
          <w:sz w:val="22"/>
          <w:szCs w:val="22"/>
          <w:lang w:val="sr-Latn-ME"/>
        </w:rPr>
        <w:t>de</w:t>
      </w:r>
      <w:r w:rsidRPr="00D35073">
        <w:rPr>
          <w:bCs/>
          <w:sz w:val="22"/>
          <w:szCs w:val="22"/>
          <w:lang w:val="sr-Latn-ME"/>
        </w:rPr>
        <w:t>lje kod odraslih (≥ 40 kg) i do 10 ml/h/m</w:t>
      </w:r>
      <w:r w:rsidR="007C0E8F" w:rsidRPr="00D35073">
        <w:rPr>
          <w:bCs/>
          <w:sz w:val="22"/>
          <w:szCs w:val="22"/>
          <w:lang w:val="sr-Latn-ME"/>
        </w:rPr>
        <w:t>j</w:t>
      </w:r>
      <w:r w:rsidRPr="00D35073">
        <w:rPr>
          <w:bCs/>
          <w:sz w:val="22"/>
          <w:szCs w:val="22"/>
          <w:lang w:val="sr-Latn-ME"/>
        </w:rPr>
        <w:t>estu svake 4 nedelje za pedijatriju (&lt;40 kg) (vid</w:t>
      </w:r>
      <w:r w:rsidR="007C0E8F" w:rsidRPr="00D35073">
        <w:rPr>
          <w:bCs/>
          <w:sz w:val="22"/>
          <w:szCs w:val="22"/>
          <w:lang w:val="sr-Latn-ME"/>
        </w:rPr>
        <w:t>j</w:t>
      </w:r>
      <w:r w:rsidRPr="00D35073">
        <w:rPr>
          <w:bCs/>
          <w:sz w:val="22"/>
          <w:szCs w:val="22"/>
          <w:lang w:val="sr-Latn-ME"/>
        </w:rPr>
        <w:t xml:space="preserve">eti </w:t>
      </w:r>
      <w:r w:rsidR="0028663A" w:rsidRPr="00D35073">
        <w:rPr>
          <w:bCs/>
          <w:sz w:val="22"/>
          <w:szCs w:val="22"/>
          <w:lang w:val="sr-Latn-ME"/>
        </w:rPr>
        <w:t xml:space="preserve">dio </w:t>
      </w:r>
      <w:r w:rsidRPr="00D35073">
        <w:rPr>
          <w:bCs/>
          <w:sz w:val="22"/>
          <w:szCs w:val="22"/>
          <w:lang w:val="sr-Latn-ME"/>
        </w:rPr>
        <w:t>5.1).</w:t>
      </w:r>
    </w:p>
    <w:p w14:paraId="7E309F71" w14:textId="6FFD296D" w:rsidR="00FA0F48" w:rsidRPr="00D35073" w:rsidRDefault="00FA0F48" w:rsidP="00C35410">
      <w:pPr>
        <w:tabs>
          <w:tab w:val="left" w:pos="540"/>
          <w:tab w:val="left" w:pos="569"/>
        </w:tabs>
        <w:jc w:val="both"/>
        <w:rPr>
          <w:bCs/>
          <w:sz w:val="22"/>
          <w:szCs w:val="22"/>
          <w:lang w:val="sr-Latn-ME"/>
        </w:rPr>
      </w:pPr>
      <w:r w:rsidRPr="00D35073">
        <w:rPr>
          <w:bCs/>
          <w:sz w:val="22"/>
          <w:szCs w:val="22"/>
          <w:lang w:val="sr-Latn-ME"/>
        </w:rPr>
        <w:t xml:space="preserve">Nakon toga, ako pacijent </w:t>
      </w:r>
      <w:r w:rsidR="00E908D8" w:rsidRPr="00D35073">
        <w:rPr>
          <w:bCs/>
          <w:sz w:val="22"/>
          <w:szCs w:val="22"/>
          <w:lang w:val="sr-Latn-ME"/>
        </w:rPr>
        <w:t xml:space="preserve">podnosi </w:t>
      </w:r>
      <w:r w:rsidRPr="00D35073">
        <w:rPr>
          <w:bCs/>
          <w:sz w:val="22"/>
          <w:szCs w:val="22"/>
          <w:lang w:val="sr-Latn-ME"/>
        </w:rPr>
        <w:t xml:space="preserve"> početne infuzije u punoj dozi po m</w:t>
      </w:r>
      <w:r w:rsidR="00E908D8" w:rsidRPr="00D35073">
        <w:rPr>
          <w:bCs/>
          <w:sz w:val="22"/>
          <w:szCs w:val="22"/>
          <w:lang w:val="sr-Latn-ME"/>
        </w:rPr>
        <w:t>j</w:t>
      </w:r>
      <w:r w:rsidRPr="00D35073">
        <w:rPr>
          <w:bCs/>
          <w:sz w:val="22"/>
          <w:szCs w:val="22"/>
          <w:lang w:val="sr-Latn-ME"/>
        </w:rPr>
        <w:t>estu i maksimalnoj brzini, može se razmotriti povećanje brzine infuzije uzastopnih infuzija dok se ne postigne maksimalna brzina protoka od 67,5 ml/h/</w:t>
      </w:r>
      <w:r w:rsidR="00E908D8" w:rsidRPr="00D35073">
        <w:rPr>
          <w:bCs/>
          <w:sz w:val="22"/>
          <w:szCs w:val="22"/>
          <w:lang w:val="sr-Latn-ME"/>
        </w:rPr>
        <w:t xml:space="preserve">na </w:t>
      </w:r>
      <w:r w:rsidRPr="00D35073">
        <w:rPr>
          <w:bCs/>
          <w:sz w:val="22"/>
          <w:szCs w:val="22"/>
          <w:lang w:val="sr-Latn-ME"/>
        </w:rPr>
        <w:t>mjestu za odrasle i 25 ml/ h/</w:t>
      </w:r>
      <w:r w:rsidR="00E908D8" w:rsidRPr="00D35073">
        <w:rPr>
          <w:bCs/>
          <w:sz w:val="22"/>
          <w:szCs w:val="22"/>
          <w:lang w:val="sr-Latn-ME"/>
        </w:rPr>
        <w:t xml:space="preserve">na mjestu  </w:t>
      </w:r>
      <w:r w:rsidRPr="00D35073">
        <w:rPr>
          <w:bCs/>
          <w:sz w:val="22"/>
          <w:szCs w:val="22"/>
          <w:lang w:val="sr-Latn-ME"/>
        </w:rPr>
        <w:t>za pedijatriju (vid</w:t>
      </w:r>
      <w:r w:rsidR="003C5DF6" w:rsidRPr="00D35073">
        <w:rPr>
          <w:bCs/>
          <w:sz w:val="22"/>
          <w:szCs w:val="22"/>
          <w:lang w:val="sr-Latn-ME"/>
        </w:rPr>
        <w:t>j</w:t>
      </w:r>
      <w:r w:rsidRPr="00D35073">
        <w:rPr>
          <w:bCs/>
          <w:sz w:val="22"/>
          <w:szCs w:val="22"/>
          <w:lang w:val="sr-Latn-ME"/>
        </w:rPr>
        <w:t xml:space="preserve">eti </w:t>
      </w:r>
      <w:r w:rsidR="003C5DF6" w:rsidRPr="00D35073">
        <w:rPr>
          <w:bCs/>
          <w:sz w:val="22"/>
          <w:szCs w:val="22"/>
          <w:lang w:val="sr-Latn-ME"/>
        </w:rPr>
        <w:t xml:space="preserve"> </w:t>
      </w:r>
      <w:r w:rsidR="0028663A" w:rsidRPr="00D35073">
        <w:rPr>
          <w:bCs/>
          <w:sz w:val="22"/>
          <w:szCs w:val="22"/>
          <w:lang w:val="sr-Latn-ME"/>
        </w:rPr>
        <w:t xml:space="preserve">dio </w:t>
      </w:r>
      <w:r w:rsidRPr="00D35073">
        <w:rPr>
          <w:bCs/>
          <w:sz w:val="22"/>
          <w:szCs w:val="22"/>
          <w:lang w:val="sr-Latn-ME"/>
        </w:rPr>
        <w:t>5.1)</w:t>
      </w:r>
    </w:p>
    <w:p w14:paraId="2AF25D16" w14:textId="77777777" w:rsidR="00FA0F48" w:rsidRPr="00D35073" w:rsidRDefault="00FA0F48" w:rsidP="00C35410">
      <w:pPr>
        <w:tabs>
          <w:tab w:val="left" w:pos="540"/>
          <w:tab w:val="left" w:pos="569"/>
        </w:tabs>
        <w:jc w:val="both"/>
        <w:rPr>
          <w:bCs/>
          <w:sz w:val="22"/>
          <w:szCs w:val="22"/>
          <w:lang w:val="sr-Latn-ME"/>
        </w:rPr>
      </w:pPr>
    </w:p>
    <w:p w14:paraId="5E57003E" w14:textId="77777777" w:rsidR="00FA0F48" w:rsidRPr="00D35073" w:rsidRDefault="00FA0F48" w:rsidP="00C35410">
      <w:pPr>
        <w:tabs>
          <w:tab w:val="left" w:pos="540"/>
          <w:tab w:val="left" w:pos="569"/>
        </w:tabs>
        <w:jc w:val="both"/>
        <w:rPr>
          <w:bCs/>
          <w:sz w:val="22"/>
          <w:szCs w:val="22"/>
          <w:lang w:val="sr-Latn-ME"/>
        </w:rPr>
      </w:pPr>
    </w:p>
    <w:p w14:paraId="6DC72AEB" w14:textId="54B163E1" w:rsidR="00FA0F48" w:rsidRPr="00D35073" w:rsidRDefault="00940F3B" w:rsidP="00C35410">
      <w:pPr>
        <w:tabs>
          <w:tab w:val="left" w:pos="540"/>
          <w:tab w:val="left" w:pos="569"/>
        </w:tabs>
        <w:jc w:val="both"/>
        <w:rPr>
          <w:bCs/>
          <w:sz w:val="22"/>
          <w:szCs w:val="22"/>
          <w:lang w:val="sr-Latn-ME"/>
        </w:rPr>
      </w:pPr>
      <w:r w:rsidRPr="00D35073">
        <w:rPr>
          <w:bCs/>
          <w:sz w:val="22"/>
          <w:szCs w:val="22"/>
          <w:lang w:val="sr-Latn-ME"/>
        </w:rPr>
        <w:t>Istovremeno se može koristiti više od jednog infuzijskog pribora</w:t>
      </w:r>
      <w:r w:rsidR="005277FB" w:rsidRPr="00D35073">
        <w:rPr>
          <w:bCs/>
          <w:sz w:val="22"/>
          <w:szCs w:val="22"/>
          <w:lang w:val="sr-Latn-ME"/>
        </w:rPr>
        <w:t>.</w:t>
      </w:r>
    </w:p>
    <w:p w14:paraId="1E9D0DE1" w14:textId="77777777" w:rsidR="00FA0F48" w:rsidRPr="00D35073" w:rsidRDefault="00FA0F48" w:rsidP="00C35410">
      <w:pPr>
        <w:tabs>
          <w:tab w:val="left" w:pos="540"/>
          <w:tab w:val="left" w:pos="569"/>
        </w:tabs>
        <w:jc w:val="both"/>
        <w:rPr>
          <w:bCs/>
          <w:sz w:val="22"/>
          <w:szCs w:val="22"/>
          <w:lang w:val="sr-Latn-ME"/>
        </w:rPr>
      </w:pPr>
    </w:p>
    <w:p w14:paraId="1156D9AF" w14:textId="77777777" w:rsidR="00940F3B" w:rsidRPr="00D35073" w:rsidRDefault="00940F3B" w:rsidP="00C35410">
      <w:pPr>
        <w:tabs>
          <w:tab w:val="left" w:pos="540"/>
          <w:tab w:val="left" w:pos="569"/>
        </w:tabs>
        <w:jc w:val="both"/>
        <w:rPr>
          <w:bCs/>
          <w:sz w:val="22"/>
          <w:szCs w:val="22"/>
          <w:lang w:val="sr-Latn-ME"/>
        </w:rPr>
      </w:pPr>
    </w:p>
    <w:p w14:paraId="4BE9C426" w14:textId="77777777"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Volumen infuzije po mjestu primjene</w:t>
      </w:r>
    </w:p>
    <w:p w14:paraId="6216BAC6" w14:textId="77777777" w:rsidR="00940F3B" w:rsidRPr="00D35073" w:rsidRDefault="00940F3B" w:rsidP="00C35410">
      <w:pPr>
        <w:tabs>
          <w:tab w:val="left" w:pos="540"/>
          <w:tab w:val="left" w:pos="569"/>
        </w:tabs>
        <w:jc w:val="both"/>
        <w:rPr>
          <w:bCs/>
          <w:sz w:val="22"/>
          <w:szCs w:val="22"/>
          <w:lang w:val="sr-Latn-ME"/>
        </w:rPr>
      </w:pPr>
    </w:p>
    <w:p w14:paraId="1D081706" w14:textId="69BD753B"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Količina lijeka za infuziju </w:t>
      </w:r>
      <w:r w:rsidR="00146DEA" w:rsidRPr="00D35073">
        <w:rPr>
          <w:bCs/>
          <w:sz w:val="22"/>
          <w:szCs w:val="22"/>
          <w:lang w:val="sr-Latn-ME"/>
        </w:rPr>
        <w:t xml:space="preserve">na </w:t>
      </w:r>
      <w:r w:rsidRPr="00D35073">
        <w:rPr>
          <w:bCs/>
          <w:sz w:val="22"/>
          <w:szCs w:val="22"/>
          <w:lang w:val="sr-Latn-ME"/>
        </w:rPr>
        <w:t>određeno</w:t>
      </w:r>
      <w:r w:rsidR="00146DEA" w:rsidRPr="00D35073">
        <w:rPr>
          <w:bCs/>
          <w:sz w:val="22"/>
          <w:szCs w:val="22"/>
          <w:lang w:val="sr-Latn-ME"/>
        </w:rPr>
        <w:t xml:space="preserve">m </w:t>
      </w:r>
      <w:r w:rsidRPr="00D35073">
        <w:rPr>
          <w:bCs/>
          <w:sz w:val="22"/>
          <w:szCs w:val="22"/>
          <w:lang w:val="sr-Latn-ME"/>
        </w:rPr>
        <w:t xml:space="preserve"> mjest</w:t>
      </w:r>
      <w:r w:rsidR="00146DEA" w:rsidRPr="00D35073">
        <w:rPr>
          <w:bCs/>
          <w:sz w:val="22"/>
          <w:szCs w:val="22"/>
          <w:lang w:val="sr-Latn-ME"/>
        </w:rPr>
        <w:t xml:space="preserve">u </w:t>
      </w:r>
      <w:r w:rsidRPr="00D35073">
        <w:rPr>
          <w:bCs/>
          <w:sz w:val="22"/>
          <w:szCs w:val="22"/>
          <w:lang w:val="sr-Latn-ME"/>
        </w:rPr>
        <w:t xml:space="preserve"> varira. Kod </w:t>
      </w:r>
      <w:r w:rsidR="00737DFD" w:rsidRPr="00D35073">
        <w:rPr>
          <w:bCs/>
          <w:sz w:val="22"/>
          <w:szCs w:val="22"/>
          <w:lang w:val="sr-Latn-ME"/>
        </w:rPr>
        <w:t xml:space="preserve"> odoj</w:t>
      </w:r>
      <w:r w:rsidRPr="00D35073">
        <w:rPr>
          <w:bCs/>
          <w:sz w:val="22"/>
          <w:szCs w:val="22"/>
          <w:lang w:val="sr-Latn-ME"/>
        </w:rPr>
        <w:t>čadi</w:t>
      </w:r>
      <w:r w:rsidR="00737DFD" w:rsidRPr="00D35073">
        <w:rPr>
          <w:bCs/>
          <w:sz w:val="22"/>
          <w:szCs w:val="22"/>
          <w:lang w:val="sr-Latn-ME"/>
        </w:rPr>
        <w:t xml:space="preserve"> </w:t>
      </w:r>
      <w:r w:rsidRPr="00D35073">
        <w:rPr>
          <w:bCs/>
          <w:sz w:val="22"/>
          <w:szCs w:val="22"/>
          <w:lang w:val="sr-Latn-ME"/>
        </w:rPr>
        <w:t xml:space="preserve"> i male djece mjesto primjene za infuziju može se mijenjati svakih 5-15ml. Doze iznad 30ml kod odraslih mogu se podijeliti prema potrebama pacijenata. Ne postoji ograničenje za broj mjesta primjene infuzije. Infuzijska m</w:t>
      </w:r>
      <w:r w:rsidR="005E7A67" w:rsidRPr="00D35073">
        <w:rPr>
          <w:bCs/>
          <w:sz w:val="22"/>
          <w:szCs w:val="22"/>
          <w:lang w:val="sr-Latn-ME"/>
        </w:rPr>
        <w:t>j</w:t>
      </w:r>
      <w:r w:rsidRPr="00D35073">
        <w:rPr>
          <w:bCs/>
          <w:sz w:val="22"/>
          <w:szCs w:val="22"/>
          <w:lang w:val="sr-Latn-ME"/>
        </w:rPr>
        <w:t>esta primjene moraju biti udaljena najmanje 5cm.</w:t>
      </w:r>
    </w:p>
    <w:p w14:paraId="73A4E9DB" w14:textId="2FEF205D" w:rsidR="005277FB" w:rsidRPr="00D35073" w:rsidRDefault="005277FB" w:rsidP="00C35410">
      <w:pPr>
        <w:tabs>
          <w:tab w:val="left" w:pos="540"/>
          <w:tab w:val="left" w:pos="569"/>
        </w:tabs>
        <w:jc w:val="both"/>
        <w:rPr>
          <w:b/>
          <w:bCs/>
          <w:sz w:val="22"/>
          <w:szCs w:val="22"/>
          <w:lang w:val="sr-Latn-ME"/>
        </w:rPr>
      </w:pPr>
    </w:p>
    <w:p w14:paraId="411A2FB7" w14:textId="77777777" w:rsidR="005277FB" w:rsidRPr="00D35073" w:rsidRDefault="005277FB" w:rsidP="00C35410">
      <w:pPr>
        <w:tabs>
          <w:tab w:val="left" w:pos="540"/>
          <w:tab w:val="left" w:pos="569"/>
        </w:tabs>
        <w:jc w:val="both"/>
        <w:rPr>
          <w:b/>
          <w:bCs/>
          <w:sz w:val="22"/>
          <w:szCs w:val="22"/>
          <w:lang w:val="sr-Latn-ME"/>
        </w:rPr>
      </w:pPr>
    </w:p>
    <w:p w14:paraId="6123074F" w14:textId="42869BF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t xml:space="preserve">4.3. </w:t>
      </w:r>
      <w:r w:rsidR="00480FB1" w:rsidRPr="00D35073">
        <w:rPr>
          <w:b/>
          <w:bCs/>
          <w:sz w:val="22"/>
          <w:szCs w:val="22"/>
          <w:lang w:val="sr-Latn-ME"/>
        </w:rPr>
        <w:tab/>
      </w:r>
      <w:r w:rsidRPr="00D35073">
        <w:rPr>
          <w:b/>
          <w:bCs/>
          <w:sz w:val="22"/>
          <w:szCs w:val="22"/>
          <w:lang w:val="sr-Latn-ME"/>
        </w:rPr>
        <w:t>Kontraindikacije</w:t>
      </w:r>
    </w:p>
    <w:p w14:paraId="26578FD7" w14:textId="77777777" w:rsidR="00940F3B" w:rsidRPr="00D35073" w:rsidRDefault="00940F3B" w:rsidP="00C35410">
      <w:pPr>
        <w:tabs>
          <w:tab w:val="left" w:pos="540"/>
          <w:tab w:val="left" w:pos="569"/>
        </w:tabs>
        <w:jc w:val="both"/>
        <w:rPr>
          <w:b/>
          <w:bCs/>
          <w:sz w:val="22"/>
          <w:szCs w:val="22"/>
          <w:lang w:val="sr-Latn-ME"/>
        </w:rPr>
      </w:pPr>
    </w:p>
    <w:p w14:paraId="65C10C95" w14:textId="3E1CE01C" w:rsidR="00940F3B" w:rsidRPr="00D35073" w:rsidRDefault="00940F3B" w:rsidP="00C35410">
      <w:pPr>
        <w:tabs>
          <w:tab w:val="left" w:pos="540"/>
          <w:tab w:val="left" w:pos="569"/>
        </w:tabs>
        <w:jc w:val="both"/>
        <w:rPr>
          <w:sz w:val="22"/>
          <w:szCs w:val="22"/>
          <w:lang w:val="sr-Latn-ME"/>
        </w:rPr>
      </w:pPr>
      <w:r w:rsidRPr="00D35073">
        <w:rPr>
          <w:sz w:val="22"/>
          <w:szCs w:val="22"/>
          <w:lang w:val="sr-Latn-ME"/>
        </w:rPr>
        <w:t>Preosjetljivost na aktivnu supstancu ili na neku od pomoćnih supstanci navedenih u dijelu 6.1 (vidjeti dio 4.4): Cutaquig se ne smije davati intrav</w:t>
      </w:r>
      <w:r w:rsidR="00BC3F27" w:rsidRPr="00D35073">
        <w:rPr>
          <w:sz w:val="22"/>
          <w:szCs w:val="22"/>
          <w:lang w:val="sr-Latn-ME"/>
        </w:rPr>
        <w:t>askularno.</w:t>
      </w:r>
    </w:p>
    <w:p w14:paraId="3A0CACBC" w14:textId="77777777" w:rsidR="00940F3B" w:rsidRPr="00D35073" w:rsidRDefault="00940F3B" w:rsidP="00C35410">
      <w:pPr>
        <w:tabs>
          <w:tab w:val="left" w:pos="540"/>
          <w:tab w:val="left" w:pos="569"/>
        </w:tabs>
        <w:jc w:val="both"/>
        <w:rPr>
          <w:sz w:val="22"/>
          <w:szCs w:val="22"/>
          <w:lang w:val="sr-Latn-ME"/>
        </w:rPr>
      </w:pPr>
    </w:p>
    <w:p w14:paraId="1B79C8D0" w14:textId="0E1DE374" w:rsidR="00940F3B" w:rsidRPr="00D35073" w:rsidRDefault="00940F3B" w:rsidP="00C35410">
      <w:pPr>
        <w:tabs>
          <w:tab w:val="left" w:pos="540"/>
          <w:tab w:val="left" w:pos="569"/>
        </w:tabs>
        <w:jc w:val="both"/>
        <w:rPr>
          <w:sz w:val="22"/>
          <w:szCs w:val="22"/>
          <w:lang w:val="sr-Latn-ME"/>
        </w:rPr>
      </w:pPr>
      <w:r w:rsidRPr="00D35073">
        <w:rPr>
          <w:sz w:val="22"/>
          <w:szCs w:val="22"/>
          <w:lang w:val="sr-Latn-ME"/>
        </w:rPr>
        <w:lastRenderedPageBreak/>
        <w:t>Takođe se ne smije prim</w:t>
      </w:r>
      <w:r w:rsidR="001112EF" w:rsidRPr="00D35073">
        <w:rPr>
          <w:sz w:val="22"/>
          <w:szCs w:val="22"/>
          <w:lang w:val="sr-Latn-ME"/>
        </w:rPr>
        <w:t>i</w:t>
      </w:r>
      <w:r w:rsidRPr="00D35073">
        <w:rPr>
          <w:sz w:val="22"/>
          <w:szCs w:val="22"/>
          <w:lang w:val="sr-Latn-ME"/>
        </w:rPr>
        <w:t>jeniti intra</w:t>
      </w:r>
      <w:r w:rsidR="00BC3F27" w:rsidRPr="00D35073">
        <w:rPr>
          <w:sz w:val="22"/>
          <w:szCs w:val="22"/>
          <w:lang w:val="sr-Latn-ME"/>
        </w:rPr>
        <w:t xml:space="preserve">muskularno </w:t>
      </w:r>
      <w:r w:rsidRPr="00D35073">
        <w:rPr>
          <w:sz w:val="22"/>
          <w:szCs w:val="22"/>
          <w:lang w:val="sr-Latn-ME"/>
        </w:rPr>
        <w:t xml:space="preserve"> u slučaju teške trombocitopenije i kod drugih poremećaja hemostaze</w:t>
      </w:r>
      <w:r w:rsidRPr="00D35073">
        <w:rPr>
          <w:b/>
          <w:bCs/>
          <w:sz w:val="22"/>
          <w:szCs w:val="22"/>
          <w:lang w:val="sr-Latn-ME"/>
        </w:rPr>
        <w:t>.</w:t>
      </w:r>
    </w:p>
    <w:p w14:paraId="17DC3FD0" w14:textId="77777777" w:rsidR="0072020E" w:rsidRPr="00D35073" w:rsidRDefault="0072020E" w:rsidP="00C35410">
      <w:pPr>
        <w:tabs>
          <w:tab w:val="left" w:pos="540"/>
          <w:tab w:val="left" w:pos="569"/>
        </w:tabs>
        <w:jc w:val="both"/>
        <w:rPr>
          <w:bCs/>
          <w:sz w:val="22"/>
          <w:szCs w:val="22"/>
          <w:lang w:val="sr-Latn-ME"/>
        </w:rPr>
      </w:pPr>
    </w:p>
    <w:p w14:paraId="7788C76E" w14:textId="7777777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t xml:space="preserve">4.4. </w:t>
      </w:r>
      <w:r w:rsidR="00480FB1" w:rsidRPr="00D35073">
        <w:rPr>
          <w:b/>
          <w:bCs/>
          <w:sz w:val="22"/>
          <w:szCs w:val="22"/>
          <w:lang w:val="sr-Latn-ME"/>
        </w:rPr>
        <w:tab/>
      </w:r>
      <w:r w:rsidRPr="00D35073">
        <w:rPr>
          <w:b/>
          <w:bCs/>
          <w:sz w:val="22"/>
          <w:szCs w:val="22"/>
          <w:lang w:val="sr-Latn-ME"/>
        </w:rPr>
        <w:t>Posebna upozorenja i mjere opreza pri upotrebi lijeka</w:t>
      </w:r>
    </w:p>
    <w:p w14:paraId="5557C1FE" w14:textId="77777777" w:rsidR="0072020E" w:rsidRPr="00D35073" w:rsidRDefault="0072020E" w:rsidP="00C35410">
      <w:pPr>
        <w:tabs>
          <w:tab w:val="left" w:pos="540"/>
          <w:tab w:val="left" w:pos="569"/>
        </w:tabs>
        <w:jc w:val="both"/>
        <w:rPr>
          <w:bCs/>
          <w:sz w:val="22"/>
          <w:szCs w:val="22"/>
          <w:lang w:val="sr-Latn-ME"/>
        </w:rPr>
      </w:pPr>
    </w:p>
    <w:p w14:paraId="5F390989" w14:textId="68BD34B5"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Preporučuje se kod svake primjene lijeka Cutaquig, zabilježiti naziv i broj serije lijeka, kako bi se održala veza između pacijenta i prim</w:t>
      </w:r>
      <w:r w:rsidR="00B310B0" w:rsidRPr="00D35073">
        <w:rPr>
          <w:bCs/>
          <w:sz w:val="22"/>
          <w:szCs w:val="22"/>
          <w:lang w:val="sr-Latn-ME"/>
        </w:rPr>
        <w:t>i</w:t>
      </w:r>
      <w:r w:rsidRPr="00D35073">
        <w:rPr>
          <w:bCs/>
          <w:sz w:val="22"/>
          <w:szCs w:val="22"/>
          <w:lang w:val="sr-Latn-ME"/>
        </w:rPr>
        <w:t xml:space="preserve">jenjene serije lijeka. </w:t>
      </w:r>
    </w:p>
    <w:p w14:paraId="2A2FADBA" w14:textId="77777777" w:rsidR="00940F3B" w:rsidRPr="00D35073" w:rsidRDefault="00940F3B" w:rsidP="00C35410">
      <w:pPr>
        <w:tabs>
          <w:tab w:val="left" w:pos="540"/>
          <w:tab w:val="left" w:pos="569"/>
        </w:tabs>
        <w:jc w:val="both"/>
        <w:rPr>
          <w:bCs/>
          <w:sz w:val="22"/>
          <w:szCs w:val="22"/>
          <w:lang w:val="sr-Latn-ME"/>
        </w:rPr>
      </w:pPr>
    </w:p>
    <w:p w14:paraId="02289410" w14:textId="266558F2"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Kao pomoćnu sups</w:t>
      </w:r>
      <w:r w:rsidR="000E715F" w:rsidRPr="00D35073">
        <w:rPr>
          <w:bCs/>
          <w:sz w:val="22"/>
          <w:szCs w:val="22"/>
          <w:lang w:val="sr-Latn-ME"/>
        </w:rPr>
        <w:t>t</w:t>
      </w:r>
      <w:r w:rsidRPr="00D35073">
        <w:rPr>
          <w:bCs/>
          <w:sz w:val="22"/>
          <w:szCs w:val="22"/>
          <w:lang w:val="sr-Latn-ME"/>
        </w:rPr>
        <w:t>ancu ovaj lijek sadrži maksimalno 90mg maltoze po ml. Zbog prisustva maltoze, u t</w:t>
      </w:r>
      <w:r w:rsidR="00B950C9" w:rsidRPr="00D35073">
        <w:rPr>
          <w:bCs/>
          <w:sz w:val="22"/>
          <w:szCs w:val="22"/>
          <w:lang w:val="sr-Latn-ME"/>
        </w:rPr>
        <w:t>e</w:t>
      </w:r>
      <w:r w:rsidRPr="00D35073">
        <w:rPr>
          <w:bCs/>
          <w:sz w:val="22"/>
          <w:szCs w:val="22"/>
          <w:lang w:val="sr-Latn-ME"/>
        </w:rPr>
        <w:t>stovima za određivanje u krvi može doći do lažno povišenih vrijednosti glukoze a posljedično, neodgovarajuća primjena insulina može dovesti do po život opasne hipoglikemije i smrti.</w:t>
      </w:r>
    </w:p>
    <w:p w14:paraId="69C4D4F8" w14:textId="77777777" w:rsidR="00940F3B" w:rsidRPr="00D35073" w:rsidRDefault="00940F3B" w:rsidP="00C35410">
      <w:pPr>
        <w:tabs>
          <w:tab w:val="left" w:pos="540"/>
          <w:tab w:val="left" w:pos="569"/>
        </w:tabs>
        <w:jc w:val="both"/>
        <w:rPr>
          <w:bCs/>
          <w:sz w:val="22"/>
          <w:szCs w:val="22"/>
          <w:lang w:val="sr-Latn-ME"/>
        </w:rPr>
      </w:pPr>
    </w:p>
    <w:p w14:paraId="3F2B1FEA" w14:textId="19121083"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Isto tako, slučajevi pr</w:t>
      </w:r>
      <w:r w:rsidR="000E715F" w:rsidRPr="00D35073">
        <w:rPr>
          <w:bCs/>
          <w:sz w:val="22"/>
          <w:szCs w:val="22"/>
          <w:lang w:val="sr-Latn-ME"/>
        </w:rPr>
        <w:t>a</w:t>
      </w:r>
      <w:r w:rsidRPr="00D35073">
        <w:rPr>
          <w:bCs/>
          <w:sz w:val="22"/>
          <w:szCs w:val="22"/>
          <w:lang w:val="sr-Latn-ME"/>
        </w:rPr>
        <w:t xml:space="preserve">ve hipoglikemije mogu biti neliječeni ako je hipoglikemija zamaskirana lažno povišenim vrijednostima glukoze (vidjeti 4.5.). Više o akutnom zatajenju bubrega vidjeti u nastavku. </w:t>
      </w:r>
    </w:p>
    <w:p w14:paraId="74741B1D" w14:textId="77777777" w:rsidR="00940F3B" w:rsidRPr="00D35073" w:rsidRDefault="00940F3B" w:rsidP="00C35410">
      <w:pPr>
        <w:tabs>
          <w:tab w:val="left" w:pos="540"/>
          <w:tab w:val="left" w:pos="569"/>
        </w:tabs>
        <w:jc w:val="both"/>
        <w:rPr>
          <w:bCs/>
          <w:sz w:val="22"/>
          <w:szCs w:val="22"/>
          <w:lang w:val="sr-Latn-ME"/>
        </w:rPr>
      </w:pPr>
    </w:p>
    <w:p w14:paraId="25410FD6" w14:textId="345191DF"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Cutaquig služi samo za su</w:t>
      </w:r>
      <w:r w:rsidR="00165376" w:rsidRPr="00D35073">
        <w:rPr>
          <w:bCs/>
          <w:sz w:val="22"/>
          <w:szCs w:val="22"/>
          <w:lang w:val="sr-Latn-ME"/>
        </w:rPr>
        <w:t>b</w:t>
      </w:r>
      <w:r w:rsidRPr="00D35073">
        <w:rPr>
          <w:bCs/>
          <w:sz w:val="22"/>
          <w:szCs w:val="22"/>
          <w:lang w:val="sr-Latn-ME"/>
        </w:rPr>
        <w:t>kutanu primjenu. Ako se Cutaquig slučajno prim</w:t>
      </w:r>
      <w:r w:rsidR="006F7BC7" w:rsidRPr="00D35073">
        <w:rPr>
          <w:bCs/>
          <w:sz w:val="22"/>
          <w:szCs w:val="22"/>
          <w:lang w:val="sr-Latn-ME"/>
        </w:rPr>
        <w:t>i</w:t>
      </w:r>
      <w:r w:rsidRPr="00D35073">
        <w:rPr>
          <w:bCs/>
          <w:sz w:val="22"/>
          <w:szCs w:val="22"/>
          <w:lang w:val="sr-Latn-ME"/>
        </w:rPr>
        <w:t xml:space="preserve">jeni u krvnu venu, kod pacijenata može nastupiti stanje šoka. </w:t>
      </w:r>
    </w:p>
    <w:p w14:paraId="4C095896" w14:textId="77777777" w:rsidR="00940F3B" w:rsidRPr="00D35073" w:rsidRDefault="00940F3B" w:rsidP="00C35410">
      <w:pPr>
        <w:tabs>
          <w:tab w:val="left" w:pos="540"/>
          <w:tab w:val="left" w:pos="569"/>
        </w:tabs>
        <w:jc w:val="both"/>
        <w:rPr>
          <w:bCs/>
          <w:sz w:val="22"/>
          <w:szCs w:val="22"/>
          <w:lang w:val="sr-Latn-ME"/>
        </w:rPr>
      </w:pPr>
    </w:p>
    <w:p w14:paraId="1D985626"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Preporučena brzina infuzije navedena u dijelu 4.2 mora se strogo poštovati. Pacijenti se moraju strogo nadzirati i pažljivo pratiti tokom vremena trajanja infuzije radi uočavanja bilo kojeg simptoma. </w:t>
      </w:r>
    </w:p>
    <w:p w14:paraId="782DB99B" w14:textId="77777777" w:rsidR="00940F3B" w:rsidRPr="00D35073" w:rsidRDefault="00940F3B" w:rsidP="00C35410">
      <w:pPr>
        <w:tabs>
          <w:tab w:val="left" w:pos="540"/>
          <w:tab w:val="left" w:pos="569"/>
        </w:tabs>
        <w:jc w:val="both"/>
        <w:rPr>
          <w:bCs/>
          <w:sz w:val="22"/>
          <w:szCs w:val="22"/>
          <w:lang w:val="sr-Latn-ME"/>
        </w:rPr>
      </w:pPr>
    </w:p>
    <w:p w14:paraId="0D366C4B" w14:textId="0FBBC639"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Određeni neželjeni efekti mogu se češće javiti kod pacijenata koji po prvi put primaju </w:t>
      </w:r>
      <w:r w:rsidR="00071573" w:rsidRPr="00D35073">
        <w:rPr>
          <w:bCs/>
          <w:sz w:val="22"/>
          <w:szCs w:val="22"/>
          <w:lang w:val="sr-Latn-ME"/>
        </w:rPr>
        <w:t xml:space="preserve">humani </w:t>
      </w:r>
      <w:r w:rsidRPr="00D35073">
        <w:rPr>
          <w:bCs/>
          <w:sz w:val="22"/>
          <w:szCs w:val="22"/>
          <w:lang w:val="sr-Latn-ME"/>
        </w:rPr>
        <w:t xml:space="preserve">normalni immunoglobulin ili, u rijetkim slučajevima, kada se zamjenjuje lijek sa </w:t>
      </w:r>
      <w:r w:rsidR="00071573" w:rsidRPr="00D35073">
        <w:rPr>
          <w:bCs/>
          <w:sz w:val="22"/>
          <w:szCs w:val="22"/>
          <w:lang w:val="sr-Latn-ME"/>
        </w:rPr>
        <w:t xml:space="preserve">humanim </w:t>
      </w:r>
      <w:r w:rsidRPr="00D35073">
        <w:rPr>
          <w:bCs/>
          <w:sz w:val="22"/>
          <w:szCs w:val="22"/>
          <w:lang w:val="sr-Latn-ME"/>
        </w:rPr>
        <w:t xml:space="preserve">normalnim imunoglobulinom ili kada je od prethodne infuzije prošao duži vremenski period. </w:t>
      </w:r>
    </w:p>
    <w:p w14:paraId="7BE52BD2" w14:textId="77777777" w:rsidR="00940F3B" w:rsidRPr="00D35073" w:rsidRDefault="00940F3B" w:rsidP="00C35410">
      <w:pPr>
        <w:tabs>
          <w:tab w:val="left" w:pos="540"/>
          <w:tab w:val="left" w:pos="569"/>
        </w:tabs>
        <w:jc w:val="both"/>
        <w:rPr>
          <w:bCs/>
          <w:sz w:val="22"/>
          <w:szCs w:val="22"/>
          <w:lang w:val="sr-Latn-ME"/>
        </w:rPr>
      </w:pPr>
    </w:p>
    <w:p w14:paraId="21CF086F"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Potencijalne komplikacije često se mogu izbjeći:</w:t>
      </w:r>
    </w:p>
    <w:p w14:paraId="1E834898"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w:t>
      </w:r>
      <w:r w:rsidRPr="00D35073">
        <w:rPr>
          <w:bCs/>
          <w:sz w:val="22"/>
          <w:szCs w:val="22"/>
          <w:lang w:val="sr-Latn-ME"/>
        </w:rPr>
        <w:tab/>
        <w:t>Sporim početnim injektiranjem lijeka ( vidjeti dio 4.2.)</w:t>
      </w:r>
    </w:p>
    <w:p w14:paraId="2D84A086" w14:textId="62D98876"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w:t>
      </w:r>
      <w:r w:rsidRPr="00D35073">
        <w:rPr>
          <w:bCs/>
          <w:sz w:val="22"/>
          <w:szCs w:val="22"/>
          <w:lang w:val="sr-Latn-ME"/>
        </w:rPr>
        <w:tab/>
        <w:t>Omogućavanjem pažljivog nadzora pacijenta tokom vremena trajanja infuzije radi uočavanja simptoma. Pacijenti koji još ni</w:t>
      </w:r>
      <w:r w:rsidR="0028663A" w:rsidRPr="00D35073">
        <w:rPr>
          <w:bCs/>
          <w:sz w:val="22"/>
          <w:szCs w:val="22"/>
          <w:lang w:val="sr-Latn-ME"/>
        </w:rPr>
        <w:t>je</w:t>
      </w:r>
      <w:r w:rsidRPr="00D35073">
        <w:rPr>
          <w:bCs/>
          <w:sz w:val="22"/>
          <w:szCs w:val="22"/>
          <w:lang w:val="sr-Latn-ME"/>
        </w:rPr>
        <w:t>su nikad prim</w:t>
      </w:r>
      <w:r w:rsidR="00071573" w:rsidRPr="00D35073">
        <w:rPr>
          <w:bCs/>
          <w:sz w:val="22"/>
          <w:szCs w:val="22"/>
          <w:lang w:val="sr-Latn-ME"/>
        </w:rPr>
        <w:t>i</w:t>
      </w:r>
      <w:r w:rsidRPr="00D35073">
        <w:rPr>
          <w:bCs/>
          <w:sz w:val="22"/>
          <w:szCs w:val="22"/>
          <w:lang w:val="sr-Latn-ME"/>
        </w:rPr>
        <w:t xml:space="preserve">li </w:t>
      </w:r>
      <w:r w:rsidR="00071573" w:rsidRPr="00D35073">
        <w:rPr>
          <w:bCs/>
          <w:sz w:val="22"/>
          <w:szCs w:val="22"/>
          <w:lang w:val="sr-Latn-ME"/>
        </w:rPr>
        <w:t xml:space="preserve"> humani </w:t>
      </w:r>
      <w:r w:rsidRPr="00D35073">
        <w:rPr>
          <w:bCs/>
          <w:sz w:val="22"/>
          <w:szCs w:val="22"/>
          <w:lang w:val="sr-Latn-ME"/>
        </w:rPr>
        <w:t xml:space="preserve"> immunoglobulin, pacijenti koji prelaze sa drugog lijeka koji sadrži immunoglobulin ili pacijenti sa dugim intervalom od prethodne infuzije moraju se naročito pažljivo nadgledati tokom prve infuzije </w:t>
      </w:r>
      <w:r w:rsidR="009E1D36" w:rsidRPr="00D35073">
        <w:rPr>
          <w:bCs/>
          <w:sz w:val="22"/>
          <w:szCs w:val="22"/>
          <w:lang w:val="sr-Latn-ME"/>
        </w:rPr>
        <w:t xml:space="preserve">i </w:t>
      </w:r>
      <w:r w:rsidRPr="00D35073">
        <w:rPr>
          <w:bCs/>
          <w:sz w:val="22"/>
          <w:szCs w:val="22"/>
          <w:lang w:val="sr-Latn-ME"/>
        </w:rPr>
        <w:t xml:space="preserve"> prvog sata nakon prve infuzije radi otkrivanja znakova potencijalnih neželjenih efekata. </w:t>
      </w:r>
    </w:p>
    <w:p w14:paraId="540EFC16"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Sve druge pacijente potrebno je pratiti najmanje 20 minuta nakon primjene lijeka.</w:t>
      </w:r>
    </w:p>
    <w:p w14:paraId="5DE9B5CD" w14:textId="77777777" w:rsidR="00940F3B" w:rsidRPr="00D35073" w:rsidRDefault="00940F3B" w:rsidP="00C35410">
      <w:pPr>
        <w:tabs>
          <w:tab w:val="left" w:pos="540"/>
          <w:tab w:val="left" w:pos="569"/>
        </w:tabs>
        <w:jc w:val="both"/>
        <w:rPr>
          <w:bCs/>
          <w:sz w:val="22"/>
          <w:szCs w:val="22"/>
          <w:lang w:val="sr-Latn-ME"/>
        </w:rPr>
      </w:pPr>
    </w:p>
    <w:p w14:paraId="69F06332" w14:textId="0DC9F6D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U slučaju pojave neželjenih efekata može se smanjiti brzina lijeka ili se mora zaustaviti infuzija. Sumnja na reakcije alergijskog ili anafilaktičkog tipa zaht</w:t>
      </w:r>
      <w:r w:rsidR="007E2924" w:rsidRPr="00D35073">
        <w:rPr>
          <w:bCs/>
          <w:sz w:val="22"/>
          <w:szCs w:val="22"/>
          <w:lang w:val="sr-Latn-ME"/>
        </w:rPr>
        <w:t>i</w:t>
      </w:r>
      <w:r w:rsidRPr="00D35073">
        <w:rPr>
          <w:bCs/>
          <w:sz w:val="22"/>
          <w:szCs w:val="22"/>
          <w:lang w:val="sr-Latn-ME"/>
        </w:rPr>
        <w:t>jeva trenutni prekid infuzije. Liječenje zavisi o</w:t>
      </w:r>
      <w:r w:rsidR="005405D7" w:rsidRPr="00D35073">
        <w:rPr>
          <w:bCs/>
          <w:sz w:val="22"/>
          <w:szCs w:val="22"/>
          <w:lang w:val="sr-Latn-ME"/>
        </w:rPr>
        <w:t xml:space="preserve">d </w:t>
      </w:r>
      <w:r w:rsidRPr="00D35073">
        <w:rPr>
          <w:bCs/>
          <w:sz w:val="22"/>
          <w:szCs w:val="22"/>
          <w:lang w:val="sr-Latn-ME"/>
        </w:rPr>
        <w:t xml:space="preserve"> prirod</w:t>
      </w:r>
      <w:r w:rsidR="005405D7" w:rsidRPr="00D35073">
        <w:rPr>
          <w:bCs/>
          <w:sz w:val="22"/>
          <w:szCs w:val="22"/>
          <w:lang w:val="sr-Latn-ME"/>
        </w:rPr>
        <w:t xml:space="preserve">e </w:t>
      </w:r>
      <w:r w:rsidRPr="00D35073">
        <w:rPr>
          <w:bCs/>
          <w:sz w:val="22"/>
          <w:szCs w:val="22"/>
          <w:lang w:val="sr-Latn-ME"/>
        </w:rPr>
        <w:t>i težin</w:t>
      </w:r>
      <w:r w:rsidR="005405D7" w:rsidRPr="00D35073">
        <w:rPr>
          <w:bCs/>
          <w:sz w:val="22"/>
          <w:szCs w:val="22"/>
          <w:lang w:val="sr-Latn-ME"/>
        </w:rPr>
        <w:t xml:space="preserve">e </w:t>
      </w:r>
      <w:r w:rsidRPr="00D35073">
        <w:rPr>
          <w:bCs/>
          <w:sz w:val="22"/>
          <w:szCs w:val="22"/>
          <w:lang w:val="sr-Latn-ME"/>
        </w:rPr>
        <w:t xml:space="preserve"> neželjenih efekata. </w:t>
      </w:r>
    </w:p>
    <w:p w14:paraId="461A5A51"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U slučaju šoka potrebno je primjenjivati standardno medicinsko liječenje za stanje šoka. </w:t>
      </w:r>
    </w:p>
    <w:p w14:paraId="7C07B781" w14:textId="77777777" w:rsidR="00940F3B" w:rsidRPr="00D35073" w:rsidRDefault="00940F3B" w:rsidP="00C35410">
      <w:pPr>
        <w:tabs>
          <w:tab w:val="left" w:pos="540"/>
          <w:tab w:val="left" w:pos="569"/>
        </w:tabs>
        <w:jc w:val="both"/>
        <w:rPr>
          <w:bCs/>
          <w:sz w:val="22"/>
          <w:szCs w:val="22"/>
          <w:u w:val="single"/>
          <w:lang w:val="sr-Latn-ME"/>
        </w:rPr>
      </w:pPr>
    </w:p>
    <w:p w14:paraId="4F17C726" w14:textId="77777777"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Preosjetljivost</w:t>
      </w:r>
    </w:p>
    <w:p w14:paraId="5E3FDD3C" w14:textId="1E88B40F"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 Prave alergijske reakcije su rijetke. One se posebno mogu javiti kod pacijenata sa anti-IgA antitijelima koji se moraju liječiti uz veliki oprez. Pacijenti sa anti-IgA antitijelima kod kojih je liječenje subkutanim ljekovima s</w:t>
      </w:r>
      <w:r w:rsidR="0028663A" w:rsidRPr="00D35073">
        <w:rPr>
          <w:bCs/>
          <w:sz w:val="22"/>
          <w:szCs w:val="22"/>
          <w:lang w:val="sr-Latn-ME"/>
        </w:rPr>
        <w:t>a</w:t>
      </w:r>
      <w:r w:rsidRPr="00D35073">
        <w:rPr>
          <w:bCs/>
          <w:sz w:val="22"/>
          <w:szCs w:val="22"/>
          <w:lang w:val="sr-Latn-ME"/>
        </w:rPr>
        <w:t xml:space="preserve"> IgG antitijelima jedina mogućnost, smiju se liječiti lijekom Cutaquig uz strogi ljekarski nadzor. </w:t>
      </w:r>
    </w:p>
    <w:p w14:paraId="53173E3B" w14:textId="598B88C8"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U rijetkim slučajevima </w:t>
      </w:r>
      <w:r w:rsidR="00071573" w:rsidRPr="00D35073">
        <w:rPr>
          <w:bCs/>
          <w:sz w:val="22"/>
          <w:szCs w:val="22"/>
          <w:lang w:val="sr-Latn-ME"/>
        </w:rPr>
        <w:t xml:space="preserve"> humani </w:t>
      </w:r>
      <w:r w:rsidRPr="00D35073">
        <w:rPr>
          <w:bCs/>
          <w:sz w:val="22"/>
          <w:szCs w:val="22"/>
          <w:lang w:val="sr-Latn-ME"/>
        </w:rPr>
        <w:t xml:space="preserve"> normalni immunoglobulin može izazvati pad krvnog pritiska uz anafilaktičku reakciju, čak i kod pacijenata koji su dobro podnosili prethodno liječenje </w:t>
      </w:r>
      <w:r w:rsidR="00F643CC" w:rsidRPr="00D35073">
        <w:rPr>
          <w:bCs/>
          <w:sz w:val="22"/>
          <w:szCs w:val="22"/>
          <w:lang w:val="sr-Latn-ME"/>
        </w:rPr>
        <w:t xml:space="preserve"> humanim  </w:t>
      </w:r>
      <w:r w:rsidRPr="00D35073">
        <w:rPr>
          <w:bCs/>
          <w:sz w:val="22"/>
          <w:szCs w:val="22"/>
          <w:lang w:val="sr-Latn-ME"/>
        </w:rPr>
        <w:t xml:space="preserve">normalnim imunoglobulinom. </w:t>
      </w:r>
    </w:p>
    <w:p w14:paraId="3DBB4BCE" w14:textId="77777777" w:rsidR="00940F3B" w:rsidRPr="00D35073" w:rsidRDefault="00940F3B" w:rsidP="00C35410">
      <w:pPr>
        <w:tabs>
          <w:tab w:val="left" w:pos="540"/>
          <w:tab w:val="left" w:pos="569"/>
        </w:tabs>
        <w:jc w:val="both"/>
        <w:rPr>
          <w:bCs/>
          <w:sz w:val="22"/>
          <w:szCs w:val="22"/>
          <w:lang w:val="sr-Latn-ME"/>
        </w:rPr>
      </w:pPr>
    </w:p>
    <w:p w14:paraId="6857BB50" w14:textId="77777777" w:rsidR="00071573" w:rsidRPr="00D35073" w:rsidRDefault="00071573" w:rsidP="00C35410">
      <w:pPr>
        <w:tabs>
          <w:tab w:val="left" w:pos="540"/>
          <w:tab w:val="left" w:pos="569"/>
        </w:tabs>
        <w:jc w:val="both"/>
        <w:rPr>
          <w:bCs/>
          <w:sz w:val="22"/>
          <w:szCs w:val="22"/>
          <w:lang w:val="sr-Latn-ME"/>
        </w:rPr>
      </w:pPr>
    </w:p>
    <w:p w14:paraId="5557E6AA" w14:textId="017E2CAA"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Tromboemboli</w:t>
      </w:r>
      <w:r w:rsidR="00F853FE" w:rsidRPr="00D35073">
        <w:rPr>
          <w:bCs/>
          <w:sz w:val="22"/>
          <w:szCs w:val="22"/>
          <w:u w:val="single"/>
          <w:lang w:val="sr-Latn-ME"/>
        </w:rPr>
        <w:t>zam</w:t>
      </w:r>
    </w:p>
    <w:p w14:paraId="2C63D787" w14:textId="2B6FD5AE"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Arterijski i venski tromboembolijski događaji uključuju infarkt miokarda, moždani udar, duboku vensku trombozu i plućnu emboliju povezanu sa primjenom imunoglobulina. Prije primjene imunoglobulina </w:t>
      </w:r>
      <w:r w:rsidR="00D367BD" w:rsidRPr="00D35073">
        <w:rPr>
          <w:bCs/>
          <w:sz w:val="22"/>
          <w:szCs w:val="22"/>
          <w:lang w:val="sr-Latn-ME"/>
        </w:rPr>
        <w:t xml:space="preserve">pacijenti </w:t>
      </w:r>
      <w:r w:rsidRPr="00D35073">
        <w:rPr>
          <w:bCs/>
          <w:sz w:val="22"/>
          <w:szCs w:val="22"/>
          <w:lang w:val="sr-Latn-ME"/>
        </w:rPr>
        <w:t xml:space="preserve"> moraju biti dovoljno hidrirani. Neophodan je oprez kod pacijenata sa postojećim faktorima rizika za trombotske događaje (poput starije životne dobi, hipertenzije, diabetes mellitus-a i bolesti krvnih sudova ili trombotskih epizoda u anamnezi, pacijenata sa stečenom ili naslijeđenom trombofilijom, pacijenata sa dužim vremenom nepokretnosti, pacijenata sa teškim hipovolemijama, pacijenata sa bolestima koje povećavaju gustinu krvi).</w:t>
      </w:r>
    </w:p>
    <w:p w14:paraId="0D501BF4" w14:textId="10001885"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lastRenderedPageBreak/>
        <w:t>Pacijente treba prvo informisati o prvim simptomima tromboembolijskih događaja uklučujući nedostatak vazduha, bol i oticanje udova, fokalne ne</w:t>
      </w:r>
      <w:r w:rsidR="006C54D8" w:rsidRPr="00D35073">
        <w:rPr>
          <w:bCs/>
          <w:sz w:val="22"/>
          <w:szCs w:val="22"/>
          <w:lang w:val="sr-Latn-ME"/>
        </w:rPr>
        <w:t>urološk</w:t>
      </w:r>
      <w:r w:rsidRPr="00D35073">
        <w:rPr>
          <w:bCs/>
          <w:sz w:val="22"/>
          <w:szCs w:val="22"/>
          <w:lang w:val="sr-Latn-ME"/>
        </w:rPr>
        <w:t>e defekte i bol u grudima te ih je potrebno savjetovati da se čim nastupe takvi simptomi obrate ljekaru.</w:t>
      </w:r>
    </w:p>
    <w:p w14:paraId="554D252C" w14:textId="77777777" w:rsidR="00940F3B" w:rsidRPr="00D35073" w:rsidRDefault="00940F3B" w:rsidP="00C35410">
      <w:pPr>
        <w:tabs>
          <w:tab w:val="left" w:pos="540"/>
          <w:tab w:val="left" w:pos="569"/>
        </w:tabs>
        <w:jc w:val="both"/>
        <w:rPr>
          <w:bCs/>
          <w:sz w:val="22"/>
          <w:szCs w:val="22"/>
          <w:lang w:val="sr-Latn-ME"/>
        </w:rPr>
      </w:pPr>
    </w:p>
    <w:p w14:paraId="0A7411E2" w14:textId="77777777" w:rsidR="00AD2CD4" w:rsidRPr="00D35073" w:rsidRDefault="00AD2CD4" w:rsidP="00C35410">
      <w:pPr>
        <w:tabs>
          <w:tab w:val="left" w:pos="540"/>
          <w:tab w:val="left" w:pos="569"/>
        </w:tabs>
        <w:jc w:val="both"/>
        <w:rPr>
          <w:bCs/>
          <w:sz w:val="22"/>
          <w:szCs w:val="22"/>
          <w:u w:val="single"/>
          <w:lang w:val="sr-Latn-ME"/>
        </w:rPr>
      </w:pPr>
    </w:p>
    <w:p w14:paraId="0B97F868" w14:textId="00E5C99C"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Sindrom aseptičnog meningitisa (AMS)</w:t>
      </w:r>
    </w:p>
    <w:p w14:paraId="7C2F8C0D" w14:textId="0C297DCA"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Sindrom aseptičnog meningitisa prijavljen je u vezi sa su</w:t>
      </w:r>
      <w:r w:rsidR="00170D82" w:rsidRPr="00D35073">
        <w:rPr>
          <w:bCs/>
          <w:sz w:val="22"/>
          <w:szCs w:val="22"/>
          <w:lang w:val="sr-Latn-ME"/>
        </w:rPr>
        <w:t>p</w:t>
      </w:r>
      <w:r w:rsidRPr="00D35073">
        <w:rPr>
          <w:bCs/>
          <w:sz w:val="22"/>
          <w:szCs w:val="22"/>
          <w:lang w:val="sr-Latn-ME"/>
        </w:rPr>
        <w:t xml:space="preserve">kutanim liječenjem imunoglobulinom; simptomi obično počinju unutar nekoliko sati do 2 dana nakon liječenja. Prekid liječenja imunoglobulinom može rezultirati remisijom AMS-a unutar nekoliko dana bez posljedica. </w:t>
      </w:r>
    </w:p>
    <w:p w14:paraId="471CBC1E" w14:textId="77777777" w:rsidR="00940F3B" w:rsidRPr="00D35073" w:rsidRDefault="00940F3B" w:rsidP="00C35410">
      <w:pPr>
        <w:tabs>
          <w:tab w:val="left" w:pos="540"/>
          <w:tab w:val="left" w:pos="569"/>
        </w:tabs>
        <w:jc w:val="both"/>
        <w:rPr>
          <w:bCs/>
          <w:sz w:val="22"/>
          <w:szCs w:val="22"/>
          <w:lang w:val="sr-Latn-ME"/>
        </w:rPr>
      </w:pPr>
    </w:p>
    <w:p w14:paraId="3469AC3B" w14:textId="04A9382A"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Pacijente je potrebno informisati o prvim simptomima koji obuhvataju tešku glavobolju, ukočenost vrata, omamljenost, temperatur</w:t>
      </w:r>
      <w:r w:rsidR="00AF09C9" w:rsidRPr="00D35073">
        <w:rPr>
          <w:bCs/>
          <w:sz w:val="22"/>
          <w:szCs w:val="22"/>
          <w:lang w:val="sr-Latn-ME"/>
        </w:rPr>
        <w:t>u</w:t>
      </w:r>
      <w:r w:rsidRPr="00D35073">
        <w:rPr>
          <w:bCs/>
          <w:sz w:val="22"/>
          <w:szCs w:val="22"/>
          <w:lang w:val="sr-Latn-ME"/>
        </w:rPr>
        <w:t>, fotofobiju, mučninu i povraćanje.</w:t>
      </w:r>
    </w:p>
    <w:p w14:paraId="55012B66" w14:textId="77777777" w:rsidR="00940F3B" w:rsidRPr="00D35073" w:rsidRDefault="00940F3B" w:rsidP="00C35410">
      <w:pPr>
        <w:tabs>
          <w:tab w:val="left" w:pos="540"/>
          <w:tab w:val="left" w:pos="569"/>
        </w:tabs>
        <w:jc w:val="both"/>
        <w:rPr>
          <w:bCs/>
          <w:sz w:val="22"/>
          <w:szCs w:val="22"/>
          <w:lang w:val="sr-Latn-ME"/>
        </w:rPr>
      </w:pPr>
    </w:p>
    <w:p w14:paraId="28EACB56" w14:textId="77777777"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Disfunkcija/zatajenje bubrega</w:t>
      </w:r>
    </w:p>
    <w:p w14:paraId="52876F91" w14:textId="77777777" w:rsidR="00940F3B" w:rsidRPr="00D35073" w:rsidRDefault="00940F3B" w:rsidP="00C35410">
      <w:pPr>
        <w:tabs>
          <w:tab w:val="left" w:pos="540"/>
          <w:tab w:val="left" w:pos="569"/>
        </w:tabs>
        <w:jc w:val="both"/>
        <w:rPr>
          <w:bCs/>
          <w:sz w:val="22"/>
          <w:szCs w:val="22"/>
          <w:lang w:val="sr-Latn-ME"/>
        </w:rPr>
      </w:pPr>
    </w:p>
    <w:p w14:paraId="30CFF8E6" w14:textId="6431B8C9"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Prijavljeno je nekoliko teških neželjenih efekata bubrega kod pacijenata liječeni</w:t>
      </w:r>
      <w:r w:rsidR="00A87261" w:rsidRPr="00D35073">
        <w:rPr>
          <w:bCs/>
          <w:sz w:val="22"/>
          <w:szCs w:val="22"/>
          <w:lang w:val="sr-Latn-ME"/>
        </w:rPr>
        <w:t xml:space="preserve">h </w:t>
      </w:r>
      <w:r w:rsidRPr="00D35073">
        <w:rPr>
          <w:bCs/>
          <w:sz w:val="22"/>
          <w:szCs w:val="22"/>
          <w:lang w:val="sr-Latn-ME"/>
        </w:rPr>
        <w:t xml:space="preserve"> imunoglobulinima, naročito kod onih koji sadrže saharozu (Cutaquig ne sadrži saharozu). One uključuju akutno zatajenje bubrega, akutnu tubularnu nekrozu, proksimalnu tubularnu nefropatiju i osmotsku nefrozu. Faktori koji povećavaju rizik od bubrežnih komplikacija uključuju, ali nisu ograničeni na postojeću insuficijenciju bubrega, dijabetes mellitus, hipovolemiju, istovremena primjena nefrotoksičnih ljekova, godina iznad 65, sepsu, hiperviskoznost i paraproteinemiju. </w:t>
      </w:r>
    </w:p>
    <w:p w14:paraId="358C669F" w14:textId="77777777" w:rsidR="00940F3B" w:rsidRPr="00D35073" w:rsidRDefault="00940F3B" w:rsidP="00C35410">
      <w:pPr>
        <w:tabs>
          <w:tab w:val="left" w:pos="540"/>
          <w:tab w:val="left" w:pos="569"/>
        </w:tabs>
        <w:jc w:val="both"/>
        <w:rPr>
          <w:bCs/>
          <w:sz w:val="22"/>
          <w:szCs w:val="22"/>
          <w:lang w:val="sr-Latn-ME"/>
        </w:rPr>
      </w:pPr>
    </w:p>
    <w:p w14:paraId="6649BE25" w14:textId="77777777"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Hemoliza</w:t>
      </w:r>
    </w:p>
    <w:p w14:paraId="34799B12" w14:textId="7C653DA3"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Ljekovi koji sadrže IgG mogu sadržati antitijela krvne grupe koja mogu djelovati kao hemoliz</w:t>
      </w:r>
      <w:r w:rsidR="00D367BD" w:rsidRPr="00D35073">
        <w:rPr>
          <w:bCs/>
          <w:sz w:val="22"/>
          <w:szCs w:val="22"/>
          <w:lang w:val="sr-Latn-ME"/>
        </w:rPr>
        <w:t>i</w:t>
      </w:r>
      <w:r w:rsidRPr="00D35073">
        <w:rPr>
          <w:bCs/>
          <w:sz w:val="22"/>
          <w:szCs w:val="22"/>
          <w:lang w:val="sr-Latn-ME"/>
        </w:rPr>
        <w:t>ni i postaknuti in vivo oblaganje crvenih krvnih zrnaca (RBC) imunoglobulinom čime se dobija pozitivan rezultat direktnog antiglobulinskog (Coombsovog) testa, što u rijetkim slučajevima može dovesti do hemolize.</w:t>
      </w:r>
    </w:p>
    <w:p w14:paraId="7274D819" w14:textId="60044A3A" w:rsidR="00D367BD" w:rsidRPr="00D35073" w:rsidRDefault="00D367BD" w:rsidP="00C35410">
      <w:pPr>
        <w:tabs>
          <w:tab w:val="left" w:pos="540"/>
          <w:tab w:val="left" w:pos="569"/>
        </w:tabs>
        <w:jc w:val="both"/>
        <w:rPr>
          <w:bCs/>
          <w:sz w:val="22"/>
          <w:szCs w:val="22"/>
          <w:lang w:val="sr-Latn-ME"/>
        </w:rPr>
      </w:pPr>
      <w:r w:rsidRPr="00D35073">
        <w:rPr>
          <w:bCs/>
          <w:sz w:val="22"/>
          <w:szCs w:val="22"/>
          <w:lang w:val="sr-Latn-ME"/>
        </w:rPr>
        <w:t>Potrebno je pratiti  primaoce imunoglobulinskih proizvoda na kliničke znake i simptome hemolize.</w:t>
      </w:r>
    </w:p>
    <w:p w14:paraId="383EDC81" w14:textId="77777777" w:rsidR="00940F3B" w:rsidRPr="00D35073" w:rsidRDefault="00940F3B" w:rsidP="00C35410">
      <w:pPr>
        <w:tabs>
          <w:tab w:val="left" w:pos="540"/>
          <w:tab w:val="left" w:pos="569"/>
        </w:tabs>
        <w:jc w:val="both"/>
        <w:rPr>
          <w:bCs/>
          <w:sz w:val="22"/>
          <w:szCs w:val="22"/>
          <w:lang w:val="sr-Latn-ME"/>
        </w:rPr>
      </w:pPr>
    </w:p>
    <w:p w14:paraId="77C84BB6" w14:textId="77777777" w:rsidR="00D224B1" w:rsidRPr="00D35073" w:rsidRDefault="00D224B1" w:rsidP="00C35410">
      <w:pPr>
        <w:tabs>
          <w:tab w:val="left" w:pos="540"/>
          <w:tab w:val="left" w:pos="569"/>
        </w:tabs>
        <w:jc w:val="both"/>
        <w:rPr>
          <w:bCs/>
          <w:sz w:val="22"/>
          <w:szCs w:val="22"/>
          <w:lang w:val="sr-Latn-ME"/>
        </w:rPr>
      </w:pPr>
    </w:p>
    <w:p w14:paraId="5E9E07F8" w14:textId="642197C5"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Sadržaj natrijuma</w:t>
      </w:r>
    </w:p>
    <w:p w14:paraId="1936FF8A"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Ovaj lijek sadrži 33,1mg natrijuma po bočici od 48ml i 13,8mg natrijuma po bočici od 20ml, što odgovara 1,7% odnosno 0,7% maksimalnog dnevnog unosa od 2g natrijuma prema preporuci SZO za odraslu osobu. </w:t>
      </w:r>
    </w:p>
    <w:p w14:paraId="6DF60E7F" w14:textId="77777777" w:rsidR="00940F3B" w:rsidRPr="00D35073" w:rsidRDefault="00940F3B" w:rsidP="00C35410">
      <w:pPr>
        <w:tabs>
          <w:tab w:val="left" w:pos="540"/>
          <w:tab w:val="left" w:pos="569"/>
        </w:tabs>
        <w:jc w:val="both"/>
        <w:rPr>
          <w:bCs/>
          <w:sz w:val="22"/>
          <w:szCs w:val="22"/>
          <w:lang w:val="sr-Latn-ME"/>
        </w:rPr>
      </w:pPr>
    </w:p>
    <w:p w14:paraId="13971547" w14:textId="77777777"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Interferencija sa serološkim pretragama</w:t>
      </w:r>
    </w:p>
    <w:p w14:paraId="7F884D26"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Nakon injekcije imunoglobulina, prolazno povećanje različito pasivno prenesenih antitijela u pacijentovoj krvi može rezultirati lažno pozitivnim rezultatima u serološkim pretragama. </w:t>
      </w:r>
    </w:p>
    <w:p w14:paraId="2B04B68C" w14:textId="77777777" w:rsidR="00940F3B" w:rsidRPr="00D35073" w:rsidRDefault="00940F3B" w:rsidP="00C35410">
      <w:pPr>
        <w:tabs>
          <w:tab w:val="left" w:pos="540"/>
          <w:tab w:val="left" w:pos="569"/>
        </w:tabs>
        <w:jc w:val="both"/>
        <w:rPr>
          <w:bCs/>
          <w:sz w:val="22"/>
          <w:szCs w:val="22"/>
          <w:lang w:val="sr-Latn-ME"/>
        </w:rPr>
      </w:pPr>
    </w:p>
    <w:p w14:paraId="6EDBE98E" w14:textId="0B4FB57D"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Pasivan prenos antitijela protiv eritrocitnih antigena, npr. A,B, D može uticati na</w:t>
      </w:r>
      <w:r w:rsidR="00A87261" w:rsidRPr="00D35073">
        <w:rPr>
          <w:bCs/>
          <w:sz w:val="22"/>
          <w:szCs w:val="22"/>
          <w:lang w:val="sr-Latn-ME"/>
        </w:rPr>
        <w:t xml:space="preserve"> </w:t>
      </w:r>
      <w:r w:rsidRPr="00D35073">
        <w:rPr>
          <w:bCs/>
          <w:sz w:val="22"/>
          <w:szCs w:val="22"/>
          <w:lang w:val="sr-Latn-ME"/>
        </w:rPr>
        <w:t xml:space="preserve">neke serološke pretrage za antitijela crvenih krvnih zrnaca, na primjer direktni antiglobulinski test (DAT, direktan Coombsov test). </w:t>
      </w:r>
    </w:p>
    <w:p w14:paraId="39ADCA0D" w14:textId="77777777" w:rsidR="00393BB7" w:rsidRPr="00D35073" w:rsidRDefault="00393BB7" w:rsidP="00C35410">
      <w:pPr>
        <w:tabs>
          <w:tab w:val="left" w:pos="540"/>
          <w:tab w:val="left" w:pos="569"/>
        </w:tabs>
        <w:jc w:val="both"/>
        <w:rPr>
          <w:bCs/>
          <w:sz w:val="22"/>
          <w:szCs w:val="22"/>
          <w:u w:val="single"/>
          <w:lang w:val="sr-Latn-ME"/>
        </w:rPr>
      </w:pPr>
    </w:p>
    <w:p w14:paraId="6D54F385" w14:textId="77777777" w:rsidR="00393BB7" w:rsidRPr="00D35073" w:rsidRDefault="00393BB7" w:rsidP="00C35410">
      <w:pPr>
        <w:tabs>
          <w:tab w:val="left" w:pos="540"/>
          <w:tab w:val="left" w:pos="569"/>
        </w:tabs>
        <w:jc w:val="both"/>
        <w:rPr>
          <w:bCs/>
          <w:sz w:val="22"/>
          <w:szCs w:val="22"/>
          <w:u w:val="single"/>
          <w:lang w:val="sr-Latn-ME"/>
        </w:rPr>
      </w:pPr>
    </w:p>
    <w:p w14:paraId="47B2CBC1" w14:textId="5B2D20EC"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Prenosivi agensi</w:t>
      </w:r>
    </w:p>
    <w:p w14:paraId="6FC4D4D1" w14:textId="3855D76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Standardne mjere za sprečavanje infekcija koje su posl</w:t>
      </w:r>
      <w:r w:rsidR="002F2D4E" w:rsidRPr="00D35073">
        <w:rPr>
          <w:bCs/>
          <w:sz w:val="22"/>
          <w:szCs w:val="22"/>
          <w:lang w:val="sr-Latn-ME"/>
        </w:rPr>
        <w:t>j</w:t>
      </w:r>
      <w:r w:rsidRPr="00D35073">
        <w:rPr>
          <w:bCs/>
          <w:sz w:val="22"/>
          <w:szCs w:val="22"/>
          <w:lang w:val="sr-Latn-ME"/>
        </w:rPr>
        <w:t xml:space="preserve">edica upotrebe ljekova proizvedenih iz </w:t>
      </w:r>
      <w:r w:rsidR="002F2D4E" w:rsidRPr="00D35073">
        <w:rPr>
          <w:bCs/>
          <w:sz w:val="22"/>
          <w:szCs w:val="22"/>
          <w:lang w:val="sr-Latn-ME"/>
        </w:rPr>
        <w:t xml:space="preserve">humane </w:t>
      </w:r>
      <w:r w:rsidR="00E27EEA" w:rsidRPr="00D35073">
        <w:rPr>
          <w:bCs/>
          <w:sz w:val="22"/>
          <w:szCs w:val="22"/>
          <w:lang w:val="sr-Latn-ME"/>
        </w:rPr>
        <w:t xml:space="preserve"> </w:t>
      </w:r>
      <w:r w:rsidRPr="00D35073">
        <w:rPr>
          <w:bCs/>
          <w:sz w:val="22"/>
          <w:szCs w:val="22"/>
          <w:lang w:val="sr-Latn-ME"/>
        </w:rPr>
        <w:t xml:space="preserve"> krvi ili plazme uključuju odabir donora, odabir pojedinačnih donacija i pulova plazme na specifične markere infekcije i privođenje </w:t>
      </w:r>
      <w:r w:rsidR="0028663A" w:rsidRPr="00D35073">
        <w:rPr>
          <w:bCs/>
          <w:sz w:val="22"/>
          <w:szCs w:val="22"/>
          <w:lang w:val="sr-Latn-ME"/>
        </w:rPr>
        <w:t xml:space="preserve">djelotvornih </w:t>
      </w:r>
      <w:r w:rsidRPr="00D35073">
        <w:rPr>
          <w:bCs/>
          <w:sz w:val="22"/>
          <w:szCs w:val="22"/>
          <w:lang w:val="sr-Latn-ME"/>
        </w:rPr>
        <w:t xml:space="preserve">koraka za inaktivaciju/uklanjanje virusa tokom proizvodnje. Uprkos tome, kada se primjenjuju ljekovi pripremljeni iz </w:t>
      </w:r>
      <w:r w:rsidR="004B58F9" w:rsidRPr="00D35073">
        <w:rPr>
          <w:bCs/>
          <w:sz w:val="22"/>
          <w:szCs w:val="22"/>
          <w:lang w:val="sr-Latn-ME"/>
        </w:rPr>
        <w:t xml:space="preserve"> humane </w:t>
      </w:r>
      <w:r w:rsidRPr="00D35073">
        <w:rPr>
          <w:bCs/>
          <w:sz w:val="22"/>
          <w:szCs w:val="22"/>
          <w:lang w:val="sr-Latn-ME"/>
        </w:rPr>
        <w:t xml:space="preserve"> krvi ili plazme, ne može se potpuno isključiti mogućnost prenosa infektivnih agenasa. To se takođe odnosi na nepoznate ili nove viruse ili druge patogene. </w:t>
      </w:r>
    </w:p>
    <w:p w14:paraId="6D253622" w14:textId="77777777" w:rsidR="00940F3B" w:rsidRPr="00D35073" w:rsidRDefault="00940F3B" w:rsidP="00C35410">
      <w:pPr>
        <w:tabs>
          <w:tab w:val="left" w:pos="540"/>
          <w:tab w:val="left" w:pos="569"/>
        </w:tabs>
        <w:jc w:val="both"/>
        <w:rPr>
          <w:bCs/>
          <w:sz w:val="22"/>
          <w:szCs w:val="22"/>
          <w:lang w:val="sr-Latn-ME"/>
        </w:rPr>
      </w:pPr>
    </w:p>
    <w:p w14:paraId="479A98E2"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Preuzete mjere smatraju se djelotvornim protiv virusa a ovojnicom poput humanog virusa imunodeficijencije (HIV), hepatitisa B (HBV) i hepatitisa C(HCV). </w:t>
      </w:r>
    </w:p>
    <w:p w14:paraId="2C1DCB89"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t xml:space="preserve">Preuzete mjere mogu imati ograničeno djelovanje protiv virusa bez ovojnice, poput hepatitisa A (HAV) i parvovirusa B19. </w:t>
      </w:r>
    </w:p>
    <w:p w14:paraId="0E1615F9" w14:textId="77777777" w:rsidR="00940F3B" w:rsidRPr="00D35073" w:rsidRDefault="00940F3B" w:rsidP="00C35410">
      <w:pPr>
        <w:tabs>
          <w:tab w:val="left" w:pos="540"/>
          <w:tab w:val="left" w:pos="569"/>
        </w:tabs>
        <w:jc w:val="both"/>
        <w:rPr>
          <w:bCs/>
          <w:sz w:val="22"/>
          <w:szCs w:val="22"/>
          <w:lang w:val="sr-Latn-ME"/>
        </w:rPr>
      </w:pPr>
    </w:p>
    <w:p w14:paraId="0055A4B6" w14:textId="77777777" w:rsidR="00940F3B" w:rsidRPr="00D35073" w:rsidRDefault="00940F3B" w:rsidP="00C35410">
      <w:pPr>
        <w:tabs>
          <w:tab w:val="left" w:pos="540"/>
          <w:tab w:val="left" w:pos="569"/>
        </w:tabs>
        <w:jc w:val="both"/>
        <w:rPr>
          <w:bCs/>
          <w:sz w:val="22"/>
          <w:szCs w:val="22"/>
          <w:lang w:val="sr-Latn-ME"/>
        </w:rPr>
      </w:pPr>
      <w:r w:rsidRPr="00D35073">
        <w:rPr>
          <w:bCs/>
          <w:sz w:val="22"/>
          <w:szCs w:val="22"/>
          <w:lang w:val="sr-Latn-ME"/>
        </w:rPr>
        <w:lastRenderedPageBreak/>
        <w:t xml:space="preserve">Postoje ohrabrujuća klinička iskustva o tome kako se imunoglobulinima ne prenosi hepatitis A ili parvovirus B19, a takođe se pretpostavlja da atitijela doprinose odbrani od virusa. </w:t>
      </w:r>
    </w:p>
    <w:p w14:paraId="142E60F4" w14:textId="77777777" w:rsidR="00DC12D5" w:rsidRPr="00D35073" w:rsidRDefault="00DC12D5" w:rsidP="00C35410">
      <w:pPr>
        <w:tabs>
          <w:tab w:val="left" w:pos="540"/>
          <w:tab w:val="left" w:pos="569"/>
        </w:tabs>
        <w:jc w:val="both"/>
        <w:rPr>
          <w:bCs/>
          <w:sz w:val="22"/>
          <w:szCs w:val="22"/>
          <w:u w:val="single"/>
          <w:lang w:val="sr-Latn-ME"/>
        </w:rPr>
      </w:pPr>
    </w:p>
    <w:p w14:paraId="425541DB" w14:textId="2DE70EC5" w:rsidR="00940F3B" w:rsidRPr="00D35073" w:rsidRDefault="00940F3B" w:rsidP="00C35410">
      <w:pPr>
        <w:tabs>
          <w:tab w:val="left" w:pos="540"/>
          <w:tab w:val="left" w:pos="569"/>
        </w:tabs>
        <w:jc w:val="both"/>
        <w:rPr>
          <w:bCs/>
          <w:sz w:val="22"/>
          <w:szCs w:val="22"/>
          <w:u w:val="single"/>
          <w:lang w:val="sr-Latn-ME"/>
        </w:rPr>
      </w:pPr>
      <w:r w:rsidRPr="00D35073">
        <w:rPr>
          <w:bCs/>
          <w:sz w:val="22"/>
          <w:szCs w:val="22"/>
          <w:u w:val="single"/>
          <w:lang w:val="sr-Latn-ME"/>
        </w:rPr>
        <w:t>Pedijatrijska populacija</w:t>
      </w:r>
    </w:p>
    <w:p w14:paraId="572B2423" w14:textId="47417FE2" w:rsidR="00057E35" w:rsidRPr="00D35073" w:rsidRDefault="00940F3B" w:rsidP="00C35410">
      <w:pPr>
        <w:tabs>
          <w:tab w:val="left" w:pos="540"/>
          <w:tab w:val="left" w:pos="569"/>
        </w:tabs>
        <w:jc w:val="both"/>
        <w:rPr>
          <w:bCs/>
          <w:sz w:val="22"/>
          <w:szCs w:val="22"/>
          <w:lang w:val="sr-Latn-ME"/>
        </w:rPr>
      </w:pPr>
      <w:r w:rsidRPr="00D35073">
        <w:rPr>
          <w:bCs/>
          <w:sz w:val="22"/>
          <w:szCs w:val="22"/>
          <w:lang w:val="sr-Latn-ME"/>
        </w:rPr>
        <w:t>Navedena upozorenja i mjere opreza odnose se na odrasle i djecu.</w:t>
      </w:r>
    </w:p>
    <w:p w14:paraId="5B59A8D0" w14:textId="77777777" w:rsidR="00A6656D" w:rsidRPr="00D35073" w:rsidRDefault="00A6656D" w:rsidP="00C35410">
      <w:pPr>
        <w:tabs>
          <w:tab w:val="left" w:pos="540"/>
          <w:tab w:val="left" w:pos="569"/>
        </w:tabs>
        <w:jc w:val="both"/>
        <w:rPr>
          <w:bCs/>
          <w:sz w:val="22"/>
          <w:szCs w:val="22"/>
          <w:lang w:val="sr-Latn-ME"/>
        </w:rPr>
      </w:pPr>
    </w:p>
    <w:p w14:paraId="32C3A374" w14:textId="77777777" w:rsidR="00940F3B" w:rsidRPr="00D35073" w:rsidRDefault="00940F3B" w:rsidP="00C35410">
      <w:pPr>
        <w:tabs>
          <w:tab w:val="left" w:pos="540"/>
          <w:tab w:val="left" w:pos="569"/>
        </w:tabs>
        <w:jc w:val="both"/>
        <w:rPr>
          <w:bCs/>
          <w:sz w:val="22"/>
          <w:szCs w:val="22"/>
          <w:lang w:val="sr-Latn-ME"/>
        </w:rPr>
      </w:pPr>
    </w:p>
    <w:p w14:paraId="2D162536" w14:textId="77777777" w:rsidR="00411B4B" w:rsidRPr="00D35073" w:rsidRDefault="00411B4B" w:rsidP="00C35410">
      <w:pPr>
        <w:tabs>
          <w:tab w:val="left" w:pos="540"/>
          <w:tab w:val="left" w:pos="569"/>
        </w:tabs>
        <w:jc w:val="both"/>
        <w:rPr>
          <w:b/>
          <w:bCs/>
          <w:sz w:val="22"/>
          <w:szCs w:val="22"/>
          <w:lang w:val="sr-Latn-ME"/>
        </w:rPr>
      </w:pPr>
      <w:r w:rsidRPr="00D35073">
        <w:rPr>
          <w:b/>
          <w:bCs/>
          <w:sz w:val="22"/>
          <w:szCs w:val="22"/>
          <w:lang w:val="sr-Latn-ME"/>
        </w:rPr>
        <w:t>4.5.</w:t>
      </w:r>
      <w:r w:rsidR="000D60CC" w:rsidRPr="00D35073">
        <w:rPr>
          <w:b/>
          <w:bCs/>
          <w:sz w:val="22"/>
          <w:szCs w:val="22"/>
          <w:lang w:val="sr-Latn-ME"/>
        </w:rPr>
        <w:tab/>
      </w:r>
      <w:r w:rsidRPr="00D35073">
        <w:rPr>
          <w:b/>
          <w:bCs/>
          <w:sz w:val="22"/>
          <w:szCs w:val="22"/>
          <w:lang w:val="sr-Latn-ME"/>
        </w:rPr>
        <w:t>Interakcije sa drugim ljekovima i druge vrste interakcija</w:t>
      </w:r>
    </w:p>
    <w:p w14:paraId="284DADA5" w14:textId="77777777" w:rsidR="00940F3B" w:rsidRPr="00D35073" w:rsidRDefault="00940F3B" w:rsidP="00C35410">
      <w:pPr>
        <w:tabs>
          <w:tab w:val="left" w:pos="540"/>
          <w:tab w:val="left" w:pos="569"/>
        </w:tabs>
        <w:jc w:val="both"/>
        <w:rPr>
          <w:b/>
          <w:bCs/>
          <w:sz w:val="22"/>
          <w:szCs w:val="22"/>
          <w:lang w:val="sr-Latn-ME"/>
        </w:rPr>
      </w:pPr>
    </w:p>
    <w:p w14:paraId="651D40CC" w14:textId="77777777" w:rsidR="00940F3B" w:rsidRPr="00D35073" w:rsidRDefault="00940F3B" w:rsidP="00C35410">
      <w:pPr>
        <w:tabs>
          <w:tab w:val="left" w:pos="540"/>
          <w:tab w:val="left" w:pos="569"/>
        </w:tabs>
        <w:jc w:val="both"/>
        <w:rPr>
          <w:sz w:val="22"/>
          <w:szCs w:val="22"/>
          <w:u w:val="single"/>
          <w:lang w:val="sr-Latn-ME"/>
        </w:rPr>
      </w:pPr>
      <w:r w:rsidRPr="00D35073">
        <w:rPr>
          <w:sz w:val="22"/>
          <w:szCs w:val="22"/>
          <w:u w:val="single"/>
          <w:lang w:val="sr-Latn-ME"/>
        </w:rPr>
        <w:t>Žive atenuisane virusne vakcine</w:t>
      </w:r>
    </w:p>
    <w:p w14:paraId="2A7D3F04" w14:textId="011C9819" w:rsidR="00940F3B" w:rsidRPr="00D35073" w:rsidRDefault="00940F3B" w:rsidP="00C35410">
      <w:pPr>
        <w:tabs>
          <w:tab w:val="left" w:pos="540"/>
          <w:tab w:val="left" w:pos="569"/>
        </w:tabs>
        <w:jc w:val="both"/>
        <w:rPr>
          <w:sz w:val="22"/>
          <w:szCs w:val="22"/>
          <w:lang w:val="sr-Latn-ME"/>
        </w:rPr>
      </w:pPr>
      <w:r w:rsidRPr="00D35073">
        <w:rPr>
          <w:sz w:val="22"/>
          <w:szCs w:val="22"/>
          <w:lang w:val="sr-Latn-ME"/>
        </w:rPr>
        <w:t>Primjena imunoglobulina može biti u vremenskom trajanju od najmanje 6 ned</w:t>
      </w:r>
      <w:r w:rsidR="0028663A" w:rsidRPr="00D35073">
        <w:rPr>
          <w:sz w:val="22"/>
          <w:szCs w:val="22"/>
          <w:lang w:val="sr-Latn-ME"/>
        </w:rPr>
        <w:t>j</w:t>
      </w:r>
      <w:r w:rsidRPr="00D35073">
        <w:rPr>
          <w:sz w:val="22"/>
          <w:szCs w:val="22"/>
          <w:lang w:val="sr-Latn-ME"/>
        </w:rPr>
        <w:t>elja do 3 mjeseca smanjiti djelotvornost živih atenuisanih virusnih vakcina poput vakcina za morbile, rubeola, zauške i mal</w:t>
      </w:r>
      <w:r w:rsidR="00317DCC" w:rsidRPr="00D35073">
        <w:rPr>
          <w:sz w:val="22"/>
          <w:szCs w:val="22"/>
          <w:lang w:val="sr-Latn-ME"/>
        </w:rPr>
        <w:t xml:space="preserve">ih </w:t>
      </w:r>
      <w:r w:rsidRPr="00D35073">
        <w:rPr>
          <w:sz w:val="22"/>
          <w:szCs w:val="22"/>
          <w:lang w:val="sr-Latn-ME"/>
        </w:rPr>
        <w:t xml:space="preserve"> boginj</w:t>
      </w:r>
      <w:r w:rsidR="00317DCC" w:rsidRPr="00D35073">
        <w:rPr>
          <w:sz w:val="22"/>
          <w:szCs w:val="22"/>
          <w:lang w:val="sr-Latn-ME"/>
        </w:rPr>
        <w:t>a</w:t>
      </w:r>
      <w:r w:rsidRPr="00D35073">
        <w:rPr>
          <w:sz w:val="22"/>
          <w:szCs w:val="22"/>
          <w:lang w:val="sr-Latn-ME"/>
        </w:rPr>
        <w:t>. Nakon primjene ovog lijeka mora proći najmanje 3 mjeseca prije vakcinisanja živim atenuisanim viru</w:t>
      </w:r>
      <w:r w:rsidR="00E27EEA" w:rsidRPr="00D35073">
        <w:rPr>
          <w:sz w:val="22"/>
          <w:szCs w:val="22"/>
          <w:lang w:val="sr-Latn-ME"/>
        </w:rPr>
        <w:t xml:space="preserve">snim vakcinama. </w:t>
      </w:r>
      <w:r w:rsidRPr="00D35073">
        <w:rPr>
          <w:sz w:val="22"/>
          <w:szCs w:val="22"/>
          <w:lang w:val="sr-Latn-ME"/>
        </w:rPr>
        <w:t>U slučaju vakcine protiv mor</w:t>
      </w:r>
      <w:r w:rsidR="00E27EEA" w:rsidRPr="00D35073">
        <w:rPr>
          <w:sz w:val="22"/>
          <w:szCs w:val="22"/>
          <w:lang w:val="sr-Latn-ME"/>
        </w:rPr>
        <w:t>b</w:t>
      </w:r>
      <w:r w:rsidRPr="00D35073">
        <w:rPr>
          <w:sz w:val="22"/>
          <w:szCs w:val="22"/>
          <w:lang w:val="sr-Latn-ME"/>
        </w:rPr>
        <w:t xml:space="preserve">ila, smanjena djelotvornost može trajati i do godinu dana. Stoga je kod pacijenata koje primaju vakcinu protiv morbila potrebno provjeriti status njihovih antitijela. </w:t>
      </w:r>
    </w:p>
    <w:p w14:paraId="21E74E0D" w14:textId="77777777" w:rsidR="00940F3B" w:rsidRPr="00D35073" w:rsidRDefault="00940F3B" w:rsidP="00C35410">
      <w:pPr>
        <w:tabs>
          <w:tab w:val="left" w:pos="540"/>
          <w:tab w:val="left" w:pos="569"/>
        </w:tabs>
        <w:jc w:val="both"/>
        <w:rPr>
          <w:sz w:val="22"/>
          <w:szCs w:val="22"/>
          <w:lang w:val="sr-Latn-ME"/>
        </w:rPr>
      </w:pPr>
    </w:p>
    <w:p w14:paraId="41AA1B25" w14:textId="03683F98" w:rsidR="00940F3B" w:rsidRPr="00D35073" w:rsidRDefault="00940F3B" w:rsidP="00C35410">
      <w:pPr>
        <w:tabs>
          <w:tab w:val="left" w:pos="540"/>
          <w:tab w:val="left" w:pos="569"/>
        </w:tabs>
        <w:jc w:val="both"/>
        <w:rPr>
          <w:sz w:val="22"/>
          <w:szCs w:val="22"/>
          <w:u w:val="single"/>
          <w:lang w:val="sr-Latn-ME"/>
        </w:rPr>
      </w:pPr>
      <w:r w:rsidRPr="00D35073">
        <w:rPr>
          <w:sz w:val="22"/>
          <w:szCs w:val="22"/>
          <w:u w:val="single"/>
          <w:lang w:val="sr-Latn-ME"/>
        </w:rPr>
        <w:t>Određivanje glukoze u krvi</w:t>
      </w:r>
    </w:p>
    <w:p w14:paraId="74230CC2" w14:textId="45154ED3" w:rsidR="00940F3B" w:rsidRPr="00D35073" w:rsidRDefault="00940F3B" w:rsidP="00C35410">
      <w:pPr>
        <w:tabs>
          <w:tab w:val="left" w:pos="540"/>
          <w:tab w:val="left" w:pos="569"/>
        </w:tabs>
        <w:jc w:val="both"/>
        <w:rPr>
          <w:sz w:val="22"/>
          <w:szCs w:val="22"/>
          <w:lang w:val="sr-Latn-ME"/>
        </w:rPr>
      </w:pPr>
      <w:r w:rsidRPr="00D35073">
        <w:rPr>
          <w:sz w:val="22"/>
          <w:szCs w:val="22"/>
          <w:lang w:val="sr-Latn-ME"/>
        </w:rPr>
        <w:t>Cutaquig sadrži maltozu koju određene vrste sastava za od</w:t>
      </w:r>
      <w:r w:rsidR="00E27EEA" w:rsidRPr="00D35073">
        <w:rPr>
          <w:sz w:val="22"/>
          <w:szCs w:val="22"/>
          <w:lang w:val="sr-Latn-ME"/>
        </w:rPr>
        <w:t>r</w:t>
      </w:r>
      <w:r w:rsidRPr="00D35073">
        <w:rPr>
          <w:sz w:val="22"/>
          <w:szCs w:val="22"/>
          <w:lang w:val="sr-Latn-ME"/>
        </w:rPr>
        <w:t xml:space="preserve">eđivanje glukoze u krvi mogu pogrešno interpretirati kao glukozu. Zbog potencijalnih lažno povišenih vrijednosti glukoze, za određivanje i praćenje vrijednosti glukoze kod pacijenata sa diabetesom potrebno je koristiti samo sastave koji su specifični za glukozu. </w:t>
      </w:r>
    </w:p>
    <w:p w14:paraId="7FAD6456" w14:textId="77777777" w:rsidR="00940F3B" w:rsidRPr="00D35073" w:rsidRDefault="00940F3B" w:rsidP="00C35410">
      <w:pPr>
        <w:tabs>
          <w:tab w:val="left" w:pos="540"/>
          <w:tab w:val="left" w:pos="569"/>
        </w:tabs>
        <w:jc w:val="both"/>
        <w:rPr>
          <w:sz w:val="22"/>
          <w:szCs w:val="22"/>
          <w:lang w:val="sr-Latn-ME"/>
        </w:rPr>
      </w:pPr>
    </w:p>
    <w:p w14:paraId="39EF2CCE" w14:textId="39FB7454" w:rsidR="00940F3B" w:rsidRPr="00D35073" w:rsidRDefault="00940F3B" w:rsidP="00C35410">
      <w:pPr>
        <w:tabs>
          <w:tab w:val="left" w:pos="540"/>
          <w:tab w:val="left" w:pos="569"/>
        </w:tabs>
        <w:jc w:val="both"/>
        <w:rPr>
          <w:sz w:val="22"/>
          <w:szCs w:val="22"/>
          <w:u w:val="single"/>
          <w:lang w:val="sr-Latn-ME"/>
        </w:rPr>
      </w:pPr>
      <w:r w:rsidRPr="00D35073">
        <w:rPr>
          <w:sz w:val="22"/>
          <w:szCs w:val="22"/>
          <w:u w:val="single"/>
          <w:lang w:val="sr-Latn-ME"/>
        </w:rPr>
        <w:t>Pedijatrijska populacija</w:t>
      </w:r>
    </w:p>
    <w:p w14:paraId="5B9862C7" w14:textId="77777777" w:rsidR="00940F3B" w:rsidRPr="00D35073" w:rsidRDefault="00940F3B" w:rsidP="00C35410">
      <w:pPr>
        <w:tabs>
          <w:tab w:val="left" w:pos="540"/>
          <w:tab w:val="left" w:pos="569"/>
        </w:tabs>
        <w:jc w:val="both"/>
        <w:rPr>
          <w:sz w:val="22"/>
          <w:szCs w:val="22"/>
          <w:lang w:val="sr-Latn-ME"/>
        </w:rPr>
      </w:pPr>
      <w:r w:rsidRPr="00D35073">
        <w:rPr>
          <w:sz w:val="22"/>
          <w:szCs w:val="22"/>
          <w:lang w:val="sr-Latn-ME"/>
        </w:rPr>
        <w:t>Navedene interakcije odnose se jednako na odrasle i na djecu.</w:t>
      </w:r>
    </w:p>
    <w:p w14:paraId="459E61EF" w14:textId="77777777" w:rsidR="0072020E" w:rsidRPr="00D35073" w:rsidRDefault="0072020E" w:rsidP="00C35410">
      <w:pPr>
        <w:tabs>
          <w:tab w:val="left" w:pos="540"/>
          <w:tab w:val="left" w:pos="569"/>
        </w:tabs>
        <w:jc w:val="both"/>
        <w:rPr>
          <w:bCs/>
          <w:sz w:val="22"/>
          <w:szCs w:val="22"/>
          <w:lang w:val="sr-Latn-ME"/>
        </w:rPr>
      </w:pPr>
    </w:p>
    <w:p w14:paraId="681FD514" w14:textId="77777777" w:rsidR="0072020E" w:rsidRPr="00D35073" w:rsidRDefault="0072020E" w:rsidP="00C35410">
      <w:pPr>
        <w:tabs>
          <w:tab w:val="left" w:pos="540"/>
          <w:tab w:val="left" w:pos="569"/>
        </w:tabs>
        <w:jc w:val="both"/>
        <w:rPr>
          <w:b/>
          <w:sz w:val="22"/>
          <w:szCs w:val="22"/>
          <w:lang w:val="sr-Latn-ME"/>
        </w:rPr>
      </w:pPr>
      <w:r w:rsidRPr="00D35073">
        <w:rPr>
          <w:b/>
          <w:bCs/>
          <w:sz w:val="22"/>
          <w:szCs w:val="22"/>
          <w:lang w:val="sr-Latn-ME"/>
        </w:rPr>
        <w:t xml:space="preserve">4.6. </w:t>
      </w:r>
      <w:r w:rsidR="00480FB1" w:rsidRPr="00D35073">
        <w:rPr>
          <w:b/>
          <w:bCs/>
          <w:sz w:val="22"/>
          <w:szCs w:val="22"/>
          <w:lang w:val="sr-Latn-ME"/>
        </w:rPr>
        <w:tab/>
      </w:r>
      <w:r w:rsidR="006D20A5" w:rsidRPr="00D35073">
        <w:rPr>
          <w:b/>
          <w:sz w:val="22"/>
          <w:szCs w:val="22"/>
          <w:lang w:val="sr-Latn-ME"/>
        </w:rPr>
        <w:t>Plodnost, trudnoća i dojenje</w:t>
      </w:r>
    </w:p>
    <w:p w14:paraId="283E5681" w14:textId="77777777" w:rsidR="002031B3" w:rsidRPr="00D35073" w:rsidRDefault="002031B3" w:rsidP="00C35410">
      <w:pPr>
        <w:tabs>
          <w:tab w:val="left" w:pos="540"/>
          <w:tab w:val="left" w:pos="569"/>
        </w:tabs>
        <w:jc w:val="both"/>
        <w:rPr>
          <w:sz w:val="22"/>
          <w:szCs w:val="22"/>
          <w:u w:val="single"/>
          <w:lang w:val="sr-Latn-ME"/>
        </w:rPr>
      </w:pPr>
    </w:p>
    <w:p w14:paraId="7A895E76" w14:textId="77777777" w:rsidR="002031B3" w:rsidRPr="00D35073" w:rsidRDefault="002031B3" w:rsidP="00C35410">
      <w:pPr>
        <w:tabs>
          <w:tab w:val="left" w:pos="540"/>
          <w:tab w:val="left" w:pos="569"/>
        </w:tabs>
        <w:jc w:val="both"/>
        <w:rPr>
          <w:sz w:val="22"/>
          <w:szCs w:val="22"/>
          <w:u w:val="single"/>
          <w:lang w:val="sr-Latn-ME"/>
        </w:rPr>
      </w:pPr>
      <w:r w:rsidRPr="00D35073">
        <w:rPr>
          <w:sz w:val="22"/>
          <w:szCs w:val="22"/>
          <w:u w:val="single"/>
          <w:lang w:val="sr-Latn-ME"/>
        </w:rPr>
        <w:t>Plodnost</w:t>
      </w:r>
    </w:p>
    <w:p w14:paraId="7A57210D" w14:textId="3236ED03" w:rsidR="002E7D9E" w:rsidRPr="00D35073" w:rsidRDefault="002E7D9E" w:rsidP="00C35410">
      <w:pPr>
        <w:tabs>
          <w:tab w:val="left" w:pos="540"/>
          <w:tab w:val="left" w:pos="569"/>
        </w:tabs>
        <w:jc w:val="both"/>
        <w:rPr>
          <w:sz w:val="22"/>
          <w:szCs w:val="22"/>
          <w:lang w:val="sr-Latn-ME"/>
        </w:rPr>
      </w:pPr>
      <w:r w:rsidRPr="00D35073">
        <w:rPr>
          <w:sz w:val="22"/>
          <w:szCs w:val="22"/>
          <w:lang w:val="sr-Latn-ME"/>
        </w:rPr>
        <w:t>Kliničko iskustvo sa imunoglobulinima ukazuje na to da se ne očekuju štetni efekti na plodnost.</w:t>
      </w:r>
    </w:p>
    <w:p w14:paraId="02F9DFA3" w14:textId="77777777" w:rsidR="002031B3" w:rsidRPr="00D35073" w:rsidRDefault="002031B3" w:rsidP="00C35410">
      <w:pPr>
        <w:tabs>
          <w:tab w:val="left" w:pos="540"/>
          <w:tab w:val="left" w:pos="569"/>
        </w:tabs>
        <w:jc w:val="both"/>
        <w:rPr>
          <w:sz w:val="22"/>
          <w:szCs w:val="22"/>
          <w:u w:val="single"/>
          <w:lang w:val="sr-Latn-ME"/>
        </w:rPr>
      </w:pPr>
    </w:p>
    <w:p w14:paraId="470532FA" w14:textId="77777777" w:rsidR="007A3ECB" w:rsidRPr="00D35073" w:rsidRDefault="007A3ECB" w:rsidP="00C35410">
      <w:pPr>
        <w:tabs>
          <w:tab w:val="left" w:pos="540"/>
          <w:tab w:val="left" w:pos="569"/>
        </w:tabs>
        <w:jc w:val="both"/>
        <w:rPr>
          <w:sz w:val="22"/>
          <w:szCs w:val="22"/>
          <w:u w:val="single"/>
          <w:lang w:val="sr-Latn-ME"/>
        </w:rPr>
      </w:pPr>
      <w:r w:rsidRPr="00D35073">
        <w:rPr>
          <w:sz w:val="22"/>
          <w:szCs w:val="22"/>
          <w:u w:val="single"/>
          <w:lang w:val="sr-Latn-ME"/>
        </w:rPr>
        <w:t>Trudnoća</w:t>
      </w:r>
    </w:p>
    <w:p w14:paraId="6B5C9000" w14:textId="50355785" w:rsidR="002E7D9E" w:rsidRPr="00D35073" w:rsidRDefault="002E7D9E" w:rsidP="00C35410">
      <w:pPr>
        <w:tabs>
          <w:tab w:val="left" w:pos="540"/>
          <w:tab w:val="left" w:pos="569"/>
        </w:tabs>
        <w:jc w:val="both"/>
        <w:rPr>
          <w:sz w:val="22"/>
          <w:szCs w:val="22"/>
          <w:lang w:val="sr-Latn-ME"/>
        </w:rPr>
      </w:pPr>
      <w:r w:rsidRPr="00D35073">
        <w:rPr>
          <w:sz w:val="22"/>
          <w:szCs w:val="22"/>
          <w:lang w:val="sr-Latn-ME"/>
        </w:rPr>
        <w:t xml:space="preserve">Sigurnost primjene ovog lijeka kod trudnica nije ustanovljena u kontrolisanim kliničkim ispitivanjima te </w:t>
      </w:r>
      <w:r w:rsidR="0028663A" w:rsidRPr="00D35073">
        <w:rPr>
          <w:sz w:val="22"/>
          <w:szCs w:val="22"/>
          <w:lang w:val="sr-Latn-ME"/>
        </w:rPr>
        <w:t xml:space="preserve">zbog </w:t>
      </w:r>
      <w:r w:rsidRPr="00D35073">
        <w:rPr>
          <w:sz w:val="22"/>
          <w:szCs w:val="22"/>
          <w:lang w:val="sr-Latn-ME"/>
        </w:rPr>
        <w:t>toga lijek samo uz oprez smije primjenjivati kod trudnica i dojilja. Dokazano je da ljekovi sa imunoglobulinima prolaze kroz placent</w:t>
      </w:r>
      <w:r w:rsidR="00685DF0" w:rsidRPr="00D35073">
        <w:rPr>
          <w:sz w:val="22"/>
          <w:szCs w:val="22"/>
          <w:lang w:val="sr-Latn-ME"/>
        </w:rPr>
        <w:t>u</w:t>
      </w:r>
      <w:r w:rsidRPr="00D35073">
        <w:rPr>
          <w:sz w:val="22"/>
          <w:szCs w:val="22"/>
          <w:lang w:val="sr-Latn-ME"/>
        </w:rPr>
        <w:t>, a naročito tokom trećeg trimestra. Kliničko iskustvo sa imunoglobulinima ukazuje da ne treba očekivati štetne efekte na tok trudnoće, plod i novorođenče</w:t>
      </w:r>
      <w:r w:rsidR="00685DF0" w:rsidRPr="00D35073">
        <w:rPr>
          <w:sz w:val="22"/>
          <w:szCs w:val="22"/>
          <w:lang w:val="sr-Latn-ME"/>
        </w:rPr>
        <w:t>.</w:t>
      </w:r>
    </w:p>
    <w:p w14:paraId="2D817498" w14:textId="77777777" w:rsidR="002031B3" w:rsidRPr="00D35073" w:rsidRDefault="002031B3" w:rsidP="00C35410">
      <w:pPr>
        <w:tabs>
          <w:tab w:val="left" w:pos="540"/>
          <w:tab w:val="left" w:pos="569"/>
        </w:tabs>
        <w:jc w:val="both"/>
        <w:rPr>
          <w:sz w:val="22"/>
          <w:szCs w:val="22"/>
          <w:u w:val="single"/>
          <w:lang w:val="sr-Latn-ME"/>
        </w:rPr>
      </w:pPr>
    </w:p>
    <w:p w14:paraId="5A62B88B" w14:textId="77777777" w:rsidR="0072020E" w:rsidRPr="00D35073" w:rsidRDefault="007A3ECB" w:rsidP="00C35410">
      <w:pPr>
        <w:tabs>
          <w:tab w:val="left" w:pos="540"/>
          <w:tab w:val="left" w:pos="569"/>
        </w:tabs>
        <w:jc w:val="both"/>
        <w:rPr>
          <w:sz w:val="22"/>
          <w:szCs w:val="22"/>
          <w:u w:val="single"/>
          <w:lang w:val="sr-Latn-ME"/>
        </w:rPr>
      </w:pPr>
      <w:r w:rsidRPr="00D35073">
        <w:rPr>
          <w:sz w:val="22"/>
          <w:szCs w:val="22"/>
          <w:u w:val="single"/>
          <w:lang w:val="sr-Latn-ME"/>
        </w:rPr>
        <w:t xml:space="preserve">Dojenje </w:t>
      </w:r>
    </w:p>
    <w:p w14:paraId="78E5A8D8" w14:textId="4098B37B" w:rsidR="002E7D9E" w:rsidRPr="00D35073" w:rsidRDefault="002E7D9E" w:rsidP="00C35410">
      <w:pPr>
        <w:tabs>
          <w:tab w:val="left" w:pos="540"/>
          <w:tab w:val="left" w:pos="569"/>
        </w:tabs>
        <w:jc w:val="both"/>
        <w:rPr>
          <w:sz w:val="22"/>
          <w:szCs w:val="22"/>
          <w:lang w:val="sr-Latn-ME"/>
        </w:rPr>
      </w:pPr>
      <w:r w:rsidRPr="00D35073">
        <w:rPr>
          <w:sz w:val="22"/>
          <w:szCs w:val="22"/>
          <w:lang w:val="sr-Latn-ME"/>
        </w:rPr>
        <w:t>Imunoglobulini se izlučuju u majčino mlijeko i mogu doprinijeti zaštiti novorođenčeta od patogena koji u organizam ulaze preko sluznice.</w:t>
      </w:r>
    </w:p>
    <w:p w14:paraId="67129995" w14:textId="77777777" w:rsidR="002E7D9E" w:rsidRPr="00D35073" w:rsidRDefault="002E7D9E" w:rsidP="00C35410">
      <w:pPr>
        <w:tabs>
          <w:tab w:val="left" w:pos="540"/>
          <w:tab w:val="left" w:pos="569"/>
        </w:tabs>
        <w:jc w:val="both"/>
        <w:rPr>
          <w:sz w:val="22"/>
          <w:szCs w:val="22"/>
          <w:lang w:val="sr-Latn-ME"/>
        </w:rPr>
      </w:pPr>
    </w:p>
    <w:p w14:paraId="184E97B9" w14:textId="77777777" w:rsidR="00227BDB" w:rsidRPr="00D35073" w:rsidRDefault="00227BDB" w:rsidP="00C35410">
      <w:pPr>
        <w:tabs>
          <w:tab w:val="left" w:pos="540"/>
          <w:tab w:val="left" w:pos="569"/>
        </w:tabs>
        <w:ind w:left="540" w:hanging="540"/>
        <w:jc w:val="both"/>
        <w:rPr>
          <w:b/>
          <w:bCs/>
          <w:sz w:val="22"/>
          <w:szCs w:val="22"/>
          <w:lang w:val="sr-Latn-ME"/>
        </w:rPr>
      </w:pPr>
    </w:p>
    <w:p w14:paraId="6D9410B5" w14:textId="77777777" w:rsidR="00F76744" w:rsidRPr="00D35073" w:rsidRDefault="00F76744" w:rsidP="00C35410">
      <w:pPr>
        <w:tabs>
          <w:tab w:val="left" w:pos="540"/>
          <w:tab w:val="left" w:pos="569"/>
        </w:tabs>
        <w:ind w:left="540" w:hanging="540"/>
        <w:jc w:val="both"/>
        <w:rPr>
          <w:b/>
          <w:bCs/>
          <w:sz w:val="22"/>
          <w:szCs w:val="22"/>
          <w:lang w:val="sr-Latn-ME"/>
        </w:rPr>
      </w:pPr>
    </w:p>
    <w:p w14:paraId="1A1F44EA" w14:textId="77777777" w:rsidR="0072020E" w:rsidRPr="00D35073" w:rsidRDefault="0072020E" w:rsidP="00C35410">
      <w:pPr>
        <w:tabs>
          <w:tab w:val="left" w:pos="540"/>
          <w:tab w:val="left" w:pos="569"/>
        </w:tabs>
        <w:ind w:left="540" w:hanging="540"/>
        <w:jc w:val="both"/>
        <w:rPr>
          <w:b/>
          <w:bCs/>
          <w:sz w:val="22"/>
          <w:szCs w:val="22"/>
          <w:lang w:val="sr-Latn-ME"/>
        </w:rPr>
      </w:pPr>
      <w:r w:rsidRPr="00D35073">
        <w:rPr>
          <w:b/>
          <w:bCs/>
          <w:sz w:val="22"/>
          <w:szCs w:val="22"/>
          <w:lang w:val="sr-Latn-ME"/>
        </w:rPr>
        <w:t xml:space="preserve">4.7. </w:t>
      </w:r>
      <w:r w:rsidR="00480FB1" w:rsidRPr="00D35073">
        <w:rPr>
          <w:b/>
          <w:bCs/>
          <w:sz w:val="22"/>
          <w:szCs w:val="22"/>
          <w:lang w:val="sr-Latn-ME"/>
        </w:rPr>
        <w:tab/>
      </w:r>
      <w:r w:rsidRPr="00D35073">
        <w:rPr>
          <w:b/>
          <w:bCs/>
          <w:sz w:val="22"/>
          <w:szCs w:val="22"/>
          <w:lang w:val="sr-Latn-ME"/>
        </w:rPr>
        <w:t xml:space="preserve">Uticaj na </w:t>
      </w:r>
      <w:r w:rsidR="002031B3" w:rsidRPr="00D35073">
        <w:rPr>
          <w:b/>
          <w:bCs/>
          <w:sz w:val="22"/>
          <w:szCs w:val="22"/>
          <w:lang w:val="sr-Latn-ME"/>
        </w:rPr>
        <w:t xml:space="preserve">sposobnost </w:t>
      </w:r>
      <w:r w:rsidR="00F34554" w:rsidRPr="00D35073">
        <w:rPr>
          <w:b/>
          <w:bCs/>
          <w:sz w:val="22"/>
          <w:szCs w:val="22"/>
          <w:lang w:val="sr-Latn-ME"/>
        </w:rPr>
        <w:t>upravljanja vozili</w:t>
      </w:r>
      <w:r w:rsidRPr="00D35073">
        <w:rPr>
          <w:b/>
          <w:bCs/>
          <w:sz w:val="22"/>
          <w:szCs w:val="22"/>
          <w:lang w:val="sr-Latn-ME"/>
        </w:rPr>
        <w:t>m</w:t>
      </w:r>
      <w:r w:rsidR="00F34554" w:rsidRPr="00D35073">
        <w:rPr>
          <w:b/>
          <w:bCs/>
          <w:sz w:val="22"/>
          <w:szCs w:val="22"/>
          <w:lang w:val="sr-Latn-ME"/>
        </w:rPr>
        <w:t>a</w:t>
      </w:r>
      <w:r w:rsidRPr="00D35073">
        <w:rPr>
          <w:b/>
          <w:bCs/>
          <w:sz w:val="22"/>
          <w:szCs w:val="22"/>
          <w:lang w:val="sr-Latn-ME"/>
        </w:rPr>
        <w:t xml:space="preserve"> i </w:t>
      </w:r>
      <w:r w:rsidR="000D3449" w:rsidRPr="00D35073">
        <w:rPr>
          <w:b/>
          <w:bCs/>
          <w:sz w:val="22"/>
          <w:szCs w:val="22"/>
          <w:lang w:val="sr-Latn-ME"/>
        </w:rPr>
        <w:t xml:space="preserve">rukovanje </w:t>
      </w:r>
      <w:r w:rsidRPr="00D35073">
        <w:rPr>
          <w:b/>
          <w:bCs/>
          <w:sz w:val="22"/>
          <w:szCs w:val="22"/>
          <w:lang w:val="sr-Latn-ME"/>
        </w:rPr>
        <w:t>mašinama</w:t>
      </w:r>
    </w:p>
    <w:p w14:paraId="3CA37B08" w14:textId="77777777" w:rsidR="0072020E" w:rsidRPr="00D35073" w:rsidRDefault="0072020E" w:rsidP="00C35410">
      <w:pPr>
        <w:tabs>
          <w:tab w:val="left" w:pos="540"/>
          <w:tab w:val="left" w:pos="569"/>
        </w:tabs>
        <w:jc w:val="both"/>
        <w:rPr>
          <w:b/>
          <w:bCs/>
          <w:sz w:val="22"/>
          <w:szCs w:val="22"/>
          <w:lang w:val="sr-Latn-ME"/>
        </w:rPr>
      </w:pPr>
    </w:p>
    <w:p w14:paraId="716D4CA0" w14:textId="349B33FA" w:rsidR="00BE61E8" w:rsidRPr="00D35073" w:rsidRDefault="00BE61E8" w:rsidP="00C35410">
      <w:pPr>
        <w:tabs>
          <w:tab w:val="left" w:pos="540"/>
          <w:tab w:val="left" w:pos="569"/>
        </w:tabs>
        <w:jc w:val="both"/>
        <w:rPr>
          <w:sz w:val="22"/>
          <w:szCs w:val="22"/>
          <w:lang w:val="sr-Latn-ME"/>
        </w:rPr>
      </w:pPr>
      <w:r w:rsidRPr="00D35073">
        <w:rPr>
          <w:sz w:val="22"/>
          <w:szCs w:val="22"/>
          <w:lang w:val="sr-Latn-ME"/>
        </w:rPr>
        <w:t>Sposobnost upravljanja vozilima i rukovanja mašinama može biti smanjena usl</w:t>
      </w:r>
      <w:r w:rsidR="009451AE" w:rsidRPr="00D35073">
        <w:rPr>
          <w:sz w:val="22"/>
          <w:szCs w:val="22"/>
          <w:lang w:val="sr-Latn-ME"/>
        </w:rPr>
        <w:t>j</w:t>
      </w:r>
      <w:r w:rsidRPr="00D35073">
        <w:rPr>
          <w:sz w:val="22"/>
          <w:szCs w:val="22"/>
          <w:lang w:val="sr-Latn-ME"/>
        </w:rPr>
        <w:t>ed nekih neželjenih efekata koji se mogu javiti tokom liječenja povezanih sa lijekom Cutaquig. Pacijenti kod kojih se jave neželjeni efekti tokom liječenja moraju prije upravljanja vozilima ili rukovanja sa mašinama sačekati da se neželjeni efekti povuku.</w:t>
      </w:r>
    </w:p>
    <w:p w14:paraId="1AB9E44B" w14:textId="77777777" w:rsidR="00BE61E8" w:rsidRPr="00D35073" w:rsidRDefault="00BE61E8" w:rsidP="00C35410">
      <w:pPr>
        <w:tabs>
          <w:tab w:val="left" w:pos="540"/>
          <w:tab w:val="left" w:pos="569"/>
        </w:tabs>
        <w:jc w:val="both"/>
        <w:rPr>
          <w:b/>
          <w:bCs/>
          <w:sz w:val="22"/>
          <w:szCs w:val="22"/>
          <w:lang w:val="sr-Latn-ME"/>
        </w:rPr>
      </w:pPr>
    </w:p>
    <w:p w14:paraId="66B3BA52"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4.8. </w:t>
      </w:r>
      <w:r w:rsidR="00480FB1" w:rsidRPr="00D35073">
        <w:rPr>
          <w:b/>
          <w:bCs/>
          <w:sz w:val="22"/>
          <w:szCs w:val="22"/>
          <w:lang w:val="sr-Latn-ME"/>
        </w:rPr>
        <w:tab/>
      </w:r>
      <w:r w:rsidRPr="00D35073">
        <w:rPr>
          <w:b/>
          <w:bCs/>
          <w:sz w:val="22"/>
          <w:szCs w:val="22"/>
          <w:lang w:val="sr-Latn-ME"/>
        </w:rPr>
        <w:t>Neželjena dejstva</w:t>
      </w:r>
    </w:p>
    <w:p w14:paraId="07E97A73" w14:textId="77777777" w:rsidR="00BE61E8" w:rsidRPr="00D35073" w:rsidRDefault="00BE61E8" w:rsidP="00C35410">
      <w:pPr>
        <w:tabs>
          <w:tab w:val="left" w:pos="540"/>
          <w:tab w:val="left" w:pos="569"/>
        </w:tabs>
        <w:jc w:val="both"/>
        <w:rPr>
          <w:b/>
          <w:bCs/>
          <w:sz w:val="22"/>
          <w:szCs w:val="22"/>
          <w:lang w:val="sr-Latn-ME"/>
        </w:rPr>
      </w:pPr>
    </w:p>
    <w:p w14:paraId="57BCDD56" w14:textId="77777777" w:rsidR="00BE61E8" w:rsidRPr="00D35073" w:rsidRDefault="00BE61E8" w:rsidP="00C35410">
      <w:pPr>
        <w:tabs>
          <w:tab w:val="left" w:pos="540"/>
          <w:tab w:val="left" w:pos="569"/>
        </w:tabs>
        <w:jc w:val="both"/>
        <w:rPr>
          <w:sz w:val="22"/>
          <w:szCs w:val="22"/>
          <w:u w:val="single"/>
          <w:lang w:val="sr-Latn-ME"/>
        </w:rPr>
      </w:pPr>
      <w:r w:rsidRPr="00D35073">
        <w:rPr>
          <w:sz w:val="22"/>
          <w:szCs w:val="22"/>
          <w:u w:val="single"/>
          <w:lang w:val="sr-Latn-ME"/>
        </w:rPr>
        <w:t>Sažetak sigurnosnog profila</w:t>
      </w:r>
    </w:p>
    <w:p w14:paraId="038407A9" w14:textId="77777777" w:rsidR="00BE61E8" w:rsidRPr="00D35073" w:rsidRDefault="00BE61E8" w:rsidP="00C35410">
      <w:pPr>
        <w:tabs>
          <w:tab w:val="left" w:pos="540"/>
          <w:tab w:val="left" w:pos="569"/>
        </w:tabs>
        <w:jc w:val="both"/>
        <w:rPr>
          <w:sz w:val="22"/>
          <w:szCs w:val="22"/>
          <w:u w:val="single"/>
          <w:lang w:val="sr-Latn-ME"/>
        </w:rPr>
      </w:pPr>
    </w:p>
    <w:p w14:paraId="7B268295" w14:textId="7B3C7676" w:rsidR="00BE61E8" w:rsidRPr="00D35073" w:rsidRDefault="00BE61E8" w:rsidP="00C35410">
      <w:pPr>
        <w:tabs>
          <w:tab w:val="left" w:pos="540"/>
          <w:tab w:val="left" w:pos="569"/>
        </w:tabs>
        <w:jc w:val="both"/>
        <w:rPr>
          <w:sz w:val="22"/>
          <w:szCs w:val="22"/>
          <w:lang w:val="sr-Latn-ME"/>
        </w:rPr>
      </w:pPr>
      <w:r w:rsidRPr="00D35073">
        <w:rPr>
          <w:sz w:val="22"/>
          <w:szCs w:val="22"/>
          <w:lang w:val="sr-Latn-ME"/>
        </w:rPr>
        <w:t>Povremeno se mogu javiti neželjeni efekti poput groznice, glavobolje, zamagljenog vida, povraćanja, alergijskih reakcija, mučnin</w:t>
      </w:r>
      <w:r w:rsidR="00E2719F" w:rsidRPr="00D35073">
        <w:rPr>
          <w:sz w:val="22"/>
          <w:szCs w:val="22"/>
          <w:lang w:val="sr-Latn-ME"/>
        </w:rPr>
        <w:t>e</w:t>
      </w:r>
      <w:r w:rsidRPr="00D35073">
        <w:rPr>
          <w:sz w:val="22"/>
          <w:szCs w:val="22"/>
          <w:lang w:val="sr-Latn-ME"/>
        </w:rPr>
        <w:t xml:space="preserve">, artragije, niskog krvnog pritiska i umjerenog bola u donjem dijelu leđa. </w:t>
      </w:r>
    </w:p>
    <w:p w14:paraId="0F6C8412" w14:textId="77777777" w:rsidR="00BE61E8" w:rsidRPr="00D35073" w:rsidRDefault="00BE61E8" w:rsidP="00C35410">
      <w:pPr>
        <w:tabs>
          <w:tab w:val="left" w:pos="540"/>
          <w:tab w:val="left" w:pos="569"/>
        </w:tabs>
        <w:jc w:val="both"/>
        <w:rPr>
          <w:sz w:val="22"/>
          <w:szCs w:val="22"/>
          <w:lang w:val="sr-Latn-ME"/>
        </w:rPr>
      </w:pPr>
    </w:p>
    <w:p w14:paraId="5113566B" w14:textId="06CDB189" w:rsidR="00BE61E8" w:rsidRPr="00D35073" w:rsidRDefault="00BE61E8" w:rsidP="00C35410">
      <w:pPr>
        <w:tabs>
          <w:tab w:val="left" w:pos="540"/>
          <w:tab w:val="left" w:pos="569"/>
        </w:tabs>
        <w:jc w:val="both"/>
        <w:rPr>
          <w:sz w:val="22"/>
          <w:szCs w:val="22"/>
          <w:lang w:val="sr-Latn-ME"/>
        </w:rPr>
      </w:pPr>
      <w:r w:rsidRPr="00D35073">
        <w:rPr>
          <w:sz w:val="22"/>
          <w:szCs w:val="22"/>
          <w:lang w:val="sr-Latn-ME"/>
        </w:rPr>
        <w:lastRenderedPageBreak/>
        <w:t>U rijetkim slučajevima normalni ljudski imunoglobulini mogu uzrokovati nagli pad krvnog pritiska, i u izolovanim slučajevima, anafilaktički šok, čak i kod pacijenata koji ni</w:t>
      </w:r>
      <w:r w:rsidR="0028663A" w:rsidRPr="00D35073">
        <w:rPr>
          <w:sz w:val="22"/>
          <w:szCs w:val="22"/>
          <w:lang w:val="sr-Latn-ME"/>
        </w:rPr>
        <w:t>je</w:t>
      </w:r>
      <w:r w:rsidRPr="00D35073">
        <w:rPr>
          <w:sz w:val="22"/>
          <w:szCs w:val="22"/>
          <w:lang w:val="sr-Latn-ME"/>
        </w:rPr>
        <w:t xml:space="preserve">su pokazali preosjetljivost na prethodnu primjenu lijeka. </w:t>
      </w:r>
    </w:p>
    <w:p w14:paraId="6DE72355" w14:textId="77777777" w:rsidR="00BE61E8" w:rsidRPr="00D35073" w:rsidRDefault="00BE61E8" w:rsidP="00C35410">
      <w:pPr>
        <w:tabs>
          <w:tab w:val="left" w:pos="540"/>
          <w:tab w:val="left" w:pos="569"/>
        </w:tabs>
        <w:jc w:val="both"/>
        <w:rPr>
          <w:sz w:val="22"/>
          <w:szCs w:val="22"/>
          <w:lang w:val="sr-Latn-ME"/>
        </w:rPr>
      </w:pPr>
    </w:p>
    <w:p w14:paraId="57435343"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 xml:space="preserve">Često se mogu javiti lokalne reakcije na mjestu infuzije: oticanje, osjetljivost, crvenilo, induracija, lokalna toplina, svrab, modrice i osip. Učestalost ovih reakcija obično se smanjuje uz napredovanje liječenja. </w:t>
      </w:r>
    </w:p>
    <w:p w14:paraId="4CDE1405" w14:textId="77777777" w:rsidR="00BE61E8" w:rsidRPr="00D35073" w:rsidRDefault="00BE61E8" w:rsidP="00C35410">
      <w:pPr>
        <w:tabs>
          <w:tab w:val="left" w:pos="540"/>
          <w:tab w:val="left" w:pos="569"/>
        </w:tabs>
        <w:jc w:val="both"/>
        <w:rPr>
          <w:sz w:val="22"/>
          <w:szCs w:val="22"/>
          <w:lang w:val="sr-Latn-ME"/>
        </w:rPr>
      </w:pPr>
    </w:p>
    <w:p w14:paraId="7EB2E61E"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Za sigurnoste informacije vezane za prenosive agense vidjeti dio 4.4.</w:t>
      </w:r>
    </w:p>
    <w:p w14:paraId="30331917" w14:textId="77777777" w:rsidR="00BE61E8" w:rsidRPr="00D35073" w:rsidRDefault="00BE61E8" w:rsidP="00C35410">
      <w:pPr>
        <w:tabs>
          <w:tab w:val="left" w:pos="540"/>
          <w:tab w:val="left" w:pos="569"/>
        </w:tabs>
        <w:jc w:val="both"/>
        <w:rPr>
          <w:sz w:val="22"/>
          <w:szCs w:val="22"/>
          <w:lang w:val="sr-Latn-ME"/>
        </w:rPr>
      </w:pPr>
    </w:p>
    <w:p w14:paraId="33565B80" w14:textId="77777777" w:rsidR="00BE61E8" w:rsidRPr="00D35073" w:rsidRDefault="00BE61E8" w:rsidP="00C35410">
      <w:pPr>
        <w:tabs>
          <w:tab w:val="left" w:pos="540"/>
          <w:tab w:val="left" w:pos="569"/>
        </w:tabs>
        <w:jc w:val="both"/>
        <w:rPr>
          <w:sz w:val="22"/>
          <w:szCs w:val="22"/>
          <w:u w:val="single"/>
          <w:lang w:val="sr-Latn-ME"/>
        </w:rPr>
      </w:pPr>
      <w:r w:rsidRPr="00D35073">
        <w:rPr>
          <w:sz w:val="22"/>
          <w:szCs w:val="22"/>
          <w:u w:val="single"/>
          <w:lang w:val="sr-Latn-ME"/>
        </w:rPr>
        <w:t>Tabelarni spisak neželjenih efekata</w:t>
      </w:r>
    </w:p>
    <w:p w14:paraId="4274D67A" w14:textId="3BA4CCAF" w:rsidR="00BE61E8" w:rsidRPr="00D35073" w:rsidRDefault="00400BE0" w:rsidP="00C35410">
      <w:pPr>
        <w:tabs>
          <w:tab w:val="left" w:pos="540"/>
          <w:tab w:val="left" w:pos="569"/>
        </w:tabs>
        <w:jc w:val="both"/>
        <w:rPr>
          <w:sz w:val="22"/>
          <w:szCs w:val="22"/>
          <w:lang w:val="sr-Latn-ME"/>
        </w:rPr>
      </w:pPr>
      <w:r w:rsidRPr="00D35073">
        <w:rPr>
          <w:sz w:val="22"/>
          <w:szCs w:val="22"/>
          <w:lang w:val="sr-Latn-ME"/>
        </w:rPr>
        <w:t>Klinički podaci o bezbjednosti lijeka Cutaquig kod pacijenata  sa PID zasnovani su na ključnoj otvorenoj, jednoručnoj, prospektivnoj, multicentričnoj studiji III faze (n=75, 4462 infuzije), prospektivnoj, otvorenoj, jednoručnoj, multicentričnoj fazi III proširena studija (n=27, 2777 infuzija) i otvorena, tri-kraka, multicentrična studija III faze (n=64, 1338 infuzija).</w:t>
      </w:r>
    </w:p>
    <w:p w14:paraId="6697F3AE" w14:textId="77777777" w:rsidR="00400BE0" w:rsidRPr="00D35073" w:rsidRDefault="00400BE0" w:rsidP="00C35410">
      <w:pPr>
        <w:tabs>
          <w:tab w:val="left" w:pos="540"/>
          <w:tab w:val="left" w:pos="569"/>
        </w:tabs>
        <w:jc w:val="both"/>
        <w:rPr>
          <w:sz w:val="22"/>
          <w:szCs w:val="22"/>
          <w:lang w:val="sr-Latn-ME"/>
        </w:rPr>
      </w:pPr>
    </w:p>
    <w:p w14:paraId="1754CB68" w14:textId="296B5FA3" w:rsidR="00BE61E8" w:rsidRPr="00D35073" w:rsidRDefault="00BE61E8" w:rsidP="00C35410">
      <w:pPr>
        <w:tabs>
          <w:tab w:val="left" w:pos="540"/>
          <w:tab w:val="left" w:pos="569"/>
        </w:tabs>
        <w:jc w:val="both"/>
        <w:rPr>
          <w:sz w:val="22"/>
          <w:szCs w:val="22"/>
          <w:lang w:val="sr-Latn-ME"/>
        </w:rPr>
      </w:pPr>
      <w:r w:rsidRPr="00D35073">
        <w:rPr>
          <w:sz w:val="22"/>
          <w:szCs w:val="22"/>
          <w:lang w:val="sr-Latn-ME"/>
        </w:rPr>
        <w:t>Tab</w:t>
      </w:r>
      <w:r w:rsidR="0028663A" w:rsidRPr="00D35073">
        <w:rPr>
          <w:sz w:val="22"/>
          <w:szCs w:val="22"/>
          <w:lang w:val="sr-Latn-ME"/>
        </w:rPr>
        <w:t>ela</w:t>
      </w:r>
      <w:r w:rsidRPr="00D35073">
        <w:rPr>
          <w:sz w:val="22"/>
          <w:szCs w:val="22"/>
          <w:lang w:val="sr-Latn-ME"/>
        </w:rPr>
        <w:t xml:space="preserve"> u nastavku u skladu je sa MedDRA klasifi</w:t>
      </w:r>
      <w:r w:rsidR="00DB7584" w:rsidRPr="00D35073">
        <w:rPr>
          <w:sz w:val="22"/>
          <w:szCs w:val="22"/>
          <w:lang w:val="sr-Latn-ME"/>
        </w:rPr>
        <w:t>k</w:t>
      </w:r>
      <w:r w:rsidRPr="00D35073">
        <w:rPr>
          <w:sz w:val="22"/>
          <w:szCs w:val="22"/>
          <w:lang w:val="sr-Latn-ME"/>
        </w:rPr>
        <w:t>acijom organskih sastava (SOC i nivoa preporučenog pojma (eng.</w:t>
      </w:r>
      <w:r w:rsidRPr="00D35073">
        <w:rPr>
          <w:i/>
          <w:iCs/>
          <w:sz w:val="22"/>
          <w:szCs w:val="22"/>
          <w:lang w:val="sr-Latn-ME"/>
        </w:rPr>
        <w:t>Preferred Term Level</w:t>
      </w:r>
      <w:r w:rsidRPr="00D35073">
        <w:rPr>
          <w:sz w:val="22"/>
          <w:szCs w:val="22"/>
          <w:lang w:val="sr-Latn-ME"/>
        </w:rPr>
        <w:t>)).</w:t>
      </w:r>
    </w:p>
    <w:p w14:paraId="2B0C1A64" w14:textId="77777777" w:rsidR="00BE61E8" w:rsidRPr="00D35073" w:rsidRDefault="00BE61E8" w:rsidP="00C35410">
      <w:pPr>
        <w:tabs>
          <w:tab w:val="left" w:pos="540"/>
          <w:tab w:val="left" w:pos="569"/>
        </w:tabs>
        <w:jc w:val="both"/>
        <w:rPr>
          <w:sz w:val="22"/>
          <w:szCs w:val="22"/>
          <w:lang w:val="sr-Latn-ME"/>
        </w:rPr>
      </w:pPr>
    </w:p>
    <w:p w14:paraId="5C8B181A" w14:textId="256E7FB1" w:rsidR="00153F57" w:rsidRPr="00D35073" w:rsidRDefault="00153F57" w:rsidP="00C35410">
      <w:pPr>
        <w:tabs>
          <w:tab w:val="left" w:pos="540"/>
          <w:tab w:val="left" w:pos="569"/>
        </w:tabs>
        <w:jc w:val="both"/>
        <w:rPr>
          <w:sz w:val="22"/>
          <w:szCs w:val="22"/>
          <w:lang w:val="sr-Latn-ME"/>
        </w:rPr>
      </w:pPr>
      <w:r w:rsidRPr="00D35073">
        <w:rPr>
          <w:sz w:val="22"/>
          <w:szCs w:val="22"/>
          <w:lang w:val="sr-Latn-ME"/>
        </w:rPr>
        <w:t>Učestalost po pacijentu je procijenjena prema sljedećoj konvenciji: Veoma često (≥1/10); često (≥1/100 do &lt;1/10); povremeno (≥1/1.000 do &lt;1/100); r</w:t>
      </w:r>
      <w:r w:rsidR="00CF4A83" w:rsidRPr="00D35073">
        <w:rPr>
          <w:sz w:val="22"/>
          <w:szCs w:val="22"/>
          <w:lang w:val="sr-Latn-ME"/>
        </w:rPr>
        <w:t>ij</w:t>
      </w:r>
      <w:r w:rsidRPr="00D35073">
        <w:rPr>
          <w:sz w:val="22"/>
          <w:szCs w:val="22"/>
          <w:lang w:val="sr-Latn-ME"/>
        </w:rPr>
        <w:t>etko (≥1/10.000 do &lt;1/1.000); veoma r</w:t>
      </w:r>
      <w:r w:rsidR="00350402" w:rsidRPr="00D35073">
        <w:rPr>
          <w:sz w:val="22"/>
          <w:szCs w:val="22"/>
          <w:lang w:val="sr-Latn-ME"/>
        </w:rPr>
        <w:t>ij</w:t>
      </w:r>
      <w:r w:rsidRPr="00D35073">
        <w:rPr>
          <w:sz w:val="22"/>
          <w:szCs w:val="22"/>
          <w:lang w:val="sr-Latn-ME"/>
        </w:rPr>
        <w:t>etko (&lt;1/10,000), nepoznato (ne može se proc</w:t>
      </w:r>
      <w:r w:rsidR="00350402" w:rsidRPr="00D35073">
        <w:rPr>
          <w:sz w:val="22"/>
          <w:szCs w:val="22"/>
          <w:lang w:val="sr-Latn-ME"/>
        </w:rPr>
        <w:t>ij</w:t>
      </w:r>
      <w:r w:rsidRPr="00D35073">
        <w:rPr>
          <w:sz w:val="22"/>
          <w:szCs w:val="22"/>
          <w:lang w:val="sr-Latn-ME"/>
        </w:rPr>
        <w:t>eniti iz dostupnih podataka).</w:t>
      </w:r>
    </w:p>
    <w:p w14:paraId="6BB95AD4" w14:textId="5F2875A2" w:rsidR="00153F57" w:rsidRPr="00D35073" w:rsidRDefault="00153F57" w:rsidP="00C35410">
      <w:pPr>
        <w:tabs>
          <w:tab w:val="left" w:pos="540"/>
          <w:tab w:val="left" w:pos="569"/>
        </w:tabs>
        <w:jc w:val="both"/>
        <w:rPr>
          <w:sz w:val="22"/>
          <w:szCs w:val="22"/>
          <w:lang w:val="sr-Latn-ME"/>
        </w:rPr>
      </w:pPr>
      <w:r w:rsidRPr="00D35073">
        <w:rPr>
          <w:sz w:val="22"/>
          <w:szCs w:val="22"/>
          <w:lang w:val="sr-Latn-ME"/>
        </w:rPr>
        <w:t>Unutar svake grupe učestalosti, neželjene reakcije su prikazane prema opadajućoj ozbiljnosti.</w:t>
      </w:r>
    </w:p>
    <w:p w14:paraId="613A40BB" w14:textId="77777777" w:rsidR="003D33E1" w:rsidRPr="00D35073" w:rsidRDefault="003D33E1" w:rsidP="00C35410">
      <w:pPr>
        <w:tabs>
          <w:tab w:val="left" w:pos="540"/>
          <w:tab w:val="left" w:pos="569"/>
        </w:tabs>
        <w:jc w:val="both"/>
        <w:rPr>
          <w:sz w:val="22"/>
          <w:szCs w:val="22"/>
          <w:lang w:val="sr-Latn-ME"/>
        </w:rPr>
      </w:pPr>
    </w:p>
    <w:p w14:paraId="5D175177"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Učestalost neželjenih efekata po ispitaniku i po infuziji u kliničkom ispitivanju lijeka Cutaquig:</w:t>
      </w:r>
    </w:p>
    <w:p w14:paraId="629D1C11" w14:textId="77777777" w:rsidR="00BE61E8" w:rsidRPr="00D35073" w:rsidRDefault="00BE61E8" w:rsidP="00C35410">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2265"/>
        <w:gridCol w:w="2266"/>
        <w:gridCol w:w="2266"/>
        <w:gridCol w:w="2266"/>
      </w:tblGrid>
      <w:tr w:rsidR="00BE61E8" w:rsidRPr="00D35073" w14:paraId="2FA829BF" w14:textId="77777777" w:rsidTr="007105B9">
        <w:tc>
          <w:tcPr>
            <w:tcW w:w="2265" w:type="dxa"/>
          </w:tcPr>
          <w:p w14:paraId="404AB036" w14:textId="77777777" w:rsidR="00BE61E8" w:rsidRPr="00D35073" w:rsidRDefault="00BE61E8" w:rsidP="00C35410">
            <w:pPr>
              <w:tabs>
                <w:tab w:val="left" w:pos="540"/>
                <w:tab w:val="left" w:pos="569"/>
              </w:tabs>
              <w:jc w:val="both"/>
              <w:rPr>
                <w:b/>
                <w:bCs/>
                <w:sz w:val="22"/>
                <w:szCs w:val="22"/>
                <w:lang w:val="sr-Latn-ME"/>
              </w:rPr>
            </w:pPr>
            <w:r w:rsidRPr="00D35073">
              <w:rPr>
                <w:b/>
                <w:bCs/>
                <w:sz w:val="22"/>
                <w:szCs w:val="22"/>
                <w:lang w:val="sr-Latn-ME"/>
              </w:rPr>
              <w:t>MedDRA klasifikacija organskih sastava (SOC)</w:t>
            </w:r>
          </w:p>
        </w:tc>
        <w:tc>
          <w:tcPr>
            <w:tcW w:w="2266" w:type="dxa"/>
          </w:tcPr>
          <w:p w14:paraId="0C56E103" w14:textId="77777777" w:rsidR="00BE61E8" w:rsidRPr="00D35073" w:rsidRDefault="00BE61E8" w:rsidP="00C35410">
            <w:pPr>
              <w:tabs>
                <w:tab w:val="left" w:pos="540"/>
                <w:tab w:val="left" w:pos="569"/>
              </w:tabs>
              <w:jc w:val="both"/>
              <w:rPr>
                <w:b/>
                <w:bCs/>
                <w:sz w:val="22"/>
                <w:szCs w:val="22"/>
                <w:lang w:val="sr-Latn-ME"/>
              </w:rPr>
            </w:pPr>
            <w:r w:rsidRPr="00D35073">
              <w:rPr>
                <w:b/>
                <w:bCs/>
                <w:sz w:val="22"/>
                <w:szCs w:val="22"/>
                <w:lang w:val="sr-Latn-ME"/>
              </w:rPr>
              <w:t>Neželjeni efekti</w:t>
            </w:r>
          </w:p>
        </w:tc>
        <w:tc>
          <w:tcPr>
            <w:tcW w:w="2266" w:type="dxa"/>
          </w:tcPr>
          <w:p w14:paraId="7C02D7F3" w14:textId="77777777" w:rsidR="00BE61E8" w:rsidRPr="00D35073" w:rsidRDefault="00BE61E8" w:rsidP="00C35410">
            <w:pPr>
              <w:tabs>
                <w:tab w:val="left" w:pos="540"/>
                <w:tab w:val="left" w:pos="569"/>
              </w:tabs>
              <w:jc w:val="both"/>
              <w:rPr>
                <w:b/>
                <w:bCs/>
                <w:sz w:val="22"/>
                <w:szCs w:val="22"/>
                <w:lang w:val="sr-Latn-ME"/>
              </w:rPr>
            </w:pPr>
            <w:r w:rsidRPr="00D35073">
              <w:rPr>
                <w:b/>
                <w:bCs/>
                <w:sz w:val="22"/>
                <w:szCs w:val="22"/>
                <w:lang w:val="sr-Latn-ME"/>
              </w:rPr>
              <w:t>Učestalost/infuziji</w:t>
            </w:r>
          </w:p>
        </w:tc>
        <w:tc>
          <w:tcPr>
            <w:tcW w:w="2266" w:type="dxa"/>
          </w:tcPr>
          <w:p w14:paraId="14237765" w14:textId="77777777" w:rsidR="00BE61E8" w:rsidRPr="00D35073" w:rsidRDefault="00BE61E8" w:rsidP="00C35410">
            <w:pPr>
              <w:tabs>
                <w:tab w:val="left" w:pos="540"/>
                <w:tab w:val="left" w:pos="569"/>
              </w:tabs>
              <w:jc w:val="both"/>
              <w:rPr>
                <w:b/>
                <w:bCs/>
                <w:sz w:val="22"/>
                <w:szCs w:val="22"/>
                <w:lang w:val="sr-Latn-ME"/>
              </w:rPr>
            </w:pPr>
            <w:r w:rsidRPr="00D35073">
              <w:rPr>
                <w:b/>
                <w:bCs/>
                <w:sz w:val="22"/>
                <w:szCs w:val="22"/>
                <w:lang w:val="sr-Latn-ME"/>
              </w:rPr>
              <w:t>Učestalost/ispitaniku</w:t>
            </w:r>
          </w:p>
        </w:tc>
      </w:tr>
      <w:tr w:rsidR="00BE61E8" w:rsidRPr="00D35073" w14:paraId="41CF2733" w14:textId="77777777" w:rsidTr="007105B9">
        <w:tc>
          <w:tcPr>
            <w:tcW w:w="2265" w:type="dxa"/>
          </w:tcPr>
          <w:p w14:paraId="615645DF"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Poremećaji nervnog sistema</w:t>
            </w:r>
          </w:p>
        </w:tc>
        <w:tc>
          <w:tcPr>
            <w:tcW w:w="2266" w:type="dxa"/>
          </w:tcPr>
          <w:p w14:paraId="53B76DE6" w14:textId="7C70C39C" w:rsidR="00BE61E8" w:rsidRPr="00D35073" w:rsidRDefault="003840F3" w:rsidP="00C35410">
            <w:pPr>
              <w:tabs>
                <w:tab w:val="left" w:pos="540"/>
                <w:tab w:val="left" w:pos="569"/>
              </w:tabs>
              <w:jc w:val="both"/>
              <w:rPr>
                <w:sz w:val="22"/>
                <w:szCs w:val="22"/>
                <w:lang w:val="sr-Latn-ME"/>
              </w:rPr>
            </w:pPr>
            <w:r w:rsidRPr="00D35073">
              <w:rPr>
                <w:sz w:val="22"/>
                <w:szCs w:val="22"/>
                <w:lang w:val="sr-Latn-ME"/>
              </w:rPr>
              <w:t>G</w:t>
            </w:r>
            <w:r w:rsidR="00BE61E8" w:rsidRPr="00D35073">
              <w:rPr>
                <w:sz w:val="22"/>
                <w:szCs w:val="22"/>
                <w:lang w:val="sr-Latn-ME"/>
              </w:rPr>
              <w:t>lavobolja</w:t>
            </w:r>
          </w:p>
          <w:p w14:paraId="45C372C6" w14:textId="1E8593C8" w:rsidR="003840F3" w:rsidRPr="00D35073" w:rsidRDefault="003840F3" w:rsidP="00C35410">
            <w:pPr>
              <w:tabs>
                <w:tab w:val="left" w:pos="540"/>
                <w:tab w:val="left" w:pos="569"/>
              </w:tabs>
              <w:jc w:val="both"/>
              <w:rPr>
                <w:sz w:val="22"/>
                <w:szCs w:val="22"/>
                <w:lang w:val="sr-Latn-ME"/>
              </w:rPr>
            </w:pPr>
            <w:r w:rsidRPr="00D35073">
              <w:rPr>
                <w:sz w:val="22"/>
                <w:szCs w:val="22"/>
                <w:lang w:val="sr-Latn-ME"/>
              </w:rPr>
              <w:t xml:space="preserve">Vrtoglavica </w:t>
            </w:r>
          </w:p>
        </w:tc>
        <w:tc>
          <w:tcPr>
            <w:tcW w:w="2266" w:type="dxa"/>
          </w:tcPr>
          <w:p w14:paraId="125C1BB0" w14:textId="75A5C422" w:rsidR="003840F3" w:rsidRPr="00D35073" w:rsidRDefault="003840F3" w:rsidP="00C35410">
            <w:pPr>
              <w:tabs>
                <w:tab w:val="left" w:pos="540"/>
                <w:tab w:val="left" w:pos="569"/>
              </w:tabs>
              <w:jc w:val="both"/>
              <w:rPr>
                <w:sz w:val="22"/>
                <w:szCs w:val="22"/>
                <w:lang w:val="sr-Latn-ME"/>
              </w:rPr>
            </w:pPr>
            <w:r w:rsidRPr="00D35073">
              <w:rPr>
                <w:sz w:val="22"/>
                <w:szCs w:val="22"/>
                <w:lang w:val="sr-Latn-ME"/>
              </w:rPr>
              <w:t>povremeno</w:t>
            </w:r>
          </w:p>
          <w:p w14:paraId="7616EBF2" w14:textId="05831F80" w:rsidR="00BE61E8" w:rsidRPr="00D35073" w:rsidRDefault="00BE61E8" w:rsidP="00C35410">
            <w:pPr>
              <w:tabs>
                <w:tab w:val="left" w:pos="540"/>
                <w:tab w:val="left" w:pos="569"/>
              </w:tabs>
              <w:jc w:val="both"/>
              <w:rPr>
                <w:sz w:val="22"/>
                <w:szCs w:val="22"/>
                <w:lang w:val="sr-Latn-ME"/>
              </w:rPr>
            </w:pPr>
            <w:r w:rsidRPr="00D35073">
              <w:rPr>
                <w:sz w:val="22"/>
                <w:szCs w:val="22"/>
                <w:lang w:val="sr-Latn-ME"/>
              </w:rPr>
              <w:t>rijetko</w:t>
            </w:r>
          </w:p>
        </w:tc>
        <w:tc>
          <w:tcPr>
            <w:tcW w:w="2266" w:type="dxa"/>
          </w:tcPr>
          <w:p w14:paraId="1B7EE82A" w14:textId="2247F0A0" w:rsidR="00BE61E8" w:rsidRPr="00D35073" w:rsidRDefault="003840F3" w:rsidP="00C35410">
            <w:pPr>
              <w:tabs>
                <w:tab w:val="left" w:pos="540"/>
                <w:tab w:val="left" w:pos="569"/>
              </w:tabs>
              <w:jc w:val="both"/>
              <w:rPr>
                <w:sz w:val="22"/>
                <w:szCs w:val="22"/>
                <w:lang w:val="sr-Latn-ME"/>
              </w:rPr>
            </w:pPr>
            <w:r w:rsidRPr="00D35073">
              <w:rPr>
                <w:sz w:val="22"/>
                <w:szCs w:val="22"/>
                <w:lang w:val="sr-Latn-ME"/>
              </w:rPr>
              <w:t>Č</w:t>
            </w:r>
            <w:r w:rsidR="00BE61E8" w:rsidRPr="00D35073">
              <w:rPr>
                <w:sz w:val="22"/>
                <w:szCs w:val="22"/>
                <w:lang w:val="sr-Latn-ME"/>
              </w:rPr>
              <w:t>esto</w:t>
            </w:r>
          </w:p>
          <w:p w14:paraId="686690D5" w14:textId="5462FAC1" w:rsidR="003840F3" w:rsidRPr="00D35073" w:rsidRDefault="003840F3" w:rsidP="00C35410">
            <w:pPr>
              <w:tabs>
                <w:tab w:val="left" w:pos="540"/>
                <w:tab w:val="left" w:pos="569"/>
              </w:tabs>
              <w:jc w:val="both"/>
              <w:rPr>
                <w:sz w:val="22"/>
                <w:szCs w:val="22"/>
                <w:lang w:val="sr-Latn-ME"/>
              </w:rPr>
            </w:pPr>
            <w:r w:rsidRPr="00D35073">
              <w:rPr>
                <w:sz w:val="22"/>
                <w:szCs w:val="22"/>
                <w:lang w:val="sr-Latn-ME"/>
              </w:rPr>
              <w:t>povremeno</w:t>
            </w:r>
          </w:p>
        </w:tc>
      </w:tr>
      <w:tr w:rsidR="00BE61E8" w:rsidRPr="00D35073" w14:paraId="1050C898" w14:textId="77777777" w:rsidTr="007105B9">
        <w:tc>
          <w:tcPr>
            <w:tcW w:w="2265" w:type="dxa"/>
          </w:tcPr>
          <w:p w14:paraId="431FB7FA"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Poremećaji probavnog sistema</w:t>
            </w:r>
          </w:p>
        </w:tc>
        <w:tc>
          <w:tcPr>
            <w:tcW w:w="2266" w:type="dxa"/>
          </w:tcPr>
          <w:p w14:paraId="5D1012E7" w14:textId="26330FFF" w:rsidR="008B412C" w:rsidRPr="00D35073" w:rsidRDefault="008B412C" w:rsidP="00C35410">
            <w:pPr>
              <w:tabs>
                <w:tab w:val="left" w:pos="540"/>
                <w:tab w:val="left" w:pos="569"/>
              </w:tabs>
              <w:jc w:val="both"/>
              <w:rPr>
                <w:sz w:val="22"/>
                <w:szCs w:val="22"/>
                <w:lang w:val="sr-Latn-ME"/>
              </w:rPr>
            </w:pPr>
            <w:r w:rsidRPr="00D35073">
              <w:rPr>
                <w:sz w:val="22"/>
                <w:szCs w:val="22"/>
                <w:lang w:val="sr-Latn-ME"/>
              </w:rPr>
              <w:t xml:space="preserve">Mučnina </w:t>
            </w:r>
          </w:p>
          <w:p w14:paraId="32E1D39A" w14:textId="08CA89AB" w:rsidR="00BE61E8" w:rsidRPr="00D35073" w:rsidRDefault="00BE61E8" w:rsidP="00C35410">
            <w:pPr>
              <w:tabs>
                <w:tab w:val="left" w:pos="540"/>
                <w:tab w:val="left" w:pos="569"/>
              </w:tabs>
              <w:jc w:val="both"/>
              <w:rPr>
                <w:sz w:val="22"/>
                <w:szCs w:val="22"/>
                <w:lang w:val="sr-Latn-ME"/>
              </w:rPr>
            </w:pPr>
            <w:r w:rsidRPr="00D35073">
              <w:rPr>
                <w:sz w:val="22"/>
                <w:szCs w:val="22"/>
                <w:lang w:val="sr-Latn-ME"/>
              </w:rPr>
              <w:t>Nadimanje trbuha</w:t>
            </w:r>
          </w:p>
          <w:p w14:paraId="1C7F965C"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Bol u trbuhu</w:t>
            </w:r>
          </w:p>
          <w:p w14:paraId="6F3E1E9B" w14:textId="6CA90094" w:rsidR="00BE61E8" w:rsidRPr="00D35073" w:rsidRDefault="00153F57" w:rsidP="00C35410">
            <w:pPr>
              <w:tabs>
                <w:tab w:val="left" w:pos="540"/>
                <w:tab w:val="left" w:pos="569"/>
              </w:tabs>
              <w:jc w:val="both"/>
              <w:rPr>
                <w:sz w:val="22"/>
                <w:szCs w:val="22"/>
                <w:lang w:val="sr-Latn-ME"/>
              </w:rPr>
            </w:pPr>
            <w:r w:rsidRPr="00D35073">
              <w:rPr>
                <w:sz w:val="22"/>
                <w:szCs w:val="22"/>
                <w:lang w:val="sr-Latn-ME"/>
              </w:rPr>
              <w:t>P</w:t>
            </w:r>
            <w:r w:rsidR="00BE61E8" w:rsidRPr="00D35073">
              <w:rPr>
                <w:sz w:val="22"/>
                <w:szCs w:val="22"/>
                <w:lang w:val="sr-Latn-ME"/>
              </w:rPr>
              <w:t>ovraćanje</w:t>
            </w:r>
          </w:p>
          <w:p w14:paraId="65B811F9" w14:textId="1740AD49" w:rsidR="00153F57" w:rsidRPr="00D35073" w:rsidRDefault="00153F57" w:rsidP="00C35410">
            <w:pPr>
              <w:tabs>
                <w:tab w:val="left" w:pos="540"/>
                <w:tab w:val="left" w:pos="569"/>
              </w:tabs>
              <w:jc w:val="both"/>
              <w:rPr>
                <w:sz w:val="22"/>
                <w:szCs w:val="22"/>
                <w:lang w:val="sr-Latn-ME"/>
              </w:rPr>
            </w:pPr>
            <w:r w:rsidRPr="00D35073">
              <w:rPr>
                <w:sz w:val="22"/>
                <w:szCs w:val="22"/>
                <w:lang w:val="sr-Latn-ME"/>
              </w:rPr>
              <w:t>Po</w:t>
            </w:r>
            <w:r w:rsidR="0028663A" w:rsidRPr="00D35073">
              <w:rPr>
                <w:sz w:val="22"/>
                <w:szCs w:val="22"/>
                <w:lang w:val="sr-Latn-ME"/>
              </w:rPr>
              <w:t>drigivanje</w:t>
            </w:r>
            <w:r w:rsidRPr="00D35073">
              <w:rPr>
                <w:sz w:val="22"/>
                <w:szCs w:val="22"/>
                <w:lang w:val="sr-Latn-ME"/>
              </w:rPr>
              <w:t xml:space="preserve"> </w:t>
            </w:r>
          </w:p>
        </w:tc>
        <w:tc>
          <w:tcPr>
            <w:tcW w:w="2266" w:type="dxa"/>
          </w:tcPr>
          <w:p w14:paraId="31E61ED8" w14:textId="6B6C497E" w:rsidR="00BA4C7F" w:rsidRPr="00D35073" w:rsidRDefault="00BA4C7F" w:rsidP="00C35410">
            <w:pPr>
              <w:tabs>
                <w:tab w:val="left" w:pos="540"/>
                <w:tab w:val="left" w:pos="569"/>
              </w:tabs>
              <w:jc w:val="both"/>
              <w:rPr>
                <w:sz w:val="22"/>
                <w:szCs w:val="22"/>
                <w:lang w:val="sr-Latn-ME"/>
              </w:rPr>
            </w:pPr>
            <w:r w:rsidRPr="00D35073">
              <w:rPr>
                <w:sz w:val="22"/>
                <w:szCs w:val="22"/>
                <w:lang w:val="sr-Latn-ME"/>
              </w:rPr>
              <w:t>povremeno</w:t>
            </w:r>
          </w:p>
          <w:p w14:paraId="61967364" w14:textId="6CFC9B7E" w:rsidR="00BE61E8" w:rsidRPr="00D35073" w:rsidRDefault="00BE61E8" w:rsidP="00C35410">
            <w:pPr>
              <w:tabs>
                <w:tab w:val="left" w:pos="540"/>
                <w:tab w:val="left" w:pos="569"/>
              </w:tabs>
              <w:jc w:val="both"/>
              <w:rPr>
                <w:sz w:val="22"/>
                <w:szCs w:val="22"/>
                <w:lang w:val="sr-Latn-ME"/>
              </w:rPr>
            </w:pPr>
            <w:r w:rsidRPr="00D35073">
              <w:rPr>
                <w:sz w:val="22"/>
                <w:szCs w:val="22"/>
                <w:lang w:val="sr-Latn-ME"/>
              </w:rPr>
              <w:t>rijetko</w:t>
            </w:r>
          </w:p>
          <w:p w14:paraId="63D5BFC8"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rijetko</w:t>
            </w:r>
          </w:p>
          <w:p w14:paraId="7CAB8FEA"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rijetko</w:t>
            </w:r>
          </w:p>
          <w:p w14:paraId="1A2B508C" w14:textId="241EC819" w:rsidR="00153F57" w:rsidRPr="00D35073" w:rsidRDefault="00153F57" w:rsidP="00C35410">
            <w:pPr>
              <w:tabs>
                <w:tab w:val="left" w:pos="540"/>
                <w:tab w:val="left" w:pos="569"/>
              </w:tabs>
              <w:jc w:val="both"/>
              <w:rPr>
                <w:sz w:val="22"/>
                <w:szCs w:val="22"/>
                <w:lang w:val="sr-Latn-ME"/>
              </w:rPr>
            </w:pPr>
            <w:r w:rsidRPr="00D35073">
              <w:rPr>
                <w:sz w:val="22"/>
                <w:szCs w:val="22"/>
                <w:lang w:val="sr-Latn-ME"/>
              </w:rPr>
              <w:t>rijetko</w:t>
            </w:r>
          </w:p>
        </w:tc>
        <w:tc>
          <w:tcPr>
            <w:tcW w:w="2266" w:type="dxa"/>
          </w:tcPr>
          <w:p w14:paraId="0ABDCC20" w14:textId="344C585E" w:rsidR="00BE61E8" w:rsidRPr="00D35073" w:rsidRDefault="00BE61E8" w:rsidP="00C35410">
            <w:pPr>
              <w:tabs>
                <w:tab w:val="left" w:pos="540"/>
                <w:tab w:val="left" w:pos="569"/>
              </w:tabs>
              <w:jc w:val="both"/>
              <w:rPr>
                <w:sz w:val="22"/>
                <w:szCs w:val="22"/>
                <w:lang w:val="sr-Latn-ME"/>
              </w:rPr>
            </w:pPr>
            <w:r w:rsidRPr="00D35073">
              <w:rPr>
                <w:sz w:val="22"/>
                <w:szCs w:val="22"/>
                <w:lang w:val="sr-Latn-ME"/>
              </w:rPr>
              <w:t>često</w:t>
            </w:r>
          </w:p>
          <w:p w14:paraId="2E4CA31F"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često</w:t>
            </w:r>
          </w:p>
          <w:p w14:paraId="210B7718"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često</w:t>
            </w:r>
          </w:p>
          <w:p w14:paraId="3272883D" w14:textId="75FC01A2" w:rsidR="00153F57" w:rsidRPr="00D35073" w:rsidRDefault="00153F57" w:rsidP="00C35410">
            <w:pPr>
              <w:tabs>
                <w:tab w:val="left" w:pos="540"/>
                <w:tab w:val="left" w:pos="569"/>
              </w:tabs>
              <w:jc w:val="both"/>
              <w:rPr>
                <w:sz w:val="22"/>
                <w:szCs w:val="22"/>
                <w:lang w:val="sr-Latn-ME"/>
              </w:rPr>
            </w:pPr>
            <w:r w:rsidRPr="00D35073">
              <w:rPr>
                <w:sz w:val="22"/>
                <w:szCs w:val="22"/>
                <w:lang w:val="sr-Latn-ME"/>
              </w:rPr>
              <w:t>često</w:t>
            </w:r>
          </w:p>
          <w:p w14:paraId="4D1A9847" w14:textId="3BC80013" w:rsidR="00BA4C7F" w:rsidRPr="00D35073" w:rsidRDefault="00BA4C7F" w:rsidP="00C35410">
            <w:pPr>
              <w:tabs>
                <w:tab w:val="left" w:pos="540"/>
                <w:tab w:val="left" w:pos="569"/>
              </w:tabs>
              <w:jc w:val="both"/>
              <w:rPr>
                <w:sz w:val="22"/>
                <w:szCs w:val="22"/>
                <w:lang w:val="sr-Latn-ME"/>
              </w:rPr>
            </w:pPr>
            <w:r w:rsidRPr="00D35073">
              <w:rPr>
                <w:sz w:val="22"/>
                <w:szCs w:val="22"/>
                <w:lang w:val="sr-Latn-ME"/>
              </w:rPr>
              <w:t>povremeno</w:t>
            </w:r>
          </w:p>
        </w:tc>
      </w:tr>
      <w:tr w:rsidR="008355A5" w:rsidRPr="00D35073" w14:paraId="77506B04" w14:textId="77777777" w:rsidTr="007105B9">
        <w:tc>
          <w:tcPr>
            <w:tcW w:w="2265" w:type="dxa"/>
          </w:tcPr>
          <w:p w14:paraId="15359BDB" w14:textId="3DD935C6" w:rsidR="008355A5" w:rsidRPr="00D35073" w:rsidRDefault="00671742" w:rsidP="00C35410">
            <w:pPr>
              <w:tabs>
                <w:tab w:val="left" w:pos="540"/>
                <w:tab w:val="left" w:pos="569"/>
              </w:tabs>
              <w:jc w:val="both"/>
              <w:rPr>
                <w:sz w:val="22"/>
                <w:szCs w:val="22"/>
                <w:lang w:val="sr-Latn-ME"/>
              </w:rPr>
            </w:pPr>
            <w:r w:rsidRPr="00D35073">
              <w:rPr>
                <w:sz w:val="22"/>
                <w:szCs w:val="22"/>
                <w:lang w:val="sr-Latn-ME"/>
              </w:rPr>
              <w:t xml:space="preserve">Hepatobilijarni poremećaji </w:t>
            </w:r>
          </w:p>
        </w:tc>
        <w:tc>
          <w:tcPr>
            <w:tcW w:w="2266" w:type="dxa"/>
          </w:tcPr>
          <w:p w14:paraId="44A8D53C" w14:textId="1EF60F7F" w:rsidR="008355A5" w:rsidRPr="00D35073" w:rsidRDefault="00057E7C" w:rsidP="00C35410">
            <w:pPr>
              <w:tabs>
                <w:tab w:val="left" w:pos="540"/>
                <w:tab w:val="left" w:pos="569"/>
              </w:tabs>
              <w:jc w:val="both"/>
              <w:rPr>
                <w:sz w:val="22"/>
                <w:szCs w:val="22"/>
                <w:lang w:val="sr-Latn-ME"/>
              </w:rPr>
            </w:pPr>
            <w:r w:rsidRPr="00D35073">
              <w:rPr>
                <w:sz w:val="22"/>
                <w:szCs w:val="22"/>
                <w:lang w:val="sr-Latn-ME"/>
              </w:rPr>
              <w:t>hipertransaminazemija</w:t>
            </w:r>
          </w:p>
        </w:tc>
        <w:tc>
          <w:tcPr>
            <w:tcW w:w="2266" w:type="dxa"/>
          </w:tcPr>
          <w:p w14:paraId="1C092CE0" w14:textId="4BFFA8C4" w:rsidR="008355A5" w:rsidRPr="00D35073" w:rsidRDefault="00057E7C" w:rsidP="00C35410">
            <w:pPr>
              <w:tabs>
                <w:tab w:val="left" w:pos="540"/>
                <w:tab w:val="left" w:pos="569"/>
              </w:tabs>
              <w:jc w:val="both"/>
              <w:rPr>
                <w:sz w:val="22"/>
                <w:szCs w:val="22"/>
                <w:lang w:val="sr-Latn-ME"/>
              </w:rPr>
            </w:pPr>
            <w:r w:rsidRPr="00D35073">
              <w:rPr>
                <w:sz w:val="22"/>
                <w:szCs w:val="22"/>
                <w:lang w:val="sr-Latn-ME"/>
              </w:rPr>
              <w:t>rijetko</w:t>
            </w:r>
          </w:p>
        </w:tc>
        <w:tc>
          <w:tcPr>
            <w:tcW w:w="2266" w:type="dxa"/>
          </w:tcPr>
          <w:p w14:paraId="270B4B31" w14:textId="340ADF5C" w:rsidR="008355A5" w:rsidRPr="00D35073" w:rsidRDefault="00057E7C" w:rsidP="00C35410">
            <w:pPr>
              <w:tabs>
                <w:tab w:val="left" w:pos="540"/>
                <w:tab w:val="left" w:pos="569"/>
              </w:tabs>
              <w:jc w:val="both"/>
              <w:rPr>
                <w:sz w:val="22"/>
                <w:szCs w:val="22"/>
                <w:lang w:val="sr-Latn-ME"/>
              </w:rPr>
            </w:pPr>
            <w:r w:rsidRPr="00D35073">
              <w:rPr>
                <w:sz w:val="22"/>
                <w:szCs w:val="22"/>
                <w:lang w:val="sr-Latn-ME"/>
              </w:rPr>
              <w:t>povremeno</w:t>
            </w:r>
          </w:p>
        </w:tc>
      </w:tr>
      <w:tr w:rsidR="008355A5" w:rsidRPr="00D35073" w14:paraId="52FD7A05" w14:textId="77777777" w:rsidTr="007105B9">
        <w:tc>
          <w:tcPr>
            <w:tcW w:w="2265" w:type="dxa"/>
          </w:tcPr>
          <w:p w14:paraId="665B630D" w14:textId="4D31AF45" w:rsidR="008355A5" w:rsidRPr="00D35073" w:rsidRDefault="00057E7C" w:rsidP="00C35410">
            <w:pPr>
              <w:tabs>
                <w:tab w:val="left" w:pos="540"/>
                <w:tab w:val="left" w:pos="569"/>
              </w:tabs>
              <w:jc w:val="both"/>
              <w:rPr>
                <w:sz w:val="22"/>
                <w:szCs w:val="22"/>
                <w:lang w:val="sr-Latn-ME"/>
              </w:rPr>
            </w:pPr>
            <w:r w:rsidRPr="00D35073">
              <w:rPr>
                <w:sz w:val="22"/>
                <w:szCs w:val="22"/>
                <w:lang w:val="sr-Latn-ME"/>
              </w:rPr>
              <w:t>Poremećaji kože i potkožnog tkiva</w:t>
            </w:r>
          </w:p>
        </w:tc>
        <w:tc>
          <w:tcPr>
            <w:tcW w:w="2266" w:type="dxa"/>
          </w:tcPr>
          <w:p w14:paraId="42FC0EB1" w14:textId="77777777" w:rsidR="0028663A" w:rsidRPr="00D35073" w:rsidRDefault="0028663A" w:rsidP="00C35410">
            <w:pPr>
              <w:tabs>
                <w:tab w:val="left" w:pos="540"/>
                <w:tab w:val="left" w:pos="569"/>
              </w:tabs>
              <w:jc w:val="both"/>
              <w:rPr>
                <w:sz w:val="22"/>
                <w:szCs w:val="22"/>
                <w:lang w:val="sr-Latn-ME"/>
              </w:rPr>
            </w:pPr>
            <w:r w:rsidRPr="00D35073">
              <w:rPr>
                <w:sz w:val="22"/>
                <w:szCs w:val="22"/>
                <w:lang w:val="sr-Latn-ME"/>
              </w:rPr>
              <w:t>Osip</w:t>
            </w:r>
          </w:p>
          <w:p w14:paraId="5AF3D40B" w14:textId="6B0F3F4B" w:rsidR="00057E7C" w:rsidRPr="00D35073" w:rsidRDefault="00057E7C" w:rsidP="00C35410">
            <w:pPr>
              <w:tabs>
                <w:tab w:val="left" w:pos="540"/>
                <w:tab w:val="left" w:pos="569"/>
              </w:tabs>
              <w:jc w:val="both"/>
              <w:rPr>
                <w:sz w:val="22"/>
                <w:szCs w:val="22"/>
                <w:lang w:val="sr-Latn-ME"/>
              </w:rPr>
            </w:pPr>
            <w:r w:rsidRPr="00D35073">
              <w:rPr>
                <w:sz w:val="22"/>
                <w:szCs w:val="22"/>
                <w:lang w:val="sr-Latn-ME"/>
              </w:rPr>
              <w:t xml:space="preserve">Reakcije  na koži </w:t>
            </w:r>
          </w:p>
        </w:tc>
        <w:tc>
          <w:tcPr>
            <w:tcW w:w="2266" w:type="dxa"/>
          </w:tcPr>
          <w:p w14:paraId="45A76921" w14:textId="34DB6544" w:rsidR="008355A5" w:rsidRPr="00D35073" w:rsidRDefault="006F2322" w:rsidP="00C35410">
            <w:pPr>
              <w:tabs>
                <w:tab w:val="left" w:pos="540"/>
                <w:tab w:val="left" w:pos="569"/>
              </w:tabs>
              <w:jc w:val="both"/>
              <w:rPr>
                <w:sz w:val="22"/>
                <w:szCs w:val="22"/>
                <w:lang w:val="sr-Latn-ME"/>
              </w:rPr>
            </w:pPr>
            <w:r w:rsidRPr="00D35073">
              <w:rPr>
                <w:sz w:val="22"/>
                <w:szCs w:val="22"/>
                <w:lang w:val="sr-Latn-ME"/>
              </w:rPr>
              <w:t>Rijetko</w:t>
            </w:r>
          </w:p>
          <w:p w14:paraId="571AA088" w14:textId="38FEF987" w:rsidR="006F2322" w:rsidRPr="00D35073" w:rsidRDefault="006F2322" w:rsidP="00C35410">
            <w:pPr>
              <w:tabs>
                <w:tab w:val="left" w:pos="540"/>
                <w:tab w:val="left" w:pos="569"/>
              </w:tabs>
              <w:jc w:val="both"/>
              <w:rPr>
                <w:sz w:val="22"/>
                <w:szCs w:val="22"/>
                <w:lang w:val="sr-Latn-ME"/>
              </w:rPr>
            </w:pPr>
            <w:r w:rsidRPr="00D35073">
              <w:rPr>
                <w:sz w:val="22"/>
                <w:szCs w:val="22"/>
                <w:lang w:val="sr-Latn-ME"/>
              </w:rPr>
              <w:t>rijetko</w:t>
            </w:r>
          </w:p>
        </w:tc>
        <w:tc>
          <w:tcPr>
            <w:tcW w:w="2266" w:type="dxa"/>
          </w:tcPr>
          <w:p w14:paraId="0734F842" w14:textId="77777777" w:rsidR="006F2322" w:rsidRPr="00D35073" w:rsidRDefault="006F2322" w:rsidP="00C35410">
            <w:pPr>
              <w:tabs>
                <w:tab w:val="left" w:pos="540"/>
                <w:tab w:val="left" w:pos="569"/>
              </w:tabs>
              <w:jc w:val="both"/>
              <w:rPr>
                <w:sz w:val="22"/>
                <w:szCs w:val="22"/>
                <w:lang w:val="sr-Latn-ME"/>
              </w:rPr>
            </w:pPr>
            <w:r w:rsidRPr="00D35073">
              <w:rPr>
                <w:sz w:val="22"/>
                <w:szCs w:val="22"/>
                <w:lang w:val="sr-Latn-ME"/>
              </w:rPr>
              <w:t>Povremeno</w:t>
            </w:r>
          </w:p>
          <w:p w14:paraId="338D68E2" w14:textId="24E51E3D" w:rsidR="006F2322" w:rsidRPr="00D35073" w:rsidRDefault="006F2322" w:rsidP="00C35410">
            <w:pPr>
              <w:tabs>
                <w:tab w:val="left" w:pos="540"/>
                <w:tab w:val="left" w:pos="569"/>
              </w:tabs>
              <w:jc w:val="both"/>
              <w:rPr>
                <w:sz w:val="22"/>
                <w:szCs w:val="22"/>
                <w:lang w:val="sr-Latn-ME"/>
              </w:rPr>
            </w:pPr>
            <w:r w:rsidRPr="00D35073">
              <w:rPr>
                <w:sz w:val="22"/>
                <w:szCs w:val="22"/>
                <w:lang w:val="sr-Latn-ME"/>
              </w:rPr>
              <w:t>povremeno</w:t>
            </w:r>
          </w:p>
        </w:tc>
      </w:tr>
      <w:tr w:rsidR="00BE61E8" w:rsidRPr="00D35073" w14:paraId="60A3334F" w14:textId="77777777" w:rsidTr="007105B9">
        <w:tc>
          <w:tcPr>
            <w:tcW w:w="2265" w:type="dxa"/>
          </w:tcPr>
          <w:p w14:paraId="062C18CF"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Poremećaji mišićno-koštanog sistema</w:t>
            </w:r>
          </w:p>
        </w:tc>
        <w:tc>
          <w:tcPr>
            <w:tcW w:w="2266" w:type="dxa"/>
          </w:tcPr>
          <w:p w14:paraId="35DCF047" w14:textId="65B8FEF9" w:rsidR="00BE61E8" w:rsidRPr="00D35073" w:rsidRDefault="006F2322" w:rsidP="00C35410">
            <w:pPr>
              <w:tabs>
                <w:tab w:val="left" w:pos="540"/>
                <w:tab w:val="left" w:pos="569"/>
              </w:tabs>
              <w:jc w:val="both"/>
              <w:rPr>
                <w:sz w:val="22"/>
                <w:szCs w:val="22"/>
                <w:lang w:val="sr-Latn-ME"/>
              </w:rPr>
            </w:pPr>
            <w:r w:rsidRPr="00D35073">
              <w:rPr>
                <w:sz w:val="22"/>
                <w:szCs w:val="22"/>
                <w:lang w:val="sr-Latn-ME"/>
              </w:rPr>
              <w:t>M</w:t>
            </w:r>
            <w:r w:rsidR="00BE61E8" w:rsidRPr="00D35073">
              <w:rPr>
                <w:sz w:val="22"/>
                <w:szCs w:val="22"/>
                <w:lang w:val="sr-Latn-ME"/>
              </w:rPr>
              <w:t>ialgija</w:t>
            </w:r>
          </w:p>
          <w:p w14:paraId="64C06968" w14:textId="1B1761B9" w:rsidR="006F2322" w:rsidRPr="00D35073" w:rsidRDefault="006F2322" w:rsidP="00C35410">
            <w:pPr>
              <w:tabs>
                <w:tab w:val="left" w:pos="540"/>
                <w:tab w:val="left" w:pos="569"/>
              </w:tabs>
              <w:jc w:val="both"/>
              <w:rPr>
                <w:sz w:val="22"/>
                <w:szCs w:val="22"/>
                <w:lang w:val="sr-Latn-ME"/>
              </w:rPr>
            </w:pPr>
            <w:r w:rsidRPr="00D35073">
              <w:rPr>
                <w:sz w:val="22"/>
                <w:szCs w:val="22"/>
                <w:lang w:val="sr-Latn-ME"/>
              </w:rPr>
              <w:t>artralgija</w:t>
            </w:r>
          </w:p>
        </w:tc>
        <w:tc>
          <w:tcPr>
            <w:tcW w:w="2266" w:type="dxa"/>
          </w:tcPr>
          <w:p w14:paraId="6129A0FC" w14:textId="66673BF1" w:rsidR="00BE61E8" w:rsidRPr="00D35073" w:rsidRDefault="006F2322" w:rsidP="00C35410">
            <w:pPr>
              <w:tabs>
                <w:tab w:val="left" w:pos="540"/>
                <w:tab w:val="left" w:pos="569"/>
              </w:tabs>
              <w:jc w:val="both"/>
              <w:rPr>
                <w:sz w:val="22"/>
                <w:szCs w:val="22"/>
                <w:lang w:val="sr-Latn-ME"/>
              </w:rPr>
            </w:pPr>
            <w:r w:rsidRPr="00D35073">
              <w:rPr>
                <w:sz w:val="22"/>
                <w:szCs w:val="22"/>
                <w:lang w:val="sr-Latn-ME"/>
              </w:rPr>
              <w:t>R</w:t>
            </w:r>
            <w:r w:rsidR="00BE61E8" w:rsidRPr="00D35073">
              <w:rPr>
                <w:sz w:val="22"/>
                <w:szCs w:val="22"/>
                <w:lang w:val="sr-Latn-ME"/>
              </w:rPr>
              <w:t>ijetko</w:t>
            </w:r>
          </w:p>
          <w:p w14:paraId="44989B10" w14:textId="34791E58" w:rsidR="006F2322" w:rsidRPr="00D35073" w:rsidRDefault="006F2322" w:rsidP="00C35410">
            <w:pPr>
              <w:tabs>
                <w:tab w:val="left" w:pos="540"/>
                <w:tab w:val="left" w:pos="569"/>
              </w:tabs>
              <w:jc w:val="both"/>
              <w:rPr>
                <w:sz w:val="22"/>
                <w:szCs w:val="22"/>
                <w:lang w:val="sr-Latn-ME"/>
              </w:rPr>
            </w:pPr>
            <w:r w:rsidRPr="00D35073">
              <w:rPr>
                <w:sz w:val="22"/>
                <w:szCs w:val="22"/>
                <w:lang w:val="sr-Latn-ME"/>
              </w:rPr>
              <w:t>rijetko</w:t>
            </w:r>
          </w:p>
        </w:tc>
        <w:tc>
          <w:tcPr>
            <w:tcW w:w="2266" w:type="dxa"/>
          </w:tcPr>
          <w:p w14:paraId="4AFC8B3C" w14:textId="35AA76A0" w:rsidR="00BE61E8" w:rsidRPr="00D35073" w:rsidRDefault="00E0669E" w:rsidP="00C35410">
            <w:pPr>
              <w:tabs>
                <w:tab w:val="left" w:pos="540"/>
                <w:tab w:val="left" w:pos="569"/>
              </w:tabs>
              <w:jc w:val="both"/>
              <w:rPr>
                <w:sz w:val="22"/>
                <w:szCs w:val="22"/>
                <w:lang w:val="sr-Latn-ME"/>
              </w:rPr>
            </w:pPr>
            <w:r w:rsidRPr="00D35073">
              <w:rPr>
                <w:sz w:val="22"/>
                <w:szCs w:val="22"/>
                <w:lang w:val="sr-Latn-ME"/>
              </w:rPr>
              <w:t>Č</w:t>
            </w:r>
            <w:r w:rsidR="00BE61E8" w:rsidRPr="00D35073">
              <w:rPr>
                <w:sz w:val="22"/>
                <w:szCs w:val="22"/>
                <w:lang w:val="sr-Latn-ME"/>
              </w:rPr>
              <w:t>esto</w:t>
            </w:r>
          </w:p>
          <w:p w14:paraId="2D819E50" w14:textId="3B475C8C" w:rsidR="00E0669E" w:rsidRPr="00D35073" w:rsidRDefault="00E0669E" w:rsidP="00C35410">
            <w:pPr>
              <w:tabs>
                <w:tab w:val="left" w:pos="540"/>
                <w:tab w:val="left" w:pos="569"/>
              </w:tabs>
              <w:jc w:val="both"/>
              <w:rPr>
                <w:sz w:val="22"/>
                <w:szCs w:val="22"/>
                <w:lang w:val="sr-Latn-ME"/>
              </w:rPr>
            </w:pPr>
            <w:r w:rsidRPr="00D35073">
              <w:rPr>
                <w:sz w:val="22"/>
                <w:szCs w:val="22"/>
                <w:lang w:val="sr-Latn-ME"/>
              </w:rPr>
              <w:t>povremeno</w:t>
            </w:r>
          </w:p>
        </w:tc>
      </w:tr>
      <w:tr w:rsidR="00BE61E8" w:rsidRPr="00D35073" w14:paraId="62D0C104" w14:textId="77777777" w:rsidTr="007105B9">
        <w:tc>
          <w:tcPr>
            <w:tcW w:w="2265" w:type="dxa"/>
          </w:tcPr>
          <w:p w14:paraId="6FF44C24"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Opšti poremećaji i reakcije na mjestu primjene</w:t>
            </w:r>
          </w:p>
        </w:tc>
        <w:tc>
          <w:tcPr>
            <w:tcW w:w="2266" w:type="dxa"/>
          </w:tcPr>
          <w:p w14:paraId="0A19F73E"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Reakcija na mjestu injekcije</w:t>
            </w:r>
          </w:p>
          <w:p w14:paraId="0097A09C" w14:textId="198090EC" w:rsidR="00BE61E8" w:rsidRPr="00D35073" w:rsidRDefault="00F973F1" w:rsidP="00C35410">
            <w:pPr>
              <w:tabs>
                <w:tab w:val="left" w:pos="540"/>
                <w:tab w:val="left" w:pos="569"/>
              </w:tabs>
              <w:jc w:val="both"/>
              <w:rPr>
                <w:sz w:val="22"/>
                <w:szCs w:val="22"/>
                <w:lang w:val="sr-Latn-ME"/>
              </w:rPr>
            </w:pPr>
            <w:r w:rsidRPr="00D35073">
              <w:rPr>
                <w:sz w:val="22"/>
                <w:szCs w:val="22"/>
                <w:lang w:val="sr-Latn-ME"/>
              </w:rPr>
              <w:t>P</w:t>
            </w:r>
            <w:r w:rsidR="00BE61E8" w:rsidRPr="00D35073">
              <w:rPr>
                <w:sz w:val="22"/>
                <w:szCs w:val="22"/>
                <w:lang w:val="sr-Latn-ME"/>
              </w:rPr>
              <w:t>ireksija</w:t>
            </w:r>
          </w:p>
          <w:p w14:paraId="39FD78F4" w14:textId="3923E4B2" w:rsidR="00FB56FE" w:rsidRPr="00D35073" w:rsidRDefault="00FB56FE" w:rsidP="00C35410">
            <w:pPr>
              <w:tabs>
                <w:tab w:val="left" w:pos="540"/>
                <w:tab w:val="left" w:pos="569"/>
              </w:tabs>
              <w:jc w:val="both"/>
              <w:rPr>
                <w:sz w:val="22"/>
                <w:szCs w:val="22"/>
                <w:lang w:val="sr-Latn-ME"/>
              </w:rPr>
            </w:pPr>
            <w:r w:rsidRPr="00D35073">
              <w:rPr>
                <w:sz w:val="22"/>
                <w:szCs w:val="22"/>
                <w:lang w:val="sr-Latn-ME"/>
              </w:rPr>
              <w:t xml:space="preserve">Groznica </w:t>
            </w:r>
          </w:p>
          <w:p w14:paraId="4C15F345" w14:textId="4E214CAA" w:rsidR="00FB56FE" w:rsidRPr="00D35073" w:rsidRDefault="00FB56FE" w:rsidP="00C35410">
            <w:pPr>
              <w:tabs>
                <w:tab w:val="left" w:pos="540"/>
                <w:tab w:val="left" w:pos="569"/>
              </w:tabs>
              <w:jc w:val="both"/>
              <w:rPr>
                <w:sz w:val="22"/>
                <w:szCs w:val="22"/>
                <w:lang w:val="sr-Latn-ME"/>
              </w:rPr>
            </w:pPr>
            <w:r w:rsidRPr="00D35073">
              <w:rPr>
                <w:sz w:val="22"/>
                <w:szCs w:val="22"/>
                <w:lang w:val="sr-Latn-ME"/>
              </w:rPr>
              <w:t>Umor</w:t>
            </w:r>
          </w:p>
          <w:p w14:paraId="0122749D" w14:textId="498013CE" w:rsidR="00FB56FE" w:rsidRPr="00D35073" w:rsidRDefault="00FB56FE" w:rsidP="00C35410">
            <w:pPr>
              <w:tabs>
                <w:tab w:val="left" w:pos="540"/>
                <w:tab w:val="left" w:pos="569"/>
              </w:tabs>
              <w:jc w:val="both"/>
              <w:rPr>
                <w:sz w:val="22"/>
                <w:szCs w:val="22"/>
                <w:lang w:val="sr-Latn-ME"/>
              </w:rPr>
            </w:pPr>
            <w:r w:rsidRPr="00D35073">
              <w:rPr>
                <w:sz w:val="22"/>
                <w:szCs w:val="22"/>
                <w:lang w:val="sr-Latn-ME"/>
              </w:rPr>
              <w:t>Nelagodnost u grudima</w:t>
            </w:r>
          </w:p>
          <w:p w14:paraId="21E056A5" w14:textId="36F0B5DB" w:rsidR="00FB56FE" w:rsidRPr="00D35073" w:rsidRDefault="00F76744" w:rsidP="00C35410">
            <w:pPr>
              <w:tabs>
                <w:tab w:val="left" w:pos="540"/>
                <w:tab w:val="left" w:pos="569"/>
              </w:tabs>
              <w:jc w:val="both"/>
              <w:rPr>
                <w:sz w:val="22"/>
                <w:szCs w:val="22"/>
                <w:lang w:val="sr-Latn-ME"/>
              </w:rPr>
            </w:pPr>
            <w:r w:rsidRPr="00D35073">
              <w:rPr>
                <w:sz w:val="22"/>
                <w:szCs w:val="22"/>
                <w:lang w:val="sr-Latn-ME"/>
              </w:rPr>
              <w:t>B</w:t>
            </w:r>
            <w:r w:rsidR="00FB56FE" w:rsidRPr="00D35073">
              <w:rPr>
                <w:sz w:val="22"/>
                <w:szCs w:val="22"/>
                <w:lang w:val="sr-Latn-ME"/>
              </w:rPr>
              <w:t>olest slična gripu</w:t>
            </w:r>
          </w:p>
          <w:p w14:paraId="3668C6D8" w14:textId="1D079F2E" w:rsidR="00FB56FE" w:rsidRPr="00D35073" w:rsidRDefault="00FB56FE" w:rsidP="00C35410">
            <w:pPr>
              <w:tabs>
                <w:tab w:val="left" w:pos="540"/>
                <w:tab w:val="left" w:pos="569"/>
              </w:tabs>
              <w:jc w:val="both"/>
              <w:rPr>
                <w:sz w:val="22"/>
                <w:szCs w:val="22"/>
                <w:lang w:val="sr-Latn-ME"/>
              </w:rPr>
            </w:pPr>
            <w:r w:rsidRPr="00D35073">
              <w:rPr>
                <w:sz w:val="22"/>
                <w:szCs w:val="22"/>
                <w:lang w:val="sr-Latn-ME"/>
              </w:rPr>
              <w:t>Malaksalost</w:t>
            </w:r>
          </w:p>
          <w:p w14:paraId="212ECA3C" w14:textId="688276B1" w:rsidR="00F973F1" w:rsidRPr="00D35073" w:rsidRDefault="00FB56FE" w:rsidP="00C35410">
            <w:pPr>
              <w:tabs>
                <w:tab w:val="left" w:pos="540"/>
                <w:tab w:val="left" w:pos="569"/>
              </w:tabs>
              <w:jc w:val="both"/>
              <w:rPr>
                <w:sz w:val="22"/>
                <w:szCs w:val="22"/>
                <w:lang w:val="sr-Latn-ME"/>
              </w:rPr>
            </w:pPr>
            <w:r w:rsidRPr="00D35073">
              <w:rPr>
                <w:sz w:val="22"/>
                <w:szCs w:val="22"/>
                <w:lang w:val="sr-Latn-ME"/>
              </w:rPr>
              <w:t>Bol</w:t>
            </w:r>
          </w:p>
        </w:tc>
        <w:tc>
          <w:tcPr>
            <w:tcW w:w="2266" w:type="dxa"/>
          </w:tcPr>
          <w:p w14:paraId="1B1128EE"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vrlo često</w:t>
            </w:r>
          </w:p>
          <w:p w14:paraId="3B68EE86"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rijetko</w:t>
            </w:r>
          </w:p>
          <w:p w14:paraId="7E8D44DE" w14:textId="77777777" w:rsidR="00FB56FE" w:rsidRPr="00D35073" w:rsidRDefault="00FB56FE" w:rsidP="00C35410">
            <w:pPr>
              <w:tabs>
                <w:tab w:val="left" w:pos="540"/>
                <w:tab w:val="left" w:pos="569"/>
              </w:tabs>
              <w:jc w:val="both"/>
              <w:rPr>
                <w:sz w:val="22"/>
                <w:szCs w:val="22"/>
                <w:lang w:val="sr-Latn-ME"/>
              </w:rPr>
            </w:pPr>
            <w:r w:rsidRPr="00D35073">
              <w:rPr>
                <w:sz w:val="22"/>
                <w:szCs w:val="22"/>
                <w:lang w:val="sr-Latn-ME"/>
              </w:rPr>
              <w:t>rijetko</w:t>
            </w:r>
          </w:p>
          <w:p w14:paraId="53DA047B" w14:textId="77777777" w:rsidR="00FB56FE" w:rsidRPr="00D35073" w:rsidRDefault="00FB56FE" w:rsidP="00C35410">
            <w:pPr>
              <w:tabs>
                <w:tab w:val="left" w:pos="540"/>
                <w:tab w:val="left" w:pos="569"/>
              </w:tabs>
              <w:jc w:val="both"/>
              <w:rPr>
                <w:sz w:val="22"/>
                <w:szCs w:val="22"/>
                <w:lang w:val="sr-Latn-ME"/>
              </w:rPr>
            </w:pPr>
            <w:r w:rsidRPr="00D35073">
              <w:rPr>
                <w:sz w:val="22"/>
                <w:szCs w:val="22"/>
                <w:lang w:val="sr-Latn-ME"/>
              </w:rPr>
              <w:t>povremeno</w:t>
            </w:r>
          </w:p>
          <w:p w14:paraId="65FDE475" w14:textId="77777777" w:rsidR="00FB56FE" w:rsidRPr="00D35073" w:rsidRDefault="00835E20" w:rsidP="00C35410">
            <w:pPr>
              <w:tabs>
                <w:tab w:val="left" w:pos="540"/>
                <w:tab w:val="left" w:pos="569"/>
              </w:tabs>
              <w:jc w:val="both"/>
              <w:rPr>
                <w:sz w:val="22"/>
                <w:szCs w:val="22"/>
                <w:lang w:val="sr-Latn-ME"/>
              </w:rPr>
            </w:pPr>
            <w:r w:rsidRPr="00D35073">
              <w:rPr>
                <w:sz w:val="22"/>
                <w:szCs w:val="22"/>
                <w:lang w:val="sr-Latn-ME"/>
              </w:rPr>
              <w:t>rijetko</w:t>
            </w:r>
          </w:p>
          <w:p w14:paraId="617C4810" w14:textId="77777777" w:rsidR="00835E20" w:rsidRPr="00D35073" w:rsidRDefault="00835E20" w:rsidP="00C35410">
            <w:pPr>
              <w:tabs>
                <w:tab w:val="left" w:pos="540"/>
                <w:tab w:val="left" w:pos="569"/>
              </w:tabs>
              <w:jc w:val="both"/>
              <w:rPr>
                <w:sz w:val="22"/>
                <w:szCs w:val="22"/>
                <w:lang w:val="sr-Latn-ME"/>
              </w:rPr>
            </w:pPr>
            <w:r w:rsidRPr="00D35073">
              <w:rPr>
                <w:sz w:val="22"/>
                <w:szCs w:val="22"/>
                <w:lang w:val="sr-Latn-ME"/>
              </w:rPr>
              <w:t>rijetko</w:t>
            </w:r>
          </w:p>
          <w:p w14:paraId="12591E56" w14:textId="77777777" w:rsidR="00835E20" w:rsidRPr="00D35073" w:rsidRDefault="00835E20" w:rsidP="00C35410">
            <w:pPr>
              <w:tabs>
                <w:tab w:val="left" w:pos="540"/>
                <w:tab w:val="left" w:pos="569"/>
              </w:tabs>
              <w:jc w:val="both"/>
              <w:rPr>
                <w:sz w:val="22"/>
                <w:szCs w:val="22"/>
                <w:lang w:val="sr-Latn-ME"/>
              </w:rPr>
            </w:pPr>
            <w:r w:rsidRPr="00D35073">
              <w:rPr>
                <w:sz w:val="22"/>
                <w:szCs w:val="22"/>
                <w:lang w:val="sr-Latn-ME"/>
              </w:rPr>
              <w:t>rijetko</w:t>
            </w:r>
          </w:p>
          <w:p w14:paraId="5720D622" w14:textId="77777777" w:rsidR="00835E20" w:rsidRPr="00D35073" w:rsidRDefault="00835E20" w:rsidP="00C35410">
            <w:pPr>
              <w:tabs>
                <w:tab w:val="left" w:pos="540"/>
                <w:tab w:val="left" w:pos="569"/>
              </w:tabs>
              <w:jc w:val="both"/>
              <w:rPr>
                <w:sz w:val="22"/>
                <w:szCs w:val="22"/>
                <w:lang w:val="sr-Latn-ME"/>
              </w:rPr>
            </w:pPr>
            <w:r w:rsidRPr="00D35073">
              <w:rPr>
                <w:sz w:val="22"/>
                <w:szCs w:val="22"/>
                <w:lang w:val="sr-Latn-ME"/>
              </w:rPr>
              <w:t>rijetko</w:t>
            </w:r>
          </w:p>
          <w:p w14:paraId="6E2EE73C" w14:textId="0E23E6C7" w:rsidR="00835E20" w:rsidRPr="00D35073" w:rsidRDefault="00835E20" w:rsidP="00C35410">
            <w:pPr>
              <w:tabs>
                <w:tab w:val="left" w:pos="540"/>
                <w:tab w:val="left" w:pos="569"/>
              </w:tabs>
              <w:jc w:val="both"/>
              <w:rPr>
                <w:sz w:val="22"/>
                <w:szCs w:val="22"/>
                <w:lang w:val="sr-Latn-ME"/>
              </w:rPr>
            </w:pPr>
          </w:p>
        </w:tc>
        <w:tc>
          <w:tcPr>
            <w:tcW w:w="2266" w:type="dxa"/>
          </w:tcPr>
          <w:p w14:paraId="1869D6B8"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vrlo često</w:t>
            </w:r>
          </w:p>
          <w:p w14:paraId="6BBE144C" w14:textId="395CCD4E" w:rsidR="00835E20" w:rsidRPr="00D35073" w:rsidRDefault="00835E20" w:rsidP="00C35410">
            <w:pPr>
              <w:tabs>
                <w:tab w:val="left" w:pos="540"/>
                <w:tab w:val="left" w:pos="569"/>
              </w:tabs>
              <w:jc w:val="both"/>
              <w:rPr>
                <w:sz w:val="22"/>
                <w:szCs w:val="22"/>
                <w:lang w:val="sr-Latn-ME"/>
              </w:rPr>
            </w:pPr>
            <w:r w:rsidRPr="00D35073">
              <w:rPr>
                <w:sz w:val="22"/>
                <w:szCs w:val="22"/>
                <w:lang w:val="sr-Latn-ME"/>
              </w:rPr>
              <w:t>često</w:t>
            </w:r>
          </w:p>
          <w:p w14:paraId="1459ED6F" w14:textId="73AB0822" w:rsidR="00835E20" w:rsidRPr="00D35073" w:rsidRDefault="00835E20" w:rsidP="00C35410">
            <w:pPr>
              <w:tabs>
                <w:tab w:val="left" w:pos="540"/>
                <w:tab w:val="left" w:pos="569"/>
              </w:tabs>
              <w:jc w:val="both"/>
              <w:rPr>
                <w:sz w:val="22"/>
                <w:szCs w:val="22"/>
                <w:lang w:val="sr-Latn-ME"/>
              </w:rPr>
            </w:pPr>
            <w:r w:rsidRPr="00D35073">
              <w:rPr>
                <w:sz w:val="22"/>
                <w:szCs w:val="22"/>
                <w:lang w:val="sr-Latn-ME"/>
              </w:rPr>
              <w:t>često</w:t>
            </w:r>
          </w:p>
          <w:p w14:paraId="2A34AA46" w14:textId="7B17FBA5" w:rsidR="00835E20" w:rsidRPr="00D35073" w:rsidRDefault="00835E20" w:rsidP="00C35410">
            <w:pPr>
              <w:tabs>
                <w:tab w:val="left" w:pos="540"/>
                <w:tab w:val="left" w:pos="569"/>
              </w:tabs>
              <w:jc w:val="both"/>
              <w:rPr>
                <w:sz w:val="22"/>
                <w:szCs w:val="22"/>
                <w:lang w:val="sr-Latn-ME"/>
              </w:rPr>
            </w:pPr>
            <w:r w:rsidRPr="00D35073">
              <w:rPr>
                <w:sz w:val="22"/>
                <w:szCs w:val="22"/>
                <w:lang w:val="sr-Latn-ME"/>
              </w:rPr>
              <w:t>često</w:t>
            </w:r>
          </w:p>
          <w:p w14:paraId="48372EC0" w14:textId="77777777" w:rsidR="00BE61E8" w:rsidRPr="00D35073" w:rsidRDefault="002F5144" w:rsidP="00C35410">
            <w:pPr>
              <w:tabs>
                <w:tab w:val="left" w:pos="540"/>
                <w:tab w:val="left" w:pos="569"/>
              </w:tabs>
              <w:jc w:val="both"/>
              <w:rPr>
                <w:sz w:val="22"/>
                <w:szCs w:val="22"/>
                <w:lang w:val="sr-Latn-ME"/>
              </w:rPr>
            </w:pPr>
            <w:r w:rsidRPr="00D35073">
              <w:rPr>
                <w:sz w:val="22"/>
                <w:szCs w:val="22"/>
                <w:lang w:val="sr-Latn-ME"/>
              </w:rPr>
              <w:t>povremeno</w:t>
            </w:r>
          </w:p>
          <w:p w14:paraId="13CEFD52" w14:textId="77777777" w:rsidR="002F5144" w:rsidRPr="00D35073" w:rsidRDefault="002F5144" w:rsidP="00C35410">
            <w:pPr>
              <w:tabs>
                <w:tab w:val="left" w:pos="540"/>
                <w:tab w:val="left" w:pos="569"/>
              </w:tabs>
              <w:jc w:val="both"/>
              <w:rPr>
                <w:sz w:val="22"/>
                <w:szCs w:val="22"/>
                <w:lang w:val="sr-Latn-ME"/>
              </w:rPr>
            </w:pPr>
            <w:r w:rsidRPr="00D35073">
              <w:rPr>
                <w:sz w:val="22"/>
                <w:szCs w:val="22"/>
                <w:lang w:val="sr-Latn-ME"/>
              </w:rPr>
              <w:t>povremeno</w:t>
            </w:r>
          </w:p>
          <w:p w14:paraId="2454034E" w14:textId="77777777" w:rsidR="002F5144" w:rsidRPr="00D35073" w:rsidRDefault="002F5144" w:rsidP="00C35410">
            <w:pPr>
              <w:tabs>
                <w:tab w:val="left" w:pos="540"/>
                <w:tab w:val="left" w:pos="569"/>
              </w:tabs>
              <w:jc w:val="both"/>
              <w:rPr>
                <w:sz w:val="22"/>
                <w:szCs w:val="22"/>
                <w:lang w:val="sr-Latn-ME"/>
              </w:rPr>
            </w:pPr>
            <w:r w:rsidRPr="00D35073">
              <w:rPr>
                <w:sz w:val="22"/>
                <w:szCs w:val="22"/>
                <w:lang w:val="sr-Latn-ME"/>
              </w:rPr>
              <w:t>povremeno</w:t>
            </w:r>
          </w:p>
          <w:p w14:paraId="5F11EB5A" w14:textId="77777777" w:rsidR="002F5144" w:rsidRPr="00D35073" w:rsidRDefault="002F5144" w:rsidP="00C35410">
            <w:pPr>
              <w:tabs>
                <w:tab w:val="left" w:pos="540"/>
                <w:tab w:val="left" w:pos="569"/>
              </w:tabs>
              <w:jc w:val="both"/>
              <w:rPr>
                <w:sz w:val="22"/>
                <w:szCs w:val="22"/>
                <w:lang w:val="sr-Latn-ME"/>
              </w:rPr>
            </w:pPr>
            <w:r w:rsidRPr="00D35073">
              <w:rPr>
                <w:sz w:val="22"/>
                <w:szCs w:val="22"/>
                <w:lang w:val="sr-Latn-ME"/>
              </w:rPr>
              <w:t>povremeno</w:t>
            </w:r>
          </w:p>
          <w:p w14:paraId="6DE7706C" w14:textId="19FCC2A9" w:rsidR="002F5144" w:rsidRPr="00D35073" w:rsidRDefault="002F5144" w:rsidP="00C35410">
            <w:pPr>
              <w:tabs>
                <w:tab w:val="left" w:pos="540"/>
                <w:tab w:val="left" w:pos="569"/>
              </w:tabs>
              <w:jc w:val="both"/>
              <w:rPr>
                <w:sz w:val="22"/>
                <w:szCs w:val="22"/>
                <w:lang w:val="sr-Latn-ME"/>
              </w:rPr>
            </w:pPr>
          </w:p>
        </w:tc>
      </w:tr>
      <w:tr w:rsidR="00BE61E8" w:rsidRPr="00D35073" w14:paraId="52B2EDFA" w14:textId="77777777" w:rsidTr="007105B9">
        <w:tc>
          <w:tcPr>
            <w:tcW w:w="2265" w:type="dxa"/>
          </w:tcPr>
          <w:p w14:paraId="7D8991F0" w14:textId="2D6C2D4D" w:rsidR="00BE61E8" w:rsidRPr="00D35073" w:rsidRDefault="00537653" w:rsidP="00C35410">
            <w:pPr>
              <w:tabs>
                <w:tab w:val="left" w:pos="540"/>
                <w:tab w:val="left" w:pos="569"/>
              </w:tabs>
              <w:jc w:val="both"/>
              <w:rPr>
                <w:sz w:val="22"/>
                <w:szCs w:val="22"/>
                <w:lang w:val="sr-Latn-ME"/>
              </w:rPr>
            </w:pPr>
            <w:r w:rsidRPr="00D35073">
              <w:rPr>
                <w:sz w:val="22"/>
                <w:szCs w:val="22"/>
                <w:lang w:val="sr-Latn-ME"/>
              </w:rPr>
              <w:t xml:space="preserve">Ispitivanja </w:t>
            </w:r>
          </w:p>
        </w:tc>
        <w:tc>
          <w:tcPr>
            <w:tcW w:w="2266" w:type="dxa"/>
          </w:tcPr>
          <w:p w14:paraId="281DCFF4" w14:textId="1AC39E4C" w:rsidR="002F5144" w:rsidRPr="00D35073" w:rsidRDefault="002F5144" w:rsidP="00C35410">
            <w:pPr>
              <w:tabs>
                <w:tab w:val="left" w:pos="540"/>
                <w:tab w:val="left" w:pos="569"/>
              </w:tabs>
              <w:jc w:val="both"/>
              <w:rPr>
                <w:sz w:val="22"/>
                <w:szCs w:val="22"/>
                <w:lang w:val="sr-Latn-ME"/>
              </w:rPr>
            </w:pPr>
            <w:r w:rsidRPr="00D35073">
              <w:rPr>
                <w:sz w:val="22"/>
                <w:szCs w:val="22"/>
                <w:lang w:val="sr-Latn-ME"/>
              </w:rPr>
              <w:t>Prisutan slob</w:t>
            </w:r>
            <w:r w:rsidR="0015744A" w:rsidRPr="00D35073">
              <w:rPr>
                <w:sz w:val="22"/>
                <w:szCs w:val="22"/>
                <w:lang w:val="sr-Latn-ME"/>
              </w:rPr>
              <w:t>o</w:t>
            </w:r>
            <w:r w:rsidRPr="00D35073">
              <w:rPr>
                <w:sz w:val="22"/>
                <w:szCs w:val="22"/>
                <w:lang w:val="sr-Latn-ME"/>
              </w:rPr>
              <w:t>dni hemoglobin</w:t>
            </w:r>
          </w:p>
          <w:p w14:paraId="1270790B" w14:textId="77777777" w:rsidR="002F5144" w:rsidRPr="00D35073" w:rsidRDefault="002F5144" w:rsidP="00C35410">
            <w:pPr>
              <w:tabs>
                <w:tab w:val="left" w:pos="540"/>
                <w:tab w:val="left" w:pos="569"/>
              </w:tabs>
              <w:jc w:val="both"/>
              <w:rPr>
                <w:sz w:val="22"/>
                <w:szCs w:val="22"/>
                <w:lang w:val="sr-Latn-ME"/>
              </w:rPr>
            </w:pPr>
            <w:r w:rsidRPr="00D35073">
              <w:rPr>
                <w:sz w:val="22"/>
                <w:szCs w:val="22"/>
                <w:lang w:val="sr-Latn-ME"/>
              </w:rPr>
              <w:t>P</w:t>
            </w:r>
            <w:r w:rsidR="00BE61E8" w:rsidRPr="00D35073">
              <w:rPr>
                <w:sz w:val="22"/>
                <w:szCs w:val="22"/>
                <w:lang w:val="sr-Latn-ME"/>
              </w:rPr>
              <w:t xml:space="preserve">ozitivan Coombsov test </w:t>
            </w:r>
          </w:p>
          <w:p w14:paraId="5C5E51F1" w14:textId="159C2769" w:rsidR="00560681" w:rsidRPr="00D35073" w:rsidRDefault="00560681" w:rsidP="00C35410">
            <w:pPr>
              <w:tabs>
                <w:tab w:val="left" w:pos="540"/>
                <w:tab w:val="left" w:pos="569"/>
              </w:tabs>
              <w:jc w:val="both"/>
              <w:rPr>
                <w:sz w:val="22"/>
                <w:szCs w:val="22"/>
                <w:lang w:val="sr-Latn-ME"/>
              </w:rPr>
            </w:pPr>
            <w:r w:rsidRPr="00D35073">
              <w:rPr>
                <w:sz w:val="22"/>
                <w:szCs w:val="22"/>
                <w:lang w:val="sr-Latn-ME"/>
              </w:rPr>
              <w:t>Sniženi haptoglobin</w:t>
            </w:r>
          </w:p>
          <w:p w14:paraId="7D8BAA3B" w14:textId="34F22B6C" w:rsidR="00560681" w:rsidRPr="00D35073" w:rsidRDefault="00560681" w:rsidP="00C35410">
            <w:pPr>
              <w:tabs>
                <w:tab w:val="left" w:pos="540"/>
                <w:tab w:val="left" w:pos="569"/>
              </w:tabs>
              <w:jc w:val="both"/>
              <w:rPr>
                <w:sz w:val="22"/>
                <w:szCs w:val="22"/>
                <w:lang w:val="sr-Latn-ME"/>
              </w:rPr>
            </w:pPr>
            <w:r w:rsidRPr="00D35073">
              <w:rPr>
                <w:sz w:val="22"/>
                <w:szCs w:val="22"/>
                <w:lang w:val="sr-Latn-ME"/>
              </w:rPr>
              <w:lastRenderedPageBreak/>
              <w:t>Povećan hemoglobin</w:t>
            </w:r>
          </w:p>
          <w:p w14:paraId="0F60505C" w14:textId="76BAD15B" w:rsidR="00BE61E8" w:rsidRPr="00D35073" w:rsidRDefault="00560681" w:rsidP="00C35410">
            <w:pPr>
              <w:tabs>
                <w:tab w:val="left" w:pos="540"/>
                <w:tab w:val="left" w:pos="569"/>
              </w:tabs>
              <w:jc w:val="both"/>
              <w:rPr>
                <w:sz w:val="22"/>
                <w:szCs w:val="22"/>
                <w:lang w:val="sr-Latn-ME"/>
              </w:rPr>
            </w:pPr>
            <w:r w:rsidRPr="00D35073">
              <w:rPr>
                <w:sz w:val="22"/>
                <w:szCs w:val="22"/>
                <w:lang w:val="sr-Latn-ME"/>
              </w:rPr>
              <w:t>Povećan  kreatinin u krvi</w:t>
            </w:r>
          </w:p>
        </w:tc>
        <w:tc>
          <w:tcPr>
            <w:tcW w:w="2266" w:type="dxa"/>
          </w:tcPr>
          <w:p w14:paraId="7CF78986"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lastRenderedPageBreak/>
              <w:t>rijetko</w:t>
            </w:r>
          </w:p>
          <w:p w14:paraId="3F63CB0C" w14:textId="77777777" w:rsidR="00BE61E8" w:rsidRPr="00D35073" w:rsidRDefault="00BE61E8" w:rsidP="00C35410">
            <w:pPr>
              <w:tabs>
                <w:tab w:val="left" w:pos="540"/>
                <w:tab w:val="left" w:pos="569"/>
              </w:tabs>
              <w:jc w:val="both"/>
              <w:rPr>
                <w:sz w:val="22"/>
                <w:szCs w:val="22"/>
                <w:lang w:val="sr-Latn-ME"/>
              </w:rPr>
            </w:pPr>
          </w:p>
          <w:p w14:paraId="72715E74"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rijetko</w:t>
            </w:r>
          </w:p>
          <w:p w14:paraId="024172D8" w14:textId="77777777" w:rsidR="00BE61E8" w:rsidRPr="00D35073" w:rsidRDefault="00BE61E8" w:rsidP="00C35410">
            <w:pPr>
              <w:tabs>
                <w:tab w:val="left" w:pos="540"/>
                <w:tab w:val="left" w:pos="569"/>
              </w:tabs>
              <w:jc w:val="both"/>
              <w:rPr>
                <w:sz w:val="22"/>
                <w:szCs w:val="22"/>
                <w:lang w:val="sr-Latn-ME"/>
              </w:rPr>
            </w:pPr>
          </w:p>
          <w:p w14:paraId="5A40B61A"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rijetko</w:t>
            </w:r>
          </w:p>
          <w:p w14:paraId="1540E2B3" w14:textId="77777777" w:rsidR="00A82E91" w:rsidRPr="00D35073" w:rsidRDefault="00A82E91" w:rsidP="00C35410">
            <w:pPr>
              <w:tabs>
                <w:tab w:val="left" w:pos="540"/>
                <w:tab w:val="left" w:pos="569"/>
              </w:tabs>
              <w:jc w:val="both"/>
              <w:rPr>
                <w:sz w:val="22"/>
                <w:szCs w:val="22"/>
                <w:lang w:val="sr-Latn-ME"/>
              </w:rPr>
            </w:pPr>
            <w:r w:rsidRPr="00D35073">
              <w:rPr>
                <w:sz w:val="22"/>
                <w:szCs w:val="22"/>
                <w:lang w:val="sr-Latn-ME"/>
              </w:rPr>
              <w:lastRenderedPageBreak/>
              <w:t>rijetko</w:t>
            </w:r>
          </w:p>
          <w:p w14:paraId="23DF6EC2" w14:textId="6C629406" w:rsidR="00A82E91" w:rsidRPr="00D35073" w:rsidRDefault="00A82E91" w:rsidP="00C35410">
            <w:pPr>
              <w:tabs>
                <w:tab w:val="left" w:pos="540"/>
                <w:tab w:val="left" w:pos="569"/>
              </w:tabs>
              <w:jc w:val="both"/>
              <w:rPr>
                <w:sz w:val="22"/>
                <w:szCs w:val="22"/>
                <w:lang w:val="sr-Latn-ME"/>
              </w:rPr>
            </w:pPr>
            <w:r w:rsidRPr="00D35073">
              <w:rPr>
                <w:sz w:val="22"/>
                <w:szCs w:val="22"/>
                <w:lang w:val="sr-Latn-ME"/>
              </w:rPr>
              <w:t>rijetko</w:t>
            </w:r>
          </w:p>
        </w:tc>
        <w:tc>
          <w:tcPr>
            <w:tcW w:w="2266" w:type="dxa"/>
          </w:tcPr>
          <w:p w14:paraId="4DA8DB59"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lastRenderedPageBreak/>
              <w:t>često</w:t>
            </w:r>
          </w:p>
          <w:p w14:paraId="61F3D220" w14:textId="77777777" w:rsidR="00BE61E8" w:rsidRPr="00D35073" w:rsidRDefault="00BE61E8" w:rsidP="00C35410">
            <w:pPr>
              <w:tabs>
                <w:tab w:val="left" w:pos="540"/>
                <w:tab w:val="left" w:pos="569"/>
              </w:tabs>
              <w:jc w:val="both"/>
              <w:rPr>
                <w:sz w:val="22"/>
                <w:szCs w:val="22"/>
                <w:lang w:val="sr-Latn-ME"/>
              </w:rPr>
            </w:pPr>
          </w:p>
          <w:p w14:paraId="61D10BEF" w14:textId="57DF455A" w:rsidR="00BE61E8" w:rsidRPr="00D35073" w:rsidRDefault="00A82E91" w:rsidP="00C35410">
            <w:pPr>
              <w:tabs>
                <w:tab w:val="left" w:pos="540"/>
                <w:tab w:val="left" w:pos="569"/>
              </w:tabs>
              <w:jc w:val="both"/>
              <w:rPr>
                <w:sz w:val="22"/>
                <w:szCs w:val="22"/>
                <w:lang w:val="sr-Latn-ME"/>
              </w:rPr>
            </w:pPr>
            <w:r w:rsidRPr="00D35073">
              <w:rPr>
                <w:sz w:val="22"/>
                <w:szCs w:val="22"/>
                <w:lang w:val="sr-Latn-ME"/>
              </w:rPr>
              <w:t>povremeno</w:t>
            </w:r>
          </w:p>
          <w:p w14:paraId="2BC3C8C3" w14:textId="77777777" w:rsidR="00BE61E8" w:rsidRPr="00D35073" w:rsidRDefault="00BE61E8" w:rsidP="00C35410">
            <w:pPr>
              <w:tabs>
                <w:tab w:val="left" w:pos="540"/>
                <w:tab w:val="left" w:pos="569"/>
              </w:tabs>
              <w:jc w:val="both"/>
              <w:rPr>
                <w:sz w:val="22"/>
                <w:szCs w:val="22"/>
                <w:lang w:val="sr-Latn-ME"/>
              </w:rPr>
            </w:pPr>
          </w:p>
          <w:p w14:paraId="58597775" w14:textId="77777777" w:rsidR="00BE61E8" w:rsidRPr="00D35073" w:rsidRDefault="00A82E91" w:rsidP="00C35410">
            <w:pPr>
              <w:tabs>
                <w:tab w:val="left" w:pos="540"/>
                <w:tab w:val="left" w:pos="569"/>
              </w:tabs>
              <w:jc w:val="both"/>
              <w:rPr>
                <w:sz w:val="22"/>
                <w:szCs w:val="22"/>
                <w:lang w:val="sr-Latn-ME"/>
              </w:rPr>
            </w:pPr>
            <w:r w:rsidRPr="00D35073">
              <w:rPr>
                <w:sz w:val="22"/>
                <w:szCs w:val="22"/>
                <w:lang w:val="sr-Latn-ME"/>
              </w:rPr>
              <w:t>povremeno</w:t>
            </w:r>
          </w:p>
          <w:p w14:paraId="510BD18E" w14:textId="77777777" w:rsidR="00A82E91" w:rsidRPr="00D35073" w:rsidRDefault="00A82E91" w:rsidP="00C35410">
            <w:pPr>
              <w:tabs>
                <w:tab w:val="left" w:pos="540"/>
                <w:tab w:val="left" w:pos="569"/>
              </w:tabs>
              <w:jc w:val="both"/>
              <w:rPr>
                <w:sz w:val="22"/>
                <w:szCs w:val="22"/>
                <w:lang w:val="sr-Latn-ME"/>
              </w:rPr>
            </w:pPr>
            <w:r w:rsidRPr="00D35073">
              <w:rPr>
                <w:sz w:val="22"/>
                <w:szCs w:val="22"/>
                <w:lang w:val="sr-Latn-ME"/>
              </w:rPr>
              <w:lastRenderedPageBreak/>
              <w:t>povremeno</w:t>
            </w:r>
          </w:p>
          <w:p w14:paraId="10F99AC3" w14:textId="1341C2FE" w:rsidR="00A82E91" w:rsidRPr="00D35073" w:rsidRDefault="00A82E91" w:rsidP="00C35410">
            <w:pPr>
              <w:tabs>
                <w:tab w:val="left" w:pos="540"/>
                <w:tab w:val="left" w:pos="569"/>
              </w:tabs>
              <w:jc w:val="both"/>
              <w:rPr>
                <w:sz w:val="22"/>
                <w:szCs w:val="22"/>
                <w:lang w:val="sr-Latn-ME"/>
              </w:rPr>
            </w:pPr>
            <w:r w:rsidRPr="00D35073">
              <w:rPr>
                <w:sz w:val="22"/>
                <w:szCs w:val="22"/>
                <w:lang w:val="sr-Latn-ME"/>
              </w:rPr>
              <w:t xml:space="preserve">povremeno </w:t>
            </w:r>
          </w:p>
        </w:tc>
      </w:tr>
    </w:tbl>
    <w:p w14:paraId="54B4B372" w14:textId="77777777" w:rsidR="000A688B" w:rsidRPr="00D35073" w:rsidRDefault="00BE61E8" w:rsidP="00C35410">
      <w:pPr>
        <w:tabs>
          <w:tab w:val="left" w:pos="540"/>
          <w:tab w:val="left" w:pos="569"/>
        </w:tabs>
        <w:jc w:val="both"/>
        <w:rPr>
          <w:sz w:val="22"/>
          <w:szCs w:val="22"/>
          <w:lang w:val="sr-Latn-ME"/>
        </w:rPr>
      </w:pPr>
      <w:r w:rsidRPr="00D35073">
        <w:rPr>
          <w:sz w:val="22"/>
          <w:szCs w:val="22"/>
          <w:lang w:val="sr-Latn-ME"/>
        </w:rPr>
        <w:lastRenderedPageBreak/>
        <w:t xml:space="preserve">Sljedeći neželjeni efekti prijavljeni su tokom vremena primjene lijeka Cutaquig nakon odobrenja. </w:t>
      </w:r>
    </w:p>
    <w:p w14:paraId="4D525A9F" w14:textId="78E3C2CA" w:rsidR="00BE61E8" w:rsidRPr="00D35073" w:rsidRDefault="00BE61E8" w:rsidP="00C35410">
      <w:pPr>
        <w:tabs>
          <w:tab w:val="left" w:pos="540"/>
          <w:tab w:val="left" w:pos="569"/>
        </w:tabs>
        <w:jc w:val="both"/>
        <w:rPr>
          <w:sz w:val="22"/>
          <w:szCs w:val="22"/>
          <w:lang w:val="sr-Latn-ME"/>
        </w:rPr>
      </w:pPr>
      <w:r w:rsidRPr="00D35073">
        <w:rPr>
          <w:sz w:val="22"/>
          <w:szCs w:val="22"/>
          <w:lang w:val="sr-Latn-ME"/>
        </w:rPr>
        <w:t xml:space="preserve">S obzirom na to da se neželjeni efekti dobrovoljno prijavljuju iz populacije na neodređeno vrijeme, nije uvijek moguće pouzdano procijeniti njihovu učestalost ili utvrditi uzročno-posljedičnu vezu nakon izloženosti lijeku. </w:t>
      </w:r>
    </w:p>
    <w:p w14:paraId="516AFEFB" w14:textId="5086BB43" w:rsidR="00930A8A" w:rsidRPr="00D35073" w:rsidRDefault="00930A8A" w:rsidP="00C35410">
      <w:pPr>
        <w:tabs>
          <w:tab w:val="left" w:pos="540"/>
          <w:tab w:val="left" w:pos="569"/>
        </w:tabs>
        <w:jc w:val="both"/>
        <w:rPr>
          <w:sz w:val="22"/>
          <w:szCs w:val="22"/>
          <w:lang w:val="sr-Latn-ME"/>
        </w:rPr>
      </w:pPr>
      <w:r w:rsidRPr="00D35073">
        <w:rPr>
          <w:sz w:val="22"/>
          <w:szCs w:val="22"/>
          <w:lang w:val="sr-Latn-ME"/>
        </w:rPr>
        <w:t>Ova lista ne uključuje reakcije koje su već prijavljene u kliničkim ispitivanjima sa Cutaquigom</w:t>
      </w:r>
    </w:p>
    <w:p w14:paraId="6B6B558F" w14:textId="77777777" w:rsidR="00BE61E8" w:rsidRPr="00D35073" w:rsidRDefault="00BE61E8" w:rsidP="00C35410">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4531"/>
        <w:gridCol w:w="4532"/>
      </w:tblGrid>
      <w:tr w:rsidR="00BE61E8" w:rsidRPr="00D35073" w14:paraId="1BF26E71" w14:textId="77777777" w:rsidTr="007105B9">
        <w:tc>
          <w:tcPr>
            <w:tcW w:w="4531" w:type="dxa"/>
          </w:tcPr>
          <w:p w14:paraId="0FBE39F3" w14:textId="77777777" w:rsidR="00BE61E8" w:rsidRPr="00D35073" w:rsidRDefault="00BE61E8" w:rsidP="00C35410">
            <w:pPr>
              <w:tabs>
                <w:tab w:val="left" w:pos="540"/>
                <w:tab w:val="left" w:pos="569"/>
              </w:tabs>
              <w:jc w:val="both"/>
              <w:rPr>
                <w:b/>
                <w:bCs/>
                <w:sz w:val="22"/>
                <w:szCs w:val="22"/>
                <w:lang w:val="sr-Latn-ME"/>
              </w:rPr>
            </w:pPr>
            <w:r w:rsidRPr="00D35073">
              <w:rPr>
                <w:b/>
                <w:bCs/>
                <w:sz w:val="22"/>
                <w:szCs w:val="22"/>
                <w:lang w:val="sr-Latn-ME"/>
              </w:rPr>
              <w:t>MedDRAklasifikacija organskih sastava (SOC) prema nizu:</w:t>
            </w:r>
          </w:p>
        </w:tc>
        <w:tc>
          <w:tcPr>
            <w:tcW w:w="4532" w:type="dxa"/>
          </w:tcPr>
          <w:p w14:paraId="0FC1E171" w14:textId="77777777" w:rsidR="00BE61E8" w:rsidRPr="00D35073" w:rsidRDefault="00BE61E8" w:rsidP="00C35410">
            <w:pPr>
              <w:tabs>
                <w:tab w:val="left" w:pos="540"/>
                <w:tab w:val="left" w:pos="569"/>
              </w:tabs>
              <w:jc w:val="both"/>
              <w:rPr>
                <w:b/>
                <w:bCs/>
                <w:sz w:val="22"/>
                <w:szCs w:val="22"/>
                <w:lang w:val="sr-Latn-ME"/>
              </w:rPr>
            </w:pPr>
            <w:r w:rsidRPr="00D35073">
              <w:rPr>
                <w:b/>
                <w:bCs/>
                <w:sz w:val="22"/>
                <w:szCs w:val="22"/>
                <w:lang w:val="sr-Latn-ME"/>
              </w:rPr>
              <w:t>Nezeljeni efekti (PT)</w:t>
            </w:r>
          </w:p>
        </w:tc>
      </w:tr>
      <w:tr w:rsidR="00BE61E8" w:rsidRPr="00D35073" w14:paraId="5D21E996" w14:textId="77777777" w:rsidTr="007105B9">
        <w:tc>
          <w:tcPr>
            <w:tcW w:w="4531" w:type="dxa"/>
          </w:tcPr>
          <w:p w14:paraId="3E8395FB" w14:textId="0A65FD26" w:rsidR="00BE61E8" w:rsidRPr="00D35073" w:rsidRDefault="00A16DF7" w:rsidP="00C35410">
            <w:pPr>
              <w:tabs>
                <w:tab w:val="left" w:pos="540"/>
                <w:tab w:val="left" w:pos="569"/>
              </w:tabs>
              <w:jc w:val="both"/>
              <w:rPr>
                <w:sz w:val="22"/>
                <w:szCs w:val="22"/>
                <w:lang w:val="sr-Latn-ME"/>
              </w:rPr>
            </w:pPr>
            <w:r w:rsidRPr="00D35073">
              <w:rPr>
                <w:sz w:val="22"/>
                <w:szCs w:val="22"/>
                <w:lang w:val="sr-Latn-ME"/>
              </w:rPr>
              <w:t>Poremećaji  imunog sistema</w:t>
            </w:r>
          </w:p>
        </w:tc>
        <w:tc>
          <w:tcPr>
            <w:tcW w:w="4532" w:type="dxa"/>
          </w:tcPr>
          <w:p w14:paraId="591D891C" w14:textId="2A65ED01" w:rsidR="00BE61E8" w:rsidRPr="00D35073" w:rsidRDefault="00A16DF7" w:rsidP="00C35410">
            <w:pPr>
              <w:tabs>
                <w:tab w:val="left" w:pos="540"/>
                <w:tab w:val="left" w:pos="569"/>
              </w:tabs>
              <w:jc w:val="both"/>
              <w:rPr>
                <w:sz w:val="22"/>
                <w:szCs w:val="22"/>
                <w:lang w:val="sr-Latn-ME"/>
              </w:rPr>
            </w:pPr>
            <w:r w:rsidRPr="00D35073">
              <w:rPr>
                <w:sz w:val="22"/>
                <w:szCs w:val="22"/>
                <w:lang w:val="sr-Latn-ME"/>
              </w:rPr>
              <w:t>Hiperosjetljivost (npr. crvenilo, koprivnjača)</w:t>
            </w:r>
          </w:p>
        </w:tc>
      </w:tr>
      <w:tr w:rsidR="00BE61E8" w:rsidRPr="00D35073" w14:paraId="36606B3E" w14:textId="77777777" w:rsidTr="007105B9">
        <w:tc>
          <w:tcPr>
            <w:tcW w:w="4531" w:type="dxa"/>
          </w:tcPr>
          <w:p w14:paraId="790B0757" w14:textId="50CD6855" w:rsidR="00BE61E8" w:rsidRPr="00D35073" w:rsidRDefault="00A16DF7" w:rsidP="00C35410">
            <w:pPr>
              <w:tabs>
                <w:tab w:val="left" w:pos="540"/>
                <w:tab w:val="left" w:pos="569"/>
              </w:tabs>
              <w:jc w:val="both"/>
              <w:rPr>
                <w:sz w:val="22"/>
                <w:szCs w:val="22"/>
                <w:lang w:val="sr-Latn-ME"/>
              </w:rPr>
            </w:pPr>
            <w:r w:rsidRPr="00D35073">
              <w:rPr>
                <w:sz w:val="22"/>
                <w:szCs w:val="22"/>
                <w:lang w:val="sr-Latn-ME"/>
              </w:rPr>
              <w:t>Vaskularni poremećaji</w:t>
            </w:r>
          </w:p>
        </w:tc>
        <w:tc>
          <w:tcPr>
            <w:tcW w:w="4532" w:type="dxa"/>
          </w:tcPr>
          <w:p w14:paraId="37258B5E" w14:textId="2835D05B" w:rsidR="00BE61E8" w:rsidRPr="00D35073" w:rsidRDefault="00A16DF7" w:rsidP="00C35410">
            <w:pPr>
              <w:tabs>
                <w:tab w:val="left" w:pos="540"/>
                <w:tab w:val="left" w:pos="569"/>
              </w:tabs>
              <w:jc w:val="both"/>
              <w:rPr>
                <w:sz w:val="22"/>
                <w:szCs w:val="22"/>
                <w:lang w:val="sr-Latn-ME"/>
              </w:rPr>
            </w:pPr>
            <w:r w:rsidRPr="00D35073">
              <w:rPr>
                <w:sz w:val="22"/>
                <w:szCs w:val="22"/>
                <w:lang w:val="sr-Latn-ME"/>
              </w:rPr>
              <w:t>Tromboembolizam, tromboza (npr. duboka venska tromboza, cerebrovaskularna nezgoda), hipertenzija</w:t>
            </w:r>
          </w:p>
        </w:tc>
      </w:tr>
      <w:tr w:rsidR="00BE61E8" w:rsidRPr="00D35073" w14:paraId="6E646467" w14:textId="77777777" w:rsidTr="007105B9">
        <w:tc>
          <w:tcPr>
            <w:tcW w:w="4531" w:type="dxa"/>
          </w:tcPr>
          <w:p w14:paraId="2BFEF80D"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Poremećaji kože i potkožnog tkiva</w:t>
            </w:r>
          </w:p>
        </w:tc>
        <w:tc>
          <w:tcPr>
            <w:tcW w:w="4532" w:type="dxa"/>
          </w:tcPr>
          <w:p w14:paraId="6F7ECBFC" w14:textId="1C1A06A4" w:rsidR="00BE61E8" w:rsidRPr="00D35073" w:rsidRDefault="00A9779B" w:rsidP="00C35410">
            <w:pPr>
              <w:tabs>
                <w:tab w:val="left" w:pos="540"/>
                <w:tab w:val="left" w:pos="569"/>
              </w:tabs>
              <w:jc w:val="both"/>
              <w:rPr>
                <w:sz w:val="22"/>
                <w:szCs w:val="22"/>
                <w:lang w:val="sr-Latn-ME"/>
              </w:rPr>
            </w:pPr>
            <w:r w:rsidRPr="00D35073">
              <w:rPr>
                <w:sz w:val="22"/>
                <w:szCs w:val="22"/>
                <w:lang w:val="sr-Latn-ME"/>
              </w:rPr>
              <w:t>P</w:t>
            </w:r>
            <w:r w:rsidR="00BE61E8" w:rsidRPr="00D35073">
              <w:rPr>
                <w:sz w:val="22"/>
                <w:szCs w:val="22"/>
                <w:lang w:val="sr-Latn-ME"/>
              </w:rPr>
              <w:t>ruritis</w:t>
            </w:r>
          </w:p>
        </w:tc>
      </w:tr>
      <w:tr w:rsidR="00BE61E8" w:rsidRPr="00D35073" w14:paraId="6D5E9AE1" w14:textId="77777777" w:rsidTr="007105B9">
        <w:tc>
          <w:tcPr>
            <w:tcW w:w="4531" w:type="dxa"/>
          </w:tcPr>
          <w:p w14:paraId="1C6CA5F4" w14:textId="16A5F74B" w:rsidR="00BE61E8" w:rsidRPr="00D35073" w:rsidRDefault="00A16DF7" w:rsidP="00C35410">
            <w:pPr>
              <w:tabs>
                <w:tab w:val="left" w:pos="540"/>
                <w:tab w:val="left" w:pos="569"/>
              </w:tabs>
              <w:jc w:val="both"/>
              <w:rPr>
                <w:sz w:val="22"/>
                <w:szCs w:val="22"/>
                <w:lang w:val="sr-Latn-ME"/>
              </w:rPr>
            </w:pPr>
            <w:r w:rsidRPr="00D35073">
              <w:rPr>
                <w:sz w:val="22"/>
                <w:szCs w:val="22"/>
                <w:lang w:val="sr-Latn-ME"/>
              </w:rPr>
              <w:t>Poremećaji mišićno-skeletnog sistema i vezivnog tkiva</w:t>
            </w:r>
          </w:p>
        </w:tc>
        <w:tc>
          <w:tcPr>
            <w:tcW w:w="4532" w:type="dxa"/>
          </w:tcPr>
          <w:p w14:paraId="0F272FBA" w14:textId="0EEE73AE" w:rsidR="00BE61E8" w:rsidRPr="00D35073" w:rsidRDefault="00A16DF7" w:rsidP="00C35410">
            <w:pPr>
              <w:tabs>
                <w:tab w:val="left" w:pos="540"/>
                <w:tab w:val="left" w:pos="569"/>
              </w:tabs>
              <w:jc w:val="both"/>
              <w:rPr>
                <w:sz w:val="22"/>
                <w:szCs w:val="22"/>
                <w:lang w:val="sr-Latn-ME"/>
              </w:rPr>
            </w:pPr>
            <w:r w:rsidRPr="00D35073">
              <w:rPr>
                <w:sz w:val="22"/>
                <w:szCs w:val="22"/>
                <w:lang w:val="sr-Latn-ME"/>
              </w:rPr>
              <w:t>Bol  u ledjima</w:t>
            </w:r>
          </w:p>
        </w:tc>
      </w:tr>
    </w:tbl>
    <w:p w14:paraId="26583143" w14:textId="25C9AC86" w:rsidR="009532CD" w:rsidRPr="00D35073" w:rsidRDefault="009532CD" w:rsidP="00C35410">
      <w:pPr>
        <w:tabs>
          <w:tab w:val="left" w:pos="540"/>
          <w:tab w:val="left" w:pos="569"/>
        </w:tabs>
        <w:jc w:val="both"/>
        <w:rPr>
          <w:sz w:val="22"/>
          <w:szCs w:val="22"/>
          <w:lang w:val="sr-Latn-ME"/>
        </w:rPr>
      </w:pPr>
      <w:r w:rsidRPr="00D35073">
        <w:rPr>
          <w:sz w:val="22"/>
          <w:szCs w:val="22"/>
          <w:lang w:val="sr-Latn-ME"/>
        </w:rPr>
        <w:t>S</w:t>
      </w:r>
      <w:r w:rsidR="00AD73F5" w:rsidRPr="00D35073">
        <w:rPr>
          <w:sz w:val="22"/>
          <w:szCs w:val="22"/>
          <w:lang w:val="sr-Latn-ME"/>
        </w:rPr>
        <w:t>lj</w:t>
      </w:r>
      <w:r w:rsidRPr="00D35073">
        <w:rPr>
          <w:sz w:val="22"/>
          <w:szCs w:val="22"/>
          <w:lang w:val="sr-Latn-ME"/>
        </w:rPr>
        <w:t>edeća  dodatna  neželjena  dejstva  su prijavljena  tokom upotrebe supkutanih imunoglobulina nakon odobrenja: edem lica, tremor, bledilo, bronhospazam, dispneja, kašalj, dijareja, crvenilo, osjećaj vrućine, osjećaj hladnoće, astenija, bol na mjestu injekcije, stezanje grla, aseptič</w:t>
      </w:r>
      <w:r w:rsidR="000A7CAA" w:rsidRPr="00D35073">
        <w:rPr>
          <w:sz w:val="22"/>
          <w:szCs w:val="22"/>
          <w:lang w:val="sr-Latn-ME"/>
        </w:rPr>
        <w:t xml:space="preserve">ni </w:t>
      </w:r>
      <w:r w:rsidRPr="00D35073">
        <w:rPr>
          <w:sz w:val="22"/>
          <w:szCs w:val="22"/>
          <w:lang w:val="sr-Latn-ME"/>
        </w:rPr>
        <w:t xml:space="preserve"> meningitis.</w:t>
      </w:r>
    </w:p>
    <w:p w14:paraId="1E298913" w14:textId="77777777" w:rsidR="009532CD" w:rsidRPr="00D35073" w:rsidRDefault="009532CD" w:rsidP="00C35410">
      <w:pPr>
        <w:tabs>
          <w:tab w:val="left" w:pos="540"/>
          <w:tab w:val="left" w:pos="569"/>
        </w:tabs>
        <w:jc w:val="both"/>
        <w:rPr>
          <w:sz w:val="22"/>
          <w:szCs w:val="22"/>
          <w:lang w:val="sr-Latn-ME"/>
        </w:rPr>
      </w:pPr>
    </w:p>
    <w:p w14:paraId="7991C267" w14:textId="77777777" w:rsidR="00BE61E8" w:rsidRPr="00D35073" w:rsidRDefault="00BE61E8" w:rsidP="00C35410">
      <w:pPr>
        <w:tabs>
          <w:tab w:val="left" w:pos="540"/>
          <w:tab w:val="left" w:pos="569"/>
        </w:tabs>
        <w:jc w:val="both"/>
        <w:rPr>
          <w:sz w:val="22"/>
          <w:szCs w:val="22"/>
          <w:u w:val="single"/>
          <w:lang w:val="sr-Latn-ME"/>
        </w:rPr>
      </w:pPr>
      <w:r w:rsidRPr="00D35073">
        <w:rPr>
          <w:sz w:val="22"/>
          <w:szCs w:val="22"/>
          <w:u w:val="single"/>
          <w:lang w:val="sr-Latn-ME"/>
        </w:rPr>
        <w:t>Pedijatrijska populacija</w:t>
      </w:r>
    </w:p>
    <w:p w14:paraId="78C6DFB7" w14:textId="77777777" w:rsidR="00BE61E8" w:rsidRPr="00D35073" w:rsidRDefault="00BE61E8" w:rsidP="00C35410">
      <w:pPr>
        <w:tabs>
          <w:tab w:val="left" w:pos="540"/>
          <w:tab w:val="left" w:pos="569"/>
        </w:tabs>
        <w:jc w:val="both"/>
        <w:rPr>
          <w:sz w:val="22"/>
          <w:szCs w:val="22"/>
          <w:lang w:val="sr-Latn-ME"/>
        </w:rPr>
      </w:pPr>
      <w:r w:rsidRPr="00D35073">
        <w:rPr>
          <w:sz w:val="22"/>
          <w:szCs w:val="22"/>
          <w:lang w:val="sr-Latn-ME"/>
        </w:rPr>
        <w:t xml:space="preserve">Očekuje se da su učestalost, vrsta i ozbiljnost neželjenih efekata kod djece isti kao i kod odraslih. </w:t>
      </w:r>
    </w:p>
    <w:p w14:paraId="456A80D8" w14:textId="77777777" w:rsidR="00BE61E8" w:rsidRPr="00D35073" w:rsidRDefault="00BE61E8" w:rsidP="00C35410">
      <w:pPr>
        <w:tabs>
          <w:tab w:val="left" w:pos="540"/>
          <w:tab w:val="left" w:pos="569"/>
        </w:tabs>
        <w:jc w:val="both"/>
        <w:rPr>
          <w:b/>
          <w:bCs/>
          <w:sz w:val="22"/>
          <w:szCs w:val="22"/>
          <w:lang w:val="sr-Latn-ME"/>
        </w:rPr>
      </w:pPr>
    </w:p>
    <w:p w14:paraId="1E7F31FE" w14:textId="77777777" w:rsidR="00AD73F5" w:rsidRPr="00D35073" w:rsidRDefault="005A23D2" w:rsidP="00C35410">
      <w:pPr>
        <w:spacing w:after="200" w:line="276" w:lineRule="auto"/>
        <w:jc w:val="both"/>
        <w:rPr>
          <w:rFonts w:eastAsia="Calibri"/>
          <w:sz w:val="22"/>
          <w:szCs w:val="22"/>
          <w:u w:val="single"/>
          <w:lang w:val="sr-Latn-ME"/>
        </w:rPr>
      </w:pPr>
      <w:r w:rsidRPr="00D35073">
        <w:rPr>
          <w:rFonts w:eastAsia="Calibri"/>
          <w:sz w:val="22"/>
          <w:szCs w:val="22"/>
          <w:u w:val="single"/>
          <w:lang w:val="sr-Latn-ME"/>
        </w:rPr>
        <w:t>Prijavljivanje sumnji na neželjena dejstva</w:t>
      </w:r>
    </w:p>
    <w:p w14:paraId="36202A7B" w14:textId="0657F07A" w:rsidR="005A23D2" w:rsidRPr="00D35073" w:rsidRDefault="005A23D2" w:rsidP="00C35410">
      <w:pPr>
        <w:spacing w:after="200" w:line="276" w:lineRule="auto"/>
        <w:jc w:val="both"/>
        <w:rPr>
          <w:rFonts w:eastAsia="Calibri"/>
          <w:sz w:val="22"/>
          <w:szCs w:val="22"/>
          <w:u w:val="single"/>
          <w:lang w:val="sr-Latn-ME"/>
        </w:rPr>
      </w:pPr>
      <w:r w:rsidRPr="00D35073">
        <w:rPr>
          <w:rFonts w:eastAsia="Calibri"/>
          <w:sz w:val="22"/>
          <w:szCs w:val="22"/>
          <w:lang w:val="sr-Latn-ME"/>
        </w:rPr>
        <w:t>Prijavljivanje neželjenih dejstava nakon dobijanja dozvole</w:t>
      </w:r>
      <w:r w:rsidR="0028663A" w:rsidRPr="00D35073">
        <w:rPr>
          <w:rFonts w:eastAsia="Calibri"/>
          <w:sz w:val="22"/>
          <w:szCs w:val="22"/>
          <w:lang w:val="sr-Latn-ME"/>
        </w:rPr>
        <w:t xml:space="preserve"> za lijek</w:t>
      </w:r>
      <w:r w:rsidRPr="00D35073">
        <w:rPr>
          <w:rFonts w:eastAsia="Calibri"/>
          <w:sz w:val="22"/>
          <w:szCs w:val="22"/>
          <w:lang w:val="sr-Latn-ME"/>
        </w:rPr>
        <w:t xml:space="preserve"> je od velikog značaja jer obezbjeđuje kont</w:t>
      </w:r>
      <w:r w:rsidR="00EA5765" w:rsidRPr="00D35073">
        <w:rPr>
          <w:rFonts w:eastAsia="Calibri"/>
          <w:sz w:val="22"/>
          <w:szCs w:val="22"/>
          <w:lang w:val="sr-Latn-ME"/>
        </w:rPr>
        <w:t>inuirano praćenje odnosa korist</w:t>
      </w:r>
      <w:r w:rsidRPr="00D35073">
        <w:rPr>
          <w:rFonts w:eastAsia="Calibri"/>
          <w:sz w:val="22"/>
          <w:szCs w:val="22"/>
          <w:lang w:val="sr-Latn-ME"/>
        </w:rPr>
        <w:t>/rizik primjene lijeka. Zdravstveni radnici treba da prijave svaku sumnju na neželjeno</w:t>
      </w:r>
      <w:r w:rsidR="009B062A" w:rsidRPr="00D35073">
        <w:rPr>
          <w:rFonts w:eastAsia="Calibri"/>
          <w:sz w:val="22"/>
          <w:szCs w:val="22"/>
          <w:lang w:val="sr-Latn-ME"/>
        </w:rPr>
        <w:t xml:space="preserve"> </w:t>
      </w:r>
      <w:r w:rsidRPr="00D35073">
        <w:rPr>
          <w:rFonts w:eastAsia="Calibri"/>
          <w:sz w:val="22"/>
          <w:szCs w:val="22"/>
          <w:lang w:val="sr-Latn-ME"/>
        </w:rPr>
        <w:t xml:space="preserve">dejstvo ovog lijeka </w:t>
      </w:r>
      <w:r w:rsidR="004E70AD" w:rsidRPr="00D35073">
        <w:rPr>
          <w:rFonts w:eastAsia="Calibri"/>
          <w:sz w:val="22"/>
          <w:szCs w:val="22"/>
          <w:lang w:val="sr-Latn-ME"/>
        </w:rPr>
        <w:t>Institutu</w:t>
      </w:r>
      <w:r w:rsidRPr="00D35073">
        <w:rPr>
          <w:rFonts w:eastAsia="Calibri"/>
          <w:sz w:val="22"/>
          <w:szCs w:val="22"/>
          <w:lang w:val="sr-Latn-ME"/>
        </w:rPr>
        <w:t xml:space="preserve"> za ljekove i medicinska sredstva</w:t>
      </w:r>
      <w:r w:rsidR="004E70AD" w:rsidRPr="00D35073">
        <w:rPr>
          <w:rFonts w:eastAsia="Calibri"/>
          <w:sz w:val="22"/>
          <w:szCs w:val="22"/>
          <w:lang w:val="sr-Latn-ME"/>
        </w:rPr>
        <w:t xml:space="preserve"> </w:t>
      </w:r>
      <w:r w:rsidRPr="00D35073">
        <w:rPr>
          <w:rFonts w:eastAsia="Calibri"/>
          <w:sz w:val="22"/>
          <w:szCs w:val="22"/>
          <w:lang w:val="sr-Latn-ME"/>
        </w:rPr>
        <w:t>(</w:t>
      </w:r>
      <w:r w:rsidR="004E70AD" w:rsidRPr="00D35073">
        <w:rPr>
          <w:rFonts w:eastAsia="Calibri"/>
          <w:sz w:val="22"/>
          <w:szCs w:val="22"/>
          <w:lang w:val="sr-Latn-ME"/>
        </w:rPr>
        <w:t>CInMED</w:t>
      </w:r>
      <w:r w:rsidRPr="00D35073">
        <w:rPr>
          <w:rFonts w:eastAsia="Calibri"/>
          <w:sz w:val="22"/>
          <w:szCs w:val="22"/>
          <w:lang w:val="sr-Latn-ME"/>
        </w:rPr>
        <w:t>):</w:t>
      </w:r>
    </w:p>
    <w:p w14:paraId="0B0A72A0" w14:textId="77777777" w:rsidR="005A23D2" w:rsidRPr="00D35073" w:rsidRDefault="004E70AD" w:rsidP="0028663A">
      <w:pPr>
        <w:pStyle w:val="NoSpacing"/>
        <w:jc w:val="both"/>
        <w:rPr>
          <w:rFonts w:eastAsia="Calibri"/>
          <w:sz w:val="22"/>
          <w:szCs w:val="22"/>
          <w:lang w:val="sr-Latn-ME"/>
        </w:rPr>
      </w:pPr>
      <w:r w:rsidRPr="00D35073">
        <w:rPr>
          <w:rFonts w:eastAsia="Calibri"/>
          <w:sz w:val="22"/>
          <w:szCs w:val="22"/>
          <w:lang w:val="sr-Latn-ME"/>
        </w:rPr>
        <w:t xml:space="preserve">Institut </w:t>
      </w:r>
      <w:r w:rsidR="005A23D2" w:rsidRPr="00D35073">
        <w:rPr>
          <w:rFonts w:eastAsia="Calibri"/>
          <w:sz w:val="22"/>
          <w:szCs w:val="22"/>
          <w:lang w:val="sr-Latn-ME"/>
        </w:rPr>
        <w:t xml:space="preserve">za ljekove i medicinska sredstva </w:t>
      </w:r>
    </w:p>
    <w:p w14:paraId="2ADC119C" w14:textId="77777777" w:rsidR="005A23D2" w:rsidRPr="00D35073" w:rsidRDefault="005A23D2">
      <w:pPr>
        <w:pStyle w:val="NoSpacing"/>
        <w:jc w:val="both"/>
        <w:rPr>
          <w:rFonts w:eastAsia="Calibri"/>
          <w:sz w:val="22"/>
          <w:szCs w:val="22"/>
          <w:lang w:val="sr-Latn-ME"/>
        </w:rPr>
      </w:pPr>
      <w:r w:rsidRPr="00D35073">
        <w:rPr>
          <w:rFonts w:eastAsia="Calibri"/>
          <w:sz w:val="22"/>
          <w:szCs w:val="22"/>
          <w:lang w:val="sr-Latn-ME"/>
        </w:rPr>
        <w:t>Odjeljenje za farmakovigilancu</w:t>
      </w:r>
    </w:p>
    <w:p w14:paraId="579C4AF6" w14:textId="77777777" w:rsidR="00EA5765" w:rsidRPr="00D35073" w:rsidRDefault="005A23D2">
      <w:pPr>
        <w:pStyle w:val="NoSpacing"/>
        <w:jc w:val="both"/>
        <w:rPr>
          <w:rFonts w:eastAsia="Calibri"/>
          <w:sz w:val="22"/>
          <w:szCs w:val="22"/>
          <w:lang w:val="sr-Latn-ME"/>
        </w:rPr>
      </w:pPr>
      <w:r w:rsidRPr="00D35073">
        <w:rPr>
          <w:rFonts w:eastAsia="Calibri"/>
          <w:sz w:val="22"/>
          <w:szCs w:val="22"/>
          <w:lang w:val="sr-Latn-ME"/>
        </w:rPr>
        <w:t>Bulevar Ivana Crnojevića 64a, 81000 Podgorica</w:t>
      </w:r>
    </w:p>
    <w:p w14:paraId="21F4AF89" w14:textId="77777777" w:rsidR="00EA5765" w:rsidRPr="00D35073" w:rsidRDefault="00EA5765" w:rsidP="00C35410">
      <w:pPr>
        <w:pStyle w:val="NoSpacing"/>
        <w:jc w:val="both"/>
        <w:rPr>
          <w:rFonts w:eastAsia="Calibri"/>
          <w:sz w:val="22"/>
          <w:szCs w:val="22"/>
          <w:lang w:val="sr-Latn-ME"/>
        </w:rPr>
      </w:pPr>
    </w:p>
    <w:p w14:paraId="42FEF163" w14:textId="77777777" w:rsidR="005A23D2" w:rsidRPr="00D35073" w:rsidRDefault="005A23D2" w:rsidP="0028663A">
      <w:pPr>
        <w:pStyle w:val="NoSpacing"/>
        <w:jc w:val="both"/>
        <w:rPr>
          <w:rFonts w:eastAsia="Calibri"/>
          <w:sz w:val="22"/>
          <w:szCs w:val="22"/>
          <w:lang w:val="sr-Latn-ME"/>
        </w:rPr>
      </w:pPr>
      <w:r w:rsidRPr="00D35073">
        <w:rPr>
          <w:rFonts w:eastAsia="Calibri"/>
          <w:sz w:val="22"/>
          <w:szCs w:val="22"/>
          <w:lang w:val="sr-Latn-ME"/>
        </w:rPr>
        <w:t>tel: +382 (0) 20 310 280</w:t>
      </w:r>
    </w:p>
    <w:p w14:paraId="497F3BE8" w14:textId="77777777" w:rsidR="00EA5765" w:rsidRPr="00D35073" w:rsidRDefault="005A23D2">
      <w:pPr>
        <w:pStyle w:val="NoSpacing"/>
        <w:tabs>
          <w:tab w:val="left" w:pos="6720"/>
        </w:tabs>
        <w:jc w:val="both"/>
        <w:rPr>
          <w:rFonts w:eastAsia="Calibri"/>
          <w:sz w:val="22"/>
          <w:szCs w:val="22"/>
          <w:lang w:val="sr-Latn-ME"/>
        </w:rPr>
      </w:pPr>
      <w:r w:rsidRPr="00D35073">
        <w:rPr>
          <w:rFonts w:eastAsia="Calibri"/>
          <w:sz w:val="22"/>
          <w:szCs w:val="22"/>
          <w:lang w:val="sr-Latn-ME"/>
        </w:rPr>
        <w:t>fax:</w:t>
      </w:r>
      <w:r w:rsidR="00EA5765" w:rsidRPr="00D35073">
        <w:rPr>
          <w:rFonts w:eastAsia="Calibri"/>
          <w:sz w:val="22"/>
          <w:szCs w:val="22"/>
          <w:lang w:val="sr-Latn-ME"/>
        </w:rPr>
        <w:t xml:space="preserve"> </w:t>
      </w:r>
      <w:r w:rsidRPr="00D35073">
        <w:rPr>
          <w:rFonts w:eastAsia="Calibri"/>
          <w:sz w:val="22"/>
          <w:szCs w:val="22"/>
          <w:lang w:val="sr-Latn-ME"/>
        </w:rPr>
        <w:t>+382 (0) 20 310 581</w:t>
      </w:r>
      <w:r w:rsidR="00FF3EDF" w:rsidRPr="00D35073">
        <w:rPr>
          <w:rFonts w:eastAsia="Calibri"/>
          <w:sz w:val="22"/>
          <w:szCs w:val="22"/>
          <w:lang w:val="sr-Latn-ME"/>
        </w:rPr>
        <w:tab/>
      </w:r>
    </w:p>
    <w:p w14:paraId="3129FE10" w14:textId="77777777" w:rsidR="005A23D2" w:rsidRPr="00D35073" w:rsidRDefault="00CA7484">
      <w:pPr>
        <w:pStyle w:val="NoSpacing"/>
        <w:jc w:val="both"/>
        <w:rPr>
          <w:rFonts w:eastAsia="Calibri"/>
          <w:sz w:val="22"/>
          <w:szCs w:val="22"/>
          <w:lang w:val="sr-Latn-ME"/>
        </w:rPr>
      </w:pPr>
      <w:hyperlink r:id="rId9" w:history="1">
        <w:r w:rsidR="004E70AD" w:rsidRPr="00D35073">
          <w:rPr>
            <w:rStyle w:val="Hyperlink"/>
            <w:rFonts w:eastAsia="Calibri"/>
            <w:sz w:val="22"/>
            <w:szCs w:val="22"/>
            <w:lang w:val="sr-Latn-ME"/>
          </w:rPr>
          <w:t>www.cinmed.me</w:t>
        </w:r>
      </w:hyperlink>
    </w:p>
    <w:p w14:paraId="330469EE" w14:textId="77777777" w:rsidR="00EA5765" w:rsidRPr="00D35073" w:rsidRDefault="00CA7484">
      <w:pPr>
        <w:pStyle w:val="NoSpacing"/>
        <w:jc w:val="both"/>
        <w:rPr>
          <w:rFonts w:eastAsia="Calibri"/>
          <w:color w:val="0000FF"/>
          <w:sz w:val="22"/>
          <w:szCs w:val="22"/>
          <w:u w:val="single"/>
          <w:lang w:val="sr-Latn-ME"/>
        </w:rPr>
      </w:pPr>
      <w:hyperlink r:id="rId10" w:history="1">
        <w:r w:rsidR="004E70AD" w:rsidRPr="00D35073">
          <w:rPr>
            <w:rStyle w:val="Hyperlink"/>
            <w:rFonts w:eastAsia="Calibri"/>
            <w:sz w:val="22"/>
            <w:szCs w:val="22"/>
            <w:lang w:val="sr-Latn-ME"/>
          </w:rPr>
          <w:t>nezeljenadejstva@cinmed.me</w:t>
        </w:r>
      </w:hyperlink>
    </w:p>
    <w:p w14:paraId="4B609931" w14:textId="77777777" w:rsidR="005A23D2" w:rsidRPr="00D35073" w:rsidRDefault="005A23D2">
      <w:pPr>
        <w:pStyle w:val="NoSpacing"/>
        <w:jc w:val="both"/>
        <w:rPr>
          <w:rFonts w:eastAsia="Calibri"/>
          <w:sz w:val="22"/>
          <w:szCs w:val="22"/>
          <w:lang w:val="sr-Latn-ME"/>
        </w:rPr>
      </w:pPr>
      <w:r w:rsidRPr="00D35073">
        <w:rPr>
          <w:rFonts w:eastAsia="Calibri"/>
          <w:sz w:val="22"/>
          <w:szCs w:val="22"/>
          <w:lang w:val="sr-Latn-ME"/>
        </w:rPr>
        <w:t>putem IS zdravstvene zaštite</w:t>
      </w:r>
    </w:p>
    <w:p w14:paraId="53E1BC73" w14:textId="77777777" w:rsidR="007E31E9" w:rsidRPr="00D35073" w:rsidRDefault="007E31E9">
      <w:pPr>
        <w:pStyle w:val="NoSpacing"/>
        <w:jc w:val="both"/>
        <w:rPr>
          <w:rFonts w:eastAsia="Calibri"/>
          <w:sz w:val="22"/>
          <w:szCs w:val="22"/>
          <w:lang w:val="sr-Latn-ME"/>
        </w:rPr>
      </w:pPr>
      <w:r w:rsidRPr="00D35073">
        <w:rPr>
          <w:rFonts w:eastAsia="Calibri"/>
          <w:sz w:val="22"/>
          <w:szCs w:val="22"/>
          <w:lang w:val="sr-Latn-ME"/>
        </w:rPr>
        <w:t>QR kod za online prijavu</w:t>
      </w:r>
      <w:r w:rsidR="00D74CD2" w:rsidRPr="00D35073">
        <w:rPr>
          <w:rFonts w:eastAsia="Calibri"/>
          <w:sz w:val="22"/>
          <w:szCs w:val="22"/>
          <w:lang w:val="sr-Latn-ME"/>
        </w:rPr>
        <w:t xml:space="preserve"> sumnje na neželjeno dejstvo lijeka</w:t>
      </w:r>
      <w:r w:rsidRPr="00D35073">
        <w:rPr>
          <w:rFonts w:eastAsia="Calibri"/>
          <w:sz w:val="22"/>
          <w:szCs w:val="22"/>
          <w:lang w:val="sr-Latn-ME"/>
        </w:rPr>
        <w:t>:</w:t>
      </w:r>
    </w:p>
    <w:p w14:paraId="160764D7" w14:textId="77777777" w:rsidR="007E31E9" w:rsidRPr="00D35073" w:rsidRDefault="007E31E9">
      <w:pPr>
        <w:pStyle w:val="NoSpacing"/>
        <w:jc w:val="both"/>
        <w:rPr>
          <w:rFonts w:eastAsia="Calibri"/>
          <w:sz w:val="22"/>
          <w:szCs w:val="22"/>
          <w:lang w:val="sr-Latn-ME"/>
        </w:rPr>
      </w:pPr>
    </w:p>
    <w:p w14:paraId="34B45683" w14:textId="77777777" w:rsidR="004F17E2" w:rsidRPr="00D35073" w:rsidRDefault="007E31E9" w:rsidP="00C35410">
      <w:pPr>
        <w:pStyle w:val="NoSpacing"/>
        <w:jc w:val="both"/>
        <w:rPr>
          <w:rFonts w:eastAsia="Calibri"/>
          <w:sz w:val="22"/>
          <w:szCs w:val="22"/>
          <w:lang w:val="sr-Latn-ME"/>
        </w:rPr>
      </w:pPr>
      <w:r w:rsidRPr="00D35073">
        <w:rPr>
          <w:noProof/>
          <w:lang w:val="sr-Latn-ME"/>
        </w:rPr>
        <w:drawing>
          <wp:inline distT="0" distB="0" distL="0" distR="0" wp14:anchorId="4A7443C5" wp14:editId="6958AACA">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567A13B" w14:textId="77777777" w:rsidR="00836B35" w:rsidRPr="00D35073" w:rsidRDefault="00836B35" w:rsidP="00C35410">
      <w:pPr>
        <w:tabs>
          <w:tab w:val="left" w:pos="540"/>
          <w:tab w:val="left" w:pos="569"/>
        </w:tabs>
        <w:jc w:val="both"/>
        <w:rPr>
          <w:b/>
          <w:bCs/>
          <w:sz w:val="22"/>
          <w:szCs w:val="22"/>
          <w:lang w:val="sr-Latn-ME"/>
        </w:rPr>
      </w:pPr>
    </w:p>
    <w:p w14:paraId="3B27145A" w14:textId="77777777" w:rsidR="00AD73F5" w:rsidRPr="00D35073" w:rsidRDefault="00AD73F5" w:rsidP="00C35410">
      <w:pPr>
        <w:tabs>
          <w:tab w:val="left" w:pos="540"/>
          <w:tab w:val="left" w:pos="569"/>
        </w:tabs>
        <w:jc w:val="both"/>
        <w:rPr>
          <w:b/>
          <w:bCs/>
          <w:sz w:val="22"/>
          <w:szCs w:val="22"/>
          <w:lang w:val="sr-Latn-ME"/>
        </w:rPr>
      </w:pPr>
    </w:p>
    <w:p w14:paraId="73A10C67" w14:textId="44EC5FE1" w:rsidR="00CD6F02"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4.9. </w:t>
      </w:r>
      <w:r w:rsidR="00480FB1" w:rsidRPr="00D35073">
        <w:rPr>
          <w:b/>
          <w:bCs/>
          <w:sz w:val="22"/>
          <w:szCs w:val="22"/>
          <w:lang w:val="sr-Latn-ME"/>
        </w:rPr>
        <w:tab/>
      </w:r>
      <w:r w:rsidRPr="00D35073">
        <w:rPr>
          <w:b/>
          <w:bCs/>
          <w:sz w:val="22"/>
          <w:szCs w:val="22"/>
          <w:lang w:val="sr-Latn-ME"/>
        </w:rPr>
        <w:t>Predoziranje</w:t>
      </w:r>
      <w:r w:rsidR="002846DB" w:rsidRPr="00D35073">
        <w:rPr>
          <w:b/>
          <w:bCs/>
          <w:sz w:val="22"/>
          <w:szCs w:val="22"/>
          <w:lang w:val="sr-Latn-ME"/>
        </w:rPr>
        <w:t xml:space="preserve"> </w:t>
      </w:r>
    </w:p>
    <w:p w14:paraId="63A37EE6" w14:textId="77777777" w:rsidR="00BE61E8" w:rsidRPr="00D35073" w:rsidRDefault="00BE61E8" w:rsidP="00C35410">
      <w:pPr>
        <w:tabs>
          <w:tab w:val="left" w:pos="540"/>
          <w:tab w:val="left" w:pos="569"/>
        </w:tabs>
        <w:jc w:val="both"/>
        <w:rPr>
          <w:b/>
          <w:bCs/>
          <w:sz w:val="22"/>
          <w:szCs w:val="22"/>
          <w:lang w:val="sr-Latn-ME"/>
        </w:rPr>
      </w:pPr>
    </w:p>
    <w:p w14:paraId="0465BF90" w14:textId="4D6DA313" w:rsidR="00CD6F02" w:rsidRPr="00D35073" w:rsidRDefault="00BE61E8" w:rsidP="00C35410">
      <w:pPr>
        <w:tabs>
          <w:tab w:val="left" w:pos="540"/>
          <w:tab w:val="left" w:pos="569"/>
        </w:tabs>
        <w:jc w:val="both"/>
        <w:rPr>
          <w:sz w:val="22"/>
          <w:szCs w:val="22"/>
          <w:lang w:val="sr-Latn-ME"/>
        </w:rPr>
      </w:pPr>
      <w:r w:rsidRPr="00D35073">
        <w:rPr>
          <w:sz w:val="22"/>
          <w:szCs w:val="22"/>
          <w:lang w:val="sr-Latn-ME"/>
        </w:rPr>
        <w:t>Posljedice predoziranja ni</w:t>
      </w:r>
      <w:r w:rsidR="0028663A" w:rsidRPr="00D35073">
        <w:rPr>
          <w:sz w:val="22"/>
          <w:szCs w:val="22"/>
          <w:lang w:val="sr-Latn-ME"/>
        </w:rPr>
        <w:t>je</w:t>
      </w:r>
      <w:r w:rsidRPr="00D35073">
        <w:rPr>
          <w:sz w:val="22"/>
          <w:szCs w:val="22"/>
          <w:lang w:val="sr-Latn-ME"/>
        </w:rPr>
        <w:t>su poznate.</w:t>
      </w:r>
    </w:p>
    <w:p w14:paraId="154DBB68" w14:textId="77777777" w:rsidR="00AD73F5" w:rsidRPr="00D35073" w:rsidRDefault="00AD73F5" w:rsidP="00C35410">
      <w:pPr>
        <w:tabs>
          <w:tab w:val="left" w:pos="540"/>
          <w:tab w:val="left" w:pos="569"/>
        </w:tabs>
        <w:jc w:val="both"/>
        <w:rPr>
          <w:sz w:val="22"/>
          <w:szCs w:val="22"/>
          <w:lang w:val="sr-Latn-ME"/>
        </w:rPr>
      </w:pPr>
    </w:p>
    <w:p w14:paraId="4E729968" w14:textId="71A18BAD" w:rsidR="00227BDB" w:rsidRPr="00D35073" w:rsidRDefault="00227BDB" w:rsidP="00C35410">
      <w:pPr>
        <w:tabs>
          <w:tab w:val="left" w:pos="540"/>
          <w:tab w:val="left" w:pos="569"/>
        </w:tabs>
        <w:jc w:val="both"/>
        <w:rPr>
          <w:b/>
          <w:bCs/>
          <w:sz w:val="22"/>
          <w:szCs w:val="22"/>
          <w:lang w:val="sr-Latn-ME"/>
        </w:rPr>
      </w:pPr>
    </w:p>
    <w:p w14:paraId="5D7851D3" w14:textId="4098CC51" w:rsidR="001A3ECF" w:rsidRPr="00D35073" w:rsidRDefault="001A3ECF" w:rsidP="00C35410">
      <w:pPr>
        <w:tabs>
          <w:tab w:val="left" w:pos="540"/>
          <w:tab w:val="left" w:pos="569"/>
        </w:tabs>
        <w:jc w:val="both"/>
        <w:rPr>
          <w:b/>
          <w:bCs/>
          <w:sz w:val="22"/>
          <w:szCs w:val="22"/>
          <w:lang w:val="sr-Latn-ME"/>
        </w:rPr>
      </w:pPr>
    </w:p>
    <w:p w14:paraId="40E30B2E" w14:textId="77777777" w:rsidR="001A3ECF" w:rsidRPr="00D35073" w:rsidRDefault="001A3ECF" w:rsidP="00C35410">
      <w:pPr>
        <w:tabs>
          <w:tab w:val="left" w:pos="540"/>
          <w:tab w:val="left" w:pos="569"/>
        </w:tabs>
        <w:jc w:val="both"/>
        <w:rPr>
          <w:b/>
          <w:bCs/>
          <w:sz w:val="22"/>
          <w:szCs w:val="22"/>
          <w:lang w:val="sr-Latn-ME"/>
        </w:rPr>
      </w:pPr>
    </w:p>
    <w:p w14:paraId="1D73F710"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lastRenderedPageBreak/>
        <w:t xml:space="preserve">5. </w:t>
      </w:r>
      <w:r w:rsidR="00480FB1" w:rsidRPr="00D35073">
        <w:rPr>
          <w:b/>
          <w:bCs/>
          <w:sz w:val="22"/>
          <w:szCs w:val="22"/>
          <w:lang w:val="sr-Latn-ME"/>
        </w:rPr>
        <w:tab/>
      </w:r>
      <w:r w:rsidRPr="00D35073">
        <w:rPr>
          <w:b/>
          <w:bCs/>
          <w:sz w:val="22"/>
          <w:szCs w:val="22"/>
          <w:lang w:val="sr-Latn-ME"/>
        </w:rPr>
        <w:t>FARMAKOLOŠK</w:t>
      </w:r>
      <w:r w:rsidR="000D425A" w:rsidRPr="00D35073">
        <w:rPr>
          <w:b/>
          <w:bCs/>
          <w:sz w:val="22"/>
          <w:szCs w:val="22"/>
          <w:lang w:val="sr-Latn-ME"/>
        </w:rPr>
        <w:t>I</w:t>
      </w:r>
      <w:r w:rsidRPr="00D35073">
        <w:rPr>
          <w:b/>
          <w:bCs/>
          <w:sz w:val="22"/>
          <w:szCs w:val="22"/>
          <w:lang w:val="sr-Latn-ME"/>
        </w:rPr>
        <w:t xml:space="preserve"> PODACI</w:t>
      </w:r>
    </w:p>
    <w:p w14:paraId="04D9D0D8" w14:textId="77777777" w:rsidR="0072020E" w:rsidRPr="00D35073" w:rsidRDefault="0072020E" w:rsidP="00C35410">
      <w:pPr>
        <w:tabs>
          <w:tab w:val="left" w:pos="540"/>
          <w:tab w:val="left" w:pos="569"/>
        </w:tabs>
        <w:jc w:val="both"/>
        <w:rPr>
          <w:b/>
          <w:bCs/>
          <w:sz w:val="22"/>
          <w:szCs w:val="22"/>
          <w:lang w:val="sr-Latn-ME"/>
        </w:rPr>
      </w:pPr>
    </w:p>
    <w:p w14:paraId="332DB281"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5.1. </w:t>
      </w:r>
      <w:r w:rsidR="00480FB1" w:rsidRPr="00D35073">
        <w:rPr>
          <w:b/>
          <w:bCs/>
          <w:sz w:val="22"/>
          <w:szCs w:val="22"/>
          <w:lang w:val="sr-Latn-ME"/>
        </w:rPr>
        <w:tab/>
      </w:r>
      <w:r w:rsidRPr="00D35073">
        <w:rPr>
          <w:b/>
          <w:bCs/>
          <w:sz w:val="22"/>
          <w:szCs w:val="22"/>
          <w:lang w:val="sr-Latn-ME"/>
        </w:rPr>
        <w:t>Farmakodinamski podaci</w:t>
      </w:r>
      <w:r w:rsidR="003A7059" w:rsidRPr="00D35073">
        <w:rPr>
          <w:b/>
          <w:bCs/>
          <w:sz w:val="22"/>
          <w:szCs w:val="22"/>
          <w:lang w:val="sr-Latn-ME"/>
        </w:rPr>
        <w:t xml:space="preserve"> </w:t>
      </w:r>
    </w:p>
    <w:p w14:paraId="1A6F3E35" w14:textId="77777777" w:rsidR="004D1DBA" w:rsidRPr="00D35073" w:rsidRDefault="004D1DBA" w:rsidP="00C35410">
      <w:pPr>
        <w:tabs>
          <w:tab w:val="left" w:pos="540"/>
          <w:tab w:val="left" w:pos="569"/>
        </w:tabs>
        <w:jc w:val="both"/>
        <w:rPr>
          <w:b/>
          <w:bCs/>
          <w:sz w:val="22"/>
          <w:szCs w:val="22"/>
          <w:lang w:val="sr-Latn-ME"/>
        </w:rPr>
      </w:pPr>
    </w:p>
    <w:p w14:paraId="751D4576" w14:textId="09B2B1DB" w:rsidR="00710CA9" w:rsidRPr="00D35073" w:rsidRDefault="00D51811" w:rsidP="00C35410">
      <w:pPr>
        <w:tabs>
          <w:tab w:val="left" w:pos="540"/>
          <w:tab w:val="left" w:pos="569"/>
        </w:tabs>
        <w:jc w:val="both"/>
        <w:rPr>
          <w:sz w:val="22"/>
          <w:szCs w:val="22"/>
          <w:lang w:val="sr-Latn-ME"/>
        </w:rPr>
      </w:pPr>
      <w:r w:rsidRPr="00D35073">
        <w:rPr>
          <w:sz w:val="22"/>
          <w:szCs w:val="22"/>
          <w:lang w:val="sr-Latn-ME"/>
        </w:rPr>
        <w:t>Farmakoterapijska grupa: imunoserumi i imunoglobulini</w:t>
      </w:r>
      <w:r w:rsidR="002D6713" w:rsidRPr="00D35073">
        <w:rPr>
          <w:sz w:val="22"/>
          <w:szCs w:val="22"/>
          <w:lang w:val="sr-Latn-ME"/>
        </w:rPr>
        <w:t>: imunoglobulini, normalni humani  za ekstravaskularnu primjenu</w:t>
      </w:r>
    </w:p>
    <w:p w14:paraId="0805878F" w14:textId="275DD003" w:rsidR="00D51811" w:rsidRPr="00D35073" w:rsidRDefault="002D6713" w:rsidP="00C35410">
      <w:pPr>
        <w:tabs>
          <w:tab w:val="left" w:pos="540"/>
          <w:tab w:val="left" w:pos="569"/>
        </w:tabs>
        <w:jc w:val="both"/>
        <w:rPr>
          <w:sz w:val="22"/>
          <w:szCs w:val="22"/>
          <w:lang w:val="sr-Latn-ME"/>
        </w:rPr>
      </w:pPr>
      <w:r w:rsidRPr="00D35073">
        <w:rPr>
          <w:sz w:val="22"/>
          <w:szCs w:val="22"/>
          <w:lang w:val="sr-Latn-ME"/>
        </w:rPr>
        <w:t>ATC kod: J06BA01.</w:t>
      </w:r>
    </w:p>
    <w:p w14:paraId="3B34ABA4" w14:textId="24FA55A4" w:rsidR="0080080E" w:rsidRPr="00D35073" w:rsidRDefault="0080080E" w:rsidP="00C35410">
      <w:pPr>
        <w:tabs>
          <w:tab w:val="left" w:pos="540"/>
          <w:tab w:val="left" w:pos="569"/>
        </w:tabs>
        <w:jc w:val="both"/>
        <w:rPr>
          <w:sz w:val="22"/>
          <w:szCs w:val="22"/>
          <w:lang w:val="sr-Latn-ME"/>
        </w:rPr>
      </w:pPr>
      <w:r w:rsidRPr="00D35073">
        <w:rPr>
          <w:sz w:val="22"/>
          <w:szCs w:val="22"/>
          <w:lang w:val="sr-Latn-ME"/>
        </w:rPr>
        <w:t xml:space="preserve">Normalni </w:t>
      </w:r>
      <w:r w:rsidR="00D12F70" w:rsidRPr="00D35073">
        <w:rPr>
          <w:sz w:val="22"/>
          <w:szCs w:val="22"/>
          <w:lang w:val="sr-Latn-ME"/>
        </w:rPr>
        <w:t xml:space="preserve"> humani </w:t>
      </w:r>
      <w:r w:rsidRPr="00D35073">
        <w:rPr>
          <w:sz w:val="22"/>
          <w:szCs w:val="22"/>
          <w:lang w:val="sr-Latn-ME"/>
        </w:rPr>
        <w:t xml:space="preserve"> </w:t>
      </w:r>
      <w:r w:rsidR="00D12F70" w:rsidRPr="00D35073">
        <w:rPr>
          <w:sz w:val="22"/>
          <w:szCs w:val="22"/>
          <w:lang w:val="sr-Latn-ME"/>
        </w:rPr>
        <w:t xml:space="preserve">immunoglobulin </w:t>
      </w:r>
      <w:r w:rsidRPr="00D35073">
        <w:rPr>
          <w:sz w:val="22"/>
          <w:szCs w:val="22"/>
          <w:lang w:val="sr-Latn-ME"/>
        </w:rPr>
        <w:t>sadrž</w:t>
      </w:r>
      <w:r w:rsidR="00D12F70" w:rsidRPr="00D35073">
        <w:rPr>
          <w:sz w:val="22"/>
          <w:szCs w:val="22"/>
          <w:lang w:val="sr-Latn-ME"/>
        </w:rPr>
        <w:t xml:space="preserve">i </w:t>
      </w:r>
      <w:r w:rsidRPr="00D35073">
        <w:rPr>
          <w:sz w:val="22"/>
          <w:szCs w:val="22"/>
          <w:lang w:val="sr-Latn-ME"/>
        </w:rPr>
        <w:t xml:space="preserve"> uglavnom immunoglobulin G (IgG) sa širokim spektrom antitijela protiv zaraznih bolesti. </w:t>
      </w:r>
    </w:p>
    <w:p w14:paraId="6EA986CC" w14:textId="77777777" w:rsidR="0080080E" w:rsidRPr="00D35073" w:rsidRDefault="0080080E" w:rsidP="00C35410">
      <w:pPr>
        <w:tabs>
          <w:tab w:val="left" w:pos="540"/>
          <w:tab w:val="left" w:pos="569"/>
        </w:tabs>
        <w:jc w:val="both"/>
        <w:rPr>
          <w:sz w:val="22"/>
          <w:szCs w:val="22"/>
          <w:lang w:val="sr-Latn-ME"/>
        </w:rPr>
      </w:pPr>
    </w:p>
    <w:p w14:paraId="78A5203D" w14:textId="3AE95653" w:rsidR="0080080E" w:rsidRPr="00D35073" w:rsidRDefault="0080080E" w:rsidP="00C35410">
      <w:pPr>
        <w:tabs>
          <w:tab w:val="left" w:pos="540"/>
          <w:tab w:val="left" w:pos="569"/>
        </w:tabs>
        <w:jc w:val="both"/>
        <w:rPr>
          <w:sz w:val="22"/>
          <w:szCs w:val="22"/>
          <w:lang w:val="sr-Latn-ME"/>
        </w:rPr>
      </w:pPr>
      <w:r w:rsidRPr="00D35073">
        <w:rPr>
          <w:sz w:val="22"/>
          <w:szCs w:val="22"/>
          <w:lang w:val="sr-Latn-ME"/>
        </w:rPr>
        <w:t xml:space="preserve">Normalni </w:t>
      </w:r>
      <w:r w:rsidR="00D12F70" w:rsidRPr="00D35073">
        <w:rPr>
          <w:sz w:val="22"/>
          <w:szCs w:val="22"/>
          <w:lang w:val="sr-Latn-ME"/>
        </w:rPr>
        <w:t xml:space="preserve"> humani </w:t>
      </w:r>
      <w:r w:rsidRPr="00D35073">
        <w:rPr>
          <w:sz w:val="22"/>
          <w:szCs w:val="22"/>
          <w:lang w:val="sr-Latn-ME"/>
        </w:rPr>
        <w:t xml:space="preserve">immunoglobulin sadrži IgG antitijela prisutna u normalnoj populaciji. Obično se priprema iz pulova plazme od najmanje 1000 donacija. Ima distribuciju podklase imunoglobulina G gotovo proporcionalnu onoj u nativnoj </w:t>
      </w:r>
      <w:r w:rsidR="00D12F70" w:rsidRPr="00D35073">
        <w:rPr>
          <w:sz w:val="22"/>
          <w:szCs w:val="22"/>
          <w:lang w:val="sr-Latn-ME"/>
        </w:rPr>
        <w:t xml:space="preserve">humanoj </w:t>
      </w:r>
      <w:r w:rsidRPr="00D35073">
        <w:rPr>
          <w:sz w:val="22"/>
          <w:szCs w:val="22"/>
          <w:lang w:val="sr-Latn-ME"/>
        </w:rPr>
        <w:t xml:space="preserve">plazmi. Odgovarajuće doze ovog lijeka mogu abnormalno niske nivoe imunoglobuline G vratiti do normalnih vrijednosti. </w:t>
      </w:r>
    </w:p>
    <w:p w14:paraId="6721C424" w14:textId="77777777" w:rsidR="006F01BE" w:rsidRPr="00D35073" w:rsidRDefault="006F01BE" w:rsidP="00C35410">
      <w:pPr>
        <w:tabs>
          <w:tab w:val="left" w:pos="540"/>
          <w:tab w:val="left" w:pos="569"/>
        </w:tabs>
        <w:jc w:val="both"/>
        <w:rPr>
          <w:sz w:val="22"/>
          <w:szCs w:val="22"/>
          <w:lang w:val="sr-Latn-ME"/>
        </w:rPr>
      </w:pPr>
    </w:p>
    <w:p w14:paraId="065A6402" w14:textId="6F6A0108" w:rsidR="006554FE" w:rsidRPr="00D35073" w:rsidRDefault="006554FE" w:rsidP="00C35410">
      <w:pPr>
        <w:tabs>
          <w:tab w:val="left" w:pos="540"/>
          <w:tab w:val="left" w:pos="569"/>
        </w:tabs>
        <w:jc w:val="both"/>
        <w:rPr>
          <w:sz w:val="22"/>
          <w:szCs w:val="22"/>
          <w:lang w:val="sr-Latn-ME"/>
        </w:rPr>
      </w:pPr>
      <w:r w:rsidRPr="00D35073">
        <w:rPr>
          <w:sz w:val="22"/>
          <w:szCs w:val="22"/>
          <w:lang w:val="sr-Latn-ME"/>
        </w:rPr>
        <w:t xml:space="preserve">U kliničkom ispitivanju </w:t>
      </w:r>
      <w:r w:rsidR="00516A3E" w:rsidRPr="00D35073">
        <w:rPr>
          <w:sz w:val="22"/>
          <w:szCs w:val="22"/>
          <w:lang w:val="sr-Latn-ME"/>
        </w:rPr>
        <w:t xml:space="preserve">od </w:t>
      </w:r>
      <w:r w:rsidRPr="00D35073">
        <w:rPr>
          <w:sz w:val="22"/>
          <w:szCs w:val="22"/>
          <w:lang w:val="sr-Latn-ME"/>
        </w:rPr>
        <w:t>ukupno 75 (37 odraslih, 12 male d</w:t>
      </w:r>
      <w:r w:rsidR="00A05E28" w:rsidRPr="00D35073">
        <w:rPr>
          <w:sz w:val="22"/>
          <w:szCs w:val="22"/>
          <w:lang w:val="sr-Latn-ME"/>
        </w:rPr>
        <w:t>j</w:t>
      </w:r>
      <w:r w:rsidRPr="00D35073">
        <w:rPr>
          <w:sz w:val="22"/>
          <w:szCs w:val="22"/>
          <w:lang w:val="sr-Latn-ME"/>
        </w:rPr>
        <w:t>ece [</w:t>
      </w:r>
      <w:r w:rsidR="006408A9" w:rsidRPr="00D35073">
        <w:rPr>
          <w:sz w:val="22"/>
          <w:szCs w:val="22"/>
          <w:lang w:val="sr-Latn-ME"/>
        </w:rPr>
        <w:t xml:space="preserve">uzrasta </w:t>
      </w:r>
      <w:r w:rsidRPr="00D35073">
        <w:rPr>
          <w:sz w:val="22"/>
          <w:szCs w:val="22"/>
          <w:lang w:val="sr-Latn-ME"/>
        </w:rPr>
        <w:t>≥2 i &lt;6], 14 starije djece [</w:t>
      </w:r>
      <w:r w:rsidR="006408A9" w:rsidRPr="00D35073">
        <w:rPr>
          <w:sz w:val="22"/>
          <w:szCs w:val="22"/>
          <w:lang w:val="sr-Latn-ME"/>
        </w:rPr>
        <w:t xml:space="preserve">uzrasta  </w:t>
      </w:r>
      <w:r w:rsidRPr="00D35073">
        <w:rPr>
          <w:sz w:val="22"/>
          <w:szCs w:val="22"/>
          <w:lang w:val="sr-Latn-ME"/>
        </w:rPr>
        <w:t>≥6 i &lt;12], 12 adolescenata [</w:t>
      </w:r>
      <w:r w:rsidR="006408A9" w:rsidRPr="00D35073">
        <w:rPr>
          <w:sz w:val="22"/>
          <w:szCs w:val="22"/>
          <w:lang w:val="sr-Latn-ME"/>
        </w:rPr>
        <w:t xml:space="preserve">uzrasta </w:t>
      </w:r>
      <w:r w:rsidRPr="00D35073">
        <w:rPr>
          <w:sz w:val="22"/>
          <w:szCs w:val="22"/>
          <w:lang w:val="sr-Latn-ME"/>
        </w:rPr>
        <w:t xml:space="preserve">≥12 i &lt;17]) </w:t>
      </w:r>
      <w:r w:rsidR="00AC7437" w:rsidRPr="00D35073">
        <w:rPr>
          <w:sz w:val="22"/>
          <w:szCs w:val="22"/>
          <w:lang w:val="sr-Latn-ME"/>
        </w:rPr>
        <w:t xml:space="preserve">ispitanika </w:t>
      </w:r>
      <w:r w:rsidRPr="00D35073">
        <w:rPr>
          <w:sz w:val="22"/>
          <w:szCs w:val="22"/>
          <w:lang w:val="sr-Latn-ME"/>
        </w:rPr>
        <w:t xml:space="preserve"> sa primarnim sindromom imunodeficijencije liječeni su Cutaquigom tokom do 64 nedelje. Srednja doza prim</w:t>
      </w:r>
      <w:r w:rsidR="00A05E28" w:rsidRPr="00D35073">
        <w:rPr>
          <w:sz w:val="22"/>
          <w:szCs w:val="22"/>
          <w:lang w:val="sr-Latn-ME"/>
        </w:rPr>
        <w:t>ij</w:t>
      </w:r>
      <w:r w:rsidRPr="00D35073">
        <w:rPr>
          <w:sz w:val="22"/>
          <w:szCs w:val="22"/>
          <w:lang w:val="sr-Latn-ME"/>
        </w:rPr>
        <w:t>enjena svake nedelje po pacijentu bila je 0,187 g/kg kod odraslih pacijenata, 0,150 g/kg kod male d</w:t>
      </w:r>
      <w:r w:rsidR="00A05E28" w:rsidRPr="00D35073">
        <w:rPr>
          <w:sz w:val="22"/>
          <w:szCs w:val="22"/>
          <w:lang w:val="sr-Latn-ME"/>
        </w:rPr>
        <w:t>j</w:t>
      </w:r>
      <w:r w:rsidRPr="00D35073">
        <w:rPr>
          <w:sz w:val="22"/>
          <w:szCs w:val="22"/>
          <w:lang w:val="sr-Latn-ME"/>
        </w:rPr>
        <w:t>ece, 0,164 g/kg kod starije d</w:t>
      </w:r>
      <w:r w:rsidR="00A05E28" w:rsidRPr="00D35073">
        <w:rPr>
          <w:sz w:val="22"/>
          <w:szCs w:val="22"/>
          <w:lang w:val="sr-Latn-ME"/>
        </w:rPr>
        <w:t>j</w:t>
      </w:r>
      <w:r w:rsidRPr="00D35073">
        <w:rPr>
          <w:sz w:val="22"/>
          <w:szCs w:val="22"/>
          <w:lang w:val="sr-Latn-ME"/>
        </w:rPr>
        <w:t xml:space="preserve">ece i 0,170 g/kg kod adolescenata. </w:t>
      </w:r>
      <w:r w:rsidR="00275E7B" w:rsidRPr="00D35073">
        <w:rPr>
          <w:sz w:val="22"/>
          <w:szCs w:val="22"/>
          <w:lang w:val="sr-Latn-ME"/>
        </w:rPr>
        <w:t xml:space="preserve">Ispitanici </w:t>
      </w:r>
      <w:r w:rsidRPr="00D35073">
        <w:rPr>
          <w:sz w:val="22"/>
          <w:szCs w:val="22"/>
          <w:lang w:val="sr-Latn-ME"/>
        </w:rPr>
        <w:t>su primili ukupno 4462 ned</w:t>
      </w:r>
      <w:r w:rsidR="0028663A" w:rsidRPr="00D35073">
        <w:rPr>
          <w:sz w:val="22"/>
          <w:szCs w:val="22"/>
          <w:lang w:val="sr-Latn-ME"/>
        </w:rPr>
        <w:t>j</w:t>
      </w:r>
      <w:r w:rsidRPr="00D35073">
        <w:rPr>
          <w:sz w:val="22"/>
          <w:szCs w:val="22"/>
          <w:lang w:val="sr-Latn-ME"/>
        </w:rPr>
        <w:t>eljne infuzije Cuta</w:t>
      </w:r>
      <w:r w:rsidR="00A05E28" w:rsidRPr="00D35073">
        <w:rPr>
          <w:sz w:val="22"/>
          <w:szCs w:val="22"/>
          <w:lang w:val="sr-Latn-ME"/>
        </w:rPr>
        <w:t>q</w:t>
      </w:r>
      <w:r w:rsidRPr="00D35073">
        <w:rPr>
          <w:sz w:val="22"/>
          <w:szCs w:val="22"/>
          <w:lang w:val="sr-Latn-ME"/>
        </w:rPr>
        <w:t>uiga.</w:t>
      </w:r>
    </w:p>
    <w:p w14:paraId="54BB625D" w14:textId="0840709C" w:rsidR="006554FE" w:rsidRPr="00D35073" w:rsidRDefault="006554FE" w:rsidP="00C35410">
      <w:pPr>
        <w:tabs>
          <w:tab w:val="left" w:pos="540"/>
          <w:tab w:val="left" w:pos="569"/>
        </w:tabs>
        <w:jc w:val="both"/>
        <w:rPr>
          <w:sz w:val="22"/>
          <w:szCs w:val="22"/>
          <w:lang w:val="sr-Latn-ME"/>
        </w:rPr>
      </w:pPr>
      <w:r w:rsidRPr="00D35073">
        <w:rPr>
          <w:sz w:val="22"/>
          <w:szCs w:val="22"/>
          <w:lang w:val="sr-Latn-ME"/>
        </w:rPr>
        <w:t>Ni</w:t>
      </w:r>
      <w:r w:rsidR="0028663A" w:rsidRPr="00D35073">
        <w:rPr>
          <w:sz w:val="22"/>
          <w:szCs w:val="22"/>
          <w:lang w:val="sr-Latn-ME"/>
        </w:rPr>
        <w:t>je</w:t>
      </w:r>
      <w:r w:rsidRPr="00D35073">
        <w:rPr>
          <w:sz w:val="22"/>
          <w:szCs w:val="22"/>
          <w:lang w:val="sr-Latn-ME"/>
        </w:rPr>
        <w:t>su prijavljene ozbiljne bakterijske infekcije ni tokom perioda ispiranja</w:t>
      </w:r>
      <w:r w:rsidR="002D4DF3" w:rsidRPr="00D35073">
        <w:rPr>
          <w:sz w:val="22"/>
          <w:szCs w:val="22"/>
          <w:lang w:val="sr-Latn-ME"/>
        </w:rPr>
        <w:t xml:space="preserve"> u </w:t>
      </w:r>
      <w:r w:rsidRPr="00D35073">
        <w:rPr>
          <w:sz w:val="22"/>
          <w:szCs w:val="22"/>
          <w:lang w:val="sr-Latn-ME"/>
        </w:rPr>
        <w:t>/ispiranja</w:t>
      </w:r>
      <w:r w:rsidR="002D4DF3" w:rsidRPr="00D35073">
        <w:rPr>
          <w:sz w:val="22"/>
          <w:szCs w:val="22"/>
          <w:lang w:val="sr-Latn-ME"/>
        </w:rPr>
        <w:t xml:space="preserve"> van </w:t>
      </w:r>
      <w:r w:rsidRPr="00D35073">
        <w:rPr>
          <w:sz w:val="22"/>
          <w:szCs w:val="22"/>
          <w:lang w:val="sr-Latn-ME"/>
        </w:rPr>
        <w:t xml:space="preserve"> niti tokom perioda efikasnosti kod </w:t>
      </w:r>
      <w:r w:rsidR="00F14B8E" w:rsidRPr="00D35073">
        <w:rPr>
          <w:sz w:val="22"/>
          <w:szCs w:val="22"/>
          <w:lang w:val="sr-Latn-ME"/>
        </w:rPr>
        <w:t xml:space="preserve">ispitanika </w:t>
      </w:r>
      <w:r w:rsidRPr="00D35073">
        <w:rPr>
          <w:sz w:val="22"/>
          <w:szCs w:val="22"/>
          <w:lang w:val="sr-Latn-ME"/>
        </w:rPr>
        <w:t xml:space="preserve"> koji su primali Cuta</w:t>
      </w:r>
      <w:r w:rsidR="00A05E28" w:rsidRPr="00D35073">
        <w:rPr>
          <w:sz w:val="22"/>
          <w:szCs w:val="22"/>
          <w:lang w:val="sr-Latn-ME"/>
        </w:rPr>
        <w:t>q</w:t>
      </w:r>
      <w:r w:rsidRPr="00D35073">
        <w:rPr>
          <w:sz w:val="22"/>
          <w:szCs w:val="22"/>
          <w:lang w:val="sr-Latn-ME"/>
        </w:rPr>
        <w:t>uig u okviru kliničke studije.</w:t>
      </w:r>
    </w:p>
    <w:p w14:paraId="33B9681F" w14:textId="3BEA1D26" w:rsidR="006554FE" w:rsidRPr="00D35073" w:rsidRDefault="006554FE" w:rsidP="00C35410">
      <w:pPr>
        <w:tabs>
          <w:tab w:val="left" w:pos="540"/>
          <w:tab w:val="left" w:pos="569"/>
        </w:tabs>
        <w:jc w:val="both"/>
        <w:rPr>
          <w:sz w:val="22"/>
          <w:szCs w:val="22"/>
          <w:lang w:val="sr-Latn-ME"/>
        </w:rPr>
      </w:pPr>
      <w:r w:rsidRPr="00D35073">
        <w:rPr>
          <w:sz w:val="22"/>
          <w:szCs w:val="22"/>
          <w:lang w:val="sr-Latn-ME"/>
        </w:rPr>
        <w:t>Cuta</w:t>
      </w:r>
      <w:r w:rsidR="00A05E28" w:rsidRPr="00D35073">
        <w:rPr>
          <w:sz w:val="22"/>
          <w:szCs w:val="22"/>
          <w:lang w:val="sr-Latn-ME"/>
        </w:rPr>
        <w:t>q</w:t>
      </w:r>
      <w:r w:rsidRPr="00D35073">
        <w:rPr>
          <w:sz w:val="22"/>
          <w:szCs w:val="22"/>
          <w:lang w:val="sr-Latn-ME"/>
        </w:rPr>
        <w:t xml:space="preserve">uig je </w:t>
      </w:r>
      <w:r w:rsidR="00A05E28" w:rsidRPr="00D35073">
        <w:rPr>
          <w:sz w:val="22"/>
          <w:szCs w:val="22"/>
          <w:lang w:val="sr-Latn-ME"/>
        </w:rPr>
        <w:t xml:space="preserve">ispitivan </w:t>
      </w:r>
      <w:r w:rsidRPr="00D35073">
        <w:rPr>
          <w:sz w:val="22"/>
          <w:szCs w:val="22"/>
          <w:lang w:val="sr-Latn-ME"/>
        </w:rPr>
        <w:t xml:space="preserve">kod 38 pedijatrijskih </w:t>
      </w:r>
      <w:r w:rsidR="00F14B8E" w:rsidRPr="00D35073">
        <w:rPr>
          <w:sz w:val="22"/>
          <w:szCs w:val="22"/>
          <w:lang w:val="sr-Latn-ME"/>
        </w:rPr>
        <w:t xml:space="preserve">ispitanika </w:t>
      </w:r>
      <w:r w:rsidRPr="00D35073">
        <w:rPr>
          <w:sz w:val="22"/>
          <w:szCs w:val="22"/>
          <w:lang w:val="sr-Latn-ME"/>
        </w:rPr>
        <w:t xml:space="preserve"> (26 d</w:t>
      </w:r>
      <w:r w:rsidR="00A05E28" w:rsidRPr="00D35073">
        <w:rPr>
          <w:sz w:val="22"/>
          <w:szCs w:val="22"/>
          <w:lang w:val="sr-Latn-ME"/>
        </w:rPr>
        <w:t>j</w:t>
      </w:r>
      <w:r w:rsidRPr="00D35073">
        <w:rPr>
          <w:sz w:val="22"/>
          <w:szCs w:val="22"/>
          <w:lang w:val="sr-Latn-ME"/>
        </w:rPr>
        <w:t>ece [</w:t>
      </w:r>
      <w:r w:rsidR="002D4DF3" w:rsidRPr="00D35073">
        <w:rPr>
          <w:sz w:val="22"/>
          <w:szCs w:val="22"/>
          <w:lang w:val="sr-Latn-ME"/>
        </w:rPr>
        <w:t xml:space="preserve">starosti </w:t>
      </w:r>
      <w:r w:rsidRPr="00D35073">
        <w:rPr>
          <w:sz w:val="22"/>
          <w:szCs w:val="22"/>
          <w:lang w:val="sr-Latn-ME"/>
        </w:rPr>
        <w:t>između 2 i &lt;12 godina] i 12 adolescenata [između 12 i &lt;16 godina]) sa primarnom bolešću imunodeficijencije. Za postizanje željenih nivoa IgG u serumu ni</w:t>
      </w:r>
      <w:r w:rsidR="0028663A" w:rsidRPr="00D35073">
        <w:rPr>
          <w:sz w:val="22"/>
          <w:szCs w:val="22"/>
          <w:lang w:val="sr-Latn-ME"/>
        </w:rPr>
        <w:t>je</w:t>
      </w:r>
      <w:r w:rsidRPr="00D35073">
        <w:rPr>
          <w:sz w:val="22"/>
          <w:szCs w:val="22"/>
          <w:lang w:val="sr-Latn-ME"/>
        </w:rPr>
        <w:t>su bile potrebne posebne doze za pedijatriju.</w:t>
      </w:r>
    </w:p>
    <w:p w14:paraId="6ADC3B09" w14:textId="77777777" w:rsidR="006554FE" w:rsidRPr="00D35073" w:rsidRDefault="006554FE" w:rsidP="00C35410">
      <w:pPr>
        <w:tabs>
          <w:tab w:val="left" w:pos="540"/>
          <w:tab w:val="left" w:pos="569"/>
        </w:tabs>
        <w:jc w:val="both"/>
        <w:rPr>
          <w:sz w:val="22"/>
          <w:szCs w:val="22"/>
          <w:lang w:val="sr-Latn-ME"/>
        </w:rPr>
      </w:pPr>
    </w:p>
    <w:p w14:paraId="1DD1B6F1" w14:textId="77777777" w:rsidR="006554FE" w:rsidRPr="00D35073" w:rsidRDefault="006554FE" w:rsidP="00C35410">
      <w:pPr>
        <w:tabs>
          <w:tab w:val="left" w:pos="540"/>
          <w:tab w:val="left" w:pos="569"/>
        </w:tabs>
        <w:jc w:val="both"/>
        <w:rPr>
          <w:sz w:val="22"/>
          <w:szCs w:val="22"/>
          <w:lang w:val="sr-Latn-ME"/>
        </w:rPr>
      </w:pPr>
    </w:p>
    <w:p w14:paraId="7194CA2B" w14:textId="77777777" w:rsidR="00012897" w:rsidRPr="00D35073" w:rsidRDefault="006554FE" w:rsidP="00C35410">
      <w:pPr>
        <w:tabs>
          <w:tab w:val="left" w:pos="540"/>
          <w:tab w:val="left" w:pos="569"/>
        </w:tabs>
        <w:jc w:val="both"/>
        <w:rPr>
          <w:sz w:val="22"/>
          <w:szCs w:val="22"/>
          <w:lang w:val="sr-Latn-ME"/>
        </w:rPr>
      </w:pPr>
      <w:r w:rsidRPr="00D35073">
        <w:rPr>
          <w:sz w:val="22"/>
          <w:szCs w:val="22"/>
          <w:lang w:val="sr-Latn-ME"/>
        </w:rPr>
        <w:t>Dodatna studija je bila prospektivna, otvorena, jednostruka, multicentrična faza praćenja bezb</w:t>
      </w:r>
      <w:r w:rsidR="00A05E28" w:rsidRPr="00D35073">
        <w:rPr>
          <w:sz w:val="22"/>
          <w:szCs w:val="22"/>
          <w:lang w:val="sr-Latn-ME"/>
        </w:rPr>
        <w:t>j</w:t>
      </w:r>
      <w:r w:rsidRPr="00D35073">
        <w:rPr>
          <w:sz w:val="22"/>
          <w:szCs w:val="22"/>
          <w:lang w:val="sr-Latn-ME"/>
        </w:rPr>
        <w:t>ednosti u fazi 3 koja je uključila 27 ispitanika (17 odraslih, 2 male d</w:t>
      </w:r>
      <w:r w:rsidR="00A05E28" w:rsidRPr="00D35073">
        <w:rPr>
          <w:sz w:val="22"/>
          <w:szCs w:val="22"/>
          <w:lang w:val="sr-Latn-ME"/>
        </w:rPr>
        <w:t>j</w:t>
      </w:r>
      <w:r w:rsidRPr="00D35073">
        <w:rPr>
          <w:sz w:val="22"/>
          <w:szCs w:val="22"/>
          <w:lang w:val="sr-Latn-ME"/>
        </w:rPr>
        <w:t>ece [</w:t>
      </w:r>
      <w:r w:rsidR="00012897" w:rsidRPr="00D35073">
        <w:rPr>
          <w:sz w:val="22"/>
          <w:szCs w:val="22"/>
          <w:lang w:val="sr-Latn-ME"/>
        </w:rPr>
        <w:t xml:space="preserve">uzrasta </w:t>
      </w:r>
      <w:r w:rsidR="006408A9" w:rsidRPr="00D35073">
        <w:rPr>
          <w:sz w:val="22"/>
          <w:szCs w:val="22"/>
          <w:lang w:val="sr-Latn-ME"/>
        </w:rPr>
        <w:t xml:space="preserve"> </w:t>
      </w:r>
      <w:r w:rsidRPr="00D35073">
        <w:rPr>
          <w:sz w:val="22"/>
          <w:szCs w:val="22"/>
          <w:lang w:val="sr-Latn-ME"/>
        </w:rPr>
        <w:t>≥2 i &lt;6], 4 starije d</w:t>
      </w:r>
      <w:r w:rsidR="00A05E28" w:rsidRPr="00D35073">
        <w:rPr>
          <w:sz w:val="22"/>
          <w:szCs w:val="22"/>
          <w:lang w:val="sr-Latn-ME"/>
        </w:rPr>
        <w:t>j</w:t>
      </w:r>
      <w:r w:rsidRPr="00D35073">
        <w:rPr>
          <w:sz w:val="22"/>
          <w:szCs w:val="22"/>
          <w:lang w:val="sr-Latn-ME"/>
        </w:rPr>
        <w:t>ece</w:t>
      </w:r>
    </w:p>
    <w:p w14:paraId="36324D26" w14:textId="5501D86F" w:rsidR="00012897" w:rsidRPr="00D35073" w:rsidRDefault="006554FE" w:rsidP="00C35410">
      <w:pPr>
        <w:tabs>
          <w:tab w:val="left" w:pos="540"/>
          <w:tab w:val="left" w:pos="569"/>
        </w:tabs>
        <w:jc w:val="both"/>
        <w:rPr>
          <w:sz w:val="22"/>
          <w:szCs w:val="22"/>
          <w:lang w:val="sr-Latn-ME"/>
        </w:rPr>
      </w:pPr>
      <w:r w:rsidRPr="00D35073">
        <w:rPr>
          <w:sz w:val="22"/>
          <w:szCs w:val="22"/>
          <w:lang w:val="sr-Latn-ME"/>
        </w:rPr>
        <w:t xml:space="preserve"> [</w:t>
      </w:r>
      <w:r w:rsidR="00012897" w:rsidRPr="00D35073">
        <w:rPr>
          <w:sz w:val="22"/>
          <w:szCs w:val="22"/>
          <w:lang w:val="sr-Latn-ME"/>
        </w:rPr>
        <w:t xml:space="preserve"> uzrasta </w:t>
      </w:r>
      <w:r w:rsidRPr="00D35073">
        <w:rPr>
          <w:sz w:val="22"/>
          <w:szCs w:val="22"/>
          <w:lang w:val="sr-Latn-ME"/>
        </w:rPr>
        <w:t>≥6 i &lt;12 ], 4 adolescenata [</w:t>
      </w:r>
      <w:r w:rsidR="00012897" w:rsidRPr="00D35073">
        <w:rPr>
          <w:sz w:val="22"/>
          <w:szCs w:val="22"/>
          <w:lang w:val="sr-Latn-ME"/>
        </w:rPr>
        <w:t xml:space="preserve"> uzrasta </w:t>
      </w:r>
      <w:r w:rsidRPr="00D35073">
        <w:rPr>
          <w:sz w:val="22"/>
          <w:szCs w:val="22"/>
          <w:lang w:val="sr-Latn-ME"/>
        </w:rPr>
        <w:t xml:space="preserve">≥12 i &lt;17]) sa primarnom imunodeficijencijom. Dvadeset i jedan </w:t>
      </w:r>
      <w:r w:rsidR="00A05E28" w:rsidRPr="00D35073">
        <w:rPr>
          <w:sz w:val="22"/>
          <w:szCs w:val="22"/>
          <w:lang w:val="sr-Latn-ME"/>
        </w:rPr>
        <w:t xml:space="preserve">ispitanik </w:t>
      </w:r>
      <w:r w:rsidRPr="00D35073">
        <w:rPr>
          <w:sz w:val="22"/>
          <w:szCs w:val="22"/>
          <w:lang w:val="sr-Latn-ME"/>
        </w:rPr>
        <w:t>je prvobitno l</w:t>
      </w:r>
      <w:r w:rsidR="00A05E28" w:rsidRPr="00D35073">
        <w:rPr>
          <w:sz w:val="22"/>
          <w:szCs w:val="22"/>
          <w:lang w:val="sr-Latn-ME"/>
        </w:rPr>
        <w:t>ij</w:t>
      </w:r>
      <w:r w:rsidRPr="00D35073">
        <w:rPr>
          <w:sz w:val="22"/>
          <w:szCs w:val="22"/>
          <w:lang w:val="sr-Latn-ME"/>
        </w:rPr>
        <w:t xml:space="preserve">ečen u ključnoj studiji, a 6 </w:t>
      </w:r>
      <w:r w:rsidR="00A05E28" w:rsidRPr="00D35073">
        <w:rPr>
          <w:sz w:val="22"/>
          <w:szCs w:val="22"/>
          <w:lang w:val="sr-Latn-ME"/>
        </w:rPr>
        <w:t xml:space="preserve">ispitanika </w:t>
      </w:r>
      <w:r w:rsidRPr="00D35073">
        <w:rPr>
          <w:sz w:val="22"/>
          <w:szCs w:val="22"/>
          <w:lang w:val="sr-Latn-ME"/>
        </w:rPr>
        <w:t xml:space="preserve"> je novo u</w:t>
      </w:r>
      <w:r w:rsidR="0028663A" w:rsidRPr="00D35073">
        <w:rPr>
          <w:sz w:val="22"/>
          <w:szCs w:val="22"/>
          <w:lang w:val="sr-Latn-ME"/>
        </w:rPr>
        <w:t>ključeno</w:t>
      </w:r>
      <w:r w:rsidRPr="00D35073">
        <w:rPr>
          <w:sz w:val="22"/>
          <w:szCs w:val="22"/>
          <w:lang w:val="sr-Latn-ME"/>
        </w:rPr>
        <w:t xml:space="preserve">. </w:t>
      </w:r>
      <w:r w:rsidR="007945BE" w:rsidRPr="00D35073">
        <w:rPr>
          <w:sz w:val="22"/>
          <w:szCs w:val="22"/>
          <w:lang w:val="sr-Latn-ME"/>
        </w:rPr>
        <w:t xml:space="preserve">Ispitanici </w:t>
      </w:r>
      <w:r w:rsidRPr="00D35073">
        <w:rPr>
          <w:sz w:val="22"/>
          <w:szCs w:val="22"/>
          <w:lang w:val="sr-Latn-ME"/>
        </w:rPr>
        <w:t xml:space="preserve"> su posmatrani u periodu do 4,5 godine za </w:t>
      </w:r>
      <w:r w:rsidR="00A05E28" w:rsidRPr="00D35073">
        <w:rPr>
          <w:sz w:val="22"/>
          <w:szCs w:val="22"/>
          <w:lang w:val="sr-Latn-ME"/>
        </w:rPr>
        <w:t xml:space="preserve">ispitanike </w:t>
      </w:r>
      <w:r w:rsidRPr="00D35073">
        <w:rPr>
          <w:sz w:val="22"/>
          <w:szCs w:val="22"/>
          <w:lang w:val="sr-Latn-ME"/>
        </w:rPr>
        <w:t>koji su prethodno bili upisani u ključnu studiju i 12 m</w:t>
      </w:r>
      <w:r w:rsidR="00A05E28" w:rsidRPr="00D35073">
        <w:rPr>
          <w:sz w:val="22"/>
          <w:szCs w:val="22"/>
          <w:lang w:val="sr-Latn-ME"/>
        </w:rPr>
        <w:t>j</w:t>
      </w:r>
      <w:r w:rsidRPr="00D35073">
        <w:rPr>
          <w:sz w:val="22"/>
          <w:szCs w:val="22"/>
          <w:lang w:val="sr-Latn-ME"/>
        </w:rPr>
        <w:t xml:space="preserve">eseci za nove </w:t>
      </w:r>
      <w:r w:rsidR="00A05E28" w:rsidRPr="00D35073">
        <w:rPr>
          <w:sz w:val="22"/>
          <w:szCs w:val="22"/>
          <w:lang w:val="sr-Latn-ME"/>
        </w:rPr>
        <w:t>ispitanike</w:t>
      </w:r>
      <w:r w:rsidRPr="00D35073">
        <w:rPr>
          <w:sz w:val="22"/>
          <w:szCs w:val="22"/>
          <w:lang w:val="sr-Latn-ME"/>
        </w:rPr>
        <w:t xml:space="preserve">. </w:t>
      </w:r>
      <w:r w:rsidR="00A05E28" w:rsidRPr="00D35073">
        <w:rPr>
          <w:sz w:val="22"/>
          <w:szCs w:val="22"/>
          <w:lang w:val="sr-Latn-ME"/>
        </w:rPr>
        <w:t xml:space="preserve">Ispitanici </w:t>
      </w:r>
      <w:r w:rsidRPr="00D35073">
        <w:rPr>
          <w:sz w:val="22"/>
          <w:szCs w:val="22"/>
          <w:lang w:val="sr-Latn-ME"/>
        </w:rPr>
        <w:t xml:space="preserve"> su primali Cuta</w:t>
      </w:r>
      <w:r w:rsidR="00A05E28" w:rsidRPr="00D35073">
        <w:rPr>
          <w:sz w:val="22"/>
          <w:szCs w:val="22"/>
          <w:lang w:val="sr-Latn-ME"/>
        </w:rPr>
        <w:t>q</w:t>
      </w:r>
      <w:r w:rsidRPr="00D35073">
        <w:rPr>
          <w:sz w:val="22"/>
          <w:szCs w:val="22"/>
          <w:lang w:val="sr-Latn-ME"/>
        </w:rPr>
        <w:t>uig ned</w:t>
      </w:r>
      <w:r w:rsidR="00A05E28" w:rsidRPr="00D35073">
        <w:rPr>
          <w:sz w:val="22"/>
          <w:szCs w:val="22"/>
          <w:lang w:val="sr-Latn-ME"/>
        </w:rPr>
        <w:t>j</w:t>
      </w:r>
      <w:r w:rsidRPr="00D35073">
        <w:rPr>
          <w:sz w:val="22"/>
          <w:szCs w:val="22"/>
          <w:lang w:val="sr-Latn-ME"/>
        </w:rPr>
        <w:t xml:space="preserve">eljno (25 </w:t>
      </w:r>
      <w:r w:rsidR="007945BE" w:rsidRPr="00D35073">
        <w:rPr>
          <w:sz w:val="22"/>
          <w:szCs w:val="22"/>
          <w:lang w:val="sr-Latn-ME"/>
        </w:rPr>
        <w:t>ispitanika</w:t>
      </w:r>
      <w:r w:rsidRPr="00D35073">
        <w:rPr>
          <w:sz w:val="22"/>
          <w:szCs w:val="22"/>
          <w:lang w:val="sr-Latn-ME"/>
        </w:rPr>
        <w:t xml:space="preserve">) ili „svake druge nedelje“ (2 </w:t>
      </w:r>
      <w:r w:rsidR="007945BE" w:rsidRPr="00D35073">
        <w:rPr>
          <w:sz w:val="22"/>
          <w:szCs w:val="22"/>
          <w:lang w:val="sr-Latn-ME"/>
        </w:rPr>
        <w:t>ispitanika</w:t>
      </w:r>
      <w:r w:rsidRPr="00D35073">
        <w:rPr>
          <w:sz w:val="22"/>
          <w:szCs w:val="22"/>
          <w:lang w:val="sr-Latn-ME"/>
        </w:rPr>
        <w:t>). Srednja pros</w:t>
      </w:r>
      <w:r w:rsidR="00A05E28" w:rsidRPr="00D35073">
        <w:rPr>
          <w:sz w:val="22"/>
          <w:szCs w:val="22"/>
          <w:lang w:val="sr-Latn-ME"/>
        </w:rPr>
        <w:t>j</w:t>
      </w:r>
      <w:r w:rsidRPr="00D35073">
        <w:rPr>
          <w:sz w:val="22"/>
          <w:szCs w:val="22"/>
          <w:lang w:val="sr-Latn-ME"/>
        </w:rPr>
        <w:t>ečna stvarna doza Cuta</w:t>
      </w:r>
      <w:r w:rsidR="00A05E28" w:rsidRPr="00D35073">
        <w:rPr>
          <w:sz w:val="22"/>
          <w:szCs w:val="22"/>
          <w:lang w:val="sr-Latn-ME"/>
        </w:rPr>
        <w:t>q</w:t>
      </w:r>
      <w:r w:rsidRPr="00D35073">
        <w:rPr>
          <w:sz w:val="22"/>
          <w:szCs w:val="22"/>
          <w:lang w:val="sr-Latn-ME"/>
        </w:rPr>
        <w:t>uiga infuzije po pacijentu bila je 0,127 g/kg kod male d</w:t>
      </w:r>
      <w:r w:rsidR="00A05E28" w:rsidRPr="00D35073">
        <w:rPr>
          <w:sz w:val="22"/>
          <w:szCs w:val="22"/>
          <w:lang w:val="sr-Latn-ME"/>
        </w:rPr>
        <w:t>j</w:t>
      </w:r>
      <w:r w:rsidRPr="00D35073">
        <w:rPr>
          <w:sz w:val="22"/>
          <w:szCs w:val="22"/>
          <w:lang w:val="sr-Latn-ME"/>
        </w:rPr>
        <w:t>ece, 0,210 g/kg kod starije d</w:t>
      </w:r>
      <w:r w:rsidR="00A05E28" w:rsidRPr="00D35073">
        <w:rPr>
          <w:sz w:val="22"/>
          <w:szCs w:val="22"/>
          <w:lang w:val="sr-Latn-ME"/>
        </w:rPr>
        <w:t>j</w:t>
      </w:r>
      <w:r w:rsidRPr="00D35073">
        <w:rPr>
          <w:sz w:val="22"/>
          <w:szCs w:val="22"/>
          <w:lang w:val="sr-Latn-ME"/>
        </w:rPr>
        <w:t xml:space="preserve">ece, 0,160 g/kg kod adolescenata i </w:t>
      </w:r>
    </w:p>
    <w:p w14:paraId="1163F9F8" w14:textId="42C675E2" w:rsidR="006554FE" w:rsidRPr="00D35073" w:rsidRDefault="006554FE" w:rsidP="00C35410">
      <w:pPr>
        <w:tabs>
          <w:tab w:val="left" w:pos="540"/>
          <w:tab w:val="left" w:pos="569"/>
        </w:tabs>
        <w:jc w:val="both"/>
        <w:rPr>
          <w:sz w:val="22"/>
          <w:szCs w:val="22"/>
          <w:lang w:val="sr-Latn-ME"/>
        </w:rPr>
      </w:pPr>
      <w:r w:rsidRPr="00D35073">
        <w:rPr>
          <w:sz w:val="22"/>
          <w:szCs w:val="22"/>
          <w:lang w:val="sr-Latn-ME"/>
        </w:rPr>
        <w:t xml:space="preserve">0,166 g/kg kod odraslih pacijenata. </w:t>
      </w:r>
      <w:r w:rsidR="00A05E28" w:rsidRPr="00D35073">
        <w:rPr>
          <w:sz w:val="22"/>
          <w:szCs w:val="22"/>
          <w:lang w:val="sr-Latn-ME"/>
        </w:rPr>
        <w:t xml:space="preserve">Ispitanici </w:t>
      </w:r>
      <w:r w:rsidRPr="00D35073">
        <w:rPr>
          <w:sz w:val="22"/>
          <w:szCs w:val="22"/>
          <w:lang w:val="sr-Latn-ME"/>
        </w:rPr>
        <w:t xml:space="preserve"> su primili ukupnu dozu od 2777 infuzija (2740 nedeljno i 37 dvoned</w:t>
      </w:r>
      <w:r w:rsidR="00012897" w:rsidRPr="00D35073">
        <w:rPr>
          <w:sz w:val="22"/>
          <w:szCs w:val="22"/>
          <w:lang w:val="sr-Latn-ME"/>
        </w:rPr>
        <w:t>j</w:t>
      </w:r>
      <w:r w:rsidRPr="00D35073">
        <w:rPr>
          <w:sz w:val="22"/>
          <w:szCs w:val="22"/>
          <w:lang w:val="sr-Latn-ME"/>
        </w:rPr>
        <w:t>eljno). Prijavljen je jedan SBI (ozbiljna bakterijska infekcija) bakterijemije/sepse tipa infekcije.</w:t>
      </w:r>
    </w:p>
    <w:p w14:paraId="43795E55" w14:textId="77777777" w:rsidR="006554FE" w:rsidRPr="00D35073" w:rsidRDefault="006554FE" w:rsidP="00C35410">
      <w:pPr>
        <w:tabs>
          <w:tab w:val="left" w:pos="540"/>
          <w:tab w:val="left" w:pos="569"/>
        </w:tabs>
        <w:jc w:val="both"/>
        <w:rPr>
          <w:sz w:val="22"/>
          <w:szCs w:val="22"/>
          <w:lang w:val="sr-Latn-ME"/>
        </w:rPr>
      </w:pPr>
    </w:p>
    <w:p w14:paraId="2224C869" w14:textId="4381B643" w:rsidR="006554FE" w:rsidRPr="00D35073" w:rsidRDefault="006554FE" w:rsidP="00C35410">
      <w:pPr>
        <w:tabs>
          <w:tab w:val="left" w:pos="540"/>
          <w:tab w:val="left" w:pos="569"/>
        </w:tabs>
        <w:jc w:val="both"/>
        <w:rPr>
          <w:sz w:val="22"/>
          <w:szCs w:val="22"/>
          <w:lang w:val="sr-Latn-ME"/>
        </w:rPr>
      </w:pPr>
      <w:r w:rsidRPr="00D35073">
        <w:rPr>
          <w:sz w:val="22"/>
          <w:szCs w:val="22"/>
          <w:lang w:val="sr-Latn-ME"/>
        </w:rPr>
        <w:t>Da bi se pratila bezb</w:t>
      </w:r>
      <w:r w:rsidR="008D720A" w:rsidRPr="00D35073">
        <w:rPr>
          <w:sz w:val="22"/>
          <w:szCs w:val="22"/>
          <w:lang w:val="sr-Latn-ME"/>
        </w:rPr>
        <w:t>j</w:t>
      </w:r>
      <w:r w:rsidRPr="00D35073">
        <w:rPr>
          <w:sz w:val="22"/>
          <w:szCs w:val="22"/>
          <w:lang w:val="sr-Latn-ME"/>
        </w:rPr>
        <w:t xml:space="preserve">ednost, podnošljivost i efikasnost </w:t>
      </w:r>
      <w:r w:rsidR="007945BE" w:rsidRPr="00D35073">
        <w:rPr>
          <w:sz w:val="22"/>
          <w:szCs w:val="22"/>
          <w:lang w:val="sr-Latn-ME"/>
        </w:rPr>
        <w:t xml:space="preserve"> lijeka </w:t>
      </w:r>
      <w:r w:rsidRPr="00D35073">
        <w:rPr>
          <w:sz w:val="22"/>
          <w:szCs w:val="22"/>
          <w:lang w:val="sr-Latn-ME"/>
        </w:rPr>
        <w:t>Cuta</w:t>
      </w:r>
      <w:r w:rsidR="00E61D81" w:rsidRPr="00D35073">
        <w:rPr>
          <w:sz w:val="22"/>
          <w:szCs w:val="22"/>
          <w:lang w:val="sr-Latn-ME"/>
        </w:rPr>
        <w:t>q</w:t>
      </w:r>
      <w:r w:rsidRPr="00D35073">
        <w:rPr>
          <w:sz w:val="22"/>
          <w:szCs w:val="22"/>
          <w:lang w:val="sr-Latn-ME"/>
        </w:rPr>
        <w:t>uig, prospektivna, otvorena, multicentrična studija III faze sa tri kraka uključila je 64 ispitanika PID (59 odraslih, 1 malo d</w:t>
      </w:r>
      <w:r w:rsidR="00E61D81" w:rsidRPr="00D35073">
        <w:rPr>
          <w:sz w:val="22"/>
          <w:szCs w:val="22"/>
          <w:lang w:val="sr-Latn-ME"/>
        </w:rPr>
        <w:t>ij</w:t>
      </w:r>
      <w:r w:rsidRPr="00D35073">
        <w:rPr>
          <w:sz w:val="22"/>
          <w:szCs w:val="22"/>
          <w:lang w:val="sr-Latn-ME"/>
        </w:rPr>
        <w:t>ete [</w:t>
      </w:r>
      <w:r w:rsidR="00B54400" w:rsidRPr="00D35073">
        <w:rPr>
          <w:sz w:val="22"/>
          <w:szCs w:val="22"/>
          <w:lang w:val="sr-Latn-ME"/>
        </w:rPr>
        <w:t xml:space="preserve"> uzrasta </w:t>
      </w:r>
      <w:r w:rsidRPr="00D35073">
        <w:rPr>
          <w:sz w:val="22"/>
          <w:szCs w:val="22"/>
          <w:lang w:val="sr-Latn-ME"/>
        </w:rPr>
        <w:t>≥2 i &lt;6], 2 starija d</w:t>
      </w:r>
      <w:r w:rsidR="008D720A" w:rsidRPr="00D35073">
        <w:rPr>
          <w:sz w:val="22"/>
          <w:szCs w:val="22"/>
          <w:lang w:val="sr-Latn-ME"/>
        </w:rPr>
        <w:t>j</w:t>
      </w:r>
      <w:r w:rsidRPr="00D35073">
        <w:rPr>
          <w:sz w:val="22"/>
          <w:szCs w:val="22"/>
          <w:lang w:val="sr-Latn-ME"/>
        </w:rPr>
        <w:t>eca [</w:t>
      </w:r>
      <w:r w:rsidR="00B54400" w:rsidRPr="00D35073">
        <w:rPr>
          <w:sz w:val="22"/>
          <w:szCs w:val="22"/>
          <w:lang w:val="sr-Latn-ME"/>
        </w:rPr>
        <w:t xml:space="preserve">uzrasta </w:t>
      </w:r>
      <w:r w:rsidRPr="00D35073">
        <w:rPr>
          <w:sz w:val="22"/>
          <w:szCs w:val="22"/>
          <w:lang w:val="sr-Latn-ME"/>
        </w:rPr>
        <w:t>≥6 i &lt; 12], 2 adolescenta [</w:t>
      </w:r>
      <w:r w:rsidR="00B54400" w:rsidRPr="00D35073">
        <w:rPr>
          <w:sz w:val="22"/>
          <w:szCs w:val="22"/>
          <w:lang w:val="sr-Latn-ME"/>
        </w:rPr>
        <w:t xml:space="preserve"> uzrasta </w:t>
      </w:r>
      <w:r w:rsidRPr="00D35073">
        <w:rPr>
          <w:sz w:val="22"/>
          <w:szCs w:val="22"/>
          <w:lang w:val="sr-Latn-ME"/>
        </w:rPr>
        <w:t>≥12 i &lt;17]) starosti od 5 do 74 godine.</w:t>
      </w:r>
    </w:p>
    <w:p w14:paraId="78291C56" w14:textId="01C6511D" w:rsidR="006554FE" w:rsidRPr="00D35073" w:rsidRDefault="006554FE" w:rsidP="00C35410">
      <w:pPr>
        <w:tabs>
          <w:tab w:val="left" w:pos="540"/>
          <w:tab w:val="left" w:pos="569"/>
        </w:tabs>
        <w:jc w:val="both"/>
        <w:rPr>
          <w:sz w:val="22"/>
          <w:szCs w:val="22"/>
          <w:lang w:val="sr-Latn-ME"/>
        </w:rPr>
      </w:pPr>
      <w:r w:rsidRPr="00D35073">
        <w:rPr>
          <w:sz w:val="22"/>
          <w:szCs w:val="22"/>
          <w:lang w:val="sr-Latn-ME"/>
        </w:rPr>
        <w:t>Nakon završetka 4-ned</w:t>
      </w:r>
      <w:r w:rsidR="0028663A" w:rsidRPr="00D35073">
        <w:rPr>
          <w:sz w:val="22"/>
          <w:szCs w:val="22"/>
          <w:lang w:val="sr-Latn-ME"/>
        </w:rPr>
        <w:t>j</w:t>
      </w:r>
      <w:r w:rsidRPr="00D35073">
        <w:rPr>
          <w:sz w:val="22"/>
          <w:szCs w:val="22"/>
          <w:lang w:val="sr-Latn-ME"/>
        </w:rPr>
        <w:t xml:space="preserve">eljnog perioda stabilizacije, </w:t>
      </w:r>
      <w:r w:rsidR="00767565" w:rsidRPr="00D35073">
        <w:rPr>
          <w:sz w:val="22"/>
          <w:szCs w:val="22"/>
          <w:lang w:val="sr-Latn-ME"/>
        </w:rPr>
        <w:t xml:space="preserve">ispitanici </w:t>
      </w:r>
      <w:r w:rsidRPr="00D35073">
        <w:rPr>
          <w:sz w:val="22"/>
          <w:szCs w:val="22"/>
          <w:lang w:val="sr-Latn-ME"/>
        </w:rPr>
        <w:t xml:space="preserve"> su ušli u period l</w:t>
      </w:r>
      <w:r w:rsidR="00767565" w:rsidRPr="00D35073">
        <w:rPr>
          <w:sz w:val="22"/>
          <w:szCs w:val="22"/>
          <w:lang w:val="sr-Latn-ME"/>
        </w:rPr>
        <w:t>ij</w:t>
      </w:r>
      <w:r w:rsidRPr="00D35073">
        <w:rPr>
          <w:sz w:val="22"/>
          <w:szCs w:val="22"/>
          <w:lang w:val="sr-Latn-ME"/>
        </w:rPr>
        <w:t>ečenja sa praćenjem od 24 nedelje i raspoređeni su u jednu od 3 kohorte:</w:t>
      </w:r>
    </w:p>
    <w:p w14:paraId="5C311849" w14:textId="2FEBE327" w:rsidR="006554FE" w:rsidRPr="00D35073" w:rsidRDefault="006554FE" w:rsidP="00C35410">
      <w:pPr>
        <w:tabs>
          <w:tab w:val="left" w:pos="540"/>
          <w:tab w:val="left" w:pos="569"/>
        </w:tabs>
        <w:jc w:val="both"/>
        <w:rPr>
          <w:sz w:val="22"/>
          <w:szCs w:val="22"/>
          <w:lang w:val="sr-Latn-ME"/>
        </w:rPr>
      </w:pPr>
      <w:r w:rsidRPr="00D35073">
        <w:rPr>
          <w:sz w:val="22"/>
          <w:szCs w:val="22"/>
          <w:lang w:val="sr-Latn-ME"/>
        </w:rPr>
        <w:t>• Kohorta 1 je proc</w:t>
      </w:r>
      <w:r w:rsidR="00DA0121" w:rsidRPr="00D35073">
        <w:rPr>
          <w:sz w:val="22"/>
          <w:szCs w:val="22"/>
          <w:lang w:val="sr-Latn-ME"/>
        </w:rPr>
        <w:t>ij</w:t>
      </w:r>
      <w:r w:rsidRPr="00D35073">
        <w:rPr>
          <w:sz w:val="22"/>
          <w:szCs w:val="22"/>
          <w:lang w:val="sr-Latn-ME"/>
        </w:rPr>
        <w:t>enila povećanu zapreminu po m</w:t>
      </w:r>
      <w:r w:rsidR="00DA0121"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 xml:space="preserve"> do maksimalno 100 ml po m</w:t>
      </w:r>
      <w:r w:rsidR="00DA0121"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w:t>
      </w:r>
    </w:p>
    <w:p w14:paraId="627D8AE6" w14:textId="6D52065C" w:rsidR="006554FE" w:rsidRPr="00D35073" w:rsidRDefault="006554FE" w:rsidP="00C35410">
      <w:pPr>
        <w:tabs>
          <w:tab w:val="left" w:pos="540"/>
          <w:tab w:val="left" w:pos="569"/>
        </w:tabs>
        <w:jc w:val="both"/>
        <w:rPr>
          <w:sz w:val="22"/>
          <w:szCs w:val="22"/>
          <w:lang w:val="sr-Latn-ME"/>
        </w:rPr>
      </w:pPr>
      <w:r w:rsidRPr="00D35073">
        <w:rPr>
          <w:sz w:val="22"/>
          <w:szCs w:val="22"/>
          <w:lang w:val="sr-Latn-ME"/>
        </w:rPr>
        <w:t>• Kohorta 2 je proc</w:t>
      </w:r>
      <w:r w:rsidR="00DA0121" w:rsidRPr="00D35073">
        <w:rPr>
          <w:sz w:val="22"/>
          <w:szCs w:val="22"/>
          <w:lang w:val="sr-Latn-ME"/>
        </w:rPr>
        <w:t>ij</w:t>
      </w:r>
      <w:r w:rsidRPr="00D35073">
        <w:rPr>
          <w:sz w:val="22"/>
          <w:szCs w:val="22"/>
          <w:lang w:val="sr-Latn-ME"/>
        </w:rPr>
        <w:t>enila povećanu brzinu protoka infuzije po m</w:t>
      </w:r>
      <w:r w:rsidR="00DA0121"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 xml:space="preserve"> do maksimalno 100 ml/h/m</w:t>
      </w:r>
      <w:r w:rsidR="008D720A"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 xml:space="preserve"> ili maksimalnog protoka koji se može postići pomoću pumpe.</w:t>
      </w:r>
    </w:p>
    <w:p w14:paraId="0546865B" w14:textId="06188C0F" w:rsidR="006554FE" w:rsidRPr="00D35073" w:rsidRDefault="006554FE" w:rsidP="00C35410">
      <w:pPr>
        <w:tabs>
          <w:tab w:val="left" w:pos="540"/>
          <w:tab w:val="left" w:pos="569"/>
        </w:tabs>
        <w:jc w:val="both"/>
        <w:rPr>
          <w:sz w:val="22"/>
          <w:szCs w:val="22"/>
          <w:lang w:val="sr-Latn-ME"/>
        </w:rPr>
      </w:pPr>
      <w:r w:rsidRPr="00D35073">
        <w:rPr>
          <w:sz w:val="22"/>
          <w:szCs w:val="22"/>
          <w:lang w:val="sr-Latn-ME"/>
        </w:rPr>
        <w:t>• Kohorta 3 je proc</w:t>
      </w:r>
      <w:r w:rsidR="00DA0121" w:rsidRPr="00D35073">
        <w:rPr>
          <w:sz w:val="22"/>
          <w:szCs w:val="22"/>
          <w:lang w:val="sr-Latn-ME"/>
        </w:rPr>
        <w:t>ij</w:t>
      </w:r>
      <w:r w:rsidRPr="00D35073">
        <w:rPr>
          <w:sz w:val="22"/>
          <w:szCs w:val="22"/>
          <w:lang w:val="sr-Latn-ME"/>
        </w:rPr>
        <w:t>enila Cuta</w:t>
      </w:r>
      <w:r w:rsidR="00DA0121" w:rsidRPr="00D35073">
        <w:rPr>
          <w:sz w:val="22"/>
          <w:szCs w:val="22"/>
          <w:lang w:val="sr-Latn-ME"/>
        </w:rPr>
        <w:t>q</w:t>
      </w:r>
      <w:r w:rsidRPr="00D35073">
        <w:rPr>
          <w:sz w:val="22"/>
          <w:szCs w:val="22"/>
          <w:lang w:val="sr-Latn-ME"/>
        </w:rPr>
        <w:t>uig na rasporedu svake druge ned</w:t>
      </w:r>
      <w:r w:rsidR="0028663A" w:rsidRPr="00D35073">
        <w:rPr>
          <w:sz w:val="22"/>
          <w:szCs w:val="22"/>
          <w:lang w:val="sr-Latn-ME"/>
        </w:rPr>
        <w:t>j</w:t>
      </w:r>
      <w:r w:rsidRPr="00D35073">
        <w:rPr>
          <w:sz w:val="22"/>
          <w:szCs w:val="22"/>
          <w:lang w:val="sr-Latn-ME"/>
        </w:rPr>
        <w:t>elje u ekvivalentu dvostruke ned</w:t>
      </w:r>
      <w:r w:rsidR="00DA0121" w:rsidRPr="00D35073">
        <w:rPr>
          <w:sz w:val="22"/>
          <w:szCs w:val="22"/>
          <w:lang w:val="sr-Latn-ME"/>
        </w:rPr>
        <w:t>j</w:t>
      </w:r>
      <w:r w:rsidRPr="00D35073">
        <w:rPr>
          <w:sz w:val="22"/>
          <w:szCs w:val="22"/>
          <w:lang w:val="sr-Latn-ME"/>
        </w:rPr>
        <w:t>eljne doze zavisne od t</w:t>
      </w:r>
      <w:r w:rsidR="00DA0121" w:rsidRPr="00D35073">
        <w:rPr>
          <w:sz w:val="22"/>
          <w:szCs w:val="22"/>
          <w:lang w:val="sr-Latn-ME"/>
        </w:rPr>
        <w:t>j</w:t>
      </w:r>
      <w:r w:rsidRPr="00D35073">
        <w:rPr>
          <w:sz w:val="22"/>
          <w:szCs w:val="22"/>
          <w:lang w:val="sr-Latn-ME"/>
        </w:rPr>
        <w:t>elesne težine pacijenta (mg/kg).</w:t>
      </w:r>
    </w:p>
    <w:p w14:paraId="7D9CFAA4" w14:textId="77777777" w:rsidR="006554FE" w:rsidRPr="00D35073" w:rsidRDefault="006554FE" w:rsidP="00C35410">
      <w:pPr>
        <w:tabs>
          <w:tab w:val="left" w:pos="540"/>
          <w:tab w:val="left" w:pos="569"/>
        </w:tabs>
        <w:jc w:val="both"/>
        <w:rPr>
          <w:sz w:val="22"/>
          <w:szCs w:val="22"/>
          <w:lang w:val="sr-Latn-ME"/>
        </w:rPr>
      </w:pPr>
    </w:p>
    <w:p w14:paraId="0A485E84" w14:textId="58198BF0" w:rsidR="006554FE" w:rsidRPr="00D35073" w:rsidRDefault="006554FE" w:rsidP="00C35410">
      <w:pPr>
        <w:tabs>
          <w:tab w:val="left" w:pos="540"/>
          <w:tab w:val="left" w:pos="569"/>
        </w:tabs>
        <w:jc w:val="both"/>
        <w:rPr>
          <w:sz w:val="22"/>
          <w:szCs w:val="22"/>
          <w:lang w:val="sr-Latn-ME"/>
        </w:rPr>
      </w:pPr>
      <w:r w:rsidRPr="00D35073">
        <w:rPr>
          <w:sz w:val="22"/>
          <w:szCs w:val="22"/>
          <w:lang w:val="sr-Latn-ME"/>
        </w:rPr>
        <w:t>Zajednička primarna krajnja tačka bila je upoređivanje ukupnih najnižih nivoa IgG od ned</w:t>
      </w:r>
      <w:r w:rsidR="00372395" w:rsidRPr="00D35073">
        <w:rPr>
          <w:sz w:val="22"/>
          <w:szCs w:val="22"/>
          <w:lang w:val="sr-Latn-ME"/>
        </w:rPr>
        <w:t>j</w:t>
      </w:r>
      <w:r w:rsidRPr="00D35073">
        <w:rPr>
          <w:sz w:val="22"/>
          <w:szCs w:val="22"/>
          <w:lang w:val="sr-Latn-ME"/>
        </w:rPr>
        <w:t>eljnih infuzija sa infuzijama svake druge ned</w:t>
      </w:r>
      <w:r w:rsidR="00372395" w:rsidRPr="00D35073">
        <w:rPr>
          <w:sz w:val="22"/>
          <w:szCs w:val="22"/>
          <w:lang w:val="sr-Latn-ME"/>
        </w:rPr>
        <w:t>j</w:t>
      </w:r>
      <w:r w:rsidRPr="00D35073">
        <w:rPr>
          <w:sz w:val="22"/>
          <w:szCs w:val="22"/>
          <w:lang w:val="sr-Latn-ME"/>
        </w:rPr>
        <w:t>elje i proc</w:t>
      </w:r>
      <w:r w:rsidR="00372395" w:rsidRPr="00D35073">
        <w:rPr>
          <w:sz w:val="22"/>
          <w:szCs w:val="22"/>
          <w:lang w:val="sr-Latn-ME"/>
        </w:rPr>
        <w:t>j</w:t>
      </w:r>
      <w:r w:rsidRPr="00D35073">
        <w:rPr>
          <w:sz w:val="22"/>
          <w:szCs w:val="22"/>
          <w:lang w:val="sr-Latn-ME"/>
        </w:rPr>
        <w:t>ena bezb</w:t>
      </w:r>
      <w:r w:rsidR="00372395" w:rsidRPr="00D35073">
        <w:rPr>
          <w:sz w:val="22"/>
          <w:szCs w:val="22"/>
          <w:lang w:val="sr-Latn-ME"/>
        </w:rPr>
        <w:t>j</w:t>
      </w:r>
      <w:r w:rsidRPr="00D35073">
        <w:rPr>
          <w:sz w:val="22"/>
          <w:szCs w:val="22"/>
          <w:lang w:val="sr-Latn-ME"/>
        </w:rPr>
        <w:t>ednosti i podnošljivosti povećane zapremine infuzije i povećane brzine infuzije na svakom m</w:t>
      </w:r>
      <w:r w:rsidR="00372395" w:rsidRPr="00D35073">
        <w:rPr>
          <w:sz w:val="22"/>
          <w:szCs w:val="22"/>
          <w:lang w:val="sr-Latn-ME"/>
        </w:rPr>
        <w:t>j</w:t>
      </w:r>
      <w:r w:rsidRPr="00D35073">
        <w:rPr>
          <w:sz w:val="22"/>
          <w:szCs w:val="22"/>
          <w:lang w:val="sr-Latn-ME"/>
        </w:rPr>
        <w:t>estu infuzije i svake druge ned</w:t>
      </w:r>
      <w:r w:rsidR="00372395" w:rsidRPr="00D35073">
        <w:rPr>
          <w:sz w:val="22"/>
          <w:szCs w:val="22"/>
          <w:lang w:val="sr-Latn-ME"/>
        </w:rPr>
        <w:t>j</w:t>
      </w:r>
      <w:r w:rsidRPr="00D35073">
        <w:rPr>
          <w:sz w:val="22"/>
          <w:szCs w:val="22"/>
          <w:lang w:val="sr-Latn-ME"/>
        </w:rPr>
        <w:t>elje doziranja.</w:t>
      </w:r>
    </w:p>
    <w:p w14:paraId="155EA807" w14:textId="77777777" w:rsidR="006554FE" w:rsidRPr="00D35073" w:rsidRDefault="006554FE" w:rsidP="00C35410">
      <w:pPr>
        <w:tabs>
          <w:tab w:val="left" w:pos="540"/>
          <w:tab w:val="left" w:pos="569"/>
        </w:tabs>
        <w:jc w:val="both"/>
        <w:rPr>
          <w:sz w:val="22"/>
          <w:szCs w:val="22"/>
          <w:lang w:val="sr-Latn-ME"/>
        </w:rPr>
      </w:pPr>
    </w:p>
    <w:p w14:paraId="6B60BF40" w14:textId="3360E7CF" w:rsidR="006554FE" w:rsidRPr="00D35073" w:rsidRDefault="006554FE" w:rsidP="00C35410">
      <w:pPr>
        <w:tabs>
          <w:tab w:val="left" w:pos="540"/>
          <w:tab w:val="left" w:pos="569"/>
        </w:tabs>
        <w:jc w:val="both"/>
        <w:rPr>
          <w:sz w:val="22"/>
          <w:szCs w:val="22"/>
          <w:lang w:val="sr-Latn-ME"/>
        </w:rPr>
      </w:pPr>
      <w:r w:rsidRPr="00D35073">
        <w:rPr>
          <w:sz w:val="22"/>
          <w:szCs w:val="22"/>
          <w:lang w:val="sr-Latn-ME"/>
        </w:rPr>
        <w:lastRenderedPageBreak/>
        <w:t xml:space="preserve">Sve u svemu, </w:t>
      </w:r>
      <w:r w:rsidR="00865426" w:rsidRPr="00D35073">
        <w:rPr>
          <w:sz w:val="22"/>
          <w:szCs w:val="22"/>
          <w:lang w:val="sr-Latn-ME"/>
        </w:rPr>
        <w:t xml:space="preserve">ispitanici </w:t>
      </w:r>
      <w:r w:rsidRPr="00D35073">
        <w:rPr>
          <w:sz w:val="22"/>
          <w:szCs w:val="22"/>
          <w:lang w:val="sr-Latn-ME"/>
        </w:rPr>
        <w:t xml:space="preserve"> su primili ukupno 1338 infuzija (386 u kohorti 1, 396 u kohorti 2, 556 u kohorti 3). U kohorti 1 (n=15 odraslih) srednja maksimalna ostvarena zapremina po m</w:t>
      </w:r>
      <w:r w:rsidR="00552532"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 xml:space="preserve"> iznosila je 69,4 ml po m</w:t>
      </w:r>
      <w:r w:rsidR="00552532"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 xml:space="preserve"> sa maksimalnom zapreminom od 108 ml po m</w:t>
      </w:r>
      <w:r w:rsidR="00552532"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 Jedna trećina ispitanika (5/15; 33,3%) postigla je ≥90% dozvoljene maksimalne zapremine od 100 ml/mjestu</w:t>
      </w:r>
      <w:r w:rsidR="0028663A" w:rsidRPr="00D35073">
        <w:rPr>
          <w:sz w:val="22"/>
          <w:szCs w:val="22"/>
          <w:lang w:val="sr-Latn-ME"/>
        </w:rPr>
        <w:t xml:space="preserve"> primjene</w:t>
      </w:r>
      <w:r w:rsidRPr="00D35073">
        <w:rPr>
          <w:sz w:val="22"/>
          <w:szCs w:val="22"/>
          <w:lang w:val="sr-Latn-ME"/>
        </w:rPr>
        <w:t>, druga trećina je postigla između 50% i &lt;90% dozvoljenog maksimuma, a jedna trećina &lt;50 % dozvoljenog maksimuma. Srednja maksimalna ostvarena brzina protoka po</w:t>
      </w:r>
      <w:r w:rsidR="005B5D6E" w:rsidRPr="00D35073">
        <w:rPr>
          <w:sz w:val="22"/>
          <w:szCs w:val="22"/>
          <w:lang w:val="sr-Latn-ME"/>
        </w:rPr>
        <w:t xml:space="preserve"> ispitaniku </w:t>
      </w:r>
      <w:r w:rsidRPr="00D35073">
        <w:rPr>
          <w:sz w:val="22"/>
          <w:szCs w:val="22"/>
          <w:lang w:val="sr-Latn-ME"/>
        </w:rPr>
        <w:t xml:space="preserve"> bila je 56,9 ml/h, u rasponu od 34,0 ml/h do 94,7 ml/h</w:t>
      </w:r>
      <w:r w:rsidR="00E86050" w:rsidRPr="00D35073">
        <w:rPr>
          <w:sz w:val="22"/>
          <w:szCs w:val="22"/>
          <w:lang w:val="sr-Latn-ME"/>
        </w:rPr>
        <w:t>.</w:t>
      </w:r>
    </w:p>
    <w:p w14:paraId="7995E89E" w14:textId="384A843E" w:rsidR="006554FE" w:rsidRPr="00D35073" w:rsidRDefault="006554FE" w:rsidP="00C35410">
      <w:pPr>
        <w:tabs>
          <w:tab w:val="left" w:pos="540"/>
          <w:tab w:val="left" w:pos="569"/>
        </w:tabs>
        <w:jc w:val="both"/>
        <w:rPr>
          <w:sz w:val="22"/>
          <w:szCs w:val="22"/>
          <w:lang w:val="sr-Latn-ME"/>
        </w:rPr>
      </w:pPr>
      <w:r w:rsidRPr="00D35073">
        <w:rPr>
          <w:sz w:val="22"/>
          <w:szCs w:val="22"/>
          <w:lang w:val="sr-Latn-ME"/>
        </w:rPr>
        <w:t>U kohorti 2 (n=15, [13 odraslih, 1 starij</w:t>
      </w:r>
      <w:r w:rsidR="00EA623B" w:rsidRPr="00D35073">
        <w:rPr>
          <w:sz w:val="22"/>
          <w:szCs w:val="22"/>
          <w:lang w:val="sr-Latn-ME"/>
        </w:rPr>
        <w:t xml:space="preserve">e </w:t>
      </w:r>
      <w:r w:rsidRPr="00D35073">
        <w:rPr>
          <w:sz w:val="22"/>
          <w:szCs w:val="22"/>
          <w:lang w:val="sr-Latn-ME"/>
        </w:rPr>
        <w:t xml:space="preserve"> d</w:t>
      </w:r>
      <w:r w:rsidR="00EA623B" w:rsidRPr="00D35073">
        <w:rPr>
          <w:sz w:val="22"/>
          <w:szCs w:val="22"/>
          <w:lang w:val="sr-Latn-ME"/>
        </w:rPr>
        <w:t xml:space="preserve">ijete </w:t>
      </w:r>
      <w:r w:rsidRPr="00D35073">
        <w:rPr>
          <w:sz w:val="22"/>
          <w:szCs w:val="22"/>
          <w:lang w:val="sr-Latn-ME"/>
        </w:rPr>
        <w:t xml:space="preserve"> [</w:t>
      </w:r>
      <w:r w:rsidR="00D040B9" w:rsidRPr="00D35073">
        <w:rPr>
          <w:sz w:val="22"/>
          <w:szCs w:val="22"/>
          <w:lang w:val="sr-Latn-ME"/>
        </w:rPr>
        <w:t xml:space="preserve"> uzrasta </w:t>
      </w:r>
      <w:r w:rsidRPr="00D35073">
        <w:rPr>
          <w:sz w:val="22"/>
          <w:szCs w:val="22"/>
          <w:lang w:val="sr-Latn-ME"/>
        </w:rPr>
        <w:t>≥6 i &lt;12], 1 adolescent [</w:t>
      </w:r>
      <w:r w:rsidR="00D040B9" w:rsidRPr="00D35073">
        <w:rPr>
          <w:sz w:val="22"/>
          <w:szCs w:val="22"/>
          <w:lang w:val="sr-Latn-ME"/>
        </w:rPr>
        <w:t xml:space="preserve"> uzrasta </w:t>
      </w:r>
      <w:r w:rsidRPr="00D35073">
        <w:rPr>
          <w:sz w:val="22"/>
          <w:szCs w:val="22"/>
          <w:lang w:val="sr-Latn-ME"/>
        </w:rPr>
        <w:t>≥12 i &lt;17]) srednja maksimalna ostvarena brzina protoka po m</w:t>
      </w:r>
      <w:r w:rsidR="00552532"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 xml:space="preserve"> bila je 42,1 ml/h/</w:t>
      </w:r>
      <w:r w:rsidR="00D040B9" w:rsidRPr="00D35073">
        <w:rPr>
          <w:sz w:val="22"/>
          <w:szCs w:val="22"/>
          <w:lang w:val="sr-Latn-ME"/>
        </w:rPr>
        <w:t xml:space="preserve">na </w:t>
      </w:r>
      <w:r w:rsidRPr="00D35073">
        <w:rPr>
          <w:sz w:val="22"/>
          <w:szCs w:val="22"/>
          <w:lang w:val="sr-Latn-ME"/>
        </w:rPr>
        <w:t>m</w:t>
      </w:r>
      <w:r w:rsidR="00552532" w:rsidRPr="00D35073">
        <w:rPr>
          <w:sz w:val="22"/>
          <w:szCs w:val="22"/>
          <w:lang w:val="sr-Latn-ME"/>
        </w:rPr>
        <w:t>j</w:t>
      </w:r>
      <w:r w:rsidRPr="00D35073">
        <w:rPr>
          <w:sz w:val="22"/>
          <w:szCs w:val="22"/>
          <w:lang w:val="sr-Latn-ME"/>
        </w:rPr>
        <w:t>estu</w:t>
      </w:r>
      <w:r w:rsidR="0028663A" w:rsidRPr="00D35073">
        <w:rPr>
          <w:sz w:val="22"/>
          <w:szCs w:val="22"/>
          <w:lang w:val="sr-Latn-ME"/>
        </w:rPr>
        <w:t xml:space="preserve"> primjene</w:t>
      </w:r>
      <w:r w:rsidRPr="00D35073">
        <w:rPr>
          <w:sz w:val="22"/>
          <w:szCs w:val="22"/>
          <w:lang w:val="sr-Latn-ME"/>
        </w:rPr>
        <w:t xml:space="preserve"> sa maksimaln</w:t>
      </w:r>
      <w:r w:rsidR="00D040B9" w:rsidRPr="00D35073">
        <w:rPr>
          <w:sz w:val="22"/>
          <w:szCs w:val="22"/>
          <w:lang w:val="sr-Latn-ME"/>
        </w:rPr>
        <w:t xml:space="preserve">im </w:t>
      </w:r>
      <w:r w:rsidRPr="00D35073">
        <w:rPr>
          <w:sz w:val="22"/>
          <w:szCs w:val="22"/>
          <w:lang w:val="sr-Latn-ME"/>
        </w:rPr>
        <w:t>protok</w:t>
      </w:r>
      <w:r w:rsidR="00D040B9" w:rsidRPr="00D35073">
        <w:rPr>
          <w:sz w:val="22"/>
          <w:szCs w:val="22"/>
          <w:lang w:val="sr-Latn-ME"/>
        </w:rPr>
        <w:t xml:space="preserve">om </w:t>
      </w:r>
      <w:r w:rsidRPr="00D35073">
        <w:rPr>
          <w:sz w:val="22"/>
          <w:szCs w:val="22"/>
          <w:lang w:val="sr-Latn-ME"/>
        </w:rPr>
        <w:t xml:space="preserve"> od 67,5 ml/h po m</w:t>
      </w:r>
      <w:r w:rsidR="00552532" w:rsidRPr="00D35073">
        <w:rPr>
          <w:sz w:val="22"/>
          <w:szCs w:val="22"/>
          <w:lang w:val="sr-Latn-ME"/>
        </w:rPr>
        <w:t>j</w:t>
      </w:r>
      <w:r w:rsidRPr="00D35073">
        <w:rPr>
          <w:sz w:val="22"/>
          <w:szCs w:val="22"/>
          <w:lang w:val="sr-Latn-ME"/>
        </w:rPr>
        <w:t>estu. 73,3% je postiglo maksimalnu brzinu protoka po m</w:t>
      </w:r>
      <w:r w:rsidR="00D040B9" w:rsidRPr="00D35073">
        <w:rPr>
          <w:sz w:val="22"/>
          <w:szCs w:val="22"/>
          <w:lang w:val="sr-Latn-ME"/>
        </w:rPr>
        <w:t>j</w:t>
      </w:r>
      <w:r w:rsidRPr="00D35073">
        <w:rPr>
          <w:sz w:val="22"/>
          <w:szCs w:val="22"/>
          <w:lang w:val="sr-Latn-ME"/>
        </w:rPr>
        <w:t xml:space="preserve">estu </w:t>
      </w:r>
      <w:r w:rsidR="0028663A" w:rsidRPr="00D35073">
        <w:rPr>
          <w:sz w:val="22"/>
          <w:szCs w:val="22"/>
          <w:lang w:val="sr-Latn-ME"/>
        </w:rPr>
        <w:t xml:space="preserve">primjene </w:t>
      </w:r>
      <w:r w:rsidRPr="00D35073">
        <w:rPr>
          <w:sz w:val="22"/>
          <w:szCs w:val="22"/>
          <w:lang w:val="sr-Latn-ME"/>
        </w:rPr>
        <w:t>od &lt;50% dozvoljenog maksimuma od 100 ml/h/mestu</w:t>
      </w:r>
      <w:r w:rsidR="0028663A" w:rsidRPr="00D35073">
        <w:rPr>
          <w:sz w:val="22"/>
          <w:szCs w:val="22"/>
          <w:lang w:val="sr-Latn-ME"/>
        </w:rPr>
        <w:t xml:space="preserve"> primjene</w:t>
      </w:r>
      <w:r w:rsidRPr="00D35073">
        <w:rPr>
          <w:sz w:val="22"/>
          <w:szCs w:val="22"/>
          <w:lang w:val="sr-Latn-ME"/>
        </w:rPr>
        <w:t xml:space="preserve">, a preostalih 26,7% je dostiglo između 50% i 75% dozvoljenog maksimuma. Srednja maksimalna ostvarena brzina protoka po </w:t>
      </w:r>
      <w:r w:rsidR="00865426" w:rsidRPr="00D35073">
        <w:rPr>
          <w:sz w:val="22"/>
          <w:szCs w:val="22"/>
          <w:lang w:val="sr-Latn-ME"/>
        </w:rPr>
        <w:t xml:space="preserve">ispitaniku </w:t>
      </w:r>
      <w:r w:rsidRPr="00D35073">
        <w:rPr>
          <w:sz w:val="22"/>
          <w:szCs w:val="22"/>
          <w:lang w:val="sr-Latn-ME"/>
        </w:rPr>
        <w:t xml:space="preserve"> bila je 135,0 ml/h, u rasponu od 51,4 ml/h do 192,0 ml/h.</w:t>
      </w:r>
    </w:p>
    <w:p w14:paraId="0709E4AC" w14:textId="52ACBF86" w:rsidR="006554FE" w:rsidRPr="00D35073" w:rsidRDefault="006554FE" w:rsidP="00C35410">
      <w:pPr>
        <w:tabs>
          <w:tab w:val="left" w:pos="540"/>
          <w:tab w:val="left" w:pos="569"/>
        </w:tabs>
        <w:jc w:val="both"/>
        <w:rPr>
          <w:sz w:val="22"/>
          <w:szCs w:val="22"/>
          <w:lang w:val="sr-Latn-ME"/>
        </w:rPr>
      </w:pPr>
      <w:r w:rsidRPr="00D35073">
        <w:rPr>
          <w:sz w:val="22"/>
          <w:szCs w:val="22"/>
          <w:lang w:val="sr-Latn-ME"/>
        </w:rPr>
        <w:t>U kohorti 3 (n=34, [31 odrasla osoba, 1 mal</w:t>
      </w:r>
      <w:r w:rsidR="00552532" w:rsidRPr="00D35073">
        <w:rPr>
          <w:sz w:val="22"/>
          <w:szCs w:val="22"/>
          <w:lang w:val="sr-Latn-ME"/>
        </w:rPr>
        <w:t xml:space="preserve">o dijete </w:t>
      </w:r>
      <w:r w:rsidRPr="00D35073">
        <w:rPr>
          <w:sz w:val="22"/>
          <w:szCs w:val="22"/>
          <w:lang w:val="sr-Latn-ME"/>
        </w:rPr>
        <w:t xml:space="preserve"> [</w:t>
      </w:r>
      <w:r w:rsidR="00D040B9" w:rsidRPr="00D35073">
        <w:rPr>
          <w:sz w:val="22"/>
          <w:szCs w:val="22"/>
          <w:lang w:val="sr-Latn-ME"/>
        </w:rPr>
        <w:t xml:space="preserve"> uzrasta </w:t>
      </w:r>
      <w:r w:rsidRPr="00D35073">
        <w:rPr>
          <w:sz w:val="22"/>
          <w:szCs w:val="22"/>
          <w:lang w:val="sr-Latn-ME"/>
        </w:rPr>
        <w:t>≥2 i &lt;6], 1 starija deca [</w:t>
      </w:r>
      <w:r w:rsidR="00D040B9" w:rsidRPr="00D35073">
        <w:rPr>
          <w:sz w:val="22"/>
          <w:szCs w:val="22"/>
          <w:lang w:val="sr-Latn-ME"/>
        </w:rPr>
        <w:t xml:space="preserve"> uzrasta </w:t>
      </w:r>
      <w:r w:rsidRPr="00D35073">
        <w:rPr>
          <w:sz w:val="22"/>
          <w:szCs w:val="22"/>
          <w:lang w:val="sr-Latn-ME"/>
        </w:rPr>
        <w:t>≥6 i &lt;12], 1 adolescent [</w:t>
      </w:r>
      <w:r w:rsidR="00D040B9" w:rsidRPr="00D35073">
        <w:rPr>
          <w:sz w:val="22"/>
          <w:szCs w:val="22"/>
          <w:lang w:val="sr-Latn-ME"/>
        </w:rPr>
        <w:t xml:space="preserve"> uzrasta </w:t>
      </w:r>
      <w:r w:rsidRPr="00D35073">
        <w:rPr>
          <w:sz w:val="22"/>
          <w:szCs w:val="22"/>
          <w:lang w:val="sr-Latn-ME"/>
        </w:rPr>
        <w:t>≥12 i &lt;17]), smanjenje srednje vr</w:t>
      </w:r>
      <w:r w:rsidR="00552532" w:rsidRPr="00D35073">
        <w:rPr>
          <w:sz w:val="22"/>
          <w:szCs w:val="22"/>
          <w:lang w:val="sr-Latn-ME"/>
        </w:rPr>
        <w:t>ij</w:t>
      </w:r>
      <w:r w:rsidRPr="00D35073">
        <w:rPr>
          <w:sz w:val="22"/>
          <w:szCs w:val="22"/>
          <w:lang w:val="sr-Latn-ME"/>
        </w:rPr>
        <w:t>ednosti ( SD) najniži nivoi ukupnih IgG su prim</w:t>
      </w:r>
      <w:r w:rsidR="00552532" w:rsidRPr="00D35073">
        <w:rPr>
          <w:sz w:val="22"/>
          <w:szCs w:val="22"/>
          <w:lang w:val="sr-Latn-ME"/>
        </w:rPr>
        <w:t>ij</w:t>
      </w:r>
      <w:r w:rsidRPr="00D35073">
        <w:rPr>
          <w:sz w:val="22"/>
          <w:szCs w:val="22"/>
          <w:lang w:val="sr-Latn-ME"/>
        </w:rPr>
        <w:t xml:space="preserve">ećeni sa svake druge nedelje doziranja (9,927 [2,0146] g/l) u poređenju sa nedeljnom dozom (10,364 [1,9632] g/l) (p = 0,0017; jednostrano 97,5% niža granica pouzdanosti [LCL ] =-0,799). Srednja maksimalna ostvarena brzina protoka po </w:t>
      </w:r>
      <w:r w:rsidR="009D6A01" w:rsidRPr="00D35073">
        <w:rPr>
          <w:sz w:val="22"/>
          <w:szCs w:val="22"/>
          <w:lang w:val="sr-Latn-ME"/>
        </w:rPr>
        <w:t xml:space="preserve">ispitaniku </w:t>
      </w:r>
      <w:r w:rsidRPr="00D35073">
        <w:rPr>
          <w:sz w:val="22"/>
          <w:szCs w:val="22"/>
          <w:lang w:val="sr-Latn-ME"/>
        </w:rPr>
        <w:t>bila je 93,5 ml/h, u rasponu od 24,3 ml/h do 145,9 ml/h.</w:t>
      </w:r>
    </w:p>
    <w:p w14:paraId="219643EC" w14:textId="7C994293" w:rsidR="006554FE" w:rsidRPr="00D35073" w:rsidRDefault="006554FE" w:rsidP="00C35410">
      <w:pPr>
        <w:tabs>
          <w:tab w:val="left" w:pos="540"/>
          <w:tab w:val="left" w:pos="569"/>
        </w:tabs>
        <w:jc w:val="both"/>
        <w:rPr>
          <w:sz w:val="22"/>
          <w:szCs w:val="22"/>
          <w:lang w:val="sr-Latn-ME"/>
        </w:rPr>
      </w:pPr>
      <w:r w:rsidRPr="00D35073">
        <w:rPr>
          <w:sz w:val="22"/>
          <w:szCs w:val="22"/>
          <w:lang w:val="sr-Latn-ME"/>
        </w:rPr>
        <w:t>Srednja pros</w:t>
      </w:r>
      <w:r w:rsidR="0001570F" w:rsidRPr="00D35073">
        <w:rPr>
          <w:sz w:val="22"/>
          <w:szCs w:val="22"/>
          <w:lang w:val="sr-Latn-ME"/>
        </w:rPr>
        <w:t>j</w:t>
      </w:r>
      <w:r w:rsidRPr="00D35073">
        <w:rPr>
          <w:sz w:val="22"/>
          <w:szCs w:val="22"/>
          <w:lang w:val="sr-Latn-ME"/>
        </w:rPr>
        <w:t>ečna stvarna doza Cuta</w:t>
      </w:r>
      <w:r w:rsidR="0001570F" w:rsidRPr="00D35073">
        <w:rPr>
          <w:sz w:val="22"/>
          <w:szCs w:val="22"/>
          <w:lang w:val="sr-Latn-ME"/>
        </w:rPr>
        <w:t>q</w:t>
      </w:r>
      <w:r w:rsidRPr="00D35073">
        <w:rPr>
          <w:sz w:val="22"/>
          <w:szCs w:val="22"/>
          <w:lang w:val="sr-Latn-ME"/>
        </w:rPr>
        <w:t>uiga prim</w:t>
      </w:r>
      <w:r w:rsidR="0001570F" w:rsidRPr="00D35073">
        <w:rPr>
          <w:sz w:val="22"/>
          <w:szCs w:val="22"/>
          <w:lang w:val="sr-Latn-ME"/>
        </w:rPr>
        <w:t>ij</w:t>
      </w:r>
      <w:r w:rsidRPr="00D35073">
        <w:rPr>
          <w:sz w:val="22"/>
          <w:szCs w:val="22"/>
          <w:lang w:val="sr-Latn-ME"/>
        </w:rPr>
        <w:t>enjena po t</w:t>
      </w:r>
      <w:r w:rsidR="0001570F" w:rsidRPr="00D35073">
        <w:rPr>
          <w:sz w:val="22"/>
          <w:szCs w:val="22"/>
          <w:lang w:val="sr-Latn-ME"/>
        </w:rPr>
        <w:t>j</w:t>
      </w:r>
      <w:r w:rsidRPr="00D35073">
        <w:rPr>
          <w:sz w:val="22"/>
          <w:szCs w:val="22"/>
          <w:lang w:val="sr-Latn-ME"/>
        </w:rPr>
        <w:t>elesnoj težini bila je 0,143 g/kg u kohorti 1, 0,157 g/kg u kohorti 2 i 0,256 g/kg u kohorti 3, respektivno.</w:t>
      </w:r>
    </w:p>
    <w:p w14:paraId="4BAB36FB" w14:textId="3ECE35F9" w:rsidR="006F01BE" w:rsidRPr="00D35073" w:rsidRDefault="006554FE" w:rsidP="00C35410">
      <w:pPr>
        <w:tabs>
          <w:tab w:val="left" w:pos="540"/>
          <w:tab w:val="left" w:pos="569"/>
        </w:tabs>
        <w:jc w:val="both"/>
        <w:rPr>
          <w:sz w:val="22"/>
          <w:szCs w:val="22"/>
          <w:lang w:val="sr-Latn-ME"/>
        </w:rPr>
      </w:pPr>
      <w:r w:rsidRPr="00D35073">
        <w:rPr>
          <w:sz w:val="22"/>
          <w:szCs w:val="22"/>
          <w:lang w:val="sr-Latn-ME"/>
        </w:rPr>
        <w:t>Tokom studije ni</w:t>
      </w:r>
      <w:r w:rsidR="0028663A" w:rsidRPr="00D35073">
        <w:rPr>
          <w:sz w:val="22"/>
          <w:szCs w:val="22"/>
          <w:lang w:val="sr-Latn-ME"/>
        </w:rPr>
        <w:t>je</w:t>
      </w:r>
      <w:r w:rsidRPr="00D35073">
        <w:rPr>
          <w:sz w:val="22"/>
          <w:szCs w:val="22"/>
          <w:lang w:val="sr-Latn-ME"/>
        </w:rPr>
        <w:t>su prijavljeni SBI, a ukupna stopa SBI je bila 0,00 po osobi-godi</w:t>
      </w:r>
      <w:r w:rsidR="0048762A" w:rsidRPr="00D35073">
        <w:rPr>
          <w:sz w:val="22"/>
          <w:szCs w:val="22"/>
          <w:lang w:val="sr-Latn-ME"/>
        </w:rPr>
        <w:t xml:space="preserve">šnje </w:t>
      </w:r>
      <w:r w:rsidRPr="00D35073">
        <w:rPr>
          <w:sz w:val="22"/>
          <w:szCs w:val="22"/>
          <w:lang w:val="sr-Latn-ME"/>
        </w:rPr>
        <w:t xml:space="preserve"> (98% CI gornja granica [alternativna metoda] = 0,135 [0,614 u kohorti 1, 0,602 u kohorti 2 i 0,244 u kohorti 3.] )</w:t>
      </w:r>
    </w:p>
    <w:p w14:paraId="7CBA41BE" w14:textId="77777777" w:rsidR="0080080E" w:rsidRPr="00D35073" w:rsidRDefault="0080080E" w:rsidP="00C35410">
      <w:pPr>
        <w:tabs>
          <w:tab w:val="left" w:pos="540"/>
          <w:tab w:val="left" w:pos="569"/>
        </w:tabs>
        <w:jc w:val="both"/>
        <w:rPr>
          <w:sz w:val="22"/>
          <w:szCs w:val="22"/>
          <w:lang w:val="sr-Latn-ME"/>
        </w:rPr>
      </w:pPr>
    </w:p>
    <w:p w14:paraId="10791BEC" w14:textId="77777777" w:rsidR="0080080E" w:rsidRPr="00D35073" w:rsidRDefault="0080080E" w:rsidP="00C35410">
      <w:pPr>
        <w:tabs>
          <w:tab w:val="left" w:pos="540"/>
          <w:tab w:val="left" w:pos="569"/>
        </w:tabs>
        <w:jc w:val="both"/>
        <w:rPr>
          <w:sz w:val="22"/>
          <w:szCs w:val="22"/>
          <w:lang w:val="sr-Latn-ME"/>
        </w:rPr>
      </w:pPr>
      <w:r w:rsidRPr="00D35073">
        <w:rPr>
          <w:sz w:val="22"/>
          <w:szCs w:val="22"/>
          <w:lang w:val="sr-Latn-ME"/>
        </w:rPr>
        <w:t>Pedijatrijska populacija</w:t>
      </w:r>
    </w:p>
    <w:p w14:paraId="1130F6FE" w14:textId="77777777" w:rsidR="0080080E" w:rsidRPr="00D35073" w:rsidRDefault="0080080E" w:rsidP="00C35410">
      <w:pPr>
        <w:tabs>
          <w:tab w:val="left" w:pos="540"/>
          <w:tab w:val="left" w:pos="569"/>
        </w:tabs>
        <w:jc w:val="both"/>
        <w:rPr>
          <w:sz w:val="22"/>
          <w:szCs w:val="22"/>
          <w:lang w:val="sr-Latn-ME"/>
        </w:rPr>
      </w:pPr>
    </w:p>
    <w:p w14:paraId="6FB629E3" w14:textId="3E51F0C2" w:rsidR="0080080E" w:rsidRPr="00D35073" w:rsidRDefault="0080080E" w:rsidP="00C35410">
      <w:pPr>
        <w:tabs>
          <w:tab w:val="left" w:pos="540"/>
          <w:tab w:val="left" w:pos="569"/>
        </w:tabs>
        <w:jc w:val="both"/>
        <w:rPr>
          <w:sz w:val="22"/>
          <w:szCs w:val="22"/>
          <w:lang w:val="sr-Latn-ME"/>
        </w:rPr>
      </w:pPr>
      <w:r w:rsidRPr="00D35073">
        <w:rPr>
          <w:sz w:val="22"/>
          <w:szCs w:val="22"/>
          <w:lang w:val="sr-Latn-ME"/>
        </w:rPr>
        <w:t>Ni</w:t>
      </w:r>
      <w:r w:rsidR="0028663A" w:rsidRPr="00D35073">
        <w:rPr>
          <w:sz w:val="22"/>
          <w:szCs w:val="22"/>
          <w:lang w:val="sr-Latn-ME"/>
        </w:rPr>
        <w:t>je</w:t>
      </w:r>
      <w:r w:rsidRPr="00D35073">
        <w:rPr>
          <w:sz w:val="22"/>
          <w:szCs w:val="22"/>
          <w:lang w:val="sr-Latn-ME"/>
        </w:rPr>
        <w:t>su uočene razlike u farmakodinamičkim svojstvima između odraslih i pedijatrisjkih pacijenata.</w:t>
      </w:r>
    </w:p>
    <w:p w14:paraId="3F4EF498" w14:textId="77777777" w:rsidR="0080080E" w:rsidRPr="00D35073" w:rsidRDefault="0080080E" w:rsidP="00C35410">
      <w:pPr>
        <w:tabs>
          <w:tab w:val="left" w:pos="540"/>
          <w:tab w:val="left" w:pos="569"/>
        </w:tabs>
        <w:jc w:val="both"/>
        <w:rPr>
          <w:b/>
          <w:bCs/>
          <w:sz w:val="22"/>
          <w:szCs w:val="22"/>
          <w:lang w:val="sr-Latn-ME"/>
        </w:rPr>
      </w:pPr>
    </w:p>
    <w:p w14:paraId="22DC1005" w14:textId="77777777" w:rsidR="002E37A5" w:rsidRPr="00D35073" w:rsidRDefault="002E37A5" w:rsidP="00C35410">
      <w:pPr>
        <w:tabs>
          <w:tab w:val="left" w:pos="540"/>
          <w:tab w:val="left" w:pos="569"/>
        </w:tabs>
        <w:jc w:val="both"/>
        <w:rPr>
          <w:b/>
          <w:bCs/>
          <w:sz w:val="22"/>
          <w:szCs w:val="22"/>
          <w:lang w:val="sr-Latn-ME"/>
        </w:rPr>
      </w:pPr>
    </w:p>
    <w:p w14:paraId="6F5F654F"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5.2. </w:t>
      </w:r>
      <w:r w:rsidR="00480FB1" w:rsidRPr="00D35073">
        <w:rPr>
          <w:b/>
          <w:bCs/>
          <w:sz w:val="22"/>
          <w:szCs w:val="22"/>
          <w:lang w:val="sr-Latn-ME"/>
        </w:rPr>
        <w:tab/>
      </w:r>
      <w:r w:rsidRPr="00D35073">
        <w:rPr>
          <w:b/>
          <w:bCs/>
          <w:sz w:val="22"/>
          <w:szCs w:val="22"/>
          <w:lang w:val="sr-Latn-ME"/>
        </w:rPr>
        <w:t>Farmakokinetički podaci</w:t>
      </w:r>
      <w:r w:rsidR="003A7059" w:rsidRPr="00D35073">
        <w:rPr>
          <w:b/>
          <w:bCs/>
          <w:sz w:val="22"/>
          <w:szCs w:val="22"/>
          <w:lang w:val="sr-Latn-ME"/>
        </w:rPr>
        <w:t xml:space="preserve"> </w:t>
      </w:r>
    </w:p>
    <w:p w14:paraId="5DA86141" w14:textId="77777777" w:rsidR="00183AB2" w:rsidRPr="00D35073" w:rsidRDefault="00183AB2" w:rsidP="00C35410">
      <w:pPr>
        <w:tabs>
          <w:tab w:val="left" w:pos="540"/>
          <w:tab w:val="left" w:pos="569"/>
        </w:tabs>
        <w:jc w:val="both"/>
        <w:rPr>
          <w:b/>
          <w:bCs/>
          <w:sz w:val="22"/>
          <w:szCs w:val="22"/>
          <w:lang w:val="sr-Latn-ME"/>
        </w:rPr>
      </w:pPr>
    </w:p>
    <w:p w14:paraId="18EF1446" w14:textId="1671DC2E" w:rsidR="002C1606" w:rsidRPr="00D35073" w:rsidRDefault="00183AB2" w:rsidP="00C35410">
      <w:pPr>
        <w:tabs>
          <w:tab w:val="left" w:pos="540"/>
          <w:tab w:val="left" w:pos="569"/>
        </w:tabs>
        <w:jc w:val="both"/>
        <w:rPr>
          <w:sz w:val="22"/>
          <w:szCs w:val="22"/>
          <w:lang w:val="sr-Latn-ME"/>
        </w:rPr>
      </w:pPr>
      <w:r w:rsidRPr="00D35073">
        <w:rPr>
          <w:sz w:val="22"/>
          <w:szCs w:val="22"/>
          <w:lang w:val="sr-Latn-ME"/>
        </w:rPr>
        <w:t>U okviru kliničkog ispitivanja faze III sprovedeno je farmakokinetičko (PK) podispitivanje 37 ispitanika sa PID-om. Uzo</w:t>
      </w:r>
      <w:r w:rsidR="00A4160B" w:rsidRPr="00D35073">
        <w:rPr>
          <w:sz w:val="22"/>
          <w:szCs w:val="22"/>
          <w:lang w:val="sr-Latn-ME"/>
        </w:rPr>
        <w:t>r</w:t>
      </w:r>
      <w:r w:rsidRPr="00D35073">
        <w:rPr>
          <w:sz w:val="22"/>
          <w:szCs w:val="22"/>
          <w:lang w:val="sr-Latn-ME"/>
        </w:rPr>
        <w:t>ci</w:t>
      </w:r>
      <w:r w:rsidR="00A4160B" w:rsidRPr="00D35073">
        <w:rPr>
          <w:sz w:val="22"/>
          <w:szCs w:val="22"/>
          <w:lang w:val="sr-Latn-ME"/>
        </w:rPr>
        <w:t xml:space="preserve"> </w:t>
      </w:r>
      <w:r w:rsidRPr="00D35073">
        <w:rPr>
          <w:sz w:val="22"/>
          <w:szCs w:val="22"/>
          <w:lang w:val="sr-Latn-ME"/>
        </w:rPr>
        <w:t xml:space="preserve"> krvi za farmakokinetičko ispitivanje prikupljeni su prije prelaska na Cutaquig (Profil za intravenski immunoglobulin: PKiv), nakon 11. infuzije lijeka Cutaquig (prvi profil za potkožnu primjenu: PKsc1) i nakon 28. infuzije lijeka Cutaquig (drugi profil za potkožnu primjenu: PKsc2). Cilj PK farmakokinetičkog podispitivanja bio je uporediti površine ispod krive nakon intravenske i podkožne primjene pomoću faktora korekcije doze (DCF) od 1,5. Pomoću populacijskog modela</w:t>
      </w:r>
      <w:r w:rsidR="0056078C" w:rsidRPr="00D35073">
        <w:rPr>
          <w:sz w:val="22"/>
          <w:szCs w:val="22"/>
          <w:lang w:val="sr-Latn-ME"/>
        </w:rPr>
        <w:t xml:space="preserve"> </w:t>
      </w:r>
      <w:r w:rsidRPr="00D35073">
        <w:rPr>
          <w:sz w:val="22"/>
          <w:szCs w:val="22"/>
          <w:lang w:val="sr-Latn-ME"/>
        </w:rPr>
        <w:t>na temelju farmakokinetičkih podataka procijenjen je farmakokinetički param</w:t>
      </w:r>
      <w:r w:rsidR="0056078C" w:rsidRPr="00D35073">
        <w:rPr>
          <w:sz w:val="22"/>
          <w:szCs w:val="22"/>
          <w:lang w:val="sr-Latn-ME"/>
        </w:rPr>
        <w:t>a</w:t>
      </w:r>
      <w:r w:rsidRPr="00D35073">
        <w:rPr>
          <w:sz w:val="22"/>
          <w:szCs w:val="22"/>
          <w:lang w:val="sr-Latn-ME"/>
        </w:rPr>
        <w:t xml:space="preserve">ter i sprovedene su simulacije). </w:t>
      </w:r>
    </w:p>
    <w:p w14:paraId="6425A63D" w14:textId="77777777" w:rsidR="002C1606" w:rsidRPr="00D35073" w:rsidRDefault="002C1606" w:rsidP="00C35410">
      <w:pPr>
        <w:tabs>
          <w:tab w:val="left" w:pos="540"/>
          <w:tab w:val="left" w:pos="569"/>
        </w:tabs>
        <w:jc w:val="both"/>
        <w:rPr>
          <w:sz w:val="22"/>
          <w:szCs w:val="22"/>
          <w:u w:val="single"/>
          <w:lang w:val="sr-Latn-ME"/>
        </w:rPr>
      </w:pPr>
    </w:p>
    <w:p w14:paraId="7DF800DD" w14:textId="77777777" w:rsidR="002C1606" w:rsidRPr="00D35073" w:rsidRDefault="002C1606" w:rsidP="00C35410">
      <w:pPr>
        <w:tabs>
          <w:tab w:val="left" w:pos="540"/>
          <w:tab w:val="left" w:pos="569"/>
        </w:tabs>
        <w:jc w:val="both"/>
        <w:rPr>
          <w:sz w:val="22"/>
          <w:szCs w:val="22"/>
          <w:u w:val="single"/>
          <w:lang w:val="sr-Latn-ME"/>
        </w:rPr>
      </w:pPr>
    </w:p>
    <w:p w14:paraId="79E0730E" w14:textId="6981C438" w:rsidR="00183AB2" w:rsidRPr="00D35073" w:rsidRDefault="002A3560" w:rsidP="00C35410">
      <w:pPr>
        <w:tabs>
          <w:tab w:val="left" w:pos="540"/>
          <w:tab w:val="left" w:pos="569"/>
        </w:tabs>
        <w:jc w:val="both"/>
        <w:rPr>
          <w:sz w:val="22"/>
          <w:szCs w:val="22"/>
          <w:u w:val="single"/>
          <w:lang w:val="sr-Latn-ME"/>
        </w:rPr>
      </w:pPr>
      <w:r w:rsidRPr="00D35073">
        <w:rPr>
          <w:sz w:val="22"/>
          <w:szCs w:val="22"/>
          <w:u w:val="single"/>
          <w:lang w:val="sr-Latn-ME"/>
        </w:rPr>
        <w:t>Re</w:t>
      </w:r>
      <w:r w:rsidR="00183AB2" w:rsidRPr="00D35073">
        <w:rPr>
          <w:sz w:val="22"/>
          <w:szCs w:val="22"/>
          <w:u w:val="single"/>
          <w:lang w:val="sr-Latn-ME"/>
        </w:rPr>
        <w:t>sorpcija i distribucija</w:t>
      </w:r>
    </w:p>
    <w:p w14:paraId="5E4B6810" w14:textId="623FA255" w:rsidR="00534116" w:rsidRPr="00D35073" w:rsidRDefault="00183AB2" w:rsidP="00C35410">
      <w:pPr>
        <w:tabs>
          <w:tab w:val="left" w:pos="540"/>
          <w:tab w:val="left" w:pos="569"/>
        </w:tabs>
        <w:jc w:val="both"/>
        <w:rPr>
          <w:sz w:val="22"/>
          <w:szCs w:val="22"/>
          <w:lang w:val="sr-Latn-ME"/>
        </w:rPr>
      </w:pPr>
      <w:r w:rsidRPr="00D35073">
        <w:rPr>
          <w:sz w:val="22"/>
          <w:szCs w:val="22"/>
          <w:lang w:val="sr-Latn-ME"/>
        </w:rPr>
        <w:t>Nakon su</w:t>
      </w:r>
      <w:r w:rsidR="00534116" w:rsidRPr="00D35073">
        <w:rPr>
          <w:sz w:val="22"/>
          <w:szCs w:val="22"/>
          <w:lang w:val="sr-Latn-ME"/>
        </w:rPr>
        <w:t>p</w:t>
      </w:r>
      <w:r w:rsidRPr="00D35073">
        <w:rPr>
          <w:sz w:val="22"/>
          <w:szCs w:val="22"/>
          <w:lang w:val="sr-Latn-ME"/>
        </w:rPr>
        <w:t>kutane primjene lijeka Cutaquig, gornji nivo</w:t>
      </w:r>
      <w:r w:rsidR="006743B4" w:rsidRPr="00D35073">
        <w:rPr>
          <w:sz w:val="22"/>
          <w:szCs w:val="22"/>
          <w:lang w:val="sr-Latn-ME"/>
        </w:rPr>
        <w:t xml:space="preserve">i </w:t>
      </w:r>
      <w:r w:rsidRPr="00D35073">
        <w:rPr>
          <w:sz w:val="22"/>
          <w:szCs w:val="22"/>
          <w:lang w:val="sr-Latn-ME"/>
        </w:rPr>
        <w:t xml:space="preserve"> u serumu postižu</w:t>
      </w:r>
      <w:r w:rsidR="006743B4" w:rsidRPr="00D35073">
        <w:rPr>
          <w:sz w:val="22"/>
          <w:szCs w:val="22"/>
          <w:lang w:val="sr-Latn-ME"/>
        </w:rPr>
        <w:t xml:space="preserve"> se </w:t>
      </w:r>
      <w:r w:rsidRPr="00D35073">
        <w:rPr>
          <w:sz w:val="22"/>
          <w:szCs w:val="22"/>
          <w:lang w:val="sr-Latn-ME"/>
        </w:rPr>
        <w:t xml:space="preserve"> za približno 2 dana. </w:t>
      </w:r>
    </w:p>
    <w:p w14:paraId="0167F370" w14:textId="77777777" w:rsidR="00534116" w:rsidRPr="00D35073" w:rsidRDefault="00534116" w:rsidP="00C35410">
      <w:pPr>
        <w:tabs>
          <w:tab w:val="left" w:pos="540"/>
          <w:tab w:val="left" w:pos="569"/>
        </w:tabs>
        <w:jc w:val="both"/>
        <w:rPr>
          <w:sz w:val="22"/>
          <w:szCs w:val="22"/>
          <w:lang w:val="sr-Latn-ME"/>
        </w:rPr>
      </w:pPr>
    </w:p>
    <w:p w14:paraId="04171912" w14:textId="77777777" w:rsidR="00534116" w:rsidRPr="00D35073" w:rsidRDefault="00534116" w:rsidP="00C35410">
      <w:pPr>
        <w:tabs>
          <w:tab w:val="left" w:pos="540"/>
          <w:tab w:val="left" w:pos="569"/>
        </w:tabs>
        <w:jc w:val="both"/>
        <w:rPr>
          <w:sz w:val="22"/>
          <w:szCs w:val="22"/>
          <w:lang w:val="sr-Latn-ME"/>
        </w:rPr>
      </w:pPr>
    </w:p>
    <w:p w14:paraId="07D37DE0" w14:textId="7D0D5FD4" w:rsidR="00534116" w:rsidRPr="00D35073" w:rsidRDefault="00534116" w:rsidP="00C35410">
      <w:pPr>
        <w:tabs>
          <w:tab w:val="left" w:pos="540"/>
          <w:tab w:val="left" w:pos="569"/>
        </w:tabs>
        <w:jc w:val="both"/>
        <w:rPr>
          <w:sz w:val="22"/>
          <w:szCs w:val="22"/>
          <w:lang w:val="sr-Latn-ME"/>
        </w:rPr>
      </w:pPr>
      <w:r w:rsidRPr="00D35073">
        <w:rPr>
          <w:sz w:val="22"/>
          <w:szCs w:val="22"/>
          <w:lang w:val="sr-Latn-ME"/>
        </w:rPr>
        <w:t xml:space="preserve">Zbog postepene </w:t>
      </w:r>
      <w:r w:rsidR="001734B8" w:rsidRPr="00D35073">
        <w:rPr>
          <w:sz w:val="22"/>
          <w:szCs w:val="22"/>
          <w:lang w:val="sr-Latn-ME"/>
        </w:rPr>
        <w:t>re</w:t>
      </w:r>
      <w:r w:rsidRPr="00D35073">
        <w:rPr>
          <w:sz w:val="22"/>
          <w:szCs w:val="22"/>
          <w:lang w:val="sr-Latn-ME"/>
        </w:rPr>
        <w:t xml:space="preserve">sorpcije, primjena SCIG-a dovodi do </w:t>
      </w:r>
      <w:r w:rsidR="001734B8" w:rsidRPr="00D35073">
        <w:rPr>
          <w:sz w:val="22"/>
          <w:szCs w:val="22"/>
          <w:lang w:val="sr-Latn-ME"/>
        </w:rPr>
        <w:t xml:space="preserve">tanjih </w:t>
      </w:r>
      <w:r w:rsidRPr="00D35073">
        <w:rPr>
          <w:sz w:val="22"/>
          <w:szCs w:val="22"/>
          <w:lang w:val="sr-Latn-ME"/>
        </w:rPr>
        <w:t xml:space="preserve">profila i nižih fluktuacija u stabilnom stanju u poređenju sa IVIG tretmanom: srednja Cmax  je bila niža nakon SCIG (13,2±3,4 g/l i 13,5±3,7 g/l za </w:t>
      </w:r>
      <w:r w:rsidR="00673A28" w:rsidRPr="00D35073">
        <w:rPr>
          <w:sz w:val="22"/>
          <w:szCs w:val="22"/>
          <w:lang w:val="sr-Latn-ME"/>
        </w:rPr>
        <w:t xml:space="preserve"> </w:t>
      </w:r>
      <w:bookmarkStart w:id="1" w:name="_Hlk148354307"/>
      <w:r w:rsidR="00673A28" w:rsidRPr="00D35073">
        <w:rPr>
          <w:sz w:val="22"/>
          <w:szCs w:val="22"/>
          <w:lang w:val="sr-Latn-ME"/>
        </w:rPr>
        <w:t>PK</w:t>
      </w:r>
      <w:r w:rsidR="00673A28" w:rsidRPr="00D35073">
        <w:rPr>
          <w:sz w:val="22"/>
          <w:szCs w:val="22"/>
          <w:vertAlign w:val="subscript"/>
          <w:lang w:val="sr-Latn-ME"/>
        </w:rPr>
        <w:t>SC1</w:t>
      </w:r>
      <w:r w:rsidR="00673A28" w:rsidRPr="00D35073">
        <w:rPr>
          <w:sz w:val="22"/>
          <w:szCs w:val="22"/>
          <w:lang w:val="sr-Latn-ME"/>
        </w:rPr>
        <w:t xml:space="preserve">  </w:t>
      </w:r>
      <w:r w:rsidRPr="00D35073">
        <w:rPr>
          <w:sz w:val="22"/>
          <w:szCs w:val="22"/>
          <w:lang w:val="sr-Latn-ME"/>
        </w:rPr>
        <w:t xml:space="preserve"> i </w:t>
      </w:r>
      <w:r w:rsidR="00673A28" w:rsidRPr="00D35073">
        <w:rPr>
          <w:sz w:val="22"/>
          <w:szCs w:val="22"/>
          <w:lang w:val="sr-Latn-ME"/>
        </w:rPr>
        <w:t xml:space="preserve"> PK</w:t>
      </w:r>
      <w:r w:rsidR="00673A28" w:rsidRPr="00D35073">
        <w:rPr>
          <w:sz w:val="22"/>
          <w:szCs w:val="22"/>
          <w:vertAlign w:val="subscript"/>
          <w:lang w:val="sr-Latn-ME"/>
        </w:rPr>
        <w:t>SC2</w:t>
      </w:r>
      <w:bookmarkEnd w:id="1"/>
      <w:r w:rsidRPr="00D35073">
        <w:rPr>
          <w:sz w:val="22"/>
          <w:szCs w:val="22"/>
          <w:lang w:val="sr-Latn-ME"/>
        </w:rPr>
        <w:t xml:space="preserve">, respektivno) u poređenju do kraja nivoa infuzije nakon IVIG tretmana (18,0±4,5 g/l). Shodno tome, srednji nivoi IgG i IgG podklase u serumu su bili viši nakon SC tretmana (11,5 i 11,7 g/l za </w:t>
      </w:r>
      <w:r w:rsidR="00673A28" w:rsidRPr="00D35073">
        <w:rPr>
          <w:sz w:val="22"/>
          <w:szCs w:val="22"/>
          <w:lang w:val="sr-Latn-ME"/>
        </w:rPr>
        <w:t>PK</w:t>
      </w:r>
      <w:r w:rsidR="00673A28" w:rsidRPr="00D35073">
        <w:rPr>
          <w:sz w:val="22"/>
          <w:szCs w:val="22"/>
          <w:vertAlign w:val="subscript"/>
          <w:lang w:val="sr-Latn-ME"/>
        </w:rPr>
        <w:t>SC1</w:t>
      </w:r>
      <w:r w:rsidR="00673A28" w:rsidRPr="00D35073">
        <w:rPr>
          <w:sz w:val="22"/>
          <w:szCs w:val="22"/>
          <w:lang w:val="sr-Latn-ME"/>
        </w:rPr>
        <w:t xml:space="preserve">   i  PK</w:t>
      </w:r>
      <w:r w:rsidR="00673A28" w:rsidRPr="00D35073">
        <w:rPr>
          <w:sz w:val="22"/>
          <w:szCs w:val="22"/>
          <w:vertAlign w:val="subscript"/>
          <w:lang w:val="sr-Latn-ME"/>
        </w:rPr>
        <w:t>SC2</w:t>
      </w:r>
      <w:r w:rsidR="00673A28" w:rsidRPr="00D35073">
        <w:rPr>
          <w:sz w:val="22"/>
          <w:szCs w:val="22"/>
          <w:lang w:val="sr-Latn-ME"/>
        </w:rPr>
        <w:t xml:space="preserve">  </w:t>
      </w:r>
      <w:r w:rsidRPr="00D35073">
        <w:rPr>
          <w:sz w:val="22"/>
          <w:szCs w:val="22"/>
          <w:lang w:val="sr-Latn-ME"/>
        </w:rPr>
        <w:t>respektivno; ukupan raspon od 6,5 do 18,9 g/l u poređenju sa onim na kraju IVIG perioda ( 10,1 g/l; opseg: 6,5 g/l do 14,3 g/l).</w:t>
      </w:r>
    </w:p>
    <w:p w14:paraId="5790B68B" w14:textId="04C52BD4" w:rsidR="00534116" w:rsidRPr="00D35073" w:rsidRDefault="00534116" w:rsidP="00C35410">
      <w:pPr>
        <w:tabs>
          <w:tab w:val="left" w:pos="540"/>
          <w:tab w:val="left" w:pos="569"/>
        </w:tabs>
        <w:jc w:val="both"/>
        <w:rPr>
          <w:sz w:val="22"/>
          <w:szCs w:val="22"/>
          <w:lang w:val="sr-Latn-ME"/>
        </w:rPr>
      </w:pPr>
      <w:r w:rsidRPr="00D35073">
        <w:rPr>
          <w:sz w:val="22"/>
          <w:szCs w:val="22"/>
          <w:lang w:val="sr-Latn-ME"/>
        </w:rPr>
        <w:t>Bioraspoloživost SC je izračunata na 75% što odgovara faktoru korekcije doze od 1,3 za postizanje jednake izloženosti AUC posle SCIG na osnovu tjelesne težine u poređenju sa IVIG tretmanom.</w:t>
      </w:r>
    </w:p>
    <w:p w14:paraId="65B7C6DD" w14:textId="77777777" w:rsidR="00534116" w:rsidRPr="00D35073" w:rsidRDefault="00534116" w:rsidP="00C35410">
      <w:pPr>
        <w:tabs>
          <w:tab w:val="left" w:pos="540"/>
          <w:tab w:val="left" w:pos="569"/>
        </w:tabs>
        <w:jc w:val="both"/>
        <w:rPr>
          <w:sz w:val="22"/>
          <w:szCs w:val="22"/>
          <w:lang w:val="sr-Latn-ME"/>
        </w:rPr>
      </w:pPr>
    </w:p>
    <w:p w14:paraId="5654FA5B" w14:textId="7DE69E57" w:rsidR="00534116" w:rsidRPr="00D35073" w:rsidRDefault="00534116" w:rsidP="00C35410">
      <w:pPr>
        <w:tabs>
          <w:tab w:val="left" w:pos="540"/>
          <w:tab w:val="left" w:pos="569"/>
        </w:tabs>
        <w:jc w:val="both"/>
        <w:rPr>
          <w:sz w:val="22"/>
          <w:szCs w:val="22"/>
          <w:lang w:val="sr-Latn-ME"/>
        </w:rPr>
      </w:pPr>
      <w:r w:rsidRPr="00D35073">
        <w:rPr>
          <w:sz w:val="22"/>
          <w:szCs w:val="22"/>
          <w:lang w:val="sr-Latn-ME"/>
        </w:rPr>
        <w:t>Modeliranje i simulacija zasnovana na PK izvršena na podacima iz kliničke studije sa nedeljnim doziranjem Cuta</w:t>
      </w:r>
      <w:r w:rsidR="003803DD" w:rsidRPr="00D35073">
        <w:rPr>
          <w:sz w:val="22"/>
          <w:szCs w:val="22"/>
          <w:lang w:val="sr-Latn-ME"/>
        </w:rPr>
        <w:t>q</w:t>
      </w:r>
      <w:r w:rsidRPr="00D35073">
        <w:rPr>
          <w:sz w:val="22"/>
          <w:szCs w:val="22"/>
          <w:lang w:val="sr-Latn-ME"/>
        </w:rPr>
        <w:t>uiga, pokazala je da bi doziranje prilagođeno t</w:t>
      </w:r>
      <w:r w:rsidR="003803DD" w:rsidRPr="00D35073">
        <w:rPr>
          <w:sz w:val="22"/>
          <w:szCs w:val="22"/>
          <w:lang w:val="sr-Latn-ME"/>
        </w:rPr>
        <w:t>j</w:t>
      </w:r>
      <w:r w:rsidRPr="00D35073">
        <w:rPr>
          <w:sz w:val="22"/>
          <w:szCs w:val="22"/>
          <w:lang w:val="sr-Latn-ME"/>
        </w:rPr>
        <w:t xml:space="preserve">elesnoj težini bez DCF za nižu </w:t>
      </w:r>
      <w:r w:rsidRPr="00D35073">
        <w:rPr>
          <w:sz w:val="22"/>
          <w:szCs w:val="22"/>
          <w:lang w:val="sr-Latn-ME"/>
        </w:rPr>
        <w:lastRenderedPageBreak/>
        <w:t>bioraspoloživost SC bilo dovoljno za održavanje sistemske izloženosti IgG u terapijskom opsegu, za intervale doza do 1 ned</w:t>
      </w:r>
      <w:r w:rsidR="0028663A" w:rsidRPr="00D35073">
        <w:rPr>
          <w:sz w:val="22"/>
          <w:szCs w:val="22"/>
          <w:lang w:val="sr-Latn-ME"/>
        </w:rPr>
        <w:t>j</w:t>
      </w:r>
      <w:r w:rsidRPr="00D35073">
        <w:rPr>
          <w:sz w:val="22"/>
          <w:szCs w:val="22"/>
          <w:lang w:val="sr-Latn-ME"/>
        </w:rPr>
        <w:t>elje, uključujući davanja češće od jednom ned</w:t>
      </w:r>
      <w:r w:rsidR="003803DD" w:rsidRPr="00D35073">
        <w:rPr>
          <w:sz w:val="22"/>
          <w:szCs w:val="22"/>
          <w:lang w:val="sr-Latn-ME"/>
        </w:rPr>
        <w:t>j</w:t>
      </w:r>
      <w:r w:rsidRPr="00D35073">
        <w:rPr>
          <w:sz w:val="22"/>
          <w:szCs w:val="22"/>
          <w:lang w:val="sr-Latn-ME"/>
        </w:rPr>
        <w:t>eljno (npr. dnevno).</w:t>
      </w:r>
    </w:p>
    <w:p w14:paraId="15154862" w14:textId="77777777" w:rsidR="00534116" w:rsidRPr="00D35073" w:rsidRDefault="00534116" w:rsidP="00C35410">
      <w:pPr>
        <w:tabs>
          <w:tab w:val="left" w:pos="540"/>
          <w:tab w:val="left" w:pos="569"/>
        </w:tabs>
        <w:jc w:val="both"/>
        <w:rPr>
          <w:sz w:val="22"/>
          <w:szCs w:val="22"/>
          <w:lang w:val="sr-Latn-ME"/>
        </w:rPr>
      </w:pPr>
      <w:r w:rsidRPr="00D35073">
        <w:rPr>
          <w:sz w:val="22"/>
          <w:szCs w:val="22"/>
          <w:lang w:val="sr-Latn-ME"/>
        </w:rPr>
        <w:t>Duži intervali doziranja (naročito na nižim početnim nivoima IgG) povećavaju rizik od pada ispod najniže vrednosti IgG od 5 g/l.</w:t>
      </w:r>
    </w:p>
    <w:p w14:paraId="481C5073" w14:textId="77777777" w:rsidR="00534116" w:rsidRPr="00D35073" w:rsidRDefault="00534116" w:rsidP="00C35410">
      <w:pPr>
        <w:tabs>
          <w:tab w:val="left" w:pos="540"/>
          <w:tab w:val="left" w:pos="569"/>
        </w:tabs>
        <w:jc w:val="both"/>
        <w:rPr>
          <w:sz w:val="22"/>
          <w:szCs w:val="22"/>
          <w:lang w:val="sr-Latn-ME"/>
        </w:rPr>
      </w:pPr>
    </w:p>
    <w:p w14:paraId="7D0441F1" w14:textId="2C7F382D" w:rsidR="00183AB2" w:rsidRPr="00D35073" w:rsidRDefault="00183AB2" w:rsidP="00C35410">
      <w:pPr>
        <w:tabs>
          <w:tab w:val="left" w:pos="540"/>
          <w:tab w:val="left" w:pos="569"/>
        </w:tabs>
        <w:jc w:val="both"/>
        <w:rPr>
          <w:i/>
          <w:iCs/>
          <w:sz w:val="22"/>
          <w:szCs w:val="22"/>
          <w:lang w:val="sr-Latn-ME"/>
        </w:rPr>
      </w:pPr>
      <w:r w:rsidRPr="00D35073">
        <w:rPr>
          <w:i/>
          <w:iCs/>
          <w:sz w:val="22"/>
          <w:szCs w:val="22"/>
          <w:lang w:val="sr-Latn-ME"/>
        </w:rPr>
        <w:t>Primjer: uz pretpostavku da je početna vrijednost IgG-a 4,0 g/l i faktor konverzije doze 1,0 sa liječenja intravenskim imunoglobulinima na liječenje s.c. Ig</w:t>
      </w:r>
      <w:r w:rsidR="00E85161" w:rsidRPr="00D35073">
        <w:rPr>
          <w:i/>
          <w:iCs/>
          <w:sz w:val="22"/>
          <w:szCs w:val="22"/>
          <w:lang w:val="sr-Latn-ME"/>
        </w:rPr>
        <w:t>G</w:t>
      </w:r>
      <w:r w:rsidRPr="00D35073">
        <w:rPr>
          <w:i/>
          <w:iCs/>
          <w:sz w:val="22"/>
          <w:szCs w:val="22"/>
          <w:lang w:val="sr-Latn-ME"/>
        </w:rPr>
        <w:t>, predviđeno je da će se udio bolesnika koji padnu ispod najniže potrebne vrijednosti IgG-a od 5g/l povećati na 4% u interval doze od 2 nedelje u poređenju sa 1,4% u intervalima doza ≤Q1W.</w:t>
      </w:r>
    </w:p>
    <w:p w14:paraId="2762A64D" w14:textId="77777777" w:rsidR="00183AB2" w:rsidRPr="00D35073" w:rsidRDefault="00183AB2" w:rsidP="00C35410">
      <w:pPr>
        <w:tabs>
          <w:tab w:val="left" w:pos="540"/>
          <w:tab w:val="left" w:pos="569"/>
        </w:tabs>
        <w:jc w:val="both"/>
        <w:rPr>
          <w:sz w:val="22"/>
          <w:szCs w:val="22"/>
          <w:lang w:val="sr-Latn-ME"/>
        </w:rPr>
      </w:pPr>
    </w:p>
    <w:p w14:paraId="0E92933F" w14:textId="77777777" w:rsidR="00183AB2" w:rsidRPr="00D35073" w:rsidRDefault="00183AB2" w:rsidP="00C35410">
      <w:pPr>
        <w:tabs>
          <w:tab w:val="left" w:pos="540"/>
          <w:tab w:val="left" w:pos="569"/>
        </w:tabs>
        <w:jc w:val="both"/>
        <w:rPr>
          <w:sz w:val="22"/>
          <w:szCs w:val="22"/>
          <w:u w:val="single"/>
          <w:lang w:val="sr-Latn-ME"/>
        </w:rPr>
      </w:pPr>
      <w:r w:rsidRPr="00D35073">
        <w:rPr>
          <w:sz w:val="22"/>
          <w:szCs w:val="22"/>
          <w:u w:val="single"/>
          <w:lang w:val="sr-Latn-ME"/>
        </w:rPr>
        <w:t>Eliminacija</w:t>
      </w:r>
    </w:p>
    <w:p w14:paraId="28277F00" w14:textId="77777777" w:rsidR="00183AB2" w:rsidRPr="00D35073" w:rsidRDefault="00183AB2" w:rsidP="00C35410">
      <w:pPr>
        <w:tabs>
          <w:tab w:val="left" w:pos="540"/>
          <w:tab w:val="left" w:pos="569"/>
        </w:tabs>
        <w:jc w:val="both"/>
        <w:rPr>
          <w:sz w:val="22"/>
          <w:szCs w:val="22"/>
          <w:u w:val="single"/>
          <w:lang w:val="sr-Latn-ME"/>
        </w:rPr>
      </w:pPr>
    </w:p>
    <w:p w14:paraId="0E3FF5CD" w14:textId="43337743" w:rsidR="00183AB2" w:rsidRPr="00D35073" w:rsidRDefault="00183AB2" w:rsidP="00C35410">
      <w:pPr>
        <w:tabs>
          <w:tab w:val="left" w:pos="540"/>
          <w:tab w:val="left" w:pos="569"/>
        </w:tabs>
        <w:jc w:val="both"/>
        <w:rPr>
          <w:sz w:val="22"/>
          <w:szCs w:val="22"/>
          <w:lang w:val="sr-Latn-ME"/>
        </w:rPr>
      </w:pPr>
      <w:r w:rsidRPr="00D35073">
        <w:rPr>
          <w:sz w:val="22"/>
          <w:szCs w:val="22"/>
          <w:lang w:val="sr-Latn-ME"/>
        </w:rPr>
        <w:t xml:space="preserve">IgG i IgG-kompleksi razgrađuju se u </w:t>
      </w:r>
      <w:r w:rsidR="001734B8" w:rsidRPr="00D35073">
        <w:rPr>
          <w:sz w:val="22"/>
          <w:szCs w:val="22"/>
          <w:lang w:val="sr-Latn-ME"/>
        </w:rPr>
        <w:t xml:space="preserve">ćelijama  </w:t>
      </w:r>
      <w:r w:rsidRPr="00D35073">
        <w:rPr>
          <w:sz w:val="22"/>
          <w:szCs w:val="22"/>
          <w:lang w:val="sr-Latn-ME"/>
        </w:rPr>
        <w:t xml:space="preserve"> retikuloendotelnog sistema. Medijan poluživota IgG-a nakon primjene lijeka Cutaquig kod ispitanika sa PID-om procijenjen je na ~16 dana [9,2-36,3], prema računanju u populacijskom modelu na temelju farmakokinetičkih podataka uz pretpostavku nulte endogene proizvodnje IgG-a.</w:t>
      </w:r>
    </w:p>
    <w:p w14:paraId="46C561EF" w14:textId="77777777" w:rsidR="00183AB2" w:rsidRPr="00D35073" w:rsidRDefault="00183AB2" w:rsidP="00C35410">
      <w:pPr>
        <w:tabs>
          <w:tab w:val="left" w:pos="540"/>
          <w:tab w:val="left" w:pos="569"/>
        </w:tabs>
        <w:jc w:val="both"/>
        <w:rPr>
          <w:sz w:val="22"/>
          <w:szCs w:val="22"/>
          <w:lang w:val="sr-Latn-ME"/>
        </w:rPr>
      </w:pPr>
    </w:p>
    <w:p w14:paraId="1D4AEAF6" w14:textId="77777777" w:rsidR="00183AB2" w:rsidRPr="00D35073" w:rsidRDefault="00183AB2" w:rsidP="00C35410">
      <w:pPr>
        <w:tabs>
          <w:tab w:val="left" w:pos="540"/>
          <w:tab w:val="left" w:pos="569"/>
        </w:tabs>
        <w:jc w:val="both"/>
        <w:rPr>
          <w:sz w:val="22"/>
          <w:szCs w:val="22"/>
          <w:u w:val="single"/>
          <w:lang w:val="sr-Latn-ME"/>
        </w:rPr>
      </w:pPr>
      <w:r w:rsidRPr="00D35073">
        <w:rPr>
          <w:sz w:val="22"/>
          <w:szCs w:val="22"/>
          <w:u w:val="single"/>
          <w:lang w:val="sr-Latn-ME"/>
        </w:rPr>
        <w:t>Pedijatrijska populacija</w:t>
      </w:r>
    </w:p>
    <w:p w14:paraId="5E24B0BD" w14:textId="77777777" w:rsidR="00183AB2" w:rsidRPr="00D35073" w:rsidRDefault="00183AB2" w:rsidP="00C35410">
      <w:pPr>
        <w:tabs>
          <w:tab w:val="left" w:pos="540"/>
          <w:tab w:val="left" w:pos="569"/>
        </w:tabs>
        <w:jc w:val="both"/>
        <w:rPr>
          <w:sz w:val="22"/>
          <w:szCs w:val="22"/>
          <w:u w:val="single"/>
          <w:lang w:val="sr-Latn-ME"/>
        </w:rPr>
      </w:pPr>
    </w:p>
    <w:p w14:paraId="409D268A" w14:textId="10046E81" w:rsidR="00183AB2" w:rsidRPr="00D35073" w:rsidRDefault="00183AB2" w:rsidP="00C35410">
      <w:pPr>
        <w:tabs>
          <w:tab w:val="left" w:pos="540"/>
          <w:tab w:val="left" w:pos="569"/>
        </w:tabs>
        <w:jc w:val="both"/>
        <w:rPr>
          <w:sz w:val="22"/>
          <w:szCs w:val="22"/>
          <w:lang w:val="sr-Latn-ME"/>
        </w:rPr>
      </w:pPr>
      <w:r w:rsidRPr="00D35073">
        <w:rPr>
          <w:sz w:val="22"/>
          <w:szCs w:val="22"/>
          <w:lang w:val="sr-Latn-ME"/>
        </w:rPr>
        <w:t>Ni</w:t>
      </w:r>
      <w:r w:rsidR="0028663A" w:rsidRPr="00D35073">
        <w:rPr>
          <w:sz w:val="22"/>
          <w:szCs w:val="22"/>
          <w:lang w:val="sr-Latn-ME"/>
        </w:rPr>
        <w:t>je</w:t>
      </w:r>
      <w:r w:rsidRPr="00D35073">
        <w:rPr>
          <w:sz w:val="22"/>
          <w:szCs w:val="22"/>
          <w:lang w:val="sr-Latn-ME"/>
        </w:rPr>
        <w:t xml:space="preserve">su uočene nikakve klinički značajne razlike u farmakokinetičkim parametrima između odraslih i pedijatrijskih pacijenata sa PID-om iz ispitivanja. </w:t>
      </w:r>
    </w:p>
    <w:p w14:paraId="67DC5AD7" w14:textId="77777777" w:rsidR="00183AB2" w:rsidRPr="00D35073" w:rsidRDefault="00183AB2" w:rsidP="00C35410">
      <w:pPr>
        <w:tabs>
          <w:tab w:val="left" w:pos="540"/>
          <w:tab w:val="left" w:pos="569"/>
        </w:tabs>
        <w:jc w:val="both"/>
        <w:rPr>
          <w:sz w:val="22"/>
          <w:szCs w:val="22"/>
          <w:lang w:val="sr-Latn-ME"/>
        </w:rPr>
      </w:pPr>
    </w:p>
    <w:p w14:paraId="0B95DABA" w14:textId="36F62D93" w:rsidR="00183AB2" w:rsidRPr="00D35073" w:rsidRDefault="003F3056" w:rsidP="00C35410">
      <w:pPr>
        <w:tabs>
          <w:tab w:val="left" w:pos="540"/>
          <w:tab w:val="left" w:pos="569"/>
        </w:tabs>
        <w:jc w:val="both"/>
        <w:rPr>
          <w:sz w:val="22"/>
          <w:szCs w:val="22"/>
          <w:lang w:val="sr-Latn-ME"/>
        </w:rPr>
      </w:pPr>
      <w:r w:rsidRPr="00D35073">
        <w:rPr>
          <w:sz w:val="22"/>
          <w:szCs w:val="22"/>
          <w:lang w:val="sr-Latn-ME"/>
        </w:rPr>
        <w:t>PK osnove m</w:t>
      </w:r>
      <w:r w:rsidR="00183AB2" w:rsidRPr="00D35073">
        <w:rPr>
          <w:sz w:val="22"/>
          <w:szCs w:val="22"/>
          <w:lang w:val="sr-Latn-ME"/>
        </w:rPr>
        <w:t>odeliranj</w:t>
      </w:r>
      <w:r w:rsidRPr="00D35073">
        <w:rPr>
          <w:sz w:val="22"/>
          <w:szCs w:val="22"/>
          <w:lang w:val="sr-Latn-ME"/>
        </w:rPr>
        <w:t xml:space="preserve">a </w:t>
      </w:r>
      <w:r w:rsidR="00183AB2" w:rsidRPr="00D35073">
        <w:rPr>
          <w:sz w:val="22"/>
          <w:szCs w:val="22"/>
          <w:lang w:val="sr-Latn-ME"/>
        </w:rPr>
        <w:t xml:space="preserve"> i simulacija na temelju farmakokinetičkih podataka izvedenih iz kliničkog ispitivanja sa nedeljnim doziranjem lijeka Cutaquig ukazuje na to da je doziranje prilagođeno prema tjelesnoj težini dovoljno za održavanje sistemske izloženosti IgG-u u terapijskom rasponu bez obzira na dob.</w:t>
      </w:r>
    </w:p>
    <w:p w14:paraId="04935843" w14:textId="77777777" w:rsidR="00183AB2" w:rsidRPr="00D35073" w:rsidRDefault="00183AB2" w:rsidP="00C35410">
      <w:pPr>
        <w:tabs>
          <w:tab w:val="left" w:pos="540"/>
          <w:tab w:val="left" w:pos="569"/>
        </w:tabs>
        <w:jc w:val="both"/>
        <w:rPr>
          <w:b/>
          <w:bCs/>
          <w:sz w:val="22"/>
          <w:szCs w:val="22"/>
          <w:lang w:val="sr-Latn-ME"/>
        </w:rPr>
      </w:pPr>
    </w:p>
    <w:p w14:paraId="39BE6B34" w14:textId="77777777" w:rsidR="0072020E" w:rsidRPr="00D35073" w:rsidRDefault="0072020E" w:rsidP="00C35410">
      <w:pPr>
        <w:tabs>
          <w:tab w:val="left" w:pos="540"/>
          <w:tab w:val="left" w:pos="569"/>
        </w:tabs>
        <w:jc w:val="both"/>
        <w:rPr>
          <w:bCs/>
          <w:sz w:val="22"/>
          <w:szCs w:val="22"/>
          <w:lang w:val="sr-Latn-ME"/>
        </w:rPr>
      </w:pPr>
    </w:p>
    <w:p w14:paraId="59238C1F"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5.3. </w:t>
      </w:r>
      <w:r w:rsidR="00480FB1" w:rsidRPr="00D35073">
        <w:rPr>
          <w:b/>
          <w:bCs/>
          <w:sz w:val="22"/>
          <w:szCs w:val="22"/>
          <w:lang w:val="sr-Latn-ME"/>
        </w:rPr>
        <w:tab/>
      </w:r>
      <w:r w:rsidRPr="00D35073">
        <w:rPr>
          <w:b/>
          <w:bCs/>
          <w:sz w:val="22"/>
          <w:szCs w:val="22"/>
          <w:lang w:val="sr-Latn-ME"/>
        </w:rPr>
        <w:t xml:space="preserve">Pretklinički podaci o bezbjednosti </w:t>
      </w:r>
    </w:p>
    <w:p w14:paraId="43C3601F" w14:textId="77777777" w:rsidR="00836B35" w:rsidRPr="00D35073" w:rsidRDefault="00836B35" w:rsidP="00C35410">
      <w:pPr>
        <w:tabs>
          <w:tab w:val="left" w:pos="540"/>
          <w:tab w:val="left" w:pos="569"/>
        </w:tabs>
        <w:jc w:val="both"/>
        <w:rPr>
          <w:bCs/>
          <w:sz w:val="22"/>
          <w:szCs w:val="22"/>
          <w:lang w:val="sr-Latn-ME"/>
        </w:rPr>
      </w:pPr>
    </w:p>
    <w:p w14:paraId="4C12BD59" w14:textId="73FA958F" w:rsidR="00183AB2" w:rsidRPr="00D35073" w:rsidRDefault="00183AB2" w:rsidP="00C35410">
      <w:pPr>
        <w:tabs>
          <w:tab w:val="left" w:pos="540"/>
          <w:tab w:val="left" w:pos="569"/>
        </w:tabs>
        <w:jc w:val="both"/>
        <w:rPr>
          <w:bCs/>
          <w:sz w:val="22"/>
          <w:szCs w:val="22"/>
          <w:lang w:val="sr-Latn-ME"/>
        </w:rPr>
      </w:pPr>
      <w:r w:rsidRPr="00D35073">
        <w:rPr>
          <w:bCs/>
          <w:sz w:val="22"/>
          <w:szCs w:val="22"/>
          <w:lang w:val="sr-Latn-ME"/>
        </w:rPr>
        <w:t xml:space="preserve">Imunoglobulini su normalni sastojci </w:t>
      </w:r>
      <w:r w:rsidR="007853DD" w:rsidRPr="00D35073">
        <w:rPr>
          <w:bCs/>
          <w:sz w:val="22"/>
          <w:szCs w:val="22"/>
          <w:lang w:val="sr-Latn-ME"/>
        </w:rPr>
        <w:t xml:space="preserve">humane </w:t>
      </w:r>
      <w:r w:rsidRPr="00D35073">
        <w:rPr>
          <w:bCs/>
          <w:sz w:val="22"/>
          <w:szCs w:val="22"/>
          <w:lang w:val="sr-Latn-ME"/>
        </w:rPr>
        <w:t xml:space="preserve"> plazme. Pretklinički podaci ne ukazuju na poseban rizik za ljude na osnovu konvencionalnih ispitivanja sigurnosne farmakologije i lokalne podnošljivosti. Budući da kliničko iskustvo ne pruža dokaze za karcinogeni ili mutageni potencijal imunoglobulina, ni</w:t>
      </w:r>
      <w:r w:rsidR="0028663A" w:rsidRPr="00D35073">
        <w:rPr>
          <w:bCs/>
          <w:sz w:val="22"/>
          <w:szCs w:val="22"/>
          <w:lang w:val="sr-Latn-ME"/>
        </w:rPr>
        <w:t>je</w:t>
      </w:r>
      <w:r w:rsidRPr="00D35073">
        <w:rPr>
          <w:bCs/>
          <w:sz w:val="22"/>
          <w:szCs w:val="22"/>
          <w:lang w:val="sr-Latn-ME"/>
        </w:rPr>
        <w:t>su sprovedena eksperimentalna ispitivanja kod hete</w:t>
      </w:r>
      <w:r w:rsidR="0028663A" w:rsidRPr="00D35073">
        <w:rPr>
          <w:bCs/>
          <w:sz w:val="22"/>
          <w:szCs w:val="22"/>
          <w:lang w:val="sr-Latn-ME"/>
        </w:rPr>
        <w:t>ro</w:t>
      </w:r>
      <w:r w:rsidRPr="00D35073">
        <w:rPr>
          <w:bCs/>
          <w:sz w:val="22"/>
          <w:szCs w:val="22"/>
          <w:lang w:val="sr-Latn-ME"/>
        </w:rPr>
        <w:t>lognih vrsta.</w:t>
      </w:r>
    </w:p>
    <w:p w14:paraId="6813DBB3" w14:textId="77777777" w:rsidR="00F84447" w:rsidRPr="00D35073" w:rsidRDefault="00F84447" w:rsidP="00C35410">
      <w:pPr>
        <w:tabs>
          <w:tab w:val="left" w:pos="540"/>
          <w:tab w:val="left" w:pos="569"/>
        </w:tabs>
        <w:jc w:val="both"/>
        <w:rPr>
          <w:b/>
          <w:bCs/>
          <w:sz w:val="22"/>
          <w:szCs w:val="22"/>
          <w:lang w:val="sr-Latn-ME"/>
        </w:rPr>
      </w:pPr>
    </w:p>
    <w:p w14:paraId="2487813E" w14:textId="77777777" w:rsidR="00F84447" w:rsidRPr="00D35073" w:rsidRDefault="00F84447" w:rsidP="00C35410">
      <w:pPr>
        <w:tabs>
          <w:tab w:val="left" w:pos="540"/>
          <w:tab w:val="left" w:pos="569"/>
        </w:tabs>
        <w:jc w:val="both"/>
        <w:rPr>
          <w:b/>
          <w:bCs/>
          <w:sz w:val="22"/>
          <w:szCs w:val="22"/>
          <w:lang w:val="sr-Latn-ME"/>
        </w:rPr>
      </w:pPr>
    </w:p>
    <w:p w14:paraId="1B4CFCF7"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6. </w:t>
      </w:r>
      <w:r w:rsidR="00480FB1" w:rsidRPr="00D35073">
        <w:rPr>
          <w:b/>
          <w:bCs/>
          <w:sz w:val="22"/>
          <w:szCs w:val="22"/>
          <w:lang w:val="sr-Latn-ME"/>
        </w:rPr>
        <w:tab/>
      </w:r>
      <w:r w:rsidRPr="00D35073">
        <w:rPr>
          <w:b/>
          <w:bCs/>
          <w:sz w:val="22"/>
          <w:szCs w:val="22"/>
          <w:lang w:val="sr-Latn-ME"/>
        </w:rPr>
        <w:t>FARMACEUTSKI PODACI</w:t>
      </w:r>
    </w:p>
    <w:p w14:paraId="739150B1" w14:textId="77777777" w:rsidR="00836B35" w:rsidRPr="00D35073" w:rsidRDefault="00836B35" w:rsidP="00C35410">
      <w:pPr>
        <w:tabs>
          <w:tab w:val="left" w:pos="540"/>
          <w:tab w:val="left" w:pos="569"/>
        </w:tabs>
        <w:jc w:val="both"/>
        <w:rPr>
          <w:bCs/>
          <w:sz w:val="22"/>
          <w:szCs w:val="22"/>
          <w:lang w:val="sr-Latn-ME"/>
        </w:rPr>
      </w:pPr>
    </w:p>
    <w:p w14:paraId="28D182A6"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6.1. </w:t>
      </w:r>
      <w:r w:rsidR="00480FB1" w:rsidRPr="00D35073">
        <w:rPr>
          <w:b/>
          <w:bCs/>
          <w:sz w:val="22"/>
          <w:szCs w:val="22"/>
          <w:lang w:val="sr-Latn-ME"/>
        </w:rPr>
        <w:tab/>
      </w:r>
      <w:r w:rsidRPr="00D35073">
        <w:rPr>
          <w:b/>
          <w:bCs/>
          <w:sz w:val="22"/>
          <w:szCs w:val="22"/>
          <w:lang w:val="sr-Latn-ME"/>
        </w:rPr>
        <w:t>Lista pomoćnih supstanci</w:t>
      </w:r>
      <w:r w:rsidR="002E0135" w:rsidRPr="00D35073">
        <w:rPr>
          <w:b/>
          <w:bCs/>
          <w:sz w:val="22"/>
          <w:szCs w:val="22"/>
          <w:lang w:val="sr-Latn-ME"/>
        </w:rPr>
        <w:t xml:space="preserve"> (ekscipijenasa)</w:t>
      </w:r>
    </w:p>
    <w:p w14:paraId="674B36FC" w14:textId="77777777" w:rsidR="00183AB2" w:rsidRPr="00D35073" w:rsidRDefault="00183AB2" w:rsidP="00C35410">
      <w:pPr>
        <w:tabs>
          <w:tab w:val="left" w:pos="540"/>
          <w:tab w:val="left" w:pos="569"/>
        </w:tabs>
        <w:jc w:val="both"/>
        <w:rPr>
          <w:b/>
          <w:bCs/>
          <w:sz w:val="22"/>
          <w:szCs w:val="22"/>
          <w:lang w:val="sr-Latn-ME"/>
        </w:rPr>
      </w:pPr>
    </w:p>
    <w:p w14:paraId="6EDEC84C" w14:textId="77777777" w:rsidR="00183AB2" w:rsidRPr="00D35073" w:rsidRDefault="00183AB2" w:rsidP="00C35410">
      <w:pPr>
        <w:jc w:val="both"/>
        <w:rPr>
          <w:sz w:val="22"/>
          <w:szCs w:val="22"/>
          <w:lang w:val="sr-Latn-ME"/>
        </w:rPr>
      </w:pPr>
      <w:r w:rsidRPr="00D35073">
        <w:rPr>
          <w:sz w:val="22"/>
          <w:szCs w:val="22"/>
          <w:lang w:val="sr-Latn-ME"/>
        </w:rPr>
        <w:t>Maltoza, polisorbat 80, voda za injekcije</w:t>
      </w:r>
    </w:p>
    <w:p w14:paraId="0122945D" w14:textId="77777777" w:rsidR="00183AB2" w:rsidRPr="00D35073" w:rsidRDefault="00183AB2" w:rsidP="00C35410">
      <w:pPr>
        <w:jc w:val="both"/>
        <w:rPr>
          <w:sz w:val="22"/>
          <w:szCs w:val="22"/>
          <w:lang w:val="sr-Latn-ME"/>
        </w:rPr>
      </w:pPr>
    </w:p>
    <w:p w14:paraId="088DE6F6" w14:textId="77777777" w:rsidR="0072020E" w:rsidRPr="00D35073" w:rsidRDefault="0072020E" w:rsidP="00C35410">
      <w:pPr>
        <w:tabs>
          <w:tab w:val="left" w:pos="540"/>
          <w:tab w:val="left" w:pos="569"/>
        </w:tabs>
        <w:jc w:val="both"/>
        <w:rPr>
          <w:bCs/>
          <w:sz w:val="22"/>
          <w:szCs w:val="22"/>
          <w:lang w:val="sr-Latn-ME"/>
        </w:rPr>
      </w:pPr>
    </w:p>
    <w:p w14:paraId="46E217E0"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6.2. </w:t>
      </w:r>
      <w:r w:rsidR="00480FB1" w:rsidRPr="00D35073">
        <w:rPr>
          <w:b/>
          <w:bCs/>
          <w:sz w:val="22"/>
          <w:szCs w:val="22"/>
          <w:lang w:val="sr-Latn-ME"/>
        </w:rPr>
        <w:tab/>
      </w:r>
      <w:r w:rsidRPr="00D35073">
        <w:rPr>
          <w:b/>
          <w:bCs/>
          <w:sz w:val="22"/>
          <w:szCs w:val="22"/>
          <w:lang w:val="sr-Latn-ME"/>
        </w:rPr>
        <w:t>Inkompatibilnost</w:t>
      </w:r>
      <w:r w:rsidR="002846DB" w:rsidRPr="00D35073">
        <w:rPr>
          <w:b/>
          <w:bCs/>
          <w:sz w:val="22"/>
          <w:szCs w:val="22"/>
          <w:lang w:val="sr-Latn-ME"/>
        </w:rPr>
        <w:t>i</w:t>
      </w:r>
    </w:p>
    <w:p w14:paraId="4DD2A2F4" w14:textId="77777777" w:rsidR="00183AB2" w:rsidRPr="00D35073" w:rsidRDefault="00183AB2" w:rsidP="00C35410">
      <w:pPr>
        <w:tabs>
          <w:tab w:val="left" w:pos="540"/>
          <w:tab w:val="left" w:pos="569"/>
        </w:tabs>
        <w:jc w:val="both"/>
        <w:rPr>
          <w:b/>
          <w:bCs/>
          <w:sz w:val="22"/>
          <w:szCs w:val="22"/>
          <w:lang w:val="sr-Latn-ME"/>
        </w:rPr>
      </w:pPr>
    </w:p>
    <w:p w14:paraId="4CAD0A23" w14:textId="4458125C" w:rsidR="00183AB2" w:rsidRPr="00D35073" w:rsidRDefault="00183AB2" w:rsidP="00C35410">
      <w:pPr>
        <w:tabs>
          <w:tab w:val="left" w:pos="540"/>
          <w:tab w:val="left" w:pos="569"/>
        </w:tabs>
        <w:jc w:val="both"/>
        <w:rPr>
          <w:sz w:val="22"/>
          <w:szCs w:val="22"/>
          <w:lang w:val="sr-Latn-ME"/>
        </w:rPr>
      </w:pPr>
      <w:r w:rsidRPr="00D35073">
        <w:rPr>
          <w:sz w:val="22"/>
          <w:szCs w:val="22"/>
          <w:lang w:val="sr-Latn-ME"/>
        </w:rPr>
        <w:t>Zbog nedostatka ispitivanja kompatibilnosti, ovaj lijek se ne smije miješati sa drugim ljekovima.</w:t>
      </w:r>
    </w:p>
    <w:p w14:paraId="6ABAC22A" w14:textId="77777777" w:rsidR="0072020E" w:rsidRPr="00D35073" w:rsidRDefault="0072020E" w:rsidP="00C35410">
      <w:pPr>
        <w:tabs>
          <w:tab w:val="left" w:pos="540"/>
          <w:tab w:val="left" w:pos="569"/>
        </w:tabs>
        <w:jc w:val="both"/>
        <w:rPr>
          <w:bCs/>
          <w:sz w:val="22"/>
          <w:szCs w:val="22"/>
          <w:lang w:val="sr-Latn-ME"/>
        </w:rPr>
      </w:pPr>
    </w:p>
    <w:p w14:paraId="19B7C4A3"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6.3.</w:t>
      </w:r>
      <w:r w:rsidR="00C05DF8" w:rsidRPr="00D35073">
        <w:rPr>
          <w:b/>
          <w:bCs/>
          <w:sz w:val="22"/>
          <w:szCs w:val="22"/>
          <w:lang w:val="sr-Latn-ME"/>
        </w:rPr>
        <w:t xml:space="preserve"> </w:t>
      </w:r>
      <w:r w:rsidR="00480FB1" w:rsidRPr="00D35073">
        <w:rPr>
          <w:b/>
          <w:bCs/>
          <w:sz w:val="22"/>
          <w:szCs w:val="22"/>
          <w:lang w:val="sr-Latn-ME"/>
        </w:rPr>
        <w:tab/>
      </w:r>
      <w:r w:rsidRPr="00D35073">
        <w:rPr>
          <w:b/>
          <w:bCs/>
          <w:sz w:val="22"/>
          <w:szCs w:val="22"/>
          <w:lang w:val="sr-Latn-ME"/>
        </w:rPr>
        <w:t>Rok upotrebe</w:t>
      </w:r>
    </w:p>
    <w:p w14:paraId="17B26869" w14:textId="77777777" w:rsidR="00183AB2" w:rsidRPr="00D35073" w:rsidRDefault="00183AB2" w:rsidP="00C35410">
      <w:pPr>
        <w:tabs>
          <w:tab w:val="left" w:pos="540"/>
          <w:tab w:val="left" w:pos="569"/>
        </w:tabs>
        <w:jc w:val="both"/>
        <w:rPr>
          <w:b/>
          <w:bCs/>
          <w:sz w:val="22"/>
          <w:szCs w:val="22"/>
          <w:lang w:val="sr-Latn-ME"/>
        </w:rPr>
      </w:pPr>
    </w:p>
    <w:p w14:paraId="2256CA7A" w14:textId="3485EE9C" w:rsidR="00183AB2" w:rsidRPr="00D35073" w:rsidRDefault="00183AB2" w:rsidP="00C35410">
      <w:pPr>
        <w:tabs>
          <w:tab w:val="left" w:pos="540"/>
          <w:tab w:val="left" w:pos="569"/>
        </w:tabs>
        <w:jc w:val="both"/>
        <w:rPr>
          <w:sz w:val="22"/>
          <w:szCs w:val="22"/>
          <w:lang w:val="sr-Latn-ME"/>
        </w:rPr>
      </w:pPr>
      <w:r w:rsidRPr="00D35073">
        <w:rPr>
          <w:sz w:val="22"/>
          <w:szCs w:val="22"/>
          <w:lang w:val="sr-Latn-ME"/>
        </w:rPr>
        <w:t>3 godine</w:t>
      </w:r>
    </w:p>
    <w:p w14:paraId="111FB5FC" w14:textId="77777777" w:rsidR="0092737E" w:rsidRPr="00D35073" w:rsidRDefault="0092737E" w:rsidP="00C35410">
      <w:pPr>
        <w:tabs>
          <w:tab w:val="left" w:pos="540"/>
          <w:tab w:val="left" w:pos="569"/>
        </w:tabs>
        <w:jc w:val="both"/>
        <w:rPr>
          <w:sz w:val="22"/>
          <w:szCs w:val="22"/>
          <w:lang w:val="sr-Latn-ME"/>
        </w:rPr>
      </w:pPr>
    </w:p>
    <w:p w14:paraId="76A26523" w14:textId="5945CD3C" w:rsidR="00183AB2" w:rsidRPr="00D35073" w:rsidRDefault="00183AB2" w:rsidP="00C35410">
      <w:pPr>
        <w:tabs>
          <w:tab w:val="left" w:pos="540"/>
          <w:tab w:val="left" w:pos="569"/>
        </w:tabs>
        <w:jc w:val="both"/>
        <w:rPr>
          <w:sz w:val="22"/>
          <w:szCs w:val="22"/>
          <w:lang w:val="sr-Latn-ME"/>
        </w:rPr>
      </w:pPr>
      <w:r w:rsidRPr="00D35073">
        <w:rPr>
          <w:sz w:val="22"/>
          <w:szCs w:val="22"/>
          <w:lang w:val="sr-Latn-ME"/>
        </w:rPr>
        <w:t>Nakon otvaranja bočice, rastvor se mora odmah iskoristiti</w:t>
      </w:r>
      <w:r w:rsidR="0092737E" w:rsidRPr="00D35073">
        <w:rPr>
          <w:sz w:val="22"/>
          <w:szCs w:val="22"/>
          <w:lang w:val="sr-Latn-ME"/>
        </w:rPr>
        <w:t>.</w:t>
      </w:r>
    </w:p>
    <w:p w14:paraId="39FF72F6" w14:textId="77777777" w:rsidR="0072020E" w:rsidRPr="00D35073" w:rsidRDefault="0072020E" w:rsidP="00C35410">
      <w:pPr>
        <w:tabs>
          <w:tab w:val="left" w:pos="540"/>
          <w:tab w:val="left" w:pos="569"/>
        </w:tabs>
        <w:jc w:val="both"/>
        <w:rPr>
          <w:bCs/>
          <w:sz w:val="22"/>
          <w:szCs w:val="22"/>
          <w:lang w:val="sr-Latn-ME"/>
        </w:rPr>
      </w:pPr>
    </w:p>
    <w:p w14:paraId="17EA27BA"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6.4. </w:t>
      </w:r>
      <w:r w:rsidR="00480FB1" w:rsidRPr="00D35073">
        <w:rPr>
          <w:b/>
          <w:bCs/>
          <w:sz w:val="22"/>
          <w:szCs w:val="22"/>
          <w:lang w:val="sr-Latn-ME"/>
        </w:rPr>
        <w:tab/>
      </w:r>
      <w:r w:rsidRPr="00D35073">
        <w:rPr>
          <w:b/>
          <w:bCs/>
          <w:sz w:val="22"/>
          <w:szCs w:val="22"/>
          <w:lang w:val="sr-Latn-ME"/>
        </w:rPr>
        <w:t>Posebne mjere upozorenja pri čuvanju</w:t>
      </w:r>
      <w:r w:rsidR="00F8570A" w:rsidRPr="00D35073">
        <w:rPr>
          <w:b/>
          <w:bCs/>
          <w:sz w:val="22"/>
          <w:szCs w:val="22"/>
          <w:lang w:val="sr-Latn-ME"/>
        </w:rPr>
        <w:t xml:space="preserve"> lijeka</w:t>
      </w:r>
    </w:p>
    <w:p w14:paraId="0D02D4AE" w14:textId="77777777" w:rsidR="00EC2532" w:rsidRPr="00D35073" w:rsidRDefault="00EC2532" w:rsidP="00C35410">
      <w:pPr>
        <w:tabs>
          <w:tab w:val="left" w:pos="540"/>
          <w:tab w:val="left" w:pos="569"/>
        </w:tabs>
        <w:jc w:val="both"/>
        <w:rPr>
          <w:bCs/>
          <w:sz w:val="22"/>
          <w:szCs w:val="22"/>
          <w:lang w:val="sr-Latn-ME"/>
        </w:rPr>
      </w:pPr>
    </w:p>
    <w:p w14:paraId="585B6D63" w14:textId="1777E84E" w:rsidR="00183AB2" w:rsidRPr="00D35073" w:rsidRDefault="00183AB2" w:rsidP="00C35410">
      <w:pPr>
        <w:tabs>
          <w:tab w:val="left" w:pos="540"/>
          <w:tab w:val="left" w:pos="569"/>
        </w:tabs>
        <w:jc w:val="both"/>
        <w:rPr>
          <w:bCs/>
          <w:sz w:val="22"/>
          <w:szCs w:val="22"/>
          <w:lang w:val="sr-Latn-ME"/>
        </w:rPr>
      </w:pPr>
      <w:r w:rsidRPr="00D35073">
        <w:rPr>
          <w:bCs/>
          <w:sz w:val="22"/>
          <w:szCs w:val="22"/>
          <w:lang w:val="sr-Latn-ME"/>
        </w:rPr>
        <w:t>Čuva</w:t>
      </w:r>
      <w:r w:rsidR="005A3946" w:rsidRPr="00D35073">
        <w:rPr>
          <w:bCs/>
          <w:sz w:val="22"/>
          <w:szCs w:val="22"/>
          <w:lang w:val="sr-Latn-ME"/>
        </w:rPr>
        <w:t xml:space="preserve">ti </w:t>
      </w:r>
      <w:r w:rsidRPr="00D35073">
        <w:rPr>
          <w:bCs/>
          <w:sz w:val="22"/>
          <w:szCs w:val="22"/>
          <w:lang w:val="sr-Latn-ME"/>
        </w:rPr>
        <w:t>u frižideru (2°C-8°C)</w:t>
      </w:r>
      <w:r w:rsidR="002F6184" w:rsidRPr="00D35073">
        <w:rPr>
          <w:bCs/>
          <w:sz w:val="22"/>
          <w:szCs w:val="22"/>
          <w:lang w:val="sr-Latn-ME"/>
        </w:rPr>
        <w:t xml:space="preserve">. </w:t>
      </w:r>
      <w:r w:rsidRPr="00D35073">
        <w:rPr>
          <w:bCs/>
          <w:sz w:val="22"/>
          <w:szCs w:val="22"/>
          <w:lang w:val="sr-Latn-ME"/>
        </w:rPr>
        <w:t>Ne zamrzavati</w:t>
      </w:r>
      <w:r w:rsidR="00094058" w:rsidRPr="00D35073">
        <w:rPr>
          <w:bCs/>
          <w:sz w:val="22"/>
          <w:szCs w:val="22"/>
          <w:lang w:val="sr-Latn-ME"/>
        </w:rPr>
        <w:t>.</w:t>
      </w:r>
      <w:r w:rsidR="002F6184" w:rsidRPr="00D35073">
        <w:rPr>
          <w:bCs/>
          <w:sz w:val="22"/>
          <w:szCs w:val="22"/>
          <w:lang w:val="sr-Latn-ME"/>
        </w:rPr>
        <w:t xml:space="preserve"> </w:t>
      </w:r>
    </w:p>
    <w:p w14:paraId="46804E6C" w14:textId="6E17B015" w:rsidR="00183AB2" w:rsidRPr="00D35073" w:rsidRDefault="00183AB2" w:rsidP="00C35410">
      <w:pPr>
        <w:tabs>
          <w:tab w:val="left" w:pos="540"/>
          <w:tab w:val="left" w:pos="569"/>
        </w:tabs>
        <w:jc w:val="both"/>
        <w:rPr>
          <w:bCs/>
          <w:sz w:val="22"/>
          <w:szCs w:val="22"/>
          <w:lang w:val="sr-Latn-ME"/>
        </w:rPr>
      </w:pPr>
      <w:r w:rsidRPr="00D35073">
        <w:rPr>
          <w:bCs/>
          <w:sz w:val="22"/>
          <w:szCs w:val="22"/>
          <w:lang w:val="sr-Latn-ME"/>
        </w:rPr>
        <w:t>Bočicu čuvati u spoljnjem pakovanju radi zaštite od svjetlosti</w:t>
      </w:r>
      <w:r w:rsidR="002F6184" w:rsidRPr="00D35073">
        <w:rPr>
          <w:bCs/>
          <w:sz w:val="22"/>
          <w:szCs w:val="22"/>
          <w:lang w:val="sr-Latn-ME"/>
        </w:rPr>
        <w:t>.</w:t>
      </w:r>
    </w:p>
    <w:p w14:paraId="6BD810C4" w14:textId="77777777" w:rsidR="002F6184" w:rsidRPr="00D35073" w:rsidRDefault="002F6184" w:rsidP="002F6184">
      <w:pPr>
        <w:numPr>
          <w:ilvl w:val="12"/>
          <w:numId w:val="0"/>
        </w:numPr>
        <w:tabs>
          <w:tab w:val="left" w:pos="720"/>
        </w:tabs>
        <w:ind w:right="-2"/>
        <w:jc w:val="both"/>
        <w:rPr>
          <w:sz w:val="22"/>
          <w:szCs w:val="22"/>
          <w:lang w:val="sr-Latn-ME"/>
        </w:rPr>
      </w:pPr>
      <w:r w:rsidRPr="00D35073">
        <w:rPr>
          <w:sz w:val="22"/>
          <w:szCs w:val="22"/>
          <w:lang w:val="sr-Latn-ME"/>
        </w:rPr>
        <w:lastRenderedPageBreak/>
        <w:t>U toku roka upotrebe lijek se može čuvati na sobnoj temperaturi (ne čuvati na temperaturi iznad 25°C) do 9 mjeseci bez čuvanja u frižideru tokom tog vremena, a nakon toka se mora baciti ako nije iskorišćen.</w:t>
      </w:r>
    </w:p>
    <w:p w14:paraId="0CA0D26B" w14:textId="77777777" w:rsidR="00183AB2" w:rsidRPr="00D35073" w:rsidRDefault="00183AB2" w:rsidP="00C35410">
      <w:pPr>
        <w:tabs>
          <w:tab w:val="left" w:pos="540"/>
          <w:tab w:val="left" w:pos="569"/>
        </w:tabs>
        <w:jc w:val="both"/>
        <w:rPr>
          <w:bCs/>
          <w:sz w:val="22"/>
          <w:szCs w:val="22"/>
          <w:lang w:val="sr-Latn-ME"/>
        </w:rPr>
      </w:pPr>
    </w:p>
    <w:p w14:paraId="0586CB94" w14:textId="10B516D6" w:rsidR="00183AB2" w:rsidRPr="00D35073" w:rsidRDefault="00183AB2" w:rsidP="00C35410">
      <w:pPr>
        <w:tabs>
          <w:tab w:val="left" w:pos="540"/>
          <w:tab w:val="left" w:pos="569"/>
        </w:tabs>
        <w:jc w:val="both"/>
        <w:rPr>
          <w:bCs/>
          <w:sz w:val="22"/>
          <w:szCs w:val="22"/>
          <w:lang w:val="sr-Latn-ME"/>
        </w:rPr>
      </w:pPr>
      <w:r w:rsidRPr="00D35073">
        <w:rPr>
          <w:bCs/>
          <w:sz w:val="22"/>
          <w:szCs w:val="22"/>
          <w:lang w:val="sr-Latn-ME"/>
        </w:rPr>
        <w:t>Pravila čuvanja nakon prvog otvaranja lijeka vidjeti u dijelu 6.3.</w:t>
      </w:r>
    </w:p>
    <w:p w14:paraId="09F0F8A6" w14:textId="77777777" w:rsidR="00183AB2" w:rsidRPr="00D35073" w:rsidRDefault="00183AB2" w:rsidP="00C35410">
      <w:pPr>
        <w:tabs>
          <w:tab w:val="left" w:pos="540"/>
          <w:tab w:val="left" w:pos="569"/>
        </w:tabs>
        <w:jc w:val="both"/>
        <w:rPr>
          <w:bCs/>
          <w:sz w:val="22"/>
          <w:szCs w:val="22"/>
          <w:lang w:val="sr-Latn-ME"/>
        </w:rPr>
      </w:pPr>
    </w:p>
    <w:p w14:paraId="0168B8E6" w14:textId="77777777" w:rsidR="007E530F" w:rsidRPr="00D35073" w:rsidRDefault="007E530F" w:rsidP="00C35410">
      <w:pPr>
        <w:tabs>
          <w:tab w:val="left" w:pos="540"/>
          <w:tab w:val="left" w:pos="569"/>
        </w:tabs>
        <w:jc w:val="both"/>
        <w:rPr>
          <w:bCs/>
          <w:sz w:val="22"/>
          <w:szCs w:val="22"/>
          <w:lang w:val="sr-Latn-ME"/>
        </w:rPr>
      </w:pPr>
    </w:p>
    <w:p w14:paraId="40A5BCFA"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6.5. </w:t>
      </w:r>
      <w:r w:rsidR="00480FB1" w:rsidRPr="00D35073">
        <w:rPr>
          <w:b/>
          <w:bCs/>
          <w:sz w:val="22"/>
          <w:szCs w:val="22"/>
          <w:lang w:val="sr-Latn-ME"/>
        </w:rPr>
        <w:tab/>
      </w:r>
      <w:r w:rsidR="002846DB" w:rsidRPr="00D35073">
        <w:rPr>
          <w:b/>
          <w:bCs/>
          <w:sz w:val="22"/>
          <w:szCs w:val="22"/>
          <w:lang w:val="sr-Latn-ME"/>
        </w:rPr>
        <w:t xml:space="preserve">Vrsta i sadržaj </w:t>
      </w:r>
      <w:r w:rsidR="00F8570A" w:rsidRPr="00D35073">
        <w:rPr>
          <w:b/>
          <w:bCs/>
          <w:sz w:val="22"/>
          <w:szCs w:val="22"/>
          <w:lang w:val="sr-Latn-ME"/>
        </w:rPr>
        <w:t>pakovanja</w:t>
      </w:r>
      <w:r w:rsidR="00C06864" w:rsidRPr="00D35073">
        <w:rPr>
          <w:b/>
          <w:bCs/>
          <w:sz w:val="22"/>
          <w:szCs w:val="22"/>
          <w:lang w:val="sr-Latn-ME"/>
        </w:rPr>
        <w:t xml:space="preserve"> </w:t>
      </w:r>
    </w:p>
    <w:p w14:paraId="30FEC06C" w14:textId="77777777" w:rsidR="007E530F" w:rsidRPr="00D35073" w:rsidRDefault="007E530F" w:rsidP="00C35410">
      <w:pPr>
        <w:tabs>
          <w:tab w:val="left" w:pos="540"/>
          <w:tab w:val="left" w:pos="569"/>
        </w:tabs>
        <w:jc w:val="both"/>
        <w:rPr>
          <w:b/>
          <w:bCs/>
          <w:sz w:val="22"/>
          <w:szCs w:val="22"/>
          <w:lang w:val="sr-Latn-ME"/>
        </w:rPr>
      </w:pPr>
    </w:p>
    <w:p w14:paraId="0786B964" w14:textId="76F93CDD" w:rsidR="007E530F" w:rsidRPr="00D35073" w:rsidRDefault="007E530F" w:rsidP="00C35410">
      <w:pPr>
        <w:tabs>
          <w:tab w:val="left" w:pos="540"/>
          <w:tab w:val="left" w:pos="569"/>
        </w:tabs>
        <w:jc w:val="both"/>
        <w:rPr>
          <w:bCs/>
          <w:sz w:val="22"/>
          <w:szCs w:val="22"/>
          <w:lang w:val="sr-Latn-ME"/>
        </w:rPr>
      </w:pPr>
      <w:r w:rsidRPr="00D35073">
        <w:rPr>
          <w:bCs/>
          <w:sz w:val="22"/>
          <w:szCs w:val="22"/>
          <w:lang w:val="sr-Latn-ME"/>
        </w:rPr>
        <w:t>6, 10, 12, 20, 24 ili 48 ml rastvora u bočici (staklo tip I</w:t>
      </w:r>
      <w:r w:rsidR="00312F0E" w:rsidRPr="00D35073">
        <w:rPr>
          <w:bCs/>
          <w:sz w:val="22"/>
          <w:szCs w:val="22"/>
          <w:lang w:val="sr-Latn-ME"/>
        </w:rPr>
        <w:t>)</w:t>
      </w:r>
      <w:r w:rsidRPr="00D35073">
        <w:rPr>
          <w:bCs/>
          <w:sz w:val="22"/>
          <w:szCs w:val="22"/>
          <w:lang w:val="sr-Latn-ME"/>
        </w:rPr>
        <w:t xml:space="preserve"> sa zatvaračem od brombutilne gume</w:t>
      </w:r>
      <w:r w:rsidR="000149FC" w:rsidRPr="00D35073">
        <w:rPr>
          <w:bCs/>
          <w:sz w:val="22"/>
          <w:szCs w:val="22"/>
          <w:lang w:val="sr-Latn-ME"/>
        </w:rPr>
        <w:t>.</w:t>
      </w:r>
    </w:p>
    <w:p w14:paraId="5682D2F8" w14:textId="52A0ED42" w:rsidR="007E530F" w:rsidRPr="00D35073" w:rsidRDefault="007E530F" w:rsidP="00C35410">
      <w:pPr>
        <w:tabs>
          <w:tab w:val="left" w:pos="540"/>
          <w:tab w:val="left" w:pos="569"/>
        </w:tabs>
        <w:jc w:val="both"/>
        <w:rPr>
          <w:bCs/>
          <w:sz w:val="22"/>
          <w:szCs w:val="22"/>
          <w:lang w:val="sr-Latn-ME"/>
        </w:rPr>
      </w:pPr>
      <w:r w:rsidRPr="00D35073">
        <w:rPr>
          <w:bCs/>
          <w:sz w:val="22"/>
          <w:szCs w:val="22"/>
          <w:lang w:val="sr-Latn-ME"/>
        </w:rPr>
        <w:t>Veličina pakovanja</w:t>
      </w:r>
      <w:r w:rsidR="00094058" w:rsidRPr="00D35073">
        <w:rPr>
          <w:bCs/>
          <w:sz w:val="22"/>
          <w:szCs w:val="22"/>
          <w:lang w:val="sr-Latn-ME"/>
        </w:rPr>
        <w:t>: 1 bočica.</w:t>
      </w:r>
    </w:p>
    <w:p w14:paraId="0E28917D" w14:textId="77777777" w:rsidR="007E530F" w:rsidRPr="00D35073" w:rsidRDefault="007E530F" w:rsidP="00C35410">
      <w:pPr>
        <w:tabs>
          <w:tab w:val="left" w:pos="540"/>
          <w:tab w:val="left" w:pos="569"/>
        </w:tabs>
        <w:jc w:val="both"/>
        <w:rPr>
          <w:b/>
          <w:bCs/>
          <w:sz w:val="22"/>
          <w:szCs w:val="22"/>
          <w:lang w:val="sr-Latn-ME"/>
        </w:rPr>
      </w:pPr>
    </w:p>
    <w:p w14:paraId="08093739" w14:textId="77777777" w:rsidR="00EF743A" w:rsidRPr="00D35073" w:rsidRDefault="00EF743A" w:rsidP="00C35410">
      <w:pPr>
        <w:tabs>
          <w:tab w:val="left" w:pos="540"/>
          <w:tab w:val="left" w:pos="569"/>
        </w:tabs>
        <w:jc w:val="both"/>
        <w:rPr>
          <w:bCs/>
          <w:sz w:val="22"/>
          <w:szCs w:val="22"/>
          <w:lang w:val="sr-Latn-ME"/>
        </w:rPr>
      </w:pPr>
    </w:p>
    <w:p w14:paraId="68D5DFCF" w14:textId="77777777" w:rsidR="007E530F"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6.6. </w:t>
      </w:r>
      <w:r w:rsidR="00480FB1" w:rsidRPr="00D35073">
        <w:rPr>
          <w:b/>
          <w:bCs/>
          <w:sz w:val="22"/>
          <w:szCs w:val="22"/>
          <w:lang w:val="sr-Latn-ME"/>
        </w:rPr>
        <w:tab/>
      </w:r>
      <w:r w:rsidRPr="00D35073">
        <w:rPr>
          <w:b/>
          <w:bCs/>
          <w:color w:val="000000"/>
          <w:sz w:val="22"/>
          <w:szCs w:val="22"/>
          <w:lang w:val="sr-Latn-ME"/>
        </w:rPr>
        <w:t>Posebne mjere opreza pri odlaganju materijala koji treba odbaciti nakon primjene lijeka</w:t>
      </w:r>
      <w:r w:rsidRPr="00D35073">
        <w:rPr>
          <w:b/>
          <w:bCs/>
          <w:sz w:val="22"/>
          <w:szCs w:val="22"/>
          <w:lang w:val="sr-Latn-ME"/>
        </w:rPr>
        <w:t xml:space="preserve"> </w:t>
      </w:r>
      <w:r w:rsidR="00310F03" w:rsidRPr="00D35073">
        <w:rPr>
          <w:b/>
          <w:bCs/>
          <w:sz w:val="22"/>
          <w:szCs w:val="22"/>
          <w:lang w:val="sr-Latn-ME"/>
        </w:rPr>
        <w:t>(i druga uputs</w:t>
      </w:r>
      <w:r w:rsidR="004109FA" w:rsidRPr="00D35073">
        <w:rPr>
          <w:b/>
          <w:bCs/>
          <w:sz w:val="22"/>
          <w:szCs w:val="22"/>
          <w:lang w:val="sr-Latn-ME"/>
        </w:rPr>
        <w:t>t</w:t>
      </w:r>
      <w:r w:rsidR="00310F03" w:rsidRPr="00D35073">
        <w:rPr>
          <w:b/>
          <w:bCs/>
          <w:sz w:val="22"/>
          <w:szCs w:val="22"/>
          <w:lang w:val="sr-Latn-ME"/>
        </w:rPr>
        <w:t>va za rukovanje lijekom)</w:t>
      </w:r>
    </w:p>
    <w:p w14:paraId="193C0B08" w14:textId="77777777" w:rsidR="007E530F" w:rsidRPr="00D35073" w:rsidRDefault="007E530F" w:rsidP="00C35410">
      <w:pPr>
        <w:tabs>
          <w:tab w:val="left" w:pos="540"/>
          <w:tab w:val="left" w:pos="569"/>
        </w:tabs>
        <w:jc w:val="both"/>
        <w:rPr>
          <w:b/>
          <w:bCs/>
          <w:sz w:val="22"/>
          <w:szCs w:val="22"/>
          <w:lang w:val="sr-Latn-ME"/>
        </w:rPr>
      </w:pPr>
    </w:p>
    <w:p w14:paraId="539EEF12" w14:textId="6FF80746" w:rsidR="002846DB" w:rsidRPr="00D35073" w:rsidRDefault="00310F03" w:rsidP="00C35410">
      <w:pPr>
        <w:tabs>
          <w:tab w:val="left" w:pos="540"/>
          <w:tab w:val="left" w:pos="569"/>
        </w:tabs>
        <w:jc w:val="both"/>
        <w:rPr>
          <w:b/>
          <w:bCs/>
          <w:sz w:val="22"/>
          <w:szCs w:val="22"/>
          <w:lang w:val="sr-Latn-ME"/>
        </w:rPr>
      </w:pPr>
      <w:r w:rsidRPr="00D35073">
        <w:rPr>
          <w:b/>
          <w:bCs/>
          <w:sz w:val="22"/>
          <w:szCs w:val="22"/>
          <w:lang w:val="sr-Latn-ME"/>
        </w:rPr>
        <w:t xml:space="preserve"> </w:t>
      </w:r>
    </w:p>
    <w:p w14:paraId="4D1BB42D" w14:textId="57BB3FF9" w:rsidR="007E530F" w:rsidRPr="00D35073" w:rsidRDefault="007E530F" w:rsidP="00C35410">
      <w:pPr>
        <w:tabs>
          <w:tab w:val="left" w:pos="540"/>
          <w:tab w:val="left" w:pos="569"/>
        </w:tabs>
        <w:jc w:val="both"/>
        <w:rPr>
          <w:sz w:val="22"/>
          <w:szCs w:val="22"/>
          <w:lang w:val="sr-Latn-ME"/>
        </w:rPr>
      </w:pPr>
      <w:r w:rsidRPr="00D35073">
        <w:rPr>
          <w:sz w:val="22"/>
          <w:szCs w:val="22"/>
          <w:lang w:val="sr-Latn-ME"/>
        </w:rPr>
        <w:t xml:space="preserve">Lijek prije primjene treba postići sobnu </w:t>
      </w:r>
      <w:r w:rsidR="00AC3AC6" w:rsidRPr="00D35073">
        <w:rPr>
          <w:sz w:val="22"/>
          <w:szCs w:val="22"/>
          <w:lang w:val="sr-Latn-ME"/>
        </w:rPr>
        <w:t xml:space="preserve">temperaturu </w:t>
      </w:r>
      <w:r w:rsidRPr="00D35073">
        <w:rPr>
          <w:sz w:val="22"/>
          <w:szCs w:val="22"/>
          <w:lang w:val="sr-Latn-ME"/>
        </w:rPr>
        <w:t xml:space="preserve">ili </w:t>
      </w:r>
      <w:r w:rsidR="00AC3AC6" w:rsidRPr="00D35073">
        <w:rPr>
          <w:sz w:val="22"/>
          <w:szCs w:val="22"/>
          <w:lang w:val="sr-Latn-ME"/>
        </w:rPr>
        <w:t xml:space="preserve">temperaturu </w:t>
      </w:r>
      <w:r w:rsidRPr="00D35073">
        <w:rPr>
          <w:sz w:val="22"/>
          <w:szCs w:val="22"/>
          <w:lang w:val="sr-Latn-ME"/>
        </w:rPr>
        <w:t xml:space="preserve"> tijela. </w:t>
      </w:r>
    </w:p>
    <w:p w14:paraId="3ADC016F" w14:textId="77777777" w:rsidR="007E530F" w:rsidRPr="00D35073" w:rsidRDefault="007E530F" w:rsidP="00C35410">
      <w:pPr>
        <w:tabs>
          <w:tab w:val="left" w:pos="540"/>
          <w:tab w:val="left" w:pos="569"/>
        </w:tabs>
        <w:jc w:val="both"/>
        <w:rPr>
          <w:sz w:val="22"/>
          <w:szCs w:val="22"/>
          <w:lang w:val="sr-Latn-ME"/>
        </w:rPr>
      </w:pPr>
    </w:p>
    <w:p w14:paraId="252FC60F" w14:textId="77777777" w:rsidR="007E530F" w:rsidRPr="00D35073" w:rsidRDefault="007E530F" w:rsidP="00C35410">
      <w:pPr>
        <w:tabs>
          <w:tab w:val="left" w:pos="540"/>
          <w:tab w:val="left" w:pos="569"/>
        </w:tabs>
        <w:jc w:val="both"/>
        <w:rPr>
          <w:sz w:val="22"/>
          <w:szCs w:val="22"/>
          <w:lang w:val="sr-Latn-ME"/>
        </w:rPr>
      </w:pPr>
      <w:r w:rsidRPr="00D35073">
        <w:rPr>
          <w:sz w:val="22"/>
          <w:szCs w:val="22"/>
          <w:lang w:val="sr-Latn-ME"/>
        </w:rPr>
        <w:t xml:space="preserve">Prije primjene lijek treba vizuelno pregledati na prisutnost čestica i promjenu boje. </w:t>
      </w:r>
    </w:p>
    <w:p w14:paraId="34CDF2E9" w14:textId="77777777" w:rsidR="007E530F" w:rsidRPr="00D35073" w:rsidRDefault="007E530F" w:rsidP="00C35410">
      <w:pPr>
        <w:tabs>
          <w:tab w:val="left" w:pos="540"/>
          <w:tab w:val="left" w:pos="569"/>
        </w:tabs>
        <w:jc w:val="both"/>
        <w:rPr>
          <w:sz w:val="22"/>
          <w:szCs w:val="22"/>
          <w:lang w:val="sr-Latn-ME"/>
        </w:rPr>
      </w:pPr>
      <w:r w:rsidRPr="00D35073">
        <w:rPr>
          <w:sz w:val="22"/>
          <w:szCs w:val="22"/>
          <w:lang w:val="sr-Latn-ME"/>
        </w:rPr>
        <w:t xml:space="preserve">Rastvori koji su zamućeni ili sadrže talog ne smiju se koristiti. </w:t>
      </w:r>
    </w:p>
    <w:p w14:paraId="5BEC96BB" w14:textId="77777777" w:rsidR="007E530F" w:rsidRPr="00D35073" w:rsidRDefault="007E530F" w:rsidP="00C35410">
      <w:pPr>
        <w:tabs>
          <w:tab w:val="left" w:pos="540"/>
          <w:tab w:val="left" w:pos="569"/>
        </w:tabs>
        <w:jc w:val="both"/>
        <w:rPr>
          <w:sz w:val="22"/>
          <w:szCs w:val="22"/>
          <w:lang w:val="sr-Latn-ME"/>
        </w:rPr>
      </w:pPr>
    </w:p>
    <w:p w14:paraId="1E5F65B8" w14:textId="73714099" w:rsidR="007E530F" w:rsidRPr="00D35073" w:rsidRDefault="007E530F" w:rsidP="00C35410">
      <w:pPr>
        <w:tabs>
          <w:tab w:val="left" w:pos="540"/>
          <w:tab w:val="left" w:pos="569"/>
        </w:tabs>
        <w:jc w:val="both"/>
        <w:rPr>
          <w:sz w:val="22"/>
          <w:szCs w:val="22"/>
          <w:lang w:val="sr-Latn-ME"/>
        </w:rPr>
      </w:pPr>
      <w:r w:rsidRPr="00D35073">
        <w:rPr>
          <w:sz w:val="22"/>
          <w:szCs w:val="22"/>
          <w:lang w:val="sr-Latn-ME"/>
        </w:rPr>
        <w:t>Neiskoriš</w:t>
      </w:r>
      <w:r w:rsidR="00312F0E" w:rsidRPr="00D35073">
        <w:rPr>
          <w:sz w:val="22"/>
          <w:szCs w:val="22"/>
          <w:lang w:val="sr-Latn-ME"/>
        </w:rPr>
        <w:t>ć</w:t>
      </w:r>
      <w:r w:rsidRPr="00D35073">
        <w:rPr>
          <w:sz w:val="22"/>
          <w:szCs w:val="22"/>
          <w:lang w:val="sr-Latn-ME"/>
        </w:rPr>
        <w:t xml:space="preserve">eni lijek ili otpadni materijal treba </w:t>
      </w:r>
      <w:r w:rsidR="00094058" w:rsidRPr="00D35073">
        <w:rPr>
          <w:sz w:val="22"/>
          <w:szCs w:val="22"/>
          <w:lang w:val="sr-Latn-ME"/>
        </w:rPr>
        <w:t xml:space="preserve">ukloniti u skladu sa </w:t>
      </w:r>
      <w:r w:rsidRPr="00D35073">
        <w:rPr>
          <w:sz w:val="22"/>
          <w:szCs w:val="22"/>
          <w:lang w:val="sr-Latn-ME"/>
        </w:rPr>
        <w:t xml:space="preserve"> propisima.</w:t>
      </w:r>
    </w:p>
    <w:p w14:paraId="4CCDF8E4" w14:textId="77777777" w:rsidR="007E530F" w:rsidRPr="00D35073" w:rsidRDefault="007E530F" w:rsidP="00C35410">
      <w:pPr>
        <w:tabs>
          <w:tab w:val="left" w:pos="540"/>
          <w:tab w:val="left" w:pos="569"/>
        </w:tabs>
        <w:jc w:val="both"/>
        <w:rPr>
          <w:b/>
          <w:bCs/>
          <w:sz w:val="22"/>
          <w:szCs w:val="22"/>
          <w:lang w:val="sr-Latn-ME"/>
        </w:rPr>
      </w:pPr>
    </w:p>
    <w:p w14:paraId="0D41A3DD" w14:textId="77777777" w:rsidR="0072020E" w:rsidRPr="00D35073" w:rsidRDefault="0072020E" w:rsidP="00C35410">
      <w:pPr>
        <w:tabs>
          <w:tab w:val="left" w:pos="540"/>
          <w:tab w:val="left" w:pos="569"/>
        </w:tabs>
        <w:jc w:val="both"/>
        <w:rPr>
          <w:bCs/>
          <w:sz w:val="22"/>
          <w:szCs w:val="22"/>
          <w:lang w:val="sr-Latn-ME"/>
        </w:rPr>
      </w:pPr>
    </w:p>
    <w:p w14:paraId="2A380611" w14:textId="77777777" w:rsidR="00F8570A"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7. </w:t>
      </w:r>
      <w:r w:rsidR="00480FB1" w:rsidRPr="00D35073">
        <w:rPr>
          <w:b/>
          <w:bCs/>
          <w:sz w:val="22"/>
          <w:szCs w:val="22"/>
          <w:lang w:val="sr-Latn-ME"/>
        </w:rPr>
        <w:tab/>
      </w:r>
      <w:r w:rsidRPr="00D35073">
        <w:rPr>
          <w:b/>
          <w:bCs/>
          <w:sz w:val="22"/>
          <w:szCs w:val="22"/>
          <w:lang w:val="sr-Latn-ME"/>
        </w:rPr>
        <w:t>NOSILAC DOZVOLE</w:t>
      </w:r>
      <w:r w:rsidR="00483928" w:rsidRPr="00D35073">
        <w:rPr>
          <w:b/>
          <w:bCs/>
          <w:sz w:val="22"/>
          <w:szCs w:val="22"/>
          <w:lang w:val="sr-Latn-ME"/>
        </w:rPr>
        <w:t xml:space="preserve"> </w:t>
      </w:r>
    </w:p>
    <w:p w14:paraId="3DC9C9BC" w14:textId="77777777" w:rsidR="007E530F" w:rsidRPr="00D35073" w:rsidRDefault="007E530F" w:rsidP="00C35410">
      <w:pPr>
        <w:tabs>
          <w:tab w:val="left" w:pos="540"/>
          <w:tab w:val="left" w:pos="569"/>
        </w:tabs>
        <w:jc w:val="both"/>
        <w:rPr>
          <w:b/>
          <w:bCs/>
          <w:sz w:val="22"/>
          <w:szCs w:val="22"/>
          <w:lang w:val="sr-Latn-ME"/>
        </w:rPr>
      </w:pPr>
    </w:p>
    <w:p w14:paraId="23990C86" w14:textId="5AC82910" w:rsidR="007E530F" w:rsidRPr="00D35073" w:rsidRDefault="007E530F" w:rsidP="00C35410">
      <w:pPr>
        <w:tabs>
          <w:tab w:val="left" w:pos="540"/>
          <w:tab w:val="left" w:pos="569"/>
        </w:tabs>
        <w:jc w:val="both"/>
        <w:rPr>
          <w:sz w:val="22"/>
          <w:szCs w:val="22"/>
          <w:lang w:val="sr-Latn-ME"/>
        </w:rPr>
      </w:pPr>
      <w:r w:rsidRPr="00D35073">
        <w:rPr>
          <w:sz w:val="22"/>
          <w:szCs w:val="22"/>
          <w:lang w:val="sr-Latn-ME"/>
        </w:rPr>
        <w:t xml:space="preserve">Medica d.o.o. </w:t>
      </w:r>
    </w:p>
    <w:p w14:paraId="4182335E" w14:textId="5970D594" w:rsidR="007E530F" w:rsidRPr="00D35073" w:rsidRDefault="007E530F" w:rsidP="00C35410">
      <w:pPr>
        <w:tabs>
          <w:tab w:val="left" w:pos="540"/>
          <w:tab w:val="left" w:pos="569"/>
        </w:tabs>
        <w:jc w:val="both"/>
        <w:rPr>
          <w:sz w:val="22"/>
          <w:szCs w:val="22"/>
          <w:lang w:val="sr-Latn-ME"/>
        </w:rPr>
      </w:pPr>
      <w:r w:rsidRPr="00D35073">
        <w:rPr>
          <w:sz w:val="22"/>
          <w:szCs w:val="22"/>
          <w:lang w:val="sr-Latn-ME"/>
        </w:rPr>
        <w:t>Mitra Bakića 62, Podgorica, Crna Gora</w:t>
      </w:r>
    </w:p>
    <w:p w14:paraId="64AFCAC8" w14:textId="77777777" w:rsidR="000016E7" w:rsidRPr="00D35073" w:rsidRDefault="000016E7" w:rsidP="00C35410">
      <w:pPr>
        <w:tabs>
          <w:tab w:val="left" w:pos="540"/>
          <w:tab w:val="left" w:pos="569"/>
        </w:tabs>
        <w:jc w:val="both"/>
        <w:rPr>
          <w:b/>
          <w:bCs/>
          <w:sz w:val="22"/>
          <w:szCs w:val="22"/>
          <w:lang w:val="sr-Latn-ME"/>
        </w:rPr>
      </w:pPr>
    </w:p>
    <w:p w14:paraId="30E180EB" w14:textId="77777777" w:rsidR="00C37FD7" w:rsidRPr="00D35073" w:rsidRDefault="00C37FD7" w:rsidP="00C35410">
      <w:pPr>
        <w:tabs>
          <w:tab w:val="left" w:pos="540"/>
          <w:tab w:val="left" w:pos="569"/>
        </w:tabs>
        <w:jc w:val="both"/>
        <w:rPr>
          <w:bCs/>
          <w:sz w:val="22"/>
          <w:szCs w:val="22"/>
          <w:lang w:val="sr-Latn-ME"/>
        </w:rPr>
      </w:pPr>
    </w:p>
    <w:p w14:paraId="561B781C"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8. </w:t>
      </w:r>
      <w:r w:rsidR="00480FB1" w:rsidRPr="00D35073">
        <w:rPr>
          <w:b/>
          <w:bCs/>
          <w:sz w:val="22"/>
          <w:szCs w:val="22"/>
          <w:lang w:val="sr-Latn-ME"/>
        </w:rPr>
        <w:tab/>
      </w:r>
      <w:r w:rsidRPr="00D35073">
        <w:rPr>
          <w:b/>
          <w:bCs/>
          <w:sz w:val="22"/>
          <w:szCs w:val="22"/>
          <w:lang w:val="sr-Latn-ME"/>
        </w:rPr>
        <w:t>BROJ DOZVOLE</w:t>
      </w:r>
      <w:r w:rsidR="008A6D43" w:rsidRPr="00D35073">
        <w:rPr>
          <w:b/>
          <w:bCs/>
          <w:sz w:val="22"/>
          <w:szCs w:val="22"/>
          <w:lang w:val="sr-Latn-ME"/>
        </w:rPr>
        <w:t xml:space="preserve"> ZA STAVLJANJE LIJEKA U PROMET</w:t>
      </w:r>
    </w:p>
    <w:p w14:paraId="76DBA19C" w14:textId="00C863DA" w:rsidR="0072020E" w:rsidRPr="00D35073" w:rsidRDefault="0072020E" w:rsidP="00C35410">
      <w:pPr>
        <w:tabs>
          <w:tab w:val="left" w:pos="540"/>
          <w:tab w:val="left" w:pos="569"/>
        </w:tabs>
        <w:jc w:val="both"/>
        <w:rPr>
          <w:bCs/>
          <w:sz w:val="22"/>
          <w:szCs w:val="22"/>
          <w:lang w:val="sr-Latn-ME"/>
        </w:rPr>
      </w:pPr>
    </w:p>
    <w:p w14:paraId="5DC45A40" w14:textId="2B091F36" w:rsidR="007B4145" w:rsidRPr="00D35073" w:rsidRDefault="007B4145" w:rsidP="007B4145">
      <w:pPr>
        <w:jc w:val="both"/>
        <w:rPr>
          <w:sz w:val="22"/>
          <w:szCs w:val="22"/>
          <w:lang w:val="sr-Latn-ME"/>
        </w:rPr>
      </w:pPr>
      <w:r w:rsidRPr="00D35073">
        <w:rPr>
          <w:sz w:val="22"/>
          <w:szCs w:val="22"/>
          <w:lang w:val="sr-Latn-ME"/>
        </w:rPr>
        <w:t>Cutaquig, 165mg/ml, rastvor  za injekciju, bočica, 1x6ml:</w:t>
      </w:r>
      <w:r w:rsidR="00B45E20" w:rsidRPr="00D35073">
        <w:rPr>
          <w:sz w:val="22"/>
          <w:szCs w:val="22"/>
          <w:lang w:val="sr-Latn-ME"/>
        </w:rPr>
        <w:t xml:space="preserve"> 2030/24/233 - 5128</w:t>
      </w:r>
    </w:p>
    <w:p w14:paraId="491213E4" w14:textId="5B4C1F95" w:rsidR="007B4145" w:rsidRPr="00D35073" w:rsidRDefault="007B4145" w:rsidP="007B4145">
      <w:pPr>
        <w:jc w:val="both"/>
        <w:rPr>
          <w:sz w:val="22"/>
          <w:szCs w:val="22"/>
          <w:lang w:val="sr-Latn-ME"/>
        </w:rPr>
      </w:pPr>
      <w:r w:rsidRPr="00D35073">
        <w:rPr>
          <w:sz w:val="22"/>
          <w:szCs w:val="22"/>
          <w:lang w:val="sr-Latn-ME"/>
        </w:rPr>
        <w:t>Cutaquig, 165mg/ml, rastvor  za injekciju, bočica, 1x10ml:</w:t>
      </w:r>
      <w:r w:rsidR="00B45E20" w:rsidRPr="00D35073">
        <w:rPr>
          <w:sz w:val="22"/>
          <w:szCs w:val="22"/>
          <w:lang w:val="sr-Latn-ME"/>
        </w:rPr>
        <w:t xml:space="preserve"> </w:t>
      </w:r>
      <w:r w:rsidR="00B45E20" w:rsidRPr="00D35073">
        <w:rPr>
          <w:rFonts w:ascii="TimesNewRoman" w:hAnsi="TimesNewRoman" w:cs="TimesNewRoman"/>
          <w:sz w:val="22"/>
          <w:szCs w:val="22"/>
          <w:lang w:val="sr-Latn-ME" w:eastAsia="sr-Latn-ME"/>
        </w:rPr>
        <w:t>2030/24/244 - 5130</w:t>
      </w:r>
    </w:p>
    <w:p w14:paraId="4DA9BE18" w14:textId="4C47C642" w:rsidR="007B4145" w:rsidRPr="00D35073" w:rsidRDefault="007B4145" w:rsidP="007B4145">
      <w:pPr>
        <w:jc w:val="both"/>
        <w:rPr>
          <w:sz w:val="22"/>
          <w:szCs w:val="22"/>
          <w:lang w:val="sr-Latn-ME"/>
        </w:rPr>
      </w:pPr>
      <w:r w:rsidRPr="00D35073">
        <w:rPr>
          <w:sz w:val="22"/>
          <w:szCs w:val="22"/>
          <w:lang w:val="sr-Latn-ME"/>
        </w:rPr>
        <w:t>Cutaquig, 165mg/ml, rastvor  za injekciju, bočica, 1x12ml:</w:t>
      </w:r>
      <w:r w:rsidR="00B45E20" w:rsidRPr="00D35073">
        <w:rPr>
          <w:sz w:val="22"/>
          <w:szCs w:val="22"/>
          <w:lang w:val="sr-Latn-ME"/>
        </w:rPr>
        <w:t xml:space="preserve"> </w:t>
      </w:r>
      <w:r w:rsidR="00B45E20" w:rsidRPr="00D35073">
        <w:rPr>
          <w:rFonts w:ascii="TimesNewRoman" w:hAnsi="TimesNewRoman" w:cs="TimesNewRoman"/>
          <w:sz w:val="22"/>
          <w:szCs w:val="22"/>
          <w:lang w:val="sr-Latn-ME" w:eastAsia="sr-Latn-ME"/>
        </w:rPr>
        <w:t>2030/24/245 - 5132</w:t>
      </w:r>
    </w:p>
    <w:p w14:paraId="504B5D02" w14:textId="52C6D4D9" w:rsidR="007B4145" w:rsidRPr="00D35073" w:rsidRDefault="007B4145" w:rsidP="007B4145">
      <w:pPr>
        <w:jc w:val="both"/>
        <w:rPr>
          <w:sz w:val="22"/>
          <w:szCs w:val="22"/>
          <w:lang w:val="sr-Latn-ME"/>
        </w:rPr>
      </w:pPr>
      <w:r w:rsidRPr="00D35073">
        <w:rPr>
          <w:sz w:val="22"/>
          <w:szCs w:val="22"/>
          <w:lang w:val="sr-Latn-ME"/>
        </w:rPr>
        <w:t>Cutaquig, 165mg/ml, rastvor  za injekciju, bočica, 1x20ml:</w:t>
      </w:r>
      <w:r w:rsidR="00B45E20" w:rsidRPr="00D35073">
        <w:rPr>
          <w:sz w:val="22"/>
          <w:szCs w:val="22"/>
          <w:lang w:val="sr-Latn-ME"/>
        </w:rPr>
        <w:t xml:space="preserve"> </w:t>
      </w:r>
      <w:r w:rsidR="00B45E20" w:rsidRPr="00D35073">
        <w:rPr>
          <w:rFonts w:ascii="TimesNewRoman" w:hAnsi="TimesNewRoman" w:cs="TimesNewRoman"/>
          <w:sz w:val="22"/>
          <w:szCs w:val="22"/>
          <w:lang w:val="sr-Latn-ME" w:eastAsia="sr-Latn-ME"/>
        </w:rPr>
        <w:t>2030/24/246 - 5129</w:t>
      </w:r>
    </w:p>
    <w:p w14:paraId="6F2314C8" w14:textId="530BD464" w:rsidR="007B4145" w:rsidRPr="00D35073" w:rsidRDefault="007B4145" w:rsidP="007B4145">
      <w:pPr>
        <w:jc w:val="both"/>
        <w:rPr>
          <w:sz w:val="22"/>
          <w:szCs w:val="22"/>
          <w:lang w:val="sr-Latn-ME"/>
        </w:rPr>
      </w:pPr>
      <w:r w:rsidRPr="00D35073">
        <w:rPr>
          <w:sz w:val="22"/>
          <w:szCs w:val="22"/>
          <w:lang w:val="sr-Latn-ME"/>
        </w:rPr>
        <w:t>Cutaquig, 165mg/ml, rastvor  za injekciju, bočica, 1x24ml:</w:t>
      </w:r>
      <w:r w:rsidR="00B45E20" w:rsidRPr="00D35073">
        <w:rPr>
          <w:sz w:val="22"/>
          <w:szCs w:val="22"/>
          <w:lang w:val="sr-Latn-ME"/>
        </w:rPr>
        <w:t xml:space="preserve"> </w:t>
      </w:r>
      <w:r w:rsidR="00B45E20" w:rsidRPr="00D35073">
        <w:rPr>
          <w:rFonts w:ascii="TimesNewRoman" w:hAnsi="TimesNewRoman" w:cs="TimesNewRoman"/>
          <w:sz w:val="22"/>
          <w:szCs w:val="22"/>
          <w:lang w:val="sr-Latn-ME" w:eastAsia="sr-Latn-ME"/>
        </w:rPr>
        <w:t>2030/24/247 - 5131</w:t>
      </w:r>
    </w:p>
    <w:p w14:paraId="22AB426B" w14:textId="2CA975C9" w:rsidR="006525E5" w:rsidRPr="00D35073" w:rsidRDefault="007B4145" w:rsidP="00C35410">
      <w:pPr>
        <w:jc w:val="both"/>
        <w:rPr>
          <w:sz w:val="22"/>
          <w:szCs w:val="22"/>
          <w:lang w:val="sr-Latn-ME"/>
        </w:rPr>
      </w:pPr>
      <w:r w:rsidRPr="00D35073">
        <w:rPr>
          <w:sz w:val="22"/>
          <w:szCs w:val="22"/>
          <w:lang w:val="sr-Latn-ME"/>
        </w:rPr>
        <w:t>Cutaquig, 165mg/ml, rastvor  za injekciju, bočica, 1x48ml:</w:t>
      </w:r>
      <w:r w:rsidR="00B45E20" w:rsidRPr="00D35073">
        <w:rPr>
          <w:sz w:val="22"/>
          <w:szCs w:val="22"/>
          <w:lang w:val="sr-Latn-ME"/>
        </w:rPr>
        <w:t xml:space="preserve"> </w:t>
      </w:r>
      <w:r w:rsidR="00B45E20" w:rsidRPr="00D35073">
        <w:rPr>
          <w:rFonts w:ascii="TimesNewRoman" w:hAnsi="TimesNewRoman" w:cs="TimesNewRoman"/>
          <w:sz w:val="22"/>
          <w:szCs w:val="22"/>
          <w:lang w:val="sr-Latn-ME" w:eastAsia="sr-Latn-ME"/>
        </w:rPr>
        <w:t>2030/24/248 - 5133</w:t>
      </w:r>
    </w:p>
    <w:p w14:paraId="7821BBCD" w14:textId="77777777" w:rsidR="00CF6315" w:rsidRPr="00D35073" w:rsidRDefault="00CF6315" w:rsidP="00C35410">
      <w:pPr>
        <w:jc w:val="both"/>
        <w:rPr>
          <w:sz w:val="22"/>
          <w:szCs w:val="22"/>
          <w:lang w:val="sr-Latn-ME"/>
        </w:rPr>
      </w:pPr>
    </w:p>
    <w:p w14:paraId="62D3DCE6" w14:textId="77777777" w:rsidR="00F45F77" w:rsidRPr="00D35073" w:rsidRDefault="00F45F77" w:rsidP="00C35410">
      <w:pPr>
        <w:tabs>
          <w:tab w:val="left" w:pos="540"/>
          <w:tab w:val="left" w:pos="569"/>
        </w:tabs>
        <w:jc w:val="both"/>
        <w:rPr>
          <w:bCs/>
          <w:sz w:val="22"/>
          <w:szCs w:val="22"/>
          <w:lang w:val="sr-Latn-ME"/>
        </w:rPr>
      </w:pPr>
    </w:p>
    <w:p w14:paraId="74CE4DE0" w14:textId="77777777" w:rsidR="0072020E" w:rsidRPr="00D35073" w:rsidRDefault="0072020E" w:rsidP="00C35410">
      <w:pPr>
        <w:tabs>
          <w:tab w:val="left" w:pos="540"/>
          <w:tab w:val="left" w:pos="569"/>
        </w:tabs>
        <w:jc w:val="both"/>
        <w:rPr>
          <w:b/>
          <w:bCs/>
          <w:sz w:val="22"/>
          <w:szCs w:val="22"/>
          <w:lang w:val="sr-Latn-ME"/>
        </w:rPr>
      </w:pPr>
      <w:r w:rsidRPr="00D35073">
        <w:rPr>
          <w:b/>
          <w:bCs/>
          <w:sz w:val="22"/>
          <w:szCs w:val="22"/>
          <w:lang w:val="sr-Latn-ME"/>
        </w:rPr>
        <w:t xml:space="preserve">9. </w:t>
      </w:r>
      <w:r w:rsidR="00480FB1" w:rsidRPr="00D35073">
        <w:rPr>
          <w:b/>
          <w:bCs/>
          <w:sz w:val="22"/>
          <w:szCs w:val="22"/>
          <w:lang w:val="sr-Latn-ME"/>
        </w:rPr>
        <w:tab/>
      </w:r>
      <w:r w:rsidRPr="00D35073">
        <w:rPr>
          <w:b/>
          <w:bCs/>
          <w:sz w:val="22"/>
          <w:szCs w:val="22"/>
          <w:lang w:val="sr-Latn-ME"/>
        </w:rPr>
        <w:t xml:space="preserve">DATUM </w:t>
      </w:r>
      <w:r w:rsidR="00C05DF8" w:rsidRPr="00D35073">
        <w:rPr>
          <w:b/>
          <w:bCs/>
          <w:sz w:val="22"/>
          <w:szCs w:val="22"/>
          <w:lang w:val="sr-Latn-ME"/>
        </w:rPr>
        <w:t xml:space="preserve">PRVE </w:t>
      </w:r>
      <w:r w:rsidR="008A6D43" w:rsidRPr="00D35073">
        <w:rPr>
          <w:b/>
          <w:bCs/>
          <w:sz w:val="22"/>
          <w:szCs w:val="22"/>
          <w:lang w:val="sr-Latn-ME"/>
        </w:rPr>
        <w:t>DOZVOLE</w:t>
      </w:r>
      <w:r w:rsidR="00C05DF8" w:rsidRPr="00D35073">
        <w:rPr>
          <w:b/>
          <w:bCs/>
          <w:sz w:val="22"/>
          <w:szCs w:val="22"/>
          <w:lang w:val="sr-Latn-ME"/>
        </w:rPr>
        <w:t>/OBNOVE DOZVOLE</w:t>
      </w:r>
      <w:r w:rsidR="008A6D43" w:rsidRPr="00D35073">
        <w:rPr>
          <w:b/>
          <w:bCs/>
          <w:sz w:val="22"/>
          <w:szCs w:val="22"/>
          <w:lang w:val="sr-Latn-ME"/>
        </w:rPr>
        <w:t xml:space="preserve"> ZA STAVLJANJE LIJEKA U PROMET</w:t>
      </w:r>
    </w:p>
    <w:p w14:paraId="298E80EA" w14:textId="0B68A71D" w:rsidR="0072020E" w:rsidRPr="00D35073" w:rsidRDefault="0072020E" w:rsidP="00C35410">
      <w:pPr>
        <w:tabs>
          <w:tab w:val="left" w:pos="540"/>
          <w:tab w:val="left" w:pos="569"/>
        </w:tabs>
        <w:jc w:val="both"/>
        <w:rPr>
          <w:bCs/>
          <w:sz w:val="22"/>
          <w:szCs w:val="22"/>
          <w:lang w:val="sr-Latn-ME"/>
        </w:rPr>
      </w:pPr>
    </w:p>
    <w:p w14:paraId="48DFC94B" w14:textId="464B4DF6" w:rsidR="006525E5" w:rsidRPr="00D35073" w:rsidRDefault="00B45E20" w:rsidP="00C35410">
      <w:pPr>
        <w:tabs>
          <w:tab w:val="left" w:pos="540"/>
          <w:tab w:val="left" w:pos="569"/>
        </w:tabs>
        <w:jc w:val="both"/>
        <w:rPr>
          <w:bCs/>
          <w:sz w:val="22"/>
          <w:szCs w:val="22"/>
          <w:lang w:val="sr-Latn-ME"/>
        </w:rPr>
      </w:pPr>
      <w:r w:rsidRPr="00D35073">
        <w:rPr>
          <w:bCs/>
          <w:sz w:val="22"/>
          <w:szCs w:val="22"/>
          <w:lang w:val="sr-Latn-ME"/>
        </w:rPr>
        <w:t>22.01.2024. godine</w:t>
      </w:r>
    </w:p>
    <w:p w14:paraId="5AF45245" w14:textId="77777777" w:rsidR="00836B35" w:rsidRPr="00D35073" w:rsidRDefault="00836B35" w:rsidP="00C35410">
      <w:pPr>
        <w:tabs>
          <w:tab w:val="left" w:pos="540"/>
          <w:tab w:val="left" w:pos="569"/>
        </w:tabs>
        <w:jc w:val="both"/>
        <w:rPr>
          <w:bCs/>
          <w:sz w:val="22"/>
          <w:szCs w:val="22"/>
          <w:lang w:val="sr-Latn-ME"/>
        </w:rPr>
      </w:pPr>
    </w:p>
    <w:p w14:paraId="6A0502EC" w14:textId="77777777" w:rsidR="003F6A59" w:rsidRPr="00D35073" w:rsidRDefault="0072020E" w:rsidP="00C35410">
      <w:pPr>
        <w:tabs>
          <w:tab w:val="left" w:pos="540"/>
          <w:tab w:val="left" w:pos="569"/>
        </w:tabs>
        <w:ind w:left="540" w:hanging="540"/>
        <w:jc w:val="both"/>
        <w:rPr>
          <w:bCs/>
          <w:sz w:val="22"/>
          <w:szCs w:val="22"/>
          <w:lang w:val="sr-Latn-ME"/>
        </w:rPr>
      </w:pPr>
      <w:r w:rsidRPr="00D35073">
        <w:rPr>
          <w:b/>
          <w:bCs/>
          <w:sz w:val="22"/>
          <w:szCs w:val="22"/>
          <w:lang w:val="sr-Latn-ME"/>
        </w:rPr>
        <w:t xml:space="preserve">10. </w:t>
      </w:r>
      <w:r w:rsidR="00480FB1" w:rsidRPr="00D35073">
        <w:rPr>
          <w:b/>
          <w:bCs/>
          <w:sz w:val="22"/>
          <w:szCs w:val="22"/>
          <w:lang w:val="sr-Latn-ME"/>
        </w:rPr>
        <w:tab/>
      </w:r>
      <w:r w:rsidR="002846DB" w:rsidRPr="00D35073">
        <w:rPr>
          <w:b/>
          <w:bCs/>
          <w:sz w:val="22"/>
          <w:szCs w:val="22"/>
          <w:lang w:val="sr-Latn-ME"/>
        </w:rPr>
        <w:t>D</w:t>
      </w:r>
      <w:r w:rsidR="00EC2532" w:rsidRPr="00D35073">
        <w:rPr>
          <w:b/>
          <w:bCs/>
          <w:sz w:val="22"/>
          <w:szCs w:val="22"/>
          <w:lang w:val="sr-Latn-ME"/>
        </w:rPr>
        <w:t xml:space="preserve">ATUM REVIZIJE TEKSTA </w:t>
      </w:r>
    </w:p>
    <w:p w14:paraId="5D4DFA1D" w14:textId="0D47256E" w:rsidR="003F6A59" w:rsidRPr="00D35073" w:rsidRDefault="003F6A59" w:rsidP="00C35410">
      <w:pPr>
        <w:tabs>
          <w:tab w:val="left" w:pos="540"/>
          <w:tab w:val="left" w:pos="569"/>
        </w:tabs>
        <w:jc w:val="both"/>
        <w:rPr>
          <w:bCs/>
          <w:sz w:val="22"/>
          <w:szCs w:val="22"/>
          <w:lang w:val="sr-Latn-ME"/>
        </w:rPr>
      </w:pPr>
    </w:p>
    <w:p w14:paraId="7D739C2A" w14:textId="3623727A" w:rsidR="00494885" w:rsidRPr="00D35073" w:rsidRDefault="00494885" w:rsidP="00C35410">
      <w:pPr>
        <w:tabs>
          <w:tab w:val="left" w:pos="540"/>
          <w:tab w:val="left" w:pos="569"/>
        </w:tabs>
        <w:jc w:val="both"/>
        <w:rPr>
          <w:bCs/>
          <w:sz w:val="22"/>
          <w:szCs w:val="22"/>
          <w:lang w:val="sr-Latn-ME"/>
        </w:rPr>
      </w:pPr>
      <w:r w:rsidRPr="00D35073">
        <w:rPr>
          <w:bCs/>
          <w:sz w:val="22"/>
          <w:szCs w:val="22"/>
          <w:lang w:val="sr-Latn-ME"/>
        </w:rPr>
        <w:t>Januar, 2024. godine</w:t>
      </w:r>
    </w:p>
    <w:p w14:paraId="13811756" w14:textId="77777777" w:rsidR="008A6D43" w:rsidRPr="00D35073" w:rsidRDefault="008A6D43" w:rsidP="00C35410">
      <w:pPr>
        <w:tabs>
          <w:tab w:val="left" w:pos="540"/>
          <w:tab w:val="left" w:pos="569"/>
        </w:tabs>
        <w:jc w:val="both"/>
        <w:rPr>
          <w:bCs/>
          <w:sz w:val="22"/>
          <w:szCs w:val="22"/>
          <w:lang w:val="sr-Latn-ME"/>
        </w:rPr>
      </w:pPr>
    </w:p>
    <w:p w14:paraId="60A894C6" w14:textId="77777777" w:rsidR="003F6A59" w:rsidRPr="00D35073" w:rsidRDefault="003F6A59" w:rsidP="00C35410">
      <w:pPr>
        <w:tabs>
          <w:tab w:val="left" w:pos="540"/>
          <w:tab w:val="left" w:pos="569"/>
        </w:tabs>
        <w:jc w:val="both"/>
        <w:rPr>
          <w:b/>
          <w:bCs/>
          <w:sz w:val="22"/>
          <w:szCs w:val="22"/>
          <w:lang w:val="sr-Latn-ME"/>
        </w:rPr>
      </w:pPr>
    </w:p>
    <w:p w14:paraId="025D0ED4" w14:textId="77777777" w:rsidR="003F6A59" w:rsidRPr="00D35073" w:rsidRDefault="003F6A59" w:rsidP="00C35410">
      <w:pPr>
        <w:jc w:val="both"/>
        <w:rPr>
          <w:sz w:val="22"/>
          <w:szCs w:val="22"/>
          <w:lang w:val="sr-Latn-ME"/>
        </w:rPr>
      </w:pPr>
    </w:p>
    <w:sectPr w:rsidR="003F6A59" w:rsidRPr="00D35073" w:rsidSect="007B55BC">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9BEC4" w14:textId="77777777" w:rsidR="00CA7484" w:rsidRDefault="00CA7484">
      <w:r>
        <w:separator/>
      </w:r>
    </w:p>
  </w:endnote>
  <w:endnote w:type="continuationSeparator" w:id="0">
    <w:p w14:paraId="2FB41520" w14:textId="77777777" w:rsidR="00CA7484" w:rsidRDefault="00CA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57C4" w14:textId="2F39152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35073">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35073">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B996A" w14:textId="77777777" w:rsidR="00CA7484" w:rsidRDefault="00CA7484">
      <w:r>
        <w:separator/>
      </w:r>
    </w:p>
  </w:footnote>
  <w:footnote w:type="continuationSeparator" w:id="0">
    <w:p w14:paraId="3ACBA698" w14:textId="77777777" w:rsidR="00CA7484" w:rsidRDefault="00CA7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6E7"/>
    <w:rsid w:val="00012897"/>
    <w:rsid w:val="000149FC"/>
    <w:rsid w:val="0001570F"/>
    <w:rsid w:val="000176CA"/>
    <w:rsid w:val="00033469"/>
    <w:rsid w:val="00036FA0"/>
    <w:rsid w:val="0003793F"/>
    <w:rsid w:val="00041C85"/>
    <w:rsid w:val="000440DE"/>
    <w:rsid w:val="00045130"/>
    <w:rsid w:val="0005469C"/>
    <w:rsid w:val="00054DCF"/>
    <w:rsid w:val="00057E35"/>
    <w:rsid w:val="00057E7C"/>
    <w:rsid w:val="00071573"/>
    <w:rsid w:val="00071ABD"/>
    <w:rsid w:val="00075E28"/>
    <w:rsid w:val="00076726"/>
    <w:rsid w:val="00080303"/>
    <w:rsid w:val="00083D02"/>
    <w:rsid w:val="00094058"/>
    <w:rsid w:val="00095881"/>
    <w:rsid w:val="000A3F58"/>
    <w:rsid w:val="000A688B"/>
    <w:rsid w:val="000A7CAA"/>
    <w:rsid w:val="000B0499"/>
    <w:rsid w:val="000C15ED"/>
    <w:rsid w:val="000C6AA8"/>
    <w:rsid w:val="000D2343"/>
    <w:rsid w:val="000D3449"/>
    <w:rsid w:val="000D425A"/>
    <w:rsid w:val="000D60CC"/>
    <w:rsid w:val="000E2084"/>
    <w:rsid w:val="000E6F55"/>
    <w:rsid w:val="000E715F"/>
    <w:rsid w:val="000F77FA"/>
    <w:rsid w:val="0010300C"/>
    <w:rsid w:val="00107BF7"/>
    <w:rsid w:val="001112EF"/>
    <w:rsid w:val="00112620"/>
    <w:rsid w:val="00122EA0"/>
    <w:rsid w:val="00126F53"/>
    <w:rsid w:val="00130553"/>
    <w:rsid w:val="00133563"/>
    <w:rsid w:val="00141ACA"/>
    <w:rsid w:val="001423B1"/>
    <w:rsid w:val="00146DEA"/>
    <w:rsid w:val="0014766D"/>
    <w:rsid w:val="00152FDC"/>
    <w:rsid w:val="001536CC"/>
    <w:rsid w:val="00153F57"/>
    <w:rsid w:val="0015744A"/>
    <w:rsid w:val="00165376"/>
    <w:rsid w:val="00170D82"/>
    <w:rsid w:val="001734B8"/>
    <w:rsid w:val="00183AB2"/>
    <w:rsid w:val="00194470"/>
    <w:rsid w:val="001A3ECF"/>
    <w:rsid w:val="001A3FBA"/>
    <w:rsid w:val="001A5518"/>
    <w:rsid w:val="001B0396"/>
    <w:rsid w:val="001B197C"/>
    <w:rsid w:val="001B1C6A"/>
    <w:rsid w:val="001B26B8"/>
    <w:rsid w:val="001B5172"/>
    <w:rsid w:val="001C1263"/>
    <w:rsid w:val="001C1417"/>
    <w:rsid w:val="001E390B"/>
    <w:rsid w:val="001F42FB"/>
    <w:rsid w:val="001F719A"/>
    <w:rsid w:val="002031B3"/>
    <w:rsid w:val="002157AA"/>
    <w:rsid w:val="00215931"/>
    <w:rsid w:val="002240AA"/>
    <w:rsid w:val="00224C91"/>
    <w:rsid w:val="00227BDB"/>
    <w:rsid w:val="00227C74"/>
    <w:rsid w:val="00234CB1"/>
    <w:rsid w:val="002352F8"/>
    <w:rsid w:val="002510A5"/>
    <w:rsid w:val="00254A0A"/>
    <w:rsid w:val="00265CC0"/>
    <w:rsid w:val="00266046"/>
    <w:rsid w:val="00275E7B"/>
    <w:rsid w:val="002846DB"/>
    <w:rsid w:val="00284CCD"/>
    <w:rsid w:val="0028663A"/>
    <w:rsid w:val="00292112"/>
    <w:rsid w:val="002A0E74"/>
    <w:rsid w:val="002A3560"/>
    <w:rsid w:val="002B2078"/>
    <w:rsid w:val="002B694C"/>
    <w:rsid w:val="002C1606"/>
    <w:rsid w:val="002C6637"/>
    <w:rsid w:val="002D4DF3"/>
    <w:rsid w:val="002D6713"/>
    <w:rsid w:val="002E0135"/>
    <w:rsid w:val="002E37A5"/>
    <w:rsid w:val="002E7D9E"/>
    <w:rsid w:val="002F2D4E"/>
    <w:rsid w:val="002F5144"/>
    <w:rsid w:val="002F6184"/>
    <w:rsid w:val="00310F03"/>
    <w:rsid w:val="00312F0E"/>
    <w:rsid w:val="00317DCC"/>
    <w:rsid w:val="0032398E"/>
    <w:rsid w:val="003247D2"/>
    <w:rsid w:val="00341D63"/>
    <w:rsid w:val="003445C1"/>
    <w:rsid w:val="00350402"/>
    <w:rsid w:val="00355B61"/>
    <w:rsid w:val="00362686"/>
    <w:rsid w:val="00371510"/>
    <w:rsid w:val="00372395"/>
    <w:rsid w:val="003803DD"/>
    <w:rsid w:val="003840F3"/>
    <w:rsid w:val="00391E64"/>
    <w:rsid w:val="00393BB7"/>
    <w:rsid w:val="00396DFD"/>
    <w:rsid w:val="003971C5"/>
    <w:rsid w:val="003A7059"/>
    <w:rsid w:val="003B7A36"/>
    <w:rsid w:val="003C17AB"/>
    <w:rsid w:val="003C5DF6"/>
    <w:rsid w:val="003C7823"/>
    <w:rsid w:val="003D33E1"/>
    <w:rsid w:val="003E1DCC"/>
    <w:rsid w:val="003F11A1"/>
    <w:rsid w:val="003F3056"/>
    <w:rsid w:val="003F6A59"/>
    <w:rsid w:val="00400BE0"/>
    <w:rsid w:val="004065C8"/>
    <w:rsid w:val="004109FA"/>
    <w:rsid w:val="00411B4B"/>
    <w:rsid w:val="00415BEE"/>
    <w:rsid w:val="004254E9"/>
    <w:rsid w:val="00427F85"/>
    <w:rsid w:val="00436F42"/>
    <w:rsid w:val="004378B4"/>
    <w:rsid w:val="00444400"/>
    <w:rsid w:val="00451314"/>
    <w:rsid w:val="00452E9D"/>
    <w:rsid w:val="004534C7"/>
    <w:rsid w:val="004569DB"/>
    <w:rsid w:val="0046182F"/>
    <w:rsid w:val="004671AA"/>
    <w:rsid w:val="00470B3E"/>
    <w:rsid w:val="00471DF8"/>
    <w:rsid w:val="00480FB1"/>
    <w:rsid w:val="00483928"/>
    <w:rsid w:val="0048762A"/>
    <w:rsid w:val="00494885"/>
    <w:rsid w:val="004A0DE0"/>
    <w:rsid w:val="004A7549"/>
    <w:rsid w:val="004B58F9"/>
    <w:rsid w:val="004C331F"/>
    <w:rsid w:val="004D1DBA"/>
    <w:rsid w:val="004D6103"/>
    <w:rsid w:val="004E3BCE"/>
    <w:rsid w:val="004E70AD"/>
    <w:rsid w:val="004F0E97"/>
    <w:rsid w:val="004F17E2"/>
    <w:rsid w:val="00501DD1"/>
    <w:rsid w:val="00515C21"/>
    <w:rsid w:val="00516A3E"/>
    <w:rsid w:val="0052471C"/>
    <w:rsid w:val="005277FB"/>
    <w:rsid w:val="005308D6"/>
    <w:rsid w:val="00530BD7"/>
    <w:rsid w:val="0053388E"/>
    <w:rsid w:val="00534116"/>
    <w:rsid w:val="00534255"/>
    <w:rsid w:val="00537653"/>
    <w:rsid w:val="005405D7"/>
    <w:rsid w:val="00545822"/>
    <w:rsid w:val="00545CD2"/>
    <w:rsid w:val="005476F3"/>
    <w:rsid w:val="00552532"/>
    <w:rsid w:val="00560681"/>
    <w:rsid w:val="0056078C"/>
    <w:rsid w:val="00572527"/>
    <w:rsid w:val="00573E40"/>
    <w:rsid w:val="00576348"/>
    <w:rsid w:val="00583825"/>
    <w:rsid w:val="005A0B2E"/>
    <w:rsid w:val="005A23D2"/>
    <w:rsid w:val="005A36CB"/>
    <w:rsid w:val="005A3946"/>
    <w:rsid w:val="005A74DB"/>
    <w:rsid w:val="005B49B8"/>
    <w:rsid w:val="005B5D6E"/>
    <w:rsid w:val="005B708B"/>
    <w:rsid w:val="005C0741"/>
    <w:rsid w:val="005C2F38"/>
    <w:rsid w:val="005C5EF4"/>
    <w:rsid w:val="005E2E0B"/>
    <w:rsid w:val="005E67AD"/>
    <w:rsid w:val="005E7A0C"/>
    <w:rsid w:val="005E7A67"/>
    <w:rsid w:val="005E7A7D"/>
    <w:rsid w:val="005F032A"/>
    <w:rsid w:val="005F493C"/>
    <w:rsid w:val="00602457"/>
    <w:rsid w:val="006408A9"/>
    <w:rsid w:val="00644FC3"/>
    <w:rsid w:val="00646BD1"/>
    <w:rsid w:val="006525E5"/>
    <w:rsid w:val="006554FE"/>
    <w:rsid w:val="006561C2"/>
    <w:rsid w:val="00671742"/>
    <w:rsid w:val="00671CB3"/>
    <w:rsid w:val="00671E30"/>
    <w:rsid w:val="00673A28"/>
    <w:rsid w:val="006743B4"/>
    <w:rsid w:val="00674BAF"/>
    <w:rsid w:val="00680567"/>
    <w:rsid w:val="00682200"/>
    <w:rsid w:val="00685DF0"/>
    <w:rsid w:val="00692BF6"/>
    <w:rsid w:val="006A1351"/>
    <w:rsid w:val="006A1497"/>
    <w:rsid w:val="006B0BD1"/>
    <w:rsid w:val="006B5404"/>
    <w:rsid w:val="006C54D8"/>
    <w:rsid w:val="006D20A5"/>
    <w:rsid w:val="006D37BF"/>
    <w:rsid w:val="006F01BE"/>
    <w:rsid w:val="006F2322"/>
    <w:rsid w:val="006F7BC7"/>
    <w:rsid w:val="00702E22"/>
    <w:rsid w:val="00710CA9"/>
    <w:rsid w:val="0072020E"/>
    <w:rsid w:val="00737DFD"/>
    <w:rsid w:val="007503E1"/>
    <w:rsid w:val="00754902"/>
    <w:rsid w:val="00762AC6"/>
    <w:rsid w:val="00767429"/>
    <w:rsid w:val="00767565"/>
    <w:rsid w:val="007853DD"/>
    <w:rsid w:val="00786071"/>
    <w:rsid w:val="007860D1"/>
    <w:rsid w:val="007945BE"/>
    <w:rsid w:val="007A039C"/>
    <w:rsid w:val="007A3ECB"/>
    <w:rsid w:val="007B4145"/>
    <w:rsid w:val="007B55BC"/>
    <w:rsid w:val="007C0E8F"/>
    <w:rsid w:val="007D7BB3"/>
    <w:rsid w:val="007E2924"/>
    <w:rsid w:val="007E31E9"/>
    <w:rsid w:val="007E530F"/>
    <w:rsid w:val="007F05E3"/>
    <w:rsid w:val="0080080E"/>
    <w:rsid w:val="00824AB9"/>
    <w:rsid w:val="008355A5"/>
    <w:rsid w:val="00835E20"/>
    <w:rsid w:val="008369B6"/>
    <w:rsid w:val="00836B35"/>
    <w:rsid w:val="00843BDE"/>
    <w:rsid w:val="00861328"/>
    <w:rsid w:val="008648BA"/>
    <w:rsid w:val="00865426"/>
    <w:rsid w:val="0087588C"/>
    <w:rsid w:val="0089705C"/>
    <w:rsid w:val="008A6D43"/>
    <w:rsid w:val="008B22B9"/>
    <w:rsid w:val="008B412C"/>
    <w:rsid w:val="008B491E"/>
    <w:rsid w:val="008C13C5"/>
    <w:rsid w:val="008C1A28"/>
    <w:rsid w:val="008C2E98"/>
    <w:rsid w:val="008D0F0C"/>
    <w:rsid w:val="008D720A"/>
    <w:rsid w:val="008E49BD"/>
    <w:rsid w:val="008E53E9"/>
    <w:rsid w:val="008E5771"/>
    <w:rsid w:val="008F4ACF"/>
    <w:rsid w:val="00924166"/>
    <w:rsid w:val="0092737E"/>
    <w:rsid w:val="009308EA"/>
    <w:rsid w:val="00930A8A"/>
    <w:rsid w:val="00940B9B"/>
    <w:rsid w:val="00940F3B"/>
    <w:rsid w:val="009451AE"/>
    <w:rsid w:val="00947616"/>
    <w:rsid w:val="009532CD"/>
    <w:rsid w:val="00953573"/>
    <w:rsid w:val="0095676E"/>
    <w:rsid w:val="00956983"/>
    <w:rsid w:val="00963CF0"/>
    <w:rsid w:val="00964BB1"/>
    <w:rsid w:val="009775D9"/>
    <w:rsid w:val="00990BEC"/>
    <w:rsid w:val="00997175"/>
    <w:rsid w:val="009A00DE"/>
    <w:rsid w:val="009A1847"/>
    <w:rsid w:val="009B062A"/>
    <w:rsid w:val="009D6A01"/>
    <w:rsid w:val="009E1D36"/>
    <w:rsid w:val="009E7C6F"/>
    <w:rsid w:val="009F1793"/>
    <w:rsid w:val="009F2D23"/>
    <w:rsid w:val="00A01D69"/>
    <w:rsid w:val="00A02335"/>
    <w:rsid w:val="00A03594"/>
    <w:rsid w:val="00A038A1"/>
    <w:rsid w:val="00A05E28"/>
    <w:rsid w:val="00A16DF7"/>
    <w:rsid w:val="00A35AA3"/>
    <w:rsid w:val="00A4160B"/>
    <w:rsid w:val="00A45B8C"/>
    <w:rsid w:val="00A46013"/>
    <w:rsid w:val="00A46C9A"/>
    <w:rsid w:val="00A619F3"/>
    <w:rsid w:val="00A62A73"/>
    <w:rsid w:val="00A63B54"/>
    <w:rsid w:val="00A65DE8"/>
    <w:rsid w:val="00A6656D"/>
    <w:rsid w:val="00A82E91"/>
    <w:rsid w:val="00A862E4"/>
    <w:rsid w:val="00A87261"/>
    <w:rsid w:val="00A87FF6"/>
    <w:rsid w:val="00A926B1"/>
    <w:rsid w:val="00A9779B"/>
    <w:rsid w:val="00AA0A3B"/>
    <w:rsid w:val="00AA2763"/>
    <w:rsid w:val="00AA33B6"/>
    <w:rsid w:val="00AB50CA"/>
    <w:rsid w:val="00AB5C52"/>
    <w:rsid w:val="00AB6D64"/>
    <w:rsid w:val="00AC3AC6"/>
    <w:rsid w:val="00AC53CE"/>
    <w:rsid w:val="00AC7437"/>
    <w:rsid w:val="00AD2193"/>
    <w:rsid w:val="00AD2CD4"/>
    <w:rsid w:val="00AD73F5"/>
    <w:rsid w:val="00AF09C9"/>
    <w:rsid w:val="00AF19F4"/>
    <w:rsid w:val="00AF2AC7"/>
    <w:rsid w:val="00AF74BC"/>
    <w:rsid w:val="00AF74CE"/>
    <w:rsid w:val="00B1328F"/>
    <w:rsid w:val="00B208DB"/>
    <w:rsid w:val="00B23F69"/>
    <w:rsid w:val="00B310B0"/>
    <w:rsid w:val="00B40C41"/>
    <w:rsid w:val="00B45E20"/>
    <w:rsid w:val="00B54400"/>
    <w:rsid w:val="00B60619"/>
    <w:rsid w:val="00B6304F"/>
    <w:rsid w:val="00B66A70"/>
    <w:rsid w:val="00B67366"/>
    <w:rsid w:val="00B72518"/>
    <w:rsid w:val="00B74658"/>
    <w:rsid w:val="00B80EE1"/>
    <w:rsid w:val="00B84135"/>
    <w:rsid w:val="00B950C9"/>
    <w:rsid w:val="00BA4C7F"/>
    <w:rsid w:val="00BB7720"/>
    <w:rsid w:val="00BC3F27"/>
    <w:rsid w:val="00BD2105"/>
    <w:rsid w:val="00BE61E8"/>
    <w:rsid w:val="00C04D34"/>
    <w:rsid w:val="00C05DF8"/>
    <w:rsid w:val="00C06864"/>
    <w:rsid w:val="00C10F54"/>
    <w:rsid w:val="00C2013A"/>
    <w:rsid w:val="00C23D8D"/>
    <w:rsid w:val="00C35410"/>
    <w:rsid w:val="00C37AA3"/>
    <w:rsid w:val="00C37FD7"/>
    <w:rsid w:val="00C43419"/>
    <w:rsid w:val="00C44CF3"/>
    <w:rsid w:val="00C4525F"/>
    <w:rsid w:val="00C61BE0"/>
    <w:rsid w:val="00C636D2"/>
    <w:rsid w:val="00C6707E"/>
    <w:rsid w:val="00C70B0E"/>
    <w:rsid w:val="00C773CA"/>
    <w:rsid w:val="00C83785"/>
    <w:rsid w:val="00C85317"/>
    <w:rsid w:val="00C87FA8"/>
    <w:rsid w:val="00C932C0"/>
    <w:rsid w:val="00C94C0D"/>
    <w:rsid w:val="00CA1FEB"/>
    <w:rsid w:val="00CA7484"/>
    <w:rsid w:val="00CB26BD"/>
    <w:rsid w:val="00CD4F85"/>
    <w:rsid w:val="00CD6F02"/>
    <w:rsid w:val="00CE246D"/>
    <w:rsid w:val="00CE4D6D"/>
    <w:rsid w:val="00CF07A0"/>
    <w:rsid w:val="00CF3E03"/>
    <w:rsid w:val="00CF4A83"/>
    <w:rsid w:val="00CF6315"/>
    <w:rsid w:val="00D0082A"/>
    <w:rsid w:val="00D040B9"/>
    <w:rsid w:val="00D107FC"/>
    <w:rsid w:val="00D1147D"/>
    <w:rsid w:val="00D12F70"/>
    <w:rsid w:val="00D15AFD"/>
    <w:rsid w:val="00D21455"/>
    <w:rsid w:val="00D224B1"/>
    <w:rsid w:val="00D23C8E"/>
    <w:rsid w:val="00D35073"/>
    <w:rsid w:val="00D367BD"/>
    <w:rsid w:val="00D47634"/>
    <w:rsid w:val="00D51811"/>
    <w:rsid w:val="00D65463"/>
    <w:rsid w:val="00D65C46"/>
    <w:rsid w:val="00D709B3"/>
    <w:rsid w:val="00D74CD2"/>
    <w:rsid w:val="00D976F6"/>
    <w:rsid w:val="00DA0121"/>
    <w:rsid w:val="00DA2ED6"/>
    <w:rsid w:val="00DB04EC"/>
    <w:rsid w:val="00DB1D55"/>
    <w:rsid w:val="00DB7584"/>
    <w:rsid w:val="00DB76B8"/>
    <w:rsid w:val="00DC12D5"/>
    <w:rsid w:val="00DC2EA1"/>
    <w:rsid w:val="00DD6AAF"/>
    <w:rsid w:val="00DE3F5C"/>
    <w:rsid w:val="00DF0376"/>
    <w:rsid w:val="00DF1D20"/>
    <w:rsid w:val="00E0669E"/>
    <w:rsid w:val="00E21324"/>
    <w:rsid w:val="00E246B9"/>
    <w:rsid w:val="00E2719F"/>
    <w:rsid w:val="00E27EEA"/>
    <w:rsid w:val="00E31FEA"/>
    <w:rsid w:val="00E34493"/>
    <w:rsid w:val="00E45169"/>
    <w:rsid w:val="00E47787"/>
    <w:rsid w:val="00E51C30"/>
    <w:rsid w:val="00E61D81"/>
    <w:rsid w:val="00E64180"/>
    <w:rsid w:val="00E7235D"/>
    <w:rsid w:val="00E74AEE"/>
    <w:rsid w:val="00E8093A"/>
    <w:rsid w:val="00E85161"/>
    <w:rsid w:val="00E86050"/>
    <w:rsid w:val="00E868E5"/>
    <w:rsid w:val="00E908D8"/>
    <w:rsid w:val="00E9237A"/>
    <w:rsid w:val="00E939FA"/>
    <w:rsid w:val="00EA282D"/>
    <w:rsid w:val="00EA5765"/>
    <w:rsid w:val="00EA623B"/>
    <w:rsid w:val="00EC2532"/>
    <w:rsid w:val="00EC54A3"/>
    <w:rsid w:val="00ED7635"/>
    <w:rsid w:val="00ED7812"/>
    <w:rsid w:val="00EE751F"/>
    <w:rsid w:val="00EF3B86"/>
    <w:rsid w:val="00EF743A"/>
    <w:rsid w:val="00F14B8E"/>
    <w:rsid w:val="00F14C86"/>
    <w:rsid w:val="00F317E9"/>
    <w:rsid w:val="00F34554"/>
    <w:rsid w:val="00F35078"/>
    <w:rsid w:val="00F35B68"/>
    <w:rsid w:val="00F45F77"/>
    <w:rsid w:val="00F5167F"/>
    <w:rsid w:val="00F51939"/>
    <w:rsid w:val="00F52258"/>
    <w:rsid w:val="00F643CC"/>
    <w:rsid w:val="00F7257A"/>
    <w:rsid w:val="00F76744"/>
    <w:rsid w:val="00F84447"/>
    <w:rsid w:val="00F853FE"/>
    <w:rsid w:val="00F8570A"/>
    <w:rsid w:val="00F91C7B"/>
    <w:rsid w:val="00F973F1"/>
    <w:rsid w:val="00FA0F48"/>
    <w:rsid w:val="00FB5152"/>
    <w:rsid w:val="00FB56FE"/>
    <w:rsid w:val="00FD3B1C"/>
    <w:rsid w:val="00FE71EC"/>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0F23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BE6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4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AFB2-BF29-498D-9518-4421D075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5022</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33586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12</cp:revision>
  <cp:lastPrinted>2023-12-04T15:35:00Z</cp:lastPrinted>
  <dcterms:created xsi:type="dcterms:W3CDTF">2024-01-22T09:25:00Z</dcterms:created>
  <dcterms:modified xsi:type="dcterms:W3CDTF">2024-01-23T12:26:00Z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