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1AAA3" w14:textId="77777777" w:rsidR="00F91C7B" w:rsidRPr="001D7049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FFC2154" w14:textId="77777777" w:rsidR="002510A5" w:rsidRPr="001D7049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1D7049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069785DC" w14:textId="77777777" w:rsidR="002510A5" w:rsidRPr="001D7049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DF70396" w14:textId="77777777" w:rsidR="003C17AB" w:rsidRPr="001D7049" w:rsidRDefault="003C17AB" w:rsidP="00CA1FEB">
      <w:pPr>
        <w:rPr>
          <w:sz w:val="22"/>
          <w:szCs w:val="22"/>
          <w:lang w:val="sr-Latn-ME"/>
        </w:rPr>
      </w:pPr>
    </w:p>
    <w:p w14:paraId="7F22FF2C" w14:textId="77777777" w:rsidR="00411B4B" w:rsidRPr="001D704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>1.</w:t>
      </w:r>
      <w:r w:rsidR="00F5167F" w:rsidRPr="001D7049">
        <w:rPr>
          <w:b/>
          <w:bCs/>
          <w:sz w:val="22"/>
          <w:szCs w:val="22"/>
          <w:lang w:val="sr-Latn-ME"/>
        </w:rPr>
        <w:tab/>
      </w:r>
      <w:r w:rsidR="002846DB" w:rsidRPr="001D7049">
        <w:rPr>
          <w:b/>
          <w:bCs/>
          <w:sz w:val="22"/>
          <w:szCs w:val="22"/>
          <w:lang w:val="sr-Latn-ME"/>
        </w:rPr>
        <w:t xml:space="preserve">NAZIV </w:t>
      </w:r>
      <w:r w:rsidRPr="001D7049">
        <w:rPr>
          <w:b/>
          <w:bCs/>
          <w:sz w:val="22"/>
          <w:szCs w:val="22"/>
          <w:lang w:val="sr-Latn-ME"/>
        </w:rPr>
        <w:t>LIJEKA</w:t>
      </w:r>
    </w:p>
    <w:p w14:paraId="58CED203" w14:textId="77777777" w:rsidR="00380837" w:rsidRPr="001D7049" w:rsidRDefault="00380837" w:rsidP="00380837">
      <w:pPr>
        <w:rPr>
          <w:sz w:val="22"/>
          <w:szCs w:val="22"/>
          <w:lang w:val="sr-Latn-ME"/>
        </w:rPr>
      </w:pPr>
    </w:p>
    <w:p w14:paraId="6C14C042" w14:textId="55CAE474" w:rsidR="00380837" w:rsidRPr="001D7049" w:rsidRDefault="00380837" w:rsidP="00380837">
      <w:pPr>
        <w:rPr>
          <w:sz w:val="22"/>
          <w:szCs w:val="22"/>
          <w:lang w:val="sr-Latn-ME"/>
        </w:rPr>
      </w:pP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AptaPharma</w:t>
      </w:r>
      <w:proofErr w:type="spellEnd"/>
      <w:r w:rsidRPr="001D7049">
        <w:rPr>
          <w:sz w:val="22"/>
          <w:szCs w:val="22"/>
          <w:lang w:val="sr-Latn-ME"/>
        </w:rPr>
        <w:t>, 1</w:t>
      </w:r>
      <w:r w:rsidR="00046790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>g, prašak za koncentrat za rastvor za infuziju</w:t>
      </w:r>
    </w:p>
    <w:p w14:paraId="7320945E" w14:textId="77777777" w:rsidR="00380837" w:rsidRPr="001D7049" w:rsidRDefault="00380837" w:rsidP="00380837">
      <w:pPr>
        <w:rPr>
          <w:bCs/>
          <w:sz w:val="22"/>
          <w:szCs w:val="22"/>
          <w:lang w:val="sr-Latn-ME"/>
        </w:rPr>
      </w:pPr>
    </w:p>
    <w:p w14:paraId="43E8C5AC" w14:textId="77777777" w:rsidR="00380837" w:rsidRPr="001D7049" w:rsidRDefault="00380837" w:rsidP="00380837">
      <w:pPr>
        <w:rPr>
          <w:sz w:val="22"/>
          <w:szCs w:val="22"/>
          <w:lang w:val="sr-Latn-ME"/>
        </w:rPr>
      </w:pPr>
      <w:proofErr w:type="spellStart"/>
      <w:r w:rsidRPr="001D7049">
        <w:rPr>
          <w:sz w:val="22"/>
          <w:szCs w:val="22"/>
          <w:lang w:val="sr-Latn-ME"/>
        </w:rPr>
        <w:t>INN</w:t>
      </w:r>
      <w:proofErr w:type="spellEnd"/>
      <w:r w:rsidRPr="001D7049">
        <w:rPr>
          <w:sz w:val="22"/>
          <w:szCs w:val="22"/>
          <w:lang w:val="sr-Latn-ME"/>
        </w:rPr>
        <w:t xml:space="preserve">: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</w:p>
    <w:p w14:paraId="3DCE1D58" w14:textId="53F42423" w:rsidR="006D20A5" w:rsidRPr="001D7049" w:rsidRDefault="006D20A5" w:rsidP="006D20A5">
      <w:pPr>
        <w:rPr>
          <w:sz w:val="22"/>
          <w:szCs w:val="22"/>
          <w:lang w:val="sr-Latn-ME"/>
        </w:rPr>
      </w:pPr>
    </w:p>
    <w:p w14:paraId="265D1F10" w14:textId="77777777" w:rsidR="00530BD7" w:rsidRPr="001D7049" w:rsidRDefault="00530BD7">
      <w:pPr>
        <w:rPr>
          <w:bCs/>
          <w:sz w:val="22"/>
          <w:szCs w:val="22"/>
          <w:lang w:val="sr-Latn-ME"/>
        </w:rPr>
      </w:pPr>
    </w:p>
    <w:p w14:paraId="5D7D6EDE" w14:textId="77777777" w:rsidR="00411B4B" w:rsidRPr="001D704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2. </w:t>
      </w:r>
      <w:r w:rsidR="00F5167F" w:rsidRPr="001D7049">
        <w:rPr>
          <w:b/>
          <w:bCs/>
          <w:sz w:val="22"/>
          <w:szCs w:val="22"/>
          <w:lang w:val="sr-Latn-ME"/>
        </w:rPr>
        <w:tab/>
      </w:r>
      <w:r w:rsidRPr="001D7049">
        <w:rPr>
          <w:b/>
          <w:bCs/>
          <w:sz w:val="22"/>
          <w:szCs w:val="22"/>
          <w:lang w:val="sr-Latn-ME"/>
        </w:rPr>
        <w:t>KVALITATIVNI I KVANTITATIVNI SASTAV</w:t>
      </w:r>
    </w:p>
    <w:p w14:paraId="0174FD3E" w14:textId="0023D65F" w:rsidR="00380837" w:rsidRPr="001D7049" w:rsidRDefault="00380837">
      <w:pPr>
        <w:rPr>
          <w:sz w:val="22"/>
          <w:szCs w:val="22"/>
          <w:lang w:val="sr-Latn-ME"/>
        </w:rPr>
      </w:pPr>
    </w:p>
    <w:p w14:paraId="4F3546E9" w14:textId="63AB18AB" w:rsidR="00380837" w:rsidRPr="001D7049" w:rsidRDefault="00380837" w:rsidP="00380837">
      <w:pPr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Jedna bočica sadrži 1 g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(u obliku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natrijuma).</w:t>
      </w:r>
    </w:p>
    <w:p w14:paraId="37F340DD" w14:textId="77777777" w:rsidR="00380837" w:rsidRPr="001D7049" w:rsidRDefault="00380837" w:rsidP="00380837">
      <w:pPr>
        <w:jc w:val="both"/>
        <w:rPr>
          <w:i/>
          <w:iCs/>
          <w:sz w:val="22"/>
          <w:szCs w:val="22"/>
          <w:lang w:val="sr-Latn-ME"/>
        </w:rPr>
      </w:pPr>
    </w:p>
    <w:p w14:paraId="49EE3987" w14:textId="14F28C0B" w:rsidR="00380837" w:rsidRPr="001D7049" w:rsidRDefault="00380837" w:rsidP="00380837">
      <w:pPr>
        <w:jc w:val="both"/>
        <w:rPr>
          <w:i/>
          <w:iCs/>
          <w:sz w:val="22"/>
          <w:szCs w:val="22"/>
          <w:lang w:val="sr-Latn-ME"/>
        </w:rPr>
      </w:pPr>
      <w:r w:rsidRPr="001D7049">
        <w:rPr>
          <w:sz w:val="22"/>
          <w:szCs w:val="22"/>
          <w:u w:val="single"/>
          <w:lang w:val="sr-Latn-ME"/>
        </w:rPr>
        <w:t>Pomoćne supstance sa potvrđenim dejstvom</w:t>
      </w:r>
      <w:r w:rsidRPr="001D7049">
        <w:rPr>
          <w:i/>
          <w:iCs/>
          <w:sz w:val="22"/>
          <w:szCs w:val="22"/>
          <w:lang w:val="sr-Latn-ME"/>
        </w:rPr>
        <w:t xml:space="preserve">: </w:t>
      </w:r>
    </w:p>
    <w:p w14:paraId="79E39961" w14:textId="753A1EBA" w:rsidR="00380837" w:rsidRPr="001D7049" w:rsidRDefault="00380837" w:rsidP="00380837">
      <w:pPr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Jedna bočica sadrži približno 6 </w:t>
      </w:r>
      <w:proofErr w:type="spellStart"/>
      <w:r w:rsidRPr="001D7049">
        <w:rPr>
          <w:sz w:val="22"/>
          <w:szCs w:val="22"/>
          <w:lang w:val="sr-Latn-ME"/>
        </w:rPr>
        <w:t>mEq</w:t>
      </w:r>
      <w:proofErr w:type="spellEnd"/>
      <w:r w:rsidRPr="001D7049">
        <w:rPr>
          <w:sz w:val="22"/>
          <w:szCs w:val="22"/>
          <w:lang w:val="sr-Latn-ME"/>
        </w:rPr>
        <w:t xml:space="preserve"> (137 mg) natrijuma.</w:t>
      </w:r>
    </w:p>
    <w:p w14:paraId="51B9BBE2" w14:textId="77777777" w:rsidR="00380837" w:rsidRPr="001D7049" w:rsidRDefault="00380837" w:rsidP="00380837">
      <w:pPr>
        <w:jc w:val="both"/>
        <w:rPr>
          <w:sz w:val="22"/>
          <w:szCs w:val="22"/>
          <w:lang w:val="sr-Latn-ME"/>
        </w:rPr>
      </w:pPr>
    </w:p>
    <w:p w14:paraId="6BD139DC" w14:textId="115B9522" w:rsidR="0003793F" w:rsidRPr="001D7049" w:rsidRDefault="0003793F">
      <w:pPr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Za spisak svih </w:t>
      </w:r>
      <w:proofErr w:type="spellStart"/>
      <w:r w:rsidRPr="001D7049">
        <w:rPr>
          <w:sz w:val="22"/>
          <w:szCs w:val="22"/>
          <w:lang w:val="sr-Latn-ME"/>
        </w:rPr>
        <w:t>ekscipijenasa</w:t>
      </w:r>
      <w:proofErr w:type="spellEnd"/>
      <w:r w:rsidRPr="001D7049">
        <w:rPr>
          <w:sz w:val="22"/>
          <w:szCs w:val="22"/>
          <w:lang w:val="sr-Latn-ME"/>
        </w:rPr>
        <w:t>, pogledati dio 6.1.</w:t>
      </w:r>
    </w:p>
    <w:p w14:paraId="54A58B55" w14:textId="77777777" w:rsidR="0003793F" w:rsidRPr="001D7049" w:rsidRDefault="0003793F">
      <w:pPr>
        <w:rPr>
          <w:sz w:val="22"/>
          <w:szCs w:val="22"/>
          <w:lang w:val="sr-Latn-ME"/>
        </w:rPr>
      </w:pPr>
    </w:p>
    <w:p w14:paraId="6DDF109F" w14:textId="77777777" w:rsidR="00C37FD7" w:rsidRPr="001D7049" w:rsidRDefault="00C37FD7">
      <w:pPr>
        <w:rPr>
          <w:sz w:val="22"/>
          <w:szCs w:val="22"/>
          <w:lang w:val="sr-Latn-ME"/>
        </w:rPr>
      </w:pPr>
    </w:p>
    <w:p w14:paraId="218D8E50" w14:textId="77777777" w:rsidR="00411B4B" w:rsidRPr="001D704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3. </w:t>
      </w:r>
      <w:r w:rsidR="00F5167F" w:rsidRPr="001D7049">
        <w:rPr>
          <w:b/>
          <w:bCs/>
          <w:sz w:val="22"/>
          <w:szCs w:val="22"/>
          <w:lang w:val="sr-Latn-ME"/>
        </w:rPr>
        <w:tab/>
      </w:r>
      <w:r w:rsidRPr="001D7049">
        <w:rPr>
          <w:b/>
          <w:bCs/>
          <w:sz w:val="22"/>
          <w:szCs w:val="22"/>
          <w:lang w:val="sr-Latn-ME"/>
        </w:rPr>
        <w:t>FARMACEUTSKI OBLIK</w:t>
      </w:r>
      <w:r w:rsidR="009F2D23" w:rsidRPr="001D7049">
        <w:rPr>
          <w:b/>
          <w:bCs/>
          <w:sz w:val="22"/>
          <w:szCs w:val="22"/>
          <w:lang w:val="sr-Latn-ME"/>
        </w:rPr>
        <w:t xml:space="preserve"> </w:t>
      </w:r>
    </w:p>
    <w:p w14:paraId="0A45D3D1" w14:textId="77777777" w:rsidR="00380837" w:rsidRPr="001D7049" w:rsidRDefault="00380837" w:rsidP="00380837">
      <w:pPr>
        <w:rPr>
          <w:bCs/>
          <w:sz w:val="22"/>
          <w:szCs w:val="22"/>
          <w:lang w:val="sr-Latn-ME"/>
        </w:rPr>
      </w:pPr>
    </w:p>
    <w:p w14:paraId="33DBA7AF" w14:textId="77777777" w:rsidR="00380837" w:rsidRPr="001D7049" w:rsidRDefault="00380837" w:rsidP="00380837">
      <w:pPr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Prašak za koncentrat za rastvor za infuziju.</w:t>
      </w:r>
    </w:p>
    <w:p w14:paraId="0CBCA53E" w14:textId="35DE52DB" w:rsidR="00380837" w:rsidRPr="001D7049" w:rsidRDefault="00380837" w:rsidP="00380837">
      <w:pPr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Bijeli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>do žućkasti prašak.</w:t>
      </w:r>
    </w:p>
    <w:p w14:paraId="4AD77869" w14:textId="47333E65" w:rsidR="00380837" w:rsidRPr="001D7049" w:rsidRDefault="00380837">
      <w:pPr>
        <w:rPr>
          <w:bCs/>
          <w:sz w:val="22"/>
          <w:szCs w:val="22"/>
          <w:lang w:val="sr-Latn-ME"/>
        </w:rPr>
      </w:pPr>
    </w:p>
    <w:p w14:paraId="13ED71E6" w14:textId="77777777" w:rsidR="00380837" w:rsidRPr="001D7049" w:rsidRDefault="00380837">
      <w:pPr>
        <w:rPr>
          <w:bCs/>
          <w:sz w:val="22"/>
          <w:szCs w:val="22"/>
          <w:lang w:val="sr-Latn-ME"/>
        </w:rPr>
      </w:pPr>
    </w:p>
    <w:p w14:paraId="0205B09C" w14:textId="77777777" w:rsidR="00411B4B" w:rsidRPr="001D7049" w:rsidRDefault="00411B4B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4.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r w:rsidRPr="001D7049">
        <w:rPr>
          <w:b/>
          <w:bCs/>
          <w:sz w:val="22"/>
          <w:szCs w:val="22"/>
          <w:lang w:val="sr-Latn-ME"/>
        </w:rPr>
        <w:t>KLINIČKI PODACI</w:t>
      </w:r>
    </w:p>
    <w:p w14:paraId="2F550B31" w14:textId="77777777" w:rsidR="00CD6F02" w:rsidRPr="001D7049" w:rsidRDefault="00CD6F02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9B2B52" w14:textId="77777777" w:rsidR="00411B4B" w:rsidRPr="001D7049" w:rsidRDefault="00411B4B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4.1.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r w:rsidRPr="001D7049">
        <w:rPr>
          <w:b/>
          <w:bCs/>
          <w:sz w:val="22"/>
          <w:szCs w:val="22"/>
          <w:lang w:val="sr-Latn-ME"/>
        </w:rPr>
        <w:t>Terapijske indikacije</w:t>
      </w:r>
    </w:p>
    <w:p w14:paraId="1ABEC8BC" w14:textId="77777777" w:rsidR="00380837" w:rsidRPr="001D7049" w:rsidRDefault="00380837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42799D5" w14:textId="77777777" w:rsidR="00380837" w:rsidRPr="001D7049" w:rsidRDefault="00380837" w:rsidP="00D95164">
      <w:pPr>
        <w:jc w:val="both"/>
        <w:rPr>
          <w:i/>
          <w:sz w:val="22"/>
          <w:szCs w:val="22"/>
          <w:lang w:val="sr-Latn-ME"/>
        </w:rPr>
      </w:pPr>
      <w:r w:rsidRPr="001D7049">
        <w:rPr>
          <w:i/>
          <w:sz w:val="22"/>
          <w:szCs w:val="22"/>
          <w:lang w:val="sr-Latn-ME"/>
        </w:rPr>
        <w:t>Terapija</w:t>
      </w:r>
    </w:p>
    <w:p w14:paraId="1E454970" w14:textId="582BEE6B" w:rsidR="00380837" w:rsidRPr="001D7049" w:rsidRDefault="00380837" w:rsidP="00D95164">
      <w:pPr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Lijek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AptaPharma</w:t>
      </w:r>
      <w:proofErr w:type="spellEnd"/>
      <w:r w:rsidRPr="001D7049">
        <w:rPr>
          <w:sz w:val="22"/>
          <w:szCs w:val="22"/>
          <w:lang w:val="sr-Latn-ME"/>
        </w:rPr>
        <w:t xml:space="preserve"> je </w:t>
      </w:r>
      <w:proofErr w:type="spellStart"/>
      <w:r w:rsidRPr="001D7049">
        <w:rPr>
          <w:sz w:val="22"/>
          <w:szCs w:val="22"/>
          <w:lang w:val="sr-Latn-ME"/>
        </w:rPr>
        <w:t>indikovan</w:t>
      </w:r>
      <w:proofErr w:type="spellEnd"/>
      <w:r w:rsidRPr="001D7049">
        <w:rPr>
          <w:sz w:val="22"/>
          <w:szCs w:val="22"/>
          <w:lang w:val="sr-Latn-ME"/>
        </w:rPr>
        <w:t xml:space="preserve"> kod pedijatrijskih pacijenata (uzrasta 3 mjeseca do 17 godina) i odraslih za terapiju sljedećih infekcija kada su uzrokovane bakterijama za koje je poznato ili je veoma vjerovatno da su osjetljive na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i kada je potrebna </w:t>
      </w:r>
      <w:proofErr w:type="spellStart"/>
      <w:r w:rsidRPr="001D7049">
        <w:rPr>
          <w:sz w:val="22"/>
          <w:szCs w:val="22"/>
          <w:lang w:val="sr-Latn-ME"/>
        </w:rPr>
        <w:t>parenteralna</w:t>
      </w:r>
      <w:proofErr w:type="spellEnd"/>
      <w:r w:rsidRPr="001D7049">
        <w:rPr>
          <w:sz w:val="22"/>
          <w:szCs w:val="22"/>
          <w:lang w:val="sr-Latn-ME"/>
        </w:rPr>
        <w:t xml:space="preserve"> terapija (vidjeti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>djelove 4.4 i 5.1):</w:t>
      </w:r>
    </w:p>
    <w:p w14:paraId="631F04FC" w14:textId="77777777" w:rsidR="00380837" w:rsidRPr="001D7049" w:rsidRDefault="00380837" w:rsidP="00D9516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proofErr w:type="spellStart"/>
      <w:r w:rsidRPr="001D7049">
        <w:rPr>
          <w:sz w:val="22"/>
          <w:szCs w:val="22"/>
          <w:lang w:val="sr-Latn-ME"/>
        </w:rPr>
        <w:t>intraabdominalne</w:t>
      </w:r>
      <w:proofErr w:type="spellEnd"/>
      <w:r w:rsidRPr="001D7049">
        <w:rPr>
          <w:sz w:val="22"/>
          <w:szCs w:val="22"/>
          <w:lang w:val="sr-Latn-ME"/>
        </w:rPr>
        <w:t xml:space="preserve"> infekcije</w:t>
      </w:r>
    </w:p>
    <w:p w14:paraId="380F1356" w14:textId="77777777" w:rsidR="00380837" w:rsidRPr="001D7049" w:rsidRDefault="00380837" w:rsidP="0070069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>vanbolnički stečena pneumonija</w:t>
      </w:r>
    </w:p>
    <w:p w14:paraId="35659146" w14:textId="77777777" w:rsidR="00380837" w:rsidRPr="001D7049" w:rsidRDefault="00380837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>akutne infekcije u ginekologiji</w:t>
      </w:r>
    </w:p>
    <w:p w14:paraId="14830BC4" w14:textId="28666586" w:rsidR="00380837" w:rsidRPr="001D7049" w:rsidRDefault="00380837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>infekcije kože i mekih tkiva kod dijabetesnog stopala (vidjeti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>dio 4.4)</w:t>
      </w:r>
    </w:p>
    <w:p w14:paraId="02670FCF" w14:textId="77777777" w:rsidR="00380837" w:rsidRPr="001D7049" w:rsidRDefault="00380837">
      <w:pPr>
        <w:jc w:val="both"/>
        <w:rPr>
          <w:sz w:val="22"/>
          <w:szCs w:val="22"/>
          <w:lang w:val="sr-Latn-ME"/>
        </w:rPr>
      </w:pPr>
    </w:p>
    <w:p w14:paraId="46D6351E" w14:textId="77777777" w:rsidR="00380837" w:rsidRPr="001D7049" w:rsidRDefault="00380837">
      <w:pPr>
        <w:jc w:val="both"/>
        <w:rPr>
          <w:i/>
          <w:sz w:val="22"/>
          <w:szCs w:val="22"/>
          <w:lang w:val="sr-Latn-ME"/>
        </w:rPr>
      </w:pPr>
      <w:r w:rsidRPr="001D7049">
        <w:rPr>
          <w:i/>
          <w:sz w:val="22"/>
          <w:szCs w:val="22"/>
          <w:lang w:val="sr-Latn-ME"/>
        </w:rPr>
        <w:t>Prevencija</w:t>
      </w:r>
    </w:p>
    <w:p w14:paraId="22C08D3B" w14:textId="04814D14" w:rsidR="00380837" w:rsidRPr="001D7049" w:rsidRDefault="00380837">
      <w:pPr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Lijek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AptaPharma</w:t>
      </w:r>
      <w:proofErr w:type="spellEnd"/>
      <w:r w:rsidRPr="001D7049">
        <w:rPr>
          <w:sz w:val="22"/>
          <w:szCs w:val="22"/>
          <w:lang w:val="sr-Latn-ME"/>
        </w:rPr>
        <w:t xml:space="preserve"> je </w:t>
      </w:r>
      <w:proofErr w:type="spellStart"/>
      <w:r w:rsidRPr="001D7049">
        <w:rPr>
          <w:sz w:val="22"/>
          <w:szCs w:val="22"/>
          <w:lang w:val="sr-Latn-ME"/>
        </w:rPr>
        <w:t>indikovan</w:t>
      </w:r>
      <w:proofErr w:type="spellEnd"/>
      <w:r w:rsidRPr="001D7049">
        <w:rPr>
          <w:sz w:val="22"/>
          <w:szCs w:val="22"/>
          <w:lang w:val="sr-Latn-ME"/>
        </w:rPr>
        <w:t xml:space="preserve"> kod odraslih pacijenata u profilaksi infekcije na mjestu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operativnog zahvata nakon </w:t>
      </w:r>
      <w:proofErr w:type="spellStart"/>
      <w:r w:rsidRPr="001D7049">
        <w:rPr>
          <w:sz w:val="22"/>
          <w:szCs w:val="22"/>
          <w:lang w:val="sr-Latn-ME"/>
        </w:rPr>
        <w:t>elektivne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kolorektalne</w:t>
      </w:r>
      <w:proofErr w:type="spellEnd"/>
      <w:r w:rsidRPr="001D7049">
        <w:rPr>
          <w:sz w:val="22"/>
          <w:szCs w:val="22"/>
          <w:lang w:val="sr-Latn-ME"/>
        </w:rPr>
        <w:t xml:space="preserve"> hirurške intervencije (vidjeti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>dio 4.4).</w:t>
      </w:r>
    </w:p>
    <w:p w14:paraId="5C08D250" w14:textId="6F76B9D3" w:rsidR="00380837" w:rsidRPr="001D7049" w:rsidRDefault="00380837" w:rsidP="009569E2">
      <w:pPr>
        <w:jc w:val="both"/>
        <w:rPr>
          <w:bCs/>
          <w:sz w:val="22"/>
          <w:szCs w:val="22"/>
          <w:lang w:val="sr-Latn-ME"/>
        </w:rPr>
      </w:pPr>
      <w:bookmarkStart w:id="0" w:name="_Hlk154398025"/>
      <w:r w:rsidRPr="001D7049">
        <w:rPr>
          <w:sz w:val="22"/>
          <w:szCs w:val="22"/>
          <w:lang w:val="sr-Latn-ME"/>
        </w:rPr>
        <w:t xml:space="preserve">Potrebno je uzeti u obzir zvanične preporuke o pravilnoj upotrebi </w:t>
      </w:r>
      <w:proofErr w:type="spellStart"/>
      <w:r w:rsidRPr="001D7049">
        <w:rPr>
          <w:sz w:val="22"/>
          <w:szCs w:val="22"/>
          <w:lang w:val="sr-Latn-ME"/>
        </w:rPr>
        <w:t>antibakterijskih</w:t>
      </w:r>
      <w:proofErr w:type="spellEnd"/>
      <w:r w:rsidRPr="001D7049">
        <w:rPr>
          <w:sz w:val="22"/>
          <w:szCs w:val="22"/>
          <w:lang w:val="sr-Latn-ME"/>
        </w:rPr>
        <w:t xml:space="preserve"> ljekova.</w:t>
      </w:r>
      <w:bookmarkEnd w:id="0"/>
    </w:p>
    <w:p w14:paraId="1A31AA17" w14:textId="77777777" w:rsidR="00380837" w:rsidRPr="001D7049" w:rsidRDefault="00380837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DDEBDA" w14:textId="77777777" w:rsidR="00411B4B" w:rsidRPr="001D7049" w:rsidRDefault="00411B4B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4.2.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r w:rsidRPr="001D7049">
        <w:rPr>
          <w:b/>
          <w:bCs/>
          <w:sz w:val="22"/>
          <w:szCs w:val="22"/>
          <w:lang w:val="sr-Latn-ME"/>
        </w:rPr>
        <w:t>Doziranje i način primjene</w:t>
      </w:r>
    </w:p>
    <w:p w14:paraId="4EADCC95" w14:textId="77777777" w:rsidR="0072020E" w:rsidRPr="001D7049" w:rsidRDefault="0072020E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8E476B" w14:textId="4AB0A90E" w:rsidR="00452E9D" w:rsidRPr="001D7049" w:rsidRDefault="00452E9D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D7049">
        <w:rPr>
          <w:bCs/>
          <w:sz w:val="22"/>
          <w:szCs w:val="22"/>
          <w:u w:val="single"/>
          <w:lang w:val="sr-Latn-ME"/>
        </w:rPr>
        <w:t>Doziranje</w:t>
      </w:r>
    </w:p>
    <w:p w14:paraId="66091291" w14:textId="77777777" w:rsidR="00380837" w:rsidRPr="001D7049" w:rsidRDefault="00380837" w:rsidP="00D9516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51A4329" w14:textId="77777777" w:rsidR="00380837" w:rsidRPr="001D7049" w:rsidRDefault="00380837" w:rsidP="00D9516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i/>
          <w:sz w:val="22"/>
          <w:szCs w:val="22"/>
          <w:lang w:val="sr-Latn-ME"/>
        </w:rPr>
        <w:t>Terapija</w:t>
      </w:r>
      <w:r w:rsidRPr="001D7049">
        <w:rPr>
          <w:sz w:val="22"/>
          <w:szCs w:val="22"/>
          <w:lang w:val="sr-Latn-ME"/>
        </w:rPr>
        <w:t xml:space="preserve"> </w:t>
      </w:r>
    </w:p>
    <w:p w14:paraId="5B8F2062" w14:textId="5F2E3EB8" w:rsidR="00380837" w:rsidRPr="001D7049" w:rsidRDefault="00380837" w:rsidP="00D9516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i/>
          <w:sz w:val="22"/>
          <w:szCs w:val="22"/>
          <w:lang w:val="sr-Latn-ME"/>
        </w:rPr>
        <w:t>Odrasli i adolescenti (uzrasta od 13 do 17 godina)</w:t>
      </w:r>
      <w:r w:rsidRPr="001D7049">
        <w:rPr>
          <w:sz w:val="22"/>
          <w:szCs w:val="22"/>
          <w:lang w:val="sr-Latn-ME"/>
        </w:rPr>
        <w:t xml:space="preserve">: doza lijeka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AptaPharma</w:t>
      </w:r>
      <w:proofErr w:type="spellEnd"/>
      <w:r w:rsidRPr="001D7049">
        <w:rPr>
          <w:sz w:val="22"/>
          <w:szCs w:val="22"/>
          <w:lang w:val="sr-Latn-ME"/>
        </w:rPr>
        <w:t xml:space="preserve"> je 1 gram (g) jednom dnevno, </w:t>
      </w:r>
      <w:proofErr w:type="spellStart"/>
      <w:r w:rsidRPr="001D7049">
        <w:rPr>
          <w:sz w:val="22"/>
          <w:szCs w:val="22"/>
          <w:lang w:val="sr-Latn-ME"/>
        </w:rPr>
        <w:t>intravenski</w:t>
      </w:r>
      <w:proofErr w:type="spellEnd"/>
      <w:r w:rsidRPr="001D7049">
        <w:rPr>
          <w:sz w:val="22"/>
          <w:szCs w:val="22"/>
          <w:lang w:val="sr-Latn-ME"/>
        </w:rPr>
        <w:t xml:space="preserve"> (vidjeti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dio 6.6). </w:t>
      </w:r>
    </w:p>
    <w:p w14:paraId="423516F4" w14:textId="77777777" w:rsidR="00380837" w:rsidRPr="001D7049" w:rsidRDefault="00380837" w:rsidP="007006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CDA3B0D" w14:textId="1AFB695A" w:rsidR="00380837" w:rsidRPr="001D7049" w:rsidRDefault="00380837" w:rsidP="007006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i/>
          <w:sz w:val="22"/>
          <w:szCs w:val="22"/>
          <w:lang w:val="sr-Latn-ME"/>
        </w:rPr>
        <w:t>Odojčad i djeca</w:t>
      </w:r>
      <w:r w:rsidR="00D95164" w:rsidRPr="001D7049">
        <w:rPr>
          <w:i/>
          <w:sz w:val="22"/>
          <w:szCs w:val="22"/>
          <w:lang w:val="sr-Latn-ME"/>
        </w:rPr>
        <w:t xml:space="preserve"> </w:t>
      </w:r>
      <w:r w:rsidRPr="001D7049">
        <w:rPr>
          <w:i/>
          <w:sz w:val="22"/>
          <w:szCs w:val="22"/>
          <w:lang w:val="sr-Latn-ME"/>
        </w:rPr>
        <w:t>(uzrasta od 3 mjeseca do 12 godina):</w:t>
      </w:r>
      <w:r w:rsidRPr="001D7049">
        <w:rPr>
          <w:sz w:val="22"/>
          <w:szCs w:val="22"/>
          <w:lang w:val="sr-Latn-ME"/>
        </w:rPr>
        <w:t xml:space="preserve"> doza lijeka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AptaPharma</w:t>
      </w:r>
      <w:proofErr w:type="spellEnd"/>
      <w:r w:rsidRPr="001D7049">
        <w:rPr>
          <w:sz w:val="22"/>
          <w:szCs w:val="22"/>
          <w:lang w:val="sr-Latn-ME"/>
        </w:rPr>
        <w:t xml:space="preserve"> je 15 mg/kg dva puta dnevno (ukupna dnevna doza ne smije da bude veća od 1 g), </w:t>
      </w:r>
      <w:proofErr w:type="spellStart"/>
      <w:r w:rsidRPr="001D7049">
        <w:rPr>
          <w:sz w:val="22"/>
          <w:szCs w:val="22"/>
          <w:lang w:val="sr-Latn-ME"/>
        </w:rPr>
        <w:t>intravenski</w:t>
      </w:r>
      <w:proofErr w:type="spellEnd"/>
      <w:r w:rsidRPr="001D7049">
        <w:rPr>
          <w:sz w:val="22"/>
          <w:szCs w:val="22"/>
          <w:lang w:val="sr-Latn-ME"/>
        </w:rPr>
        <w:t xml:space="preserve"> (vidjeti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dio 6.6). </w:t>
      </w:r>
    </w:p>
    <w:p w14:paraId="7B182754" w14:textId="77777777" w:rsidR="00380837" w:rsidRPr="001D7049" w:rsidRDefault="0038083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8A9B7E6" w14:textId="77777777" w:rsidR="00380837" w:rsidRPr="001D7049" w:rsidRDefault="0038083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i/>
          <w:sz w:val="22"/>
          <w:szCs w:val="22"/>
          <w:lang w:val="sr-Latn-ME"/>
        </w:rPr>
        <w:lastRenderedPageBreak/>
        <w:t>Prevencija</w:t>
      </w:r>
      <w:r w:rsidRPr="001D7049">
        <w:rPr>
          <w:sz w:val="22"/>
          <w:szCs w:val="22"/>
          <w:lang w:val="sr-Latn-ME"/>
        </w:rPr>
        <w:t xml:space="preserve"> </w:t>
      </w:r>
    </w:p>
    <w:p w14:paraId="5200F275" w14:textId="3A055938" w:rsidR="00380837" w:rsidRPr="001D7049" w:rsidRDefault="0038083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i/>
          <w:sz w:val="22"/>
          <w:szCs w:val="22"/>
          <w:lang w:val="sr-Latn-ME"/>
        </w:rPr>
        <w:t>Odrasli:</w:t>
      </w:r>
      <w:r w:rsidRPr="001D7049">
        <w:rPr>
          <w:sz w:val="22"/>
          <w:szCs w:val="22"/>
          <w:lang w:val="sr-Latn-ME"/>
        </w:rPr>
        <w:t xml:space="preserve"> za prevenciju infekcije na mjestu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operativnog zahvata nakon </w:t>
      </w:r>
      <w:proofErr w:type="spellStart"/>
      <w:r w:rsidRPr="001D7049">
        <w:rPr>
          <w:sz w:val="22"/>
          <w:szCs w:val="22"/>
          <w:lang w:val="sr-Latn-ME"/>
        </w:rPr>
        <w:t>elektivne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kolorektalne</w:t>
      </w:r>
      <w:proofErr w:type="spellEnd"/>
      <w:r w:rsidRPr="001D7049">
        <w:rPr>
          <w:sz w:val="22"/>
          <w:szCs w:val="22"/>
          <w:lang w:val="sr-Latn-ME"/>
        </w:rPr>
        <w:t xml:space="preserve"> hirurške intervencije, preporučena doza je 1 g u obliku jednokratne </w:t>
      </w:r>
      <w:proofErr w:type="spellStart"/>
      <w:r w:rsidRPr="001D7049">
        <w:rPr>
          <w:sz w:val="22"/>
          <w:szCs w:val="22"/>
          <w:lang w:val="sr-Latn-ME"/>
        </w:rPr>
        <w:t>intravenske</w:t>
      </w:r>
      <w:proofErr w:type="spellEnd"/>
      <w:r w:rsidRPr="001D7049">
        <w:rPr>
          <w:sz w:val="22"/>
          <w:szCs w:val="22"/>
          <w:lang w:val="sr-Latn-ME"/>
        </w:rPr>
        <w:t xml:space="preserve"> doze koju treba završiti unutar 1 sata prije hirurške </w:t>
      </w:r>
      <w:proofErr w:type="spellStart"/>
      <w:r w:rsidRPr="001D7049">
        <w:rPr>
          <w:sz w:val="22"/>
          <w:szCs w:val="22"/>
          <w:lang w:val="sr-Latn-ME"/>
        </w:rPr>
        <w:t>incizije</w:t>
      </w:r>
      <w:proofErr w:type="spellEnd"/>
      <w:r w:rsidRPr="001D7049">
        <w:rPr>
          <w:sz w:val="22"/>
          <w:szCs w:val="22"/>
          <w:lang w:val="sr-Latn-ME"/>
        </w:rPr>
        <w:t xml:space="preserve">. </w:t>
      </w:r>
    </w:p>
    <w:p w14:paraId="09624EAB" w14:textId="77777777" w:rsidR="00380837" w:rsidRPr="001D7049" w:rsidRDefault="0038083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14:paraId="1B70B9A2" w14:textId="77777777" w:rsidR="00380837" w:rsidRPr="001D7049" w:rsidRDefault="0038083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i/>
          <w:sz w:val="22"/>
          <w:szCs w:val="22"/>
          <w:lang w:val="sr-Latn-ME"/>
        </w:rPr>
        <w:t>Pedijatrijska populacija</w:t>
      </w:r>
      <w:r w:rsidRPr="001D7049">
        <w:rPr>
          <w:sz w:val="22"/>
          <w:szCs w:val="22"/>
          <w:lang w:val="sr-Latn-ME"/>
        </w:rPr>
        <w:t xml:space="preserve"> </w:t>
      </w:r>
    </w:p>
    <w:p w14:paraId="4E8E4894" w14:textId="7E943E83" w:rsidR="00380837" w:rsidRPr="001D7049" w:rsidRDefault="00D9516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>Bezbjedno</w:t>
      </w:r>
      <w:r w:rsidR="00380837" w:rsidRPr="001D7049">
        <w:rPr>
          <w:sz w:val="22"/>
          <w:szCs w:val="22"/>
          <w:lang w:val="sr-Latn-ME"/>
        </w:rPr>
        <w:t xml:space="preserve">st i efikasnost lijeka </w:t>
      </w:r>
      <w:proofErr w:type="spellStart"/>
      <w:r w:rsidR="00380837" w:rsidRPr="001D7049">
        <w:rPr>
          <w:sz w:val="22"/>
          <w:szCs w:val="22"/>
          <w:lang w:val="sr-Latn-ME"/>
        </w:rPr>
        <w:t>Ertapenem</w:t>
      </w:r>
      <w:proofErr w:type="spellEnd"/>
      <w:r w:rsidR="00380837" w:rsidRPr="001D7049">
        <w:rPr>
          <w:sz w:val="22"/>
          <w:szCs w:val="22"/>
          <w:lang w:val="sr-Latn-ME"/>
        </w:rPr>
        <w:t xml:space="preserve"> </w:t>
      </w:r>
      <w:proofErr w:type="spellStart"/>
      <w:r w:rsidR="00380837" w:rsidRPr="001D7049">
        <w:rPr>
          <w:sz w:val="22"/>
          <w:szCs w:val="22"/>
          <w:lang w:val="sr-Latn-ME"/>
        </w:rPr>
        <w:t>AptaPharma</w:t>
      </w:r>
      <w:proofErr w:type="spellEnd"/>
      <w:r w:rsidR="00380837" w:rsidRPr="001D7049">
        <w:rPr>
          <w:sz w:val="22"/>
          <w:szCs w:val="22"/>
          <w:lang w:val="sr-Latn-ME"/>
        </w:rPr>
        <w:t xml:space="preserve"> kod djece uzrasta do 3 mjeseca </w:t>
      </w:r>
      <w:r w:rsidRPr="001D7049">
        <w:rPr>
          <w:sz w:val="22"/>
          <w:szCs w:val="22"/>
          <w:lang w:val="sr-Latn-ME"/>
        </w:rPr>
        <w:t>nijesu</w:t>
      </w:r>
      <w:r w:rsidR="00380837" w:rsidRPr="001D7049">
        <w:rPr>
          <w:sz w:val="22"/>
          <w:szCs w:val="22"/>
          <w:lang w:val="sr-Latn-ME"/>
        </w:rPr>
        <w:t xml:space="preserve"> još ustanovljene. Nema dostupnih podataka. </w:t>
      </w:r>
    </w:p>
    <w:p w14:paraId="43832F9B" w14:textId="77777777" w:rsidR="00380837" w:rsidRPr="001D7049" w:rsidRDefault="0038083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AC61EFC" w14:textId="77777777" w:rsidR="00380837" w:rsidRPr="001D7049" w:rsidRDefault="0038083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1D7049">
        <w:rPr>
          <w:i/>
          <w:sz w:val="22"/>
          <w:szCs w:val="22"/>
          <w:lang w:val="sr-Latn-ME"/>
        </w:rPr>
        <w:t xml:space="preserve">Oštećenje funkcije bubrega </w:t>
      </w:r>
    </w:p>
    <w:p w14:paraId="3D9F5C93" w14:textId="429B8573" w:rsidR="00380837" w:rsidRPr="001D7049" w:rsidRDefault="0038083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Lijek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AptaPharma</w:t>
      </w:r>
      <w:proofErr w:type="spellEnd"/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se može primjenjivati za terapiju kod odraslih pacijenata sa blagim do umjerenim oštećenjem funkcije bubrega. Kod pacijenata čiji je </w:t>
      </w:r>
      <w:proofErr w:type="spellStart"/>
      <w:r w:rsidRPr="001D7049">
        <w:rPr>
          <w:sz w:val="22"/>
          <w:szCs w:val="22"/>
          <w:lang w:val="sr-Latn-ME"/>
        </w:rPr>
        <w:t>klirens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kreatinina</w:t>
      </w:r>
      <w:proofErr w:type="spellEnd"/>
      <w:r w:rsidRPr="001D7049">
        <w:rPr>
          <w:sz w:val="22"/>
          <w:szCs w:val="22"/>
          <w:lang w:val="sr-Latn-ME"/>
        </w:rPr>
        <w:t xml:space="preserve"> &gt; 30 m</w:t>
      </w:r>
      <w:r w:rsidR="00A462CA" w:rsidRPr="001D7049">
        <w:rPr>
          <w:sz w:val="22"/>
          <w:szCs w:val="22"/>
          <w:lang w:val="sr-Latn-ME"/>
        </w:rPr>
        <w:t>l/</w:t>
      </w:r>
      <w:r w:rsidRPr="001D7049">
        <w:rPr>
          <w:sz w:val="22"/>
          <w:szCs w:val="22"/>
          <w:lang w:val="sr-Latn-ME"/>
        </w:rPr>
        <w:t>min/1,73 m</w:t>
      </w:r>
      <w:r w:rsidRPr="001D7049">
        <w:rPr>
          <w:sz w:val="22"/>
          <w:szCs w:val="22"/>
          <w:vertAlign w:val="superscript"/>
          <w:lang w:val="sr-Latn-ME"/>
        </w:rPr>
        <w:t>2</w:t>
      </w:r>
      <w:r w:rsidRPr="001D7049">
        <w:rPr>
          <w:sz w:val="22"/>
          <w:szCs w:val="22"/>
          <w:lang w:val="sr-Latn-ME"/>
        </w:rPr>
        <w:t xml:space="preserve"> nije potrebno prilagođavati dozu. Nema dovoljno podataka o </w:t>
      </w:r>
      <w:r w:rsidR="00D95164" w:rsidRPr="001D7049">
        <w:rPr>
          <w:sz w:val="22"/>
          <w:szCs w:val="22"/>
          <w:lang w:val="sr-Latn-ME"/>
        </w:rPr>
        <w:t>bezbjedno</w:t>
      </w:r>
      <w:r w:rsidRPr="001D7049">
        <w:rPr>
          <w:sz w:val="22"/>
          <w:szCs w:val="22"/>
          <w:lang w:val="sr-Latn-ME"/>
        </w:rPr>
        <w:t xml:space="preserve">sti i efikasnosti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kod pacijenata sa teškim oštećenjem funkcije bubrega da bi mogle da se ustanove preporuke za doziranje. Zbog toga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ne treba davati ovim pacijentima (vidjeti dio 5.2). Nema dostupnih podataka o </w:t>
      </w:r>
      <w:proofErr w:type="spellStart"/>
      <w:r w:rsidRPr="001D7049">
        <w:rPr>
          <w:sz w:val="22"/>
          <w:szCs w:val="22"/>
          <w:lang w:val="sr-Latn-ME"/>
        </w:rPr>
        <w:t>primeni</w:t>
      </w:r>
      <w:proofErr w:type="spellEnd"/>
      <w:r w:rsidRPr="001D7049">
        <w:rPr>
          <w:sz w:val="22"/>
          <w:szCs w:val="22"/>
          <w:lang w:val="sr-Latn-ME"/>
        </w:rPr>
        <w:t xml:space="preserve"> lijeka kod djece i adolescenata sa </w:t>
      </w:r>
      <w:proofErr w:type="spellStart"/>
      <w:r w:rsidRPr="001D7049">
        <w:rPr>
          <w:sz w:val="22"/>
          <w:szCs w:val="22"/>
          <w:lang w:val="sr-Latn-ME"/>
        </w:rPr>
        <w:t>ošećenjem</w:t>
      </w:r>
      <w:proofErr w:type="spellEnd"/>
      <w:r w:rsidRPr="001D7049">
        <w:rPr>
          <w:sz w:val="22"/>
          <w:szCs w:val="22"/>
          <w:lang w:val="sr-Latn-ME"/>
        </w:rPr>
        <w:t xml:space="preserve"> funkcije bubrega. </w:t>
      </w:r>
    </w:p>
    <w:p w14:paraId="25AF41A1" w14:textId="77777777" w:rsidR="00380837" w:rsidRPr="001D7049" w:rsidRDefault="0038083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F75893D" w14:textId="77777777" w:rsidR="00380837" w:rsidRPr="001D7049" w:rsidRDefault="0038083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1D7049">
        <w:rPr>
          <w:i/>
          <w:sz w:val="22"/>
          <w:szCs w:val="22"/>
          <w:lang w:val="sr-Latn-ME"/>
        </w:rPr>
        <w:t xml:space="preserve">Pacijenti na </w:t>
      </w:r>
      <w:proofErr w:type="spellStart"/>
      <w:r w:rsidRPr="001D7049">
        <w:rPr>
          <w:i/>
          <w:sz w:val="22"/>
          <w:szCs w:val="22"/>
          <w:lang w:val="sr-Latn-ME"/>
        </w:rPr>
        <w:t>hemodijalizi</w:t>
      </w:r>
      <w:proofErr w:type="spellEnd"/>
      <w:r w:rsidRPr="001D7049">
        <w:rPr>
          <w:i/>
          <w:sz w:val="22"/>
          <w:szCs w:val="22"/>
          <w:lang w:val="sr-Latn-ME"/>
        </w:rPr>
        <w:t xml:space="preserve"> </w:t>
      </w:r>
    </w:p>
    <w:p w14:paraId="6B1EDB80" w14:textId="635B5BFA" w:rsidR="00380837" w:rsidRPr="001D7049" w:rsidRDefault="0038083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Nema dovoljno podataka o </w:t>
      </w:r>
      <w:r w:rsidR="00D95164" w:rsidRPr="001D7049">
        <w:rPr>
          <w:sz w:val="22"/>
          <w:szCs w:val="22"/>
          <w:lang w:val="sr-Latn-ME"/>
        </w:rPr>
        <w:t>bezbjedno</w:t>
      </w:r>
      <w:r w:rsidRPr="001D7049">
        <w:rPr>
          <w:sz w:val="22"/>
          <w:szCs w:val="22"/>
          <w:lang w:val="sr-Latn-ME"/>
        </w:rPr>
        <w:t xml:space="preserve">sti i efikasnosti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kod pacijenata koji su na </w:t>
      </w:r>
      <w:proofErr w:type="spellStart"/>
      <w:r w:rsidRPr="001D7049">
        <w:rPr>
          <w:sz w:val="22"/>
          <w:szCs w:val="22"/>
          <w:lang w:val="sr-Latn-ME"/>
        </w:rPr>
        <w:t>hemodijalizi</w:t>
      </w:r>
      <w:proofErr w:type="spellEnd"/>
      <w:r w:rsidRPr="001D7049">
        <w:rPr>
          <w:sz w:val="22"/>
          <w:szCs w:val="22"/>
          <w:lang w:val="sr-Latn-ME"/>
        </w:rPr>
        <w:t xml:space="preserve"> da bi mogle da se ustanove preporuke za doziranje. Zbog toga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ne treba davati ovim pacijentima. </w:t>
      </w:r>
    </w:p>
    <w:p w14:paraId="19D79E63" w14:textId="77777777" w:rsidR="00380837" w:rsidRPr="001D7049" w:rsidRDefault="0038083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FE3EA31" w14:textId="77777777" w:rsidR="00380837" w:rsidRPr="001D7049" w:rsidRDefault="0038083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1D7049">
        <w:rPr>
          <w:i/>
          <w:sz w:val="22"/>
          <w:szCs w:val="22"/>
          <w:lang w:val="sr-Latn-ME"/>
        </w:rPr>
        <w:t xml:space="preserve">Oštećenje funkcije jetre </w:t>
      </w:r>
    </w:p>
    <w:p w14:paraId="0DD516EE" w14:textId="42E45F6F" w:rsidR="00380837" w:rsidRPr="001D7049" w:rsidRDefault="0038083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>Ne preporučuje se prilagođavanje doze kod pacijenata sa oštećenjem funkcije jetre (vidjeti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dio 5.2). </w:t>
      </w:r>
    </w:p>
    <w:p w14:paraId="40C97B9C" w14:textId="77777777" w:rsidR="00380837" w:rsidRPr="001D7049" w:rsidRDefault="0038083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B7E7168" w14:textId="77777777" w:rsidR="00380837" w:rsidRPr="001D7049" w:rsidRDefault="00380837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1D7049">
        <w:rPr>
          <w:i/>
          <w:iCs/>
          <w:sz w:val="22"/>
          <w:szCs w:val="22"/>
          <w:lang w:val="sr-Latn-ME"/>
        </w:rPr>
        <w:t xml:space="preserve">Stariji pacijenti </w:t>
      </w:r>
    </w:p>
    <w:p w14:paraId="659C5CC6" w14:textId="4E2E0874" w:rsidR="00380837" w:rsidRPr="001D7049" w:rsidRDefault="0038083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Starijim pacijentima treba dati preporučenu dozu lijeka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AptaPharma</w:t>
      </w:r>
      <w:proofErr w:type="spellEnd"/>
      <w:r w:rsidRPr="001D7049">
        <w:rPr>
          <w:sz w:val="22"/>
          <w:szCs w:val="22"/>
          <w:lang w:val="sr-Latn-ME"/>
        </w:rPr>
        <w:t>, osim u slučajevima teškog oštećenja funkcije bubrega (vidjeti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dio </w:t>
      </w:r>
      <w:r w:rsidRPr="001D7049">
        <w:rPr>
          <w:i/>
          <w:sz w:val="22"/>
          <w:szCs w:val="22"/>
          <w:lang w:val="sr-Latn-ME"/>
        </w:rPr>
        <w:t>Oštećenje funkcije bubrega</w:t>
      </w:r>
      <w:r w:rsidRPr="001D7049">
        <w:rPr>
          <w:sz w:val="22"/>
          <w:szCs w:val="22"/>
          <w:lang w:val="sr-Latn-ME"/>
        </w:rPr>
        <w:t xml:space="preserve">). </w:t>
      </w:r>
    </w:p>
    <w:p w14:paraId="7956C529" w14:textId="77777777" w:rsidR="00452E9D" w:rsidRPr="001D7049" w:rsidRDefault="00452E9D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0D6A850" w14:textId="440043EF" w:rsidR="00452E9D" w:rsidRPr="001D7049" w:rsidRDefault="00452E9D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D7049">
        <w:rPr>
          <w:bCs/>
          <w:sz w:val="22"/>
          <w:szCs w:val="22"/>
          <w:u w:val="single"/>
          <w:lang w:val="sr-Latn-ME"/>
        </w:rPr>
        <w:t>Način primjene</w:t>
      </w:r>
    </w:p>
    <w:p w14:paraId="593B0269" w14:textId="77777777" w:rsidR="00380837" w:rsidRPr="001D7049" w:rsidRDefault="00380837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BC63C49" w14:textId="237379FA" w:rsidR="00380837" w:rsidRPr="001D7049" w:rsidRDefault="00380837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1D7049">
        <w:rPr>
          <w:bCs/>
          <w:i/>
          <w:sz w:val="22"/>
          <w:szCs w:val="22"/>
          <w:lang w:val="sr-Latn-ME"/>
        </w:rPr>
        <w:t>Intravenska</w:t>
      </w:r>
      <w:proofErr w:type="spellEnd"/>
      <w:r w:rsidRPr="001D7049">
        <w:rPr>
          <w:bCs/>
          <w:i/>
          <w:sz w:val="22"/>
          <w:szCs w:val="22"/>
          <w:lang w:val="sr-Latn-ME"/>
        </w:rPr>
        <w:t xml:space="preserve"> primjena</w:t>
      </w:r>
      <w:r w:rsidRPr="001D7049">
        <w:rPr>
          <w:bCs/>
          <w:sz w:val="22"/>
          <w:szCs w:val="22"/>
          <w:lang w:val="sr-Latn-ME"/>
        </w:rPr>
        <w:t xml:space="preserve">: lijek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AptaPharma</w:t>
      </w:r>
      <w:proofErr w:type="spellEnd"/>
      <w:r w:rsidRPr="001D7049">
        <w:rPr>
          <w:bCs/>
          <w:sz w:val="22"/>
          <w:szCs w:val="22"/>
          <w:lang w:val="sr-Latn-ME"/>
        </w:rPr>
        <w:t xml:space="preserve"> se primjenjuje putem </w:t>
      </w:r>
      <w:proofErr w:type="spellStart"/>
      <w:r w:rsidRPr="001D7049">
        <w:rPr>
          <w:bCs/>
          <w:sz w:val="22"/>
          <w:szCs w:val="22"/>
          <w:lang w:val="sr-Latn-ME"/>
        </w:rPr>
        <w:t>intravenske</w:t>
      </w:r>
      <w:proofErr w:type="spellEnd"/>
      <w:r w:rsidRPr="001D7049">
        <w:rPr>
          <w:bCs/>
          <w:sz w:val="22"/>
          <w:szCs w:val="22"/>
          <w:lang w:val="sr-Latn-ME"/>
        </w:rPr>
        <w:t xml:space="preserve"> infuzije u trajanju od 30 minuta. </w:t>
      </w:r>
    </w:p>
    <w:p w14:paraId="201B4330" w14:textId="77777777" w:rsidR="00D95164" w:rsidRPr="001D7049" w:rsidRDefault="00D95164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D5EA1F" w14:textId="6EC79222" w:rsidR="00380837" w:rsidRPr="001D7049" w:rsidRDefault="00380837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Terapija lijekom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AptaPharma</w:t>
      </w:r>
      <w:proofErr w:type="spellEnd"/>
      <w:r w:rsidRPr="001D7049">
        <w:rPr>
          <w:bCs/>
          <w:sz w:val="22"/>
          <w:szCs w:val="22"/>
          <w:lang w:val="sr-Latn-ME"/>
        </w:rPr>
        <w:t xml:space="preserve"> obično traje od 3 do 14 dana, ali može da varira u zavisnosti od vrste i težine infekcije, kao i od uzročnog patogena. Kada je to klinički </w:t>
      </w:r>
      <w:proofErr w:type="spellStart"/>
      <w:r w:rsidRPr="001D7049">
        <w:rPr>
          <w:bCs/>
          <w:sz w:val="22"/>
          <w:szCs w:val="22"/>
          <w:lang w:val="sr-Latn-ME"/>
        </w:rPr>
        <w:t>indikovano</w:t>
      </w:r>
      <w:proofErr w:type="spellEnd"/>
      <w:r w:rsidRPr="001D7049">
        <w:rPr>
          <w:bCs/>
          <w:sz w:val="22"/>
          <w:szCs w:val="22"/>
          <w:lang w:val="sr-Latn-ME"/>
        </w:rPr>
        <w:t xml:space="preserve">, moguć je prelazak na terapiju odgovarajućim oralnim antibiotikom ukoliko se uoči kliničko poboljšanje. </w:t>
      </w:r>
    </w:p>
    <w:p w14:paraId="793E1C42" w14:textId="77777777" w:rsidR="002160AF" w:rsidRPr="001D7049" w:rsidRDefault="002160AF" w:rsidP="007006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7E5059" w14:textId="77777777" w:rsidR="00D95164" w:rsidRPr="001D7049" w:rsidRDefault="0038083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Boja rastvora lijeka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AptaPharma</w:t>
      </w:r>
      <w:proofErr w:type="spellEnd"/>
      <w:r w:rsidRPr="001D7049">
        <w:rPr>
          <w:bCs/>
          <w:sz w:val="22"/>
          <w:szCs w:val="22"/>
          <w:lang w:val="sr-Latn-ME"/>
        </w:rPr>
        <w:t xml:space="preserve"> može da varira od bezbojne do svijetlo žute. </w:t>
      </w:r>
    </w:p>
    <w:p w14:paraId="0F0393F7" w14:textId="57072FE4" w:rsidR="00380837" w:rsidRPr="001D7049" w:rsidRDefault="0038083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Za uputstvo o pripremi </w:t>
      </w:r>
      <w:r w:rsidR="00700694" w:rsidRPr="001D7049">
        <w:rPr>
          <w:bCs/>
          <w:sz w:val="22"/>
          <w:szCs w:val="22"/>
          <w:lang w:val="sr-Latn-ME"/>
        </w:rPr>
        <w:t>li</w:t>
      </w:r>
      <w:r w:rsidR="001558F2" w:rsidRPr="001D7049">
        <w:rPr>
          <w:bCs/>
          <w:sz w:val="22"/>
          <w:szCs w:val="22"/>
          <w:lang w:val="sr-Latn-ME"/>
        </w:rPr>
        <w:t>jeka</w:t>
      </w:r>
      <w:r w:rsidRPr="001D7049">
        <w:rPr>
          <w:bCs/>
          <w:sz w:val="22"/>
          <w:szCs w:val="22"/>
          <w:lang w:val="sr-Latn-ME"/>
        </w:rPr>
        <w:t xml:space="preserve"> prije primjene, </w:t>
      </w:r>
      <w:r w:rsidR="002160AF" w:rsidRPr="001D7049">
        <w:rPr>
          <w:bCs/>
          <w:sz w:val="22"/>
          <w:szCs w:val="22"/>
          <w:lang w:val="sr-Latn-ME"/>
        </w:rPr>
        <w:t>vidjeti dio</w:t>
      </w:r>
      <w:r w:rsidRPr="001D7049">
        <w:rPr>
          <w:bCs/>
          <w:sz w:val="22"/>
          <w:szCs w:val="22"/>
          <w:lang w:val="sr-Latn-ME"/>
        </w:rPr>
        <w:t xml:space="preserve"> 6.6.</w:t>
      </w:r>
    </w:p>
    <w:p w14:paraId="1603C6A1" w14:textId="77777777" w:rsidR="00452E9D" w:rsidRPr="001D7049" w:rsidRDefault="00452E9D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E7BF7E" w14:textId="44E9D688" w:rsidR="00411B4B" w:rsidRPr="001D7049" w:rsidRDefault="00411B4B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4.3.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proofErr w:type="spellStart"/>
      <w:r w:rsidRPr="001D7049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59D80588" w14:textId="77777777" w:rsidR="002160AF" w:rsidRPr="001D7049" w:rsidRDefault="002160AF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F33AE8A" w14:textId="3BE7A3C4" w:rsidR="002160AF" w:rsidRPr="001D7049" w:rsidRDefault="002160AF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•</w:t>
      </w:r>
      <w:r w:rsidRPr="001D7049">
        <w:rPr>
          <w:bCs/>
          <w:sz w:val="22"/>
          <w:szCs w:val="22"/>
          <w:lang w:val="sr-Latn-ME"/>
        </w:rPr>
        <w:tab/>
        <w:t>Preosjetljivost na aktivnu supstancu ili na bilo koju od pomoćnih supstanci navedenih u dijelu 6.1.</w:t>
      </w:r>
    </w:p>
    <w:p w14:paraId="6CBBA937" w14:textId="17E481FE" w:rsidR="002160AF" w:rsidRPr="001D7049" w:rsidRDefault="002160AF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•</w:t>
      </w:r>
      <w:r w:rsidRPr="001D7049">
        <w:rPr>
          <w:bCs/>
          <w:sz w:val="22"/>
          <w:szCs w:val="22"/>
          <w:lang w:val="sr-Latn-ME"/>
        </w:rPr>
        <w:tab/>
        <w:t xml:space="preserve">Preosjetljivost na bilo koji drugi </w:t>
      </w:r>
      <w:proofErr w:type="spellStart"/>
      <w:r w:rsidRPr="001D7049">
        <w:rPr>
          <w:bCs/>
          <w:sz w:val="22"/>
          <w:szCs w:val="22"/>
          <w:lang w:val="sr-Latn-ME"/>
        </w:rPr>
        <w:t>karbapenemski</w:t>
      </w:r>
      <w:proofErr w:type="spellEnd"/>
      <w:r w:rsidRPr="001D7049">
        <w:rPr>
          <w:bCs/>
          <w:sz w:val="22"/>
          <w:szCs w:val="22"/>
          <w:lang w:val="sr-Latn-ME"/>
        </w:rPr>
        <w:t xml:space="preserve"> antibiotik.</w:t>
      </w:r>
    </w:p>
    <w:p w14:paraId="3AAA16AC" w14:textId="1813F6BE" w:rsidR="0072020E" w:rsidRPr="001D7049" w:rsidRDefault="002160AF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•</w:t>
      </w:r>
      <w:r w:rsidRPr="001D7049">
        <w:rPr>
          <w:bCs/>
          <w:sz w:val="22"/>
          <w:szCs w:val="22"/>
          <w:lang w:val="sr-Latn-ME"/>
        </w:rPr>
        <w:tab/>
        <w:t xml:space="preserve">Težak oblik preosjetljivosti (na primjer </w:t>
      </w:r>
      <w:proofErr w:type="spellStart"/>
      <w:r w:rsidRPr="001D7049">
        <w:rPr>
          <w:bCs/>
          <w:sz w:val="22"/>
          <w:szCs w:val="22"/>
          <w:lang w:val="sr-Latn-ME"/>
        </w:rPr>
        <w:t>anafilaktička</w:t>
      </w:r>
      <w:proofErr w:type="spellEnd"/>
      <w:r w:rsidRPr="001D7049">
        <w:rPr>
          <w:bCs/>
          <w:sz w:val="22"/>
          <w:szCs w:val="22"/>
          <w:lang w:val="sr-Latn-ME"/>
        </w:rPr>
        <w:t xml:space="preserve"> reakcija; teški oblici promjena na koži) na bilo koji drugi beta-</w:t>
      </w:r>
      <w:proofErr w:type="spellStart"/>
      <w:r w:rsidRPr="001D7049">
        <w:rPr>
          <w:bCs/>
          <w:sz w:val="22"/>
          <w:szCs w:val="22"/>
          <w:lang w:val="sr-Latn-ME"/>
        </w:rPr>
        <w:t>laktamski</w:t>
      </w:r>
      <w:proofErr w:type="spellEnd"/>
      <w:r w:rsidRPr="001D7049">
        <w:rPr>
          <w:bCs/>
          <w:sz w:val="22"/>
          <w:szCs w:val="22"/>
          <w:lang w:val="sr-Latn-ME"/>
        </w:rPr>
        <w:t xml:space="preserve"> antibiotik (na primjer na peniciline ili </w:t>
      </w:r>
      <w:proofErr w:type="spellStart"/>
      <w:r w:rsidRPr="001D7049">
        <w:rPr>
          <w:bCs/>
          <w:sz w:val="22"/>
          <w:szCs w:val="22"/>
          <w:lang w:val="sr-Latn-ME"/>
        </w:rPr>
        <w:t>cefalosporine</w:t>
      </w:r>
      <w:proofErr w:type="spellEnd"/>
      <w:r w:rsidRPr="001D7049">
        <w:rPr>
          <w:bCs/>
          <w:sz w:val="22"/>
          <w:szCs w:val="22"/>
          <w:lang w:val="sr-Latn-ME"/>
        </w:rPr>
        <w:t>).</w:t>
      </w:r>
    </w:p>
    <w:p w14:paraId="50ED913E" w14:textId="77777777" w:rsidR="002160AF" w:rsidRPr="001D7049" w:rsidRDefault="002160AF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348C6B" w14:textId="77777777" w:rsidR="00411B4B" w:rsidRPr="001D7049" w:rsidRDefault="00411B4B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4.4.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r w:rsidRPr="001D7049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3CFBA6BC" w14:textId="77777777" w:rsidR="0072020E" w:rsidRPr="001D7049" w:rsidRDefault="0072020E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FFDD17" w14:textId="77777777" w:rsidR="002160AF" w:rsidRPr="001D7049" w:rsidRDefault="002160AF" w:rsidP="00D95164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1D7049">
        <w:rPr>
          <w:bCs/>
          <w:i/>
          <w:sz w:val="22"/>
          <w:szCs w:val="22"/>
          <w:lang w:val="sr-Latn-ME"/>
        </w:rPr>
        <w:t xml:space="preserve">Preosjetljivost </w:t>
      </w:r>
    </w:p>
    <w:p w14:paraId="33D17B45" w14:textId="77777777" w:rsidR="002160AF" w:rsidRPr="001D7049" w:rsidRDefault="002160AF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Kod pacijenata na terapiji beta-</w:t>
      </w:r>
      <w:proofErr w:type="spellStart"/>
      <w:r w:rsidRPr="001D7049">
        <w:rPr>
          <w:bCs/>
          <w:sz w:val="22"/>
          <w:szCs w:val="22"/>
          <w:lang w:val="sr-Latn-ME"/>
        </w:rPr>
        <w:t>laktamskim</w:t>
      </w:r>
      <w:proofErr w:type="spellEnd"/>
      <w:r w:rsidRPr="001D7049">
        <w:rPr>
          <w:bCs/>
          <w:sz w:val="22"/>
          <w:szCs w:val="22"/>
          <w:lang w:val="sr-Latn-ME"/>
        </w:rPr>
        <w:t xml:space="preserve"> antibioticima prijavljene su ozbiljne reakcije preosjetljivosti </w:t>
      </w:r>
    </w:p>
    <w:p w14:paraId="0672DD96" w14:textId="2D00E091" w:rsidR="002160AF" w:rsidRPr="001D7049" w:rsidRDefault="002160AF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(</w:t>
      </w:r>
      <w:proofErr w:type="spellStart"/>
      <w:r w:rsidRPr="001D7049">
        <w:rPr>
          <w:bCs/>
          <w:sz w:val="22"/>
          <w:szCs w:val="22"/>
          <w:lang w:val="sr-Latn-ME"/>
        </w:rPr>
        <w:t>anafilaktičke</w:t>
      </w:r>
      <w:proofErr w:type="spellEnd"/>
      <w:r w:rsidRPr="001D7049">
        <w:rPr>
          <w:bCs/>
          <w:sz w:val="22"/>
          <w:szCs w:val="22"/>
          <w:lang w:val="sr-Latn-ME"/>
        </w:rPr>
        <w:t xml:space="preserve"> reakcije) koje su u nekim slučajevima imale smrtni ishod. Vjerovatnije je da će se ove reakcije ispoljiti kod pacijenata kod kojih u anamnezi postoji os</w:t>
      </w:r>
      <w:r w:rsidR="009D4CA4" w:rsidRPr="001D7049">
        <w:rPr>
          <w:bCs/>
          <w:sz w:val="22"/>
          <w:szCs w:val="22"/>
          <w:lang w:val="sr-Latn-ME"/>
        </w:rPr>
        <w:t>j</w:t>
      </w:r>
      <w:r w:rsidRPr="001D7049">
        <w:rPr>
          <w:bCs/>
          <w:sz w:val="22"/>
          <w:szCs w:val="22"/>
          <w:lang w:val="sr-Latn-ME"/>
        </w:rPr>
        <w:t xml:space="preserve">etljivost na više </w:t>
      </w:r>
      <w:proofErr w:type="spellStart"/>
      <w:r w:rsidRPr="001D7049">
        <w:rPr>
          <w:bCs/>
          <w:sz w:val="22"/>
          <w:szCs w:val="22"/>
          <w:lang w:val="sr-Latn-ME"/>
        </w:rPr>
        <w:t>alergena</w:t>
      </w:r>
      <w:proofErr w:type="spellEnd"/>
      <w:r w:rsidRPr="001D7049">
        <w:rPr>
          <w:bCs/>
          <w:sz w:val="22"/>
          <w:szCs w:val="22"/>
          <w:lang w:val="sr-Latn-ME"/>
        </w:rPr>
        <w:t xml:space="preserve">. Prije započinjanja terapije </w:t>
      </w:r>
      <w:proofErr w:type="spellStart"/>
      <w:r w:rsidRPr="001D7049">
        <w:rPr>
          <w:bCs/>
          <w:sz w:val="22"/>
          <w:szCs w:val="22"/>
          <w:lang w:val="sr-Latn-ME"/>
        </w:rPr>
        <w:t>ertapenemom</w:t>
      </w:r>
      <w:proofErr w:type="spellEnd"/>
      <w:r w:rsidRPr="001D7049">
        <w:rPr>
          <w:bCs/>
          <w:sz w:val="22"/>
          <w:szCs w:val="22"/>
          <w:lang w:val="sr-Latn-ME"/>
        </w:rPr>
        <w:t xml:space="preserve"> potrebno je pažljivo ispitati pacijente o prethodnim reakcijama preosjetljivosti koje su imali na peniciline, </w:t>
      </w:r>
      <w:proofErr w:type="spellStart"/>
      <w:r w:rsidRPr="001D7049">
        <w:rPr>
          <w:bCs/>
          <w:sz w:val="22"/>
          <w:szCs w:val="22"/>
          <w:lang w:val="sr-Latn-ME"/>
        </w:rPr>
        <w:t>cefalosporine</w:t>
      </w:r>
      <w:proofErr w:type="spellEnd"/>
      <w:r w:rsidRPr="001D7049">
        <w:rPr>
          <w:bCs/>
          <w:sz w:val="22"/>
          <w:szCs w:val="22"/>
          <w:lang w:val="sr-Latn-ME"/>
        </w:rPr>
        <w:t xml:space="preserve">, druge </w:t>
      </w:r>
      <w:proofErr w:type="spellStart"/>
      <w:r w:rsidRPr="001D7049">
        <w:rPr>
          <w:bCs/>
          <w:sz w:val="22"/>
          <w:szCs w:val="22"/>
          <w:lang w:val="sr-Latn-ME"/>
        </w:rPr>
        <w:t>betalaktame</w:t>
      </w:r>
      <w:proofErr w:type="spellEnd"/>
      <w:r w:rsidRPr="001D7049">
        <w:rPr>
          <w:bCs/>
          <w:sz w:val="22"/>
          <w:szCs w:val="22"/>
          <w:lang w:val="sr-Latn-ME"/>
        </w:rPr>
        <w:t xml:space="preserve"> i druge </w:t>
      </w:r>
      <w:proofErr w:type="spellStart"/>
      <w:r w:rsidRPr="001D7049">
        <w:rPr>
          <w:bCs/>
          <w:sz w:val="22"/>
          <w:szCs w:val="22"/>
          <w:lang w:val="sr-Latn-ME"/>
        </w:rPr>
        <w:t>alergene</w:t>
      </w:r>
      <w:proofErr w:type="spellEnd"/>
      <w:r w:rsidRPr="001D7049">
        <w:rPr>
          <w:bCs/>
          <w:sz w:val="22"/>
          <w:szCs w:val="22"/>
          <w:lang w:val="sr-Latn-ME"/>
        </w:rPr>
        <w:t xml:space="preserve"> (vidjeti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dio 4.3). Ukoliko dođe do pojave alergijske reakcije na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(vidjeti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dio 4.8), odmah treba </w:t>
      </w:r>
      <w:r w:rsidRPr="001D7049">
        <w:rPr>
          <w:bCs/>
          <w:sz w:val="22"/>
          <w:szCs w:val="22"/>
          <w:lang w:val="sr-Latn-ME"/>
        </w:rPr>
        <w:lastRenderedPageBreak/>
        <w:t xml:space="preserve">prekinuti terapiju. </w:t>
      </w:r>
      <w:r w:rsidRPr="001D7049">
        <w:rPr>
          <w:b/>
          <w:bCs/>
          <w:sz w:val="22"/>
          <w:szCs w:val="22"/>
          <w:lang w:val="sr-Latn-ME"/>
        </w:rPr>
        <w:t xml:space="preserve">Ozbiljne </w:t>
      </w:r>
      <w:proofErr w:type="spellStart"/>
      <w:r w:rsidRPr="001D7049">
        <w:rPr>
          <w:b/>
          <w:bCs/>
          <w:sz w:val="22"/>
          <w:szCs w:val="22"/>
          <w:lang w:val="sr-Latn-ME"/>
        </w:rPr>
        <w:t>anafilaktičke</w:t>
      </w:r>
      <w:proofErr w:type="spellEnd"/>
      <w:r w:rsidRPr="001D7049">
        <w:rPr>
          <w:b/>
          <w:bCs/>
          <w:sz w:val="22"/>
          <w:szCs w:val="22"/>
          <w:lang w:val="sr-Latn-ME"/>
        </w:rPr>
        <w:t xml:space="preserve"> reakcije zaht</w:t>
      </w:r>
      <w:r w:rsidR="009D4CA4" w:rsidRPr="001D7049">
        <w:rPr>
          <w:b/>
          <w:bCs/>
          <w:sz w:val="22"/>
          <w:szCs w:val="22"/>
          <w:lang w:val="sr-Latn-ME"/>
        </w:rPr>
        <w:t>ij</w:t>
      </w:r>
      <w:r w:rsidRPr="001D7049">
        <w:rPr>
          <w:b/>
          <w:bCs/>
          <w:sz w:val="22"/>
          <w:szCs w:val="22"/>
          <w:lang w:val="sr-Latn-ME"/>
        </w:rPr>
        <w:t>evaju preduzimanje hitnih medicinskih mjera</w:t>
      </w:r>
      <w:r w:rsidRPr="001D7049">
        <w:rPr>
          <w:bCs/>
          <w:sz w:val="22"/>
          <w:szCs w:val="22"/>
          <w:lang w:val="sr-Latn-ME"/>
        </w:rPr>
        <w:t>.</w:t>
      </w:r>
    </w:p>
    <w:p w14:paraId="7FAB7CF5" w14:textId="77777777" w:rsidR="002160AF" w:rsidRPr="001D7049" w:rsidRDefault="002160AF" w:rsidP="007006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E5CF6B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1D7049">
        <w:rPr>
          <w:bCs/>
          <w:i/>
          <w:sz w:val="22"/>
          <w:szCs w:val="22"/>
          <w:lang w:val="sr-Latn-ME"/>
        </w:rPr>
        <w:t>Superinfekcija</w:t>
      </w:r>
      <w:proofErr w:type="spellEnd"/>
    </w:p>
    <w:p w14:paraId="7FBF1E7A" w14:textId="2F686F4A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Kao i kod drugih antibiotika, produžena upotreba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može dovesti do prekomjernog rast</w:t>
      </w:r>
      <w:r w:rsidR="009D4CA4" w:rsidRPr="001D7049">
        <w:rPr>
          <w:bCs/>
          <w:sz w:val="22"/>
          <w:szCs w:val="22"/>
          <w:lang w:val="sr-Latn-ME"/>
        </w:rPr>
        <w:t xml:space="preserve">a  </w:t>
      </w:r>
      <w:r w:rsidRPr="001D7049">
        <w:rPr>
          <w:bCs/>
          <w:sz w:val="22"/>
          <w:szCs w:val="22"/>
          <w:lang w:val="sr-Latn-ME"/>
        </w:rPr>
        <w:t xml:space="preserve">neosjetljivih mikroorganizama. Od izuzetne važnosti je stalno praćenje stanja pacijenta. Ukoliko tokom </w:t>
      </w:r>
    </w:p>
    <w:p w14:paraId="62013856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terapije dođe do pojave </w:t>
      </w:r>
      <w:proofErr w:type="spellStart"/>
      <w:r w:rsidRPr="001D7049">
        <w:rPr>
          <w:bCs/>
          <w:sz w:val="22"/>
          <w:szCs w:val="22"/>
          <w:lang w:val="sr-Latn-ME"/>
        </w:rPr>
        <w:t>superinfekcije</w:t>
      </w:r>
      <w:proofErr w:type="spellEnd"/>
      <w:r w:rsidRPr="001D7049">
        <w:rPr>
          <w:bCs/>
          <w:sz w:val="22"/>
          <w:szCs w:val="22"/>
          <w:lang w:val="sr-Latn-ME"/>
        </w:rPr>
        <w:t>, potrebno je preduzeti odgovarajuće mjere.</w:t>
      </w:r>
    </w:p>
    <w:p w14:paraId="63DB2B8F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A22F180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1D7049">
        <w:rPr>
          <w:bCs/>
          <w:i/>
          <w:sz w:val="22"/>
          <w:szCs w:val="22"/>
          <w:lang w:val="sr-Latn-ME"/>
        </w:rPr>
        <w:t>Kolitis povezan sa primjenom antibiotika</w:t>
      </w:r>
    </w:p>
    <w:p w14:paraId="5997B28F" w14:textId="54822680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Kolitis uzrokovan primjenom antibiotika i </w:t>
      </w:r>
      <w:proofErr w:type="spellStart"/>
      <w:r w:rsidRPr="001D7049">
        <w:rPr>
          <w:bCs/>
          <w:sz w:val="22"/>
          <w:szCs w:val="22"/>
          <w:lang w:val="sr-Latn-ME"/>
        </w:rPr>
        <w:t>pseudomembranozni</w:t>
      </w:r>
      <w:proofErr w:type="spellEnd"/>
      <w:r w:rsidRPr="001D7049">
        <w:rPr>
          <w:bCs/>
          <w:sz w:val="22"/>
          <w:szCs w:val="22"/>
          <w:lang w:val="sr-Latn-ME"/>
        </w:rPr>
        <w:t xml:space="preserve"> kolitis su prim</w:t>
      </w:r>
      <w:r w:rsidR="009D4CA4" w:rsidRPr="001D7049">
        <w:rPr>
          <w:bCs/>
          <w:sz w:val="22"/>
          <w:szCs w:val="22"/>
          <w:lang w:val="sr-Latn-ME"/>
        </w:rPr>
        <w:t>i</w:t>
      </w:r>
      <w:r w:rsidRPr="001D7049">
        <w:rPr>
          <w:bCs/>
          <w:sz w:val="22"/>
          <w:szCs w:val="22"/>
          <w:lang w:val="sr-Latn-ME"/>
        </w:rPr>
        <w:t>jećeni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kod gotovo svih </w:t>
      </w:r>
    </w:p>
    <w:p w14:paraId="2BAA09D7" w14:textId="402F623A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antibiotika, uključujući i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, a mogu da se kreću u opsegu od blagog do životno </w:t>
      </w:r>
      <w:proofErr w:type="spellStart"/>
      <w:r w:rsidRPr="001D7049">
        <w:rPr>
          <w:bCs/>
          <w:sz w:val="22"/>
          <w:szCs w:val="22"/>
          <w:lang w:val="sr-Latn-ME"/>
        </w:rPr>
        <w:t>ugrožavajućeg</w:t>
      </w:r>
      <w:proofErr w:type="spellEnd"/>
      <w:r w:rsidRPr="001D7049">
        <w:rPr>
          <w:bCs/>
          <w:sz w:val="22"/>
          <w:szCs w:val="22"/>
          <w:lang w:val="sr-Latn-ME"/>
        </w:rPr>
        <w:t xml:space="preserve">. Zbog toga je veoma važno uzeti u obzir ovu dijagnozu kod pacijenata kod kojih se pojavi dijareja nakon primjene antibiotika. Treba razmotriti prekid terapije lijekom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AptaPharma</w:t>
      </w:r>
      <w:proofErr w:type="spellEnd"/>
      <w:r w:rsidRPr="001D7049">
        <w:rPr>
          <w:bCs/>
          <w:sz w:val="22"/>
          <w:szCs w:val="22"/>
          <w:lang w:val="sr-Latn-ME"/>
        </w:rPr>
        <w:t xml:space="preserve"> i primjenu ljekova sa specifičnim dejstvom na </w:t>
      </w:r>
      <w:proofErr w:type="spellStart"/>
      <w:r w:rsidRPr="001D7049">
        <w:rPr>
          <w:bCs/>
          <w:i/>
          <w:sz w:val="22"/>
          <w:szCs w:val="22"/>
          <w:lang w:val="sr-Latn-ME"/>
        </w:rPr>
        <w:t>Clostridium</w:t>
      </w:r>
      <w:proofErr w:type="spellEnd"/>
      <w:r w:rsidRPr="001D7049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i/>
          <w:sz w:val="22"/>
          <w:szCs w:val="22"/>
          <w:lang w:val="sr-Latn-ME"/>
        </w:rPr>
        <w:t>difficile</w:t>
      </w:r>
      <w:proofErr w:type="spellEnd"/>
      <w:r w:rsidRPr="001D7049">
        <w:rPr>
          <w:bCs/>
          <w:sz w:val="22"/>
          <w:szCs w:val="22"/>
          <w:lang w:val="sr-Latn-ME"/>
        </w:rPr>
        <w:t xml:space="preserve">. Ne smiju se davati ljekovi koji inhibiraju </w:t>
      </w:r>
      <w:proofErr w:type="spellStart"/>
      <w:r w:rsidRPr="001D7049">
        <w:rPr>
          <w:bCs/>
          <w:sz w:val="22"/>
          <w:szCs w:val="22"/>
          <w:lang w:val="sr-Latn-ME"/>
        </w:rPr>
        <w:t>peristaltiku</w:t>
      </w:r>
      <w:proofErr w:type="spellEnd"/>
      <w:r w:rsidRPr="001D7049">
        <w:rPr>
          <w:bCs/>
          <w:sz w:val="22"/>
          <w:szCs w:val="22"/>
          <w:lang w:val="sr-Latn-ME"/>
        </w:rPr>
        <w:t>.</w:t>
      </w:r>
    </w:p>
    <w:p w14:paraId="35485A8B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C64D61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1D7049">
        <w:rPr>
          <w:bCs/>
          <w:i/>
          <w:sz w:val="22"/>
          <w:szCs w:val="22"/>
          <w:lang w:val="sr-Latn-ME"/>
        </w:rPr>
        <w:t>Konvulzije</w:t>
      </w:r>
    </w:p>
    <w:p w14:paraId="599355A2" w14:textId="181BBE39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Tokom kliničkih ispitivanja kod odraslih pacijenata koji su primali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(u dozi od 1 g jednom dnevno) zabilježeni su slučajevi konvulzija. Konvulzije su se pojavile tokom same terapije ili tokom 14-dnevnogperioda praćenja. Do konvulzija je uglavnom došlo kod starijih pacijenata, kao i kod pacijenata sa prethodnim poremećajima centralnog nervnog sistema (na primjer </w:t>
      </w:r>
      <w:proofErr w:type="spellStart"/>
      <w:r w:rsidRPr="001D7049">
        <w:rPr>
          <w:bCs/>
          <w:sz w:val="22"/>
          <w:szCs w:val="22"/>
          <w:lang w:val="sr-Latn-ME"/>
        </w:rPr>
        <w:t>lezije</w:t>
      </w:r>
      <w:proofErr w:type="spellEnd"/>
      <w:r w:rsidRPr="001D7049">
        <w:rPr>
          <w:bCs/>
          <w:sz w:val="22"/>
          <w:szCs w:val="22"/>
          <w:lang w:val="sr-Latn-ME"/>
        </w:rPr>
        <w:t xml:space="preserve"> na mozgu ili konvulzije u anamnezi) i/ili kompromitovanom funkcijom bubrega. Slična opažanja </w:t>
      </w:r>
      <w:r w:rsidR="00BF377E" w:rsidRPr="001D7049">
        <w:rPr>
          <w:bCs/>
          <w:sz w:val="22"/>
          <w:szCs w:val="22"/>
          <w:lang w:val="sr-Latn-ME"/>
        </w:rPr>
        <w:t>zabilježena</w:t>
      </w:r>
      <w:r w:rsidRPr="001D7049">
        <w:rPr>
          <w:bCs/>
          <w:sz w:val="22"/>
          <w:szCs w:val="22"/>
          <w:lang w:val="sr-Latn-ME"/>
        </w:rPr>
        <w:t xml:space="preserve"> su i nakon stavljanja lijeka u promet.</w:t>
      </w:r>
    </w:p>
    <w:p w14:paraId="04490810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C709FC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1D7049">
        <w:rPr>
          <w:bCs/>
          <w:i/>
          <w:sz w:val="22"/>
          <w:szCs w:val="22"/>
          <w:lang w:val="sr-Latn-ME"/>
        </w:rPr>
        <w:t xml:space="preserve">Istovremena primjena sa </w:t>
      </w:r>
      <w:proofErr w:type="spellStart"/>
      <w:r w:rsidRPr="001D7049">
        <w:rPr>
          <w:bCs/>
          <w:i/>
          <w:sz w:val="22"/>
          <w:szCs w:val="22"/>
          <w:lang w:val="sr-Latn-ME"/>
        </w:rPr>
        <w:t>valproinskom</w:t>
      </w:r>
      <w:proofErr w:type="spellEnd"/>
      <w:r w:rsidRPr="001D7049">
        <w:rPr>
          <w:bCs/>
          <w:i/>
          <w:sz w:val="22"/>
          <w:szCs w:val="22"/>
          <w:lang w:val="sr-Latn-ME"/>
        </w:rPr>
        <w:t xml:space="preserve"> kiselinom</w:t>
      </w:r>
    </w:p>
    <w:p w14:paraId="6ED6B68D" w14:textId="200BD451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Istovremena primjena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i </w:t>
      </w:r>
      <w:proofErr w:type="spellStart"/>
      <w:r w:rsidRPr="001D7049">
        <w:rPr>
          <w:bCs/>
          <w:sz w:val="22"/>
          <w:szCs w:val="22"/>
          <w:lang w:val="sr-Latn-ME"/>
        </w:rPr>
        <w:t>valproinske</w:t>
      </w:r>
      <w:proofErr w:type="spellEnd"/>
      <w:r w:rsidRPr="001D7049">
        <w:rPr>
          <w:bCs/>
          <w:sz w:val="22"/>
          <w:szCs w:val="22"/>
          <w:lang w:val="sr-Latn-ME"/>
        </w:rPr>
        <w:t xml:space="preserve"> kiseline/natrijum </w:t>
      </w:r>
      <w:proofErr w:type="spellStart"/>
      <w:r w:rsidRPr="001D7049">
        <w:rPr>
          <w:bCs/>
          <w:sz w:val="22"/>
          <w:szCs w:val="22"/>
          <w:lang w:val="sr-Latn-ME"/>
        </w:rPr>
        <w:t>valproata</w:t>
      </w:r>
      <w:proofErr w:type="spellEnd"/>
      <w:r w:rsidRPr="001D7049">
        <w:rPr>
          <w:bCs/>
          <w:sz w:val="22"/>
          <w:szCs w:val="22"/>
          <w:lang w:val="sr-Latn-ME"/>
        </w:rPr>
        <w:t xml:space="preserve"> se ne preporučuje (vidjeti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>dio 4.5).</w:t>
      </w:r>
    </w:p>
    <w:p w14:paraId="3E262D4B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A4752E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1D7049">
        <w:rPr>
          <w:bCs/>
          <w:i/>
          <w:sz w:val="22"/>
          <w:szCs w:val="22"/>
          <w:lang w:val="sr-Latn-ME"/>
        </w:rPr>
        <w:t>Suboptimalna</w:t>
      </w:r>
      <w:proofErr w:type="spellEnd"/>
      <w:r w:rsidRPr="001D7049">
        <w:rPr>
          <w:bCs/>
          <w:i/>
          <w:sz w:val="22"/>
          <w:szCs w:val="22"/>
          <w:lang w:val="sr-Latn-ME"/>
        </w:rPr>
        <w:t xml:space="preserve"> izloženost</w:t>
      </w:r>
    </w:p>
    <w:p w14:paraId="153044DF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Na osnovu raspoloživih podataka ne može se isključiti mogućnost da u rijetkim slučajevima, kod hirurških intervencija koje traju duže od 4 sata, pacijent može biti izložen </w:t>
      </w:r>
      <w:proofErr w:type="spellStart"/>
      <w:r w:rsidRPr="001D7049">
        <w:rPr>
          <w:bCs/>
          <w:sz w:val="22"/>
          <w:szCs w:val="22"/>
          <w:lang w:val="sr-Latn-ME"/>
        </w:rPr>
        <w:t>suboptimalnim</w:t>
      </w:r>
      <w:proofErr w:type="spellEnd"/>
      <w:r w:rsidRPr="001D7049">
        <w:rPr>
          <w:bCs/>
          <w:sz w:val="22"/>
          <w:szCs w:val="22"/>
          <w:lang w:val="sr-Latn-ME"/>
        </w:rPr>
        <w:t xml:space="preserve"> koncentracijama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>, a samim tim i riziku za mogući neuspjeh terapije. Zbog toga je potreban oprez u ovakvim rijetkim slučajevima.</w:t>
      </w:r>
    </w:p>
    <w:p w14:paraId="77CEECB6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5BE9D1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1D7049">
        <w:rPr>
          <w:bCs/>
          <w:i/>
          <w:sz w:val="22"/>
          <w:szCs w:val="22"/>
          <w:lang w:val="sr-Latn-ME"/>
        </w:rPr>
        <w:t>Razmatranja o upotrebi kod određenih populacija</w:t>
      </w:r>
    </w:p>
    <w:p w14:paraId="5925DFC0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Iskustvo o primjeni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u terapiji teških infekcija je ograničeno. U kliničkim studijama, koje su se bavile ispitivanjem terapije vanbolnički stečene pneumonije kod odraslih pacijenata, 25% evaluiranih </w:t>
      </w:r>
    </w:p>
    <w:p w14:paraId="1D05A703" w14:textId="1ED1BAB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pacijenata liječenih </w:t>
      </w:r>
      <w:proofErr w:type="spellStart"/>
      <w:r w:rsidRPr="001D7049">
        <w:rPr>
          <w:bCs/>
          <w:sz w:val="22"/>
          <w:szCs w:val="22"/>
          <w:lang w:val="sr-Latn-ME"/>
        </w:rPr>
        <w:t>ertapenemom</w:t>
      </w:r>
      <w:proofErr w:type="spellEnd"/>
      <w:r w:rsidRPr="001D7049">
        <w:rPr>
          <w:bCs/>
          <w:sz w:val="22"/>
          <w:szCs w:val="22"/>
          <w:lang w:val="sr-Latn-ME"/>
        </w:rPr>
        <w:t xml:space="preserve">, imalo je težak oblik bolesti (definiše se kao indeks težine pneumonije &gt; III). U kliničkom ispitivanju liječenja akutnih ginekoloških infekcija, 26% evaluiranih odraslih </w:t>
      </w:r>
      <w:proofErr w:type="spellStart"/>
      <w:r w:rsidRPr="001D7049">
        <w:rPr>
          <w:bCs/>
          <w:sz w:val="22"/>
          <w:szCs w:val="22"/>
          <w:lang w:val="sr-Latn-ME"/>
        </w:rPr>
        <w:t>pacijentkinja</w:t>
      </w:r>
      <w:proofErr w:type="spellEnd"/>
      <w:r w:rsidRPr="001D7049">
        <w:rPr>
          <w:bCs/>
          <w:sz w:val="22"/>
          <w:szCs w:val="22"/>
          <w:lang w:val="sr-Latn-ME"/>
        </w:rPr>
        <w:t xml:space="preserve"> liječenih </w:t>
      </w:r>
      <w:proofErr w:type="spellStart"/>
      <w:r w:rsidRPr="001D7049">
        <w:rPr>
          <w:bCs/>
          <w:sz w:val="22"/>
          <w:szCs w:val="22"/>
          <w:lang w:val="sr-Latn-ME"/>
        </w:rPr>
        <w:t>ertapenemom</w:t>
      </w:r>
      <w:proofErr w:type="spellEnd"/>
      <w:r w:rsidRPr="001D7049">
        <w:rPr>
          <w:bCs/>
          <w:sz w:val="22"/>
          <w:szCs w:val="22"/>
          <w:lang w:val="sr-Latn-ME"/>
        </w:rPr>
        <w:t xml:space="preserve">, imalo je težak oblik infekcije (što se definiše kao povišena tjelesna temperatura ≥ </w:t>
      </w:r>
      <w:proofErr w:type="spellStart"/>
      <w:r w:rsidRPr="001D7049">
        <w:rPr>
          <w:bCs/>
          <w:sz w:val="22"/>
          <w:szCs w:val="22"/>
          <w:lang w:val="sr-Latn-ME"/>
        </w:rPr>
        <w:t>39</w:t>
      </w:r>
      <w:r w:rsidRPr="001D7049">
        <w:rPr>
          <w:bCs/>
          <w:sz w:val="22"/>
          <w:szCs w:val="22"/>
          <w:vertAlign w:val="superscript"/>
          <w:lang w:val="sr-Latn-ME"/>
        </w:rPr>
        <w:t>o</w:t>
      </w:r>
      <w:r w:rsidRPr="001D7049">
        <w:rPr>
          <w:bCs/>
          <w:sz w:val="22"/>
          <w:szCs w:val="22"/>
          <w:lang w:val="sr-Latn-ME"/>
        </w:rPr>
        <w:t>C</w:t>
      </w:r>
      <w:proofErr w:type="spellEnd"/>
      <w:r w:rsidRPr="001D7049">
        <w:rPr>
          <w:bCs/>
          <w:sz w:val="22"/>
          <w:szCs w:val="22"/>
          <w:lang w:val="sr-Latn-ME"/>
        </w:rPr>
        <w:t xml:space="preserve"> i/ili </w:t>
      </w:r>
      <w:proofErr w:type="spellStart"/>
      <w:r w:rsidRPr="001D7049">
        <w:rPr>
          <w:bCs/>
          <w:sz w:val="22"/>
          <w:szCs w:val="22"/>
          <w:lang w:val="sr-Latn-ME"/>
        </w:rPr>
        <w:t>bakteremija</w:t>
      </w:r>
      <w:proofErr w:type="spellEnd"/>
      <w:r w:rsidRPr="001D7049">
        <w:rPr>
          <w:bCs/>
          <w:sz w:val="22"/>
          <w:szCs w:val="22"/>
          <w:lang w:val="sr-Latn-ME"/>
        </w:rPr>
        <w:t xml:space="preserve">), deset </w:t>
      </w:r>
      <w:proofErr w:type="spellStart"/>
      <w:r w:rsidRPr="001D7049">
        <w:rPr>
          <w:bCs/>
          <w:sz w:val="22"/>
          <w:szCs w:val="22"/>
          <w:lang w:val="sr-Latn-ME"/>
        </w:rPr>
        <w:t>pacijentkinja</w:t>
      </w:r>
      <w:proofErr w:type="spellEnd"/>
      <w:r w:rsidRPr="001D7049">
        <w:rPr>
          <w:bCs/>
          <w:sz w:val="22"/>
          <w:szCs w:val="22"/>
          <w:lang w:val="sr-Latn-ME"/>
        </w:rPr>
        <w:t xml:space="preserve"> je imalo </w:t>
      </w:r>
      <w:proofErr w:type="spellStart"/>
      <w:r w:rsidRPr="001D7049">
        <w:rPr>
          <w:bCs/>
          <w:sz w:val="22"/>
          <w:szCs w:val="22"/>
          <w:lang w:val="sr-Latn-ME"/>
        </w:rPr>
        <w:t>bakteremiju</w:t>
      </w:r>
      <w:proofErr w:type="spellEnd"/>
      <w:r w:rsidRPr="001D7049">
        <w:rPr>
          <w:bCs/>
          <w:sz w:val="22"/>
          <w:szCs w:val="22"/>
          <w:lang w:val="sr-Latn-ME"/>
        </w:rPr>
        <w:t xml:space="preserve">. Među evaluiranim odraslim pacijentima, koji su u jednoj kliničkoj studiji primali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za terapiju </w:t>
      </w:r>
      <w:proofErr w:type="spellStart"/>
      <w:r w:rsidRPr="001D7049">
        <w:rPr>
          <w:bCs/>
          <w:sz w:val="22"/>
          <w:szCs w:val="22"/>
          <w:lang w:val="sr-Latn-ME"/>
        </w:rPr>
        <w:t>intraabdominalnih</w:t>
      </w:r>
      <w:proofErr w:type="spellEnd"/>
      <w:r w:rsidRPr="001D7049">
        <w:rPr>
          <w:bCs/>
          <w:sz w:val="22"/>
          <w:szCs w:val="22"/>
          <w:lang w:val="sr-Latn-ME"/>
        </w:rPr>
        <w:t xml:space="preserve"> infekcija, njih 30% su imali generalizovani </w:t>
      </w:r>
      <w:proofErr w:type="spellStart"/>
      <w:r w:rsidRPr="001D7049">
        <w:rPr>
          <w:bCs/>
          <w:sz w:val="22"/>
          <w:szCs w:val="22"/>
          <w:lang w:val="sr-Latn-ME"/>
        </w:rPr>
        <w:t>peritonitis</w:t>
      </w:r>
      <w:proofErr w:type="spellEnd"/>
      <w:r w:rsidRPr="001D7049">
        <w:rPr>
          <w:bCs/>
          <w:sz w:val="22"/>
          <w:szCs w:val="22"/>
          <w:lang w:val="sr-Latn-ME"/>
        </w:rPr>
        <w:t>, a 39% infekcije drugih organa osim slijepog crijeva, uključujući želudac,</w:t>
      </w:r>
      <w:r w:rsidR="009D4CA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>dvanaestopalačno crijevo, tanko crijevo, debelo crijevo i žučnu kesu.</w:t>
      </w:r>
    </w:p>
    <w:p w14:paraId="7CE4E4E5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Broj evaluiranih pacijenata koji su pri uključivanju u ispitivanje imali rezultat ≥ 15 prema sistemu APACHE II, bio je ograničen, tako da efikasnost kod ovih pacijenata nije utvrđena.</w:t>
      </w:r>
    </w:p>
    <w:p w14:paraId="742E17FB" w14:textId="20777ACB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Efikasnost lijeka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AptaPharma</w:t>
      </w:r>
      <w:proofErr w:type="spellEnd"/>
      <w:r w:rsidR="009D4CA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u terapiji vanbolnički stečene pneumonije uzrokovane penicilin-rezistentnim </w:t>
      </w:r>
      <w:proofErr w:type="spellStart"/>
      <w:r w:rsidRPr="001D7049">
        <w:rPr>
          <w:bCs/>
          <w:i/>
          <w:sz w:val="22"/>
          <w:szCs w:val="22"/>
          <w:lang w:val="sr-Latn-ME"/>
        </w:rPr>
        <w:t>Streptococcus</w:t>
      </w:r>
      <w:proofErr w:type="spellEnd"/>
      <w:r w:rsidRPr="001D7049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i/>
          <w:sz w:val="22"/>
          <w:szCs w:val="22"/>
          <w:lang w:val="sr-Latn-ME"/>
        </w:rPr>
        <w:t>pneumoniae</w:t>
      </w:r>
      <w:proofErr w:type="spellEnd"/>
      <w:r w:rsidRPr="001D7049">
        <w:rPr>
          <w:bCs/>
          <w:sz w:val="22"/>
          <w:szCs w:val="22"/>
          <w:lang w:val="sr-Latn-ME"/>
        </w:rPr>
        <w:t xml:space="preserve"> nije utvrđena.</w:t>
      </w:r>
    </w:p>
    <w:p w14:paraId="275ADC84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Efikasnost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u terapiji infekcija dijabetesnog stopala sa istovremenim </w:t>
      </w:r>
      <w:proofErr w:type="spellStart"/>
      <w:r w:rsidRPr="001D7049">
        <w:rPr>
          <w:bCs/>
          <w:sz w:val="22"/>
          <w:szCs w:val="22"/>
          <w:lang w:val="sr-Latn-ME"/>
        </w:rPr>
        <w:t>osteomijelitisom</w:t>
      </w:r>
      <w:proofErr w:type="spellEnd"/>
      <w:r w:rsidRPr="001D7049">
        <w:rPr>
          <w:bCs/>
          <w:sz w:val="22"/>
          <w:szCs w:val="22"/>
          <w:lang w:val="sr-Latn-ME"/>
        </w:rPr>
        <w:t xml:space="preserve"> nije </w:t>
      </w:r>
    </w:p>
    <w:p w14:paraId="63CA6FD2" w14:textId="4FB7683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utvrđena.</w:t>
      </w:r>
    </w:p>
    <w:p w14:paraId="4A25E1D8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30AA25" w14:textId="00DCFCC6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Iskustva sa primjenom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kod djece</w:t>
      </w:r>
      <w:r w:rsidR="009D4CA4" w:rsidRPr="001D7049">
        <w:rPr>
          <w:bCs/>
          <w:sz w:val="22"/>
          <w:szCs w:val="22"/>
          <w:lang w:val="sr-Latn-ME"/>
        </w:rPr>
        <w:t xml:space="preserve"> uzrasta</w:t>
      </w:r>
      <w:r w:rsidRPr="001D7049">
        <w:rPr>
          <w:bCs/>
          <w:sz w:val="22"/>
          <w:szCs w:val="22"/>
          <w:lang w:val="sr-Latn-ME"/>
        </w:rPr>
        <w:t xml:space="preserve"> ispod dv</w:t>
      </w:r>
      <w:r w:rsidR="009D4CA4" w:rsidRPr="001D7049">
        <w:rPr>
          <w:bCs/>
          <w:sz w:val="22"/>
          <w:szCs w:val="22"/>
          <w:lang w:val="sr-Latn-ME"/>
        </w:rPr>
        <w:t>ij</w:t>
      </w:r>
      <w:r w:rsidRPr="001D7049">
        <w:rPr>
          <w:bCs/>
          <w:sz w:val="22"/>
          <w:szCs w:val="22"/>
          <w:lang w:val="sr-Latn-ME"/>
        </w:rPr>
        <w:t>e godin</w:t>
      </w:r>
      <w:r w:rsidR="009D4CA4" w:rsidRPr="001D7049">
        <w:rPr>
          <w:bCs/>
          <w:sz w:val="22"/>
          <w:szCs w:val="22"/>
          <w:lang w:val="sr-Latn-ME"/>
        </w:rPr>
        <w:t xml:space="preserve">e </w:t>
      </w:r>
      <w:r w:rsidRPr="001D7049">
        <w:rPr>
          <w:bCs/>
          <w:sz w:val="22"/>
          <w:szCs w:val="22"/>
          <w:lang w:val="sr-Latn-ME"/>
        </w:rPr>
        <w:t xml:space="preserve">su ograničena. U ovoj starosnoj grupi potrebno je obratiti posebnu pažnju na to da se ustanovi osjetljivost uzročnog mikroorganizma na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>.</w:t>
      </w:r>
    </w:p>
    <w:p w14:paraId="2DFC4BFF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Nema dostupnih podataka o primjeni lijeka kod djece uzrasta do 3 mjeseca.</w:t>
      </w:r>
    </w:p>
    <w:p w14:paraId="42FC4775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22F436D2" w14:textId="77777777" w:rsidR="00726AA2" w:rsidRDefault="00726AA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2025F3E8" w14:textId="77777777" w:rsidR="00726AA2" w:rsidRDefault="00726AA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634E3AD4" w14:textId="054E191C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1D7049">
        <w:rPr>
          <w:bCs/>
          <w:i/>
          <w:sz w:val="22"/>
          <w:szCs w:val="22"/>
          <w:lang w:val="sr-Latn-ME"/>
        </w:rPr>
        <w:lastRenderedPageBreak/>
        <w:t>Encefalopatija</w:t>
      </w:r>
      <w:proofErr w:type="spellEnd"/>
    </w:p>
    <w:p w14:paraId="4B33C35D" w14:textId="618CAAD2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Tokom primjene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prijavljena je </w:t>
      </w:r>
      <w:proofErr w:type="spellStart"/>
      <w:r w:rsidRPr="001D7049">
        <w:rPr>
          <w:bCs/>
          <w:sz w:val="22"/>
          <w:szCs w:val="22"/>
          <w:lang w:val="sr-Latn-ME"/>
        </w:rPr>
        <w:t>encefalopatija</w:t>
      </w:r>
      <w:proofErr w:type="spellEnd"/>
      <w:r w:rsidRPr="001D7049">
        <w:rPr>
          <w:bCs/>
          <w:sz w:val="22"/>
          <w:szCs w:val="22"/>
          <w:lang w:val="sr-Latn-ME"/>
        </w:rPr>
        <w:t xml:space="preserve"> (vidjeti dio 4.8). Ako se sumnja na </w:t>
      </w:r>
      <w:proofErr w:type="spellStart"/>
      <w:r w:rsidRPr="001D7049">
        <w:rPr>
          <w:bCs/>
          <w:sz w:val="22"/>
          <w:szCs w:val="22"/>
          <w:lang w:val="sr-Latn-ME"/>
        </w:rPr>
        <w:t>encefalopatiju</w:t>
      </w:r>
      <w:proofErr w:type="spellEnd"/>
      <w:r w:rsidRPr="001D7049">
        <w:rPr>
          <w:bCs/>
          <w:sz w:val="22"/>
          <w:szCs w:val="22"/>
          <w:lang w:val="sr-Latn-ME"/>
        </w:rPr>
        <w:t xml:space="preserve"> izazvanu </w:t>
      </w:r>
      <w:proofErr w:type="spellStart"/>
      <w:r w:rsidRPr="001D7049">
        <w:rPr>
          <w:bCs/>
          <w:sz w:val="22"/>
          <w:szCs w:val="22"/>
          <w:lang w:val="sr-Latn-ME"/>
        </w:rPr>
        <w:t>ertapenemom</w:t>
      </w:r>
      <w:proofErr w:type="spellEnd"/>
      <w:r w:rsidRPr="001D7049">
        <w:rPr>
          <w:bCs/>
          <w:sz w:val="22"/>
          <w:szCs w:val="22"/>
          <w:lang w:val="sr-Latn-ME"/>
        </w:rPr>
        <w:t xml:space="preserve"> (npr. </w:t>
      </w:r>
      <w:proofErr w:type="spellStart"/>
      <w:r w:rsidRPr="001D7049">
        <w:rPr>
          <w:bCs/>
          <w:sz w:val="22"/>
          <w:szCs w:val="22"/>
          <w:lang w:val="sr-Latn-ME"/>
        </w:rPr>
        <w:t>mioklonus</w:t>
      </w:r>
      <w:proofErr w:type="spellEnd"/>
      <w:r w:rsidRPr="001D7049">
        <w:rPr>
          <w:bCs/>
          <w:sz w:val="22"/>
          <w:szCs w:val="22"/>
          <w:lang w:val="sr-Latn-ME"/>
        </w:rPr>
        <w:t>, konvulzije, prom</w:t>
      </w:r>
      <w:r w:rsidR="009D4CA4" w:rsidRPr="001D7049">
        <w:rPr>
          <w:bCs/>
          <w:sz w:val="22"/>
          <w:szCs w:val="22"/>
          <w:lang w:val="sr-Latn-ME"/>
        </w:rPr>
        <w:t>ij</w:t>
      </w:r>
      <w:r w:rsidRPr="001D7049">
        <w:rPr>
          <w:bCs/>
          <w:sz w:val="22"/>
          <w:szCs w:val="22"/>
          <w:lang w:val="sr-Latn-ME"/>
        </w:rPr>
        <w:t xml:space="preserve">enjeno stanje svijesti, smanjen nivo svijesti), potrebno je razmotriti prekid primjene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. Pacijenti sa oštećenom funkcijom bubrega izloženi su većem riziku od </w:t>
      </w:r>
      <w:proofErr w:type="spellStart"/>
      <w:r w:rsidRPr="001D7049">
        <w:rPr>
          <w:bCs/>
          <w:sz w:val="22"/>
          <w:szCs w:val="22"/>
          <w:lang w:val="sr-Latn-ME"/>
        </w:rPr>
        <w:t>encefalopatije</w:t>
      </w:r>
      <w:proofErr w:type="spellEnd"/>
      <w:r w:rsidRPr="001D7049">
        <w:rPr>
          <w:bCs/>
          <w:sz w:val="22"/>
          <w:szCs w:val="22"/>
          <w:lang w:val="sr-Latn-ME"/>
        </w:rPr>
        <w:t xml:space="preserve"> uzrokovane </w:t>
      </w:r>
      <w:proofErr w:type="spellStart"/>
      <w:r w:rsidRPr="001D7049">
        <w:rPr>
          <w:bCs/>
          <w:sz w:val="22"/>
          <w:szCs w:val="22"/>
          <w:lang w:val="sr-Latn-ME"/>
        </w:rPr>
        <w:t>ertapenemom</w:t>
      </w:r>
      <w:proofErr w:type="spellEnd"/>
      <w:r w:rsidRPr="001D7049">
        <w:rPr>
          <w:bCs/>
          <w:sz w:val="22"/>
          <w:szCs w:val="22"/>
          <w:lang w:val="sr-Latn-ME"/>
        </w:rPr>
        <w:t xml:space="preserve"> pa i oporavak može biti dugotrajan.</w:t>
      </w:r>
    </w:p>
    <w:p w14:paraId="1BDA934A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5142D2" w14:textId="2962AAA0" w:rsidR="002160AF" w:rsidRPr="001D7049" w:rsidRDefault="002160AF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1D7049">
        <w:rPr>
          <w:bCs/>
          <w:i/>
          <w:sz w:val="22"/>
          <w:szCs w:val="22"/>
          <w:lang w:val="sr-Latn-ME"/>
        </w:rPr>
        <w:t>Ekscipijens</w:t>
      </w:r>
      <w:r w:rsidR="009D4CA4" w:rsidRPr="001D7049">
        <w:rPr>
          <w:bCs/>
          <w:i/>
          <w:sz w:val="22"/>
          <w:szCs w:val="22"/>
          <w:lang w:val="sr-Latn-ME"/>
        </w:rPr>
        <w:t>i</w:t>
      </w:r>
      <w:proofErr w:type="spellEnd"/>
    </w:p>
    <w:p w14:paraId="677D29F5" w14:textId="46232B39" w:rsidR="005E116B" w:rsidRPr="001D7049" w:rsidRDefault="002160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Ovaj lijek sadrži približno 137 mg natrijuma po </w:t>
      </w:r>
      <w:r w:rsidR="005E116B" w:rsidRPr="001D7049">
        <w:rPr>
          <w:bCs/>
          <w:sz w:val="22"/>
          <w:szCs w:val="22"/>
          <w:lang w:val="sr-Latn-ME"/>
        </w:rPr>
        <w:t>bočic</w:t>
      </w:r>
      <w:r w:rsidRPr="001D7049">
        <w:rPr>
          <w:bCs/>
          <w:sz w:val="22"/>
          <w:szCs w:val="22"/>
          <w:lang w:val="sr-Latn-ME"/>
        </w:rPr>
        <w:t>i od 1</w:t>
      </w:r>
      <w:r w:rsidR="005E116B" w:rsidRPr="001D7049">
        <w:rPr>
          <w:bCs/>
          <w:sz w:val="22"/>
          <w:szCs w:val="22"/>
          <w:lang w:val="sr-Latn-ME"/>
        </w:rPr>
        <w:t>,</w:t>
      </w:r>
      <w:r w:rsidR="005E116B" w:rsidRPr="001D7049">
        <w:rPr>
          <w:sz w:val="22"/>
          <w:szCs w:val="22"/>
          <w:lang w:val="sr-Latn-ME"/>
        </w:rPr>
        <w:t xml:space="preserve"> </w:t>
      </w:r>
      <w:r w:rsidR="005E116B" w:rsidRPr="001D7049">
        <w:rPr>
          <w:bCs/>
          <w:sz w:val="22"/>
          <w:szCs w:val="22"/>
          <w:lang w:val="sr-Latn-ME"/>
        </w:rPr>
        <w:t xml:space="preserve">što odgovara 7% SZO preporučene maksimalne dnevne količine unosa koja iznosi 2 g natrijuma za odraslu osobu. </w:t>
      </w:r>
    </w:p>
    <w:p w14:paraId="130F4AC3" w14:textId="77777777" w:rsidR="00057E35" w:rsidRPr="001D7049" w:rsidRDefault="00057E35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B3E445" w14:textId="450A7609" w:rsidR="00411B4B" w:rsidRPr="001D7049" w:rsidRDefault="00411B4B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>4.5.</w:t>
      </w:r>
      <w:r w:rsidR="000D60CC" w:rsidRPr="001D7049">
        <w:rPr>
          <w:b/>
          <w:bCs/>
          <w:sz w:val="22"/>
          <w:szCs w:val="22"/>
          <w:lang w:val="sr-Latn-ME"/>
        </w:rPr>
        <w:tab/>
      </w:r>
      <w:r w:rsidRPr="001D7049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3D5F00A0" w14:textId="77777777" w:rsidR="002160AF" w:rsidRPr="001D7049" w:rsidRDefault="002160AF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B66174D" w14:textId="38D9E723" w:rsidR="005E116B" w:rsidRPr="001D7049" w:rsidRDefault="002160AF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Interakcije izazvane inhibicijom </w:t>
      </w:r>
      <w:proofErr w:type="spellStart"/>
      <w:r w:rsidRPr="001D7049">
        <w:rPr>
          <w:bCs/>
          <w:sz w:val="22"/>
          <w:szCs w:val="22"/>
          <w:lang w:val="sr-Latn-ME"/>
        </w:rPr>
        <w:t>klirensa</w:t>
      </w:r>
      <w:proofErr w:type="spellEnd"/>
      <w:r w:rsidRPr="001D7049">
        <w:rPr>
          <w:bCs/>
          <w:sz w:val="22"/>
          <w:szCs w:val="22"/>
          <w:lang w:val="sr-Latn-ME"/>
        </w:rPr>
        <w:t xml:space="preserve"> ljekova posredovan</w:t>
      </w:r>
      <w:r w:rsidR="009D4CA4" w:rsidRPr="001D7049">
        <w:rPr>
          <w:bCs/>
          <w:sz w:val="22"/>
          <w:szCs w:val="22"/>
          <w:lang w:val="sr-Latn-ME"/>
        </w:rPr>
        <w:t>og</w:t>
      </w:r>
      <w:r w:rsidRPr="001D7049">
        <w:rPr>
          <w:bCs/>
          <w:sz w:val="22"/>
          <w:szCs w:val="22"/>
          <w:lang w:val="sr-Latn-ME"/>
        </w:rPr>
        <w:t xml:space="preserve"> P-</w:t>
      </w:r>
      <w:proofErr w:type="spellStart"/>
      <w:r w:rsidRPr="001D7049">
        <w:rPr>
          <w:bCs/>
          <w:sz w:val="22"/>
          <w:szCs w:val="22"/>
          <w:lang w:val="sr-Latn-ME"/>
        </w:rPr>
        <w:t>glikoproteinom</w:t>
      </w:r>
      <w:proofErr w:type="spellEnd"/>
      <w:r w:rsidRPr="001D7049">
        <w:rPr>
          <w:bCs/>
          <w:sz w:val="22"/>
          <w:szCs w:val="22"/>
          <w:lang w:val="sr-Latn-ME"/>
        </w:rPr>
        <w:t xml:space="preserve"> ili CYP enzimima su malo vjerovatne (</w:t>
      </w:r>
      <w:r w:rsidR="005E116B" w:rsidRPr="001D7049">
        <w:rPr>
          <w:bCs/>
          <w:sz w:val="22"/>
          <w:szCs w:val="22"/>
          <w:lang w:val="sr-Latn-ME"/>
        </w:rPr>
        <w:t>vidjeti dio</w:t>
      </w:r>
      <w:r w:rsidRPr="001D7049">
        <w:rPr>
          <w:bCs/>
          <w:sz w:val="22"/>
          <w:szCs w:val="22"/>
          <w:lang w:val="sr-Latn-ME"/>
        </w:rPr>
        <w:t xml:space="preserve"> 5.2).</w:t>
      </w:r>
    </w:p>
    <w:p w14:paraId="2C490535" w14:textId="1A84EDD4" w:rsidR="0072020E" w:rsidRPr="001D7049" w:rsidRDefault="002160AF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Pri istovremenoj primjeni </w:t>
      </w:r>
      <w:proofErr w:type="spellStart"/>
      <w:r w:rsidRPr="001D7049">
        <w:rPr>
          <w:bCs/>
          <w:sz w:val="22"/>
          <w:szCs w:val="22"/>
          <w:lang w:val="sr-Latn-ME"/>
        </w:rPr>
        <w:t>valproinske</w:t>
      </w:r>
      <w:proofErr w:type="spellEnd"/>
      <w:r w:rsidRPr="001D7049">
        <w:rPr>
          <w:bCs/>
          <w:sz w:val="22"/>
          <w:szCs w:val="22"/>
          <w:lang w:val="sr-Latn-ME"/>
        </w:rPr>
        <w:t xml:space="preserve"> kiseline i ljekova iz grupe </w:t>
      </w:r>
      <w:proofErr w:type="spellStart"/>
      <w:r w:rsidRPr="001D7049">
        <w:rPr>
          <w:bCs/>
          <w:sz w:val="22"/>
          <w:szCs w:val="22"/>
          <w:lang w:val="sr-Latn-ME"/>
        </w:rPr>
        <w:t>karbapenema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prijavljen</w:t>
      </w:r>
      <w:r w:rsidR="005E116B" w:rsidRPr="001D7049">
        <w:rPr>
          <w:bCs/>
          <w:sz w:val="22"/>
          <w:szCs w:val="22"/>
          <w:lang w:val="sr-Latn-ME"/>
        </w:rPr>
        <w:t>o je</w:t>
      </w:r>
      <w:r w:rsidRPr="001D7049">
        <w:rPr>
          <w:bCs/>
          <w:sz w:val="22"/>
          <w:szCs w:val="22"/>
          <w:lang w:val="sr-Latn-ME"/>
        </w:rPr>
        <w:t xml:space="preserve"> smanjene koncentracije </w:t>
      </w:r>
      <w:proofErr w:type="spellStart"/>
      <w:r w:rsidRPr="001D7049">
        <w:rPr>
          <w:bCs/>
          <w:sz w:val="22"/>
          <w:szCs w:val="22"/>
          <w:lang w:val="sr-Latn-ME"/>
        </w:rPr>
        <w:t>valproinske</w:t>
      </w:r>
      <w:proofErr w:type="spellEnd"/>
      <w:r w:rsidRPr="001D7049">
        <w:rPr>
          <w:bCs/>
          <w:sz w:val="22"/>
          <w:szCs w:val="22"/>
          <w:lang w:val="sr-Latn-ME"/>
        </w:rPr>
        <w:t xml:space="preserve"> kiseline koje su se mogle smanjiti i ispod terapijskih granica. Smanjene koncentracije </w:t>
      </w:r>
      <w:proofErr w:type="spellStart"/>
      <w:r w:rsidRPr="001D7049">
        <w:rPr>
          <w:bCs/>
          <w:sz w:val="22"/>
          <w:szCs w:val="22"/>
          <w:lang w:val="sr-Latn-ME"/>
        </w:rPr>
        <w:t>valproinske</w:t>
      </w:r>
      <w:proofErr w:type="spellEnd"/>
      <w:r w:rsidRPr="001D7049">
        <w:rPr>
          <w:bCs/>
          <w:sz w:val="22"/>
          <w:szCs w:val="22"/>
          <w:lang w:val="sr-Latn-ME"/>
        </w:rPr>
        <w:t xml:space="preserve"> kiseline mogu dovesti do nezadovoljavajuće kontrole epileptičnih napada; zbog toga se ne preporučuje istovremena primjena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i </w:t>
      </w:r>
      <w:proofErr w:type="spellStart"/>
      <w:r w:rsidRPr="001D7049">
        <w:rPr>
          <w:bCs/>
          <w:sz w:val="22"/>
          <w:szCs w:val="22"/>
          <w:lang w:val="sr-Latn-ME"/>
        </w:rPr>
        <w:t>valproinske</w:t>
      </w:r>
      <w:proofErr w:type="spellEnd"/>
      <w:r w:rsidRPr="001D7049">
        <w:rPr>
          <w:bCs/>
          <w:sz w:val="22"/>
          <w:szCs w:val="22"/>
          <w:lang w:val="sr-Latn-ME"/>
        </w:rPr>
        <w:t xml:space="preserve"> kiseline/natrijum</w:t>
      </w:r>
      <w:r w:rsidR="005E116B"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valproata</w:t>
      </w:r>
      <w:proofErr w:type="spellEnd"/>
      <w:r w:rsidRPr="001D7049">
        <w:rPr>
          <w:bCs/>
          <w:sz w:val="22"/>
          <w:szCs w:val="22"/>
          <w:lang w:val="sr-Latn-ME"/>
        </w:rPr>
        <w:t xml:space="preserve">, pa je </w:t>
      </w:r>
      <w:r w:rsidRPr="001D7049">
        <w:rPr>
          <w:sz w:val="22"/>
          <w:szCs w:val="22"/>
          <w:lang w:val="sr-Latn-ME"/>
        </w:rPr>
        <w:t>zbog</w:t>
      </w:r>
      <w:r w:rsidRPr="001D7049">
        <w:rPr>
          <w:bCs/>
          <w:sz w:val="22"/>
          <w:szCs w:val="22"/>
          <w:lang w:val="sr-Latn-ME"/>
        </w:rPr>
        <w:t xml:space="preserve"> toga potrebno razmotriti </w:t>
      </w:r>
      <w:proofErr w:type="spellStart"/>
      <w:r w:rsidRPr="001D7049">
        <w:rPr>
          <w:bCs/>
          <w:sz w:val="22"/>
          <w:szCs w:val="22"/>
          <w:lang w:val="sr-Latn-ME"/>
        </w:rPr>
        <w:t>primejnu</w:t>
      </w:r>
      <w:proofErr w:type="spellEnd"/>
      <w:r w:rsidRPr="001D7049">
        <w:rPr>
          <w:bCs/>
          <w:sz w:val="22"/>
          <w:szCs w:val="22"/>
          <w:lang w:val="sr-Latn-ME"/>
        </w:rPr>
        <w:t xml:space="preserve"> alternativne </w:t>
      </w:r>
      <w:proofErr w:type="spellStart"/>
      <w:r w:rsidRPr="001D7049">
        <w:rPr>
          <w:bCs/>
          <w:sz w:val="22"/>
          <w:szCs w:val="22"/>
          <w:lang w:val="sr-Latn-ME"/>
        </w:rPr>
        <w:t>antibakterijske</w:t>
      </w:r>
      <w:proofErr w:type="spellEnd"/>
      <w:r w:rsidRPr="001D7049">
        <w:rPr>
          <w:bCs/>
          <w:sz w:val="22"/>
          <w:szCs w:val="22"/>
          <w:lang w:val="sr-Latn-ME"/>
        </w:rPr>
        <w:t xml:space="preserve"> ili </w:t>
      </w:r>
      <w:proofErr w:type="spellStart"/>
      <w:r w:rsidRPr="001D7049">
        <w:rPr>
          <w:bCs/>
          <w:sz w:val="22"/>
          <w:szCs w:val="22"/>
          <w:lang w:val="sr-Latn-ME"/>
        </w:rPr>
        <w:t>antikonvulzivne</w:t>
      </w:r>
      <w:proofErr w:type="spellEnd"/>
      <w:r w:rsidRPr="001D7049">
        <w:rPr>
          <w:bCs/>
          <w:sz w:val="22"/>
          <w:szCs w:val="22"/>
          <w:lang w:val="sr-Latn-ME"/>
        </w:rPr>
        <w:t xml:space="preserve"> terapije.</w:t>
      </w:r>
      <w:r w:rsidRPr="001D7049">
        <w:rPr>
          <w:bCs/>
          <w:sz w:val="22"/>
          <w:szCs w:val="22"/>
          <w:lang w:val="sr-Latn-ME"/>
        </w:rPr>
        <w:cr/>
      </w:r>
    </w:p>
    <w:p w14:paraId="08598971" w14:textId="77777777" w:rsidR="0072020E" w:rsidRPr="001D7049" w:rsidRDefault="0072020E" w:rsidP="009569E2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4.6.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r w:rsidR="006D20A5" w:rsidRPr="001D7049">
        <w:rPr>
          <w:b/>
          <w:sz w:val="22"/>
          <w:szCs w:val="22"/>
          <w:lang w:val="sr-Latn-ME"/>
        </w:rPr>
        <w:t>Plodnost, trudnoća i dojenje</w:t>
      </w:r>
    </w:p>
    <w:p w14:paraId="6DFA5697" w14:textId="77777777" w:rsidR="002031B3" w:rsidRPr="001D7049" w:rsidRDefault="002031B3" w:rsidP="009569E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7D8D4F1" w14:textId="77777777" w:rsidR="002031B3" w:rsidRPr="001D7049" w:rsidRDefault="002031B3" w:rsidP="00D9516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D7049">
        <w:rPr>
          <w:sz w:val="22"/>
          <w:szCs w:val="22"/>
          <w:u w:val="single"/>
          <w:lang w:val="sr-Latn-ME"/>
        </w:rPr>
        <w:t>Plodnost</w:t>
      </w:r>
    </w:p>
    <w:p w14:paraId="607F89F3" w14:textId="236DE919" w:rsidR="002160AF" w:rsidRPr="001D7049" w:rsidRDefault="002160AF" w:rsidP="00D9516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D7049">
        <w:rPr>
          <w:sz w:val="22"/>
          <w:szCs w:val="22"/>
          <w:lang w:val="sr-Latn-ME"/>
        </w:rPr>
        <w:t xml:space="preserve">Ne postoje adekvatne i dobro kontrolisane studije koje se tiču uticaja primjene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na plodnost kod muškaraca i žena. </w:t>
      </w:r>
      <w:proofErr w:type="spellStart"/>
      <w:r w:rsidRPr="001D7049">
        <w:rPr>
          <w:sz w:val="22"/>
          <w:szCs w:val="22"/>
          <w:lang w:val="sr-Latn-ME"/>
        </w:rPr>
        <w:t>Pre</w:t>
      </w:r>
      <w:r w:rsidR="009D4CA4" w:rsidRPr="001D7049">
        <w:rPr>
          <w:sz w:val="22"/>
          <w:szCs w:val="22"/>
          <w:lang w:val="sr-Latn-ME"/>
        </w:rPr>
        <w:t>t</w:t>
      </w:r>
      <w:r w:rsidRPr="001D7049">
        <w:rPr>
          <w:sz w:val="22"/>
          <w:szCs w:val="22"/>
          <w:lang w:val="sr-Latn-ME"/>
        </w:rPr>
        <w:t>kliničke</w:t>
      </w:r>
      <w:proofErr w:type="spellEnd"/>
      <w:r w:rsidRPr="001D7049">
        <w:rPr>
          <w:sz w:val="22"/>
          <w:szCs w:val="22"/>
          <w:lang w:val="sr-Latn-ME"/>
        </w:rPr>
        <w:t xml:space="preserve"> studije ne ukazuju na direktan ili indirektan štetan efekat koji se tiče plodnosti (vidjeti dio 5.3).</w:t>
      </w:r>
    </w:p>
    <w:p w14:paraId="5043ED57" w14:textId="77777777" w:rsidR="002160AF" w:rsidRPr="001D7049" w:rsidRDefault="002160AF" w:rsidP="00D9516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48074CC" w14:textId="34E8564F" w:rsidR="002160AF" w:rsidRPr="001D7049" w:rsidRDefault="002160AF" w:rsidP="0070069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D7049">
        <w:rPr>
          <w:sz w:val="22"/>
          <w:szCs w:val="22"/>
          <w:u w:val="single"/>
          <w:lang w:val="sr-Latn-ME"/>
        </w:rPr>
        <w:t>Trudnoća</w:t>
      </w:r>
    </w:p>
    <w:p w14:paraId="2BCC0385" w14:textId="78A4A139" w:rsidR="002031B3" w:rsidRPr="00726AA2" w:rsidRDefault="00D95164" w:rsidP="007006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26AA2">
        <w:rPr>
          <w:sz w:val="22"/>
          <w:szCs w:val="22"/>
          <w:lang w:val="sr-Latn-ME"/>
        </w:rPr>
        <w:t>Nijesu</w:t>
      </w:r>
      <w:r w:rsidR="002160AF" w:rsidRPr="00726AA2">
        <w:rPr>
          <w:sz w:val="22"/>
          <w:szCs w:val="22"/>
          <w:lang w:val="sr-Latn-ME"/>
        </w:rPr>
        <w:t xml:space="preserve"> sprovedene adekvatne i dobro kontrolisane studije na trudnicama. Istraživanja na životinjama ne ukazuju na postojanje direktnih ili indirektnih štetnih efekata na trudnoću, embrio-</w:t>
      </w:r>
      <w:proofErr w:type="spellStart"/>
      <w:r w:rsidR="002160AF" w:rsidRPr="00726AA2">
        <w:rPr>
          <w:sz w:val="22"/>
          <w:szCs w:val="22"/>
          <w:lang w:val="sr-Latn-ME"/>
        </w:rPr>
        <w:t>fetalni</w:t>
      </w:r>
      <w:proofErr w:type="spellEnd"/>
      <w:r w:rsidR="002160AF" w:rsidRPr="00726AA2">
        <w:rPr>
          <w:sz w:val="22"/>
          <w:szCs w:val="22"/>
          <w:lang w:val="sr-Latn-ME"/>
        </w:rPr>
        <w:t xml:space="preserve"> razvoj, porođaj ili </w:t>
      </w:r>
      <w:proofErr w:type="spellStart"/>
      <w:r w:rsidR="002160AF" w:rsidRPr="00726AA2">
        <w:rPr>
          <w:sz w:val="22"/>
          <w:szCs w:val="22"/>
          <w:lang w:val="sr-Latn-ME"/>
        </w:rPr>
        <w:t>postnatalni</w:t>
      </w:r>
      <w:proofErr w:type="spellEnd"/>
      <w:r w:rsidR="002160AF" w:rsidRPr="00726AA2">
        <w:rPr>
          <w:sz w:val="22"/>
          <w:szCs w:val="22"/>
          <w:lang w:val="sr-Latn-ME"/>
        </w:rPr>
        <w:t xml:space="preserve"> razvoj. Međutim, </w:t>
      </w:r>
      <w:proofErr w:type="spellStart"/>
      <w:r w:rsidR="002160AF" w:rsidRPr="00726AA2">
        <w:rPr>
          <w:sz w:val="22"/>
          <w:szCs w:val="22"/>
          <w:lang w:val="sr-Latn-ME"/>
        </w:rPr>
        <w:t>ertapenem</w:t>
      </w:r>
      <w:proofErr w:type="spellEnd"/>
      <w:r w:rsidR="002160AF" w:rsidRPr="00726AA2">
        <w:rPr>
          <w:sz w:val="22"/>
          <w:szCs w:val="22"/>
          <w:lang w:val="sr-Latn-ME"/>
        </w:rPr>
        <w:t xml:space="preserve"> ne treba primjenjivati tokom trudnoće osim ukoliko potencijalna korist lijeka za majku nije veća od potencijalnog rizika za plod.</w:t>
      </w:r>
    </w:p>
    <w:p w14:paraId="48D61AF9" w14:textId="77777777" w:rsidR="002160AF" w:rsidRPr="001D7049" w:rsidRDefault="002160A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CAFE021" w14:textId="58F4F7DF" w:rsidR="0072020E" w:rsidRPr="001D7049" w:rsidRDefault="007A3E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7049">
        <w:rPr>
          <w:sz w:val="22"/>
          <w:szCs w:val="22"/>
          <w:u w:val="single"/>
          <w:lang w:val="sr-Latn-ME"/>
        </w:rPr>
        <w:t xml:space="preserve">Dojenje </w:t>
      </w:r>
    </w:p>
    <w:p w14:paraId="25B90769" w14:textId="5ECA0549" w:rsidR="002160AF" w:rsidRPr="001D7049" w:rsidRDefault="002160A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se izlučuje u majčino mlijeko. Zbog mogućih neželjenih dejstava na odojče, majke ne treba da doje d</w:t>
      </w:r>
      <w:r w:rsidR="00116F05" w:rsidRPr="001D7049">
        <w:rPr>
          <w:sz w:val="22"/>
          <w:szCs w:val="22"/>
          <w:lang w:val="sr-Latn-ME"/>
        </w:rPr>
        <w:t>j</w:t>
      </w:r>
      <w:r w:rsidRPr="001D7049">
        <w:rPr>
          <w:sz w:val="22"/>
          <w:szCs w:val="22"/>
          <w:lang w:val="sr-Latn-ME"/>
        </w:rPr>
        <w:t xml:space="preserve">ecu dok su na terapiji </w:t>
      </w:r>
      <w:proofErr w:type="spellStart"/>
      <w:r w:rsidRPr="001D7049">
        <w:rPr>
          <w:sz w:val="22"/>
          <w:szCs w:val="22"/>
          <w:lang w:val="sr-Latn-ME"/>
        </w:rPr>
        <w:t>ertapenemom</w:t>
      </w:r>
      <w:proofErr w:type="spellEnd"/>
      <w:r w:rsidRPr="001D7049">
        <w:rPr>
          <w:sz w:val="22"/>
          <w:szCs w:val="22"/>
          <w:lang w:val="sr-Latn-ME"/>
        </w:rPr>
        <w:t>.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 </w:t>
      </w:r>
    </w:p>
    <w:p w14:paraId="12363186" w14:textId="77777777" w:rsidR="00227BDB" w:rsidRPr="001D7049" w:rsidRDefault="00227BDB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416ABDC" w14:textId="7B750033" w:rsidR="0072020E" w:rsidRPr="001D7049" w:rsidRDefault="0072020E" w:rsidP="009569E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4.7.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r w:rsidRPr="001D7049">
        <w:rPr>
          <w:b/>
          <w:bCs/>
          <w:sz w:val="22"/>
          <w:szCs w:val="22"/>
          <w:lang w:val="sr-Latn-ME"/>
        </w:rPr>
        <w:t xml:space="preserve">Uticaj na </w:t>
      </w:r>
      <w:r w:rsidR="002031B3" w:rsidRPr="001D7049">
        <w:rPr>
          <w:b/>
          <w:bCs/>
          <w:sz w:val="22"/>
          <w:szCs w:val="22"/>
          <w:lang w:val="sr-Latn-ME"/>
        </w:rPr>
        <w:t xml:space="preserve">sposobnost </w:t>
      </w:r>
      <w:r w:rsidR="00F34554" w:rsidRPr="001D7049">
        <w:rPr>
          <w:b/>
          <w:bCs/>
          <w:sz w:val="22"/>
          <w:szCs w:val="22"/>
          <w:lang w:val="sr-Latn-ME"/>
        </w:rPr>
        <w:t>upravljanja vozili</w:t>
      </w:r>
      <w:r w:rsidRPr="001D7049">
        <w:rPr>
          <w:b/>
          <w:bCs/>
          <w:sz w:val="22"/>
          <w:szCs w:val="22"/>
          <w:lang w:val="sr-Latn-ME"/>
        </w:rPr>
        <w:t>m</w:t>
      </w:r>
      <w:r w:rsidR="00F34554" w:rsidRPr="001D7049">
        <w:rPr>
          <w:b/>
          <w:bCs/>
          <w:sz w:val="22"/>
          <w:szCs w:val="22"/>
          <w:lang w:val="sr-Latn-ME"/>
        </w:rPr>
        <w:t>a</w:t>
      </w:r>
      <w:r w:rsidRPr="001D7049">
        <w:rPr>
          <w:b/>
          <w:bCs/>
          <w:sz w:val="22"/>
          <w:szCs w:val="22"/>
          <w:lang w:val="sr-Latn-ME"/>
        </w:rPr>
        <w:t xml:space="preserve"> i </w:t>
      </w:r>
      <w:r w:rsidR="000D3449" w:rsidRPr="001D7049">
        <w:rPr>
          <w:b/>
          <w:bCs/>
          <w:sz w:val="22"/>
          <w:szCs w:val="22"/>
          <w:lang w:val="sr-Latn-ME"/>
        </w:rPr>
        <w:t xml:space="preserve">rukovanje </w:t>
      </w:r>
      <w:r w:rsidRPr="001D7049">
        <w:rPr>
          <w:b/>
          <w:bCs/>
          <w:sz w:val="22"/>
          <w:szCs w:val="22"/>
          <w:lang w:val="sr-Latn-ME"/>
        </w:rPr>
        <w:t>mašinama</w:t>
      </w:r>
    </w:p>
    <w:p w14:paraId="41752473" w14:textId="77777777" w:rsidR="00BF377E" w:rsidRPr="001D7049" w:rsidRDefault="00BF377E" w:rsidP="009569E2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</w:p>
    <w:p w14:paraId="1C90506A" w14:textId="0739ABD9" w:rsidR="00BF377E" w:rsidRPr="001D7049" w:rsidRDefault="00D95164" w:rsidP="009569E2">
      <w:pPr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>Nijesu</w:t>
      </w:r>
      <w:r w:rsidR="002160AF" w:rsidRPr="001D7049">
        <w:rPr>
          <w:sz w:val="22"/>
          <w:szCs w:val="22"/>
          <w:lang w:val="sr-Latn-ME"/>
        </w:rPr>
        <w:t xml:space="preserve"> sprovedena ispitivanja o uticaju ovog lijeka na sposobnost upravljanja vozilima i rukovanj</w:t>
      </w:r>
      <w:r w:rsidR="00BF377E" w:rsidRPr="001D7049">
        <w:rPr>
          <w:sz w:val="22"/>
          <w:szCs w:val="22"/>
          <w:lang w:val="sr-Latn-ME"/>
        </w:rPr>
        <w:t xml:space="preserve">a mašinama. </w:t>
      </w:r>
    </w:p>
    <w:p w14:paraId="4F7D340A" w14:textId="03E9740F" w:rsidR="00BF377E" w:rsidRPr="001D7049" w:rsidRDefault="00BF377E" w:rsidP="009569E2">
      <w:pPr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Lijek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AptaPharma</w:t>
      </w:r>
      <w:proofErr w:type="spellEnd"/>
      <w:r w:rsidRPr="001D7049">
        <w:rPr>
          <w:sz w:val="22"/>
          <w:szCs w:val="22"/>
          <w:lang w:val="sr-Latn-ME"/>
        </w:rPr>
        <w:t xml:space="preserve"> može da utiče na sposobnost pacijenta da upravlja vozilom i rukuje mašinama. Pacijente treba upozoriti da su tokom terapije lijekom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AptaPharma</w:t>
      </w:r>
      <w:proofErr w:type="spellEnd"/>
      <w:r w:rsidRPr="001D7049">
        <w:rPr>
          <w:sz w:val="22"/>
          <w:szCs w:val="22"/>
          <w:lang w:val="sr-Latn-ME"/>
        </w:rPr>
        <w:t xml:space="preserve"> zabilježeni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>slučajevi vrtoglavice i pospanosti (vidjeti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>dio 4.8).</w:t>
      </w:r>
    </w:p>
    <w:p w14:paraId="34CBEA05" w14:textId="77777777" w:rsidR="0072020E" w:rsidRPr="001D7049" w:rsidRDefault="0072020E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DDD8628" w14:textId="77777777" w:rsidR="0072020E" w:rsidRPr="001D7049" w:rsidRDefault="0072020E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4.8.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r w:rsidRPr="001D7049">
        <w:rPr>
          <w:b/>
          <w:bCs/>
          <w:sz w:val="22"/>
          <w:szCs w:val="22"/>
          <w:lang w:val="sr-Latn-ME"/>
        </w:rPr>
        <w:t>Neželjena dejstva</w:t>
      </w:r>
    </w:p>
    <w:p w14:paraId="5E5040D8" w14:textId="47D47622" w:rsidR="00BF377E" w:rsidRPr="001D7049" w:rsidRDefault="00BF377E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A3249D7" w14:textId="77777777" w:rsidR="00BF377E" w:rsidRPr="001D7049" w:rsidRDefault="00BF377E" w:rsidP="009569E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D7049">
        <w:rPr>
          <w:sz w:val="22"/>
          <w:szCs w:val="22"/>
          <w:u w:val="single"/>
          <w:lang w:val="sr-Latn-ME"/>
        </w:rPr>
        <w:t xml:space="preserve">Sažetak </w:t>
      </w:r>
      <w:proofErr w:type="spellStart"/>
      <w:r w:rsidRPr="001D7049">
        <w:rPr>
          <w:sz w:val="22"/>
          <w:szCs w:val="22"/>
          <w:u w:val="single"/>
          <w:lang w:val="sr-Latn-ME"/>
        </w:rPr>
        <w:t>bezbjednosnog</w:t>
      </w:r>
      <w:proofErr w:type="spellEnd"/>
      <w:r w:rsidRPr="001D7049">
        <w:rPr>
          <w:sz w:val="22"/>
          <w:szCs w:val="22"/>
          <w:u w:val="single"/>
          <w:lang w:val="sr-Latn-ME"/>
        </w:rPr>
        <w:t xml:space="preserve"> profila </w:t>
      </w:r>
    </w:p>
    <w:p w14:paraId="4647700F" w14:textId="77777777" w:rsidR="00BF377E" w:rsidRPr="001D7049" w:rsidRDefault="00BF377E" w:rsidP="009569E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DA2B6B5" w14:textId="77777777" w:rsidR="00BF377E" w:rsidRPr="001D7049" w:rsidRDefault="00BF377E" w:rsidP="009569E2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1D7049">
        <w:rPr>
          <w:i/>
          <w:sz w:val="22"/>
          <w:szCs w:val="22"/>
          <w:lang w:val="sr-Latn-ME"/>
        </w:rPr>
        <w:t xml:space="preserve">Odrasle osobe </w:t>
      </w:r>
    </w:p>
    <w:p w14:paraId="26480DA1" w14:textId="2E161102" w:rsidR="00BF377E" w:rsidRPr="001D7049" w:rsidRDefault="00BF377E" w:rsidP="00D9516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Ukupan broj pacijenata koji su bili na terapiji </w:t>
      </w:r>
      <w:proofErr w:type="spellStart"/>
      <w:r w:rsidRPr="001D7049">
        <w:rPr>
          <w:sz w:val="22"/>
          <w:szCs w:val="22"/>
          <w:lang w:val="sr-Latn-ME"/>
        </w:rPr>
        <w:t>ertapenemom</w:t>
      </w:r>
      <w:proofErr w:type="spellEnd"/>
      <w:r w:rsidRPr="001D7049">
        <w:rPr>
          <w:sz w:val="22"/>
          <w:szCs w:val="22"/>
          <w:lang w:val="sr-Latn-ME"/>
        </w:rPr>
        <w:t xml:space="preserve"> u kliničkim studijama bio je </w:t>
      </w:r>
      <w:proofErr w:type="spellStart"/>
      <w:r w:rsidRPr="001D7049">
        <w:rPr>
          <w:sz w:val="22"/>
          <w:szCs w:val="22"/>
          <w:lang w:val="sr-Latn-ME"/>
        </w:rPr>
        <w:t>preko</w:t>
      </w:r>
      <w:proofErr w:type="spellEnd"/>
      <w:r w:rsidRPr="001D7049">
        <w:rPr>
          <w:sz w:val="22"/>
          <w:szCs w:val="22"/>
          <w:lang w:val="sr-Latn-ME"/>
        </w:rPr>
        <w:t xml:space="preserve"> 2200, a od ovog broja, </w:t>
      </w:r>
      <w:proofErr w:type="spellStart"/>
      <w:r w:rsidRPr="001D7049">
        <w:rPr>
          <w:sz w:val="22"/>
          <w:szCs w:val="22"/>
          <w:lang w:val="sr-Latn-ME"/>
        </w:rPr>
        <w:t>preko</w:t>
      </w:r>
      <w:proofErr w:type="spellEnd"/>
      <w:r w:rsidRPr="001D7049">
        <w:rPr>
          <w:sz w:val="22"/>
          <w:szCs w:val="22"/>
          <w:lang w:val="sr-Latn-ME"/>
        </w:rPr>
        <w:t xml:space="preserve"> 2150 pacijenata su primali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u dozi od 1 g. Neželjene reakcije (na primjer one za koje je istraživač smatrao da su moguće, vjerovatno ili sigurno izazvane ispitivanim lijekom) zabilježene su kod približno 20% pacijenata liječenih </w:t>
      </w:r>
      <w:proofErr w:type="spellStart"/>
      <w:r w:rsidRPr="001D7049">
        <w:rPr>
          <w:sz w:val="22"/>
          <w:szCs w:val="22"/>
          <w:lang w:val="sr-Latn-ME"/>
        </w:rPr>
        <w:t>ertapenemom</w:t>
      </w:r>
      <w:proofErr w:type="spellEnd"/>
      <w:r w:rsidRPr="001D7049">
        <w:rPr>
          <w:sz w:val="22"/>
          <w:szCs w:val="22"/>
          <w:lang w:val="sr-Latn-ME"/>
        </w:rPr>
        <w:t xml:space="preserve">. Terapija je prekinuta zbog neželjenih reakcija kod 1,3% pacijenata. Dodatnih 476 pacijenata primilo je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u jednokratnoj dozi od 1 g prije hirurškog zahvata u kliničkoj studiji o profilaksi infekcije na mjestu operativnog </w:t>
      </w:r>
      <w:r w:rsidRPr="001D7049">
        <w:rPr>
          <w:sz w:val="22"/>
          <w:szCs w:val="22"/>
          <w:lang w:val="sr-Latn-ME"/>
        </w:rPr>
        <w:lastRenderedPageBreak/>
        <w:t xml:space="preserve">zahvata nakon </w:t>
      </w:r>
      <w:proofErr w:type="spellStart"/>
      <w:r w:rsidRPr="001D7049">
        <w:rPr>
          <w:sz w:val="22"/>
          <w:szCs w:val="22"/>
          <w:lang w:val="sr-Latn-ME"/>
        </w:rPr>
        <w:t>kolorektalne</w:t>
      </w:r>
      <w:proofErr w:type="spellEnd"/>
      <w:r w:rsidRPr="001D7049">
        <w:rPr>
          <w:sz w:val="22"/>
          <w:szCs w:val="22"/>
          <w:lang w:val="sr-Latn-ME"/>
        </w:rPr>
        <w:t xml:space="preserve"> hirurške intervencije. Kod pacijenata koji su primali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>, najčešće neželjene reakcije, koje su zabilježene tokom terapije i tokom 14-dnevnog praćenja po završetku terapije, bile su: dijareja (4,8%), komplikacije vezane za venu na mjestu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davanja infuzije (4,5%) i </w:t>
      </w:r>
      <w:proofErr w:type="spellStart"/>
      <w:r w:rsidRPr="001D7049">
        <w:rPr>
          <w:sz w:val="22"/>
          <w:szCs w:val="22"/>
          <w:lang w:val="sr-Latn-ME"/>
        </w:rPr>
        <w:t>nauseja</w:t>
      </w:r>
      <w:proofErr w:type="spellEnd"/>
      <w:r w:rsidRPr="001D7049">
        <w:rPr>
          <w:sz w:val="22"/>
          <w:szCs w:val="22"/>
          <w:lang w:val="sr-Latn-ME"/>
        </w:rPr>
        <w:t xml:space="preserve"> (2,8%). </w:t>
      </w:r>
    </w:p>
    <w:p w14:paraId="353FA518" w14:textId="0831D899" w:rsidR="00BF377E" w:rsidRPr="001D7049" w:rsidRDefault="00BF377E" w:rsidP="00D9516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Kod pacijenata koji su primali samo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, najčešća zabilježena odstupanja od normalnih </w:t>
      </w:r>
      <w:r w:rsidR="004E6F83" w:rsidRPr="001D7049">
        <w:rPr>
          <w:sz w:val="22"/>
          <w:szCs w:val="22"/>
          <w:lang w:val="sr-Latn-ME"/>
        </w:rPr>
        <w:t>vrijednosti laboratorijskih</w:t>
      </w:r>
      <w:r w:rsidRPr="001D7049">
        <w:rPr>
          <w:sz w:val="22"/>
          <w:szCs w:val="22"/>
          <w:lang w:val="sr-Latn-ME"/>
        </w:rPr>
        <w:t xml:space="preserve"> parametara i njihova učestalost izražena u procentima, tokom terapije, kao i tokom 14-dnevnog praćenja po završetku terapije, bile su: povećane vrijednosti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ALT (4,6%), AST (4,6%), alkalne </w:t>
      </w:r>
      <w:proofErr w:type="spellStart"/>
      <w:r w:rsidRPr="001D7049">
        <w:rPr>
          <w:sz w:val="22"/>
          <w:szCs w:val="22"/>
          <w:lang w:val="sr-Latn-ME"/>
        </w:rPr>
        <w:t>fosfataze</w:t>
      </w:r>
      <w:proofErr w:type="spellEnd"/>
      <w:r w:rsidRPr="001D7049">
        <w:rPr>
          <w:sz w:val="22"/>
          <w:szCs w:val="22"/>
          <w:lang w:val="sr-Latn-ME"/>
        </w:rPr>
        <w:t xml:space="preserve"> (3,8%) i povećanje broja </w:t>
      </w:r>
      <w:proofErr w:type="spellStart"/>
      <w:r w:rsidRPr="001D7049">
        <w:rPr>
          <w:sz w:val="22"/>
          <w:szCs w:val="22"/>
          <w:lang w:val="sr-Latn-ME"/>
        </w:rPr>
        <w:t>trombocita</w:t>
      </w:r>
      <w:proofErr w:type="spellEnd"/>
      <w:r w:rsidRPr="001D7049">
        <w:rPr>
          <w:sz w:val="22"/>
          <w:szCs w:val="22"/>
          <w:lang w:val="sr-Latn-ME"/>
        </w:rPr>
        <w:t xml:space="preserve"> (3,0%). </w:t>
      </w:r>
    </w:p>
    <w:p w14:paraId="65AD47C2" w14:textId="77777777" w:rsidR="00BF377E" w:rsidRPr="001D7049" w:rsidRDefault="00BF377E" w:rsidP="00D9516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3A6C69A" w14:textId="77777777" w:rsidR="00BF377E" w:rsidRPr="001D7049" w:rsidRDefault="00BF377E" w:rsidP="00700694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1D7049">
        <w:rPr>
          <w:i/>
          <w:sz w:val="22"/>
          <w:szCs w:val="22"/>
          <w:lang w:val="sr-Latn-ME"/>
        </w:rPr>
        <w:t xml:space="preserve">Pedijatrijska populacija (uzrasta od 3 mjeseca do 17 godina) </w:t>
      </w:r>
    </w:p>
    <w:p w14:paraId="701DD5B6" w14:textId="77777777" w:rsidR="00BF377E" w:rsidRPr="001D7049" w:rsidRDefault="00BF377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Ukupan broj pacijenata liječenih </w:t>
      </w:r>
      <w:proofErr w:type="spellStart"/>
      <w:r w:rsidRPr="001D7049">
        <w:rPr>
          <w:sz w:val="22"/>
          <w:szCs w:val="22"/>
          <w:lang w:val="sr-Latn-ME"/>
        </w:rPr>
        <w:t>ertapenemom</w:t>
      </w:r>
      <w:proofErr w:type="spellEnd"/>
      <w:r w:rsidRPr="001D7049">
        <w:rPr>
          <w:sz w:val="22"/>
          <w:szCs w:val="22"/>
          <w:lang w:val="sr-Latn-ME"/>
        </w:rPr>
        <w:t xml:space="preserve"> u kliničkim studijama bio je 384. Sveukupan </w:t>
      </w:r>
      <w:proofErr w:type="spellStart"/>
      <w:r w:rsidRPr="001D7049">
        <w:rPr>
          <w:sz w:val="22"/>
          <w:szCs w:val="22"/>
          <w:lang w:val="sr-Latn-ME"/>
        </w:rPr>
        <w:t>bezbjednosni</w:t>
      </w:r>
      <w:proofErr w:type="spellEnd"/>
      <w:r w:rsidRPr="001D7049">
        <w:rPr>
          <w:sz w:val="22"/>
          <w:szCs w:val="22"/>
          <w:lang w:val="sr-Latn-ME"/>
        </w:rPr>
        <w:t xml:space="preserve"> profil lijeka bio je uporediv sa </w:t>
      </w:r>
      <w:proofErr w:type="spellStart"/>
      <w:r w:rsidRPr="001D7049">
        <w:rPr>
          <w:sz w:val="22"/>
          <w:szCs w:val="22"/>
          <w:lang w:val="sr-Latn-ME"/>
        </w:rPr>
        <w:t>bezbjednosnim</w:t>
      </w:r>
      <w:proofErr w:type="spellEnd"/>
      <w:r w:rsidRPr="001D7049">
        <w:rPr>
          <w:sz w:val="22"/>
          <w:szCs w:val="22"/>
          <w:lang w:val="sr-Latn-ME"/>
        </w:rPr>
        <w:t xml:space="preserve"> profilom kod odraslih. Neželjene reakcije (na primjer one za koje je istraživač smatrao da su moguće, vjerovatno ili sigurno izazvane ispitivanim lijekom), zabilježene su kod približno 20,8% pacijenata liječenih </w:t>
      </w:r>
      <w:proofErr w:type="spellStart"/>
      <w:r w:rsidRPr="001D7049">
        <w:rPr>
          <w:sz w:val="22"/>
          <w:szCs w:val="22"/>
          <w:lang w:val="sr-Latn-ME"/>
        </w:rPr>
        <w:t>ertapenemom</w:t>
      </w:r>
      <w:proofErr w:type="spellEnd"/>
      <w:r w:rsidRPr="001D7049">
        <w:rPr>
          <w:sz w:val="22"/>
          <w:szCs w:val="22"/>
          <w:lang w:val="sr-Latn-ME"/>
        </w:rPr>
        <w:t xml:space="preserve">. Terapija je prekinuta zbog neželjenih reakcija kod 0,5% pacijenata. </w:t>
      </w:r>
    </w:p>
    <w:p w14:paraId="439CAA2B" w14:textId="7B4F1635" w:rsidR="00BF377E" w:rsidRPr="001D7049" w:rsidRDefault="00BF377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Kod pacijenata koji su primali samo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>, najčešće neželjene reakcije, koje su zabilježene tokom terapije i 14-dnevnog perioda praćenja nakon završetka terapije, bile su: dijareja (5,2%) i bol na mjestu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davanja infuzije (6,1%). </w:t>
      </w:r>
    </w:p>
    <w:p w14:paraId="6C39019E" w14:textId="2B2C94CF" w:rsidR="00BF377E" w:rsidRPr="001D7049" w:rsidRDefault="00BF377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Kod pacijenata koji su primali samo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>, najčešća zabilježena odstupanja od normalnih vrijednosti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laboratorijskih parametara i njihova učestalost izražena u procentima tokom terapije, kao i tokom 14- dnevnog perioda praćenja nakon završetka terapije, bili su: smanjen broj </w:t>
      </w:r>
      <w:proofErr w:type="spellStart"/>
      <w:r w:rsidRPr="001D7049">
        <w:rPr>
          <w:sz w:val="22"/>
          <w:szCs w:val="22"/>
          <w:lang w:val="sr-Latn-ME"/>
        </w:rPr>
        <w:t>neutrofila</w:t>
      </w:r>
      <w:proofErr w:type="spellEnd"/>
      <w:r w:rsidRPr="001D7049">
        <w:rPr>
          <w:sz w:val="22"/>
          <w:szCs w:val="22"/>
          <w:lang w:val="sr-Latn-ME"/>
        </w:rPr>
        <w:t xml:space="preserve"> (3,0%) i povećane vrijednosti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ALT (2,9%) i AST (2,8%). </w:t>
      </w:r>
    </w:p>
    <w:p w14:paraId="62000DF9" w14:textId="77777777" w:rsidR="00BF377E" w:rsidRPr="001D7049" w:rsidRDefault="00BF377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724E1CC" w14:textId="77777777" w:rsidR="00BF377E" w:rsidRPr="001D7049" w:rsidRDefault="00BF377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1D7049">
        <w:rPr>
          <w:sz w:val="22"/>
          <w:szCs w:val="22"/>
          <w:u w:val="single"/>
          <w:lang w:val="sr-Latn-ME"/>
        </w:rPr>
        <w:t>Tabelarani</w:t>
      </w:r>
      <w:proofErr w:type="spellEnd"/>
      <w:r w:rsidRPr="001D7049">
        <w:rPr>
          <w:sz w:val="22"/>
          <w:szCs w:val="22"/>
          <w:u w:val="single"/>
          <w:lang w:val="sr-Latn-ME"/>
        </w:rPr>
        <w:t xml:space="preserve"> prikaz neželjenih reakcija</w:t>
      </w:r>
      <w:r w:rsidRPr="001D7049">
        <w:rPr>
          <w:sz w:val="22"/>
          <w:szCs w:val="22"/>
          <w:lang w:val="sr-Latn-ME"/>
        </w:rPr>
        <w:t xml:space="preserve"> </w:t>
      </w:r>
    </w:p>
    <w:p w14:paraId="59D63DAF" w14:textId="68558930" w:rsidR="004E6F83" w:rsidRPr="001D7049" w:rsidRDefault="00BF377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Kod pacijenata koji su primali samo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>, tokom terapije i 14-dnevnog perioda praćenja nakon završetka terapije, zabilježene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su sljedeće neželjene reakcije: </w:t>
      </w:r>
    </w:p>
    <w:p w14:paraId="57D67113" w14:textId="33ACADCB" w:rsidR="004E6F83" w:rsidRPr="001D7049" w:rsidRDefault="00BF377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>Česte (≥1/100 do &lt; 1/100), rijetke (≥ 1/10000 do &lt; 1/1000), veoma rijetke (&lt;1/10000); Nepoznate učestalosti (učestalost se ne može procijeniti na osnovu dostupnih podataka)</w:t>
      </w:r>
      <w:r w:rsidR="004E6F83" w:rsidRPr="001D7049">
        <w:rPr>
          <w:sz w:val="22"/>
          <w:szCs w:val="22"/>
          <w:lang w:val="sr-Latn-ME"/>
        </w:rPr>
        <w:t>.</w:t>
      </w:r>
    </w:p>
    <w:p w14:paraId="1CF72EDF" w14:textId="53A60B87" w:rsidR="00BF377E" w:rsidRPr="001D7049" w:rsidRDefault="00BF377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tbl>
      <w:tblPr>
        <w:tblW w:w="9529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2"/>
        <w:gridCol w:w="3685"/>
        <w:gridCol w:w="3402"/>
      </w:tblGrid>
      <w:tr w:rsidR="00BF377E" w:rsidRPr="001D7049" w14:paraId="36E1C42E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DD9BB" w14:textId="77777777" w:rsidR="00BF377E" w:rsidRPr="001D7049" w:rsidRDefault="00BF377E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31B03" w14:textId="77777777" w:rsidR="00FA369D" w:rsidRPr="001D7049" w:rsidRDefault="00BF377E" w:rsidP="009569E2">
            <w:pPr>
              <w:widowControl w:val="0"/>
              <w:ind w:left="102"/>
              <w:jc w:val="both"/>
              <w:rPr>
                <w:rFonts w:eastAsia="Calibri"/>
                <w:b/>
                <w:bCs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Calibri"/>
                <w:b/>
                <w:bCs/>
                <w:i/>
                <w:iCs/>
                <w:color w:val="0D0D0D"/>
                <w:sz w:val="22"/>
                <w:szCs w:val="22"/>
                <w:lang w:val="sr-Latn-ME"/>
              </w:rPr>
              <w:t>Odrasli pacijenti uzrasta od 18 godina</w:t>
            </w:r>
          </w:p>
          <w:p w14:paraId="6126C807" w14:textId="610ED44B" w:rsidR="00BF377E" w:rsidRPr="001D7049" w:rsidRDefault="00BF377E" w:rsidP="009569E2">
            <w:pPr>
              <w:widowControl w:val="0"/>
              <w:ind w:left="102"/>
              <w:jc w:val="both"/>
              <w:rPr>
                <w:rFonts w:eastAsia="Calibri"/>
                <w:b/>
                <w:bCs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Calibri"/>
                <w:b/>
                <w:bCs/>
                <w:i/>
                <w:iCs/>
                <w:color w:val="0D0D0D"/>
                <w:sz w:val="22"/>
                <w:szCs w:val="22"/>
                <w:lang w:val="sr-Latn-ME"/>
              </w:rPr>
              <w:t xml:space="preserve"> i stariji: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7F795" w14:textId="68D7870F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Calibri"/>
                <w:b/>
                <w:bCs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Calibri"/>
                <w:b/>
                <w:bCs/>
                <w:i/>
                <w:iCs/>
                <w:color w:val="0D0D0D"/>
                <w:sz w:val="22"/>
                <w:szCs w:val="22"/>
                <w:lang w:val="sr-Latn-ME"/>
              </w:rPr>
              <w:t>Djeca i adolescenti</w:t>
            </w:r>
            <w:r w:rsidR="00116F05" w:rsidRPr="001D7049">
              <w:rPr>
                <w:rFonts w:eastAsia="Calibri"/>
                <w:b/>
                <w:bCs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Calibri"/>
                <w:b/>
                <w:bCs/>
                <w:i/>
                <w:iCs/>
                <w:color w:val="0D0D0D"/>
                <w:sz w:val="22"/>
                <w:szCs w:val="22"/>
                <w:lang w:val="sr-Latn-ME"/>
              </w:rPr>
              <w:t>(uzrasta od 3 mjeseca do 17 godina):</w:t>
            </w:r>
          </w:p>
        </w:tc>
      </w:tr>
      <w:tr w:rsidR="00BF377E" w:rsidRPr="001D7049" w14:paraId="4E23788C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FE345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 xml:space="preserve">Infekcije i </w:t>
            </w:r>
            <w:proofErr w:type="spellStart"/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infestacije</w:t>
            </w:r>
            <w:proofErr w:type="spellEnd"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E7747" w14:textId="77777777" w:rsidR="00BF377E" w:rsidRPr="001D7049" w:rsidRDefault="00BF377E" w:rsidP="00D95164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>Povremene:</w:t>
            </w: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oralna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kandidijaza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,</w:t>
            </w:r>
          </w:p>
          <w:p w14:paraId="37A2B4E3" w14:textId="77777777" w:rsidR="00BF377E" w:rsidRPr="001D7049" w:rsidRDefault="00BF377E" w:rsidP="00D95164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kandidijaza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, gljivična infekcija,</w:t>
            </w:r>
          </w:p>
          <w:p w14:paraId="780236FD" w14:textId="77777777" w:rsidR="00BF377E" w:rsidRPr="001D7049" w:rsidRDefault="00BF377E" w:rsidP="00D95164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pseudomembranozni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enterokolitis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,</w:t>
            </w:r>
          </w:p>
          <w:p w14:paraId="08046F8A" w14:textId="77777777" w:rsidR="00BF377E" w:rsidRPr="001D7049" w:rsidRDefault="00BF377E" w:rsidP="00700694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vaginitis</w:t>
            </w:r>
            <w:proofErr w:type="spellEnd"/>
          </w:p>
          <w:p w14:paraId="2D37BCB4" w14:textId="1A0FE8A7" w:rsidR="00BF377E" w:rsidRPr="001D7049" w:rsidRDefault="00BF377E" w:rsidP="00700694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>Rijetke</w:t>
            </w: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:</w:t>
            </w:r>
            <w:r w:rsidR="00116F05"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pneumonija,</w:t>
            </w:r>
            <w:r w:rsidR="00116F05"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dermatomikoze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,</w:t>
            </w:r>
          </w:p>
          <w:p w14:paraId="4E4F0860" w14:textId="77777777" w:rsidR="00BF377E" w:rsidRPr="001D7049" w:rsidRDefault="00BF377E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postoperativna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 xml:space="preserve"> infekcija rane, infekcija </w:t>
            </w:r>
            <w:proofErr w:type="spellStart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urinarnog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 xml:space="preserve"> trakta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1338D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</w:tr>
      <w:tr w:rsidR="00BF377E" w:rsidRPr="001D7049" w14:paraId="69FC6831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461E9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8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Poremećaji krvi i</w:t>
            </w:r>
          </w:p>
          <w:p w14:paraId="0BBCF353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limfnog sistema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F7C29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Rijetke: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neutropenija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trombocitopenija</w:t>
            </w:r>
            <w:proofErr w:type="spellEnd"/>
          </w:p>
          <w:p w14:paraId="34DB15E6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3ECB3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</w:tr>
      <w:tr w:rsidR="00BF377E" w:rsidRPr="001D7049" w14:paraId="2A48E489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5FF7D" w14:textId="347CD4EC" w:rsidR="00BF377E" w:rsidRPr="001D7049" w:rsidRDefault="00BF377E" w:rsidP="009569E2">
            <w:pPr>
              <w:widowControl w:val="0"/>
              <w:ind w:left="186" w:hanging="32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Poremećaji imunog sistema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7102A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Rijetke: alergija</w:t>
            </w:r>
          </w:p>
          <w:p w14:paraId="5353E61C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Nepoznata učestalost: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anafilaksa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</w:p>
          <w:p w14:paraId="54AFAB9E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uključujući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anafilaktoidne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reakcije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7B85E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</w:tr>
      <w:tr w:rsidR="00BF377E" w:rsidRPr="001D7049" w14:paraId="1FBF1ACE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4354F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8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Poremećaji metabolizma i</w:t>
            </w:r>
          </w:p>
          <w:p w14:paraId="0A2DF3DD" w14:textId="77777777" w:rsidR="00BF377E" w:rsidRPr="001D7049" w:rsidRDefault="00BF377E" w:rsidP="009569E2">
            <w:pPr>
              <w:widowControl w:val="0"/>
              <w:ind w:left="186" w:right="557" w:hanging="32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ishrane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128CC" w14:textId="77777777" w:rsidR="00BF377E" w:rsidRPr="001D7049" w:rsidRDefault="00BF377E" w:rsidP="009569E2">
            <w:pPr>
              <w:widowControl w:val="0"/>
              <w:ind w:left="21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i/>
                <w:color w:val="0D0D0D"/>
                <w:sz w:val="22"/>
                <w:szCs w:val="22"/>
                <w:lang w:val="sr-Latn-ME"/>
              </w:rPr>
              <w:t>Povremene:</w:t>
            </w:r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color w:val="0D0D0D"/>
                <w:sz w:val="22"/>
                <w:szCs w:val="22"/>
                <w:lang w:val="sr-Latn-ME"/>
              </w:rPr>
              <w:t>anoreksija</w:t>
            </w:r>
            <w:proofErr w:type="spellEnd"/>
          </w:p>
          <w:p w14:paraId="01B6E6D7" w14:textId="77777777" w:rsidR="00BF377E" w:rsidRPr="001D7049" w:rsidRDefault="00BF377E" w:rsidP="009569E2">
            <w:pPr>
              <w:widowControl w:val="0"/>
              <w:ind w:left="21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i/>
                <w:color w:val="0D0D0D"/>
                <w:sz w:val="22"/>
                <w:szCs w:val="22"/>
                <w:lang w:val="sr-Latn-ME"/>
              </w:rPr>
              <w:t>Rijetke</w:t>
            </w:r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: </w:t>
            </w:r>
            <w:proofErr w:type="spellStart"/>
            <w:r w:rsidRPr="001D7049">
              <w:rPr>
                <w:color w:val="0D0D0D"/>
                <w:sz w:val="22"/>
                <w:szCs w:val="22"/>
                <w:lang w:val="sr-Latn-ME"/>
              </w:rPr>
              <w:t>hipoglikemija</w:t>
            </w:r>
            <w:proofErr w:type="spellEnd"/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27994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</w:tr>
      <w:tr w:rsidR="00BF377E" w:rsidRPr="001D7049" w14:paraId="55CD2891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41ADF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 xml:space="preserve">Psihijatrijski poremećaji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77BCE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Povremene: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nesanica, konfuzija</w:t>
            </w: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</w:p>
          <w:p w14:paraId="119580C8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Rijetke: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agitiranost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, anksioznost, depresija</w:t>
            </w:r>
          </w:p>
          <w:p w14:paraId="7C9D0A4A" w14:textId="34013D73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Nepoznata učestalost: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izmijenjen mentalni</w:t>
            </w:r>
            <w:r w:rsidR="00FA369D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status</w:t>
            </w:r>
            <w:r w:rsidR="00FA369D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(uključujući</w:t>
            </w:r>
            <w:r w:rsidR="00FA369D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agresivnost,</w:t>
            </w:r>
            <w:r w:rsidR="00116F05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delirijum,</w:t>
            </w:r>
            <w:r w:rsidR="00116F05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dezorijentisanos</w:t>
            </w:r>
            <w:r w:rsidR="00FA369D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t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,</w:t>
            </w:r>
            <w:r w:rsidR="00116F05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promjene u mentalnom stanju)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0A72E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Neznata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: </w:t>
            </w: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izmijenjen</w:t>
            </w:r>
          </w:p>
          <w:p w14:paraId="413A5193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mentalni status</w:t>
            </w:r>
          </w:p>
          <w:p w14:paraId="75584147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(uključujući agresivnost)</w:t>
            </w:r>
          </w:p>
        </w:tc>
      </w:tr>
      <w:tr w:rsidR="00BF377E" w:rsidRPr="001D7049" w14:paraId="2BD1FD19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A328B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Poremećaji nervnog</w:t>
            </w:r>
          </w:p>
          <w:p w14:paraId="4891DF9A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sistema</w:t>
            </w:r>
          </w:p>
          <w:p w14:paraId="1F3C005F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705CA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Česte: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glavobolja</w:t>
            </w:r>
          </w:p>
          <w:p w14:paraId="48D608F3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Povremene: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vrtoglavica, pospanost, </w:t>
            </w:r>
          </w:p>
          <w:p w14:paraId="562221B3" w14:textId="2E9F24D8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izm</w:t>
            </w:r>
            <w:r w:rsidR="00116F05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ij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enjen ukus, konvulzije (vidjeti</w:t>
            </w:r>
            <w:r w:rsidR="00D95164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dio4.4)</w:t>
            </w:r>
          </w:p>
          <w:p w14:paraId="7673BE8B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Rijetke: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tremor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, sinkopa</w:t>
            </w:r>
          </w:p>
          <w:p w14:paraId="5161D7A0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Nepoznata učestalost: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halucinacije, </w:t>
            </w:r>
          </w:p>
          <w:p w14:paraId="3199FC27" w14:textId="428539C1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smanjen nivo sv</w:t>
            </w:r>
            <w:r w:rsidR="00116F05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ij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esti,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diskinezija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, </w:t>
            </w:r>
          </w:p>
          <w:p w14:paraId="7B6B34A3" w14:textId="2A55318F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mioklonus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, poremećaj hoda,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encefalopatija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(vidjeti</w:t>
            </w:r>
            <w:r w:rsidR="00D95164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dio 4.4)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F5490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Povremene: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glavobolja</w:t>
            </w:r>
          </w:p>
          <w:p w14:paraId="5EEC022F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Nepoznata učestalost: </w:t>
            </w:r>
          </w:p>
          <w:p w14:paraId="1F1CB82B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halucinacije</w:t>
            </w:r>
          </w:p>
        </w:tc>
      </w:tr>
      <w:tr w:rsidR="00BF377E" w:rsidRPr="001D7049" w14:paraId="6B38FF1B" w14:textId="77777777" w:rsidTr="00FA369D">
        <w:trPr>
          <w:trHeight w:val="255"/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779C1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6BA81" w14:textId="77777777" w:rsidR="00BF377E" w:rsidRPr="001D7049" w:rsidRDefault="00BF377E" w:rsidP="009569E2">
            <w:pPr>
              <w:widowControl w:val="0"/>
              <w:ind w:left="21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>Rijetke</w:t>
            </w: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: poremećaj beonjače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DB518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</w:tr>
      <w:tr w:rsidR="00BF377E" w:rsidRPr="001D7049" w14:paraId="38A9579C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FA127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 xml:space="preserve">Kardiološki poremećaji </w:t>
            </w:r>
          </w:p>
          <w:p w14:paraId="7AF60FD5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A6733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Povremene: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sinusna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bradikardija</w:t>
            </w:r>
            <w:proofErr w:type="spellEnd"/>
          </w:p>
          <w:p w14:paraId="0BE5DD15" w14:textId="77777777" w:rsidR="00BF377E" w:rsidRPr="001D7049" w:rsidRDefault="00BF377E" w:rsidP="009569E2">
            <w:pPr>
              <w:widowControl w:val="0"/>
              <w:ind w:left="21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Rijetke: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aritmija, tahikardija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F2208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</w:tr>
      <w:tr w:rsidR="00BF377E" w:rsidRPr="001D7049" w14:paraId="1F621742" w14:textId="77777777" w:rsidTr="00FA369D">
        <w:trPr>
          <w:trHeight w:val="839"/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2D92E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2ADED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Česte: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komplikacije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na veni u koju se</w:t>
            </w:r>
          </w:p>
          <w:p w14:paraId="52F72C5F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daje infuzija, flebitis/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tromboflebitis</w:t>
            </w:r>
            <w:proofErr w:type="spellEnd"/>
          </w:p>
          <w:p w14:paraId="6F6E1917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Povremene: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hipotenzija</w:t>
            </w:r>
            <w:proofErr w:type="spellEnd"/>
          </w:p>
          <w:p w14:paraId="6DC58CBA" w14:textId="77777777" w:rsidR="00BF377E" w:rsidRPr="001D7049" w:rsidRDefault="00BF377E" w:rsidP="009569E2">
            <w:pPr>
              <w:widowControl w:val="0"/>
              <w:ind w:left="210" w:right="488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Rijetke: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hemoragija, povišeni krvni pritisak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4A1B2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Povremene: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navale </w:t>
            </w:r>
          </w:p>
          <w:p w14:paraId="02AC19B0" w14:textId="277CB990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vrućine,</w:t>
            </w:r>
            <w:r w:rsidR="00116F05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hipertenzija</w:t>
            </w:r>
          </w:p>
        </w:tc>
      </w:tr>
      <w:tr w:rsidR="00BF377E" w:rsidRPr="001D7049" w14:paraId="65E84E54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2F9CD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8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Respiratorni, torakalni i</w:t>
            </w:r>
          </w:p>
          <w:p w14:paraId="05D5E825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8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medijastinalni</w:t>
            </w:r>
            <w:proofErr w:type="spellEnd"/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 xml:space="preserve"> poremećaji</w:t>
            </w:r>
          </w:p>
          <w:p w14:paraId="7A378F88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8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482C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Povremene: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dispnea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osećaj</w:t>
            </w:r>
            <w:proofErr w:type="spellEnd"/>
          </w:p>
          <w:p w14:paraId="13FF8BE4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nelagodnosti u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ždrelu</w:t>
            </w:r>
            <w:proofErr w:type="spellEnd"/>
          </w:p>
          <w:p w14:paraId="4DA65D61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Rijetke: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nazalna kongestija, kašalj, </w:t>
            </w:r>
          </w:p>
          <w:p w14:paraId="02592AE2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epistaksa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, glasno disanje uz zvuk nalik hrkanju, škripanje i zviždanje u plućima (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vizing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ECF02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</w:tr>
      <w:tr w:rsidR="00BF377E" w:rsidRPr="001D7049" w14:paraId="63BEBC86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1CBC1" w14:textId="77777777" w:rsidR="00BF377E" w:rsidRPr="001D7049" w:rsidRDefault="00BF377E" w:rsidP="009569E2">
            <w:pPr>
              <w:widowControl w:val="0"/>
              <w:ind w:left="186" w:right="231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Gastrointestinalni</w:t>
            </w:r>
          </w:p>
          <w:p w14:paraId="71C2596B" w14:textId="77777777" w:rsidR="00BF377E" w:rsidRPr="001D7049" w:rsidRDefault="00BF377E" w:rsidP="009569E2">
            <w:pPr>
              <w:widowControl w:val="0"/>
              <w:ind w:left="186" w:right="231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poremećaji</w:t>
            </w:r>
          </w:p>
          <w:p w14:paraId="47ED4173" w14:textId="77777777" w:rsidR="00BF377E" w:rsidRPr="001D7049" w:rsidRDefault="00BF377E" w:rsidP="009569E2">
            <w:pPr>
              <w:widowControl w:val="0"/>
              <w:ind w:left="186" w:right="231" w:hanging="32"/>
              <w:jc w:val="both"/>
              <w:rPr>
                <w:i/>
                <w:color w:val="0D0D0D"/>
                <w:spacing w:val="-2"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4C20C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i/>
                <w:color w:val="0D0D0D"/>
                <w:spacing w:val="-2"/>
                <w:sz w:val="22"/>
                <w:szCs w:val="22"/>
                <w:lang w:val="sr-Latn-ME"/>
              </w:rPr>
            </w:pPr>
            <w:r w:rsidRPr="001D7049">
              <w:rPr>
                <w:i/>
                <w:color w:val="0D0D0D"/>
                <w:spacing w:val="-2"/>
                <w:sz w:val="22"/>
                <w:szCs w:val="22"/>
                <w:lang w:val="sr-Latn-ME"/>
              </w:rPr>
              <w:t xml:space="preserve">Česte: </w:t>
            </w:r>
            <w:r w:rsidRPr="001D7049">
              <w:rPr>
                <w:color w:val="0D0D0D"/>
                <w:spacing w:val="-2"/>
                <w:sz w:val="22"/>
                <w:szCs w:val="22"/>
                <w:lang w:val="sr-Latn-ME"/>
              </w:rPr>
              <w:t>dijareja, mučnina, povraćanje</w:t>
            </w:r>
          </w:p>
          <w:p w14:paraId="0FC54E6F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i/>
                <w:color w:val="0D0D0D"/>
                <w:spacing w:val="-2"/>
                <w:sz w:val="22"/>
                <w:szCs w:val="22"/>
                <w:lang w:val="sr-Latn-ME"/>
              </w:rPr>
            </w:pPr>
            <w:r w:rsidRPr="001D7049">
              <w:rPr>
                <w:i/>
                <w:color w:val="0D0D0D"/>
                <w:spacing w:val="-2"/>
                <w:sz w:val="22"/>
                <w:szCs w:val="22"/>
                <w:lang w:val="sr-Latn-ME"/>
              </w:rPr>
              <w:t xml:space="preserve">Povremene: </w:t>
            </w:r>
            <w:r w:rsidRPr="001D7049">
              <w:rPr>
                <w:color w:val="0D0D0D"/>
                <w:spacing w:val="-2"/>
                <w:sz w:val="22"/>
                <w:szCs w:val="22"/>
                <w:lang w:val="sr-Latn-ME"/>
              </w:rPr>
              <w:t xml:space="preserve">konstipacija, </w:t>
            </w:r>
            <w:proofErr w:type="spellStart"/>
            <w:r w:rsidRPr="001D7049">
              <w:rPr>
                <w:color w:val="0D0D0D"/>
                <w:spacing w:val="-2"/>
                <w:sz w:val="22"/>
                <w:szCs w:val="22"/>
                <w:lang w:val="sr-Latn-ME"/>
              </w:rPr>
              <w:t>regurgitacija</w:t>
            </w:r>
            <w:proofErr w:type="spellEnd"/>
            <w:r w:rsidRPr="001D7049">
              <w:rPr>
                <w:color w:val="0D0D0D"/>
                <w:spacing w:val="-2"/>
                <w:sz w:val="22"/>
                <w:szCs w:val="22"/>
                <w:lang w:val="sr-Latn-ME"/>
              </w:rPr>
              <w:t xml:space="preserve"> kiseline, suva usta, dispepsija, abdominalni bol</w:t>
            </w:r>
          </w:p>
          <w:p w14:paraId="1F5EA668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i/>
                <w:color w:val="0D0D0D"/>
                <w:spacing w:val="-2"/>
                <w:sz w:val="22"/>
                <w:szCs w:val="22"/>
                <w:lang w:val="sr-Latn-ME"/>
              </w:rPr>
            </w:pPr>
            <w:r w:rsidRPr="001D7049">
              <w:rPr>
                <w:i/>
                <w:color w:val="0D0D0D"/>
                <w:spacing w:val="-2"/>
                <w:sz w:val="22"/>
                <w:szCs w:val="22"/>
                <w:lang w:val="sr-Latn-ME"/>
              </w:rPr>
              <w:t xml:space="preserve">Rijetke: </w:t>
            </w:r>
            <w:proofErr w:type="spellStart"/>
            <w:r w:rsidRPr="001D7049">
              <w:rPr>
                <w:color w:val="0D0D0D"/>
                <w:spacing w:val="-2"/>
                <w:sz w:val="22"/>
                <w:szCs w:val="22"/>
                <w:lang w:val="sr-Latn-ME"/>
              </w:rPr>
              <w:t>disfagija</w:t>
            </w:r>
            <w:proofErr w:type="spellEnd"/>
            <w:r w:rsidRPr="001D7049">
              <w:rPr>
                <w:color w:val="0D0D0D"/>
                <w:spacing w:val="-2"/>
                <w:sz w:val="22"/>
                <w:szCs w:val="22"/>
                <w:lang w:val="sr-Latn-ME"/>
              </w:rPr>
              <w:t xml:space="preserve">, inkontinencija stolice, karlični </w:t>
            </w:r>
            <w:proofErr w:type="spellStart"/>
            <w:r w:rsidRPr="001D7049">
              <w:rPr>
                <w:color w:val="0D0D0D"/>
                <w:spacing w:val="-2"/>
                <w:sz w:val="22"/>
                <w:szCs w:val="22"/>
                <w:lang w:val="sr-Latn-ME"/>
              </w:rPr>
              <w:t>peritonitis</w:t>
            </w:r>
            <w:proofErr w:type="spellEnd"/>
          </w:p>
          <w:p w14:paraId="0D22B276" w14:textId="77777777" w:rsidR="00BF377E" w:rsidRPr="001D7049" w:rsidRDefault="00BF377E" w:rsidP="009569E2">
            <w:pPr>
              <w:widowControl w:val="0"/>
              <w:ind w:left="210"/>
              <w:jc w:val="both"/>
              <w:rPr>
                <w:i/>
                <w:color w:val="0D0D0D"/>
                <w:spacing w:val="-2"/>
                <w:sz w:val="22"/>
                <w:szCs w:val="22"/>
                <w:lang w:val="sr-Latn-ME"/>
              </w:rPr>
            </w:pPr>
            <w:r w:rsidRPr="001D7049">
              <w:rPr>
                <w:i/>
                <w:color w:val="0D0D0D"/>
                <w:spacing w:val="-2"/>
                <w:sz w:val="22"/>
                <w:szCs w:val="22"/>
                <w:lang w:val="sr-Latn-ME"/>
              </w:rPr>
              <w:t xml:space="preserve">Nepoznata učestalost: </w:t>
            </w:r>
            <w:r w:rsidRPr="001D7049">
              <w:rPr>
                <w:color w:val="0D0D0D"/>
                <w:spacing w:val="-2"/>
                <w:sz w:val="22"/>
                <w:szCs w:val="22"/>
                <w:lang w:val="sr-Latn-ME"/>
              </w:rPr>
              <w:t>promjena boje zuba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01B5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i/>
                <w:color w:val="0D0D0D"/>
                <w:spacing w:val="-2"/>
                <w:sz w:val="22"/>
                <w:szCs w:val="22"/>
                <w:lang w:val="sr-Latn-ME"/>
              </w:rPr>
            </w:pPr>
            <w:r w:rsidRPr="001D7049">
              <w:rPr>
                <w:i/>
                <w:color w:val="0D0D0D"/>
                <w:spacing w:val="-2"/>
                <w:sz w:val="22"/>
                <w:szCs w:val="22"/>
                <w:lang w:val="sr-Latn-ME"/>
              </w:rPr>
              <w:t xml:space="preserve">Česte: </w:t>
            </w:r>
            <w:r w:rsidRPr="001D7049">
              <w:rPr>
                <w:color w:val="0D0D0D"/>
                <w:spacing w:val="-2"/>
                <w:sz w:val="22"/>
                <w:szCs w:val="22"/>
                <w:lang w:val="sr-Latn-ME"/>
              </w:rPr>
              <w:t>dijareja</w:t>
            </w:r>
          </w:p>
          <w:p w14:paraId="31BF3002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color w:val="0D0D0D"/>
                <w:spacing w:val="-2"/>
                <w:sz w:val="22"/>
                <w:szCs w:val="22"/>
                <w:lang w:val="sr-Latn-ME"/>
              </w:rPr>
            </w:pPr>
            <w:r w:rsidRPr="001D7049">
              <w:rPr>
                <w:i/>
                <w:color w:val="0D0D0D"/>
                <w:spacing w:val="-2"/>
                <w:sz w:val="22"/>
                <w:szCs w:val="22"/>
                <w:lang w:val="sr-Latn-ME"/>
              </w:rPr>
              <w:t xml:space="preserve">Povremene: </w:t>
            </w:r>
            <w:r w:rsidRPr="001D7049">
              <w:rPr>
                <w:color w:val="0D0D0D"/>
                <w:spacing w:val="-2"/>
                <w:sz w:val="22"/>
                <w:szCs w:val="22"/>
                <w:lang w:val="sr-Latn-ME"/>
              </w:rPr>
              <w:t>izmijenjena</w:t>
            </w:r>
          </w:p>
          <w:p w14:paraId="0EA1797F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pacing w:val="-2"/>
                <w:sz w:val="22"/>
                <w:szCs w:val="22"/>
                <w:lang w:val="sr-Latn-ME"/>
              </w:rPr>
              <w:t xml:space="preserve">boja stolice, </w:t>
            </w:r>
            <w:proofErr w:type="spellStart"/>
            <w:r w:rsidRPr="001D7049">
              <w:rPr>
                <w:color w:val="0D0D0D"/>
                <w:spacing w:val="-2"/>
                <w:sz w:val="22"/>
                <w:szCs w:val="22"/>
                <w:lang w:val="sr-Latn-ME"/>
              </w:rPr>
              <w:t>melena</w:t>
            </w:r>
            <w:proofErr w:type="spellEnd"/>
          </w:p>
        </w:tc>
      </w:tr>
      <w:tr w:rsidR="00BF377E" w:rsidRPr="001D7049" w14:paraId="1DD2507B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35425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86" w:hanging="32"/>
              <w:jc w:val="both"/>
              <w:rPr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lastRenderedPageBreak/>
              <w:t>Hepatobilijarni</w:t>
            </w:r>
            <w:proofErr w:type="spellEnd"/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 xml:space="preserve"> poremećaji </w:t>
            </w:r>
          </w:p>
          <w:p w14:paraId="42CFE5C2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E26E8" w14:textId="03E8BAB3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Rijetke: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holecistitis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, žutica,</w:t>
            </w:r>
            <w:r w:rsidR="00116F05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poremećaj funkcije jetre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76D8C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</w:tr>
      <w:tr w:rsidR="00BF377E" w:rsidRPr="001D7049" w14:paraId="2F08559C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63024" w14:textId="77777777" w:rsidR="00BF377E" w:rsidRPr="001D7049" w:rsidRDefault="00BF377E" w:rsidP="009569E2">
            <w:pPr>
              <w:widowControl w:val="0"/>
              <w:ind w:left="186" w:right="231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Poremećaji kože i potkožnog tkiva</w:t>
            </w:r>
          </w:p>
          <w:p w14:paraId="735191B1" w14:textId="77777777" w:rsidR="00BF377E" w:rsidRPr="001D7049" w:rsidRDefault="00BF377E" w:rsidP="009569E2">
            <w:pPr>
              <w:widowControl w:val="0"/>
              <w:ind w:left="186" w:right="231" w:hanging="32"/>
              <w:jc w:val="both"/>
              <w:rPr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F317C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Česte: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osip,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pruritus</w:t>
            </w:r>
            <w:proofErr w:type="spellEnd"/>
          </w:p>
          <w:p w14:paraId="482A1107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Povremene: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eritem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, urtikarija</w:t>
            </w:r>
          </w:p>
          <w:p w14:paraId="10DC0F1D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Rijetke: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dermatitis,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deskvamacija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, </w:t>
            </w:r>
          </w:p>
          <w:p w14:paraId="653C8FA5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hipersenzitivni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vaskulitis</w:t>
            </w:r>
            <w:proofErr w:type="spellEnd"/>
          </w:p>
          <w:p w14:paraId="5F5F8B0D" w14:textId="77777777" w:rsidR="00BF377E" w:rsidRPr="001D7049" w:rsidRDefault="00BF377E" w:rsidP="00D95164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Nepoznata učestalost: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akutna </w:t>
            </w:r>
          </w:p>
          <w:p w14:paraId="6F6650F4" w14:textId="215B128B" w:rsidR="00BF377E" w:rsidRPr="001D7049" w:rsidRDefault="00116F05" w:rsidP="00D95164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g</w:t>
            </w:r>
            <w:r w:rsidR="00BF377E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eneralizovana </w:t>
            </w:r>
            <w:proofErr w:type="spellStart"/>
            <w:r w:rsidR="00BF377E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egzentematozna</w:t>
            </w:r>
            <w:proofErr w:type="spellEnd"/>
            <w:r w:rsidR="00BF377E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BF377E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pustuloza</w:t>
            </w:r>
            <w:proofErr w:type="spellEnd"/>
            <w:r w:rsidR="00BF377E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(</w:t>
            </w:r>
            <w:proofErr w:type="spellStart"/>
            <w:r w:rsidR="00BF377E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AGEP</w:t>
            </w:r>
            <w:proofErr w:type="spellEnd"/>
            <w:r w:rsidR="00BF377E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), osip na koži sa </w:t>
            </w:r>
            <w:proofErr w:type="spellStart"/>
            <w:r w:rsidR="00BF377E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eozinofilijom</w:t>
            </w:r>
            <w:proofErr w:type="spellEnd"/>
            <w:r w:rsidR="00BF377E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i sistemskim simptomima (DRESS sindrom)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C9BAC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Česte: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pelenski dermatitis</w:t>
            </w:r>
          </w:p>
          <w:p w14:paraId="072CF938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Povremene: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eritem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, osip,</w:t>
            </w:r>
          </w:p>
          <w:p w14:paraId="636183C0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petehije</w:t>
            </w:r>
            <w:proofErr w:type="spellEnd"/>
          </w:p>
        </w:tc>
      </w:tr>
      <w:tr w:rsidR="00BF377E" w:rsidRPr="001D7049" w14:paraId="22EFBE54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91AFC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8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 xml:space="preserve">Poremećaji mišićno-koštanog </w:t>
            </w:r>
          </w:p>
          <w:p w14:paraId="571D232A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8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sistema i vezivnog tkiva</w:t>
            </w:r>
          </w:p>
          <w:p w14:paraId="13DAF893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8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ECB9C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Rijetke: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grčevi u mišićima, bol u ramenu</w:t>
            </w:r>
          </w:p>
          <w:p w14:paraId="6555FFF4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Nepoznata učestalost: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mišićna slabost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91D24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</w:tr>
      <w:tr w:rsidR="00BF377E" w:rsidRPr="001D7049" w14:paraId="353D0C6B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56498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 xml:space="preserve">Poremećaji bubrega i </w:t>
            </w:r>
          </w:p>
          <w:p w14:paraId="66D11161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urinarnog</w:t>
            </w:r>
            <w:proofErr w:type="spellEnd"/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 xml:space="preserve"> sistema</w:t>
            </w:r>
          </w:p>
          <w:p w14:paraId="7D94A13C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A6352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Rijetke: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bubrežna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insuficijencija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,</w:t>
            </w:r>
          </w:p>
          <w:p w14:paraId="25C1299E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akutna bubrežna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insuficijencija</w:t>
            </w:r>
            <w:proofErr w:type="spellEnd"/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64A4B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</w:tr>
      <w:tr w:rsidR="00BF377E" w:rsidRPr="001D7049" w14:paraId="51D173E6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23161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 xml:space="preserve">Trudnoća, </w:t>
            </w:r>
            <w:proofErr w:type="spellStart"/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puerperijum</w:t>
            </w:r>
            <w:proofErr w:type="spellEnd"/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 xml:space="preserve"> i </w:t>
            </w:r>
            <w:proofErr w:type="spellStart"/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perinatalna</w:t>
            </w:r>
            <w:proofErr w:type="spellEnd"/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 xml:space="preserve"> stanja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CF4D0" w14:textId="77777777" w:rsidR="00BF377E" w:rsidRPr="001D7049" w:rsidRDefault="00BF377E" w:rsidP="009569E2">
            <w:pPr>
              <w:widowControl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Rijetka: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pobačaj</w:t>
            </w:r>
          </w:p>
          <w:p w14:paraId="1948873D" w14:textId="77777777" w:rsidR="00BF377E" w:rsidRPr="001D7049" w:rsidRDefault="00BF377E" w:rsidP="009569E2">
            <w:pPr>
              <w:widowControl w:val="0"/>
              <w:ind w:left="210"/>
              <w:jc w:val="both"/>
              <w:rPr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8F812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</w:tr>
      <w:tr w:rsidR="00BF377E" w:rsidRPr="001D7049" w14:paraId="59C3F8E4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82295" w14:textId="77777777" w:rsidR="00BF377E" w:rsidRPr="001D7049" w:rsidRDefault="00BF377E" w:rsidP="009569E2">
            <w:pPr>
              <w:widowControl w:val="0"/>
              <w:ind w:left="186" w:right="60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Poremećaji reproduktivnog sistema i dojki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39AC7" w14:textId="77777777" w:rsidR="00BF377E" w:rsidRPr="001D7049" w:rsidRDefault="00BF377E" w:rsidP="009569E2">
            <w:pPr>
              <w:widowControl w:val="0"/>
              <w:ind w:left="21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Rijetke: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genitalno krvarenje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58674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</w:tr>
      <w:tr w:rsidR="00BF377E" w:rsidRPr="001D7049" w14:paraId="44A0BF1D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01A1E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8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Opšti poremećaji i reakcije</w:t>
            </w:r>
          </w:p>
          <w:p w14:paraId="2666E231" w14:textId="3DE31EEF" w:rsidR="00BF377E" w:rsidRPr="001D7049" w:rsidRDefault="00BF377E" w:rsidP="009569E2">
            <w:pPr>
              <w:autoSpaceDE w:val="0"/>
              <w:autoSpaceDN w:val="0"/>
              <w:adjustRightInd w:val="0"/>
              <w:ind w:left="18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na mjestu</w:t>
            </w:r>
            <w:r w:rsidR="00D95164"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 xml:space="preserve">primjene </w:t>
            </w:r>
          </w:p>
          <w:p w14:paraId="54003DDA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86" w:hanging="32"/>
              <w:jc w:val="both"/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1BC0C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Povremene: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ekstravazacija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, astenija/umor, povišena tjelesna temperatura,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edem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/oticanje, bol u grudima,</w:t>
            </w:r>
          </w:p>
          <w:p w14:paraId="62A7E8C1" w14:textId="4D2698C1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Rijetke: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induracija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na mjestu</w:t>
            </w:r>
            <w:r w:rsidR="00D95164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uboda</w:t>
            </w:r>
          </w:p>
          <w:p w14:paraId="5E99307E" w14:textId="13BAF2C3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igle, os</w:t>
            </w:r>
            <w:r w:rsidR="00116F05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j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ećaj slabosti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63FB2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Česte: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bol na mjestu </w:t>
            </w:r>
          </w:p>
          <w:p w14:paraId="5D26550C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infuzije</w:t>
            </w:r>
          </w:p>
          <w:p w14:paraId="22998ED8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Povremene: </w:t>
            </w:r>
          </w:p>
          <w:p w14:paraId="7809B401" w14:textId="5CBF0D76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pečenje na mjestu</w:t>
            </w:r>
            <w:r w:rsidR="00D95164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infuzije, </w:t>
            </w:r>
          </w:p>
          <w:p w14:paraId="274B8BC4" w14:textId="2874508B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svrab na mjestu</w:t>
            </w:r>
            <w:r w:rsidR="00D95164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infuzije, </w:t>
            </w:r>
          </w:p>
          <w:p w14:paraId="183DAC5B" w14:textId="1142B4D3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eritem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na mjestu</w:t>
            </w:r>
            <w:r w:rsidR="00D95164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infuzije, </w:t>
            </w:r>
          </w:p>
          <w:p w14:paraId="1109E3D9" w14:textId="471FAB5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eritem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na mjestu</w:t>
            </w:r>
            <w:r w:rsidR="00D95164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uboda </w:t>
            </w:r>
          </w:p>
          <w:p w14:paraId="4376A591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igle,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osećaj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toplote na </w:t>
            </w:r>
          </w:p>
          <w:p w14:paraId="39BA8C2F" w14:textId="24FCF449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mjestu</w:t>
            </w:r>
            <w:r w:rsidR="00D95164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infuzije</w:t>
            </w:r>
          </w:p>
        </w:tc>
      </w:tr>
      <w:tr w:rsidR="00BF377E" w:rsidRPr="001D7049" w14:paraId="1074D93A" w14:textId="77777777" w:rsidTr="004E6F83">
        <w:trPr>
          <w:tblHeader/>
        </w:trPr>
        <w:tc>
          <w:tcPr>
            <w:tcW w:w="95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0A5C8" w14:textId="77777777" w:rsidR="00BF377E" w:rsidRPr="001D7049" w:rsidRDefault="00BF377E" w:rsidP="009569E2">
            <w:pPr>
              <w:widowControl w:val="0"/>
              <w:ind w:left="157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Ispitivanja</w:t>
            </w:r>
          </w:p>
        </w:tc>
      </w:tr>
      <w:tr w:rsidR="00BF377E" w:rsidRPr="001D7049" w14:paraId="01BB87A2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E4B4D" w14:textId="4EC7A225" w:rsidR="00BF377E" w:rsidRPr="001D7049" w:rsidRDefault="00116F05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 xml:space="preserve">   </w:t>
            </w:r>
            <w:r w:rsidR="00BF377E"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Biohemijske analize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BC2E2" w14:textId="17345988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Česte: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povišene vrijednosti</w:t>
            </w:r>
            <w:r w:rsidR="00D95164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ALT,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AST,alkalne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fosfataze</w:t>
            </w:r>
            <w:proofErr w:type="spellEnd"/>
          </w:p>
          <w:p w14:paraId="33501FF5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Povremene: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povišeni nivoi ukupnog</w:t>
            </w:r>
          </w:p>
          <w:p w14:paraId="23E6DB43" w14:textId="4E5B750C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bilirubina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u serumu, direktnog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bilirubina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u serumu, indirektnog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bilirubina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u serumu,</w:t>
            </w:r>
            <w:r w:rsidR="00D95164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kreatinina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u serumu,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uree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u serumu, glukoze u serumu</w:t>
            </w:r>
          </w:p>
          <w:p w14:paraId="6A766A56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Rijetke: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smanjene koncentracije bikarbonata u serumu,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kreatinina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u serumu i kalijuma u serumu. povećane koncentracije LDH u </w:t>
            </w:r>
          </w:p>
          <w:p w14:paraId="5BDA4CA4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serumu, fosfora u serumu i kalijuma u serumu</w:t>
            </w:r>
          </w:p>
          <w:p w14:paraId="60BB22E4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67393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Česte: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povišene vrijednosti </w:t>
            </w:r>
          </w:p>
          <w:p w14:paraId="71FC93B5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ALT i AST</w:t>
            </w:r>
          </w:p>
        </w:tc>
      </w:tr>
      <w:tr w:rsidR="00BF377E" w:rsidRPr="001D7049" w14:paraId="2D03E7D1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F1584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lastRenderedPageBreak/>
              <w:t>Hematološke analize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91D40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Česte: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povećan broj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trombocita</w:t>
            </w:r>
            <w:proofErr w:type="spellEnd"/>
          </w:p>
          <w:p w14:paraId="35E42F37" w14:textId="10D62A2F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Povremene: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smanjen broj </w:t>
            </w:r>
            <w:r w:rsidR="00FA369D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b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ijelih</w:t>
            </w:r>
          </w:p>
          <w:p w14:paraId="0DF41A57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krvnih zrnaca,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trombocita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, segmentiranih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neutrofila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, hemoglobina i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hematokrita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; </w:t>
            </w:r>
          </w:p>
          <w:p w14:paraId="68A32869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povećan broj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eozinofila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, produženje</w:t>
            </w:r>
          </w:p>
          <w:p w14:paraId="2AE73518" w14:textId="21FC4FEA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aktivisanog parcijalnog</w:t>
            </w:r>
            <w:r w:rsidR="00FA369D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tromboplastinskog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vremena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i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protrombinskog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vremena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, </w:t>
            </w:r>
          </w:p>
          <w:p w14:paraId="02ECACF8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povećan broj segmentiranih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neutrofila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i bijelih krvnih zrnaca</w:t>
            </w:r>
          </w:p>
          <w:p w14:paraId="4CB45200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Rijetke: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smanjen broj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limfocita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, povećan broj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štapićastih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neutrofila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limfocita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metamijelocita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monocita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mijelocita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; atipični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limfociti</w:t>
            </w:r>
            <w:proofErr w:type="spellEnd"/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AB4C7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Česte: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smanjen broj</w:t>
            </w:r>
          </w:p>
          <w:p w14:paraId="61B5FA8D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neutrofila</w:t>
            </w:r>
            <w:proofErr w:type="spellEnd"/>
          </w:p>
          <w:p w14:paraId="1D59DF46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Povremene: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povećan</w:t>
            </w:r>
          </w:p>
          <w:p w14:paraId="1BD73110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broj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trombocita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,</w:t>
            </w:r>
          </w:p>
          <w:p w14:paraId="2981E1DF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produženje aktivisanog</w:t>
            </w:r>
          </w:p>
          <w:p w14:paraId="76C2DE2F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parcijalnog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tromboplastinskog</w:t>
            </w:r>
            <w:proofErr w:type="spellEnd"/>
          </w:p>
          <w:p w14:paraId="2CD2976E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vremena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i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protrombinskog</w:t>
            </w:r>
            <w:proofErr w:type="spellEnd"/>
          </w:p>
          <w:p w14:paraId="26080F3C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vremena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, smanjena </w:t>
            </w:r>
          </w:p>
          <w:p w14:paraId="1E3D3416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157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vrijednost hemoglobina</w:t>
            </w:r>
          </w:p>
        </w:tc>
      </w:tr>
      <w:tr w:rsidR="00BF377E" w:rsidRPr="001D7049" w14:paraId="272E232B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0FCC5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Analize urina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DBBC1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Povremene: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povećan broj bakterija u</w:t>
            </w:r>
          </w:p>
          <w:p w14:paraId="1C2898B5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urinu, leukocita u urinu,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epitelijalnih</w:t>
            </w:r>
            <w:proofErr w:type="spellEnd"/>
          </w:p>
          <w:p w14:paraId="5C771711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ćelija u urinu i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eritrocita</w:t>
            </w:r>
            <w:proofErr w:type="spellEnd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u urinu.</w:t>
            </w:r>
          </w:p>
          <w:p w14:paraId="5FBCD3AC" w14:textId="77777777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Prisustvo gljivica u urinu</w:t>
            </w:r>
          </w:p>
          <w:p w14:paraId="6A1147EC" w14:textId="25A62181" w:rsidR="00BF377E" w:rsidRPr="001D7049" w:rsidRDefault="00BF377E" w:rsidP="009569E2">
            <w:pPr>
              <w:autoSpaceDE w:val="0"/>
              <w:autoSpaceDN w:val="0"/>
              <w:adjustRightInd w:val="0"/>
              <w:ind w:left="21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Rijetke: </w:t>
            </w:r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povećane vrijednosti</w:t>
            </w:r>
            <w:r w:rsidR="00D95164"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Cs/>
                <w:color w:val="0D0D0D"/>
                <w:sz w:val="22"/>
                <w:szCs w:val="22"/>
                <w:lang w:val="sr-Latn-ME"/>
              </w:rPr>
              <w:t>urobilinogena</w:t>
            </w:r>
            <w:proofErr w:type="spellEnd"/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10BCA" w14:textId="77777777" w:rsidR="00BF377E" w:rsidRPr="001D7049" w:rsidRDefault="00BF377E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</w:tr>
      <w:tr w:rsidR="00BF377E" w:rsidRPr="001D7049" w14:paraId="2F5B0B9A" w14:textId="77777777" w:rsidTr="00FA369D">
        <w:trPr>
          <w:tblHeader/>
        </w:trPr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7F9D8" w14:textId="77777777" w:rsidR="00BF377E" w:rsidRPr="001D7049" w:rsidRDefault="00BF377E" w:rsidP="009569E2">
            <w:pPr>
              <w:widowControl w:val="0"/>
              <w:ind w:left="186" w:hanging="32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Bold"/>
                <w:b/>
                <w:bCs/>
                <w:color w:val="0D0D0D"/>
                <w:sz w:val="22"/>
                <w:szCs w:val="22"/>
                <w:lang w:val="sr-Latn-ME"/>
              </w:rPr>
              <w:t>Ostalo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8A969" w14:textId="77777777" w:rsidR="00BF377E" w:rsidRPr="001D7049" w:rsidRDefault="00BF377E" w:rsidP="009569E2">
            <w:pPr>
              <w:ind w:left="210"/>
              <w:jc w:val="both"/>
              <w:rPr>
                <w:color w:val="0D0D0D"/>
                <w:sz w:val="22"/>
                <w:szCs w:val="22"/>
                <w:lang w:val="sr-Latn-ME" w:eastAsia="sl-SI"/>
              </w:rPr>
            </w:pPr>
            <w:r w:rsidRPr="001D7049">
              <w:rPr>
                <w:i/>
                <w:color w:val="0D0D0D"/>
                <w:sz w:val="22"/>
                <w:szCs w:val="22"/>
                <w:lang w:val="sr-Latn-ME" w:eastAsia="sl-SI"/>
              </w:rPr>
              <w:t xml:space="preserve">Povremene: </w:t>
            </w:r>
            <w:r w:rsidRPr="001D7049">
              <w:rPr>
                <w:color w:val="0D0D0D"/>
                <w:sz w:val="22"/>
                <w:szCs w:val="22"/>
                <w:lang w:val="sr-Latn-ME" w:eastAsia="sl-SI"/>
              </w:rPr>
              <w:t>pozitivan test na toksin</w:t>
            </w:r>
          </w:p>
          <w:p w14:paraId="10580819" w14:textId="77777777" w:rsidR="00BF377E" w:rsidRPr="001D7049" w:rsidRDefault="00BF377E" w:rsidP="009569E2">
            <w:pPr>
              <w:widowControl w:val="0"/>
              <w:ind w:left="21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 w:eastAsia="sl-SI"/>
              </w:rPr>
              <w:t xml:space="preserve">bakterije </w:t>
            </w:r>
            <w:proofErr w:type="spellStart"/>
            <w:r w:rsidRPr="001D7049">
              <w:rPr>
                <w:i/>
                <w:iCs/>
                <w:color w:val="0D0D0D"/>
                <w:sz w:val="22"/>
                <w:szCs w:val="22"/>
                <w:lang w:val="sr-Latn-ME" w:eastAsia="sl-SI"/>
              </w:rPr>
              <w:t>Clostridium</w:t>
            </w:r>
            <w:proofErr w:type="spellEnd"/>
            <w:r w:rsidRPr="001D7049">
              <w:rPr>
                <w:i/>
                <w:iCs/>
                <w:color w:val="0D0D0D"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1D7049">
              <w:rPr>
                <w:i/>
                <w:iCs/>
                <w:color w:val="0D0D0D"/>
                <w:sz w:val="22"/>
                <w:szCs w:val="22"/>
                <w:lang w:val="sr-Latn-ME" w:eastAsia="sl-SI"/>
              </w:rPr>
              <w:t>difficile</w:t>
            </w:r>
            <w:proofErr w:type="spellEnd"/>
            <w:r w:rsidRPr="001D7049">
              <w:rPr>
                <w:i/>
                <w:color w:val="0D0D0D"/>
                <w:sz w:val="22"/>
                <w:szCs w:val="22"/>
                <w:lang w:val="sr-Latn-ME" w:eastAsia="sl-SI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B7097" w14:textId="77777777" w:rsidR="00BF377E" w:rsidRPr="001D7049" w:rsidRDefault="00BF377E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</w:tr>
    </w:tbl>
    <w:p w14:paraId="3CC4E41F" w14:textId="68705712" w:rsidR="00BF377E" w:rsidRPr="001D7049" w:rsidRDefault="00BF377E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C93743" w14:textId="77777777" w:rsidR="00BF377E" w:rsidRPr="001D7049" w:rsidRDefault="00BF377E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E26152A" w14:textId="77777777" w:rsidR="005A23D2" w:rsidRPr="001D7049" w:rsidRDefault="005A23D2" w:rsidP="009569E2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1D7049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6069BB0" w14:textId="77777777" w:rsidR="005A23D2" w:rsidRPr="001D7049" w:rsidRDefault="005A23D2" w:rsidP="00D95164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1D7049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1D7049">
        <w:rPr>
          <w:rFonts w:eastAsia="Calibri"/>
          <w:sz w:val="22"/>
          <w:szCs w:val="22"/>
          <w:lang w:val="sr-Latn-ME"/>
        </w:rPr>
        <w:t>inuirano praćenje odnosa korist</w:t>
      </w:r>
      <w:r w:rsidRPr="001D7049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1D7049">
        <w:rPr>
          <w:rFonts w:eastAsia="Calibri"/>
          <w:sz w:val="22"/>
          <w:szCs w:val="22"/>
          <w:lang w:val="sr-Latn-ME"/>
        </w:rPr>
        <w:t xml:space="preserve"> </w:t>
      </w:r>
      <w:r w:rsidRPr="001D7049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1D7049">
        <w:rPr>
          <w:rFonts w:eastAsia="Calibri"/>
          <w:sz w:val="22"/>
          <w:szCs w:val="22"/>
          <w:lang w:val="sr-Latn-ME"/>
        </w:rPr>
        <w:t>Institutu</w:t>
      </w:r>
      <w:r w:rsidRPr="001D7049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1D7049">
        <w:rPr>
          <w:rFonts w:eastAsia="Calibri"/>
          <w:sz w:val="22"/>
          <w:szCs w:val="22"/>
          <w:lang w:val="sr-Latn-ME"/>
        </w:rPr>
        <w:t xml:space="preserve"> </w:t>
      </w:r>
      <w:r w:rsidRPr="001D7049">
        <w:rPr>
          <w:rFonts w:eastAsia="Calibri"/>
          <w:sz w:val="22"/>
          <w:szCs w:val="22"/>
          <w:lang w:val="sr-Latn-ME"/>
        </w:rPr>
        <w:t>(</w:t>
      </w:r>
      <w:r w:rsidR="004E70AD" w:rsidRPr="001D7049">
        <w:rPr>
          <w:rFonts w:eastAsia="Calibri"/>
          <w:sz w:val="22"/>
          <w:szCs w:val="22"/>
          <w:lang w:val="sr-Latn-ME"/>
        </w:rPr>
        <w:t>CInMED</w:t>
      </w:r>
      <w:r w:rsidRPr="001D7049">
        <w:rPr>
          <w:rFonts w:eastAsia="Calibri"/>
          <w:sz w:val="22"/>
          <w:szCs w:val="22"/>
          <w:lang w:val="sr-Latn-ME"/>
        </w:rPr>
        <w:t>):</w:t>
      </w:r>
    </w:p>
    <w:p w14:paraId="368F87F4" w14:textId="77777777" w:rsidR="005A23D2" w:rsidRPr="001D7049" w:rsidRDefault="004E70AD" w:rsidP="00D951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7049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1D7049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3B5F6D63" w14:textId="77777777" w:rsidR="005A23D2" w:rsidRPr="001D7049" w:rsidRDefault="005A23D2" w:rsidP="00D951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7049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1D7049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56F44F52" w14:textId="77777777" w:rsidR="00EA5765" w:rsidRPr="001D7049" w:rsidRDefault="005A23D2" w:rsidP="0070069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7049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593ED41" w14:textId="77777777" w:rsidR="00EA5765" w:rsidRPr="001D7049" w:rsidRDefault="00EA5765" w:rsidP="009569E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701C91B" w14:textId="77777777" w:rsidR="005A23D2" w:rsidRPr="001D7049" w:rsidRDefault="005A23D2" w:rsidP="00D951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7049">
        <w:rPr>
          <w:rFonts w:eastAsia="Calibri"/>
          <w:sz w:val="22"/>
          <w:szCs w:val="22"/>
          <w:lang w:val="sr-Latn-ME"/>
        </w:rPr>
        <w:t>tel: +382 (0) 20 310 280</w:t>
      </w:r>
    </w:p>
    <w:p w14:paraId="2A8CD944" w14:textId="77777777" w:rsidR="00EA5765" w:rsidRPr="001D7049" w:rsidRDefault="005A23D2" w:rsidP="00D95164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1D7049">
        <w:rPr>
          <w:rFonts w:eastAsia="Calibri"/>
          <w:sz w:val="22"/>
          <w:szCs w:val="22"/>
          <w:lang w:val="sr-Latn-ME"/>
        </w:rPr>
        <w:t>fax</w:t>
      </w:r>
      <w:proofErr w:type="spellEnd"/>
      <w:r w:rsidRPr="001D7049">
        <w:rPr>
          <w:rFonts w:eastAsia="Calibri"/>
          <w:sz w:val="22"/>
          <w:szCs w:val="22"/>
          <w:lang w:val="sr-Latn-ME"/>
        </w:rPr>
        <w:t>:</w:t>
      </w:r>
      <w:r w:rsidR="00EA5765" w:rsidRPr="001D7049">
        <w:rPr>
          <w:rFonts w:eastAsia="Calibri"/>
          <w:sz w:val="22"/>
          <w:szCs w:val="22"/>
          <w:lang w:val="sr-Latn-ME"/>
        </w:rPr>
        <w:t xml:space="preserve"> </w:t>
      </w:r>
      <w:r w:rsidRPr="001D7049">
        <w:rPr>
          <w:rFonts w:eastAsia="Calibri"/>
          <w:sz w:val="22"/>
          <w:szCs w:val="22"/>
          <w:lang w:val="sr-Latn-ME"/>
        </w:rPr>
        <w:t>+382 (0) 20 310 581</w:t>
      </w:r>
      <w:r w:rsidR="00FF3EDF" w:rsidRPr="001D7049">
        <w:rPr>
          <w:rFonts w:eastAsia="Calibri"/>
          <w:sz w:val="22"/>
          <w:szCs w:val="22"/>
          <w:lang w:val="sr-Latn-ME"/>
        </w:rPr>
        <w:tab/>
      </w:r>
    </w:p>
    <w:p w14:paraId="7877D1FA" w14:textId="77777777" w:rsidR="005A23D2" w:rsidRPr="001D7049" w:rsidRDefault="00927E5D" w:rsidP="00D951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1D7049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7BF6094" w14:textId="77777777" w:rsidR="00EA5765" w:rsidRPr="001D7049" w:rsidRDefault="00927E5D" w:rsidP="00D95164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1D7049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3E8D1DF" w14:textId="77777777" w:rsidR="005A23D2" w:rsidRPr="001D7049" w:rsidRDefault="005A23D2" w:rsidP="0070069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7049">
        <w:rPr>
          <w:rFonts w:eastAsia="Calibri"/>
          <w:sz w:val="22"/>
          <w:szCs w:val="22"/>
          <w:lang w:val="sr-Latn-ME"/>
        </w:rPr>
        <w:t>putem IS zdravstvene zaštite</w:t>
      </w:r>
    </w:p>
    <w:p w14:paraId="45C85C7C" w14:textId="77777777" w:rsidR="007E31E9" w:rsidRPr="001D7049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1D7049">
        <w:rPr>
          <w:rFonts w:eastAsia="Calibri"/>
          <w:sz w:val="22"/>
          <w:szCs w:val="22"/>
          <w:lang w:val="sr-Latn-ME"/>
        </w:rPr>
        <w:t>QR</w:t>
      </w:r>
      <w:proofErr w:type="spellEnd"/>
      <w:r w:rsidRPr="001D7049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1D7049">
        <w:rPr>
          <w:rFonts w:eastAsia="Calibri"/>
          <w:sz w:val="22"/>
          <w:szCs w:val="22"/>
          <w:lang w:val="sr-Latn-ME"/>
        </w:rPr>
        <w:t>online</w:t>
      </w:r>
      <w:proofErr w:type="spellEnd"/>
      <w:r w:rsidRPr="001D7049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1D7049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1D7049">
        <w:rPr>
          <w:rFonts w:eastAsia="Calibri"/>
          <w:sz w:val="22"/>
          <w:szCs w:val="22"/>
          <w:lang w:val="sr-Latn-ME"/>
        </w:rPr>
        <w:t>:</w:t>
      </w:r>
    </w:p>
    <w:p w14:paraId="3290E048" w14:textId="77777777" w:rsidR="007E31E9" w:rsidRPr="001D7049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AF8FED2" w14:textId="77777777" w:rsidR="004F17E2" w:rsidRPr="001D7049" w:rsidRDefault="007E31E9" w:rsidP="009569E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7049">
        <w:rPr>
          <w:noProof/>
          <w:sz w:val="22"/>
          <w:szCs w:val="22"/>
          <w:lang w:val="sr-Latn-ME" w:eastAsia="sr-Latn-ME"/>
        </w:rPr>
        <w:drawing>
          <wp:inline distT="0" distB="0" distL="0" distR="0" wp14:anchorId="77DE39B1" wp14:editId="2358409A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4C83C" w14:textId="77777777" w:rsidR="00836B35" w:rsidRPr="001D7049" w:rsidRDefault="00836B35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89268B4" w14:textId="77777777" w:rsidR="00CD6F02" w:rsidRPr="001D7049" w:rsidRDefault="0072020E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4.9.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proofErr w:type="spellStart"/>
      <w:r w:rsidRPr="001D7049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1D7049">
        <w:rPr>
          <w:b/>
          <w:bCs/>
          <w:sz w:val="22"/>
          <w:szCs w:val="22"/>
          <w:lang w:val="sr-Latn-ME"/>
        </w:rPr>
        <w:t xml:space="preserve"> </w:t>
      </w:r>
    </w:p>
    <w:p w14:paraId="23C7C976" w14:textId="77777777" w:rsidR="00CD6F02" w:rsidRPr="001D7049" w:rsidRDefault="00CD6F02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C063EAD" w14:textId="3923A2CE" w:rsidR="00FA369D" w:rsidRPr="001D7049" w:rsidRDefault="00D95164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Nijesu</w:t>
      </w:r>
      <w:r w:rsidR="00FA369D" w:rsidRPr="001D7049">
        <w:rPr>
          <w:bCs/>
          <w:sz w:val="22"/>
          <w:szCs w:val="22"/>
          <w:lang w:val="sr-Latn-ME"/>
        </w:rPr>
        <w:t xml:space="preserve"> dostupne specifične informacije o terapiji </w:t>
      </w:r>
      <w:proofErr w:type="spellStart"/>
      <w:r w:rsidR="00FA369D" w:rsidRPr="001D7049">
        <w:rPr>
          <w:bCs/>
          <w:sz w:val="22"/>
          <w:szCs w:val="22"/>
          <w:lang w:val="sr-Latn-ME"/>
        </w:rPr>
        <w:t>predoziranja</w:t>
      </w:r>
      <w:proofErr w:type="spellEnd"/>
      <w:r w:rsidR="00FA369D"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="00FA369D" w:rsidRPr="001D7049">
        <w:rPr>
          <w:bCs/>
          <w:sz w:val="22"/>
          <w:szCs w:val="22"/>
          <w:lang w:val="sr-Latn-ME"/>
        </w:rPr>
        <w:t>ertapenemom</w:t>
      </w:r>
      <w:proofErr w:type="spellEnd"/>
      <w:r w:rsidR="00FA369D" w:rsidRPr="001D7049">
        <w:rPr>
          <w:bCs/>
          <w:sz w:val="22"/>
          <w:szCs w:val="22"/>
          <w:lang w:val="sr-Latn-ME"/>
        </w:rPr>
        <w:t>. Malo je vjerovatno</w:t>
      </w:r>
      <w:r w:rsidRPr="001D7049">
        <w:rPr>
          <w:bCs/>
          <w:sz w:val="22"/>
          <w:szCs w:val="22"/>
          <w:lang w:val="sr-Latn-ME"/>
        </w:rPr>
        <w:t xml:space="preserve"> </w:t>
      </w:r>
      <w:r w:rsidR="00FA369D" w:rsidRPr="001D7049">
        <w:rPr>
          <w:bCs/>
          <w:sz w:val="22"/>
          <w:szCs w:val="22"/>
          <w:lang w:val="sr-Latn-ME"/>
        </w:rPr>
        <w:t>da može doći</w:t>
      </w:r>
      <w:r w:rsidRPr="001D7049">
        <w:rPr>
          <w:bCs/>
          <w:sz w:val="22"/>
          <w:szCs w:val="22"/>
          <w:lang w:val="sr-Latn-ME"/>
        </w:rPr>
        <w:t xml:space="preserve"> </w:t>
      </w:r>
      <w:r w:rsidR="00FA369D" w:rsidRPr="001D7049">
        <w:rPr>
          <w:bCs/>
          <w:sz w:val="22"/>
          <w:szCs w:val="22"/>
          <w:lang w:val="sr-Latn-ME"/>
        </w:rPr>
        <w:t xml:space="preserve">do </w:t>
      </w:r>
      <w:proofErr w:type="spellStart"/>
      <w:r w:rsidR="00FA369D" w:rsidRPr="001D7049">
        <w:rPr>
          <w:bCs/>
          <w:sz w:val="22"/>
          <w:szCs w:val="22"/>
          <w:lang w:val="sr-Latn-ME"/>
        </w:rPr>
        <w:t>predoziranja</w:t>
      </w:r>
      <w:proofErr w:type="spellEnd"/>
      <w:r w:rsidR="00FA369D"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="00FA369D" w:rsidRPr="001D7049">
        <w:rPr>
          <w:bCs/>
          <w:sz w:val="22"/>
          <w:szCs w:val="22"/>
          <w:lang w:val="sr-Latn-ME"/>
        </w:rPr>
        <w:t>ertapenemom</w:t>
      </w:r>
      <w:proofErr w:type="spellEnd"/>
      <w:r w:rsidR="00FA369D" w:rsidRPr="001D7049">
        <w:rPr>
          <w:bCs/>
          <w:sz w:val="22"/>
          <w:szCs w:val="22"/>
          <w:lang w:val="sr-Latn-ME"/>
        </w:rPr>
        <w:t xml:space="preserve">. </w:t>
      </w:r>
      <w:proofErr w:type="spellStart"/>
      <w:r w:rsidR="00FA369D" w:rsidRPr="001D7049">
        <w:rPr>
          <w:bCs/>
          <w:sz w:val="22"/>
          <w:szCs w:val="22"/>
          <w:lang w:val="sr-Latn-ME"/>
        </w:rPr>
        <w:t>Intravenska</w:t>
      </w:r>
      <w:proofErr w:type="spellEnd"/>
      <w:r w:rsidR="00FA369D" w:rsidRPr="001D7049">
        <w:rPr>
          <w:bCs/>
          <w:sz w:val="22"/>
          <w:szCs w:val="22"/>
          <w:lang w:val="sr-Latn-ME"/>
        </w:rPr>
        <w:t xml:space="preserve"> primjena </w:t>
      </w:r>
      <w:proofErr w:type="spellStart"/>
      <w:r w:rsidR="00FA369D" w:rsidRPr="001D7049">
        <w:rPr>
          <w:bCs/>
          <w:sz w:val="22"/>
          <w:szCs w:val="22"/>
          <w:lang w:val="sr-Latn-ME"/>
        </w:rPr>
        <w:t>ertapenema</w:t>
      </w:r>
      <w:proofErr w:type="spellEnd"/>
      <w:r w:rsidR="00FA369D" w:rsidRPr="001D7049">
        <w:rPr>
          <w:bCs/>
          <w:sz w:val="22"/>
          <w:szCs w:val="22"/>
          <w:lang w:val="sr-Latn-ME"/>
        </w:rPr>
        <w:t xml:space="preserve"> u dozi od 3 g dnevno tokom 8 dana kod zdravih odraslih ispitanika nije dovela do značajne toksičnosti. U kliničkim ispitivanjima na odraslim pacijentima nenamjerna primjena </w:t>
      </w:r>
      <w:proofErr w:type="spellStart"/>
      <w:r w:rsidR="00FA369D" w:rsidRPr="001D7049">
        <w:rPr>
          <w:bCs/>
          <w:sz w:val="22"/>
          <w:szCs w:val="22"/>
          <w:lang w:val="sr-Latn-ME"/>
        </w:rPr>
        <w:t>ertapenema</w:t>
      </w:r>
      <w:proofErr w:type="spellEnd"/>
      <w:r w:rsidR="00FA369D" w:rsidRPr="001D7049">
        <w:rPr>
          <w:bCs/>
          <w:sz w:val="22"/>
          <w:szCs w:val="22"/>
          <w:lang w:val="sr-Latn-ME"/>
        </w:rPr>
        <w:t xml:space="preserve"> u dozi do 3 g dnevno nije dovela do klinički značajnih neželjenih reakcija. U kliničkim ispitivanjima na pedijatrijskoj populaciji, jednokratna </w:t>
      </w:r>
      <w:proofErr w:type="spellStart"/>
      <w:r w:rsidR="00FA369D" w:rsidRPr="001D7049">
        <w:rPr>
          <w:bCs/>
          <w:sz w:val="22"/>
          <w:szCs w:val="22"/>
          <w:lang w:val="sr-Latn-ME"/>
        </w:rPr>
        <w:t>intravenska</w:t>
      </w:r>
      <w:proofErr w:type="spellEnd"/>
      <w:r w:rsidR="00FA369D" w:rsidRPr="001D7049">
        <w:rPr>
          <w:bCs/>
          <w:sz w:val="22"/>
          <w:szCs w:val="22"/>
          <w:lang w:val="sr-Latn-ME"/>
        </w:rPr>
        <w:t xml:space="preserve"> doza od 40 mg/kg do maksimalno 2 g, nije uzrokovala toksičnost.</w:t>
      </w:r>
    </w:p>
    <w:p w14:paraId="569F5142" w14:textId="0F6B2A3C" w:rsidR="00FA369D" w:rsidRPr="001D7049" w:rsidRDefault="00FA369D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lastRenderedPageBreak/>
        <w:t xml:space="preserve">Međutim, u slučaju </w:t>
      </w:r>
      <w:proofErr w:type="spellStart"/>
      <w:r w:rsidRPr="001D7049">
        <w:rPr>
          <w:bCs/>
          <w:sz w:val="22"/>
          <w:szCs w:val="22"/>
          <w:lang w:val="sr-Latn-ME"/>
        </w:rPr>
        <w:t>predoziranja</w:t>
      </w:r>
      <w:proofErr w:type="spellEnd"/>
      <w:r w:rsidRPr="001D7049">
        <w:rPr>
          <w:bCs/>
          <w:sz w:val="22"/>
          <w:szCs w:val="22"/>
          <w:lang w:val="sr-Latn-ME"/>
        </w:rPr>
        <w:t xml:space="preserve">, treba prekinuti terapiju lijekom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AptaPharma</w:t>
      </w:r>
      <w:proofErr w:type="spellEnd"/>
      <w:r w:rsidRPr="001D7049">
        <w:rPr>
          <w:bCs/>
          <w:sz w:val="22"/>
          <w:szCs w:val="22"/>
          <w:lang w:val="sr-Latn-ME"/>
        </w:rPr>
        <w:t xml:space="preserve"> i primijeniti opšte pomoćne </w:t>
      </w:r>
      <w:proofErr w:type="spellStart"/>
      <w:r w:rsidRPr="001D7049">
        <w:rPr>
          <w:bCs/>
          <w:sz w:val="22"/>
          <w:szCs w:val="22"/>
          <w:lang w:val="sr-Latn-ME"/>
        </w:rPr>
        <w:t>mere</w:t>
      </w:r>
      <w:proofErr w:type="spellEnd"/>
      <w:r w:rsidRPr="001D7049">
        <w:rPr>
          <w:bCs/>
          <w:sz w:val="22"/>
          <w:szCs w:val="22"/>
          <w:lang w:val="sr-Latn-ME"/>
        </w:rPr>
        <w:t xml:space="preserve"> terapije koje se sprovode sve do uspostavljanja eliminacije putem bubrega.</w:t>
      </w:r>
    </w:p>
    <w:p w14:paraId="38FD25B9" w14:textId="27297DC6" w:rsidR="00FA369D" w:rsidRPr="001D7049" w:rsidRDefault="00FA369D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može da se do izvjesne mjere ukloni iz organizma </w:t>
      </w:r>
      <w:proofErr w:type="spellStart"/>
      <w:r w:rsidRPr="001D7049">
        <w:rPr>
          <w:bCs/>
          <w:sz w:val="22"/>
          <w:szCs w:val="22"/>
          <w:lang w:val="sr-Latn-ME"/>
        </w:rPr>
        <w:t>hemodijalizom</w:t>
      </w:r>
      <w:proofErr w:type="spellEnd"/>
      <w:r w:rsidRPr="001D7049">
        <w:rPr>
          <w:bCs/>
          <w:sz w:val="22"/>
          <w:szCs w:val="22"/>
          <w:lang w:val="sr-Latn-ME"/>
        </w:rPr>
        <w:t xml:space="preserve"> (vidjeti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dio 5.2). Međutim, </w:t>
      </w:r>
    </w:p>
    <w:p w14:paraId="629CEE64" w14:textId="77777777" w:rsidR="00FA369D" w:rsidRPr="001D7049" w:rsidRDefault="00FA369D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nema informacija o upotrebi </w:t>
      </w:r>
      <w:proofErr w:type="spellStart"/>
      <w:r w:rsidRPr="001D7049">
        <w:rPr>
          <w:bCs/>
          <w:sz w:val="22"/>
          <w:szCs w:val="22"/>
          <w:lang w:val="sr-Latn-ME"/>
        </w:rPr>
        <w:t>hemodijalize</w:t>
      </w:r>
      <w:proofErr w:type="spellEnd"/>
      <w:r w:rsidRPr="001D7049">
        <w:rPr>
          <w:bCs/>
          <w:sz w:val="22"/>
          <w:szCs w:val="22"/>
          <w:lang w:val="sr-Latn-ME"/>
        </w:rPr>
        <w:t xml:space="preserve"> u terapiji </w:t>
      </w:r>
      <w:proofErr w:type="spellStart"/>
      <w:r w:rsidRPr="001D7049">
        <w:rPr>
          <w:bCs/>
          <w:sz w:val="22"/>
          <w:szCs w:val="22"/>
          <w:lang w:val="sr-Latn-ME"/>
        </w:rPr>
        <w:t>predoziranja</w:t>
      </w:r>
      <w:proofErr w:type="spellEnd"/>
      <w:r w:rsidRPr="001D7049">
        <w:rPr>
          <w:bCs/>
          <w:sz w:val="22"/>
          <w:szCs w:val="22"/>
          <w:lang w:val="sr-Latn-ME"/>
        </w:rPr>
        <w:t>.</w:t>
      </w:r>
    </w:p>
    <w:p w14:paraId="42888850" w14:textId="54C386E7" w:rsidR="00227BDB" w:rsidRPr="001D7049" w:rsidRDefault="00227BDB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C1B2228" w14:textId="77777777" w:rsidR="00FA369D" w:rsidRPr="001D7049" w:rsidRDefault="00FA369D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AE233BE" w14:textId="77777777" w:rsidR="0072020E" w:rsidRPr="001D7049" w:rsidRDefault="0072020E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5.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r w:rsidRPr="001D7049">
        <w:rPr>
          <w:b/>
          <w:bCs/>
          <w:sz w:val="22"/>
          <w:szCs w:val="22"/>
          <w:lang w:val="sr-Latn-ME"/>
        </w:rPr>
        <w:t>FARMAKOLOŠK</w:t>
      </w:r>
      <w:r w:rsidR="000D425A" w:rsidRPr="001D7049">
        <w:rPr>
          <w:b/>
          <w:bCs/>
          <w:sz w:val="22"/>
          <w:szCs w:val="22"/>
          <w:lang w:val="sr-Latn-ME"/>
        </w:rPr>
        <w:t>I</w:t>
      </w:r>
      <w:r w:rsidRPr="001D7049">
        <w:rPr>
          <w:b/>
          <w:bCs/>
          <w:sz w:val="22"/>
          <w:szCs w:val="22"/>
          <w:lang w:val="sr-Latn-ME"/>
        </w:rPr>
        <w:t xml:space="preserve"> PODACI</w:t>
      </w:r>
    </w:p>
    <w:p w14:paraId="22E7A8DD" w14:textId="77777777" w:rsidR="0072020E" w:rsidRPr="001D7049" w:rsidRDefault="0072020E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C45D98A" w14:textId="77777777" w:rsidR="0072020E" w:rsidRPr="001D7049" w:rsidRDefault="0072020E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5.1.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proofErr w:type="spellStart"/>
      <w:r w:rsidRPr="001D7049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1D7049">
        <w:rPr>
          <w:b/>
          <w:bCs/>
          <w:sz w:val="22"/>
          <w:szCs w:val="22"/>
          <w:lang w:val="sr-Latn-ME"/>
        </w:rPr>
        <w:t xml:space="preserve"> podaci</w:t>
      </w:r>
      <w:r w:rsidR="003A7059" w:rsidRPr="001D7049">
        <w:rPr>
          <w:b/>
          <w:bCs/>
          <w:sz w:val="22"/>
          <w:szCs w:val="22"/>
          <w:lang w:val="sr-Latn-ME"/>
        </w:rPr>
        <w:t xml:space="preserve"> </w:t>
      </w:r>
    </w:p>
    <w:p w14:paraId="0EB73FE7" w14:textId="77777777" w:rsidR="00F45F77" w:rsidRPr="001D7049" w:rsidRDefault="00F45F77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1B404F" w14:textId="2AE561A1" w:rsidR="0072020E" w:rsidRPr="001D7049" w:rsidRDefault="0072020E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1D7049">
        <w:rPr>
          <w:bCs/>
          <w:sz w:val="22"/>
          <w:szCs w:val="22"/>
          <w:lang w:val="sr-Latn-ME"/>
        </w:rPr>
        <w:t>Farmakoterapijska</w:t>
      </w:r>
      <w:proofErr w:type="spellEnd"/>
      <w:r w:rsidRPr="001D7049">
        <w:rPr>
          <w:bCs/>
          <w:sz w:val="22"/>
          <w:szCs w:val="22"/>
          <w:lang w:val="sr-Latn-ME"/>
        </w:rPr>
        <w:t xml:space="preserve"> grupa:</w:t>
      </w:r>
      <w:r w:rsidR="00FA369D" w:rsidRPr="001D7049">
        <w:rPr>
          <w:sz w:val="22"/>
          <w:szCs w:val="22"/>
          <w:lang w:val="sr-Latn-ME"/>
        </w:rPr>
        <w:t xml:space="preserve"> </w:t>
      </w:r>
      <w:proofErr w:type="spellStart"/>
      <w:r w:rsidR="00FA369D" w:rsidRPr="001D7049">
        <w:rPr>
          <w:bCs/>
          <w:sz w:val="22"/>
          <w:szCs w:val="22"/>
          <w:lang w:val="sr-Latn-ME"/>
        </w:rPr>
        <w:t>Antibakterijski</w:t>
      </w:r>
      <w:proofErr w:type="spellEnd"/>
      <w:r w:rsidR="00FA369D" w:rsidRPr="001D7049">
        <w:rPr>
          <w:bCs/>
          <w:sz w:val="22"/>
          <w:szCs w:val="22"/>
          <w:lang w:val="sr-Latn-ME"/>
        </w:rPr>
        <w:t xml:space="preserve"> ljekovi za sistemsku </w:t>
      </w:r>
      <w:proofErr w:type="spellStart"/>
      <w:r w:rsidR="00FA369D" w:rsidRPr="001D7049">
        <w:rPr>
          <w:bCs/>
          <w:sz w:val="22"/>
          <w:szCs w:val="22"/>
          <w:lang w:val="sr-Latn-ME"/>
        </w:rPr>
        <w:t>primenu</w:t>
      </w:r>
      <w:proofErr w:type="spellEnd"/>
      <w:r w:rsidR="00FA369D" w:rsidRPr="001D7049">
        <w:rPr>
          <w:bCs/>
          <w:sz w:val="22"/>
          <w:szCs w:val="22"/>
          <w:lang w:val="sr-Latn-ME"/>
        </w:rPr>
        <w:t xml:space="preserve">; </w:t>
      </w:r>
      <w:proofErr w:type="spellStart"/>
      <w:r w:rsidR="00FA369D" w:rsidRPr="001D7049">
        <w:rPr>
          <w:bCs/>
          <w:sz w:val="22"/>
          <w:szCs w:val="22"/>
          <w:lang w:val="sr-Latn-ME"/>
        </w:rPr>
        <w:t>karbapenemi</w:t>
      </w:r>
      <w:proofErr w:type="spellEnd"/>
    </w:p>
    <w:p w14:paraId="5B7EE3CD" w14:textId="77777777" w:rsidR="0072020E" w:rsidRPr="001D7049" w:rsidRDefault="0072020E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F605CB" w14:textId="0D113FF5" w:rsidR="0072020E" w:rsidRPr="001D7049" w:rsidRDefault="0072020E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ATC kod:</w:t>
      </w:r>
      <w:r w:rsidR="00FA369D" w:rsidRPr="001D7049">
        <w:rPr>
          <w:sz w:val="22"/>
          <w:szCs w:val="22"/>
          <w:lang w:val="sr-Latn-ME"/>
        </w:rPr>
        <w:t xml:space="preserve"> </w:t>
      </w:r>
      <w:r w:rsidR="00FA369D" w:rsidRPr="001D7049">
        <w:rPr>
          <w:bCs/>
          <w:sz w:val="22"/>
          <w:szCs w:val="22"/>
          <w:lang w:val="sr-Latn-ME"/>
        </w:rPr>
        <w:t>J01DH03</w:t>
      </w:r>
    </w:p>
    <w:p w14:paraId="5248F9D0" w14:textId="32B715F8" w:rsidR="002E37A5" w:rsidRPr="001D7049" w:rsidRDefault="002E37A5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6BC53F2" w14:textId="77777777" w:rsidR="00FA369D" w:rsidRPr="001D7049" w:rsidRDefault="00FA369D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D7049">
        <w:rPr>
          <w:bCs/>
          <w:sz w:val="22"/>
          <w:szCs w:val="22"/>
          <w:u w:val="single"/>
          <w:lang w:val="sr-Latn-ME"/>
        </w:rPr>
        <w:t>Mehanizam dejstva</w:t>
      </w:r>
    </w:p>
    <w:p w14:paraId="11ED5EAE" w14:textId="77777777" w:rsidR="00FA369D" w:rsidRPr="001D7049" w:rsidRDefault="00FA369D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inhibira sintezu ćelijskog zida bakterija nakon vezivanja za </w:t>
      </w:r>
      <w:proofErr w:type="spellStart"/>
      <w:r w:rsidRPr="001D7049">
        <w:rPr>
          <w:bCs/>
          <w:sz w:val="22"/>
          <w:szCs w:val="22"/>
          <w:lang w:val="sr-Latn-ME"/>
        </w:rPr>
        <w:t>penicillin</w:t>
      </w:r>
      <w:proofErr w:type="spellEnd"/>
      <w:r w:rsidRPr="001D7049">
        <w:rPr>
          <w:bCs/>
          <w:sz w:val="22"/>
          <w:szCs w:val="22"/>
          <w:lang w:val="sr-Latn-ME"/>
        </w:rPr>
        <w:t xml:space="preserve"> vezujuće proteine (</w:t>
      </w:r>
      <w:proofErr w:type="spellStart"/>
      <w:r w:rsidRPr="001D7049">
        <w:rPr>
          <w:bCs/>
          <w:sz w:val="22"/>
          <w:szCs w:val="22"/>
          <w:lang w:val="sr-Latn-ME"/>
        </w:rPr>
        <w:t>PVP</w:t>
      </w:r>
      <w:proofErr w:type="spellEnd"/>
      <w:r w:rsidRPr="001D7049">
        <w:rPr>
          <w:bCs/>
          <w:sz w:val="22"/>
          <w:szCs w:val="22"/>
          <w:lang w:val="sr-Latn-ME"/>
        </w:rPr>
        <w:t xml:space="preserve">). Kod </w:t>
      </w:r>
      <w:proofErr w:type="spellStart"/>
      <w:r w:rsidRPr="001D7049">
        <w:rPr>
          <w:bCs/>
          <w:i/>
          <w:sz w:val="22"/>
          <w:szCs w:val="22"/>
          <w:lang w:val="sr-Latn-ME"/>
        </w:rPr>
        <w:t>Esscherichia</w:t>
      </w:r>
      <w:proofErr w:type="spellEnd"/>
      <w:r w:rsidRPr="001D7049">
        <w:rPr>
          <w:bCs/>
          <w:i/>
          <w:sz w:val="22"/>
          <w:szCs w:val="22"/>
          <w:lang w:val="sr-Latn-ME"/>
        </w:rPr>
        <w:t xml:space="preserve"> coli</w:t>
      </w:r>
      <w:r w:rsidRPr="001D7049">
        <w:rPr>
          <w:bCs/>
          <w:sz w:val="22"/>
          <w:szCs w:val="22"/>
          <w:lang w:val="sr-Latn-ME"/>
        </w:rPr>
        <w:t>, najjači afinitet je za PVP 2 i 3.</w:t>
      </w:r>
    </w:p>
    <w:p w14:paraId="5A560509" w14:textId="77777777" w:rsidR="00FA369D" w:rsidRPr="001D7049" w:rsidRDefault="00FA369D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0C2394" w14:textId="77777777" w:rsidR="00FA369D" w:rsidRPr="001D7049" w:rsidRDefault="00FA369D" w:rsidP="0070069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D7049">
        <w:rPr>
          <w:bCs/>
          <w:sz w:val="22"/>
          <w:szCs w:val="22"/>
          <w:u w:val="single"/>
          <w:lang w:val="sr-Latn-ME"/>
        </w:rPr>
        <w:t xml:space="preserve">Odnos između </w:t>
      </w:r>
      <w:proofErr w:type="spellStart"/>
      <w:r w:rsidRPr="001D7049">
        <w:rPr>
          <w:bCs/>
          <w:sz w:val="22"/>
          <w:szCs w:val="22"/>
          <w:u w:val="single"/>
          <w:lang w:val="sr-Latn-ME"/>
        </w:rPr>
        <w:t>farmakokinetike</w:t>
      </w:r>
      <w:proofErr w:type="spellEnd"/>
      <w:r w:rsidRPr="001D7049">
        <w:rPr>
          <w:bCs/>
          <w:sz w:val="22"/>
          <w:szCs w:val="22"/>
          <w:u w:val="single"/>
          <w:lang w:val="sr-Latn-ME"/>
        </w:rPr>
        <w:t xml:space="preserve"> i </w:t>
      </w:r>
      <w:proofErr w:type="spellStart"/>
      <w:r w:rsidRPr="001D7049">
        <w:rPr>
          <w:bCs/>
          <w:sz w:val="22"/>
          <w:szCs w:val="22"/>
          <w:u w:val="single"/>
          <w:lang w:val="sr-Latn-ME"/>
        </w:rPr>
        <w:t>farmakodinamike</w:t>
      </w:r>
      <w:proofErr w:type="spellEnd"/>
      <w:r w:rsidRPr="001D7049">
        <w:rPr>
          <w:bCs/>
          <w:sz w:val="22"/>
          <w:szCs w:val="22"/>
          <w:u w:val="single"/>
          <w:lang w:val="sr-Latn-ME"/>
        </w:rPr>
        <w:t xml:space="preserve"> (FK/</w:t>
      </w:r>
      <w:proofErr w:type="spellStart"/>
      <w:r w:rsidRPr="001D7049">
        <w:rPr>
          <w:bCs/>
          <w:sz w:val="22"/>
          <w:szCs w:val="22"/>
          <w:u w:val="single"/>
          <w:lang w:val="sr-Latn-ME"/>
        </w:rPr>
        <w:t>FD</w:t>
      </w:r>
      <w:proofErr w:type="spellEnd"/>
      <w:r w:rsidRPr="001D7049">
        <w:rPr>
          <w:bCs/>
          <w:sz w:val="22"/>
          <w:szCs w:val="22"/>
          <w:u w:val="single"/>
          <w:lang w:val="sr-Latn-ME"/>
        </w:rPr>
        <w:t>)</w:t>
      </w:r>
    </w:p>
    <w:p w14:paraId="39BDC187" w14:textId="77777777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Slično kao i kod drugih beta-</w:t>
      </w:r>
      <w:proofErr w:type="spellStart"/>
      <w:r w:rsidRPr="001D7049">
        <w:rPr>
          <w:bCs/>
          <w:sz w:val="22"/>
          <w:szCs w:val="22"/>
          <w:lang w:val="sr-Latn-ME"/>
        </w:rPr>
        <w:t>laktamskih</w:t>
      </w:r>
      <w:proofErr w:type="spellEnd"/>
      <w:r w:rsidRPr="001D7049">
        <w:rPr>
          <w:bCs/>
          <w:sz w:val="22"/>
          <w:szCs w:val="22"/>
          <w:lang w:val="sr-Latn-ME"/>
        </w:rPr>
        <w:t xml:space="preserve"> antibiotika, u </w:t>
      </w:r>
      <w:proofErr w:type="spellStart"/>
      <w:r w:rsidRPr="001D7049">
        <w:rPr>
          <w:bCs/>
          <w:sz w:val="22"/>
          <w:szCs w:val="22"/>
          <w:lang w:val="sr-Latn-ME"/>
        </w:rPr>
        <w:t>pretkliničkim</w:t>
      </w:r>
      <w:proofErr w:type="spellEnd"/>
      <w:r w:rsidRPr="001D7049">
        <w:rPr>
          <w:bCs/>
          <w:sz w:val="22"/>
          <w:szCs w:val="22"/>
          <w:lang w:val="sr-Latn-ME"/>
        </w:rPr>
        <w:t xml:space="preserve"> FK/</w:t>
      </w:r>
      <w:proofErr w:type="spellStart"/>
      <w:r w:rsidRPr="001D7049">
        <w:rPr>
          <w:bCs/>
          <w:sz w:val="22"/>
          <w:szCs w:val="22"/>
          <w:lang w:val="sr-Latn-ME"/>
        </w:rPr>
        <w:t>FD</w:t>
      </w:r>
      <w:proofErr w:type="spellEnd"/>
      <w:r w:rsidRPr="001D7049">
        <w:rPr>
          <w:bCs/>
          <w:sz w:val="22"/>
          <w:szCs w:val="22"/>
          <w:lang w:val="sr-Latn-ME"/>
        </w:rPr>
        <w:t xml:space="preserve"> ispitivanjima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, </w:t>
      </w:r>
    </w:p>
    <w:p w14:paraId="3FB62CF0" w14:textId="50973C75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dokazano je da je vrijeme tokom koga je koncentracija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u plazmi iznad vrijednost minimalne </w:t>
      </w:r>
    </w:p>
    <w:p w14:paraId="4AE6C54F" w14:textId="77777777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inhibitorne koncentracije (MIK) za patogeni mikroorganizam, uzročnika infekcije, u najboljoj korelaciji sa efikasnošću lijeka.</w:t>
      </w:r>
    </w:p>
    <w:p w14:paraId="122C448A" w14:textId="77777777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74E17A2" w14:textId="77777777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D7049">
        <w:rPr>
          <w:bCs/>
          <w:sz w:val="22"/>
          <w:szCs w:val="22"/>
          <w:u w:val="single"/>
          <w:lang w:val="sr-Latn-ME"/>
        </w:rPr>
        <w:t>Mehanizam rezistencije</w:t>
      </w:r>
    </w:p>
    <w:p w14:paraId="19ED6FDB" w14:textId="408ADC43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Za vrste za koje se smatra da su osjetljive na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, rijetko je uočena rezistencija u studijama praćenja sprovedenim u Evropi. Kada su u pitanju rezistentni </w:t>
      </w:r>
      <w:proofErr w:type="spellStart"/>
      <w:r w:rsidRPr="001D7049">
        <w:rPr>
          <w:bCs/>
          <w:sz w:val="22"/>
          <w:szCs w:val="22"/>
          <w:lang w:val="sr-Latn-ME"/>
        </w:rPr>
        <w:t>izolati</w:t>
      </w:r>
      <w:proofErr w:type="spellEnd"/>
      <w:r w:rsidRPr="001D7049">
        <w:rPr>
          <w:bCs/>
          <w:sz w:val="22"/>
          <w:szCs w:val="22"/>
          <w:lang w:val="sr-Latn-ME"/>
        </w:rPr>
        <w:t xml:space="preserve">, kod nekih od njih, ali ne i kod svih, uočena je pojava rezistencije na druge antibiotike iz klase </w:t>
      </w:r>
      <w:proofErr w:type="spellStart"/>
      <w:r w:rsidRPr="001D7049">
        <w:rPr>
          <w:bCs/>
          <w:sz w:val="22"/>
          <w:szCs w:val="22"/>
          <w:lang w:val="sr-Latn-ME"/>
        </w:rPr>
        <w:t>karbapenema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.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je visoko rezistentan na hidrolizu većine klasa beta-</w:t>
      </w:r>
      <w:proofErr w:type="spellStart"/>
      <w:r w:rsidRPr="001D7049">
        <w:rPr>
          <w:bCs/>
          <w:sz w:val="22"/>
          <w:szCs w:val="22"/>
          <w:lang w:val="sr-Latn-ME"/>
        </w:rPr>
        <w:t>laktamaza</w:t>
      </w:r>
      <w:proofErr w:type="spellEnd"/>
      <w:r w:rsidRPr="001D7049">
        <w:rPr>
          <w:bCs/>
          <w:sz w:val="22"/>
          <w:szCs w:val="22"/>
          <w:lang w:val="sr-Latn-ME"/>
        </w:rPr>
        <w:t xml:space="preserve"> uključujući </w:t>
      </w:r>
      <w:proofErr w:type="spellStart"/>
      <w:r w:rsidRPr="001D7049">
        <w:rPr>
          <w:bCs/>
          <w:sz w:val="22"/>
          <w:szCs w:val="22"/>
          <w:lang w:val="sr-Latn-ME"/>
        </w:rPr>
        <w:t>penicilinaze</w:t>
      </w:r>
      <w:proofErr w:type="spellEnd"/>
      <w:r w:rsidRPr="001D7049">
        <w:rPr>
          <w:bCs/>
          <w:sz w:val="22"/>
          <w:szCs w:val="22"/>
          <w:lang w:val="sr-Latn-ME"/>
        </w:rPr>
        <w:t xml:space="preserve">, </w:t>
      </w:r>
      <w:proofErr w:type="spellStart"/>
      <w:r w:rsidRPr="001D7049">
        <w:rPr>
          <w:bCs/>
          <w:sz w:val="22"/>
          <w:szCs w:val="22"/>
          <w:lang w:val="sr-Latn-ME"/>
        </w:rPr>
        <w:t>cefalosporinaze</w:t>
      </w:r>
      <w:proofErr w:type="spellEnd"/>
      <w:r w:rsidRPr="001D7049">
        <w:rPr>
          <w:bCs/>
          <w:sz w:val="22"/>
          <w:szCs w:val="22"/>
          <w:lang w:val="sr-Latn-ME"/>
        </w:rPr>
        <w:t xml:space="preserve"> i beta-</w:t>
      </w:r>
      <w:proofErr w:type="spellStart"/>
      <w:r w:rsidRPr="001D7049">
        <w:rPr>
          <w:bCs/>
          <w:sz w:val="22"/>
          <w:szCs w:val="22"/>
          <w:lang w:val="sr-Latn-ME"/>
        </w:rPr>
        <w:t>laktamaze</w:t>
      </w:r>
      <w:proofErr w:type="spellEnd"/>
      <w:r w:rsidRPr="001D7049">
        <w:rPr>
          <w:bCs/>
          <w:sz w:val="22"/>
          <w:szCs w:val="22"/>
          <w:lang w:val="sr-Latn-ME"/>
        </w:rPr>
        <w:t xml:space="preserve"> proširenog </w:t>
      </w:r>
      <w:proofErr w:type="spellStart"/>
      <w:r w:rsidRPr="001D7049">
        <w:rPr>
          <w:bCs/>
          <w:sz w:val="22"/>
          <w:szCs w:val="22"/>
          <w:lang w:val="sr-Latn-ME"/>
        </w:rPr>
        <w:t>spektra</w:t>
      </w:r>
      <w:proofErr w:type="spellEnd"/>
      <w:r w:rsidRPr="001D7049">
        <w:rPr>
          <w:bCs/>
          <w:sz w:val="22"/>
          <w:szCs w:val="22"/>
          <w:lang w:val="sr-Latn-ME"/>
        </w:rPr>
        <w:t>, ali ne i metalo-beta-</w:t>
      </w:r>
      <w:proofErr w:type="spellStart"/>
      <w:r w:rsidRPr="001D7049">
        <w:rPr>
          <w:bCs/>
          <w:sz w:val="22"/>
          <w:szCs w:val="22"/>
          <w:lang w:val="sr-Latn-ME"/>
        </w:rPr>
        <w:t>laktamaze</w:t>
      </w:r>
      <w:proofErr w:type="spellEnd"/>
      <w:r w:rsidRPr="001D7049">
        <w:rPr>
          <w:bCs/>
          <w:sz w:val="22"/>
          <w:szCs w:val="22"/>
          <w:lang w:val="sr-Latn-ME"/>
        </w:rPr>
        <w:t>.</w:t>
      </w:r>
    </w:p>
    <w:p w14:paraId="44E8DB68" w14:textId="68180835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1D7049">
        <w:rPr>
          <w:bCs/>
          <w:sz w:val="22"/>
          <w:szCs w:val="22"/>
          <w:lang w:val="sr-Latn-ME"/>
        </w:rPr>
        <w:t>Meticilin</w:t>
      </w:r>
      <w:proofErr w:type="spellEnd"/>
      <w:r w:rsidRPr="001D7049">
        <w:rPr>
          <w:bCs/>
          <w:sz w:val="22"/>
          <w:szCs w:val="22"/>
          <w:lang w:val="sr-Latn-ME"/>
        </w:rPr>
        <w:t xml:space="preserve">-rezistentne stafilokoke i </w:t>
      </w:r>
      <w:proofErr w:type="spellStart"/>
      <w:r w:rsidRPr="001D7049">
        <w:rPr>
          <w:bCs/>
          <w:sz w:val="22"/>
          <w:szCs w:val="22"/>
          <w:lang w:val="sr-Latn-ME"/>
        </w:rPr>
        <w:t>enterokoke</w:t>
      </w:r>
      <w:proofErr w:type="spellEnd"/>
      <w:r w:rsidRPr="001D7049">
        <w:rPr>
          <w:bCs/>
          <w:sz w:val="22"/>
          <w:szCs w:val="22"/>
          <w:lang w:val="sr-Latn-ME"/>
        </w:rPr>
        <w:t xml:space="preserve"> su rezistentne na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zbog neosjetljivosti za ciljna mjesta na P</w:t>
      </w:r>
      <w:r w:rsidR="0086615E" w:rsidRPr="001D7049">
        <w:rPr>
          <w:bCs/>
          <w:sz w:val="22"/>
          <w:szCs w:val="22"/>
          <w:lang w:val="sr-Latn-ME"/>
        </w:rPr>
        <w:t>B</w:t>
      </w:r>
      <w:r w:rsidRPr="001D7049">
        <w:rPr>
          <w:bCs/>
          <w:sz w:val="22"/>
          <w:szCs w:val="22"/>
          <w:lang w:val="sr-Latn-ME"/>
        </w:rPr>
        <w:t xml:space="preserve">P. </w:t>
      </w:r>
      <w:r w:rsidRPr="001D7049">
        <w:rPr>
          <w:bCs/>
          <w:i/>
          <w:iCs/>
          <w:sz w:val="22"/>
          <w:szCs w:val="22"/>
          <w:lang w:val="sr-Latn-ME"/>
        </w:rPr>
        <w:t xml:space="preserve">P. </w:t>
      </w:r>
      <w:proofErr w:type="spellStart"/>
      <w:r w:rsidRPr="001D7049">
        <w:rPr>
          <w:bCs/>
          <w:i/>
          <w:iCs/>
          <w:sz w:val="22"/>
          <w:szCs w:val="22"/>
          <w:lang w:val="sr-Latn-ME"/>
        </w:rPr>
        <w:t>aeruginosa</w:t>
      </w:r>
      <w:proofErr w:type="spellEnd"/>
      <w:r w:rsidRPr="001D7049">
        <w:rPr>
          <w:bCs/>
          <w:sz w:val="22"/>
          <w:szCs w:val="22"/>
          <w:lang w:val="sr-Latn-ME"/>
        </w:rPr>
        <w:t xml:space="preserve"> i druge ne-</w:t>
      </w:r>
      <w:proofErr w:type="spellStart"/>
      <w:r w:rsidRPr="001D7049">
        <w:rPr>
          <w:bCs/>
          <w:sz w:val="22"/>
          <w:szCs w:val="22"/>
          <w:lang w:val="sr-Latn-ME"/>
        </w:rPr>
        <w:t>fermentativne</w:t>
      </w:r>
      <w:proofErr w:type="spellEnd"/>
      <w:r w:rsidRPr="001D7049">
        <w:rPr>
          <w:bCs/>
          <w:sz w:val="22"/>
          <w:szCs w:val="22"/>
          <w:lang w:val="sr-Latn-ME"/>
        </w:rPr>
        <w:t xml:space="preserve"> bakterije su uopšteno rezistentne, vjerovatno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>zbog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ograničene penetracije i aktivnog </w:t>
      </w:r>
      <w:proofErr w:type="spellStart"/>
      <w:r w:rsidRPr="001D7049">
        <w:rPr>
          <w:bCs/>
          <w:sz w:val="22"/>
          <w:szCs w:val="22"/>
          <w:lang w:val="sr-Latn-ME"/>
        </w:rPr>
        <w:t>efluksa</w:t>
      </w:r>
      <w:proofErr w:type="spellEnd"/>
      <w:r w:rsidRPr="001D7049">
        <w:rPr>
          <w:bCs/>
          <w:sz w:val="22"/>
          <w:szCs w:val="22"/>
          <w:lang w:val="sr-Latn-ME"/>
        </w:rPr>
        <w:t>.</w:t>
      </w:r>
    </w:p>
    <w:p w14:paraId="3435FD1F" w14:textId="7CFFD88E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Rezistencija kod roda </w:t>
      </w:r>
      <w:proofErr w:type="spellStart"/>
      <w:r w:rsidRPr="001D7049">
        <w:rPr>
          <w:bCs/>
          <w:sz w:val="22"/>
          <w:szCs w:val="22"/>
          <w:lang w:val="sr-Latn-ME"/>
        </w:rPr>
        <w:t>Enterobacteriaceae</w:t>
      </w:r>
      <w:proofErr w:type="spellEnd"/>
      <w:r w:rsidRPr="001D7049">
        <w:rPr>
          <w:bCs/>
          <w:sz w:val="22"/>
          <w:szCs w:val="22"/>
          <w:lang w:val="sr-Latn-ME"/>
        </w:rPr>
        <w:t xml:space="preserve"> nije uobičajena i ovaj lijek je uopšteno aktivan protiv mikroorganizama koji produkuju beta-</w:t>
      </w:r>
      <w:proofErr w:type="spellStart"/>
      <w:r w:rsidRPr="001D7049">
        <w:rPr>
          <w:bCs/>
          <w:sz w:val="22"/>
          <w:szCs w:val="22"/>
          <w:lang w:val="sr-Latn-ME"/>
        </w:rPr>
        <w:t>laktamaze</w:t>
      </w:r>
      <w:proofErr w:type="spellEnd"/>
      <w:r w:rsidRPr="001D7049">
        <w:rPr>
          <w:bCs/>
          <w:sz w:val="22"/>
          <w:szCs w:val="22"/>
          <w:lang w:val="sr-Latn-ME"/>
        </w:rPr>
        <w:t xml:space="preserve"> proširenog </w:t>
      </w:r>
      <w:proofErr w:type="spellStart"/>
      <w:r w:rsidRPr="001D7049">
        <w:rPr>
          <w:bCs/>
          <w:sz w:val="22"/>
          <w:szCs w:val="22"/>
          <w:lang w:val="sr-Latn-ME"/>
        </w:rPr>
        <w:t>spektra</w:t>
      </w:r>
      <w:proofErr w:type="spellEnd"/>
      <w:r w:rsidRPr="001D7049">
        <w:rPr>
          <w:bCs/>
          <w:sz w:val="22"/>
          <w:szCs w:val="22"/>
          <w:lang w:val="sr-Latn-ME"/>
        </w:rPr>
        <w:t xml:space="preserve"> (engl. </w:t>
      </w:r>
      <w:proofErr w:type="spellStart"/>
      <w:r w:rsidRPr="001D7049">
        <w:rPr>
          <w:bCs/>
          <w:sz w:val="22"/>
          <w:szCs w:val="22"/>
          <w:lang w:val="sr-Latn-ME"/>
        </w:rPr>
        <w:t>extended-spectrum</w:t>
      </w:r>
      <w:proofErr w:type="spellEnd"/>
      <w:r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betalactamases</w:t>
      </w:r>
      <w:proofErr w:type="spellEnd"/>
      <w:r w:rsidRPr="001D7049">
        <w:rPr>
          <w:bCs/>
          <w:sz w:val="22"/>
          <w:szCs w:val="22"/>
          <w:lang w:val="sr-Latn-ME"/>
        </w:rPr>
        <w:t xml:space="preserve">, </w:t>
      </w:r>
      <w:proofErr w:type="spellStart"/>
      <w:r w:rsidRPr="001D7049">
        <w:rPr>
          <w:bCs/>
          <w:sz w:val="22"/>
          <w:szCs w:val="22"/>
          <w:lang w:val="sr-Latn-ME"/>
        </w:rPr>
        <w:t>ESBLs</w:t>
      </w:r>
      <w:proofErr w:type="spellEnd"/>
      <w:r w:rsidRPr="001D7049">
        <w:rPr>
          <w:bCs/>
          <w:sz w:val="22"/>
          <w:szCs w:val="22"/>
          <w:lang w:val="sr-Latn-ME"/>
        </w:rPr>
        <w:t>). Međutim, do rezistencije može da dođe kada su beta-</w:t>
      </w:r>
      <w:proofErr w:type="spellStart"/>
      <w:r w:rsidRPr="001D7049">
        <w:rPr>
          <w:bCs/>
          <w:sz w:val="22"/>
          <w:szCs w:val="22"/>
          <w:lang w:val="sr-Latn-ME"/>
        </w:rPr>
        <w:t>laktamaze</w:t>
      </w:r>
      <w:proofErr w:type="spellEnd"/>
      <w:r w:rsidRPr="001D7049">
        <w:rPr>
          <w:bCs/>
          <w:sz w:val="22"/>
          <w:szCs w:val="22"/>
          <w:lang w:val="sr-Latn-ME"/>
        </w:rPr>
        <w:t xml:space="preserve"> proširenog </w:t>
      </w:r>
      <w:proofErr w:type="spellStart"/>
      <w:r w:rsidRPr="001D7049">
        <w:rPr>
          <w:bCs/>
          <w:sz w:val="22"/>
          <w:szCs w:val="22"/>
          <w:lang w:val="sr-Latn-ME"/>
        </w:rPr>
        <w:t>spektra</w:t>
      </w:r>
      <w:proofErr w:type="spellEnd"/>
      <w:r w:rsidRPr="001D7049">
        <w:rPr>
          <w:bCs/>
          <w:sz w:val="22"/>
          <w:szCs w:val="22"/>
          <w:lang w:val="sr-Latn-ME"/>
        </w:rPr>
        <w:t xml:space="preserve"> ili druge snažne beta-</w:t>
      </w:r>
      <w:proofErr w:type="spellStart"/>
      <w:r w:rsidRPr="001D7049">
        <w:rPr>
          <w:bCs/>
          <w:sz w:val="22"/>
          <w:szCs w:val="22"/>
          <w:lang w:val="sr-Latn-ME"/>
        </w:rPr>
        <w:t>laktamaze</w:t>
      </w:r>
      <w:proofErr w:type="spellEnd"/>
      <w:r w:rsidRPr="001D7049">
        <w:rPr>
          <w:bCs/>
          <w:sz w:val="22"/>
          <w:szCs w:val="22"/>
          <w:lang w:val="sr-Latn-ME"/>
        </w:rPr>
        <w:t xml:space="preserve"> (na primjer </w:t>
      </w:r>
      <w:proofErr w:type="spellStart"/>
      <w:r w:rsidRPr="001D7049">
        <w:rPr>
          <w:bCs/>
          <w:sz w:val="22"/>
          <w:szCs w:val="22"/>
          <w:lang w:val="sr-Latn-ME"/>
        </w:rPr>
        <w:t>AmpC</w:t>
      </w:r>
      <w:proofErr w:type="spellEnd"/>
      <w:r w:rsidRPr="001D7049">
        <w:rPr>
          <w:bCs/>
          <w:sz w:val="22"/>
          <w:szCs w:val="22"/>
          <w:lang w:val="sr-Latn-ME"/>
        </w:rPr>
        <w:t xml:space="preserve"> tipovi) prisutne u kombinaciji sa smanjenom permeabilnošću, koja je </w:t>
      </w:r>
      <w:proofErr w:type="spellStart"/>
      <w:r w:rsidRPr="001D7049">
        <w:rPr>
          <w:bCs/>
          <w:sz w:val="22"/>
          <w:szCs w:val="22"/>
          <w:lang w:val="sr-Latn-ME"/>
        </w:rPr>
        <w:t>posledica</w:t>
      </w:r>
      <w:proofErr w:type="spellEnd"/>
      <w:r w:rsidRPr="001D7049">
        <w:rPr>
          <w:bCs/>
          <w:sz w:val="22"/>
          <w:szCs w:val="22"/>
          <w:lang w:val="sr-Latn-ME"/>
        </w:rPr>
        <w:t xml:space="preserve"> gubitka jednog ili više porina spoljašnje membrane, ili sa povećanim </w:t>
      </w:r>
      <w:proofErr w:type="spellStart"/>
      <w:r w:rsidRPr="001D7049">
        <w:rPr>
          <w:bCs/>
          <w:sz w:val="22"/>
          <w:szCs w:val="22"/>
          <w:lang w:val="sr-Latn-ME"/>
        </w:rPr>
        <w:t>efluksom</w:t>
      </w:r>
      <w:proofErr w:type="spellEnd"/>
      <w:r w:rsidRPr="001D7049">
        <w:rPr>
          <w:bCs/>
          <w:sz w:val="22"/>
          <w:szCs w:val="22"/>
          <w:lang w:val="sr-Latn-ME"/>
        </w:rPr>
        <w:t>. Rezistencija takođe može da nastane putem</w:t>
      </w:r>
      <w:r w:rsidR="009930D9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akvizicije beta </w:t>
      </w:r>
      <w:proofErr w:type="spellStart"/>
      <w:r w:rsidRPr="001D7049">
        <w:rPr>
          <w:bCs/>
          <w:sz w:val="22"/>
          <w:szCs w:val="22"/>
          <w:lang w:val="sr-Latn-ME"/>
        </w:rPr>
        <w:t>laktamaza</w:t>
      </w:r>
      <w:proofErr w:type="spellEnd"/>
      <w:r w:rsidRPr="001D7049">
        <w:rPr>
          <w:bCs/>
          <w:sz w:val="22"/>
          <w:szCs w:val="22"/>
          <w:lang w:val="sr-Latn-ME"/>
        </w:rPr>
        <w:t xml:space="preserve"> sa značajnom </w:t>
      </w:r>
      <w:proofErr w:type="spellStart"/>
      <w:r w:rsidRPr="001D7049">
        <w:rPr>
          <w:bCs/>
          <w:sz w:val="22"/>
          <w:szCs w:val="22"/>
          <w:lang w:val="sr-Latn-ME"/>
        </w:rPr>
        <w:t>karbapenemsko-hidroliznom</w:t>
      </w:r>
      <w:proofErr w:type="spellEnd"/>
      <w:r w:rsidRPr="001D7049">
        <w:rPr>
          <w:bCs/>
          <w:sz w:val="22"/>
          <w:szCs w:val="22"/>
          <w:lang w:val="sr-Latn-ME"/>
        </w:rPr>
        <w:t xml:space="preserve"> aktivnošću (na primjer </w:t>
      </w:r>
      <w:proofErr w:type="spellStart"/>
      <w:r w:rsidRPr="001D7049">
        <w:rPr>
          <w:bCs/>
          <w:sz w:val="22"/>
          <w:szCs w:val="22"/>
          <w:lang w:val="sr-Latn-ME"/>
        </w:rPr>
        <w:t>IMP</w:t>
      </w:r>
      <w:proofErr w:type="spellEnd"/>
      <w:r w:rsidRPr="001D7049">
        <w:rPr>
          <w:bCs/>
          <w:sz w:val="22"/>
          <w:szCs w:val="22"/>
          <w:lang w:val="sr-Latn-ME"/>
        </w:rPr>
        <w:t xml:space="preserve"> i </w:t>
      </w:r>
      <w:proofErr w:type="spellStart"/>
      <w:r w:rsidRPr="001D7049">
        <w:rPr>
          <w:bCs/>
          <w:sz w:val="22"/>
          <w:szCs w:val="22"/>
          <w:lang w:val="sr-Latn-ME"/>
        </w:rPr>
        <w:t>VIM</w:t>
      </w:r>
      <w:proofErr w:type="spellEnd"/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>metalo-beta-</w:t>
      </w:r>
      <w:proofErr w:type="spellStart"/>
      <w:r w:rsidRPr="001D7049">
        <w:rPr>
          <w:bCs/>
          <w:sz w:val="22"/>
          <w:szCs w:val="22"/>
          <w:lang w:val="sr-Latn-ME"/>
        </w:rPr>
        <w:t>laktamaze</w:t>
      </w:r>
      <w:proofErr w:type="spellEnd"/>
      <w:r w:rsidRPr="001D7049">
        <w:rPr>
          <w:bCs/>
          <w:sz w:val="22"/>
          <w:szCs w:val="22"/>
          <w:lang w:val="sr-Latn-ME"/>
        </w:rPr>
        <w:t xml:space="preserve"> ili </w:t>
      </w:r>
      <w:proofErr w:type="spellStart"/>
      <w:r w:rsidRPr="001D7049">
        <w:rPr>
          <w:bCs/>
          <w:sz w:val="22"/>
          <w:szCs w:val="22"/>
          <w:lang w:val="sr-Latn-ME"/>
        </w:rPr>
        <w:t>KPC</w:t>
      </w:r>
      <w:proofErr w:type="spellEnd"/>
      <w:r w:rsidRPr="001D7049">
        <w:rPr>
          <w:bCs/>
          <w:sz w:val="22"/>
          <w:szCs w:val="22"/>
          <w:lang w:val="sr-Latn-ME"/>
        </w:rPr>
        <w:t xml:space="preserve"> tipovi), mada su ovi slučajevi rijetki.</w:t>
      </w:r>
    </w:p>
    <w:p w14:paraId="163C6E06" w14:textId="3A3FB433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Mehanizam dejstva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razlikuje se od mehanizma dejstva drugih klasa antibiotika poput </w:t>
      </w:r>
      <w:proofErr w:type="spellStart"/>
      <w:r w:rsidRPr="001D7049">
        <w:rPr>
          <w:bCs/>
          <w:sz w:val="22"/>
          <w:szCs w:val="22"/>
          <w:lang w:val="sr-Latn-ME"/>
        </w:rPr>
        <w:t>hinolona</w:t>
      </w:r>
      <w:proofErr w:type="spellEnd"/>
      <w:r w:rsidRPr="001D7049">
        <w:rPr>
          <w:bCs/>
          <w:sz w:val="22"/>
          <w:szCs w:val="22"/>
          <w:lang w:val="sr-Latn-ME"/>
        </w:rPr>
        <w:t>,</w:t>
      </w:r>
      <w:r w:rsidR="009930D9"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aminoglikozida</w:t>
      </w:r>
      <w:proofErr w:type="spellEnd"/>
      <w:r w:rsidRPr="001D7049">
        <w:rPr>
          <w:bCs/>
          <w:sz w:val="22"/>
          <w:szCs w:val="22"/>
          <w:lang w:val="sr-Latn-ME"/>
        </w:rPr>
        <w:t xml:space="preserve">, </w:t>
      </w:r>
      <w:proofErr w:type="spellStart"/>
      <w:r w:rsidRPr="001D7049">
        <w:rPr>
          <w:bCs/>
          <w:sz w:val="22"/>
          <w:szCs w:val="22"/>
          <w:lang w:val="sr-Latn-ME"/>
        </w:rPr>
        <w:t>makrolida</w:t>
      </w:r>
      <w:proofErr w:type="spellEnd"/>
      <w:r w:rsidRPr="001D7049">
        <w:rPr>
          <w:bCs/>
          <w:sz w:val="22"/>
          <w:szCs w:val="22"/>
          <w:lang w:val="sr-Latn-ME"/>
        </w:rPr>
        <w:t xml:space="preserve"> i </w:t>
      </w:r>
      <w:proofErr w:type="spellStart"/>
      <w:r w:rsidRPr="001D7049">
        <w:rPr>
          <w:bCs/>
          <w:sz w:val="22"/>
          <w:szCs w:val="22"/>
          <w:lang w:val="sr-Latn-ME"/>
        </w:rPr>
        <w:t>tetraciklina</w:t>
      </w:r>
      <w:proofErr w:type="spellEnd"/>
      <w:r w:rsidRPr="001D7049">
        <w:rPr>
          <w:bCs/>
          <w:sz w:val="22"/>
          <w:szCs w:val="22"/>
          <w:lang w:val="sr-Latn-ME"/>
        </w:rPr>
        <w:t xml:space="preserve">. Ne postoji unakrsna rezistencija između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i ovih ljekova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koja bi bila vezana za ciljno </w:t>
      </w:r>
      <w:proofErr w:type="spellStart"/>
      <w:r w:rsidRPr="001D7049">
        <w:rPr>
          <w:bCs/>
          <w:sz w:val="22"/>
          <w:szCs w:val="22"/>
          <w:lang w:val="sr-Latn-ME"/>
        </w:rPr>
        <w:t>mesto</w:t>
      </w:r>
      <w:proofErr w:type="spellEnd"/>
      <w:r w:rsidRPr="001D7049">
        <w:rPr>
          <w:bCs/>
          <w:sz w:val="22"/>
          <w:szCs w:val="22"/>
          <w:lang w:val="sr-Latn-ME"/>
        </w:rPr>
        <w:t xml:space="preserve">. Međutim, mikroorganizmi mogu da ispolje rezistenciju na više od jedne klase antibiotika kada ta rezistencija nastaje zbog </w:t>
      </w:r>
      <w:proofErr w:type="spellStart"/>
      <w:r w:rsidRPr="001D7049">
        <w:rPr>
          <w:bCs/>
          <w:sz w:val="22"/>
          <w:szCs w:val="22"/>
          <w:lang w:val="sr-Latn-ME"/>
        </w:rPr>
        <w:t>nepropustljivosti</w:t>
      </w:r>
      <w:proofErr w:type="spellEnd"/>
      <w:r w:rsidRPr="001D7049">
        <w:rPr>
          <w:bCs/>
          <w:sz w:val="22"/>
          <w:szCs w:val="22"/>
          <w:lang w:val="sr-Latn-ME"/>
        </w:rPr>
        <w:t xml:space="preserve"> spoljašnje membrane za neka jedinjenja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i/ili zbog aktivnosti </w:t>
      </w:r>
      <w:proofErr w:type="spellStart"/>
      <w:r w:rsidRPr="001D7049">
        <w:rPr>
          <w:bCs/>
          <w:sz w:val="22"/>
          <w:szCs w:val="22"/>
          <w:lang w:val="sr-Latn-ME"/>
        </w:rPr>
        <w:t>efluks</w:t>
      </w:r>
      <w:proofErr w:type="spellEnd"/>
      <w:r w:rsidRPr="001D7049">
        <w:rPr>
          <w:bCs/>
          <w:sz w:val="22"/>
          <w:szCs w:val="22"/>
          <w:lang w:val="sr-Latn-ME"/>
        </w:rPr>
        <w:t xml:space="preserve"> pumpe.</w:t>
      </w:r>
    </w:p>
    <w:p w14:paraId="275594E7" w14:textId="77777777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93E28A7" w14:textId="77777777" w:rsidR="00FA369D" w:rsidRPr="001D7049" w:rsidRDefault="00FA369D">
      <w:pPr>
        <w:tabs>
          <w:tab w:val="left" w:pos="540"/>
          <w:tab w:val="left" w:pos="569"/>
        </w:tabs>
        <w:jc w:val="both"/>
        <w:rPr>
          <w:b/>
          <w:bCs/>
          <w:i/>
          <w:sz w:val="22"/>
          <w:szCs w:val="22"/>
          <w:u w:val="single"/>
          <w:lang w:val="sr-Latn-ME"/>
        </w:rPr>
      </w:pPr>
      <w:r w:rsidRPr="001D7049">
        <w:rPr>
          <w:b/>
          <w:bCs/>
          <w:i/>
          <w:sz w:val="22"/>
          <w:szCs w:val="22"/>
          <w:u w:val="single"/>
          <w:lang w:val="sr-Latn-ME"/>
        </w:rPr>
        <w:t>Granične vrijednosti</w:t>
      </w:r>
    </w:p>
    <w:p w14:paraId="00AA5421" w14:textId="77777777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Evropski komitet za ispitivanje osjetljivosti na </w:t>
      </w:r>
      <w:proofErr w:type="spellStart"/>
      <w:r w:rsidRPr="001D7049">
        <w:rPr>
          <w:bCs/>
          <w:sz w:val="22"/>
          <w:szCs w:val="22"/>
          <w:lang w:val="sr-Latn-ME"/>
        </w:rPr>
        <w:t>antimikrobne</w:t>
      </w:r>
      <w:proofErr w:type="spellEnd"/>
      <w:r w:rsidRPr="001D7049">
        <w:rPr>
          <w:bCs/>
          <w:sz w:val="22"/>
          <w:szCs w:val="22"/>
          <w:lang w:val="sr-Latn-ME"/>
        </w:rPr>
        <w:t xml:space="preserve"> ljekove (engl. </w:t>
      </w:r>
      <w:proofErr w:type="spellStart"/>
      <w:r w:rsidRPr="001D7049">
        <w:rPr>
          <w:bCs/>
          <w:i/>
          <w:sz w:val="22"/>
          <w:szCs w:val="22"/>
          <w:lang w:val="sr-Latn-ME"/>
        </w:rPr>
        <w:t>European</w:t>
      </w:r>
      <w:proofErr w:type="spellEnd"/>
      <w:r w:rsidRPr="001D7049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i/>
          <w:sz w:val="22"/>
          <w:szCs w:val="22"/>
          <w:lang w:val="sr-Latn-ME"/>
        </w:rPr>
        <w:t>Committee</w:t>
      </w:r>
      <w:proofErr w:type="spellEnd"/>
      <w:r w:rsidRPr="001D7049">
        <w:rPr>
          <w:bCs/>
          <w:i/>
          <w:sz w:val="22"/>
          <w:szCs w:val="22"/>
          <w:lang w:val="sr-Latn-ME"/>
        </w:rPr>
        <w:t xml:space="preserve"> on </w:t>
      </w:r>
    </w:p>
    <w:p w14:paraId="216A3814" w14:textId="74400856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1D7049">
        <w:rPr>
          <w:bCs/>
          <w:i/>
          <w:sz w:val="22"/>
          <w:szCs w:val="22"/>
          <w:lang w:val="sr-Latn-ME"/>
        </w:rPr>
        <w:t>Antimicrobial</w:t>
      </w:r>
      <w:proofErr w:type="spellEnd"/>
      <w:r w:rsidRPr="001D7049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i/>
          <w:sz w:val="22"/>
          <w:szCs w:val="22"/>
          <w:lang w:val="sr-Latn-ME"/>
        </w:rPr>
        <w:t>susceptibility</w:t>
      </w:r>
      <w:proofErr w:type="spellEnd"/>
      <w:r w:rsidRPr="001D7049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i/>
          <w:sz w:val="22"/>
          <w:szCs w:val="22"/>
          <w:lang w:val="sr-Latn-ME"/>
        </w:rPr>
        <w:t>Testing</w:t>
      </w:r>
      <w:proofErr w:type="spellEnd"/>
      <w:r w:rsidRPr="001D7049">
        <w:rPr>
          <w:bCs/>
          <w:sz w:val="22"/>
          <w:szCs w:val="22"/>
          <w:lang w:val="sr-Latn-ME"/>
        </w:rPr>
        <w:t xml:space="preserve">, </w:t>
      </w:r>
      <w:proofErr w:type="spellStart"/>
      <w:r w:rsidRPr="001D7049">
        <w:rPr>
          <w:bCs/>
          <w:sz w:val="22"/>
          <w:szCs w:val="22"/>
          <w:lang w:val="sr-Latn-ME"/>
        </w:rPr>
        <w:t>EUCAST</w:t>
      </w:r>
      <w:proofErr w:type="spellEnd"/>
      <w:r w:rsidRPr="001D7049">
        <w:rPr>
          <w:bCs/>
          <w:sz w:val="22"/>
          <w:szCs w:val="22"/>
          <w:lang w:val="sr-Latn-ME"/>
        </w:rPr>
        <w:t xml:space="preserve">) je odredio sljedeće </w:t>
      </w:r>
      <w:r w:rsidR="0086615E" w:rsidRPr="001D7049">
        <w:rPr>
          <w:bCs/>
          <w:sz w:val="22"/>
          <w:szCs w:val="22"/>
          <w:lang w:val="sr-Latn-ME"/>
        </w:rPr>
        <w:t xml:space="preserve">MIK </w:t>
      </w:r>
      <w:r w:rsidRPr="001D7049">
        <w:rPr>
          <w:bCs/>
          <w:sz w:val="22"/>
          <w:szCs w:val="22"/>
          <w:lang w:val="sr-Latn-ME"/>
        </w:rPr>
        <w:t>granične vrijednosti</w:t>
      </w:r>
      <w:r w:rsidR="0086615E" w:rsidRPr="001D7049">
        <w:rPr>
          <w:bCs/>
          <w:sz w:val="22"/>
          <w:szCs w:val="22"/>
          <w:lang w:val="sr-Latn-ME"/>
        </w:rPr>
        <w:t xml:space="preserve">: </w:t>
      </w:r>
    </w:p>
    <w:p w14:paraId="578CBB7C" w14:textId="77777777" w:rsidR="009930D9" w:rsidRPr="001D7049" w:rsidRDefault="009930D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F612B0" w14:textId="0BD88572" w:rsidR="00FA369D" w:rsidRPr="001D7049" w:rsidRDefault="00FA369D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1D7049">
        <w:rPr>
          <w:bCs/>
          <w:i/>
          <w:sz w:val="22"/>
          <w:szCs w:val="22"/>
          <w:lang w:val="sr-Latn-ME"/>
        </w:rPr>
        <w:t>Enterobacterales</w:t>
      </w:r>
      <w:proofErr w:type="spellEnd"/>
      <w:r w:rsidRPr="001D7049">
        <w:rPr>
          <w:bCs/>
          <w:i/>
          <w:sz w:val="22"/>
          <w:szCs w:val="22"/>
          <w:lang w:val="sr-Latn-ME"/>
        </w:rPr>
        <w:t>: S ≤ 0,5 mg</w:t>
      </w:r>
      <w:r w:rsidR="009930D9" w:rsidRPr="001D7049">
        <w:rPr>
          <w:bCs/>
          <w:i/>
          <w:sz w:val="22"/>
          <w:szCs w:val="22"/>
          <w:lang w:val="sr-Latn-ME"/>
        </w:rPr>
        <w:t>/l</w:t>
      </w:r>
      <w:r w:rsidRPr="001D7049">
        <w:rPr>
          <w:bCs/>
          <w:i/>
          <w:sz w:val="22"/>
          <w:szCs w:val="22"/>
          <w:lang w:val="sr-Latn-ME"/>
        </w:rPr>
        <w:t xml:space="preserve"> i R &gt; 0,5 mg</w:t>
      </w:r>
      <w:r w:rsidR="009930D9" w:rsidRPr="001D7049">
        <w:rPr>
          <w:bCs/>
          <w:i/>
          <w:sz w:val="22"/>
          <w:szCs w:val="22"/>
          <w:lang w:val="sr-Latn-ME"/>
        </w:rPr>
        <w:t>/l</w:t>
      </w:r>
    </w:p>
    <w:p w14:paraId="3537AA7D" w14:textId="42DC51C2" w:rsidR="00FA369D" w:rsidRPr="001D7049" w:rsidRDefault="00FA369D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1D7049">
        <w:rPr>
          <w:bCs/>
          <w:i/>
          <w:sz w:val="22"/>
          <w:szCs w:val="22"/>
          <w:lang w:val="sr-Latn-ME"/>
        </w:rPr>
        <w:t>Streptococcus</w:t>
      </w:r>
      <w:proofErr w:type="spellEnd"/>
      <w:r w:rsidRPr="001D7049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i/>
          <w:sz w:val="22"/>
          <w:szCs w:val="22"/>
          <w:lang w:val="sr-Latn-ME"/>
        </w:rPr>
        <w:t>pneumoniae</w:t>
      </w:r>
      <w:proofErr w:type="spellEnd"/>
      <w:r w:rsidRPr="001D7049">
        <w:rPr>
          <w:bCs/>
          <w:i/>
          <w:sz w:val="22"/>
          <w:szCs w:val="22"/>
          <w:lang w:val="sr-Latn-ME"/>
        </w:rPr>
        <w:t>: S ≤ 0,5 mg</w:t>
      </w:r>
      <w:r w:rsidR="009930D9" w:rsidRPr="001D7049">
        <w:rPr>
          <w:bCs/>
          <w:i/>
          <w:sz w:val="22"/>
          <w:szCs w:val="22"/>
          <w:lang w:val="sr-Latn-ME"/>
        </w:rPr>
        <w:t>/l</w:t>
      </w:r>
      <w:r w:rsidRPr="001D7049">
        <w:rPr>
          <w:bCs/>
          <w:i/>
          <w:sz w:val="22"/>
          <w:szCs w:val="22"/>
          <w:lang w:val="sr-Latn-ME"/>
        </w:rPr>
        <w:t xml:space="preserve"> i R &gt; 0,5 mg</w:t>
      </w:r>
      <w:r w:rsidR="009930D9" w:rsidRPr="001D7049">
        <w:rPr>
          <w:bCs/>
          <w:i/>
          <w:sz w:val="22"/>
          <w:szCs w:val="22"/>
          <w:lang w:val="sr-Latn-ME"/>
        </w:rPr>
        <w:t>/l</w:t>
      </w:r>
    </w:p>
    <w:p w14:paraId="3394569E" w14:textId="494F3CA6" w:rsidR="00FA369D" w:rsidRPr="001D7049" w:rsidRDefault="00FA369D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1D7049">
        <w:rPr>
          <w:bCs/>
          <w:i/>
          <w:sz w:val="22"/>
          <w:szCs w:val="22"/>
          <w:lang w:val="sr-Latn-ME"/>
        </w:rPr>
        <w:t>Haemophilus</w:t>
      </w:r>
      <w:proofErr w:type="spellEnd"/>
      <w:r w:rsidRPr="001D7049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i/>
          <w:sz w:val="22"/>
          <w:szCs w:val="22"/>
          <w:lang w:val="sr-Latn-ME"/>
        </w:rPr>
        <w:t>influenzae</w:t>
      </w:r>
      <w:proofErr w:type="spellEnd"/>
      <w:r w:rsidRPr="001D7049">
        <w:rPr>
          <w:bCs/>
          <w:i/>
          <w:sz w:val="22"/>
          <w:szCs w:val="22"/>
          <w:lang w:val="sr-Latn-ME"/>
        </w:rPr>
        <w:t>: S ≤ 0,5 mg</w:t>
      </w:r>
      <w:r w:rsidR="009930D9" w:rsidRPr="001D7049">
        <w:rPr>
          <w:bCs/>
          <w:i/>
          <w:sz w:val="22"/>
          <w:szCs w:val="22"/>
          <w:lang w:val="sr-Latn-ME"/>
        </w:rPr>
        <w:t>/l</w:t>
      </w:r>
      <w:r w:rsidRPr="001D7049">
        <w:rPr>
          <w:bCs/>
          <w:i/>
          <w:sz w:val="22"/>
          <w:szCs w:val="22"/>
          <w:lang w:val="sr-Latn-ME"/>
        </w:rPr>
        <w:t xml:space="preserve"> i R &gt; 0,5 mg</w:t>
      </w:r>
      <w:r w:rsidR="009930D9" w:rsidRPr="001D7049">
        <w:rPr>
          <w:bCs/>
          <w:i/>
          <w:sz w:val="22"/>
          <w:szCs w:val="22"/>
          <w:lang w:val="sr-Latn-ME"/>
        </w:rPr>
        <w:t>/l</w:t>
      </w:r>
    </w:p>
    <w:p w14:paraId="5CCBAC06" w14:textId="62D6D745" w:rsidR="00FA369D" w:rsidRPr="001D7049" w:rsidRDefault="00FA369D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1D7049">
        <w:rPr>
          <w:bCs/>
          <w:i/>
          <w:sz w:val="22"/>
          <w:szCs w:val="22"/>
          <w:lang w:val="sr-Latn-ME"/>
        </w:rPr>
        <w:t xml:space="preserve">M. </w:t>
      </w:r>
      <w:proofErr w:type="spellStart"/>
      <w:r w:rsidRPr="001D7049">
        <w:rPr>
          <w:bCs/>
          <w:i/>
          <w:sz w:val="22"/>
          <w:szCs w:val="22"/>
          <w:lang w:val="sr-Latn-ME"/>
        </w:rPr>
        <w:t>catarrhalis</w:t>
      </w:r>
      <w:proofErr w:type="spellEnd"/>
      <w:r w:rsidRPr="001D7049">
        <w:rPr>
          <w:bCs/>
          <w:i/>
          <w:sz w:val="22"/>
          <w:szCs w:val="22"/>
          <w:lang w:val="sr-Latn-ME"/>
        </w:rPr>
        <w:t>: S ≤ 0,5 mg</w:t>
      </w:r>
      <w:r w:rsidR="009930D9" w:rsidRPr="001D7049">
        <w:rPr>
          <w:bCs/>
          <w:i/>
          <w:sz w:val="22"/>
          <w:szCs w:val="22"/>
          <w:lang w:val="sr-Latn-ME"/>
        </w:rPr>
        <w:t>/l</w:t>
      </w:r>
      <w:r w:rsidRPr="001D7049">
        <w:rPr>
          <w:bCs/>
          <w:i/>
          <w:sz w:val="22"/>
          <w:szCs w:val="22"/>
          <w:lang w:val="sr-Latn-ME"/>
        </w:rPr>
        <w:t xml:space="preserve"> i R &gt; 0,5 mg</w:t>
      </w:r>
      <w:r w:rsidR="009930D9" w:rsidRPr="001D7049">
        <w:rPr>
          <w:bCs/>
          <w:i/>
          <w:sz w:val="22"/>
          <w:szCs w:val="22"/>
          <w:lang w:val="sr-Latn-ME"/>
        </w:rPr>
        <w:t>/l</w:t>
      </w:r>
    </w:p>
    <w:p w14:paraId="0C93425B" w14:textId="04A44F44" w:rsidR="00FA369D" w:rsidRPr="001D7049" w:rsidRDefault="00FA369D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Gram-negativni </w:t>
      </w:r>
      <w:proofErr w:type="spellStart"/>
      <w:r w:rsidRPr="001D7049">
        <w:rPr>
          <w:bCs/>
          <w:sz w:val="22"/>
          <w:szCs w:val="22"/>
          <w:lang w:val="sr-Latn-ME"/>
        </w:rPr>
        <w:t>anaerobi</w:t>
      </w:r>
      <w:proofErr w:type="spellEnd"/>
      <w:r w:rsidRPr="001D7049">
        <w:rPr>
          <w:bCs/>
          <w:i/>
          <w:sz w:val="22"/>
          <w:szCs w:val="22"/>
          <w:lang w:val="sr-Latn-ME"/>
        </w:rPr>
        <w:t>: S ≤ 0,5 mg</w:t>
      </w:r>
      <w:r w:rsidR="009930D9" w:rsidRPr="001D7049">
        <w:rPr>
          <w:bCs/>
          <w:i/>
          <w:sz w:val="22"/>
          <w:szCs w:val="22"/>
          <w:lang w:val="sr-Latn-ME"/>
        </w:rPr>
        <w:t>/l</w:t>
      </w:r>
      <w:r w:rsidRPr="001D7049">
        <w:rPr>
          <w:bCs/>
          <w:i/>
          <w:sz w:val="22"/>
          <w:szCs w:val="22"/>
          <w:lang w:val="sr-Latn-ME"/>
        </w:rPr>
        <w:t xml:space="preserve"> i R &gt; 0,5 mg</w:t>
      </w:r>
      <w:r w:rsidR="009930D9" w:rsidRPr="001D7049">
        <w:rPr>
          <w:bCs/>
          <w:i/>
          <w:sz w:val="22"/>
          <w:szCs w:val="22"/>
          <w:lang w:val="sr-Latn-ME"/>
        </w:rPr>
        <w:t>/l</w:t>
      </w:r>
    </w:p>
    <w:p w14:paraId="08654287" w14:textId="3E12C00E" w:rsidR="00FA369D" w:rsidRPr="001D7049" w:rsidRDefault="00FA369D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Gram-pozitivni </w:t>
      </w:r>
      <w:proofErr w:type="spellStart"/>
      <w:r w:rsidRPr="001D7049">
        <w:rPr>
          <w:bCs/>
          <w:sz w:val="22"/>
          <w:szCs w:val="22"/>
          <w:lang w:val="sr-Latn-ME"/>
        </w:rPr>
        <w:t>anaero</w:t>
      </w:r>
      <w:r w:rsidRPr="001D7049">
        <w:rPr>
          <w:bCs/>
          <w:i/>
          <w:sz w:val="22"/>
          <w:szCs w:val="22"/>
          <w:lang w:val="sr-Latn-ME"/>
        </w:rPr>
        <w:t>b</w:t>
      </w:r>
      <w:r w:rsidRPr="001D7049">
        <w:rPr>
          <w:bCs/>
          <w:sz w:val="22"/>
          <w:szCs w:val="22"/>
          <w:lang w:val="sr-Latn-ME"/>
        </w:rPr>
        <w:t>i</w:t>
      </w:r>
      <w:proofErr w:type="spellEnd"/>
      <w:r w:rsidRPr="001D7049">
        <w:rPr>
          <w:bCs/>
          <w:sz w:val="22"/>
          <w:szCs w:val="22"/>
          <w:lang w:val="sr-Latn-ME"/>
        </w:rPr>
        <w:t>:</w:t>
      </w:r>
      <w:r w:rsidRPr="001D7049">
        <w:rPr>
          <w:bCs/>
          <w:i/>
          <w:sz w:val="22"/>
          <w:szCs w:val="22"/>
          <w:lang w:val="sr-Latn-ME"/>
        </w:rPr>
        <w:t xml:space="preserve"> S ≤ 0,5 mg</w:t>
      </w:r>
      <w:r w:rsidR="009930D9" w:rsidRPr="001D7049">
        <w:rPr>
          <w:bCs/>
          <w:i/>
          <w:sz w:val="22"/>
          <w:szCs w:val="22"/>
          <w:lang w:val="sr-Latn-ME"/>
        </w:rPr>
        <w:t>/l</w:t>
      </w:r>
      <w:r w:rsidRPr="001D7049">
        <w:rPr>
          <w:bCs/>
          <w:i/>
          <w:sz w:val="22"/>
          <w:szCs w:val="22"/>
          <w:lang w:val="sr-Latn-ME"/>
        </w:rPr>
        <w:t xml:space="preserve"> i R &gt; 0,5 mg</w:t>
      </w:r>
      <w:r w:rsidR="009930D9" w:rsidRPr="001D7049">
        <w:rPr>
          <w:bCs/>
          <w:i/>
          <w:sz w:val="22"/>
          <w:szCs w:val="22"/>
          <w:lang w:val="sr-Latn-ME"/>
        </w:rPr>
        <w:t>/l</w:t>
      </w:r>
    </w:p>
    <w:p w14:paraId="2FB5E1A0" w14:textId="79AD1AAB" w:rsidR="00FA369D" w:rsidRPr="001D7049" w:rsidRDefault="00FA369D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lastRenderedPageBreak/>
        <w:t>Streptokoke grupe</w:t>
      </w:r>
      <w:r w:rsidRPr="001D7049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i/>
          <w:sz w:val="22"/>
          <w:szCs w:val="22"/>
          <w:lang w:val="sr-Latn-ME"/>
        </w:rPr>
        <w:t>Viridans</w:t>
      </w:r>
      <w:proofErr w:type="spellEnd"/>
      <w:r w:rsidRPr="001D7049">
        <w:rPr>
          <w:bCs/>
          <w:i/>
          <w:sz w:val="22"/>
          <w:szCs w:val="22"/>
          <w:lang w:val="sr-Latn-ME"/>
        </w:rPr>
        <w:t>: S ≤ 0,5 mg</w:t>
      </w:r>
      <w:r w:rsidR="009930D9" w:rsidRPr="001D7049">
        <w:rPr>
          <w:bCs/>
          <w:i/>
          <w:sz w:val="22"/>
          <w:szCs w:val="22"/>
          <w:lang w:val="sr-Latn-ME"/>
        </w:rPr>
        <w:t>/l</w:t>
      </w:r>
      <w:r w:rsidRPr="001D7049">
        <w:rPr>
          <w:bCs/>
          <w:i/>
          <w:sz w:val="22"/>
          <w:szCs w:val="22"/>
          <w:lang w:val="sr-Latn-ME"/>
        </w:rPr>
        <w:t xml:space="preserve"> i R &gt; 0,5 mg</w:t>
      </w:r>
      <w:r w:rsidR="009930D9" w:rsidRPr="001D7049">
        <w:rPr>
          <w:bCs/>
          <w:i/>
          <w:sz w:val="22"/>
          <w:szCs w:val="22"/>
          <w:lang w:val="sr-Latn-ME"/>
        </w:rPr>
        <w:t>/l</w:t>
      </w:r>
    </w:p>
    <w:p w14:paraId="6F9D93E2" w14:textId="5C4C5FB5" w:rsidR="00FA369D" w:rsidRPr="001D7049" w:rsidRDefault="00FA369D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Granične vrijednosti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nespecifične</w:t>
      </w:r>
      <w:proofErr w:type="spellEnd"/>
      <w:r w:rsidRPr="001D7049">
        <w:rPr>
          <w:bCs/>
          <w:sz w:val="22"/>
          <w:szCs w:val="22"/>
          <w:lang w:val="sr-Latn-ME"/>
        </w:rPr>
        <w:t xml:space="preserve"> za</w:t>
      </w:r>
      <w:r w:rsidRPr="001D7049">
        <w:rPr>
          <w:bCs/>
          <w:i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>vrstu:</w:t>
      </w:r>
      <w:r w:rsidRPr="001D7049">
        <w:rPr>
          <w:bCs/>
          <w:i/>
          <w:sz w:val="22"/>
          <w:szCs w:val="22"/>
          <w:lang w:val="sr-Latn-ME"/>
        </w:rPr>
        <w:t xml:space="preserve"> S ≤ 0,5 mg</w:t>
      </w:r>
      <w:r w:rsidR="009930D9" w:rsidRPr="001D7049">
        <w:rPr>
          <w:bCs/>
          <w:i/>
          <w:sz w:val="22"/>
          <w:szCs w:val="22"/>
          <w:lang w:val="sr-Latn-ME"/>
        </w:rPr>
        <w:t>/l</w:t>
      </w:r>
      <w:r w:rsidRPr="001D7049">
        <w:rPr>
          <w:bCs/>
          <w:i/>
          <w:sz w:val="22"/>
          <w:szCs w:val="22"/>
          <w:lang w:val="sr-Latn-ME"/>
        </w:rPr>
        <w:t xml:space="preserve"> i R &gt; 0,5 mg</w:t>
      </w:r>
      <w:r w:rsidR="009930D9" w:rsidRPr="001D7049">
        <w:rPr>
          <w:bCs/>
          <w:i/>
          <w:sz w:val="22"/>
          <w:szCs w:val="22"/>
          <w:lang w:val="sr-Latn-ME"/>
        </w:rPr>
        <w:t>/l</w:t>
      </w:r>
    </w:p>
    <w:p w14:paraId="1494DB9F" w14:textId="75965E75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(Napomena: </w:t>
      </w:r>
      <w:r w:rsidRPr="001D7049">
        <w:rPr>
          <w:bCs/>
          <w:i/>
          <w:sz w:val="22"/>
          <w:szCs w:val="22"/>
          <w:lang w:val="sr-Latn-ME"/>
        </w:rPr>
        <w:t xml:space="preserve">O </w:t>
      </w:r>
      <w:r w:rsidR="009D4CA4" w:rsidRPr="001D7049">
        <w:rPr>
          <w:bCs/>
          <w:i/>
          <w:sz w:val="22"/>
          <w:szCs w:val="22"/>
          <w:lang w:val="sr-Latn-ME"/>
        </w:rPr>
        <w:t xml:space="preserve"> osjetljivost</w:t>
      </w:r>
      <w:r w:rsidRPr="001D7049">
        <w:rPr>
          <w:bCs/>
          <w:i/>
          <w:sz w:val="22"/>
          <w:szCs w:val="22"/>
          <w:lang w:val="sr-Latn-ME"/>
        </w:rPr>
        <w:t xml:space="preserve">i stafilokoka na </w:t>
      </w:r>
      <w:proofErr w:type="spellStart"/>
      <w:r w:rsidRPr="001D7049">
        <w:rPr>
          <w:bCs/>
          <w:i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i/>
          <w:sz w:val="22"/>
          <w:szCs w:val="22"/>
          <w:lang w:val="sr-Latn-ME"/>
        </w:rPr>
        <w:t xml:space="preserve"> zaključuje se na osnovu </w:t>
      </w:r>
      <w:r w:rsidR="009D4CA4" w:rsidRPr="001D7049">
        <w:rPr>
          <w:bCs/>
          <w:i/>
          <w:sz w:val="22"/>
          <w:szCs w:val="22"/>
          <w:lang w:val="sr-Latn-ME"/>
        </w:rPr>
        <w:t xml:space="preserve"> osjetljivost</w:t>
      </w:r>
      <w:r w:rsidRPr="001D7049">
        <w:rPr>
          <w:bCs/>
          <w:i/>
          <w:sz w:val="22"/>
          <w:szCs w:val="22"/>
          <w:lang w:val="sr-Latn-ME"/>
        </w:rPr>
        <w:t xml:space="preserve">i na </w:t>
      </w:r>
      <w:proofErr w:type="spellStart"/>
      <w:r w:rsidRPr="001D7049">
        <w:rPr>
          <w:bCs/>
          <w:i/>
          <w:sz w:val="22"/>
          <w:szCs w:val="22"/>
          <w:lang w:val="sr-Latn-ME"/>
        </w:rPr>
        <w:t>meticilin</w:t>
      </w:r>
      <w:proofErr w:type="spellEnd"/>
      <w:r w:rsidRPr="001D7049">
        <w:rPr>
          <w:bCs/>
          <w:i/>
          <w:sz w:val="22"/>
          <w:szCs w:val="22"/>
          <w:lang w:val="sr-Latn-ME"/>
        </w:rPr>
        <w:t>, a</w:t>
      </w:r>
      <w:r w:rsidR="009D4CA4" w:rsidRPr="001D7049">
        <w:rPr>
          <w:bCs/>
          <w:i/>
          <w:sz w:val="22"/>
          <w:szCs w:val="22"/>
          <w:lang w:val="sr-Latn-ME"/>
        </w:rPr>
        <w:t xml:space="preserve"> osjetljivost</w:t>
      </w:r>
      <w:r w:rsidRPr="001D7049">
        <w:rPr>
          <w:bCs/>
          <w:i/>
          <w:sz w:val="22"/>
          <w:szCs w:val="22"/>
          <w:lang w:val="sr-Latn-ME"/>
        </w:rPr>
        <w:t xml:space="preserve"> streptokoka grupe A, B, C i G zaključena je na osnovu </w:t>
      </w:r>
      <w:r w:rsidR="009D4CA4" w:rsidRPr="001D7049">
        <w:rPr>
          <w:bCs/>
          <w:i/>
          <w:sz w:val="22"/>
          <w:szCs w:val="22"/>
          <w:lang w:val="sr-Latn-ME"/>
        </w:rPr>
        <w:t xml:space="preserve"> osjetljivost</w:t>
      </w:r>
      <w:r w:rsidRPr="001D7049">
        <w:rPr>
          <w:bCs/>
          <w:i/>
          <w:sz w:val="22"/>
          <w:szCs w:val="22"/>
          <w:lang w:val="sr-Latn-ME"/>
        </w:rPr>
        <w:t xml:space="preserve">i na </w:t>
      </w:r>
      <w:proofErr w:type="spellStart"/>
      <w:r w:rsidRPr="001D7049">
        <w:rPr>
          <w:bCs/>
          <w:i/>
          <w:sz w:val="22"/>
          <w:szCs w:val="22"/>
          <w:lang w:val="sr-Latn-ME"/>
        </w:rPr>
        <w:t>benzilpenicilin</w:t>
      </w:r>
      <w:proofErr w:type="spellEnd"/>
      <w:r w:rsidRPr="001D7049">
        <w:rPr>
          <w:bCs/>
          <w:sz w:val="22"/>
          <w:szCs w:val="22"/>
          <w:lang w:val="sr-Latn-ME"/>
        </w:rPr>
        <w:t>).</w:t>
      </w:r>
    </w:p>
    <w:p w14:paraId="2DBA2034" w14:textId="77777777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7242A1" w14:textId="74303B28" w:rsidR="00FA369D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Propisivači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="00FA369D" w:rsidRPr="001D7049">
        <w:rPr>
          <w:bCs/>
          <w:sz w:val="22"/>
          <w:szCs w:val="22"/>
          <w:lang w:val="sr-Latn-ME"/>
        </w:rPr>
        <w:t>moraju uzeti u obzir lokalne MIK granične vrijednosti , ukoliko su dostupne.</w:t>
      </w:r>
    </w:p>
    <w:p w14:paraId="32730F3A" w14:textId="77777777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31BFDC3" w14:textId="77777777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D7049">
        <w:rPr>
          <w:bCs/>
          <w:sz w:val="22"/>
          <w:szCs w:val="22"/>
          <w:u w:val="single"/>
          <w:lang w:val="sr-Latn-ME"/>
        </w:rPr>
        <w:t>Mikrobiološka osjetljivost</w:t>
      </w:r>
    </w:p>
    <w:p w14:paraId="63E2E593" w14:textId="18355DA6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1D7049">
        <w:rPr>
          <w:bCs/>
          <w:sz w:val="22"/>
          <w:szCs w:val="22"/>
          <w:lang w:val="sr-Latn-ME"/>
        </w:rPr>
        <w:t>Prevalenca</w:t>
      </w:r>
      <w:proofErr w:type="spellEnd"/>
      <w:r w:rsidRPr="001D7049">
        <w:rPr>
          <w:bCs/>
          <w:sz w:val="22"/>
          <w:szCs w:val="22"/>
          <w:lang w:val="sr-Latn-ME"/>
        </w:rPr>
        <w:t xml:space="preserve"> stečene rezistencije može da varira geografski i vremenski za određene vrste mikroorganizama </w:t>
      </w:r>
      <w:r w:rsidR="0086615E" w:rsidRPr="001D7049">
        <w:rPr>
          <w:bCs/>
          <w:sz w:val="22"/>
          <w:szCs w:val="22"/>
          <w:lang w:val="sr-Latn-ME"/>
        </w:rPr>
        <w:t>i</w:t>
      </w:r>
      <w:r w:rsidRPr="001D7049">
        <w:rPr>
          <w:bCs/>
          <w:sz w:val="22"/>
          <w:szCs w:val="22"/>
          <w:lang w:val="sr-Latn-ME"/>
        </w:rPr>
        <w:t xml:space="preserve"> poželjno je imati na raspolaganju lokalne podatke o rezistenciji, a posebno kod terapije teških infekcija. U Evropskoj uniji su zabilježene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lokalizovane grupe infekcija koje su uzrokovane mikroorganizmima rezistentnim na </w:t>
      </w:r>
      <w:proofErr w:type="spellStart"/>
      <w:r w:rsidRPr="001D7049">
        <w:rPr>
          <w:bCs/>
          <w:sz w:val="22"/>
          <w:szCs w:val="22"/>
          <w:lang w:val="sr-Latn-ME"/>
        </w:rPr>
        <w:t>karbapeneme</w:t>
      </w:r>
      <w:proofErr w:type="spellEnd"/>
      <w:r w:rsidRPr="001D7049">
        <w:rPr>
          <w:bCs/>
          <w:sz w:val="22"/>
          <w:szCs w:val="22"/>
          <w:lang w:val="sr-Latn-ME"/>
        </w:rPr>
        <w:t>. Informacije navedene u tabeli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>u nastavku predstavljaju samo približne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smjernice o vjerovatnoći da li će dati mikroorganizam biti </w:t>
      </w:r>
      <w:r w:rsidR="009930D9" w:rsidRPr="001D7049">
        <w:rPr>
          <w:bCs/>
          <w:sz w:val="22"/>
          <w:szCs w:val="22"/>
          <w:lang w:val="sr-Latn-ME"/>
        </w:rPr>
        <w:t>osjetljiv</w:t>
      </w:r>
      <w:r w:rsidRPr="001D7049">
        <w:rPr>
          <w:bCs/>
          <w:sz w:val="22"/>
          <w:szCs w:val="22"/>
          <w:lang w:val="sr-Latn-ME"/>
        </w:rPr>
        <w:t xml:space="preserve"> na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ili ne.</w:t>
      </w:r>
    </w:p>
    <w:p w14:paraId="128E1A0A" w14:textId="77777777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tbl>
      <w:tblPr>
        <w:tblW w:w="8483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3"/>
      </w:tblGrid>
      <w:tr w:rsidR="00FA369D" w:rsidRPr="001D7049" w14:paraId="6D28227A" w14:textId="77777777" w:rsidTr="001558F2">
        <w:trPr>
          <w:trHeight w:val="289"/>
        </w:trPr>
        <w:tc>
          <w:tcPr>
            <w:tcW w:w="8483" w:type="dxa"/>
            <w:hideMark/>
          </w:tcPr>
          <w:p w14:paraId="7089AFBF" w14:textId="52567009" w:rsidR="00FA369D" w:rsidRPr="001D7049" w:rsidRDefault="00FA369D" w:rsidP="009569E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eastAsia="SimSun"/>
                <w:b/>
                <w:i/>
                <w:color w:val="0D0D0D"/>
                <w:sz w:val="22"/>
                <w:szCs w:val="22"/>
                <w:lang w:val="sr-Latn-ME" w:eastAsia="el-GR"/>
              </w:rPr>
            </w:pPr>
            <w:r w:rsidRPr="001D7049">
              <w:rPr>
                <w:rFonts w:eastAsia="Calibri"/>
                <w:b/>
                <w:i/>
                <w:color w:val="0D0D0D"/>
                <w:sz w:val="22"/>
                <w:szCs w:val="22"/>
                <w:lang w:val="sr-Latn-ME" w:eastAsia="el-GR"/>
              </w:rPr>
              <w:t xml:space="preserve">Uobičajeno </w:t>
            </w:r>
            <w:r w:rsidR="009930D9" w:rsidRPr="001D7049">
              <w:rPr>
                <w:rFonts w:eastAsia="Calibri"/>
                <w:b/>
                <w:i/>
                <w:color w:val="0D0D0D"/>
                <w:sz w:val="22"/>
                <w:szCs w:val="22"/>
                <w:lang w:val="sr-Latn-ME" w:eastAsia="el-GR"/>
              </w:rPr>
              <w:t>osjetljiv</w:t>
            </w:r>
            <w:r w:rsidRPr="001D7049">
              <w:rPr>
                <w:rFonts w:eastAsia="Calibri"/>
                <w:b/>
                <w:i/>
                <w:color w:val="0D0D0D"/>
                <w:sz w:val="22"/>
                <w:szCs w:val="22"/>
                <w:lang w:val="sr-Latn-ME" w:eastAsia="el-GR"/>
              </w:rPr>
              <w:t>e vrste:</w:t>
            </w:r>
          </w:p>
        </w:tc>
      </w:tr>
      <w:tr w:rsidR="00FA369D" w:rsidRPr="001D7049" w14:paraId="42811F27" w14:textId="77777777" w:rsidTr="001558F2">
        <w:trPr>
          <w:trHeight w:val="1378"/>
        </w:trPr>
        <w:tc>
          <w:tcPr>
            <w:tcW w:w="8483" w:type="dxa"/>
            <w:hideMark/>
          </w:tcPr>
          <w:p w14:paraId="37BF9855" w14:textId="77777777" w:rsidR="00FA369D" w:rsidRPr="001D7049" w:rsidRDefault="00FA369D" w:rsidP="009569E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eastAsia="SimSun"/>
                <w:color w:val="0D0D0D"/>
                <w:sz w:val="22"/>
                <w:szCs w:val="22"/>
                <w:lang w:val="sr-Latn-ME" w:eastAsia="el-GR"/>
              </w:rPr>
            </w:pPr>
            <w:r w:rsidRPr="001D7049">
              <w:rPr>
                <w:rFonts w:eastAsia="Calibri"/>
                <w:color w:val="0D0D0D"/>
                <w:sz w:val="22"/>
                <w:szCs w:val="22"/>
                <w:lang w:val="sr-Latn-ME" w:eastAsia="el-GR"/>
              </w:rPr>
              <w:t>Gram pozitivne aerobne bakterije:</w:t>
            </w:r>
          </w:p>
          <w:p w14:paraId="4C43D204" w14:textId="72E2877B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Meticilin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-os</w:t>
            </w:r>
            <w:r w:rsidR="009930D9"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j</w:t>
            </w: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 xml:space="preserve">etljive stafilokoke (uključujući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Staphylococcus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aureus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)</w:t>
            </w: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*</w:t>
            </w:r>
          </w:p>
          <w:p w14:paraId="60DCB4D3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Streptococcus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agalactiae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*</w:t>
            </w:r>
          </w:p>
          <w:p w14:paraId="0E11E689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Streptococcus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pneumoniae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*†</w:t>
            </w:r>
          </w:p>
          <w:p w14:paraId="5FC5CE1D" w14:textId="77777777" w:rsidR="00FA369D" w:rsidRPr="001D7049" w:rsidRDefault="00FA369D" w:rsidP="009569E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eastAsia="SimSun"/>
                <w:color w:val="0D0D0D"/>
                <w:sz w:val="22"/>
                <w:szCs w:val="22"/>
                <w:lang w:val="sr-Latn-ME" w:eastAsia="el-GR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Streptococcus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pyogenes</w:t>
            </w:r>
            <w:proofErr w:type="spellEnd"/>
          </w:p>
        </w:tc>
      </w:tr>
      <w:tr w:rsidR="00FA369D" w:rsidRPr="001D7049" w14:paraId="2FDAFD9E" w14:textId="77777777" w:rsidTr="001558F2">
        <w:trPr>
          <w:trHeight w:val="289"/>
        </w:trPr>
        <w:tc>
          <w:tcPr>
            <w:tcW w:w="8483" w:type="dxa"/>
            <w:hideMark/>
          </w:tcPr>
          <w:p w14:paraId="6E94F53B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Gram negativne aerobne bakterije:</w:t>
            </w:r>
          </w:p>
          <w:p w14:paraId="6390BF02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Citrobacter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freundii</w:t>
            </w:r>
            <w:proofErr w:type="spellEnd"/>
          </w:p>
          <w:p w14:paraId="42FCA331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Enterobacter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aerogenes</w:t>
            </w:r>
            <w:proofErr w:type="spellEnd"/>
          </w:p>
          <w:p w14:paraId="710D651E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Enterobacter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cloacae</w:t>
            </w:r>
            <w:proofErr w:type="spellEnd"/>
          </w:p>
          <w:p w14:paraId="29ED1354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Escherichia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coli</w:t>
            </w: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*</w:t>
            </w:r>
          </w:p>
          <w:p w14:paraId="070B58DB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Haemophilus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influenzae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*</w:t>
            </w:r>
          </w:p>
          <w:p w14:paraId="595C8D25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Haemophilus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parainfluenzae</w:t>
            </w:r>
            <w:proofErr w:type="spellEnd"/>
          </w:p>
          <w:p w14:paraId="4E9F9823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Klebsiella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oxytoca</w:t>
            </w:r>
            <w:proofErr w:type="spellEnd"/>
          </w:p>
          <w:p w14:paraId="5B9C4C6E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Klebsiella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pneumoniae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*</w:t>
            </w:r>
          </w:p>
          <w:p w14:paraId="162D1060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Moraxella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catarrhalis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*</w:t>
            </w:r>
          </w:p>
          <w:p w14:paraId="59D9E261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Morganella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morganii</w:t>
            </w:r>
            <w:proofErr w:type="spellEnd"/>
          </w:p>
          <w:p w14:paraId="16CE8339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Proteus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mirabilis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*</w:t>
            </w:r>
          </w:p>
          <w:p w14:paraId="0B8CEF56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Proteus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vulgaris</w:t>
            </w:r>
            <w:proofErr w:type="spellEnd"/>
          </w:p>
          <w:p w14:paraId="38C6709D" w14:textId="77777777" w:rsidR="00FA369D" w:rsidRPr="001D7049" w:rsidRDefault="00FA369D" w:rsidP="009569E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eastAsia="SimSun"/>
                <w:color w:val="0D0D0D"/>
                <w:sz w:val="22"/>
                <w:szCs w:val="22"/>
                <w:lang w:val="sr-Latn-ME" w:eastAsia="el-GR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Serratia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marcescens</w:t>
            </w:r>
            <w:proofErr w:type="spellEnd"/>
          </w:p>
        </w:tc>
      </w:tr>
      <w:tr w:rsidR="00FA369D" w:rsidRPr="001D7049" w14:paraId="65AAAF41" w14:textId="77777777" w:rsidTr="001558F2">
        <w:trPr>
          <w:trHeight w:val="289"/>
        </w:trPr>
        <w:tc>
          <w:tcPr>
            <w:tcW w:w="8483" w:type="dxa"/>
          </w:tcPr>
          <w:p w14:paraId="7F407448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Anaerobne bakterije:</w:t>
            </w:r>
          </w:p>
          <w:p w14:paraId="66B9DED9" w14:textId="5914F51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 xml:space="preserve">vrste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Clostridium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(</w:t>
            </w:r>
            <w:r w:rsidR="009930D9"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osim</w:t>
            </w: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C.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difficile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)*</w:t>
            </w:r>
          </w:p>
          <w:p w14:paraId="03A70BDE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 xml:space="preserve">vrste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Eubacterium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*</w:t>
            </w:r>
          </w:p>
          <w:p w14:paraId="3A7EFFBE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 xml:space="preserve">vrste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Fusobacterium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*</w:t>
            </w:r>
          </w:p>
          <w:p w14:paraId="3525E96D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 xml:space="preserve">vrste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Peptostreptococcus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*</w:t>
            </w:r>
          </w:p>
          <w:p w14:paraId="0A78C66E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Porphyromonas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asaccharolytica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*</w:t>
            </w:r>
          </w:p>
          <w:p w14:paraId="5661168B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>Prevotella</w:t>
            </w:r>
            <w:proofErr w:type="spellEnd"/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>species</w:t>
            </w:r>
            <w:proofErr w:type="spellEnd"/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 xml:space="preserve">* </w:t>
            </w:r>
          </w:p>
        </w:tc>
      </w:tr>
      <w:tr w:rsidR="00FA369D" w:rsidRPr="001D7049" w14:paraId="38F57C22" w14:textId="77777777" w:rsidTr="001558F2">
        <w:trPr>
          <w:trHeight w:val="289"/>
        </w:trPr>
        <w:tc>
          <w:tcPr>
            <w:tcW w:w="8483" w:type="dxa"/>
          </w:tcPr>
          <w:p w14:paraId="60124BDE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Calibri"/>
                <w:b/>
                <w:bCs/>
                <w:i/>
                <w:iCs/>
                <w:color w:val="0D0D0D"/>
                <w:sz w:val="22"/>
                <w:szCs w:val="22"/>
                <w:lang w:val="sr-Latn-ME"/>
              </w:rPr>
              <w:t>Vrste kod kojih stečena rezistencija može predstavljati problem:</w:t>
            </w:r>
          </w:p>
        </w:tc>
      </w:tr>
      <w:tr w:rsidR="00FA369D" w:rsidRPr="001D7049" w14:paraId="52F4D9F9" w14:textId="77777777" w:rsidTr="001558F2">
        <w:trPr>
          <w:trHeight w:val="289"/>
        </w:trPr>
        <w:tc>
          <w:tcPr>
            <w:tcW w:w="8483" w:type="dxa"/>
          </w:tcPr>
          <w:p w14:paraId="3CA80130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Gram pozitivne aerobne bakterije:</w:t>
            </w:r>
          </w:p>
          <w:p w14:paraId="14426A4D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Meticilin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 xml:space="preserve">-rezistentne stafilokoke </w:t>
            </w:r>
            <w:r w:rsidRPr="001D7049">
              <w:rPr>
                <w:color w:val="0D0D0D"/>
                <w:spacing w:val="-1"/>
                <w:sz w:val="22"/>
                <w:szCs w:val="22"/>
                <w:vertAlign w:val="superscript"/>
                <w:lang w:val="sr-Latn-ME"/>
              </w:rPr>
              <w:t>+#</w:t>
            </w:r>
          </w:p>
        </w:tc>
      </w:tr>
      <w:tr w:rsidR="00FA369D" w:rsidRPr="001D7049" w14:paraId="69D6B8A0" w14:textId="77777777" w:rsidTr="001558F2">
        <w:trPr>
          <w:trHeight w:val="289"/>
        </w:trPr>
        <w:tc>
          <w:tcPr>
            <w:tcW w:w="8483" w:type="dxa"/>
          </w:tcPr>
          <w:p w14:paraId="165B02AC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Anaerobne bakterije:</w:t>
            </w:r>
          </w:p>
          <w:p w14:paraId="3C823276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Bacteroides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fragilis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 xml:space="preserve">i vrste iz grupe </w:t>
            </w:r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B.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fragilis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*</w:t>
            </w:r>
          </w:p>
        </w:tc>
      </w:tr>
      <w:tr w:rsidR="00FA369D" w:rsidRPr="001D7049" w14:paraId="571C2B59" w14:textId="77777777" w:rsidTr="001558F2">
        <w:trPr>
          <w:trHeight w:val="289"/>
        </w:trPr>
        <w:tc>
          <w:tcPr>
            <w:tcW w:w="8483" w:type="dxa"/>
          </w:tcPr>
          <w:p w14:paraId="6D75B135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i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Calibri"/>
                <w:b/>
                <w:bCs/>
                <w:i/>
                <w:iCs/>
                <w:color w:val="0D0D0D"/>
                <w:sz w:val="22"/>
                <w:szCs w:val="22"/>
                <w:lang w:val="sr-Latn-ME"/>
              </w:rPr>
              <w:t>Prirodno rezistentni mikroorganizmi:</w:t>
            </w:r>
          </w:p>
        </w:tc>
      </w:tr>
      <w:tr w:rsidR="00FA369D" w:rsidRPr="001D7049" w14:paraId="027397DE" w14:textId="77777777" w:rsidTr="001558F2">
        <w:trPr>
          <w:trHeight w:val="289"/>
        </w:trPr>
        <w:tc>
          <w:tcPr>
            <w:tcW w:w="8483" w:type="dxa"/>
          </w:tcPr>
          <w:p w14:paraId="6EB7E127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Gram pozitivne aerobne bakterije:</w:t>
            </w:r>
          </w:p>
          <w:p w14:paraId="1F457D9F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Corynebacterium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jeikeium</w:t>
            </w:r>
            <w:proofErr w:type="spellEnd"/>
          </w:p>
          <w:p w14:paraId="47F0F854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Enterokoke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 xml:space="preserve">, uključujući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Enterococcus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faecalis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 xml:space="preserve">i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Enterococcus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faecium</w:t>
            </w:r>
            <w:proofErr w:type="spellEnd"/>
          </w:p>
        </w:tc>
      </w:tr>
      <w:tr w:rsidR="00FA369D" w:rsidRPr="001D7049" w14:paraId="07D3F521" w14:textId="77777777" w:rsidTr="001558F2">
        <w:trPr>
          <w:trHeight w:val="289"/>
        </w:trPr>
        <w:tc>
          <w:tcPr>
            <w:tcW w:w="8483" w:type="dxa"/>
          </w:tcPr>
          <w:p w14:paraId="2795E1F6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Gram negativne aerobne bakterije:</w:t>
            </w:r>
          </w:p>
          <w:p w14:paraId="3C0A6AB1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Aeromonas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species</w:t>
            </w:r>
            <w:proofErr w:type="spellEnd"/>
          </w:p>
          <w:p w14:paraId="76ABEE5A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Acinetobacter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species</w:t>
            </w:r>
            <w:proofErr w:type="spellEnd"/>
          </w:p>
          <w:p w14:paraId="3CE3DBAC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Burkholderia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cepacia</w:t>
            </w:r>
            <w:proofErr w:type="spellEnd"/>
          </w:p>
          <w:p w14:paraId="0C6F1B65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Pseudomonas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aeruginosa</w:t>
            </w:r>
            <w:proofErr w:type="spellEnd"/>
          </w:p>
          <w:p w14:paraId="1D7AB73A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lastRenderedPageBreak/>
              <w:t>Stenotrophomonas</w:t>
            </w:r>
            <w:proofErr w:type="spellEnd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maltophilia</w:t>
            </w:r>
            <w:proofErr w:type="spellEnd"/>
          </w:p>
        </w:tc>
      </w:tr>
      <w:tr w:rsidR="00FA369D" w:rsidRPr="001D7049" w14:paraId="0A3433BC" w14:textId="77777777" w:rsidTr="001558F2">
        <w:trPr>
          <w:trHeight w:val="289"/>
        </w:trPr>
        <w:tc>
          <w:tcPr>
            <w:tcW w:w="8483" w:type="dxa"/>
          </w:tcPr>
          <w:p w14:paraId="696FAA48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lastRenderedPageBreak/>
              <w:t>Anaerobne bakterije:</w:t>
            </w:r>
          </w:p>
          <w:p w14:paraId="7BE48E4E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Lactobacillus</w:t>
            </w:r>
            <w:proofErr w:type="spellEnd"/>
            <w:r w:rsidRPr="001D7049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,Italic"/>
                <w:i/>
                <w:iCs/>
                <w:color w:val="0D0D0D"/>
                <w:sz w:val="22"/>
                <w:szCs w:val="22"/>
                <w:lang w:val="sr-Latn-ME"/>
              </w:rPr>
              <w:t>species</w:t>
            </w:r>
            <w:proofErr w:type="spellEnd"/>
          </w:p>
        </w:tc>
      </w:tr>
      <w:tr w:rsidR="00FA369D" w:rsidRPr="001D7049" w14:paraId="1497A4F5" w14:textId="77777777" w:rsidTr="001558F2">
        <w:trPr>
          <w:trHeight w:val="289"/>
        </w:trPr>
        <w:tc>
          <w:tcPr>
            <w:tcW w:w="8483" w:type="dxa"/>
          </w:tcPr>
          <w:p w14:paraId="0FB16E45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Ostale:</w:t>
            </w:r>
          </w:p>
          <w:p w14:paraId="24DFFEAC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>Chlamydia</w:t>
            </w:r>
            <w:proofErr w:type="spellEnd"/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>species</w:t>
            </w:r>
            <w:proofErr w:type="spellEnd"/>
          </w:p>
          <w:p w14:paraId="4039C967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>Mycoplasma</w:t>
            </w:r>
            <w:proofErr w:type="spellEnd"/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>species</w:t>
            </w:r>
            <w:proofErr w:type="spellEnd"/>
          </w:p>
          <w:p w14:paraId="03F041BF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>Rickettsia</w:t>
            </w:r>
            <w:proofErr w:type="spellEnd"/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>species</w:t>
            </w:r>
            <w:proofErr w:type="spellEnd"/>
          </w:p>
          <w:p w14:paraId="3317013F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>Legionella</w:t>
            </w:r>
            <w:proofErr w:type="spellEnd"/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D7049">
              <w:rPr>
                <w:rFonts w:eastAsia="TimesNewRoman"/>
                <w:i/>
                <w:color w:val="0D0D0D"/>
                <w:sz w:val="22"/>
                <w:szCs w:val="22"/>
                <w:lang w:val="sr-Latn-ME"/>
              </w:rPr>
              <w:t>species</w:t>
            </w:r>
            <w:proofErr w:type="spellEnd"/>
          </w:p>
        </w:tc>
      </w:tr>
    </w:tbl>
    <w:p w14:paraId="18A00108" w14:textId="77777777" w:rsidR="00FA369D" w:rsidRPr="001D7049" w:rsidRDefault="00FA369D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*Aktivnost je uspješno potvrđena u kliničkim studijama.</w:t>
      </w:r>
    </w:p>
    <w:p w14:paraId="4D5441F5" w14:textId="12CDCF9F" w:rsidR="00FA369D" w:rsidRPr="001D7049" w:rsidRDefault="00FA369D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† Efikasnost </w:t>
      </w:r>
      <w:proofErr w:type="spellStart"/>
      <w:r w:rsidR="009930D9" w:rsidRPr="001D7049">
        <w:rPr>
          <w:bCs/>
          <w:sz w:val="22"/>
          <w:szCs w:val="22"/>
          <w:lang w:val="sr-Latn-ME"/>
        </w:rPr>
        <w:t>ertapenema</w:t>
      </w:r>
      <w:proofErr w:type="spellEnd"/>
      <w:r w:rsidR="009930D9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u terapiji vanbolnički stečene pneumonije uzrokovane penicilin-rezistentnim </w:t>
      </w:r>
      <w:proofErr w:type="spellStart"/>
      <w:r w:rsidRPr="001D7049">
        <w:rPr>
          <w:bCs/>
          <w:i/>
          <w:sz w:val="22"/>
          <w:szCs w:val="22"/>
          <w:lang w:val="sr-Latn-ME"/>
        </w:rPr>
        <w:t>Streptococcus</w:t>
      </w:r>
      <w:proofErr w:type="spellEnd"/>
      <w:r w:rsidRPr="001D7049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i/>
          <w:sz w:val="22"/>
          <w:szCs w:val="22"/>
          <w:lang w:val="sr-Latn-ME"/>
        </w:rPr>
        <w:t>pneumoniae</w:t>
      </w:r>
      <w:proofErr w:type="spellEnd"/>
      <w:r w:rsidRPr="001D7049">
        <w:rPr>
          <w:bCs/>
          <w:sz w:val="22"/>
          <w:szCs w:val="22"/>
          <w:lang w:val="sr-Latn-ME"/>
        </w:rPr>
        <w:t xml:space="preserve"> nije utvrđena.</w:t>
      </w:r>
    </w:p>
    <w:p w14:paraId="34733ABB" w14:textId="77777777" w:rsidR="00FA369D" w:rsidRPr="001D7049" w:rsidRDefault="00FA369D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+ Učestalost stečene rezistencije &gt; 50% u nekim državama članicama.</w:t>
      </w:r>
    </w:p>
    <w:p w14:paraId="43A0F2E6" w14:textId="77777777" w:rsidR="00FA369D" w:rsidRPr="001D7049" w:rsidRDefault="00FA369D" w:rsidP="007006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# </w:t>
      </w:r>
      <w:proofErr w:type="spellStart"/>
      <w:r w:rsidRPr="001D7049">
        <w:rPr>
          <w:bCs/>
          <w:sz w:val="22"/>
          <w:szCs w:val="22"/>
          <w:lang w:val="sr-Latn-ME"/>
        </w:rPr>
        <w:t>Meticilin</w:t>
      </w:r>
      <w:proofErr w:type="spellEnd"/>
      <w:r w:rsidRPr="001D7049">
        <w:rPr>
          <w:bCs/>
          <w:sz w:val="22"/>
          <w:szCs w:val="22"/>
          <w:lang w:val="sr-Latn-ME"/>
        </w:rPr>
        <w:t xml:space="preserve">-rezistentne stafilokoke (uključujući </w:t>
      </w:r>
      <w:proofErr w:type="spellStart"/>
      <w:r w:rsidRPr="001D7049">
        <w:rPr>
          <w:bCs/>
          <w:sz w:val="22"/>
          <w:szCs w:val="22"/>
          <w:lang w:val="sr-Latn-ME"/>
        </w:rPr>
        <w:t>MRSA</w:t>
      </w:r>
      <w:proofErr w:type="spellEnd"/>
      <w:r w:rsidRPr="001D7049">
        <w:rPr>
          <w:bCs/>
          <w:sz w:val="22"/>
          <w:szCs w:val="22"/>
          <w:lang w:val="sr-Latn-ME"/>
        </w:rPr>
        <w:t xml:space="preserve">) uvijek su rezistentne na </w:t>
      </w:r>
      <w:proofErr w:type="spellStart"/>
      <w:r w:rsidRPr="001D7049">
        <w:rPr>
          <w:bCs/>
          <w:sz w:val="22"/>
          <w:szCs w:val="22"/>
          <w:lang w:val="sr-Latn-ME"/>
        </w:rPr>
        <w:t>betalaktame</w:t>
      </w:r>
      <w:proofErr w:type="spellEnd"/>
    </w:p>
    <w:p w14:paraId="109328AA" w14:textId="77777777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8BC3B1" w14:textId="77777777" w:rsidR="00FA369D" w:rsidRPr="001D7049" w:rsidRDefault="00FA369D">
      <w:pPr>
        <w:tabs>
          <w:tab w:val="left" w:pos="540"/>
          <w:tab w:val="left" w:pos="569"/>
        </w:tabs>
        <w:jc w:val="both"/>
        <w:rPr>
          <w:b/>
          <w:bCs/>
          <w:i/>
          <w:sz w:val="22"/>
          <w:szCs w:val="22"/>
          <w:lang w:val="sr-Latn-ME"/>
        </w:rPr>
      </w:pPr>
      <w:r w:rsidRPr="001D7049">
        <w:rPr>
          <w:b/>
          <w:bCs/>
          <w:i/>
          <w:sz w:val="22"/>
          <w:szCs w:val="22"/>
          <w:lang w:val="sr-Latn-ME"/>
        </w:rPr>
        <w:t>Podaci iz kliničkih studija</w:t>
      </w:r>
    </w:p>
    <w:p w14:paraId="24DF5783" w14:textId="77777777" w:rsidR="00FA369D" w:rsidRPr="001D7049" w:rsidRDefault="00FA369D">
      <w:pPr>
        <w:tabs>
          <w:tab w:val="left" w:pos="540"/>
          <w:tab w:val="left" w:pos="569"/>
        </w:tabs>
        <w:jc w:val="both"/>
        <w:rPr>
          <w:b/>
          <w:bCs/>
          <w:i/>
          <w:sz w:val="22"/>
          <w:szCs w:val="22"/>
          <w:lang w:val="sr-Latn-ME"/>
        </w:rPr>
      </w:pPr>
    </w:p>
    <w:p w14:paraId="272CF9F5" w14:textId="77777777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D7049">
        <w:rPr>
          <w:bCs/>
          <w:sz w:val="22"/>
          <w:szCs w:val="22"/>
          <w:u w:val="single"/>
          <w:lang w:val="sr-Latn-ME"/>
        </w:rPr>
        <w:t>Efikasnost u pedijatrijskim studijama</w:t>
      </w:r>
    </w:p>
    <w:p w14:paraId="135730CB" w14:textId="05617F8D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U </w:t>
      </w:r>
      <w:proofErr w:type="spellStart"/>
      <w:r w:rsidRPr="001D7049">
        <w:rPr>
          <w:bCs/>
          <w:sz w:val="22"/>
          <w:szCs w:val="22"/>
          <w:lang w:val="sr-Latn-ME"/>
        </w:rPr>
        <w:t>randomizovanim</w:t>
      </w:r>
      <w:proofErr w:type="spellEnd"/>
      <w:r w:rsidRPr="001D7049">
        <w:rPr>
          <w:bCs/>
          <w:sz w:val="22"/>
          <w:szCs w:val="22"/>
          <w:lang w:val="sr-Latn-ME"/>
        </w:rPr>
        <w:t xml:space="preserve">, komparativnim, </w:t>
      </w:r>
      <w:proofErr w:type="spellStart"/>
      <w:r w:rsidRPr="001D7049">
        <w:rPr>
          <w:bCs/>
          <w:sz w:val="22"/>
          <w:szCs w:val="22"/>
          <w:lang w:val="sr-Latn-ME"/>
        </w:rPr>
        <w:t>multicentričnim</w:t>
      </w:r>
      <w:proofErr w:type="spellEnd"/>
      <w:r w:rsidRPr="001D7049">
        <w:rPr>
          <w:bCs/>
          <w:sz w:val="22"/>
          <w:szCs w:val="22"/>
          <w:lang w:val="sr-Latn-ME"/>
        </w:rPr>
        <w:t xml:space="preserve"> studijama kod pacijenata uzrasta od 3</w:t>
      </w:r>
      <w:r w:rsidR="009930D9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mjeseca do 17 godina primarno je ispitivana </w:t>
      </w:r>
      <w:r w:rsidR="00D95164" w:rsidRPr="001D7049">
        <w:rPr>
          <w:bCs/>
          <w:sz w:val="22"/>
          <w:szCs w:val="22"/>
          <w:lang w:val="sr-Latn-ME"/>
        </w:rPr>
        <w:t>bezbjedno</w:t>
      </w:r>
      <w:r w:rsidRPr="001D7049">
        <w:rPr>
          <w:bCs/>
          <w:sz w:val="22"/>
          <w:szCs w:val="22"/>
          <w:lang w:val="sr-Latn-ME"/>
        </w:rPr>
        <w:t xml:space="preserve">st primjene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kod pedijatrijske populacije, a sekundarno je ispitivana efikasnost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>.</w:t>
      </w:r>
    </w:p>
    <w:p w14:paraId="12F78EB3" w14:textId="77777777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U tabeli u nastavku je prikazan procenat pacijenata koji su ispoljili povoljan klinički odgovor tokom pregleda nakon prestanka terapije u modifikovanoj kliničkoj populaciji predviđenoj za </w:t>
      </w:r>
      <w:proofErr w:type="spellStart"/>
      <w:r w:rsidRPr="001D7049">
        <w:rPr>
          <w:bCs/>
          <w:sz w:val="22"/>
          <w:szCs w:val="22"/>
          <w:lang w:val="sr-Latn-ME"/>
        </w:rPr>
        <w:t>lječenje</w:t>
      </w:r>
      <w:proofErr w:type="spellEnd"/>
      <w:r w:rsidRPr="001D7049">
        <w:rPr>
          <w:bCs/>
          <w:sz w:val="22"/>
          <w:szCs w:val="22"/>
          <w:lang w:val="sr-Latn-ME"/>
        </w:rPr>
        <w:t xml:space="preserve"> (</w:t>
      </w:r>
      <w:proofErr w:type="spellStart"/>
      <w:r w:rsidRPr="001D7049">
        <w:rPr>
          <w:bCs/>
          <w:sz w:val="22"/>
          <w:szCs w:val="22"/>
          <w:lang w:val="sr-Latn-ME"/>
        </w:rPr>
        <w:t>MITT</w:t>
      </w:r>
      <w:proofErr w:type="spellEnd"/>
      <w:r w:rsidRPr="001D7049">
        <w:rPr>
          <w:bCs/>
          <w:sz w:val="22"/>
          <w:szCs w:val="22"/>
          <w:lang w:val="sr-Latn-ME"/>
        </w:rPr>
        <w:t>):</w:t>
      </w:r>
    </w:p>
    <w:p w14:paraId="3E2A3049" w14:textId="77777777" w:rsidR="00FA369D" w:rsidRPr="001D7049" w:rsidRDefault="00FA36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tbl>
      <w:tblPr>
        <w:tblW w:w="9072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559"/>
        <w:gridCol w:w="862"/>
        <w:gridCol w:w="993"/>
        <w:gridCol w:w="1122"/>
        <w:gridCol w:w="1275"/>
      </w:tblGrid>
      <w:tr w:rsidR="00FA369D" w:rsidRPr="001D7049" w14:paraId="4A7B7E0E" w14:textId="77777777" w:rsidTr="009569E2">
        <w:trPr>
          <w:trHeight w:hRule="exact" w:val="453"/>
        </w:trPr>
        <w:tc>
          <w:tcPr>
            <w:tcW w:w="32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8B3064" w14:textId="68BC95D9" w:rsidR="00FA369D" w:rsidRPr="001D7049" w:rsidRDefault="00FA369D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  <w:p w14:paraId="3DCC5E4B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pacing w:val="-1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pacing w:val="-1"/>
                <w:sz w:val="22"/>
                <w:szCs w:val="22"/>
                <w:lang w:val="sr-Latn-ME"/>
              </w:rPr>
              <w:t>Podjela po bolestima+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4A47B9" w14:textId="77777777" w:rsidR="00FA369D" w:rsidRPr="001D7049" w:rsidRDefault="00FA369D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  <w:p w14:paraId="10AE744E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Starost</w:t>
            </w:r>
          </w:p>
        </w:tc>
        <w:tc>
          <w:tcPr>
            <w:tcW w:w="18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07DA0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color w:val="0D0D0D"/>
                <w:sz w:val="22"/>
                <w:szCs w:val="22"/>
                <w:lang w:val="sr-Latn-ME"/>
              </w:rPr>
              <w:t>ertapenem</w:t>
            </w:r>
            <w:proofErr w:type="spellEnd"/>
          </w:p>
        </w:tc>
        <w:tc>
          <w:tcPr>
            <w:tcW w:w="23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019D4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color w:val="0D0D0D"/>
                <w:spacing w:val="-1"/>
                <w:sz w:val="22"/>
                <w:szCs w:val="22"/>
                <w:lang w:val="sr-Latn-ME"/>
              </w:rPr>
              <w:t>ceftriakson</w:t>
            </w:r>
            <w:proofErr w:type="spellEnd"/>
          </w:p>
        </w:tc>
      </w:tr>
      <w:tr w:rsidR="00FA369D" w:rsidRPr="001D7049" w14:paraId="62406136" w14:textId="77777777" w:rsidTr="009569E2">
        <w:trPr>
          <w:trHeight w:hRule="exact" w:val="275"/>
        </w:trPr>
        <w:tc>
          <w:tcPr>
            <w:tcW w:w="32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FC716" w14:textId="77777777" w:rsidR="00FA369D" w:rsidRPr="001D7049" w:rsidRDefault="00FA369D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1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580CA" w14:textId="77777777" w:rsidR="00FA369D" w:rsidRPr="001D7049" w:rsidRDefault="00FA369D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AB181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n/m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87FD2" w14:textId="77777777" w:rsidR="00FA369D" w:rsidRPr="001D7049" w:rsidRDefault="00FA369D" w:rsidP="009569E2">
            <w:pPr>
              <w:widowControl w:val="0"/>
              <w:ind w:right="491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%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C92F2" w14:textId="77777777" w:rsidR="00FA369D" w:rsidRPr="001D7049" w:rsidRDefault="00FA369D" w:rsidP="009569E2">
            <w:pPr>
              <w:widowControl w:val="0"/>
              <w:tabs>
                <w:tab w:val="left" w:pos="0"/>
                <w:tab w:val="left" w:pos="607"/>
              </w:tabs>
              <w:ind w:right="314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n/m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E5144" w14:textId="77777777" w:rsidR="00FA369D" w:rsidRPr="001D7049" w:rsidRDefault="00FA369D" w:rsidP="009569E2">
            <w:pPr>
              <w:widowControl w:val="0"/>
              <w:ind w:right="587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%</w:t>
            </w:r>
          </w:p>
        </w:tc>
      </w:tr>
      <w:tr w:rsidR="00FA369D" w:rsidRPr="001D7049" w14:paraId="25A59AF6" w14:textId="77777777" w:rsidTr="009569E2">
        <w:trPr>
          <w:trHeight w:hRule="exact" w:val="301"/>
        </w:trPr>
        <w:tc>
          <w:tcPr>
            <w:tcW w:w="32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DE47B5" w14:textId="77777777" w:rsidR="00FA369D" w:rsidRPr="001D7049" w:rsidRDefault="00FA369D" w:rsidP="009569E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Vanbolnički stečena</w:t>
            </w:r>
          </w:p>
          <w:p w14:paraId="1C71C498" w14:textId="77777777" w:rsidR="00FA369D" w:rsidRPr="001D7049" w:rsidRDefault="00FA369D" w:rsidP="009569E2">
            <w:pPr>
              <w:widowControl w:val="0"/>
              <w:ind w:right="984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pneumonija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FCCE4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3 do 23 </w:t>
            </w:r>
            <w:r w:rsidRPr="001D7049">
              <w:rPr>
                <w:color w:val="0D0D0D"/>
                <w:spacing w:val="-1"/>
                <w:sz w:val="22"/>
                <w:szCs w:val="22"/>
                <w:lang w:val="sr-Latn-ME"/>
              </w:rPr>
              <w:t>mjeseci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42038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31/35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4D291" w14:textId="77777777" w:rsidR="00FA369D" w:rsidRPr="001D7049" w:rsidRDefault="00FA369D" w:rsidP="009569E2">
            <w:pPr>
              <w:widowControl w:val="0"/>
              <w:tabs>
                <w:tab w:val="left" w:pos="993"/>
              </w:tabs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88,6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EF6CB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13/13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E95CC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100,0</w:t>
            </w:r>
          </w:p>
        </w:tc>
      </w:tr>
      <w:tr w:rsidR="00FA369D" w:rsidRPr="001D7049" w14:paraId="36208B45" w14:textId="77777777" w:rsidTr="009569E2">
        <w:trPr>
          <w:trHeight w:hRule="exact" w:val="278"/>
        </w:trPr>
        <w:tc>
          <w:tcPr>
            <w:tcW w:w="32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369FEA" w14:textId="77777777" w:rsidR="00FA369D" w:rsidRPr="001D7049" w:rsidRDefault="00FA369D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1B7F7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2 </w:t>
            </w:r>
            <w:r w:rsidRPr="001D7049">
              <w:rPr>
                <w:color w:val="0D0D0D"/>
                <w:spacing w:val="1"/>
                <w:sz w:val="22"/>
                <w:szCs w:val="22"/>
                <w:lang w:val="sr-Latn-ME"/>
              </w:rPr>
              <w:t>do</w:t>
            </w:r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color w:val="0D0D0D"/>
                <w:spacing w:val="-1"/>
                <w:sz w:val="22"/>
                <w:szCs w:val="22"/>
                <w:lang w:val="sr-Latn-ME"/>
              </w:rPr>
              <w:t>1</w:t>
            </w:r>
            <w:r w:rsidRPr="001D7049">
              <w:rPr>
                <w:color w:val="0D0D0D"/>
                <w:sz w:val="22"/>
                <w:szCs w:val="22"/>
                <w:lang w:val="sr-Latn-ME"/>
              </w:rPr>
              <w:t>2</w:t>
            </w:r>
            <w:r w:rsidRPr="001D7049">
              <w:rPr>
                <w:color w:val="0D0D0D"/>
                <w:spacing w:val="-1"/>
                <w:sz w:val="22"/>
                <w:szCs w:val="22"/>
                <w:lang w:val="sr-Latn-ME"/>
              </w:rPr>
              <w:t xml:space="preserve"> godina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B3E0C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55/57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8187E" w14:textId="77777777" w:rsidR="00FA369D" w:rsidRPr="001D7049" w:rsidRDefault="00FA369D" w:rsidP="009569E2">
            <w:pPr>
              <w:widowControl w:val="0"/>
              <w:tabs>
                <w:tab w:val="left" w:pos="993"/>
              </w:tabs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96,5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07436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16/17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71EAC" w14:textId="77777777" w:rsidR="00FA369D" w:rsidRPr="001D7049" w:rsidRDefault="00FA369D" w:rsidP="009569E2">
            <w:pPr>
              <w:widowControl w:val="0"/>
              <w:tabs>
                <w:tab w:val="left" w:pos="0"/>
              </w:tabs>
              <w:ind w:right="104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94,1</w:t>
            </w:r>
          </w:p>
        </w:tc>
      </w:tr>
      <w:tr w:rsidR="00FA369D" w:rsidRPr="001D7049" w14:paraId="22996424" w14:textId="77777777" w:rsidTr="009569E2">
        <w:trPr>
          <w:trHeight w:hRule="exact" w:val="295"/>
        </w:trPr>
        <w:tc>
          <w:tcPr>
            <w:tcW w:w="32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BA74B" w14:textId="77777777" w:rsidR="00FA369D" w:rsidRPr="001D7049" w:rsidRDefault="00FA369D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D97D4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13 </w:t>
            </w:r>
            <w:r w:rsidRPr="001D7049">
              <w:rPr>
                <w:color w:val="0D0D0D"/>
                <w:spacing w:val="1"/>
                <w:sz w:val="22"/>
                <w:szCs w:val="22"/>
                <w:lang w:val="sr-Latn-ME"/>
              </w:rPr>
              <w:t>do</w:t>
            </w:r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color w:val="0D0D0D"/>
                <w:spacing w:val="-1"/>
                <w:sz w:val="22"/>
                <w:szCs w:val="22"/>
                <w:lang w:val="sr-Latn-ME"/>
              </w:rPr>
              <w:t>1</w:t>
            </w:r>
            <w:r w:rsidRPr="001D7049">
              <w:rPr>
                <w:color w:val="0D0D0D"/>
                <w:sz w:val="22"/>
                <w:szCs w:val="22"/>
                <w:lang w:val="sr-Latn-ME"/>
              </w:rPr>
              <w:t>7</w:t>
            </w:r>
            <w:r w:rsidRPr="001D7049">
              <w:rPr>
                <w:color w:val="0D0D0D"/>
                <w:spacing w:val="-1"/>
                <w:sz w:val="22"/>
                <w:szCs w:val="22"/>
                <w:lang w:val="sr-Latn-ME"/>
              </w:rPr>
              <w:t xml:space="preserve"> godina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6609B" w14:textId="77777777" w:rsidR="00FA369D" w:rsidRPr="001D7049" w:rsidRDefault="00FA369D" w:rsidP="009569E2">
            <w:pPr>
              <w:widowControl w:val="0"/>
              <w:ind w:right="1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3/3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4E3D0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100,0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483AB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3/3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C208C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100,0</w:t>
            </w:r>
          </w:p>
        </w:tc>
      </w:tr>
      <w:tr w:rsidR="00FA369D" w:rsidRPr="001D7049" w14:paraId="293CEA95" w14:textId="77777777" w:rsidTr="009569E2">
        <w:trPr>
          <w:trHeight w:hRule="exact" w:val="264"/>
        </w:trPr>
        <w:tc>
          <w:tcPr>
            <w:tcW w:w="90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38547" w14:textId="77777777" w:rsidR="00FA369D" w:rsidRPr="001D7049" w:rsidRDefault="00FA369D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</w:tr>
      <w:tr w:rsidR="00FA369D" w:rsidRPr="001D7049" w14:paraId="18B6481A" w14:textId="77777777" w:rsidTr="009569E2">
        <w:trPr>
          <w:trHeight w:hRule="exact" w:val="385"/>
        </w:trPr>
        <w:tc>
          <w:tcPr>
            <w:tcW w:w="32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001E49" w14:textId="77777777" w:rsidR="00FA369D" w:rsidRPr="001D7049" w:rsidRDefault="00FA369D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  <w:p w14:paraId="1C96AD4A" w14:textId="77777777" w:rsidR="00FA369D" w:rsidRPr="001D7049" w:rsidRDefault="00FA369D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pacing w:val="-1"/>
                <w:sz w:val="22"/>
                <w:szCs w:val="22"/>
                <w:lang w:val="sr-Latn-ME"/>
              </w:rPr>
              <w:t>Podjela po bolestima+</w:t>
            </w:r>
          </w:p>
          <w:p w14:paraId="5B82B065" w14:textId="77777777" w:rsidR="00FA369D" w:rsidRPr="001D7049" w:rsidRDefault="00FA369D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  <w:p w14:paraId="3FB5FB97" w14:textId="77777777" w:rsidR="00FA369D" w:rsidRPr="001D7049" w:rsidRDefault="00FA369D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  <w:p w14:paraId="4381B515" w14:textId="77777777" w:rsidR="00FA369D" w:rsidRPr="001D7049" w:rsidRDefault="00FA369D" w:rsidP="009569E2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Bolezen</w:t>
            </w:r>
            <w:proofErr w:type="spellEnd"/>
            <w:r w:rsidRPr="001D7049">
              <w:rPr>
                <w:sz w:val="22"/>
                <w:szCs w:val="22"/>
                <w:lang w:val="sr-Latn-ME"/>
              </w:rPr>
              <w:t xml:space="preserve"> </w:t>
            </w:r>
          </w:p>
          <w:p w14:paraId="620CCFAD" w14:textId="77777777" w:rsidR="00FA369D" w:rsidRPr="001D7049" w:rsidRDefault="00FA369D" w:rsidP="009569E2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</w:p>
          <w:p w14:paraId="20881304" w14:textId="77777777" w:rsidR="00FA369D" w:rsidRPr="001D7049" w:rsidRDefault="00FA369D" w:rsidP="009569E2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</w:p>
          <w:p w14:paraId="1F4E3AE6" w14:textId="77777777" w:rsidR="00FA369D" w:rsidRPr="001D7049" w:rsidRDefault="00FA369D" w:rsidP="009569E2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</w:p>
          <w:p w14:paraId="1736571C" w14:textId="77777777" w:rsidR="00FA369D" w:rsidRPr="001D7049" w:rsidRDefault="00FA369D" w:rsidP="009569E2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</w:p>
          <w:p w14:paraId="1AB88093" w14:textId="77777777" w:rsidR="00FA369D" w:rsidRPr="001D7049" w:rsidRDefault="00FA369D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  <w:p w14:paraId="3329521B" w14:textId="77777777" w:rsidR="00FA369D" w:rsidRPr="001D7049" w:rsidRDefault="00FA369D" w:rsidP="009569E2">
            <w:pPr>
              <w:widowControl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pacing w:val="-1"/>
                <w:sz w:val="22"/>
                <w:szCs w:val="22"/>
                <w:lang w:val="sr-Latn-ME"/>
              </w:rPr>
              <w:t>Podjela po bolestima+</w:t>
            </w:r>
          </w:p>
          <w:p w14:paraId="533FB351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Podjela po bolestima+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CF1EA4" w14:textId="77777777" w:rsidR="00FA369D" w:rsidRPr="001D7049" w:rsidRDefault="00FA369D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  <w:p w14:paraId="1DD748DB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Starost</w:t>
            </w:r>
          </w:p>
        </w:tc>
        <w:tc>
          <w:tcPr>
            <w:tcW w:w="18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2B3C7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color w:val="0D0D0D"/>
                <w:sz w:val="22"/>
                <w:szCs w:val="22"/>
                <w:lang w:val="sr-Latn-ME"/>
              </w:rPr>
              <w:t>ertapenem</w:t>
            </w:r>
            <w:proofErr w:type="spellEnd"/>
          </w:p>
        </w:tc>
        <w:tc>
          <w:tcPr>
            <w:tcW w:w="23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7B84D" w14:textId="77777777" w:rsidR="00FA369D" w:rsidRPr="001D7049" w:rsidRDefault="00FA369D" w:rsidP="009569E2">
            <w:pPr>
              <w:widowControl w:val="0"/>
              <w:jc w:val="both"/>
              <w:rPr>
                <w:rFonts w:eastAsia="TimesNewRoman"/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tikarcilin</w:t>
            </w:r>
            <w:proofErr w:type="spellEnd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/</w:t>
            </w:r>
            <w:proofErr w:type="spellStart"/>
            <w:r w:rsidRPr="001D7049">
              <w:rPr>
                <w:rFonts w:eastAsia="TimesNewRoman"/>
                <w:color w:val="0D0D0D"/>
                <w:sz w:val="22"/>
                <w:szCs w:val="22"/>
                <w:lang w:val="sr-Latn-ME"/>
              </w:rPr>
              <w:t>klavulanat</w:t>
            </w:r>
            <w:proofErr w:type="spellEnd"/>
          </w:p>
        </w:tc>
      </w:tr>
      <w:tr w:rsidR="00FA369D" w:rsidRPr="001D7049" w14:paraId="6B630CEE" w14:textId="77777777" w:rsidTr="009569E2">
        <w:trPr>
          <w:trHeight w:hRule="exact" w:val="264"/>
        </w:trPr>
        <w:tc>
          <w:tcPr>
            <w:tcW w:w="32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8D707" w14:textId="77777777" w:rsidR="00FA369D" w:rsidRPr="001D7049" w:rsidRDefault="00FA369D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1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DE942" w14:textId="77777777" w:rsidR="00FA369D" w:rsidRPr="001D7049" w:rsidRDefault="00FA369D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A47EA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n/m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5CC07" w14:textId="77777777" w:rsidR="00FA369D" w:rsidRPr="001D7049" w:rsidRDefault="00FA369D" w:rsidP="009569E2">
            <w:pPr>
              <w:widowControl w:val="0"/>
              <w:ind w:right="491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%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0F139" w14:textId="77777777" w:rsidR="00FA369D" w:rsidRPr="001D7049" w:rsidRDefault="00FA369D" w:rsidP="009569E2">
            <w:pPr>
              <w:widowControl w:val="0"/>
              <w:ind w:right="331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n/m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2F8E3" w14:textId="77777777" w:rsidR="00FA369D" w:rsidRPr="001D7049" w:rsidRDefault="00FA369D" w:rsidP="009569E2">
            <w:pPr>
              <w:widowControl w:val="0"/>
              <w:ind w:right="587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%</w:t>
            </w:r>
          </w:p>
        </w:tc>
      </w:tr>
      <w:tr w:rsidR="00FA369D" w:rsidRPr="001D7049" w14:paraId="648E7294" w14:textId="77777777" w:rsidTr="009569E2">
        <w:trPr>
          <w:trHeight w:hRule="exact" w:val="363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1F3F8F3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proofErr w:type="spellStart"/>
            <w:r w:rsidRPr="001D7049">
              <w:rPr>
                <w:sz w:val="22"/>
                <w:szCs w:val="22"/>
                <w:lang w:val="sr-Latn-ME"/>
              </w:rPr>
              <w:t>Intraabdominalne</w:t>
            </w:r>
            <w:proofErr w:type="spellEnd"/>
            <w:r w:rsidRPr="001D7049">
              <w:rPr>
                <w:sz w:val="22"/>
                <w:szCs w:val="22"/>
                <w:lang w:val="sr-Latn-ME"/>
              </w:rPr>
              <w:t xml:space="preserve"> infekcije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A27119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2 </w:t>
            </w:r>
            <w:r w:rsidRPr="001D7049">
              <w:rPr>
                <w:color w:val="0D0D0D"/>
                <w:spacing w:val="1"/>
                <w:sz w:val="22"/>
                <w:szCs w:val="22"/>
                <w:lang w:val="sr-Latn-ME"/>
              </w:rPr>
              <w:t>do</w:t>
            </w:r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color w:val="0D0D0D"/>
                <w:spacing w:val="-1"/>
                <w:sz w:val="22"/>
                <w:szCs w:val="22"/>
                <w:lang w:val="sr-Latn-ME"/>
              </w:rPr>
              <w:t>1</w:t>
            </w:r>
            <w:r w:rsidRPr="001D7049">
              <w:rPr>
                <w:color w:val="0D0D0D"/>
                <w:sz w:val="22"/>
                <w:szCs w:val="22"/>
                <w:lang w:val="sr-Latn-ME"/>
              </w:rPr>
              <w:t>2</w:t>
            </w:r>
            <w:r w:rsidRPr="001D7049">
              <w:rPr>
                <w:color w:val="0D0D0D"/>
                <w:spacing w:val="-1"/>
                <w:sz w:val="22"/>
                <w:szCs w:val="22"/>
                <w:lang w:val="sr-Latn-ME"/>
              </w:rPr>
              <w:t xml:space="preserve"> godina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D9985C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28/34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B6D7D1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82,4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48230F7" w14:textId="77777777" w:rsidR="00FA369D" w:rsidRPr="001D7049" w:rsidRDefault="00FA369D" w:rsidP="009569E2">
            <w:pPr>
              <w:widowControl w:val="0"/>
              <w:ind w:right="361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7/9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9D2482" w14:textId="77777777" w:rsidR="00FA369D" w:rsidRPr="001D7049" w:rsidRDefault="00FA369D" w:rsidP="009569E2">
            <w:pPr>
              <w:widowControl w:val="0"/>
              <w:tabs>
                <w:tab w:val="left" w:pos="954"/>
              </w:tabs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77,8</w:t>
            </w:r>
          </w:p>
        </w:tc>
      </w:tr>
      <w:tr w:rsidR="00FA369D" w:rsidRPr="001D7049" w14:paraId="0A51D40A" w14:textId="77777777" w:rsidTr="009569E2">
        <w:trPr>
          <w:trHeight w:hRule="exact" w:val="2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926C" w14:textId="77777777" w:rsidR="00FA369D" w:rsidRPr="001D7049" w:rsidRDefault="00FA369D" w:rsidP="009569E2">
            <w:pPr>
              <w:widowControl w:val="0"/>
              <w:jc w:val="both"/>
              <w:rPr>
                <w:rFonts w:eastAsia="Calibri"/>
                <w:color w:val="0D0D0D"/>
                <w:sz w:val="22"/>
                <w:szCs w:val="22"/>
                <w:lang w:val="sr-Latn-M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2056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13 </w:t>
            </w:r>
            <w:r w:rsidRPr="001D7049">
              <w:rPr>
                <w:color w:val="0D0D0D"/>
                <w:spacing w:val="1"/>
                <w:sz w:val="22"/>
                <w:szCs w:val="22"/>
                <w:lang w:val="sr-Latn-ME"/>
              </w:rPr>
              <w:t>do</w:t>
            </w:r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color w:val="0D0D0D"/>
                <w:spacing w:val="-1"/>
                <w:sz w:val="22"/>
                <w:szCs w:val="22"/>
                <w:lang w:val="sr-Latn-ME"/>
              </w:rPr>
              <w:t>1</w:t>
            </w:r>
            <w:r w:rsidRPr="001D7049">
              <w:rPr>
                <w:color w:val="0D0D0D"/>
                <w:sz w:val="22"/>
                <w:szCs w:val="22"/>
                <w:lang w:val="sr-Latn-ME"/>
              </w:rPr>
              <w:t>7</w:t>
            </w:r>
            <w:r w:rsidRPr="001D7049">
              <w:rPr>
                <w:color w:val="0D0D0D"/>
                <w:spacing w:val="-1"/>
                <w:sz w:val="22"/>
                <w:szCs w:val="22"/>
                <w:lang w:val="sr-Latn-ME"/>
              </w:rPr>
              <w:t xml:space="preserve"> godina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5AB0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15/16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471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93,8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6DD" w14:textId="77777777" w:rsidR="00FA369D" w:rsidRPr="001D7049" w:rsidRDefault="00FA369D" w:rsidP="009569E2">
            <w:pPr>
              <w:widowControl w:val="0"/>
              <w:ind w:right="361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4/6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6E85" w14:textId="77777777" w:rsidR="00FA369D" w:rsidRPr="001D7049" w:rsidRDefault="00FA369D" w:rsidP="009569E2">
            <w:pPr>
              <w:widowControl w:val="0"/>
              <w:ind w:right="-38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66,7</w:t>
            </w:r>
          </w:p>
        </w:tc>
      </w:tr>
      <w:tr w:rsidR="00FA369D" w:rsidRPr="001D7049" w14:paraId="7F70833C" w14:textId="77777777" w:rsidTr="009569E2">
        <w:trPr>
          <w:trHeight w:hRule="exact" w:val="2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3072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sz w:val="22"/>
                <w:szCs w:val="22"/>
                <w:lang w:val="sr-Latn-ME"/>
              </w:rPr>
              <w:t xml:space="preserve">Akutne infekcije </w:t>
            </w:r>
            <w:proofErr w:type="spellStart"/>
            <w:r w:rsidRPr="001D7049">
              <w:rPr>
                <w:sz w:val="22"/>
                <w:szCs w:val="22"/>
                <w:lang w:val="sr-Latn-ME"/>
              </w:rPr>
              <w:t>pelvisa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A5B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13 </w:t>
            </w:r>
            <w:r w:rsidRPr="001D7049">
              <w:rPr>
                <w:color w:val="0D0D0D"/>
                <w:spacing w:val="1"/>
                <w:sz w:val="22"/>
                <w:szCs w:val="22"/>
                <w:lang w:val="sr-Latn-ME"/>
              </w:rPr>
              <w:t>do</w:t>
            </w:r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color w:val="0D0D0D"/>
                <w:spacing w:val="-1"/>
                <w:sz w:val="22"/>
                <w:szCs w:val="22"/>
                <w:lang w:val="sr-Latn-ME"/>
              </w:rPr>
              <w:t>1</w:t>
            </w:r>
            <w:r w:rsidRPr="001D7049">
              <w:rPr>
                <w:color w:val="0D0D0D"/>
                <w:sz w:val="22"/>
                <w:szCs w:val="22"/>
                <w:lang w:val="sr-Latn-ME"/>
              </w:rPr>
              <w:t>7</w:t>
            </w:r>
            <w:r w:rsidRPr="001D7049">
              <w:rPr>
                <w:color w:val="0D0D0D"/>
                <w:spacing w:val="-1"/>
                <w:sz w:val="22"/>
                <w:szCs w:val="22"/>
                <w:lang w:val="sr-Latn-ME"/>
              </w:rPr>
              <w:t xml:space="preserve"> godina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AD97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25/25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5B7D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97E2" w14:textId="77777777" w:rsidR="00FA369D" w:rsidRPr="001D7049" w:rsidRDefault="00FA369D" w:rsidP="009569E2">
            <w:pPr>
              <w:widowControl w:val="0"/>
              <w:ind w:right="361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8/8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242" w14:textId="77777777" w:rsidR="00FA369D" w:rsidRPr="001D7049" w:rsidRDefault="00FA369D" w:rsidP="009569E2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>100,0</w:t>
            </w:r>
          </w:p>
        </w:tc>
      </w:tr>
      <w:tr w:rsidR="00FA369D" w:rsidRPr="001D7049" w14:paraId="1455C0F5" w14:textId="77777777" w:rsidTr="009569E2">
        <w:trPr>
          <w:trHeight w:hRule="exact" w:val="1304"/>
        </w:trPr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1A679F44" w14:textId="71B4FA23" w:rsidR="00FA369D" w:rsidRPr="001D7049" w:rsidRDefault="00FA369D" w:rsidP="00D95164">
            <w:pPr>
              <w:widowControl w:val="0"/>
              <w:jc w:val="both"/>
              <w:rPr>
                <w:color w:val="0D0D0D"/>
                <w:sz w:val="22"/>
                <w:szCs w:val="22"/>
                <w:lang w:val="sr-Latn-ME"/>
              </w:rPr>
            </w:pPr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+ Ovim je obuhvaćeno i 9 pacijenata iz grupe koja je primala </w:t>
            </w:r>
            <w:proofErr w:type="spellStart"/>
            <w:r w:rsidRPr="001D7049">
              <w:rPr>
                <w:color w:val="0D0D0D"/>
                <w:sz w:val="22"/>
                <w:szCs w:val="22"/>
                <w:lang w:val="sr-Latn-ME"/>
              </w:rPr>
              <w:t>ertapenem</w:t>
            </w:r>
            <w:proofErr w:type="spellEnd"/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 (7 sa vanbolnički stečenom</w:t>
            </w:r>
            <w:r w:rsidR="00D95164" w:rsidRPr="001D7049">
              <w:rPr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pneumonijom i 2 sa </w:t>
            </w:r>
            <w:proofErr w:type="spellStart"/>
            <w:r w:rsidRPr="001D7049">
              <w:rPr>
                <w:color w:val="0D0D0D"/>
                <w:sz w:val="22"/>
                <w:szCs w:val="22"/>
                <w:lang w:val="sr-Latn-ME"/>
              </w:rPr>
              <w:t>intraabdominalnom</w:t>
            </w:r>
            <w:proofErr w:type="spellEnd"/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 infekcijom), 2 pacijenta iz grupe koja je primala </w:t>
            </w:r>
            <w:proofErr w:type="spellStart"/>
            <w:r w:rsidRPr="001D7049">
              <w:rPr>
                <w:color w:val="0D0D0D"/>
                <w:sz w:val="22"/>
                <w:szCs w:val="22"/>
                <w:lang w:val="sr-Latn-ME"/>
              </w:rPr>
              <w:t>ceftriakson</w:t>
            </w:r>
            <w:proofErr w:type="spellEnd"/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 (2 sa</w:t>
            </w:r>
            <w:r w:rsidR="00D95164" w:rsidRPr="001D7049">
              <w:rPr>
                <w:color w:val="0D0D0D"/>
                <w:sz w:val="22"/>
                <w:szCs w:val="22"/>
                <w:lang w:val="sr-Latn-ME"/>
              </w:rPr>
              <w:t xml:space="preserve"> </w:t>
            </w:r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vanbolnički stečenom pneumonijom) i 1 pacijent sa </w:t>
            </w:r>
            <w:proofErr w:type="spellStart"/>
            <w:r w:rsidRPr="001D7049">
              <w:rPr>
                <w:color w:val="0D0D0D"/>
                <w:sz w:val="22"/>
                <w:szCs w:val="22"/>
                <w:lang w:val="sr-Latn-ME"/>
              </w:rPr>
              <w:t>intraabdominalnom</w:t>
            </w:r>
            <w:proofErr w:type="spellEnd"/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 infekcijom iz grupe koja je primala </w:t>
            </w:r>
            <w:proofErr w:type="spellStart"/>
            <w:r w:rsidRPr="001D7049">
              <w:rPr>
                <w:color w:val="0D0D0D"/>
                <w:sz w:val="22"/>
                <w:szCs w:val="22"/>
                <w:lang w:val="sr-Latn-ME"/>
              </w:rPr>
              <w:t>tikarcilin</w:t>
            </w:r>
            <w:proofErr w:type="spellEnd"/>
            <w:r w:rsidRPr="001D7049">
              <w:rPr>
                <w:color w:val="0D0D0D"/>
                <w:sz w:val="22"/>
                <w:szCs w:val="22"/>
                <w:lang w:val="sr-Latn-ME"/>
              </w:rPr>
              <w:t>/</w:t>
            </w:r>
            <w:proofErr w:type="spellStart"/>
            <w:r w:rsidRPr="001D7049">
              <w:rPr>
                <w:color w:val="0D0D0D"/>
                <w:sz w:val="22"/>
                <w:szCs w:val="22"/>
                <w:lang w:val="sr-Latn-ME"/>
              </w:rPr>
              <w:t>klavulonat</w:t>
            </w:r>
            <w:proofErr w:type="spellEnd"/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 sa sekundarnom </w:t>
            </w:r>
            <w:proofErr w:type="spellStart"/>
            <w:r w:rsidRPr="001D7049">
              <w:rPr>
                <w:color w:val="0D0D0D"/>
                <w:sz w:val="22"/>
                <w:szCs w:val="22"/>
                <w:lang w:val="sr-Latn-ME"/>
              </w:rPr>
              <w:t>bakteremijom</w:t>
            </w:r>
            <w:proofErr w:type="spellEnd"/>
            <w:r w:rsidRPr="001D7049">
              <w:rPr>
                <w:color w:val="0D0D0D"/>
                <w:sz w:val="22"/>
                <w:szCs w:val="22"/>
                <w:lang w:val="sr-Latn-ME"/>
              </w:rPr>
              <w:t xml:space="preserve"> na ulasku u studiju.</w:t>
            </w:r>
          </w:p>
        </w:tc>
      </w:tr>
    </w:tbl>
    <w:p w14:paraId="54A47BD3" w14:textId="5350EA13" w:rsidR="0072020E" w:rsidRPr="001D7049" w:rsidRDefault="0072020E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5.2.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proofErr w:type="spellStart"/>
      <w:r w:rsidRPr="001D7049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1D7049">
        <w:rPr>
          <w:b/>
          <w:bCs/>
          <w:sz w:val="22"/>
          <w:szCs w:val="22"/>
          <w:lang w:val="sr-Latn-ME"/>
        </w:rPr>
        <w:t xml:space="preserve"> podaci</w:t>
      </w:r>
      <w:r w:rsidR="003A7059" w:rsidRPr="001D7049">
        <w:rPr>
          <w:b/>
          <w:bCs/>
          <w:sz w:val="22"/>
          <w:szCs w:val="22"/>
          <w:lang w:val="sr-Latn-ME"/>
        </w:rPr>
        <w:t xml:space="preserve"> </w:t>
      </w:r>
    </w:p>
    <w:p w14:paraId="6230B8DC" w14:textId="77777777" w:rsidR="0086615E" w:rsidRPr="001D7049" w:rsidRDefault="0086615E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8DA7F53" w14:textId="77777777" w:rsidR="0086615E" w:rsidRPr="001D7049" w:rsidRDefault="0086615E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D7049">
        <w:rPr>
          <w:bCs/>
          <w:sz w:val="22"/>
          <w:szCs w:val="22"/>
          <w:u w:val="single"/>
          <w:lang w:val="sr-Latn-ME"/>
        </w:rPr>
        <w:t>Koncentracije u plazmi</w:t>
      </w:r>
    </w:p>
    <w:p w14:paraId="1ACE7D75" w14:textId="1EF1B9B4" w:rsidR="0086615E" w:rsidRPr="001D7049" w:rsidRDefault="0086615E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Prosječne koncentracije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u plazmi nakon primjene jednokratne </w:t>
      </w:r>
      <w:proofErr w:type="spellStart"/>
      <w:r w:rsidRPr="001D7049">
        <w:rPr>
          <w:bCs/>
          <w:sz w:val="22"/>
          <w:szCs w:val="22"/>
          <w:lang w:val="sr-Latn-ME"/>
        </w:rPr>
        <w:t>intravensk</w:t>
      </w:r>
      <w:r w:rsidR="009958EF" w:rsidRPr="001D7049">
        <w:rPr>
          <w:bCs/>
          <w:sz w:val="22"/>
          <w:szCs w:val="22"/>
          <w:lang w:val="sr-Latn-ME"/>
        </w:rPr>
        <w:t>e</w:t>
      </w:r>
      <w:proofErr w:type="spellEnd"/>
      <w:r w:rsidRPr="001D7049">
        <w:rPr>
          <w:bCs/>
          <w:sz w:val="22"/>
          <w:szCs w:val="22"/>
          <w:lang w:val="sr-Latn-ME"/>
        </w:rPr>
        <w:t xml:space="preserve"> infuzije</w:t>
      </w:r>
      <w:r w:rsidR="009958EF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>tokom 30 minuta u dozi od 1 g kod zdravih mladih odraslih ispitanika (uzrasta od 25 do 45 godina) iznosile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su 155 </w:t>
      </w:r>
      <w:proofErr w:type="spellStart"/>
      <w:r w:rsidRPr="001D7049">
        <w:rPr>
          <w:bCs/>
          <w:sz w:val="22"/>
          <w:szCs w:val="22"/>
          <w:lang w:val="sr-Latn-ME"/>
        </w:rPr>
        <w:t>mikrograma</w:t>
      </w:r>
      <w:proofErr w:type="spellEnd"/>
      <w:r w:rsidRPr="001D7049">
        <w:rPr>
          <w:bCs/>
          <w:sz w:val="22"/>
          <w:szCs w:val="22"/>
          <w:lang w:val="sr-Latn-ME"/>
        </w:rPr>
        <w:t>/ml (</w:t>
      </w:r>
      <w:proofErr w:type="spellStart"/>
      <w:r w:rsidRPr="001D7049">
        <w:rPr>
          <w:bCs/>
          <w:sz w:val="22"/>
          <w:szCs w:val="22"/>
          <w:lang w:val="sr-Latn-ME"/>
        </w:rPr>
        <w:t>C</w:t>
      </w:r>
      <w:r w:rsidRPr="001D7049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1D7049">
        <w:rPr>
          <w:bCs/>
          <w:sz w:val="22"/>
          <w:szCs w:val="22"/>
          <w:lang w:val="sr-Latn-ME"/>
        </w:rPr>
        <w:t xml:space="preserve">) pola sata nakon doziranja (završetak infuzije), 9 </w:t>
      </w:r>
      <w:proofErr w:type="spellStart"/>
      <w:r w:rsidRPr="001D7049">
        <w:rPr>
          <w:bCs/>
          <w:sz w:val="22"/>
          <w:szCs w:val="22"/>
          <w:lang w:val="sr-Latn-ME"/>
        </w:rPr>
        <w:t>mikrograma</w:t>
      </w:r>
      <w:proofErr w:type="spellEnd"/>
      <w:r w:rsidRPr="001D7049">
        <w:rPr>
          <w:bCs/>
          <w:sz w:val="22"/>
          <w:szCs w:val="22"/>
          <w:lang w:val="sr-Latn-ME"/>
        </w:rPr>
        <w:t>/ml 12 sati nakon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doziranja i 1 </w:t>
      </w:r>
      <w:proofErr w:type="spellStart"/>
      <w:r w:rsidRPr="001D7049">
        <w:rPr>
          <w:bCs/>
          <w:sz w:val="22"/>
          <w:szCs w:val="22"/>
          <w:lang w:val="sr-Latn-ME"/>
        </w:rPr>
        <w:t>mikrogram</w:t>
      </w:r>
      <w:proofErr w:type="spellEnd"/>
      <w:r w:rsidRPr="001D7049">
        <w:rPr>
          <w:bCs/>
          <w:sz w:val="22"/>
          <w:szCs w:val="22"/>
          <w:lang w:val="sr-Latn-ME"/>
        </w:rPr>
        <w:t>/ml 24 sata nakon doziranja.</w:t>
      </w:r>
    </w:p>
    <w:p w14:paraId="387441A9" w14:textId="77777777" w:rsidR="00A462CA" w:rsidRPr="001D7049" w:rsidRDefault="00A462CA" w:rsidP="00D95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D1196B" w14:textId="3A6DF6B2" w:rsidR="0086615E" w:rsidRPr="001D7049" w:rsidRDefault="0086615E" w:rsidP="007006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Površina ispod krive koncentracije u plazmi (PIK)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kod odraslih povećava se gotovo srazmjerno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>sa dozom u rasponu doza od 0,5 do 2 g dnevno.</w:t>
      </w:r>
    </w:p>
    <w:p w14:paraId="3A1E62AA" w14:textId="77777777" w:rsidR="00A462CA" w:rsidRPr="001D7049" w:rsidRDefault="00A462CA" w:rsidP="007006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C90007" w14:textId="279DEF5F" w:rsidR="0086615E" w:rsidRPr="001D7049" w:rsidRDefault="0086615E" w:rsidP="007006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Nije uočena akumulacija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kod odraslih pacijenata nakon primjene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višestrukih </w:t>
      </w:r>
      <w:proofErr w:type="spellStart"/>
      <w:r w:rsidRPr="001D7049">
        <w:rPr>
          <w:bCs/>
          <w:sz w:val="22"/>
          <w:szCs w:val="22"/>
          <w:lang w:val="sr-Latn-ME"/>
        </w:rPr>
        <w:t>intravenskih</w:t>
      </w:r>
      <w:proofErr w:type="spellEnd"/>
      <w:r w:rsidRPr="001D7049">
        <w:rPr>
          <w:bCs/>
          <w:sz w:val="22"/>
          <w:szCs w:val="22"/>
          <w:lang w:val="sr-Latn-ME"/>
        </w:rPr>
        <w:t xml:space="preserve"> doza u</w:t>
      </w:r>
      <w:r w:rsidR="009958EF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>opsegu od 0,5 do 2 g dnevno.</w:t>
      </w:r>
    </w:p>
    <w:p w14:paraId="1FE57A57" w14:textId="77777777" w:rsidR="00A462CA" w:rsidRPr="001D7049" w:rsidRDefault="00A462C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112E46F" w14:textId="28EB7F56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lastRenderedPageBreak/>
        <w:t>Prosječne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koncentracije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u plazmi nakon primjene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jednokratne </w:t>
      </w:r>
      <w:proofErr w:type="spellStart"/>
      <w:r w:rsidRPr="001D7049">
        <w:rPr>
          <w:bCs/>
          <w:sz w:val="22"/>
          <w:szCs w:val="22"/>
          <w:lang w:val="sr-Latn-ME"/>
        </w:rPr>
        <w:t>intravenske</w:t>
      </w:r>
      <w:proofErr w:type="spellEnd"/>
      <w:r w:rsidRPr="001D7049">
        <w:rPr>
          <w:bCs/>
          <w:sz w:val="22"/>
          <w:szCs w:val="22"/>
          <w:lang w:val="sr-Latn-ME"/>
        </w:rPr>
        <w:t xml:space="preserve"> infuzije tokom 30 minuta u dozi od 15 mg/kg (do maksimalne doze od 1 g) kod pacijenata uzrasta od 3 do 23 mjeseca iznosile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su 103,8 </w:t>
      </w:r>
      <w:proofErr w:type="spellStart"/>
      <w:r w:rsidRPr="001D7049">
        <w:rPr>
          <w:bCs/>
          <w:sz w:val="22"/>
          <w:szCs w:val="22"/>
          <w:lang w:val="sr-Latn-ME"/>
        </w:rPr>
        <w:t>mikrograma</w:t>
      </w:r>
      <w:proofErr w:type="spellEnd"/>
      <w:r w:rsidRPr="001D7049">
        <w:rPr>
          <w:bCs/>
          <w:sz w:val="22"/>
          <w:szCs w:val="22"/>
          <w:lang w:val="sr-Latn-ME"/>
        </w:rPr>
        <w:t>/ml (</w:t>
      </w:r>
      <w:proofErr w:type="spellStart"/>
      <w:r w:rsidRPr="001D7049">
        <w:rPr>
          <w:bCs/>
          <w:sz w:val="22"/>
          <w:szCs w:val="22"/>
          <w:lang w:val="sr-Latn-ME"/>
        </w:rPr>
        <w:t>C</w:t>
      </w:r>
      <w:r w:rsidRPr="001D7049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1D7049">
        <w:rPr>
          <w:bCs/>
          <w:sz w:val="22"/>
          <w:szCs w:val="22"/>
          <w:lang w:val="sr-Latn-ME"/>
        </w:rPr>
        <w:t xml:space="preserve">) pola sata nakon doziranja (završetak infuzije), 13,5 </w:t>
      </w:r>
      <w:proofErr w:type="spellStart"/>
      <w:r w:rsidRPr="001D7049">
        <w:rPr>
          <w:bCs/>
          <w:sz w:val="22"/>
          <w:szCs w:val="22"/>
          <w:lang w:val="sr-Latn-ME"/>
        </w:rPr>
        <w:t>mikrograma</w:t>
      </w:r>
      <w:proofErr w:type="spellEnd"/>
      <w:r w:rsidRPr="001D7049">
        <w:rPr>
          <w:bCs/>
          <w:sz w:val="22"/>
          <w:szCs w:val="22"/>
          <w:lang w:val="sr-Latn-ME"/>
        </w:rPr>
        <w:t>/ml 6 sati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nakon doziranja i 2,5 </w:t>
      </w:r>
      <w:proofErr w:type="spellStart"/>
      <w:r w:rsidRPr="001D7049">
        <w:rPr>
          <w:bCs/>
          <w:sz w:val="22"/>
          <w:szCs w:val="22"/>
          <w:lang w:val="sr-Latn-ME"/>
        </w:rPr>
        <w:t>mikrograma</w:t>
      </w:r>
      <w:proofErr w:type="spellEnd"/>
      <w:r w:rsidRPr="001D7049">
        <w:rPr>
          <w:bCs/>
          <w:sz w:val="22"/>
          <w:szCs w:val="22"/>
          <w:lang w:val="sr-Latn-ME"/>
        </w:rPr>
        <w:t>/ml 12 sati nakon doziranja.</w:t>
      </w:r>
    </w:p>
    <w:p w14:paraId="41ACFDE7" w14:textId="77777777" w:rsidR="00A462CA" w:rsidRPr="001D7049" w:rsidRDefault="00A462C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D252A3" w14:textId="028C098A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Prosječne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koncentracije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u plazmi nakon primjene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jednokratne </w:t>
      </w:r>
      <w:proofErr w:type="spellStart"/>
      <w:r w:rsidRPr="001D7049">
        <w:rPr>
          <w:bCs/>
          <w:sz w:val="22"/>
          <w:szCs w:val="22"/>
          <w:lang w:val="sr-Latn-ME"/>
        </w:rPr>
        <w:t>intravenske</w:t>
      </w:r>
      <w:proofErr w:type="spellEnd"/>
      <w:r w:rsidRPr="001D7049">
        <w:rPr>
          <w:bCs/>
          <w:sz w:val="22"/>
          <w:szCs w:val="22"/>
          <w:lang w:val="sr-Latn-ME"/>
        </w:rPr>
        <w:t xml:space="preserve"> infuzije tokom 30 minuta u dozi od 15 mg/kg (do maksimalne doze od 1 g) kod pacijenata uzrasta od 2 do 12 godina iznosile su 113,2 </w:t>
      </w:r>
      <w:proofErr w:type="spellStart"/>
      <w:r w:rsidRPr="001D7049">
        <w:rPr>
          <w:bCs/>
          <w:sz w:val="22"/>
          <w:szCs w:val="22"/>
          <w:lang w:val="sr-Latn-ME"/>
        </w:rPr>
        <w:t>mikrograma</w:t>
      </w:r>
      <w:proofErr w:type="spellEnd"/>
      <w:r w:rsidRPr="001D7049">
        <w:rPr>
          <w:bCs/>
          <w:sz w:val="22"/>
          <w:szCs w:val="22"/>
          <w:lang w:val="sr-Latn-ME"/>
        </w:rPr>
        <w:t>/ml (</w:t>
      </w:r>
      <w:proofErr w:type="spellStart"/>
      <w:r w:rsidRPr="001D7049">
        <w:rPr>
          <w:bCs/>
          <w:sz w:val="22"/>
          <w:szCs w:val="22"/>
          <w:lang w:val="sr-Latn-ME"/>
        </w:rPr>
        <w:t>C</w:t>
      </w:r>
      <w:r w:rsidRPr="001D7049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1D7049">
        <w:rPr>
          <w:bCs/>
          <w:sz w:val="22"/>
          <w:szCs w:val="22"/>
          <w:lang w:val="sr-Latn-ME"/>
        </w:rPr>
        <w:t xml:space="preserve">) pola sata nakon doziranja (završetak infuzije), 12,8 </w:t>
      </w:r>
      <w:proofErr w:type="spellStart"/>
      <w:r w:rsidRPr="001D7049">
        <w:rPr>
          <w:bCs/>
          <w:sz w:val="22"/>
          <w:szCs w:val="22"/>
          <w:lang w:val="sr-Latn-ME"/>
        </w:rPr>
        <w:t>mikrograma</w:t>
      </w:r>
      <w:proofErr w:type="spellEnd"/>
      <w:r w:rsidRPr="001D7049">
        <w:rPr>
          <w:bCs/>
          <w:sz w:val="22"/>
          <w:szCs w:val="22"/>
          <w:lang w:val="sr-Latn-ME"/>
        </w:rPr>
        <w:t xml:space="preserve">/ml 6 sati nakon doziranja i 3,0 </w:t>
      </w:r>
      <w:proofErr w:type="spellStart"/>
      <w:r w:rsidRPr="001D7049">
        <w:rPr>
          <w:bCs/>
          <w:sz w:val="22"/>
          <w:szCs w:val="22"/>
          <w:lang w:val="sr-Latn-ME"/>
        </w:rPr>
        <w:t>mikrograma</w:t>
      </w:r>
      <w:proofErr w:type="spellEnd"/>
      <w:r w:rsidRPr="001D7049">
        <w:rPr>
          <w:bCs/>
          <w:sz w:val="22"/>
          <w:szCs w:val="22"/>
          <w:lang w:val="sr-Latn-ME"/>
        </w:rPr>
        <w:t>/ml 12 sati nakon doziranja.</w:t>
      </w:r>
    </w:p>
    <w:p w14:paraId="06C33D79" w14:textId="77777777" w:rsidR="00A462CA" w:rsidRPr="001D7049" w:rsidRDefault="00A462C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B908AA" w14:textId="050BB74C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Prosječne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koncentracije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u plazmi nakon primjene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jednokratne </w:t>
      </w:r>
      <w:proofErr w:type="spellStart"/>
      <w:r w:rsidRPr="001D7049">
        <w:rPr>
          <w:bCs/>
          <w:sz w:val="22"/>
          <w:szCs w:val="22"/>
          <w:lang w:val="sr-Latn-ME"/>
        </w:rPr>
        <w:t>intravenske</w:t>
      </w:r>
      <w:proofErr w:type="spellEnd"/>
      <w:r w:rsidRPr="001D7049">
        <w:rPr>
          <w:bCs/>
          <w:sz w:val="22"/>
          <w:szCs w:val="22"/>
          <w:lang w:val="sr-Latn-ME"/>
        </w:rPr>
        <w:t xml:space="preserve"> infuzije tokom 30 minuta u dozi od 20 mg/kg (do maksimalne doze od 1 g) kod pacijenata uzrasta od 13 do 17 godina iznosile su 170,4 </w:t>
      </w:r>
      <w:proofErr w:type="spellStart"/>
      <w:r w:rsidRPr="001D7049">
        <w:rPr>
          <w:bCs/>
          <w:sz w:val="22"/>
          <w:szCs w:val="22"/>
          <w:lang w:val="sr-Latn-ME"/>
        </w:rPr>
        <w:t>mikrograma</w:t>
      </w:r>
      <w:proofErr w:type="spellEnd"/>
      <w:r w:rsidRPr="001D7049">
        <w:rPr>
          <w:bCs/>
          <w:sz w:val="22"/>
          <w:szCs w:val="22"/>
          <w:lang w:val="sr-Latn-ME"/>
        </w:rPr>
        <w:t>/ml (</w:t>
      </w:r>
      <w:proofErr w:type="spellStart"/>
      <w:r w:rsidRPr="001D7049">
        <w:rPr>
          <w:bCs/>
          <w:sz w:val="22"/>
          <w:szCs w:val="22"/>
          <w:lang w:val="sr-Latn-ME"/>
        </w:rPr>
        <w:t>C</w:t>
      </w:r>
      <w:r w:rsidRPr="001D7049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1D7049">
        <w:rPr>
          <w:bCs/>
          <w:sz w:val="22"/>
          <w:szCs w:val="22"/>
          <w:lang w:val="sr-Latn-ME"/>
        </w:rPr>
        <w:t xml:space="preserve">) pola sata nakon doziranja (završetak infuzije), 7,0 </w:t>
      </w:r>
      <w:proofErr w:type="spellStart"/>
      <w:r w:rsidRPr="001D7049">
        <w:rPr>
          <w:bCs/>
          <w:sz w:val="22"/>
          <w:szCs w:val="22"/>
          <w:lang w:val="sr-Latn-ME"/>
        </w:rPr>
        <w:t>mikrograma</w:t>
      </w:r>
      <w:proofErr w:type="spellEnd"/>
      <w:r w:rsidRPr="001D7049">
        <w:rPr>
          <w:bCs/>
          <w:sz w:val="22"/>
          <w:szCs w:val="22"/>
          <w:lang w:val="sr-Latn-ME"/>
        </w:rPr>
        <w:t xml:space="preserve">/ml 12 sati nakon doziranja i 1,1 </w:t>
      </w:r>
      <w:proofErr w:type="spellStart"/>
      <w:r w:rsidRPr="001D7049">
        <w:rPr>
          <w:bCs/>
          <w:sz w:val="22"/>
          <w:szCs w:val="22"/>
          <w:lang w:val="sr-Latn-ME"/>
        </w:rPr>
        <w:t>mikrogram</w:t>
      </w:r>
      <w:proofErr w:type="spellEnd"/>
      <w:r w:rsidRPr="001D7049">
        <w:rPr>
          <w:bCs/>
          <w:sz w:val="22"/>
          <w:szCs w:val="22"/>
          <w:lang w:val="sr-Latn-ME"/>
        </w:rPr>
        <w:t>/ml 24 sata nakon doziranja.</w:t>
      </w:r>
    </w:p>
    <w:p w14:paraId="11E50C4C" w14:textId="77777777" w:rsidR="00A462CA" w:rsidRPr="001D7049" w:rsidRDefault="00A462C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8E263F" w14:textId="2BECC324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Prosječne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koncentracije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u plazmi nakon primjene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jednokratne </w:t>
      </w:r>
      <w:proofErr w:type="spellStart"/>
      <w:r w:rsidRPr="001D7049">
        <w:rPr>
          <w:bCs/>
          <w:sz w:val="22"/>
          <w:szCs w:val="22"/>
          <w:lang w:val="sr-Latn-ME"/>
        </w:rPr>
        <w:t>intravenske</w:t>
      </w:r>
      <w:proofErr w:type="spellEnd"/>
      <w:r w:rsidRPr="001D7049">
        <w:rPr>
          <w:bCs/>
          <w:sz w:val="22"/>
          <w:szCs w:val="22"/>
          <w:lang w:val="sr-Latn-ME"/>
        </w:rPr>
        <w:t xml:space="preserve"> infuzije tokom 30 minuta u dozi od 1 g kod tri pacijenta uzrasta od 13 do 17 godina iznosile su 155,9 </w:t>
      </w:r>
      <w:proofErr w:type="spellStart"/>
      <w:r w:rsidRPr="001D7049">
        <w:rPr>
          <w:bCs/>
          <w:sz w:val="22"/>
          <w:szCs w:val="22"/>
          <w:lang w:val="sr-Latn-ME"/>
        </w:rPr>
        <w:t>mikrograma</w:t>
      </w:r>
      <w:proofErr w:type="spellEnd"/>
      <w:r w:rsidRPr="001D7049">
        <w:rPr>
          <w:bCs/>
          <w:sz w:val="22"/>
          <w:szCs w:val="22"/>
          <w:lang w:val="sr-Latn-ME"/>
        </w:rPr>
        <w:t>/ml (</w:t>
      </w:r>
      <w:proofErr w:type="spellStart"/>
      <w:r w:rsidRPr="001D7049">
        <w:rPr>
          <w:bCs/>
          <w:sz w:val="22"/>
          <w:szCs w:val="22"/>
          <w:lang w:val="sr-Latn-ME"/>
        </w:rPr>
        <w:t>C</w:t>
      </w:r>
      <w:r w:rsidRPr="001D7049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1D7049">
        <w:rPr>
          <w:bCs/>
          <w:sz w:val="22"/>
          <w:szCs w:val="22"/>
          <w:lang w:val="sr-Latn-ME"/>
        </w:rPr>
        <w:t xml:space="preserve">) pola sata nakon doziranja (završetak infuzije) i 6,2 </w:t>
      </w:r>
      <w:proofErr w:type="spellStart"/>
      <w:r w:rsidRPr="001D7049">
        <w:rPr>
          <w:bCs/>
          <w:sz w:val="22"/>
          <w:szCs w:val="22"/>
          <w:lang w:val="sr-Latn-ME"/>
        </w:rPr>
        <w:t>mikrograma</w:t>
      </w:r>
      <w:proofErr w:type="spellEnd"/>
      <w:r w:rsidRPr="001D7049">
        <w:rPr>
          <w:bCs/>
          <w:sz w:val="22"/>
          <w:szCs w:val="22"/>
          <w:lang w:val="sr-Latn-ME"/>
        </w:rPr>
        <w:t>/ml 12 sati nakon doziranja.</w:t>
      </w:r>
    </w:p>
    <w:p w14:paraId="7C5DF31C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46A2A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D7049">
        <w:rPr>
          <w:bCs/>
          <w:sz w:val="22"/>
          <w:szCs w:val="22"/>
          <w:u w:val="single"/>
          <w:lang w:val="sr-Latn-ME"/>
        </w:rPr>
        <w:t>Distribucija</w:t>
      </w:r>
    </w:p>
    <w:p w14:paraId="4AA9A3CD" w14:textId="28DC2804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se snažno vezuje za proteine plazme kod </w:t>
      </w:r>
      <w:proofErr w:type="spellStart"/>
      <w:r w:rsidRPr="001D7049">
        <w:rPr>
          <w:bCs/>
          <w:sz w:val="22"/>
          <w:szCs w:val="22"/>
          <w:lang w:val="sr-Latn-ME"/>
        </w:rPr>
        <w:t>ljudi</w:t>
      </w:r>
      <w:proofErr w:type="spellEnd"/>
      <w:r w:rsidRPr="001D7049">
        <w:rPr>
          <w:bCs/>
          <w:sz w:val="22"/>
          <w:szCs w:val="22"/>
          <w:lang w:val="sr-Latn-ME"/>
        </w:rPr>
        <w:t xml:space="preserve">. Kod zdravih odraslih mladih ispitanika (uzrasta od 25 do 45 godina) vezivanje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za proteine plazme se smanjuje sa povećanjem koncentracije lijeka u plazmi, od oko 95% vezivanja pri približnoj koncentraciji u plazmi od &lt; 50 </w:t>
      </w:r>
      <w:proofErr w:type="spellStart"/>
      <w:r w:rsidRPr="001D7049">
        <w:rPr>
          <w:bCs/>
          <w:sz w:val="22"/>
          <w:szCs w:val="22"/>
          <w:lang w:val="sr-Latn-ME"/>
        </w:rPr>
        <w:t>mikrograma</w:t>
      </w:r>
      <w:proofErr w:type="spellEnd"/>
      <w:r w:rsidRPr="001D7049">
        <w:rPr>
          <w:bCs/>
          <w:sz w:val="22"/>
          <w:szCs w:val="22"/>
          <w:lang w:val="sr-Latn-ME"/>
        </w:rPr>
        <w:t xml:space="preserve">/ml do oko 92% vezivanja pri približnoj koncentraciji u plazmi od 155 </w:t>
      </w:r>
      <w:proofErr w:type="spellStart"/>
      <w:r w:rsidRPr="001D7049">
        <w:rPr>
          <w:bCs/>
          <w:sz w:val="22"/>
          <w:szCs w:val="22"/>
          <w:lang w:val="sr-Latn-ME"/>
        </w:rPr>
        <w:t>mikrograma</w:t>
      </w:r>
      <w:proofErr w:type="spellEnd"/>
      <w:r w:rsidRPr="001D7049">
        <w:rPr>
          <w:bCs/>
          <w:sz w:val="22"/>
          <w:szCs w:val="22"/>
          <w:lang w:val="sr-Latn-ME"/>
        </w:rPr>
        <w:t>/ml (</w:t>
      </w:r>
      <w:proofErr w:type="spellStart"/>
      <w:r w:rsidRPr="001D7049">
        <w:rPr>
          <w:bCs/>
          <w:sz w:val="22"/>
          <w:szCs w:val="22"/>
          <w:lang w:val="sr-Latn-ME"/>
        </w:rPr>
        <w:t>prosečna</w:t>
      </w:r>
      <w:proofErr w:type="spellEnd"/>
      <w:r w:rsidRPr="001D7049">
        <w:rPr>
          <w:bCs/>
          <w:sz w:val="22"/>
          <w:szCs w:val="22"/>
          <w:lang w:val="sr-Latn-ME"/>
        </w:rPr>
        <w:t xml:space="preserve"> koncentracija na završetku </w:t>
      </w:r>
      <w:proofErr w:type="spellStart"/>
      <w:r w:rsidRPr="001D7049">
        <w:rPr>
          <w:bCs/>
          <w:sz w:val="22"/>
          <w:szCs w:val="22"/>
          <w:lang w:val="sr-Latn-ME"/>
        </w:rPr>
        <w:t>intravenske</w:t>
      </w:r>
      <w:proofErr w:type="spellEnd"/>
      <w:r w:rsidRPr="001D7049">
        <w:rPr>
          <w:bCs/>
          <w:sz w:val="22"/>
          <w:szCs w:val="22"/>
          <w:lang w:val="sr-Latn-ME"/>
        </w:rPr>
        <w:t xml:space="preserve"> infuzije u dozi od 1 g).</w:t>
      </w:r>
    </w:p>
    <w:p w14:paraId="20F7F1B4" w14:textId="77777777" w:rsidR="00A462CA" w:rsidRPr="001D7049" w:rsidRDefault="00A462C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FDC171" w14:textId="66618118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Volumen distribucije (</w:t>
      </w:r>
      <w:proofErr w:type="spellStart"/>
      <w:r w:rsidRPr="001D7049">
        <w:rPr>
          <w:bCs/>
          <w:sz w:val="22"/>
          <w:szCs w:val="22"/>
          <w:lang w:val="sr-Latn-ME"/>
        </w:rPr>
        <w:t>V</w:t>
      </w:r>
      <w:r w:rsidRPr="001D7049">
        <w:rPr>
          <w:bCs/>
          <w:sz w:val="22"/>
          <w:szCs w:val="22"/>
          <w:vertAlign w:val="subscript"/>
          <w:lang w:val="sr-Latn-ME"/>
        </w:rPr>
        <w:t>dis</w:t>
      </w:r>
      <w:proofErr w:type="spellEnd"/>
      <w:r w:rsidRPr="001D7049">
        <w:rPr>
          <w:bCs/>
          <w:sz w:val="22"/>
          <w:szCs w:val="22"/>
          <w:lang w:val="sr-Latn-ME"/>
        </w:rPr>
        <w:t xml:space="preserve">)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kod odraslih pacijenata iznosi oko 8 litara (0,11 </w:t>
      </w:r>
      <w:r w:rsidR="00A462CA" w:rsidRPr="001D7049">
        <w:rPr>
          <w:bCs/>
          <w:sz w:val="22"/>
          <w:szCs w:val="22"/>
          <w:lang w:val="sr-Latn-ME"/>
        </w:rPr>
        <w:t>l/</w:t>
      </w:r>
      <w:r w:rsidRPr="001D7049">
        <w:rPr>
          <w:bCs/>
          <w:sz w:val="22"/>
          <w:szCs w:val="22"/>
          <w:lang w:val="sr-Latn-ME"/>
        </w:rPr>
        <w:t xml:space="preserve">kg) i približno 0,2 </w:t>
      </w:r>
      <w:r w:rsidR="00A462CA" w:rsidRPr="001D7049">
        <w:rPr>
          <w:bCs/>
          <w:sz w:val="22"/>
          <w:szCs w:val="22"/>
          <w:lang w:val="sr-Latn-ME"/>
        </w:rPr>
        <w:t>L/</w:t>
      </w:r>
      <w:r w:rsidRPr="001D7049">
        <w:rPr>
          <w:bCs/>
          <w:sz w:val="22"/>
          <w:szCs w:val="22"/>
          <w:lang w:val="sr-Latn-ME"/>
        </w:rPr>
        <w:t xml:space="preserve">kg kod pedijatrijskih pacijenata uzrasta od 3 mjeseca do 12 godina i približno 0,16 </w:t>
      </w:r>
      <w:r w:rsidR="00A462CA" w:rsidRPr="001D7049">
        <w:rPr>
          <w:bCs/>
          <w:sz w:val="22"/>
          <w:szCs w:val="22"/>
          <w:lang w:val="sr-Latn-ME"/>
        </w:rPr>
        <w:t>l/</w:t>
      </w:r>
      <w:r w:rsidRPr="001D7049">
        <w:rPr>
          <w:bCs/>
          <w:sz w:val="22"/>
          <w:szCs w:val="22"/>
          <w:lang w:val="sr-Latn-ME"/>
        </w:rPr>
        <w:t>kg kod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>pedijatrijskih pacijenata uzrasta od 13 do 17 godina.</w:t>
      </w:r>
    </w:p>
    <w:p w14:paraId="16CA3436" w14:textId="77777777" w:rsidR="00A462CA" w:rsidRPr="001D7049" w:rsidRDefault="00A462C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863E2B" w14:textId="47AC0913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Koncentracije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uočene u tečnosti plika na koži kod odraslih pacijenata na svakom mjestu</w:t>
      </w:r>
      <w:r w:rsidR="00A462CA"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uzorkovanja</w:t>
      </w:r>
      <w:proofErr w:type="spellEnd"/>
      <w:r w:rsidRPr="001D7049">
        <w:rPr>
          <w:bCs/>
          <w:sz w:val="22"/>
          <w:szCs w:val="22"/>
          <w:lang w:val="sr-Latn-ME"/>
        </w:rPr>
        <w:t xml:space="preserve"> trećeg dana primjene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intravenske</w:t>
      </w:r>
      <w:proofErr w:type="spellEnd"/>
      <w:r w:rsidRPr="001D7049">
        <w:rPr>
          <w:bCs/>
          <w:sz w:val="22"/>
          <w:szCs w:val="22"/>
          <w:lang w:val="sr-Latn-ME"/>
        </w:rPr>
        <w:t xml:space="preserve"> doze od 1 g jednom dnevno pokazale su sl</w:t>
      </w:r>
      <w:r w:rsidR="00A462CA" w:rsidRPr="001D7049">
        <w:rPr>
          <w:bCs/>
          <w:sz w:val="22"/>
          <w:szCs w:val="22"/>
          <w:lang w:val="sr-Latn-ME"/>
        </w:rPr>
        <w:t>j</w:t>
      </w:r>
      <w:r w:rsidRPr="001D7049">
        <w:rPr>
          <w:bCs/>
          <w:sz w:val="22"/>
          <w:szCs w:val="22"/>
          <w:lang w:val="sr-Latn-ME"/>
        </w:rPr>
        <w:t>edeći odnos PIK u tečnosti plika: PIK u plazmi od 0,61.</w:t>
      </w:r>
    </w:p>
    <w:p w14:paraId="514D03A2" w14:textId="77777777" w:rsidR="00A462CA" w:rsidRPr="001D7049" w:rsidRDefault="00A462C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0BC4DE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1D7049">
        <w:rPr>
          <w:bCs/>
          <w:i/>
          <w:sz w:val="22"/>
          <w:szCs w:val="22"/>
          <w:lang w:val="sr-Latn-ME"/>
        </w:rPr>
        <w:t>vitro</w:t>
      </w:r>
      <w:proofErr w:type="spellEnd"/>
      <w:r w:rsidRPr="001D7049">
        <w:rPr>
          <w:bCs/>
          <w:sz w:val="22"/>
          <w:szCs w:val="22"/>
          <w:lang w:val="sr-Latn-ME"/>
        </w:rPr>
        <w:t xml:space="preserve"> studije pokazuju da je uticaj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na sposobnost vezivanja za proteine plazme ljekova sa </w:t>
      </w:r>
    </w:p>
    <w:p w14:paraId="6294A30A" w14:textId="7032538A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visokim afinitetom vezivanja za proteine plazme (</w:t>
      </w:r>
      <w:proofErr w:type="spellStart"/>
      <w:r w:rsidRPr="001D7049">
        <w:rPr>
          <w:bCs/>
          <w:sz w:val="22"/>
          <w:szCs w:val="22"/>
          <w:lang w:val="sr-Latn-ME"/>
        </w:rPr>
        <w:t>varfarin</w:t>
      </w:r>
      <w:proofErr w:type="spellEnd"/>
      <w:r w:rsidRPr="001D7049">
        <w:rPr>
          <w:bCs/>
          <w:sz w:val="22"/>
          <w:szCs w:val="22"/>
          <w:lang w:val="sr-Latn-ME"/>
        </w:rPr>
        <w:t xml:space="preserve">, </w:t>
      </w:r>
      <w:proofErr w:type="spellStart"/>
      <w:r w:rsidRPr="001D7049">
        <w:rPr>
          <w:bCs/>
          <w:sz w:val="22"/>
          <w:szCs w:val="22"/>
          <w:lang w:val="sr-Latn-ME"/>
        </w:rPr>
        <w:t>etinil-estradiol</w:t>
      </w:r>
      <w:proofErr w:type="spellEnd"/>
      <w:r w:rsidRPr="001D7049">
        <w:rPr>
          <w:bCs/>
          <w:sz w:val="22"/>
          <w:szCs w:val="22"/>
          <w:lang w:val="sr-Latn-ME"/>
        </w:rPr>
        <w:t xml:space="preserve"> i </w:t>
      </w:r>
      <w:proofErr w:type="spellStart"/>
      <w:r w:rsidRPr="001D7049">
        <w:rPr>
          <w:bCs/>
          <w:sz w:val="22"/>
          <w:szCs w:val="22"/>
          <w:lang w:val="sr-Latn-ME"/>
        </w:rPr>
        <w:t>noretindron</w:t>
      </w:r>
      <w:proofErr w:type="spellEnd"/>
      <w:r w:rsidRPr="001D7049">
        <w:rPr>
          <w:bCs/>
          <w:sz w:val="22"/>
          <w:szCs w:val="22"/>
          <w:lang w:val="sr-Latn-ME"/>
        </w:rPr>
        <w:t xml:space="preserve">) bio mali. Pri </w:t>
      </w:r>
      <w:r w:rsidR="00A462CA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maksimalnim koncentracijama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u plazmi nakon primjene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doze od 1 g, </w:t>
      </w:r>
      <w:proofErr w:type="spellStart"/>
      <w:r w:rsidRPr="001D7049">
        <w:rPr>
          <w:bCs/>
          <w:sz w:val="22"/>
          <w:szCs w:val="22"/>
          <w:lang w:val="sr-Latn-ME"/>
        </w:rPr>
        <w:t>promena</w:t>
      </w:r>
      <w:proofErr w:type="spellEnd"/>
      <w:r w:rsidRPr="001D7049">
        <w:rPr>
          <w:bCs/>
          <w:sz w:val="22"/>
          <w:szCs w:val="22"/>
          <w:lang w:val="sr-Latn-ME"/>
        </w:rPr>
        <w:t xml:space="preserve"> u vezivanju bila je manja od 12%. </w:t>
      </w:r>
      <w:r w:rsidRPr="001D7049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1D7049">
        <w:rPr>
          <w:bCs/>
          <w:i/>
          <w:sz w:val="22"/>
          <w:szCs w:val="22"/>
          <w:lang w:val="sr-Latn-ME"/>
        </w:rPr>
        <w:t>vivo</w:t>
      </w:r>
      <w:proofErr w:type="spellEnd"/>
      <w:r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probenecid</w:t>
      </w:r>
      <w:proofErr w:type="spellEnd"/>
      <w:r w:rsidRPr="001D7049">
        <w:rPr>
          <w:bCs/>
          <w:sz w:val="22"/>
          <w:szCs w:val="22"/>
          <w:lang w:val="sr-Latn-ME"/>
        </w:rPr>
        <w:t xml:space="preserve"> (u dozi od 500 mg na svakih 6 sati) je smanjio vezani </w:t>
      </w:r>
      <w:proofErr w:type="spellStart"/>
      <w:r w:rsidRPr="001D7049">
        <w:rPr>
          <w:bCs/>
          <w:sz w:val="22"/>
          <w:szCs w:val="22"/>
          <w:lang w:val="sr-Latn-ME"/>
        </w:rPr>
        <w:t>deo</w:t>
      </w:r>
      <w:proofErr w:type="spellEnd"/>
      <w:r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u plazmi na završetku infuzije kod ispitanika koji su primili jednokratnu </w:t>
      </w:r>
      <w:proofErr w:type="spellStart"/>
      <w:r w:rsidRPr="001D7049">
        <w:rPr>
          <w:bCs/>
          <w:sz w:val="22"/>
          <w:szCs w:val="22"/>
          <w:lang w:val="sr-Latn-ME"/>
        </w:rPr>
        <w:t>intravensku</w:t>
      </w:r>
      <w:proofErr w:type="spellEnd"/>
      <w:r w:rsidRPr="001D7049">
        <w:rPr>
          <w:bCs/>
          <w:sz w:val="22"/>
          <w:szCs w:val="22"/>
          <w:lang w:val="sr-Latn-ME"/>
        </w:rPr>
        <w:t xml:space="preserve"> dozu od 1 g, sa </w:t>
      </w:r>
      <w:proofErr w:type="spellStart"/>
      <w:r w:rsidRPr="001D7049">
        <w:rPr>
          <w:bCs/>
          <w:sz w:val="22"/>
          <w:szCs w:val="22"/>
          <w:lang w:val="sr-Latn-ME"/>
        </w:rPr>
        <w:t>pibližno</w:t>
      </w:r>
      <w:proofErr w:type="spellEnd"/>
      <w:r w:rsidRPr="001D7049">
        <w:rPr>
          <w:bCs/>
          <w:sz w:val="22"/>
          <w:szCs w:val="22"/>
          <w:lang w:val="sr-Latn-ME"/>
        </w:rPr>
        <w:t xml:space="preserve"> 91% na približno 87%. Očekuje se da su efekti ove </w:t>
      </w:r>
      <w:proofErr w:type="spellStart"/>
      <w:r w:rsidRPr="001D7049">
        <w:rPr>
          <w:bCs/>
          <w:sz w:val="22"/>
          <w:szCs w:val="22"/>
          <w:lang w:val="sr-Latn-ME"/>
        </w:rPr>
        <w:t>promene</w:t>
      </w:r>
      <w:proofErr w:type="spellEnd"/>
      <w:r w:rsidRPr="001D7049">
        <w:rPr>
          <w:bCs/>
          <w:sz w:val="22"/>
          <w:szCs w:val="22"/>
          <w:lang w:val="sr-Latn-ME"/>
        </w:rPr>
        <w:t xml:space="preserve"> prolazni. Malo je vjerovatno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da može da dođe do klinički značajnih interakcija ako bi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zamenio</w:t>
      </w:r>
      <w:proofErr w:type="spellEnd"/>
      <w:r w:rsidRPr="001D7049">
        <w:rPr>
          <w:bCs/>
          <w:sz w:val="22"/>
          <w:szCs w:val="22"/>
          <w:lang w:val="sr-Latn-ME"/>
        </w:rPr>
        <w:t xml:space="preserve"> neki drugi lijek ili neki drugi lijek zamijenio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>.</w:t>
      </w:r>
    </w:p>
    <w:p w14:paraId="06FC5531" w14:textId="77777777" w:rsidR="00A462CA" w:rsidRPr="001D7049" w:rsidRDefault="00A462C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3FA094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1D7049">
        <w:rPr>
          <w:bCs/>
          <w:i/>
          <w:sz w:val="22"/>
          <w:szCs w:val="22"/>
          <w:lang w:val="sr-Latn-ME"/>
        </w:rPr>
        <w:t>vitro</w:t>
      </w:r>
      <w:proofErr w:type="spellEnd"/>
      <w:r w:rsidRPr="001D7049">
        <w:rPr>
          <w:bCs/>
          <w:sz w:val="22"/>
          <w:szCs w:val="22"/>
          <w:lang w:val="sr-Latn-ME"/>
        </w:rPr>
        <w:t xml:space="preserve"> studije ukazuju na to da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ne inhibira transport </w:t>
      </w:r>
      <w:proofErr w:type="spellStart"/>
      <w:r w:rsidRPr="001D7049">
        <w:rPr>
          <w:bCs/>
          <w:sz w:val="22"/>
          <w:szCs w:val="22"/>
          <w:lang w:val="sr-Latn-ME"/>
        </w:rPr>
        <w:t>digoksina</w:t>
      </w:r>
      <w:proofErr w:type="spellEnd"/>
      <w:r w:rsidRPr="001D7049">
        <w:rPr>
          <w:bCs/>
          <w:sz w:val="22"/>
          <w:szCs w:val="22"/>
          <w:lang w:val="sr-Latn-ME"/>
        </w:rPr>
        <w:t xml:space="preserve"> ili </w:t>
      </w:r>
      <w:proofErr w:type="spellStart"/>
      <w:r w:rsidRPr="001D7049">
        <w:rPr>
          <w:bCs/>
          <w:sz w:val="22"/>
          <w:szCs w:val="22"/>
          <w:lang w:val="sr-Latn-ME"/>
        </w:rPr>
        <w:t>vinblastina</w:t>
      </w:r>
      <w:proofErr w:type="spellEnd"/>
      <w:r w:rsidRPr="001D7049">
        <w:rPr>
          <w:bCs/>
          <w:sz w:val="22"/>
          <w:szCs w:val="22"/>
          <w:lang w:val="sr-Latn-ME"/>
        </w:rPr>
        <w:t xml:space="preserve"> koji se odigrava</w:t>
      </w:r>
    </w:p>
    <w:p w14:paraId="4CD03F72" w14:textId="1F5933FF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posredstvom P-</w:t>
      </w:r>
      <w:proofErr w:type="spellStart"/>
      <w:r w:rsidRPr="001D7049">
        <w:rPr>
          <w:bCs/>
          <w:sz w:val="22"/>
          <w:szCs w:val="22"/>
          <w:lang w:val="sr-Latn-ME"/>
        </w:rPr>
        <w:t>glikoproteina</w:t>
      </w:r>
      <w:proofErr w:type="spellEnd"/>
      <w:r w:rsidRPr="001D7049">
        <w:rPr>
          <w:bCs/>
          <w:sz w:val="22"/>
          <w:szCs w:val="22"/>
          <w:lang w:val="sr-Latn-ME"/>
        </w:rPr>
        <w:t xml:space="preserve"> i da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nije supstrat za transport koji se odigrava posredstvom</w:t>
      </w:r>
      <w:r w:rsidR="00A462CA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>P-</w:t>
      </w:r>
      <w:proofErr w:type="spellStart"/>
      <w:r w:rsidRPr="001D7049">
        <w:rPr>
          <w:bCs/>
          <w:sz w:val="22"/>
          <w:szCs w:val="22"/>
          <w:lang w:val="sr-Latn-ME"/>
        </w:rPr>
        <w:t>glikoproteina</w:t>
      </w:r>
      <w:proofErr w:type="spellEnd"/>
      <w:r w:rsidRPr="001D7049">
        <w:rPr>
          <w:bCs/>
          <w:sz w:val="22"/>
          <w:szCs w:val="22"/>
          <w:lang w:val="sr-Latn-ME"/>
        </w:rPr>
        <w:t>.</w:t>
      </w:r>
    </w:p>
    <w:p w14:paraId="6C1ED16D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5553AB4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1D7049">
        <w:rPr>
          <w:bCs/>
          <w:sz w:val="22"/>
          <w:szCs w:val="22"/>
          <w:u w:val="single"/>
          <w:lang w:val="sr-Latn-ME"/>
        </w:rPr>
        <w:t>Biotransformacija</w:t>
      </w:r>
      <w:proofErr w:type="spellEnd"/>
    </w:p>
    <w:p w14:paraId="61BA122F" w14:textId="3C2C74A2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Kod zdravih odraslih mladih ispitanika (uzrasta od 23 do 49 godina), nakon primjene </w:t>
      </w:r>
      <w:proofErr w:type="spellStart"/>
      <w:r w:rsidRPr="001D7049">
        <w:rPr>
          <w:bCs/>
          <w:sz w:val="22"/>
          <w:szCs w:val="22"/>
          <w:lang w:val="sr-Latn-ME"/>
        </w:rPr>
        <w:t>intravenske</w:t>
      </w:r>
      <w:proofErr w:type="spellEnd"/>
      <w:r w:rsidRPr="001D7049">
        <w:rPr>
          <w:bCs/>
          <w:sz w:val="22"/>
          <w:szCs w:val="22"/>
          <w:lang w:val="sr-Latn-ME"/>
        </w:rPr>
        <w:t xml:space="preserve"> infuzije radioaktivno ob</w:t>
      </w:r>
      <w:r w:rsidR="00A462CA" w:rsidRPr="001D7049">
        <w:rPr>
          <w:bCs/>
          <w:sz w:val="22"/>
          <w:szCs w:val="22"/>
          <w:lang w:val="sr-Latn-ME"/>
        </w:rPr>
        <w:t>i</w:t>
      </w:r>
      <w:r w:rsidRPr="001D7049">
        <w:rPr>
          <w:bCs/>
          <w:sz w:val="22"/>
          <w:szCs w:val="22"/>
          <w:lang w:val="sr-Latn-ME"/>
        </w:rPr>
        <w:t>l</w:t>
      </w:r>
      <w:r w:rsidR="00A462CA" w:rsidRPr="001D7049">
        <w:rPr>
          <w:bCs/>
          <w:sz w:val="22"/>
          <w:szCs w:val="22"/>
          <w:lang w:val="sr-Latn-ME"/>
        </w:rPr>
        <w:t>j</w:t>
      </w:r>
      <w:r w:rsidRPr="001D7049">
        <w:rPr>
          <w:bCs/>
          <w:sz w:val="22"/>
          <w:szCs w:val="22"/>
          <w:lang w:val="sr-Latn-ME"/>
        </w:rPr>
        <w:t xml:space="preserve">eženog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u dozi od 1 g, uočena radioaktivnost u plazmi uglavnom se sastojala od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(94%). Glavni </w:t>
      </w:r>
      <w:proofErr w:type="spellStart"/>
      <w:r w:rsidRPr="001D7049">
        <w:rPr>
          <w:bCs/>
          <w:sz w:val="22"/>
          <w:szCs w:val="22"/>
          <w:lang w:val="sr-Latn-ME"/>
        </w:rPr>
        <w:t>metabolit</w:t>
      </w:r>
      <w:proofErr w:type="spellEnd"/>
      <w:r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je derivat otvorenog lanca koji nastaje hidrolizom </w:t>
      </w:r>
      <w:proofErr w:type="spellStart"/>
      <w:r w:rsidRPr="001D7049">
        <w:rPr>
          <w:bCs/>
          <w:sz w:val="22"/>
          <w:szCs w:val="22"/>
          <w:lang w:val="sr-Latn-ME"/>
        </w:rPr>
        <w:t>betalaktamskog</w:t>
      </w:r>
      <w:proofErr w:type="spellEnd"/>
      <w:r w:rsidRPr="001D7049">
        <w:rPr>
          <w:bCs/>
          <w:sz w:val="22"/>
          <w:szCs w:val="22"/>
          <w:lang w:val="sr-Latn-ME"/>
        </w:rPr>
        <w:t xml:space="preserve"> prstena posredstvom </w:t>
      </w:r>
      <w:proofErr w:type="spellStart"/>
      <w:r w:rsidRPr="001D7049">
        <w:rPr>
          <w:bCs/>
          <w:sz w:val="22"/>
          <w:szCs w:val="22"/>
          <w:lang w:val="sr-Latn-ME"/>
        </w:rPr>
        <w:t>dihidropeptidaze</w:t>
      </w:r>
      <w:proofErr w:type="spellEnd"/>
      <w:r w:rsidRPr="001D7049">
        <w:rPr>
          <w:bCs/>
          <w:sz w:val="22"/>
          <w:szCs w:val="22"/>
          <w:lang w:val="sr-Latn-ME"/>
        </w:rPr>
        <w:t>-I.</w:t>
      </w:r>
    </w:p>
    <w:p w14:paraId="6E53D8C6" w14:textId="77777777" w:rsidR="00A462CA" w:rsidRPr="001D7049" w:rsidRDefault="00A462C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588C96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1D7049">
        <w:rPr>
          <w:bCs/>
          <w:i/>
          <w:sz w:val="22"/>
          <w:szCs w:val="22"/>
          <w:lang w:val="sr-Latn-ME"/>
        </w:rPr>
        <w:t>vitro</w:t>
      </w:r>
      <w:proofErr w:type="spellEnd"/>
      <w:r w:rsidRPr="001D7049">
        <w:rPr>
          <w:bCs/>
          <w:sz w:val="22"/>
          <w:szCs w:val="22"/>
          <w:lang w:val="sr-Latn-ME"/>
        </w:rPr>
        <w:t xml:space="preserve"> ispitivanja na </w:t>
      </w:r>
      <w:proofErr w:type="spellStart"/>
      <w:r w:rsidRPr="001D7049">
        <w:rPr>
          <w:bCs/>
          <w:sz w:val="22"/>
          <w:szCs w:val="22"/>
          <w:lang w:val="sr-Latn-ME"/>
        </w:rPr>
        <w:t>mikrozomima</w:t>
      </w:r>
      <w:proofErr w:type="spellEnd"/>
      <w:r w:rsidRPr="001D7049">
        <w:rPr>
          <w:bCs/>
          <w:sz w:val="22"/>
          <w:szCs w:val="22"/>
          <w:lang w:val="sr-Latn-ME"/>
        </w:rPr>
        <w:t xml:space="preserve"> ljudske jetre ukazuju na to da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ne inhibira metabolizam koji se odigrava posredstvom bilo koje od šest glavnih </w:t>
      </w:r>
      <w:proofErr w:type="spellStart"/>
      <w:r w:rsidRPr="001D7049">
        <w:rPr>
          <w:bCs/>
          <w:sz w:val="22"/>
          <w:szCs w:val="22"/>
          <w:lang w:val="sr-Latn-ME"/>
        </w:rPr>
        <w:t>CYP</w:t>
      </w:r>
      <w:proofErr w:type="spellEnd"/>
      <w:r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izoformi</w:t>
      </w:r>
      <w:proofErr w:type="spellEnd"/>
      <w:r w:rsidRPr="001D7049">
        <w:rPr>
          <w:bCs/>
          <w:sz w:val="22"/>
          <w:szCs w:val="22"/>
          <w:lang w:val="sr-Latn-ME"/>
        </w:rPr>
        <w:t xml:space="preserve">: </w:t>
      </w:r>
      <w:proofErr w:type="spellStart"/>
      <w:r w:rsidRPr="001D7049">
        <w:rPr>
          <w:bCs/>
          <w:sz w:val="22"/>
          <w:szCs w:val="22"/>
          <w:lang w:val="sr-Latn-ME"/>
        </w:rPr>
        <w:t>1A2</w:t>
      </w:r>
      <w:proofErr w:type="spellEnd"/>
      <w:r w:rsidRPr="001D7049">
        <w:rPr>
          <w:bCs/>
          <w:sz w:val="22"/>
          <w:szCs w:val="22"/>
          <w:lang w:val="sr-Latn-ME"/>
        </w:rPr>
        <w:t xml:space="preserve">, </w:t>
      </w:r>
      <w:proofErr w:type="spellStart"/>
      <w:r w:rsidRPr="001D7049">
        <w:rPr>
          <w:bCs/>
          <w:sz w:val="22"/>
          <w:szCs w:val="22"/>
          <w:lang w:val="sr-Latn-ME"/>
        </w:rPr>
        <w:t>2C9</w:t>
      </w:r>
      <w:proofErr w:type="spellEnd"/>
      <w:r w:rsidRPr="001D7049">
        <w:rPr>
          <w:bCs/>
          <w:sz w:val="22"/>
          <w:szCs w:val="22"/>
          <w:lang w:val="sr-Latn-ME"/>
        </w:rPr>
        <w:t xml:space="preserve">, </w:t>
      </w:r>
      <w:proofErr w:type="spellStart"/>
      <w:r w:rsidRPr="001D7049">
        <w:rPr>
          <w:bCs/>
          <w:sz w:val="22"/>
          <w:szCs w:val="22"/>
          <w:lang w:val="sr-Latn-ME"/>
        </w:rPr>
        <w:t>2C19</w:t>
      </w:r>
      <w:proofErr w:type="spellEnd"/>
      <w:r w:rsidRPr="001D7049">
        <w:rPr>
          <w:bCs/>
          <w:sz w:val="22"/>
          <w:szCs w:val="22"/>
          <w:lang w:val="sr-Latn-ME"/>
        </w:rPr>
        <w:t>, 2D6, 2E1 i 3A4.</w:t>
      </w:r>
    </w:p>
    <w:p w14:paraId="72162577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4E5406" w14:textId="77777777" w:rsidR="00726AA2" w:rsidRDefault="00726AA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6A8314D" w14:textId="1831747B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D7049">
        <w:rPr>
          <w:bCs/>
          <w:sz w:val="22"/>
          <w:szCs w:val="22"/>
          <w:u w:val="single"/>
          <w:lang w:val="sr-Latn-ME"/>
        </w:rPr>
        <w:lastRenderedPageBreak/>
        <w:t>Eliminacija</w:t>
      </w:r>
    </w:p>
    <w:p w14:paraId="0D78468B" w14:textId="43C6DCB7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Kod zdravih odraslih mladih ispitanika (uzrasta od 23 do 49 godina), nakon primjene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intravenske</w:t>
      </w:r>
      <w:proofErr w:type="spellEnd"/>
      <w:r w:rsidRPr="001D7049">
        <w:rPr>
          <w:bCs/>
          <w:sz w:val="22"/>
          <w:szCs w:val="22"/>
          <w:lang w:val="sr-Latn-ME"/>
        </w:rPr>
        <w:t xml:space="preserve"> infuzije radioaktivno obilježenog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u dozi od 1 g, približno 80% lijeka izluči se urinom, a 10% putem </w:t>
      </w:r>
      <w:proofErr w:type="spellStart"/>
      <w:r w:rsidRPr="001D7049">
        <w:rPr>
          <w:bCs/>
          <w:sz w:val="22"/>
          <w:szCs w:val="22"/>
          <w:lang w:val="sr-Latn-ME"/>
        </w:rPr>
        <w:t>fecesa</w:t>
      </w:r>
      <w:proofErr w:type="spellEnd"/>
      <w:r w:rsidRPr="001D7049">
        <w:rPr>
          <w:bCs/>
          <w:sz w:val="22"/>
          <w:szCs w:val="22"/>
          <w:lang w:val="sr-Latn-ME"/>
        </w:rPr>
        <w:t>.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Od 80% lijeka izlučenog urinom približno 38% se izluči u obliku </w:t>
      </w:r>
      <w:proofErr w:type="spellStart"/>
      <w:r w:rsidRPr="001D7049">
        <w:rPr>
          <w:bCs/>
          <w:sz w:val="22"/>
          <w:szCs w:val="22"/>
          <w:lang w:val="sr-Latn-ME"/>
        </w:rPr>
        <w:t>neprom</w:t>
      </w:r>
      <w:r w:rsidR="00A462CA" w:rsidRPr="001D7049">
        <w:rPr>
          <w:bCs/>
          <w:sz w:val="22"/>
          <w:szCs w:val="22"/>
          <w:lang w:val="sr-Latn-ME"/>
        </w:rPr>
        <w:t>ije</w:t>
      </w:r>
      <w:r w:rsidRPr="001D7049">
        <w:rPr>
          <w:bCs/>
          <w:sz w:val="22"/>
          <w:szCs w:val="22"/>
          <w:lang w:val="sr-Latn-ME"/>
        </w:rPr>
        <w:t>njenog</w:t>
      </w:r>
      <w:proofErr w:type="spellEnd"/>
      <w:r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>, a približno 37%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u obliku </w:t>
      </w:r>
      <w:proofErr w:type="spellStart"/>
      <w:r w:rsidRPr="001D7049">
        <w:rPr>
          <w:bCs/>
          <w:sz w:val="22"/>
          <w:szCs w:val="22"/>
          <w:lang w:val="sr-Latn-ME"/>
        </w:rPr>
        <w:t>metabolita</w:t>
      </w:r>
      <w:proofErr w:type="spellEnd"/>
      <w:r w:rsidRPr="001D7049">
        <w:rPr>
          <w:bCs/>
          <w:sz w:val="22"/>
          <w:szCs w:val="22"/>
          <w:lang w:val="sr-Latn-ME"/>
        </w:rPr>
        <w:t xml:space="preserve"> otvorenog lanca.</w:t>
      </w:r>
    </w:p>
    <w:p w14:paraId="73E9BF35" w14:textId="77777777" w:rsidR="00A462CA" w:rsidRPr="001D7049" w:rsidRDefault="00A462C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3707BB" w14:textId="586AFAF3" w:rsidR="0086615E" w:rsidRPr="001D7049" w:rsidRDefault="008661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Nakon primjene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intravenske</w:t>
      </w:r>
      <w:proofErr w:type="spellEnd"/>
      <w:r w:rsidRPr="001D7049">
        <w:rPr>
          <w:bCs/>
          <w:sz w:val="22"/>
          <w:szCs w:val="22"/>
          <w:lang w:val="sr-Latn-ME"/>
        </w:rPr>
        <w:t xml:space="preserve"> doze od 1 g zdravim odraslim mladim ispitanicima (uzrasta od 18 do 49 godina) i pacijentima uzrasta od 13 do 17 godina, srednje poluvrijeme eliminacije iznosi približno 4 sata. Srednje poluvrijeme eliminacije u plazmi kod djece uzrasta od 3 mjeseca do 12 godina je približno 2,5 sati. Prosječne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 xml:space="preserve">koncentracije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u urinu bile su </w:t>
      </w:r>
      <w:proofErr w:type="spellStart"/>
      <w:r w:rsidRPr="001D7049">
        <w:rPr>
          <w:bCs/>
          <w:sz w:val="22"/>
          <w:szCs w:val="22"/>
          <w:lang w:val="sr-Latn-ME"/>
        </w:rPr>
        <w:t>preko</w:t>
      </w:r>
      <w:proofErr w:type="spellEnd"/>
      <w:r w:rsidRPr="001D7049">
        <w:rPr>
          <w:bCs/>
          <w:sz w:val="22"/>
          <w:szCs w:val="22"/>
          <w:lang w:val="sr-Latn-ME"/>
        </w:rPr>
        <w:t xml:space="preserve"> 984 </w:t>
      </w:r>
      <w:proofErr w:type="spellStart"/>
      <w:r w:rsidRPr="001D7049">
        <w:rPr>
          <w:bCs/>
          <w:sz w:val="22"/>
          <w:szCs w:val="22"/>
          <w:lang w:val="sr-Latn-ME"/>
        </w:rPr>
        <w:t>mikrograma</w:t>
      </w:r>
      <w:proofErr w:type="spellEnd"/>
      <w:r w:rsidRPr="001D7049">
        <w:rPr>
          <w:bCs/>
          <w:sz w:val="22"/>
          <w:szCs w:val="22"/>
          <w:lang w:val="sr-Latn-ME"/>
        </w:rPr>
        <w:t xml:space="preserve">/ml u </w:t>
      </w:r>
      <w:proofErr w:type="spellStart"/>
      <w:r w:rsidRPr="001D7049">
        <w:rPr>
          <w:bCs/>
          <w:sz w:val="22"/>
          <w:szCs w:val="22"/>
          <w:lang w:val="sr-Latn-ME"/>
        </w:rPr>
        <w:t>vremenu</w:t>
      </w:r>
      <w:proofErr w:type="spellEnd"/>
      <w:r w:rsidRPr="001D7049">
        <w:rPr>
          <w:bCs/>
          <w:sz w:val="22"/>
          <w:szCs w:val="22"/>
          <w:lang w:val="sr-Latn-ME"/>
        </w:rPr>
        <w:t xml:space="preserve"> od 0 do 2 sata nakon doziranja, a </w:t>
      </w:r>
      <w:proofErr w:type="spellStart"/>
      <w:r w:rsidRPr="001D7049">
        <w:rPr>
          <w:bCs/>
          <w:sz w:val="22"/>
          <w:szCs w:val="22"/>
          <w:lang w:val="sr-Latn-ME"/>
        </w:rPr>
        <w:t>preko</w:t>
      </w:r>
      <w:proofErr w:type="spellEnd"/>
      <w:r w:rsidRPr="001D7049">
        <w:rPr>
          <w:bCs/>
          <w:sz w:val="22"/>
          <w:szCs w:val="22"/>
          <w:lang w:val="sr-Latn-ME"/>
        </w:rPr>
        <w:t xml:space="preserve"> 52 </w:t>
      </w:r>
      <w:proofErr w:type="spellStart"/>
      <w:r w:rsidRPr="001D7049">
        <w:rPr>
          <w:bCs/>
          <w:sz w:val="22"/>
          <w:szCs w:val="22"/>
          <w:lang w:val="sr-Latn-ME"/>
        </w:rPr>
        <w:t>mikrograma</w:t>
      </w:r>
      <w:proofErr w:type="spellEnd"/>
      <w:r w:rsidRPr="001D7049">
        <w:rPr>
          <w:bCs/>
          <w:sz w:val="22"/>
          <w:szCs w:val="22"/>
          <w:lang w:val="sr-Latn-ME"/>
        </w:rPr>
        <w:t>/ml u periodu od 12 do 24 sata nakon primjene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>lijeka.</w:t>
      </w:r>
    </w:p>
    <w:p w14:paraId="78B09CAA" w14:textId="77777777" w:rsidR="00D72687" w:rsidRPr="001D7049" w:rsidRDefault="00D72687">
      <w:pPr>
        <w:tabs>
          <w:tab w:val="left" w:pos="540"/>
          <w:tab w:val="left" w:pos="569"/>
        </w:tabs>
        <w:jc w:val="both"/>
        <w:rPr>
          <w:b/>
          <w:i/>
          <w:sz w:val="22"/>
          <w:szCs w:val="22"/>
          <w:u w:val="single"/>
          <w:lang w:val="sr-Latn-ME"/>
        </w:rPr>
      </w:pPr>
    </w:p>
    <w:p w14:paraId="378B8A77" w14:textId="52433E0F" w:rsidR="0086615E" w:rsidRPr="001D7049" w:rsidRDefault="0086615E">
      <w:pPr>
        <w:tabs>
          <w:tab w:val="left" w:pos="540"/>
          <w:tab w:val="left" w:pos="569"/>
        </w:tabs>
        <w:jc w:val="both"/>
        <w:rPr>
          <w:b/>
          <w:i/>
          <w:sz w:val="22"/>
          <w:szCs w:val="22"/>
          <w:u w:val="single"/>
          <w:lang w:val="sr-Latn-ME"/>
        </w:rPr>
      </w:pPr>
      <w:r w:rsidRPr="001D7049">
        <w:rPr>
          <w:b/>
          <w:i/>
          <w:sz w:val="22"/>
          <w:szCs w:val="22"/>
          <w:u w:val="single"/>
          <w:lang w:val="sr-Latn-ME"/>
        </w:rPr>
        <w:t xml:space="preserve">Posebne populacije pacijenata </w:t>
      </w:r>
    </w:p>
    <w:p w14:paraId="7F4BD184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AB1B070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D7049">
        <w:rPr>
          <w:sz w:val="22"/>
          <w:szCs w:val="22"/>
          <w:u w:val="single"/>
          <w:lang w:val="sr-Latn-ME"/>
        </w:rPr>
        <w:t xml:space="preserve">Pol </w:t>
      </w:r>
    </w:p>
    <w:p w14:paraId="2DCA795A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Koncentracije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u plazmi su uporedive kod muškaraca i žena. </w:t>
      </w:r>
    </w:p>
    <w:p w14:paraId="4B9E422B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15D489C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u w:val="single"/>
          <w:lang w:val="sr-Latn-ME"/>
        </w:rPr>
        <w:t>Stariji pacijenti</w:t>
      </w:r>
      <w:r w:rsidRPr="001D7049">
        <w:rPr>
          <w:sz w:val="22"/>
          <w:szCs w:val="22"/>
          <w:lang w:val="sr-Latn-ME"/>
        </w:rPr>
        <w:t xml:space="preserve"> </w:t>
      </w:r>
    </w:p>
    <w:p w14:paraId="42B74C1C" w14:textId="1B2A3092" w:rsidR="0086615E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Koncentracije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u plazmi nakon primjene</w:t>
      </w:r>
      <w:r w:rsidR="00D95164"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intravenskih</w:t>
      </w:r>
      <w:proofErr w:type="spellEnd"/>
      <w:r w:rsidRPr="001D7049">
        <w:rPr>
          <w:sz w:val="22"/>
          <w:szCs w:val="22"/>
          <w:lang w:val="sr-Latn-ME"/>
        </w:rPr>
        <w:t xml:space="preserve"> doza od 1 g i 2 g bile su nešto više (približno 39%, odnosno 22%) kod zdravih starijih odraslih ispitanika (≥ 65 godina) nego kod mlađih odraslih osoba (&lt; 65 godina). Kod starijih pacijenata nije potrebno prilagođavati dozu lijeka osim u slučaju teškog oštećenja funkcije bubrega. </w:t>
      </w:r>
    </w:p>
    <w:p w14:paraId="0CEF93EF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E0AEF6B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u w:val="single"/>
          <w:lang w:val="sr-Latn-ME"/>
        </w:rPr>
        <w:t>Pedijatrijska populacija</w:t>
      </w:r>
      <w:r w:rsidRPr="001D7049">
        <w:rPr>
          <w:sz w:val="22"/>
          <w:szCs w:val="22"/>
          <w:lang w:val="sr-Latn-ME"/>
        </w:rPr>
        <w:t xml:space="preserve"> </w:t>
      </w:r>
    </w:p>
    <w:p w14:paraId="367339E6" w14:textId="3C9600EB" w:rsidR="00A462CA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>Nakon primjene</w:t>
      </w:r>
      <w:r w:rsidR="00D95164"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intravenske</w:t>
      </w:r>
      <w:proofErr w:type="spellEnd"/>
      <w:r w:rsidRPr="001D7049">
        <w:rPr>
          <w:sz w:val="22"/>
          <w:szCs w:val="22"/>
          <w:lang w:val="sr-Latn-ME"/>
        </w:rPr>
        <w:t xml:space="preserve"> doze od 1 g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jednom dnevno koncentracije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u plazmi kod pedijatrijskih pacijenata uzrasta od 13 do 17 godina bile su uporedive sa koncentracijama kod odraslih pacijenata. </w:t>
      </w:r>
    </w:p>
    <w:p w14:paraId="0E7F1BF0" w14:textId="031F6873" w:rsidR="00A462CA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>Nakon primjene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>doze od 20 mg/kg (do maksimalne doze od 1 g) vrijednosti</w:t>
      </w:r>
      <w:r w:rsidR="00D95164"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farmakokinetičkih</w:t>
      </w:r>
      <w:proofErr w:type="spellEnd"/>
      <w:r w:rsidRPr="001D7049">
        <w:rPr>
          <w:sz w:val="22"/>
          <w:szCs w:val="22"/>
          <w:lang w:val="sr-Latn-ME"/>
        </w:rPr>
        <w:t xml:space="preserve"> parametara kod pacijenata uzrasta od 13 do 17 godina bile su uopšteno uporedive sa vrijednostima kod zdravih mladih odraslih ispitanika. U cilju procjenjivanja </w:t>
      </w:r>
      <w:proofErr w:type="spellStart"/>
      <w:r w:rsidRPr="001D7049">
        <w:rPr>
          <w:sz w:val="22"/>
          <w:szCs w:val="22"/>
          <w:lang w:val="sr-Latn-ME"/>
        </w:rPr>
        <w:t>farmakokinetičkih</w:t>
      </w:r>
      <w:proofErr w:type="spellEnd"/>
      <w:r w:rsidRPr="001D7049">
        <w:rPr>
          <w:sz w:val="22"/>
          <w:szCs w:val="22"/>
          <w:lang w:val="sr-Latn-ME"/>
        </w:rPr>
        <w:t xml:space="preserve"> podataka, ako bi svi pacijenti u ovoj starosnoj grupi primili dozu od 1 g, pretpostavljajući </w:t>
      </w:r>
      <w:proofErr w:type="spellStart"/>
      <w:r w:rsidRPr="001D7049">
        <w:rPr>
          <w:sz w:val="22"/>
          <w:szCs w:val="22"/>
          <w:lang w:val="sr-Latn-ME"/>
        </w:rPr>
        <w:t>linearnost</w:t>
      </w:r>
      <w:proofErr w:type="spellEnd"/>
      <w:r w:rsidRPr="001D7049">
        <w:rPr>
          <w:sz w:val="22"/>
          <w:szCs w:val="22"/>
          <w:lang w:val="sr-Latn-ME"/>
        </w:rPr>
        <w:t xml:space="preserve">, </w:t>
      </w:r>
      <w:proofErr w:type="spellStart"/>
      <w:r w:rsidRPr="001D7049">
        <w:rPr>
          <w:sz w:val="22"/>
          <w:szCs w:val="22"/>
          <w:lang w:val="sr-Latn-ME"/>
        </w:rPr>
        <w:t>farmakokinetički</w:t>
      </w:r>
      <w:proofErr w:type="spellEnd"/>
      <w:r w:rsidRPr="001D7049">
        <w:rPr>
          <w:sz w:val="22"/>
          <w:szCs w:val="22"/>
          <w:lang w:val="sr-Latn-ME"/>
        </w:rPr>
        <w:t xml:space="preserve"> podaci izračunavali bi se prilagođavanjem sa dozom od 1 g. Poređenjem rezultata uočeno je da se nakon primjene</w:t>
      </w:r>
      <w:r w:rsidR="00D95164"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u dozi od 1 g jednom dnevno kod pacijenata uzrasta od 13 do 17 godina postiže </w:t>
      </w:r>
      <w:proofErr w:type="spellStart"/>
      <w:r w:rsidRPr="001D7049">
        <w:rPr>
          <w:sz w:val="22"/>
          <w:szCs w:val="22"/>
          <w:lang w:val="sr-Latn-ME"/>
        </w:rPr>
        <w:t>farmakokinetički</w:t>
      </w:r>
      <w:proofErr w:type="spellEnd"/>
      <w:r w:rsidRPr="001D7049">
        <w:rPr>
          <w:sz w:val="22"/>
          <w:szCs w:val="22"/>
          <w:lang w:val="sr-Latn-ME"/>
        </w:rPr>
        <w:t xml:space="preserve"> profil uporediv sa </w:t>
      </w:r>
      <w:proofErr w:type="spellStart"/>
      <w:r w:rsidRPr="001D7049">
        <w:rPr>
          <w:sz w:val="22"/>
          <w:szCs w:val="22"/>
          <w:lang w:val="sr-Latn-ME"/>
        </w:rPr>
        <w:t>farmakokinetičkim</w:t>
      </w:r>
      <w:proofErr w:type="spellEnd"/>
      <w:r w:rsidRPr="001D7049">
        <w:rPr>
          <w:sz w:val="22"/>
          <w:szCs w:val="22"/>
          <w:lang w:val="sr-Latn-ME"/>
        </w:rPr>
        <w:t xml:space="preserve"> profilom kod odraslih. Odnos (pacijenti uzrasta od 13 do 17 godina /odrasli pacijenti) površine ispod krive (PIK) je iznosio 0,99, koncentracije na kraju infuzije 1,20 i koncentracije u sredini intervala doziranja 0,84. </w:t>
      </w:r>
    </w:p>
    <w:p w14:paraId="648FD388" w14:textId="571CE1A7" w:rsidR="0086615E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Koncentracije u plazmi u sredini intervala doziranja nakon primjene jednokratne </w:t>
      </w:r>
      <w:proofErr w:type="spellStart"/>
      <w:r w:rsidRPr="001D7049">
        <w:rPr>
          <w:sz w:val="22"/>
          <w:szCs w:val="22"/>
          <w:lang w:val="sr-Latn-ME"/>
        </w:rPr>
        <w:t>intravenske</w:t>
      </w:r>
      <w:proofErr w:type="spellEnd"/>
      <w:r w:rsidRPr="001D7049">
        <w:rPr>
          <w:sz w:val="22"/>
          <w:szCs w:val="22"/>
          <w:lang w:val="sr-Latn-ME"/>
        </w:rPr>
        <w:t xml:space="preserve"> doze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od 15 mg/kg pacijentima uzrasta od 3 mjeseca do 12 godina uporedive su sa koncentracijama u plazmi u sredini intervala doziranja nakon primjene </w:t>
      </w:r>
      <w:proofErr w:type="spellStart"/>
      <w:r w:rsidRPr="001D7049">
        <w:rPr>
          <w:sz w:val="22"/>
          <w:szCs w:val="22"/>
          <w:lang w:val="sr-Latn-ME"/>
        </w:rPr>
        <w:t>intravenske</w:t>
      </w:r>
      <w:proofErr w:type="spellEnd"/>
      <w:r w:rsidRPr="001D7049">
        <w:rPr>
          <w:sz w:val="22"/>
          <w:szCs w:val="22"/>
          <w:lang w:val="sr-Latn-ME"/>
        </w:rPr>
        <w:t xml:space="preserve"> doze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od 1 g jednom dnevno kod odraslih pacijenata (vidjeti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dio Koncentracije u plazmi). </w:t>
      </w:r>
      <w:proofErr w:type="spellStart"/>
      <w:r w:rsidRPr="001D7049">
        <w:rPr>
          <w:sz w:val="22"/>
          <w:szCs w:val="22"/>
          <w:lang w:val="sr-Latn-ME"/>
        </w:rPr>
        <w:t>Klirens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u plazmi (m</w:t>
      </w:r>
      <w:r w:rsidR="00A462CA" w:rsidRPr="001D7049">
        <w:rPr>
          <w:sz w:val="22"/>
          <w:szCs w:val="22"/>
          <w:lang w:val="sr-Latn-ME"/>
        </w:rPr>
        <w:t>l/</w:t>
      </w:r>
      <w:r w:rsidRPr="001D7049">
        <w:rPr>
          <w:sz w:val="22"/>
          <w:szCs w:val="22"/>
          <w:lang w:val="sr-Latn-ME"/>
        </w:rPr>
        <w:t xml:space="preserve">min/kg) kod pacijenata uzrasta od 3 mjeseca do 12 godina je oko 2 puta veći od </w:t>
      </w:r>
      <w:proofErr w:type="spellStart"/>
      <w:r w:rsidRPr="001D7049">
        <w:rPr>
          <w:sz w:val="22"/>
          <w:szCs w:val="22"/>
          <w:lang w:val="sr-Latn-ME"/>
        </w:rPr>
        <w:t>klirensa</w:t>
      </w:r>
      <w:proofErr w:type="spellEnd"/>
      <w:r w:rsidRPr="001D7049">
        <w:rPr>
          <w:sz w:val="22"/>
          <w:szCs w:val="22"/>
          <w:lang w:val="sr-Latn-ME"/>
        </w:rPr>
        <w:t xml:space="preserve"> kod odraslih pacijenata. Nakon primjene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>doze od 15 mg/kg, vrijednosti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PIK i koncentracija u plazmi u sredini intervala doziranja kod pacijenata uzrasta od 3 mjeseca do 12 godina bile su uporedive sa vrijednostima kod zdravih mladih ispitanika koji su primili 1 g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intravenski</w:t>
      </w:r>
      <w:proofErr w:type="spellEnd"/>
      <w:r w:rsidRPr="001D7049">
        <w:rPr>
          <w:sz w:val="22"/>
          <w:szCs w:val="22"/>
          <w:lang w:val="sr-Latn-ME"/>
        </w:rPr>
        <w:t xml:space="preserve">. </w:t>
      </w:r>
    </w:p>
    <w:p w14:paraId="7CB2E550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6143741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D7049">
        <w:rPr>
          <w:sz w:val="22"/>
          <w:szCs w:val="22"/>
          <w:u w:val="single"/>
          <w:lang w:val="sr-Latn-ME"/>
        </w:rPr>
        <w:t xml:space="preserve">Oštećenje funkcije jetre </w:t>
      </w:r>
    </w:p>
    <w:p w14:paraId="0098A8EF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1D7049">
        <w:rPr>
          <w:sz w:val="22"/>
          <w:szCs w:val="22"/>
          <w:lang w:val="sr-Latn-ME"/>
        </w:rPr>
        <w:t>Farmakokinetika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kod pacijenata sa oštećenjem funkcije jetre nije utvrđena. Zbog slabog metabolizma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u jetri ne očekuje se da bi oštećenje funkcije jetre moglo da utiče na </w:t>
      </w:r>
      <w:proofErr w:type="spellStart"/>
      <w:r w:rsidRPr="001D7049">
        <w:rPr>
          <w:sz w:val="22"/>
          <w:szCs w:val="22"/>
          <w:lang w:val="sr-Latn-ME"/>
        </w:rPr>
        <w:t>farmakokinetiku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. Zbog toga se ne preporučuje prilagođavanje doze kod pacijenata sa oštećenjem funkcije jetre. </w:t>
      </w:r>
    </w:p>
    <w:p w14:paraId="7B959716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4D22506" w14:textId="77777777" w:rsidR="0086615E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D7049">
        <w:rPr>
          <w:sz w:val="22"/>
          <w:szCs w:val="22"/>
          <w:u w:val="single"/>
          <w:lang w:val="sr-Latn-ME"/>
        </w:rPr>
        <w:t xml:space="preserve">Oštećenje funkcije bubrega </w:t>
      </w:r>
    </w:p>
    <w:p w14:paraId="7CE32A1F" w14:textId="5AEEDA97" w:rsidR="0086615E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Nakon </w:t>
      </w:r>
      <w:r w:rsidR="00D72687" w:rsidRPr="001D7049">
        <w:rPr>
          <w:sz w:val="22"/>
          <w:szCs w:val="22"/>
          <w:lang w:val="sr-Latn-ME"/>
        </w:rPr>
        <w:t>primjene jednokratne</w:t>
      </w:r>
      <w:r w:rsidRPr="001D7049">
        <w:rPr>
          <w:sz w:val="22"/>
          <w:szCs w:val="22"/>
          <w:lang w:val="sr-Latn-ME"/>
        </w:rPr>
        <w:t xml:space="preserve"> doze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od 1 g </w:t>
      </w:r>
      <w:proofErr w:type="spellStart"/>
      <w:r w:rsidRPr="001D7049">
        <w:rPr>
          <w:sz w:val="22"/>
          <w:szCs w:val="22"/>
          <w:lang w:val="sr-Latn-ME"/>
        </w:rPr>
        <w:t>intravenski</w:t>
      </w:r>
      <w:proofErr w:type="spellEnd"/>
      <w:r w:rsidRPr="001D7049">
        <w:rPr>
          <w:sz w:val="22"/>
          <w:szCs w:val="22"/>
          <w:lang w:val="sr-Latn-ME"/>
        </w:rPr>
        <w:t xml:space="preserve"> odraslim pacijentima, vrijednosti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PIK ukupnog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(vezani i nevezani </w:t>
      </w:r>
      <w:proofErr w:type="spellStart"/>
      <w:r w:rsidRPr="001D7049">
        <w:rPr>
          <w:sz w:val="22"/>
          <w:szCs w:val="22"/>
          <w:lang w:val="sr-Latn-ME"/>
        </w:rPr>
        <w:t>deo</w:t>
      </w:r>
      <w:proofErr w:type="spellEnd"/>
      <w:r w:rsidRPr="001D7049">
        <w:rPr>
          <w:sz w:val="22"/>
          <w:szCs w:val="22"/>
          <w:lang w:val="sr-Latn-ME"/>
        </w:rPr>
        <w:t xml:space="preserve"> lijeka) i nevezanog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bile su slične kod pacijenata sa blagim oštećenjem funkcije bubrega (</w:t>
      </w:r>
      <w:proofErr w:type="spellStart"/>
      <w:r w:rsidRPr="001D7049">
        <w:rPr>
          <w:sz w:val="22"/>
          <w:szCs w:val="22"/>
          <w:lang w:val="sr-Latn-ME"/>
        </w:rPr>
        <w:t>Cl</w:t>
      </w:r>
      <w:r w:rsidRPr="001D7049">
        <w:rPr>
          <w:sz w:val="22"/>
          <w:szCs w:val="22"/>
          <w:vertAlign w:val="subscript"/>
          <w:lang w:val="sr-Latn-ME"/>
        </w:rPr>
        <w:t>cr</w:t>
      </w:r>
      <w:proofErr w:type="spellEnd"/>
      <w:r w:rsidRPr="001D7049">
        <w:rPr>
          <w:sz w:val="22"/>
          <w:szCs w:val="22"/>
          <w:lang w:val="sr-Latn-ME"/>
        </w:rPr>
        <w:t xml:space="preserve"> 60 do 90 m</w:t>
      </w:r>
      <w:r w:rsidR="00A462CA" w:rsidRPr="001D7049">
        <w:rPr>
          <w:sz w:val="22"/>
          <w:szCs w:val="22"/>
          <w:lang w:val="sr-Latn-ME"/>
        </w:rPr>
        <w:t>l/</w:t>
      </w:r>
      <w:r w:rsidRPr="001D7049">
        <w:rPr>
          <w:sz w:val="22"/>
          <w:szCs w:val="22"/>
          <w:lang w:val="sr-Latn-ME"/>
        </w:rPr>
        <w:t>min/1,73 m</w:t>
      </w:r>
      <w:r w:rsidRPr="001D7049">
        <w:rPr>
          <w:sz w:val="22"/>
          <w:szCs w:val="22"/>
          <w:vertAlign w:val="superscript"/>
          <w:lang w:val="sr-Latn-ME"/>
        </w:rPr>
        <w:t>2</w:t>
      </w:r>
      <w:r w:rsidRPr="001D7049">
        <w:rPr>
          <w:sz w:val="22"/>
          <w:szCs w:val="22"/>
          <w:lang w:val="sr-Latn-ME"/>
        </w:rPr>
        <w:t xml:space="preserve"> ) i zdravih ispitanika (uzrasta od 25 do 82 godine). PIK ukupnog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kod pacijenata sa umjerenim oštećenjem funkcije bubrega (</w:t>
      </w:r>
      <w:proofErr w:type="spellStart"/>
      <w:r w:rsidRPr="001D7049">
        <w:rPr>
          <w:sz w:val="22"/>
          <w:szCs w:val="22"/>
          <w:lang w:val="sr-Latn-ME"/>
        </w:rPr>
        <w:t>Cl</w:t>
      </w:r>
      <w:r w:rsidRPr="001D7049">
        <w:rPr>
          <w:sz w:val="22"/>
          <w:szCs w:val="22"/>
          <w:vertAlign w:val="subscript"/>
          <w:lang w:val="sr-Latn-ME"/>
        </w:rPr>
        <w:t>cr</w:t>
      </w:r>
      <w:proofErr w:type="spellEnd"/>
      <w:r w:rsidRPr="001D7049">
        <w:rPr>
          <w:sz w:val="22"/>
          <w:szCs w:val="22"/>
          <w:vertAlign w:val="subscript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>31 do 59 m</w:t>
      </w:r>
      <w:r w:rsidR="00A462CA" w:rsidRPr="001D7049">
        <w:rPr>
          <w:sz w:val="22"/>
          <w:szCs w:val="22"/>
          <w:lang w:val="sr-Latn-ME"/>
        </w:rPr>
        <w:t>l/</w:t>
      </w:r>
      <w:r w:rsidRPr="001D7049">
        <w:rPr>
          <w:sz w:val="22"/>
          <w:szCs w:val="22"/>
          <w:lang w:val="sr-Latn-ME"/>
        </w:rPr>
        <w:t>min/1,73 m</w:t>
      </w:r>
      <w:r w:rsidRPr="001D7049">
        <w:rPr>
          <w:sz w:val="22"/>
          <w:szCs w:val="22"/>
          <w:vertAlign w:val="superscript"/>
          <w:lang w:val="sr-Latn-ME"/>
        </w:rPr>
        <w:t>2</w:t>
      </w:r>
      <w:r w:rsidRPr="001D7049">
        <w:rPr>
          <w:sz w:val="22"/>
          <w:szCs w:val="22"/>
          <w:lang w:val="sr-Latn-ME"/>
        </w:rPr>
        <w:t xml:space="preserve"> ) povećan je za oko 1,5 puta u poređenju sa zdravim ispitanicima, a PIK </w:t>
      </w:r>
      <w:r w:rsidRPr="001D7049">
        <w:rPr>
          <w:sz w:val="22"/>
          <w:szCs w:val="22"/>
          <w:lang w:val="sr-Latn-ME"/>
        </w:rPr>
        <w:lastRenderedPageBreak/>
        <w:t xml:space="preserve">nevezanog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povećan je za oko 1,8 puta u poređenju sa zdravim ispitanicima. PIK ukupnog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kod pacijenata sa </w:t>
      </w:r>
      <w:proofErr w:type="spellStart"/>
      <w:r w:rsidRPr="001D7049">
        <w:rPr>
          <w:sz w:val="22"/>
          <w:szCs w:val="22"/>
          <w:lang w:val="sr-Latn-ME"/>
        </w:rPr>
        <w:t>taškim</w:t>
      </w:r>
      <w:proofErr w:type="spellEnd"/>
      <w:r w:rsidRPr="001D7049">
        <w:rPr>
          <w:sz w:val="22"/>
          <w:szCs w:val="22"/>
          <w:lang w:val="sr-Latn-ME"/>
        </w:rPr>
        <w:t xml:space="preserve"> oštećenjem funkcije bubrega (</w:t>
      </w:r>
      <w:proofErr w:type="spellStart"/>
      <w:r w:rsidRPr="001D7049">
        <w:rPr>
          <w:sz w:val="22"/>
          <w:szCs w:val="22"/>
          <w:lang w:val="sr-Latn-ME"/>
        </w:rPr>
        <w:t>Cl</w:t>
      </w:r>
      <w:r w:rsidRPr="001D7049">
        <w:rPr>
          <w:sz w:val="22"/>
          <w:szCs w:val="22"/>
          <w:vertAlign w:val="subscript"/>
          <w:lang w:val="sr-Latn-ME"/>
        </w:rPr>
        <w:t>cr</w:t>
      </w:r>
      <w:proofErr w:type="spellEnd"/>
      <w:r w:rsidRPr="001D7049">
        <w:rPr>
          <w:sz w:val="22"/>
          <w:szCs w:val="22"/>
          <w:vertAlign w:val="subscript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>5 do 30 m</w:t>
      </w:r>
      <w:r w:rsidR="00A462CA" w:rsidRPr="001D7049">
        <w:rPr>
          <w:sz w:val="22"/>
          <w:szCs w:val="22"/>
          <w:lang w:val="sr-Latn-ME"/>
        </w:rPr>
        <w:t>l/</w:t>
      </w:r>
      <w:r w:rsidRPr="001D7049">
        <w:rPr>
          <w:sz w:val="22"/>
          <w:szCs w:val="22"/>
          <w:lang w:val="sr-Latn-ME"/>
        </w:rPr>
        <w:t>min/1,73 m</w:t>
      </w:r>
      <w:r w:rsidRPr="001D7049">
        <w:rPr>
          <w:sz w:val="22"/>
          <w:szCs w:val="22"/>
          <w:vertAlign w:val="superscript"/>
          <w:lang w:val="sr-Latn-ME"/>
        </w:rPr>
        <w:t>2</w:t>
      </w:r>
      <w:r w:rsidRPr="001D7049">
        <w:rPr>
          <w:sz w:val="22"/>
          <w:szCs w:val="22"/>
          <w:lang w:val="sr-Latn-ME"/>
        </w:rPr>
        <w:t xml:space="preserve"> ) povećan je za oko 2,6 puta u poređenju sa zdravim ispitanicima, a PIK nevezanog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povećan je za oko 3,4 puta u poređenju sa zdravim ispitanicima. PIK ukupnog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kod pacijenata kojima je potrebna </w:t>
      </w:r>
      <w:proofErr w:type="spellStart"/>
      <w:r w:rsidRPr="001D7049">
        <w:rPr>
          <w:sz w:val="22"/>
          <w:szCs w:val="22"/>
          <w:lang w:val="sr-Latn-ME"/>
        </w:rPr>
        <w:t>hemodijaliza</w:t>
      </w:r>
      <w:proofErr w:type="spellEnd"/>
      <w:r w:rsidRPr="001D7049">
        <w:rPr>
          <w:sz w:val="22"/>
          <w:szCs w:val="22"/>
          <w:lang w:val="sr-Latn-ME"/>
        </w:rPr>
        <w:t xml:space="preserve">, između 14 od 16 sesija dijalize, povećan je za oko 2,9 puta u poređenju sa zdravim ispitanicima, a PIK nevezanog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povećan je za oko 6,0 puta u poređenju sa zdravim ispitanicima. Nakon primjene jednokratne </w:t>
      </w:r>
      <w:proofErr w:type="spellStart"/>
      <w:r w:rsidRPr="001D7049">
        <w:rPr>
          <w:sz w:val="22"/>
          <w:szCs w:val="22"/>
          <w:lang w:val="sr-Latn-ME"/>
        </w:rPr>
        <w:t>intravenske</w:t>
      </w:r>
      <w:proofErr w:type="spellEnd"/>
      <w:r w:rsidRPr="001D7049">
        <w:rPr>
          <w:sz w:val="22"/>
          <w:szCs w:val="22"/>
          <w:lang w:val="sr-Latn-ME"/>
        </w:rPr>
        <w:t xml:space="preserve"> doze od 1 g neposredno prije sesije </w:t>
      </w:r>
      <w:proofErr w:type="spellStart"/>
      <w:r w:rsidRPr="001D7049">
        <w:rPr>
          <w:sz w:val="22"/>
          <w:szCs w:val="22"/>
          <w:lang w:val="sr-Latn-ME"/>
        </w:rPr>
        <w:t>hemodijalize</w:t>
      </w:r>
      <w:proofErr w:type="spellEnd"/>
      <w:r w:rsidRPr="001D7049">
        <w:rPr>
          <w:sz w:val="22"/>
          <w:szCs w:val="22"/>
          <w:lang w:val="sr-Latn-ME"/>
        </w:rPr>
        <w:t xml:space="preserve">, približno 30% primljene doze se uoči u </w:t>
      </w:r>
      <w:proofErr w:type="spellStart"/>
      <w:r w:rsidRPr="001D7049">
        <w:rPr>
          <w:sz w:val="22"/>
          <w:szCs w:val="22"/>
          <w:lang w:val="sr-Latn-ME"/>
        </w:rPr>
        <w:t>dijalizatu</w:t>
      </w:r>
      <w:proofErr w:type="spellEnd"/>
      <w:r w:rsidRPr="001D7049">
        <w:rPr>
          <w:sz w:val="22"/>
          <w:szCs w:val="22"/>
          <w:lang w:val="sr-Latn-ME"/>
        </w:rPr>
        <w:t xml:space="preserve">. Nema dostupnih podataka o pedijatrijskim pacijentima sa oštećenjem funkcije bubrega. </w:t>
      </w:r>
    </w:p>
    <w:p w14:paraId="31D3EA63" w14:textId="1E87EFFE" w:rsidR="0086615E" w:rsidRPr="001D7049" w:rsidRDefault="008661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Nema dostupnih podataka o </w:t>
      </w:r>
      <w:r w:rsidR="00D95164" w:rsidRPr="001D7049">
        <w:rPr>
          <w:sz w:val="22"/>
          <w:szCs w:val="22"/>
          <w:lang w:val="sr-Latn-ME"/>
        </w:rPr>
        <w:t>bezbjedno</w:t>
      </w:r>
      <w:r w:rsidRPr="001D7049">
        <w:rPr>
          <w:sz w:val="22"/>
          <w:szCs w:val="22"/>
          <w:lang w:val="sr-Latn-ME"/>
        </w:rPr>
        <w:t xml:space="preserve">sti i efikasnosti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kod pacijenata sa </w:t>
      </w:r>
      <w:proofErr w:type="spellStart"/>
      <w:r w:rsidRPr="001D7049">
        <w:rPr>
          <w:sz w:val="22"/>
          <w:szCs w:val="22"/>
          <w:lang w:val="sr-Latn-ME"/>
        </w:rPr>
        <w:t>uznapredovalim</w:t>
      </w:r>
      <w:proofErr w:type="spellEnd"/>
      <w:r w:rsidRPr="001D7049">
        <w:rPr>
          <w:sz w:val="22"/>
          <w:szCs w:val="22"/>
          <w:lang w:val="sr-Latn-ME"/>
        </w:rPr>
        <w:t xml:space="preserve"> oštećenjem funkcije bubrega i kod pacijenata koji </w:t>
      </w:r>
      <w:r w:rsidR="009D4CA4" w:rsidRPr="001D7049">
        <w:rPr>
          <w:sz w:val="22"/>
          <w:szCs w:val="22"/>
          <w:lang w:val="sr-Latn-ME"/>
        </w:rPr>
        <w:t>zaht</w:t>
      </w:r>
      <w:r w:rsidR="00700694" w:rsidRPr="001D7049">
        <w:rPr>
          <w:sz w:val="22"/>
          <w:szCs w:val="22"/>
          <w:lang w:val="sr-Latn-ME"/>
        </w:rPr>
        <w:t>i</w:t>
      </w:r>
      <w:r w:rsidR="009D4CA4" w:rsidRPr="001D7049">
        <w:rPr>
          <w:sz w:val="22"/>
          <w:szCs w:val="22"/>
          <w:lang w:val="sr-Latn-ME"/>
        </w:rPr>
        <w:t>jev</w:t>
      </w:r>
      <w:r w:rsidRPr="001D7049">
        <w:rPr>
          <w:sz w:val="22"/>
          <w:szCs w:val="22"/>
          <w:lang w:val="sr-Latn-ME"/>
        </w:rPr>
        <w:t xml:space="preserve">aju </w:t>
      </w:r>
      <w:proofErr w:type="spellStart"/>
      <w:r w:rsidRPr="001D7049">
        <w:rPr>
          <w:sz w:val="22"/>
          <w:szCs w:val="22"/>
          <w:lang w:val="sr-Latn-ME"/>
        </w:rPr>
        <w:t>hemodijalizu</w:t>
      </w:r>
      <w:proofErr w:type="spellEnd"/>
      <w:r w:rsidRPr="001D7049">
        <w:rPr>
          <w:sz w:val="22"/>
          <w:szCs w:val="22"/>
          <w:lang w:val="sr-Latn-ME"/>
        </w:rPr>
        <w:t xml:space="preserve"> da bi se uspostavile preporuke za doziranje. Zbog toga se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ne smije primjenjivati kod ovih pacijenata. </w:t>
      </w:r>
    </w:p>
    <w:p w14:paraId="452F30A2" w14:textId="1E80FAF1" w:rsidR="0072020E" w:rsidRPr="001D7049" w:rsidRDefault="0072020E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698EAB" w14:textId="77777777" w:rsidR="0072020E" w:rsidRPr="001D7049" w:rsidRDefault="0072020E" w:rsidP="009569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5.3.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proofErr w:type="spellStart"/>
      <w:r w:rsidRPr="001D7049">
        <w:rPr>
          <w:b/>
          <w:bCs/>
          <w:sz w:val="22"/>
          <w:szCs w:val="22"/>
          <w:lang w:val="sr-Latn-ME"/>
        </w:rPr>
        <w:t>Pretklinički</w:t>
      </w:r>
      <w:proofErr w:type="spellEnd"/>
      <w:r w:rsidRPr="001D7049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72930B76" w14:textId="77777777" w:rsidR="00836B35" w:rsidRPr="001D7049" w:rsidRDefault="00836B35" w:rsidP="009569E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E2BA9CD" w14:textId="2CFEBB4D" w:rsidR="00396DFD" w:rsidRPr="001D7049" w:rsidRDefault="00D72687" w:rsidP="00D9516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1D7049">
        <w:rPr>
          <w:sz w:val="22"/>
          <w:szCs w:val="22"/>
          <w:lang w:val="sr-Latn-ME"/>
        </w:rPr>
        <w:t>Pretklinički</w:t>
      </w:r>
      <w:proofErr w:type="spellEnd"/>
      <w:r w:rsidRPr="001D7049">
        <w:rPr>
          <w:sz w:val="22"/>
          <w:szCs w:val="22"/>
          <w:lang w:val="sr-Latn-ME"/>
        </w:rPr>
        <w:t xml:space="preserve"> podaci dobijeni na osnovu podataka iz konvencionalnih studija </w:t>
      </w:r>
      <w:proofErr w:type="spellStart"/>
      <w:r w:rsidRPr="001D7049">
        <w:rPr>
          <w:sz w:val="22"/>
          <w:szCs w:val="22"/>
          <w:lang w:val="sr-Latn-ME"/>
        </w:rPr>
        <w:t>bezbjednosne</w:t>
      </w:r>
      <w:proofErr w:type="spellEnd"/>
      <w:r w:rsidRPr="001D7049">
        <w:rPr>
          <w:sz w:val="22"/>
          <w:szCs w:val="22"/>
          <w:lang w:val="sr-Latn-ME"/>
        </w:rPr>
        <w:t xml:space="preserve"> farmakologije, toksičnosti ponovljenih doza, </w:t>
      </w:r>
      <w:proofErr w:type="spellStart"/>
      <w:r w:rsidRPr="001D7049">
        <w:rPr>
          <w:sz w:val="22"/>
          <w:szCs w:val="22"/>
          <w:lang w:val="sr-Latn-ME"/>
        </w:rPr>
        <w:t>genotoksičnosti</w:t>
      </w:r>
      <w:proofErr w:type="spellEnd"/>
      <w:r w:rsidRPr="001D7049">
        <w:rPr>
          <w:sz w:val="22"/>
          <w:szCs w:val="22"/>
          <w:lang w:val="sr-Latn-ME"/>
        </w:rPr>
        <w:t xml:space="preserve"> i reproduktivne toksičnosti, ne ukazuju na posebne rizike pri </w:t>
      </w:r>
      <w:proofErr w:type="spellStart"/>
      <w:r w:rsidRPr="001D7049">
        <w:rPr>
          <w:sz w:val="22"/>
          <w:szCs w:val="22"/>
          <w:lang w:val="sr-Latn-ME"/>
        </w:rPr>
        <w:t>primeni</w:t>
      </w:r>
      <w:proofErr w:type="spellEnd"/>
      <w:r w:rsidRPr="001D7049">
        <w:rPr>
          <w:sz w:val="22"/>
          <w:szCs w:val="22"/>
          <w:lang w:val="sr-Latn-ME"/>
        </w:rPr>
        <w:t xml:space="preserve"> lijeka kod </w:t>
      </w:r>
      <w:proofErr w:type="spellStart"/>
      <w:r w:rsidRPr="001D7049">
        <w:rPr>
          <w:sz w:val="22"/>
          <w:szCs w:val="22"/>
          <w:lang w:val="sr-Latn-ME"/>
        </w:rPr>
        <w:t>ljudi</w:t>
      </w:r>
      <w:proofErr w:type="spellEnd"/>
      <w:r w:rsidRPr="001D7049">
        <w:rPr>
          <w:sz w:val="22"/>
          <w:szCs w:val="22"/>
          <w:lang w:val="sr-Latn-ME"/>
        </w:rPr>
        <w:t xml:space="preserve">. Međutim, kod pacova koji su dobili visoke doze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 xml:space="preserve"> zabilježen je smanjen broj </w:t>
      </w:r>
      <w:proofErr w:type="spellStart"/>
      <w:r w:rsidRPr="001D7049">
        <w:rPr>
          <w:sz w:val="22"/>
          <w:szCs w:val="22"/>
          <w:lang w:val="sr-Latn-ME"/>
        </w:rPr>
        <w:t>neutrofila</w:t>
      </w:r>
      <w:proofErr w:type="spellEnd"/>
      <w:r w:rsidRPr="001D7049">
        <w:rPr>
          <w:sz w:val="22"/>
          <w:szCs w:val="22"/>
          <w:lang w:val="sr-Latn-ME"/>
        </w:rPr>
        <w:t xml:space="preserve">, ali to se nije smatralo značajnim podatkom u vezi </w:t>
      </w:r>
      <w:r w:rsidR="00D95164" w:rsidRPr="001D7049">
        <w:rPr>
          <w:sz w:val="22"/>
          <w:szCs w:val="22"/>
          <w:lang w:val="sr-Latn-ME"/>
        </w:rPr>
        <w:t>bezbjedno</w:t>
      </w:r>
      <w:r w:rsidRPr="001D7049">
        <w:rPr>
          <w:sz w:val="22"/>
          <w:szCs w:val="22"/>
          <w:lang w:val="sr-Latn-ME"/>
        </w:rPr>
        <w:t xml:space="preserve">sti lijeka. </w:t>
      </w:r>
      <w:r w:rsidR="00D95164" w:rsidRPr="001D7049">
        <w:rPr>
          <w:sz w:val="22"/>
          <w:szCs w:val="22"/>
          <w:lang w:val="sr-Latn-ME"/>
        </w:rPr>
        <w:t>Nijesu</w:t>
      </w:r>
      <w:r w:rsidRPr="001D7049">
        <w:rPr>
          <w:sz w:val="22"/>
          <w:szCs w:val="22"/>
          <w:lang w:val="sr-Latn-ME"/>
        </w:rPr>
        <w:t xml:space="preserve"> sprovedena dugoročna ispitivanja na životinjama u cilju </w:t>
      </w:r>
      <w:proofErr w:type="spellStart"/>
      <w:r w:rsidRPr="001D7049">
        <w:rPr>
          <w:sz w:val="22"/>
          <w:szCs w:val="22"/>
          <w:lang w:val="sr-Latn-ME"/>
        </w:rPr>
        <w:t>procenjivanja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karcinogenog</w:t>
      </w:r>
      <w:proofErr w:type="spellEnd"/>
      <w:r w:rsidRPr="001D7049">
        <w:rPr>
          <w:sz w:val="22"/>
          <w:szCs w:val="22"/>
          <w:lang w:val="sr-Latn-ME"/>
        </w:rPr>
        <w:t xml:space="preserve"> potencijala </w:t>
      </w:r>
      <w:proofErr w:type="spellStart"/>
      <w:r w:rsidRPr="001D7049">
        <w:rPr>
          <w:sz w:val="22"/>
          <w:szCs w:val="22"/>
          <w:lang w:val="sr-Latn-ME"/>
        </w:rPr>
        <w:t>ertapenema</w:t>
      </w:r>
      <w:proofErr w:type="spellEnd"/>
      <w:r w:rsidRPr="001D7049">
        <w:rPr>
          <w:sz w:val="22"/>
          <w:szCs w:val="22"/>
          <w:lang w:val="sr-Latn-ME"/>
        </w:rPr>
        <w:t>.</w:t>
      </w:r>
    </w:p>
    <w:p w14:paraId="595B7546" w14:textId="4C463B70" w:rsidR="00D72687" w:rsidRPr="001D7049" w:rsidRDefault="00D72687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D63119A" w14:textId="77777777" w:rsidR="002F5A9A" w:rsidRPr="001D7049" w:rsidRDefault="002F5A9A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C1DE1BC" w14:textId="77777777" w:rsidR="0072020E" w:rsidRPr="001D704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6.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r w:rsidRPr="001D7049">
        <w:rPr>
          <w:b/>
          <w:bCs/>
          <w:sz w:val="22"/>
          <w:szCs w:val="22"/>
          <w:lang w:val="sr-Latn-ME"/>
        </w:rPr>
        <w:t>FARMACEUTSKI PODACI</w:t>
      </w:r>
    </w:p>
    <w:p w14:paraId="6169AEFA" w14:textId="77777777" w:rsidR="00836B35" w:rsidRPr="001D7049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E6AAA2D" w14:textId="77777777" w:rsidR="0072020E" w:rsidRPr="001D704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6.1.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r w:rsidRPr="001D7049">
        <w:rPr>
          <w:b/>
          <w:bCs/>
          <w:sz w:val="22"/>
          <w:szCs w:val="22"/>
          <w:lang w:val="sr-Latn-ME"/>
        </w:rPr>
        <w:t>Lista pomoćnih supstanci</w:t>
      </w:r>
      <w:r w:rsidR="002E0135" w:rsidRPr="001D7049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1D7049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1D7049">
        <w:rPr>
          <w:b/>
          <w:bCs/>
          <w:sz w:val="22"/>
          <w:szCs w:val="22"/>
          <w:lang w:val="sr-Latn-ME"/>
        </w:rPr>
        <w:t>)</w:t>
      </w:r>
    </w:p>
    <w:p w14:paraId="4D0F55C4" w14:textId="24AED6B2" w:rsidR="0072020E" w:rsidRPr="001D704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6188D51" w14:textId="4364378A" w:rsidR="00D72687" w:rsidRPr="001D7049" w:rsidRDefault="00D72687" w:rsidP="00D7268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Natrijum hidrogen</w:t>
      </w:r>
      <w:r w:rsidR="00046790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>karbonat (E500)</w:t>
      </w:r>
    </w:p>
    <w:p w14:paraId="36F22482" w14:textId="76B3764E" w:rsidR="00D72687" w:rsidRPr="001D7049" w:rsidRDefault="00D72687" w:rsidP="00D7268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Natrijum hidroksid (</w:t>
      </w:r>
      <w:proofErr w:type="spellStart"/>
      <w:r w:rsidRPr="001D7049">
        <w:rPr>
          <w:bCs/>
          <w:sz w:val="22"/>
          <w:szCs w:val="22"/>
          <w:lang w:val="sr-Latn-ME"/>
        </w:rPr>
        <w:t>E524</w:t>
      </w:r>
      <w:proofErr w:type="spellEnd"/>
      <w:r w:rsidRPr="001D7049">
        <w:rPr>
          <w:bCs/>
          <w:sz w:val="22"/>
          <w:szCs w:val="22"/>
          <w:lang w:val="sr-Latn-ME"/>
        </w:rPr>
        <w:t xml:space="preserve">) za podešavanje </w:t>
      </w:r>
      <w:proofErr w:type="spellStart"/>
      <w:r w:rsidRPr="001D7049">
        <w:rPr>
          <w:bCs/>
          <w:sz w:val="22"/>
          <w:szCs w:val="22"/>
          <w:lang w:val="sr-Latn-ME"/>
        </w:rPr>
        <w:t>pH</w:t>
      </w:r>
      <w:proofErr w:type="spellEnd"/>
      <w:r w:rsidRPr="001D7049">
        <w:rPr>
          <w:bCs/>
          <w:sz w:val="22"/>
          <w:szCs w:val="22"/>
          <w:lang w:val="sr-Latn-ME"/>
        </w:rPr>
        <w:t xml:space="preserve"> na 7,5</w:t>
      </w:r>
    </w:p>
    <w:p w14:paraId="026F5F07" w14:textId="77777777" w:rsidR="00D72687" w:rsidRPr="001D7049" w:rsidRDefault="00D72687" w:rsidP="00D7268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59D542E" w14:textId="77777777" w:rsidR="00D72687" w:rsidRPr="001D7049" w:rsidRDefault="00D72687" w:rsidP="00D7268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6.2. </w:t>
      </w:r>
      <w:r w:rsidRPr="001D7049">
        <w:rPr>
          <w:b/>
          <w:bCs/>
          <w:sz w:val="22"/>
          <w:szCs w:val="22"/>
          <w:lang w:val="sr-Latn-ME"/>
        </w:rPr>
        <w:tab/>
        <w:t>Inkompatibilnosti</w:t>
      </w:r>
    </w:p>
    <w:p w14:paraId="0347D3E6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B32ADF" w14:textId="5DCE91FC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Za </w:t>
      </w:r>
      <w:proofErr w:type="spellStart"/>
      <w:r w:rsidRPr="001D7049">
        <w:rPr>
          <w:bCs/>
          <w:sz w:val="22"/>
          <w:szCs w:val="22"/>
          <w:lang w:val="sr-Latn-ME"/>
        </w:rPr>
        <w:t>rekonstituciju</w:t>
      </w:r>
      <w:proofErr w:type="spellEnd"/>
      <w:r w:rsidRPr="001D7049">
        <w:rPr>
          <w:bCs/>
          <w:sz w:val="22"/>
          <w:szCs w:val="22"/>
          <w:lang w:val="sr-Latn-ME"/>
        </w:rPr>
        <w:t xml:space="preserve"> ili primjenu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 ne smiju se koristiti </w:t>
      </w:r>
      <w:r w:rsidR="002F5A9A" w:rsidRPr="001D7049">
        <w:rPr>
          <w:bCs/>
          <w:sz w:val="22"/>
          <w:szCs w:val="22"/>
          <w:lang w:val="sr-Latn-ME"/>
        </w:rPr>
        <w:t xml:space="preserve">rastvarači </w:t>
      </w:r>
      <w:r w:rsidRPr="001D7049">
        <w:rPr>
          <w:bCs/>
          <w:sz w:val="22"/>
          <w:szCs w:val="22"/>
          <w:lang w:val="sr-Latn-ME"/>
        </w:rPr>
        <w:t xml:space="preserve">ili rastvori za infuziju koji sadrže </w:t>
      </w:r>
      <w:proofErr w:type="spellStart"/>
      <w:r w:rsidRPr="001D7049">
        <w:rPr>
          <w:bCs/>
          <w:sz w:val="22"/>
          <w:szCs w:val="22"/>
          <w:lang w:val="sr-Latn-ME"/>
        </w:rPr>
        <w:t>dekstrozu</w:t>
      </w:r>
      <w:proofErr w:type="spellEnd"/>
      <w:r w:rsidRPr="001D7049">
        <w:rPr>
          <w:bCs/>
          <w:sz w:val="22"/>
          <w:szCs w:val="22"/>
          <w:lang w:val="sr-Latn-ME"/>
        </w:rPr>
        <w:t>.</w:t>
      </w:r>
    </w:p>
    <w:p w14:paraId="1780ACC2" w14:textId="58C34FEE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Pošto studije kompatibilnosti </w:t>
      </w:r>
      <w:r w:rsidR="00D95164" w:rsidRPr="001D7049">
        <w:rPr>
          <w:bCs/>
          <w:sz w:val="22"/>
          <w:szCs w:val="22"/>
          <w:lang w:val="sr-Latn-ME"/>
        </w:rPr>
        <w:t>nijesu</w:t>
      </w:r>
      <w:r w:rsidRPr="001D7049">
        <w:rPr>
          <w:bCs/>
          <w:sz w:val="22"/>
          <w:szCs w:val="22"/>
          <w:lang w:val="sr-Latn-ME"/>
        </w:rPr>
        <w:t xml:space="preserve"> sprovedene, ovaj lijek ne smije da se miješa sa drugim medicinskim </w:t>
      </w:r>
    </w:p>
    <w:p w14:paraId="3E704D7E" w14:textId="57DE4011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proizvodima, osim sa onim</w:t>
      </w:r>
      <w:r w:rsidR="007D77BC" w:rsidRPr="001D7049">
        <w:rPr>
          <w:bCs/>
          <w:sz w:val="22"/>
          <w:szCs w:val="22"/>
          <w:lang w:val="sr-Latn-ME"/>
        </w:rPr>
        <w:t>a</w:t>
      </w:r>
      <w:r w:rsidRPr="001D7049">
        <w:rPr>
          <w:bCs/>
          <w:sz w:val="22"/>
          <w:szCs w:val="22"/>
          <w:lang w:val="sr-Latn-ME"/>
        </w:rPr>
        <w:t xml:space="preserve"> koji su navedeni u </w:t>
      </w:r>
      <w:r w:rsidR="00046790" w:rsidRPr="001D7049">
        <w:rPr>
          <w:bCs/>
          <w:sz w:val="22"/>
          <w:szCs w:val="22"/>
          <w:lang w:val="sr-Latn-ME"/>
        </w:rPr>
        <w:t xml:space="preserve">dijelu </w:t>
      </w:r>
      <w:r w:rsidRPr="001D7049">
        <w:rPr>
          <w:bCs/>
          <w:sz w:val="22"/>
          <w:szCs w:val="22"/>
          <w:lang w:val="sr-Latn-ME"/>
        </w:rPr>
        <w:t>6.6.</w:t>
      </w:r>
    </w:p>
    <w:p w14:paraId="7559AB65" w14:textId="77777777" w:rsidR="00D72687" w:rsidRPr="001D7049" w:rsidRDefault="00D72687" w:rsidP="00D7268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C112C9E" w14:textId="77777777" w:rsidR="00D72687" w:rsidRPr="001D7049" w:rsidRDefault="00D72687" w:rsidP="00D7268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6.3. </w:t>
      </w:r>
      <w:r w:rsidRPr="001D7049">
        <w:rPr>
          <w:b/>
          <w:bCs/>
          <w:sz w:val="22"/>
          <w:szCs w:val="22"/>
          <w:lang w:val="sr-Latn-ME"/>
        </w:rPr>
        <w:tab/>
        <w:t>Rok upotrebe</w:t>
      </w:r>
    </w:p>
    <w:p w14:paraId="62079658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E964AC" w14:textId="583F0A01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2 godine.</w:t>
      </w:r>
    </w:p>
    <w:p w14:paraId="056FA9A0" w14:textId="77777777" w:rsidR="007D77BC" w:rsidRPr="001D7049" w:rsidRDefault="007D77BC" w:rsidP="00D726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C7C198" w14:textId="75AD9228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Rok upotrebe nakon </w:t>
      </w:r>
      <w:proofErr w:type="spellStart"/>
      <w:r w:rsidRPr="001D7049">
        <w:rPr>
          <w:bCs/>
          <w:sz w:val="22"/>
          <w:szCs w:val="22"/>
          <w:lang w:val="sr-Latn-ME"/>
        </w:rPr>
        <w:t>rekonstitucije</w:t>
      </w:r>
      <w:proofErr w:type="spellEnd"/>
      <w:r w:rsidRPr="001D7049">
        <w:rPr>
          <w:bCs/>
          <w:sz w:val="22"/>
          <w:szCs w:val="22"/>
          <w:lang w:val="sr-Latn-ME"/>
        </w:rPr>
        <w:t xml:space="preserve">: </w:t>
      </w:r>
      <w:proofErr w:type="spellStart"/>
      <w:r w:rsidRPr="001D7049">
        <w:rPr>
          <w:bCs/>
          <w:sz w:val="22"/>
          <w:szCs w:val="22"/>
          <w:lang w:val="sr-Latn-ME"/>
        </w:rPr>
        <w:t>Rekonstituisan</w:t>
      </w:r>
      <w:r w:rsidR="007D77BC" w:rsidRPr="001D7049">
        <w:rPr>
          <w:bCs/>
          <w:sz w:val="22"/>
          <w:szCs w:val="22"/>
          <w:lang w:val="sr-Latn-ME"/>
        </w:rPr>
        <w:t>i</w:t>
      </w:r>
      <w:proofErr w:type="spellEnd"/>
      <w:r w:rsidRPr="001D7049">
        <w:rPr>
          <w:bCs/>
          <w:sz w:val="22"/>
          <w:szCs w:val="22"/>
          <w:lang w:val="sr-Latn-ME"/>
        </w:rPr>
        <w:t xml:space="preserve"> rastvor se mora odmah upotr</w:t>
      </w:r>
      <w:r w:rsidR="007D77BC" w:rsidRPr="001D7049">
        <w:rPr>
          <w:bCs/>
          <w:sz w:val="22"/>
          <w:szCs w:val="22"/>
          <w:lang w:val="sr-Latn-ME"/>
        </w:rPr>
        <w:t>ij</w:t>
      </w:r>
      <w:r w:rsidRPr="001D7049">
        <w:rPr>
          <w:bCs/>
          <w:sz w:val="22"/>
          <w:szCs w:val="22"/>
          <w:lang w:val="sr-Latn-ME"/>
        </w:rPr>
        <w:t>ebiti.</w:t>
      </w:r>
    </w:p>
    <w:p w14:paraId="7DEFA709" w14:textId="77777777" w:rsidR="007D77BC" w:rsidRPr="001D7049" w:rsidRDefault="007D77BC" w:rsidP="00D726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5ADD60" w14:textId="044CA784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 xml:space="preserve">Rok upotrebe nakon razblaživanja: Hemijska i fizička stabilnost razblaženih rastvora (približno 20 mg/ml </w:t>
      </w:r>
      <w:proofErr w:type="spellStart"/>
      <w:r w:rsidRPr="001D7049">
        <w:rPr>
          <w:bCs/>
          <w:sz w:val="22"/>
          <w:szCs w:val="22"/>
          <w:lang w:val="sr-Latn-ME"/>
        </w:rPr>
        <w:t>ertapenema</w:t>
      </w:r>
      <w:proofErr w:type="spellEnd"/>
      <w:r w:rsidRPr="001D7049">
        <w:rPr>
          <w:bCs/>
          <w:sz w:val="22"/>
          <w:szCs w:val="22"/>
          <w:lang w:val="sr-Latn-ME"/>
        </w:rPr>
        <w:t xml:space="preserve">) je pokazana za vrijeme od 6 sati na sobnoj temperaturi od 25°C ili 24 sata na temperaturi od 2°C do 8°C (u frižideru). Rastvori moraju da se upotrijebe u periodu od 4 sata nakon vađenja iz frižidera. Ne zamrzavati rastvor lijeka </w:t>
      </w:r>
      <w:proofErr w:type="spellStart"/>
      <w:r w:rsidRPr="001D7049">
        <w:rPr>
          <w:bCs/>
          <w:sz w:val="22"/>
          <w:szCs w:val="22"/>
          <w:lang w:val="sr-Latn-ME"/>
        </w:rPr>
        <w:t>Ertapenem</w:t>
      </w:r>
      <w:proofErr w:type="spellEnd"/>
      <w:r w:rsidRPr="001D7049">
        <w:rPr>
          <w:bCs/>
          <w:sz w:val="22"/>
          <w:szCs w:val="22"/>
          <w:lang w:val="sr-Latn-ME"/>
        </w:rPr>
        <w:t xml:space="preserve"> </w:t>
      </w:r>
      <w:proofErr w:type="spellStart"/>
      <w:r w:rsidRPr="001D7049">
        <w:rPr>
          <w:bCs/>
          <w:sz w:val="22"/>
          <w:szCs w:val="22"/>
          <w:lang w:val="sr-Latn-ME"/>
        </w:rPr>
        <w:t>AptaPharma</w:t>
      </w:r>
      <w:proofErr w:type="spellEnd"/>
      <w:r w:rsidRPr="001D7049">
        <w:rPr>
          <w:bCs/>
          <w:sz w:val="22"/>
          <w:szCs w:val="22"/>
          <w:lang w:val="sr-Latn-ME"/>
        </w:rPr>
        <w:t>.</w:t>
      </w:r>
    </w:p>
    <w:p w14:paraId="7719234A" w14:textId="77777777" w:rsidR="007D77BC" w:rsidRPr="001D7049" w:rsidRDefault="007D77BC" w:rsidP="00D726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EBA110" w14:textId="0275AA76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Sa mikrobiološke tačke gledišta, pripremljeni rastvor se mora odmah upotrijebiti.</w:t>
      </w:r>
    </w:p>
    <w:p w14:paraId="598EBFF2" w14:textId="5B101FD4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Ukoliko se ne upotrijebi odmah, vrijeme i uslovi čuvanja prije primjene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>su odgovornost korisnika i ne smiju biti</w:t>
      </w:r>
      <w:r w:rsidR="00D95164" w:rsidRPr="001D7049">
        <w:rPr>
          <w:bCs/>
          <w:sz w:val="22"/>
          <w:szCs w:val="22"/>
          <w:lang w:val="sr-Latn-ME"/>
        </w:rPr>
        <w:t xml:space="preserve"> </w:t>
      </w:r>
      <w:r w:rsidRPr="001D7049">
        <w:rPr>
          <w:bCs/>
          <w:sz w:val="22"/>
          <w:szCs w:val="22"/>
          <w:lang w:val="sr-Latn-ME"/>
        </w:rPr>
        <w:t>duži od 24 sata na temperaturi od 2°C do 8°C.</w:t>
      </w:r>
    </w:p>
    <w:p w14:paraId="54669EA6" w14:textId="77777777" w:rsidR="00D72687" w:rsidRPr="001D7049" w:rsidRDefault="00D72687" w:rsidP="00D7268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FE12A2E" w14:textId="77777777" w:rsidR="00D72687" w:rsidRPr="001D7049" w:rsidRDefault="00D72687" w:rsidP="00D7268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6.4. </w:t>
      </w:r>
      <w:r w:rsidRPr="001D7049">
        <w:rPr>
          <w:b/>
          <w:bCs/>
          <w:sz w:val="22"/>
          <w:szCs w:val="22"/>
          <w:lang w:val="sr-Latn-ME"/>
        </w:rPr>
        <w:tab/>
        <w:t>Posebne mjere upozorenja pri čuvanju lijeka</w:t>
      </w:r>
    </w:p>
    <w:p w14:paraId="16BB8478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903AAC2" w14:textId="20C44758" w:rsidR="007D77BC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>Čuvati na temperaturi do 25 °C</w:t>
      </w:r>
      <w:r w:rsidR="007D77BC" w:rsidRPr="001D7049">
        <w:rPr>
          <w:sz w:val="22"/>
          <w:szCs w:val="22"/>
          <w:lang w:val="sr-Latn-ME"/>
        </w:rPr>
        <w:t xml:space="preserve">. </w:t>
      </w:r>
      <w:r w:rsidRPr="001D7049">
        <w:rPr>
          <w:sz w:val="22"/>
          <w:szCs w:val="22"/>
          <w:lang w:val="sr-Latn-ME"/>
        </w:rPr>
        <w:t xml:space="preserve">Čuvati u originalnom pakovanju, radi zaštite od vlage. </w:t>
      </w:r>
    </w:p>
    <w:p w14:paraId="2A6A893C" w14:textId="77777777" w:rsidR="007D77BC" w:rsidRPr="001D7049" w:rsidRDefault="007D77BC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C1C2BC8" w14:textId="0B4D2AAB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Za uslove čuvanja nakon </w:t>
      </w:r>
      <w:proofErr w:type="spellStart"/>
      <w:r w:rsidRPr="001D7049">
        <w:rPr>
          <w:sz w:val="22"/>
          <w:szCs w:val="22"/>
          <w:lang w:val="sr-Latn-ME"/>
        </w:rPr>
        <w:t>rekonstitucije</w:t>
      </w:r>
      <w:proofErr w:type="spellEnd"/>
      <w:r w:rsidRPr="001D7049">
        <w:rPr>
          <w:sz w:val="22"/>
          <w:szCs w:val="22"/>
          <w:lang w:val="sr-Latn-ME"/>
        </w:rPr>
        <w:t>/razblaživanja lijeka, vidjeti dio 6.3</w:t>
      </w:r>
    </w:p>
    <w:p w14:paraId="2B20BF92" w14:textId="46C1344A" w:rsidR="00D72687" w:rsidRPr="001D7049" w:rsidRDefault="00D72687" w:rsidP="00D7268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lastRenderedPageBreak/>
        <w:t xml:space="preserve">6.5. </w:t>
      </w:r>
      <w:r w:rsidRPr="001D7049">
        <w:rPr>
          <w:b/>
          <w:bCs/>
          <w:sz w:val="22"/>
          <w:szCs w:val="22"/>
          <w:lang w:val="sr-Latn-ME"/>
        </w:rPr>
        <w:tab/>
        <w:t xml:space="preserve">Vrsta i sadržaj pakovanja </w:t>
      </w:r>
    </w:p>
    <w:p w14:paraId="7CFFE2F4" w14:textId="77777777" w:rsidR="007D77BC" w:rsidRPr="001D7049" w:rsidRDefault="007D77BC" w:rsidP="00D7268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2620B39" w14:textId="24F1D0D7" w:rsidR="00D72687" w:rsidRPr="001D7049" w:rsidRDefault="00D72687" w:rsidP="00D72687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Unutrašnje pakovanje lijeka je bezbojna, providna staklena bočica od stakla tip I, zapremine 20 ml, sa čepom od </w:t>
      </w:r>
      <w:proofErr w:type="spellStart"/>
      <w:r w:rsidRPr="001D7049">
        <w:rPr>
          <w:sz w:val="22"/>
          <w:szCs w:val="22"/>
          <w:lang w:val="sr-Latn-ME"/>
        </w:rPr>
        <w:t>hlorbutil</w:t>
      </w:r>
      <w:proofErr w:type="spellEnd"/>
      <w:r w:rsidRPr="001D7049">
        <w:rPr>
          <w:sz w:val="22"/>
          <w:szCs w:val="22"/>
          <w:lang w:val="sr-Latn-ME"/>
        </w:rPr>
        <w:t xml:space="preserve"> gume i aluminijumskim, lakiranim </w:t>
      </w:r>
      <w:proofErr w:type="spellStart"/>
      <w:r w:rsidRPr="001D7049">
        <w:rPr>
          <w:sz w:val="22"/>
          <w:szCs w:val="22"/>
          <w:lang w:val="sr-Latn-ME"/>
        </w:rPr>
        <w:t>flip-off</w:t>
      </w:r>
      <w:proofErr w:type="spellEnd"/>
      <w:r w:rsidRPr="001D7049">
        <w:rPr>
          <w:sz w:val="22"/>
          <w:szCs w:val="22"/>
          <w:lang w:val="sr-Latn-ME"/>
        </w:rPr>
        <w:t xml:space="preserve"> zatvaračem.</w:t>
      </w:r>
    </w:p>
    <w:p w14:paraId="2655529D" w14:textId="77777777" w:rsidR="00D72687" w:rsidRPr="001D7049" w:rsidRDefault="00D72687" w:rsidP="00D7268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Spoljašnje pakovanje je </w:t>
      </w:r>
      <w:proofErr w:type="spellStart"/>
      <w:r w:rsidRPr="001D7049">
        <w:rPr>
          <w:sz w:val="22"/>
          <w:szCs w:val="22"/>
          <w:lang w:val="sr-Latn-ME"/>
        </w:rPr>
        <w:t>složiva</w:t>
      </w:r>
      <w:proofErr w:type="spellEnd"/>
      <w:r w:rsidRPr="001D7049">
        <w:rPr>
          <w:sz w:val="22"/>
          <w:szCs w:val="22"/>
          <w:lang w:val="sr-Latn-ME"/>
        </w:rPr>
        <w:t xml:space="preserve"> kartonska kutija u kojoj se nalazi 10 bočica i Uputstvo za lijek.</w:t>
      </w:r>
    </w:p>
    <w:p w14:paraId="324F20C3" w14:textId="77777777" w:rsidR="00D72687" w:rsidRPr="001D7049" w:rsidRDefault="00D72687" w:rsidP="00D7268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0A89682" w14:textId="77777777" w:rsidR="00D72687" w:rsidRPr="001D7049" w:rsidRDefault="00D72687" w:rsidP="00D7268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6.6. </w:t>
      </w:r>
      <w:r w:rsidRPr="001D7049">
        <w:rPr>
          <w:b/>
          <w:bCs/>
          <w:sz w:val="22"/>
          <w:szCs w:val="22"/>
          <w:lang w:val="sr-Latn-ME"/>
        </w:rPr>
        <w:tab/>
      </w:r>
      <w:r w:rsidRPr="001D7049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1D7049">
        <w:rPr>
          <w:b/>
          <w:bCs/>
          <w:sz w:val="22"/>
          <w:szCs w:val="22"/>
          <w:lang w:val="sr-Latn-ME"/>
        </w:rPr>
        <w:t xml:space="preserve"> (i druga uputstva za rukovanje lijekom) </w:t>
      </w:r>
    </w:p>
    <w:p w14:paraId="7EA2BF81" w14:textId="77777777" w:rsidR="00D72687" w:rsidRPr="001D7049" w:rsidRDefault="00D72687" w:rsidP="00D7268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499C69A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Uputstvo za primjenu: </w:t>
      </w:r>
    </w:p>
    <w:p w14:paraId="5A64DCD5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Samo za jednokratnu upotrebu. </w:t>
      </w:r>
    </w:p>
    <w:p w14:paraId="4A263A17" w14:textId="77777777" w:rsidR="001003C1" w:rsidRPr="001D7049" w:rsidRDefault="001003C1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A78BDE1" w14:textId="3F8E1E1E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1D7049">
        <w:rPr>
          <w:sz w:val="22"/>
          <w:szCs w:val="22"/>
          <w:lang w:val="sr-Latn-ME"/>
        </w:rPr>
        <w:t>Rekonstituisani</w:t>
      </w:r>
      <w:proofErr w:type="spellEnd"/>
      <w:r w:rsidRPr="001D7049">
        <w:rPr>
          <w:sz w:val="22"/>
          <w:szCs w:val="22"/>
          <w:lang w:val="sr-Latn-ME"/>
        </w:rPr>
        <w:t xml:space="preserve"> rastvor treba da se razblaži sa rastvorom natrijum hlorida od 9 mg/ml (0,9%) odmah nakon pripreme. </w:t>
      </w:r>
    </w:p>
    <w:p w14:paraId="35194D29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6B1F15E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i/>
          <w:sz w:val="22"/>
          <w:szCs w:val="22"/>
          <w:u w:val="single"/>
          <w:lang w:val="sr-Latn-ME"/>
        </w:rPr>
        <w:t xml:space="preserve">Priprema za </w:t>
      </w:r>
      <w:proofErr w:type="spellStart"/>
      <w:r w:rsidRPr="001D7049">
        <w:rPr>
          <w:i/>
          <w:sz w:val="22"/>
          <w:szCs w:val="22"/>
          <w:u w:val="single"/>
          <w:lang w:val="sr-Latn-ME"/>
        </w:rPr>
        <w:t>intravensku</w:t>
      </w:r>
      <w:proofErr w:type="spellEnd"/>
      <w:r w:rsidRPr="001D7049">
        <w:rPr>
          <w:i/>
          <w:sz w:val="22"/>
          <w:szCs w:val="22"/>
          <w:u w:val="single"/>
          <w:lang w:val="sr-Latn-ME"/>
        </w:rPr>
        <w:t xml:space="preserve"> primjenu</w:t>
      </w:r>
      <w:r w:rsidRPr="001D7049">
        <w:rPr>
          <w:sz w:val="22"/>
          <w:szCs w:val="22"/>
          <w:lang w:val="sr-Latn-ME"/>
        </w:rPr>
        <w:t xml:space="preserve">: </w:t>
      </w:r>
    </w:p>
    <w:p w14:paraId="138563F7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F58B2C6" w14:textId="45291B99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1D7049">
        <w:rPr>
          <w:b/>
          <w:sz w:val="22"/>
          <w:szCs w:val="22"/>
          <w:lang w:val="sr-Latn-ME"/>
        </w:rPr>
        <w:t xml:space="preserve">Prije upotrebe lijek </w:t>
      </w:r>
      <w:proofErr w:type="spellStart"/>
      <w:r w:rsidRPr="001D7049">
        <w:rPr>
          <w:b/>
          <w:sz w:val="22"/>
          <w:szCs w:val="22"/>
          <w:lang w:val="sr-Latn-ME"/>
        </w:rPr>
        <w:t>Ertapenem</w:t>
      </w:r>
      <w:proofErr w:type="spellEnd"/>
      <w:r w:rsidRPr="001D7049">
        <w:rPr>
          <w:b/>
          <w:sz w:val="22"/>
          <w:szCs w:val="22"/>
          <w:lang w:val="sr-Latn-ME"/>
        </w:rPr>
        <w:t xml:space="preserve"> </w:t>
      </w:r>
      <w:proofErr w:type="spellStart"/>
      <w:r w:rsidRPr="001D7049">
        <w:rPr>
          <w:b/>
          <w:sz w:val="22"/>
          <w:szCs w:val="22"/>
          <w:lang w:val="sr-Latn-ME"/>
        </w:rPr>
        <w:t>AptaPharma</w:t>
      </w:r>
      <w:proofErr w:type="spellEnd"/>
      <w:r w:rsidRPr="001D7049">
        <w:rPr>
          <w:b/>
          <w:sz w:val="22"/>
          <w:szCs w:val="22"/>
          <w:lang w:val="sr-Latn-ME"/>
        </w:rPr>
        <w:t xml:space="preserve"> prvo</w:t>
      </w:r>
      <w:r w:rsidR="001003C1" w:rsidRPr="001D7049">
        <w:rPr>
          <w:b/>
          <w:sz w:val="22"/>
          <w:szCs w:val="22"/>
          <w:lang w:val="sr-Latn-ME"/>
        </w:rPr>
        <w:t xml:space="preserve"> treba</w:t>
      </w:r>
      <w:r w:rsidRPr="001D7049">
        <w:rPr>
          <w:b/>
          <w:sz w:val="22"/>
          <w:szCs w:val="22"/>
          <w:lang w:val="sr-Latn-ME"/>
        </w:rPr>
        <w:t xml:space="preserve"> </w:t>
      </w:r>
      <w:proofErr w:type="spellStart"/>
      <w:r w:rsidRPr="001D7049">
        <w:rPr>
          <w:b/>
          <w:sz w:val="22"/>
          <w:szCs w:val="22"/>
          <w:lang w:val="sr-Latn-ME"/>
        </w:rPr>
        <w:t>rekonstituisati</w:t>
      </w:r>
      <w:proofErr w:type="spellEnd"/>
      <w:r w:rsidRPr="001D7049">
        <w:rPr>
          <w:b/>
          <w:sz w:val="22"/>
          <w:szCs w:val="22"/>
          <w:lang w:val="sr-Latn-ME"/>
        </w:rPr>
        <w:t xml:space="preserve">, pa razblažiti. </w:t>
      </w:r>
    </w:p>
    <w:p w14:paraId="08CF510A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464B0E5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D7049">
        <w:rPr>
          <w:sz w:val="22"/>
          <w:szCs w:val="22"/>
          <w:u w:val="single"/>
          <w:lang w:val="sr-Latn-ME"/>
        </w:rPr>
        <w:t xml:space="preserve">Odrasli i adolescenti (uzrasta od 13 do 17 godina): </w:t>
      </w:r>
    </w:p>
    <w:p w14:paraId="75E306DF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proofErr w:type="spellStart"/>
      <w:r w:rsidRPr="001D7049">
        <w:rPr>
          <w:sz w:val="22"/>
          <w:szCs w:val="22"/>
          <w:u w:val="single"/>
          <w:lang w:val="sr-Latn-ME"/>
        </w:rPr>
        <w:t>Rekon</w:t>
      </w:r>
      <w:bookmarkStart w:id="1" w:name="_GoBack"/>
      <w:bookmarkEnd w:id="1"/>
      <w:r w:rsidRPr="001D7049">
        <w:rPr>
          <w:sz w:val="22"/>
          <w:szCs w:val="22"/>
          <w:u w:val="single"/>
          <w:lang w:val="sr-Latn-ME"/>
        </w:rPr>
        <w:t>stitucija</w:t>
      </w:r>
      <w:proofErr w:type="spellEnd"/>
      <w:r w:rsidRPr="001D7049">
        <w:rPr>
          <w:sz w:val="22"/>
          <w:szCs w:val="22"/>
          <w:u w:val="single"/>
          <w:lang w:val="sr-Latn-ME"/>
        </w:rPr>
        <w:t xml:space="preserve"> </w:t>
      </w:r>
    </w:p>
    <w:p w14:paraId="218B965E" w14:textId="600C2299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1D7049">
        <w:rPr>
          <w:sz w:val="22"/>
          <w:szCs w:val="22"/>
          <w:lang w:val="sr-Latn-ME"/>
        </w:rPr>
        <w:t>Rekonstituisati</w:t>
      </w:r>
      <w:proofErr w:type="spellEnd"/>
      <w:r w:rsidRPr="001D7049">
        <w:rPr>
          <w:sz w:val="22"/>
          <w:szCs w:val="22"/>
          <w:lang w:val="sr-Latn-ME"/>
        </w:rPr>
        <w:t xml:space="preserve"> sadržaj bočice lijeka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AptaPharma</w:t>
      </w:r>
      <w:proofErr w:type="spellEnd"/>
      <w:r w:rsidRPr="001D7049">
        <w:rPr>
          <w:sz w:val="22"/>
          <w:szCs w:val="22"/>
          <w:lang w:val="sr-Latn-ME"/>
        </w:rPr>
        <w:t xml:space="preserve"> od 1 g </w:t>
      </w:r>
      <w:r w:rsidR="001003C1" w:rsidRPr="001D7049">
        <w:rPr>
          <w:sz w:val="22"/>
          <w:szCs w:val="22"/>
          <w:lang w:val="sr-Latn-ME"/>
        </w:rPr>
        <w:t xml:space="preserve">sa </w:t>
      </w:r>
      <w:r w:rsidRPr="001D7049">
        <w:rPr>
          <w:sz w:val="22"/>
          <w:szCs w:val="22"/>
          <w:lang w:val="sr-Latn-ME"/>
        </w:rPr>
        <w:t xml:space="preserve">10 ml vode za injekcije ili </w:t>
      </w:r>
      <w:r w:rsidR="001003C1" w:rsidRPr="001D7049">
        <w:rPr>
          <w:sz w:val="22"/>
          <w:szCs w:val="22"/>
          <w:lang w:val="sr-Latn-ME"/>
        </w:rPr>
        <w:t>sa</w:t>
      </w:r>
      <w:r w:rsidRPr="001D7049">
        <w:rPr>
          <w:sz w:val="22"/>
          <w:szCs w:val="22"/>
          <w:lang w:val="sr-Latn-ME"/>
        </w:rPr>
        <w:t xml:space="preserve"> rastvor</w:t>
      </w:r>
      <w:r w:rsidR="001003C1" w:rsidRPr="001D7049">
        <w:rPr>
          <w:sz w:val="22"/>
          <w:szCs w:val="22"/>
          <w:lang w:val="sr-Latn-ME"/>
        </w:rPr>
        <w:t>om</w:t>
      </w:r>
      <w:r w:rsidRPr="001D7049">
        <w:rPr>
          <w:sz w:val="22"/>
          <w:szCs w:val="22"/>
          <w:lang w:val="sr-Latn-ME"/>
        </w:rPr>
        <w:t xml:space="preserve"> natrijum hlorida od 9 mg/ml (0,9%) da bi se dobio </w:t>
      </w:r>
      <w:proofErr w:type="spellStart"/>
      <w:r w:rsidRPr="001D7049">
        <w:rPr>
          <w:sz w:val="22"/>
          <w:szCs w:val="22"/>
          <w:lang w:val="sr-Latn-ME"/>
        </w:rPr>
        <w:t>rekonstituisani</w:t>
      </w:r>
      <w:proofErr w:type="spellEnd"/>
      <w:r w:rsidRPr="001D7049">
        <w:rPr>
          <w:sz w:val="22"/>
          <w:szCs w:val="22"/>
          <w:lang w:val="sr-Latn-ME"/>
        </w:rPr>
        <w:t xml:space="preserve"> rastvor </w:t>
      </w:r>
      <w:r w:rsidR="001003C1" w:rsidRPr="001D7049">
        <w:rPr>
          <w:sz w:val="22"/>
          <w:szCs w:val="22"/>
          <w:lang w:val="sr-Latn-ME"/>
        </w:rPr>
        <w:t xml:space="preserve">približne </w:t>
      </w:r>
      <w:r w:rsidRPr="001D7049">
        <w:rPr>
          <w:sz w:val="22"/>
          <w:szCs w:val="22"/>
          <w:lang w:val="sr-Latn-ME"/>
        </w:rPr>
        <w:t>koncentracije od 100 mg/ml. Dobro promućkati da bi se prašak potpuno rastvorio (vidjeti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dio 6.4). </w:t>
      </w:r>
    </w:p>
    <w:p w14:paraId="031469A5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1259C15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u w:val="single"/>
          <w:lang w:val="sr-Latn-ME"/>
        </w:rPr>
        <w:t xml:space="preserve">Razblaživanje </w:t>
      </w:r>
    </w:p>
    <w:p w14:paraId="5AE1B3DC" w14:textId="1BF5E88B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Za kesu od 50 ml </w:t>
      </w:r>
      <w:proofErr w:type="spellStart"/>
      <w:r w:rsidRPr="001D7049">
        <w:rPr>
          <w:sz w:val="22"/>
          <w:szCs w:val="22"/>
          <w:lang w:val="sr-Latn-ME"/>
        </w:rPr>
        <w:t>razblaživača</w:t>
      </w:r>
      <w:proofErr w:type="spellEnd"/>
      <w:r w:rsidRPr="001D7049">
        <w:rPr>
          <w:sz w:val="22"/>
          <w:szCs w:val="22"/>
          <w:lang w:val="sr-Latn-ME"/>
        </w:rPr>
        <w:t xml:space="preserve">: Za pripremu doze od 1 g odmah prebaciti sadržaj </w:t>
      </w:r>
      <w:proofErr w:type="spellStart"/>
      <w:r w:rsidRPr="001D7049">
        <w:rPr>
          <w:sz w:val="22"/>
          <w:szCs w:val="22"/>
          <w:lang w:val="sr-Latn-ME"/>
        </w:rPr>
        <w:t>rekonstituisane</w:t>
      </w:r>
      <w:proofErr w:type="spellEnd"/>
      <w:r w:rsidRPr="001D7049">
        <w:rPr>
          <w:sz w:val="22"/>
          <w:szCs w:val="22"/>
          <w:lang w:val="sr-Latn-ME"/>
        </w:rPr>
        <w:t xml:space="preserve"> bočice u kesu od 50 ml sa rastvorom natrijum hlorida</w:t>
      </w:r>
      <w:r w:rsidR="001003C1" w:rsidRPr="001D7049">
        <w:rPr>
          <w:sz w:val="22"/>
          <w:szCs w:val="22"/>
          <w:lang w:val="sr-Latn-ME"/>
        </w:rPr>
        <w:t xml:space="preserve"> od</w:t>
      </w:r>
      <w:r w:rsidRPr="001D7049">
        <w:rPr>
          <w:sz w:val="22"/>
          <w:szCs w:val="22"/>
          <w:lang w:val="sr-Latn-ME"/>
        </w:rPr>
        <w:t xml:space="preserve"> 9 mg/ml (0,9%); ili</w:t>
      </w:r>
    </w:p>
    <w:p w14:paraId="1FBDF4C9" w14:textId="4C983846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Za bočicu od 50 ml </w:t>
      </w:r>
      <w:proofErr w:type="spellStart"/>
      <w:r w:rsidRPr="001D7049">
        <w:rPr>
          <w:sz w:val="22"/>
          <w:szCs w:val="22"/>
          <w:lang w:val="sr-Latn-ME"/>
        </w:rPr>
        <w:t>razblaživača</w:t>
      </w:r>
      <w:proofErr w:type="spellEnd"/>
      <w:r w:rsidRPr="001D7049">
        <w:rPr>
          <w:sz w:val="22"/>
          <w:szCs w:val="22"/>
          <w:lang w:val="sr-Latn-ME"/>
        </w:rPr>
        <w:t xml:space="preserve">: </w:t>
      </w:r>
      <w:r w:rsidR="00AE3D11" w:rsidRPr="001D7049">
        <w:rPr>
          <w:sz w:val="22"/>
          <w:szCs w:val="22"/>
          <w:lang w:val="sr-Latn-ME"/>
        </w:rPr>
        <w:t>Z</w:t>
      </w:r>
      <w:r w:rsidRPr="001D7049">
        <w:rPr>
          <w:sz w:val="22"/>
          <w:szCs w:val="22"/>
          <w:lang w:val="sr-Latn-ME"/>
        </w:rPr>
        <w:t xml:space="preserve">a pripremu doze od 1 g, izvući 10 ml iz bočice od 50 ml sa rastvorom natrijum hlorida </w:t>
      </w:r>
      <w:r w:rsidR="001003C1" w:rsidRPr="001D7049">
        <w:rPr>
          <w:sz w:val="22"/>
          <w:szCs w:val="22"/>
          <w:lang w:val="sr-Latn-ME"/>
        </w:rPr>
        <w:t xml:space="preserve">od </w:t>
      </w:r>
      <w:r w:rsidRPr="001D7049">
        <w:rPr>
          <w:sz w:val="22"/>
          <w:szCs w:val="22"/>
          <w:lang w:val="sr-Latn-ME"/>
        </w:rPr>
        <w:t xml:space="preserve">9 mg/ml (0,9%) i odbaciti. Prebaciti sadržaj </w:t>
      </w:r>
      <w:proofErr w:type="spellStart"/>
      <w:r w:rsidRPr="001D7049">
        <w:rPr>
          <w:sz w:val="22"/>
          <w:szCs w:val="22"/>
          <w:lang w:val="sr-Latn-ME"/>
        </w:rPr>
        <w:t>rekonstituisane</w:t>
      </w:r>
      <w:proofErr w:type="spellEnd"/>
      <w:r w:rsidRPr="001D7049">
        <w:rPr>
          <w:sz w:val="22"/>
          <w:szCs w:val="22"/>
          <w:lang w:val="sr-Latn-ME"/>
        </w:rPr>
        <w:t xml:space="preserve"> bočice od 1 g lijeka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AptaPharma</w:t>
      </w:r>
      <w:proofErr w:type="spellEnd"/>
      <w:r w:rsidRPr="001D7049">
        <w:rPr>
          <w:sz w:val="22"/>
          <w:szCs w:val="22"/>
          <w:lang w:val="sr-Latn-ME"/>
        </w:rPr>
        <w:t xml:space="preserve"> u bočicu od 50 ml sa rastvorom natrijum hlorida 9 mg/ml (0,9%). </w:t>
      </w:r>
    </w:p>
    <w:p w14:paraId="55649225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E476817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D7049">
        <w:rPr>
          <w:sz w:val="22"/>
          <w:szCs w:val="22"/>
          <w:u w:val="single"/>
          <w:lang w:val="sr-Latn-ME"/>
        </w:rPr>
        <w:t xml:space="preserve">Infuzija </w:t>
      </w:r>
    </w:p>
    <w:p w14:paraId="6470FB3E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Primjenjivati putem infuzije tokom 30 minuta. </w:t>
      </w:r>
    </w:p>
    <w:p w14:paraId="5D635EE6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83C948A" w14:textId="06B3B6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u w:val="single"/>
          <w:lang w:val="sr-Latn-ME"/>
        </w:rPr>
        <w:t>Djeca</w:t>
      </w:r>
      <w:r w:rsidR="00D95164" w:rsidRPr="001D7049">
        <w:rPr>
          <w:sz w:val="22"/>
          <w:szCs w:val="22"/>
          <w:u w:val="single"/>
          <w:lang w:val="sr-Latn-ME"/>
        </w:rPr>
        <w:t xml:space="preserve"> </w:t>
      </w:r>
      <w:r w:rsidRPr="001D7049">
        <w:rPr>
          <w:sz w:val="22"/>
          <w:szCs w:val="22"/>
          <w:u w:val="single"/>
          <w:lang w:val="sr-Latn-ME"/>
        </w:rPr>
        <w:t>(uzrasta od 3 mjeseca do 12 godina):</w:t>
      </w:r>
      <w:r w:rsidRPr="001D7049">
        <w:rPr>
          <w:sz w:val="22"/>
          <w:szCs w:val="22"/>
          <w:lang w:val="sr-Latn-ME"/>
        </w:rPr>
        <w:t xml:space="preserve"> </w:t>
      </w:r>
    </w:p>
    <w:p w14:paraId="571B5D0E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FCDC3A4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proofErr w:type="spellStart"/>
      <w:r w:rsidRPr="001D7049">
        <w:rPr>
          <w:sz w:val="22"/>
          <w:szCs w:val="22"/>
          <w:u w:val="single"/>
          <w:lang w:val="sr-Latn-ME"/>
        </w:rPr>
        <w:t>Rekonstitucija</w:t>
      </w:r>
      <w:proofErr w:type="spellEnd"/>
      <w:r w:rsidRPr="001D7049">
        <w:rPr>
          <w:sz w:val="22"/>
          <w:szCs w:val="22"/>
          <w:u w:val="single"/>
          <w:lang w:val="sr-Latn-ME"/>
        </w:rPr>
        <w:t xml:space="preserve"> </w:t>
      </w:r>
    </w:p>
    <w:p w14:paraId="23D75773" w14:textId="52AAFAE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1D7049">
        <w:rPr>
          <w:sz w:val="22"/>
          <w:szCs w:val="22"/>
          <w:lang w:val="sr-Latn-ME"/>
        </w:rPr>
        <w:t>Rekonstituisati</w:t>
      </w:r>
      <w:proofErr w:type="spellEnd"/>
      <w:r w:rsidRPr="001D7049">
        <w:rPr>
          <w:sz w:val="22"/>
          <w:szCs w:val="22"/>
          <w:lang w:val="sr-Latn-ME"/>
        </w:rPr>
        <w:t xml:space="preserve"> sadržaj bočice lijeka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AptaPharma</w:t>
      </w:r>
      <w:proofErr w:type="spellEnd"/>
      <w:r w:rsidRPr="001D7049">
        <w:rPr>
          <w:sz w:val="22"/>
          <w:szCs w:val="22"/>
          <w:lang w:val="sr-Latn-ME"/>
        </w:rPr>
        <w:t xml:space="preserve"> od 1 g </w:t>
      </w:r>
      <w:r w:rsidR="001003C1" w:rsidRPr="001D7049">
        <w:rPr>
          <w:sz w:val="22"/>
          <w:szCs w:val="22"/>
          <w:lang w:val="sr-Latn-ME"/>
        </w:rPr>
        <w:t>sa</w:t>
      </w:r>
      <w:r w:rsidRPr="001D7049">
        <w:rPr>
          <w:sz w:val="22"/>
          <w:szCs w:val="22"/>
          <w:lang w:val="sr-Latn-ME"/>
        </w:rPr>
        <w:t xml:space="preserve"> 10 ml vode za injekcije ili </w:t>
      </w:r>
      <w:r w:rsidR="001003C1" w:rsidRPr="001D7049">
        <w:rPr>
          <w:sz w:val="22"/>
          <w:szCs w:val="22"/>
          <w:lang w:val="sr-Latn-ME"/>
        </w:rPr>
        <w:t>sa</w:t>
      </w:r>
      <w:r w:rsidRPr="001D7049">
        <w:rPr>
          <w:sz w:val="22"/>
          <w:szCs w:val="22"/>
          <w:lang w:val="sr-Latn-ME"/>
        </w:rPr>
        <w:t xml:space="preserve"> rastvor</w:t>
      </w:r>
      <w:r w:rsidR="001003C1" w:rsidRPr="001D7049">
        <w:rPr>
          <w:sz w:val="22"/>
          <w:szCs w:val="22"/>
          <w:lang w:val="sr-Latn-ME"/>
        </w:rPr>
        <w:t>om</w:t>
      </w:r>
      <w:r w:rsidRPr="001D7049">
        <w:rPr>
          <w:sz w:val="22"/>
          <w:szCs w:val="22"/>
          <w:lang w:val="sr-Latn-ME"/>
        </w:rPr>
        <w:t xml:space="preserve"> natrijum hlorida od 9 mg/ml (0,9%) da bi se dobio </w:t>
      </w:r>
      <w:proofErr w:type="spellStart"/>
      <w:r w:rsidRPr="001D7049">
        <w:rPr>
          <w:sz w:val="22"/>
          <w:szCs w:val="22"/>
          <w:lang w:val="sr-Latn-ME"/>
        </w:rPr>
        <w:t>rekonstituisani</w:t>
      </w:r>
      <w:proofErr w:type="spellEnd"/>
      <w:r w:rsidRPr="001D7049">
        <w:rPr>
          <w:sz w:val="22"/>
          <w:szCs w:val="22"/>
          <w:lang w:val="sr-Latn-ME"/>
        </w:rPr>
        <w:t xml:space="preserve"> rastvor </w:t>
      </w:r>
      <w:r w:rsidR="001003C1" w:rsidRPr="001D7049">
        <w:rPr>
          <w:sz w:val="22"/>
          <w:szCs w:val="22"/>
          <w:lang w:val="sr-Latn-ME"/>
        </w:rPr>
        <w:t>približne koncentracije od 100 mg/ml</w:t>
      </w:r>
      <w:r w:rsidRPr="001D7049">
        <w:rPr>
          <w:sz w:val="22"/>
          <w:szCs w:val="22"/>
          <w:lang w:val="sr-Latn-ME"/>
        </w:rPr>
        <w:t>. Dobro promućkati da bi se prašak potpuno rastvorio (vidjeti</w:t>
      </w:r>
      <w:r w:rsidR="00D95164" w:rsidRPr="001D7049">
        <w:rPr>
          <w:sz w:val="22"/>
          <w:szCs w:val="22"/>
          <w:lang w:val="sr-Latn-ME"/>
        </w:rPr>
        <w:t xml:space="preserve"> </w:t>
      </w:r>
      <w:r w:rsidRPr="001D7049">
        <w:rPr>
          <w:sz w:val="22"/>
          <w:szCs w:val="22"/>
          <w:lang w:val="sr-Latn-ME"/>
        </w:rPr>
        <w:t xml:space="preserve">dio 6.4). </w:t>
      </w:r>
    </w:p>
    <w:p w14:paraId="1742ADB2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40E541C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u w:val="single"/>
          <w:lang w:val="sr-Latn-ME"/>
        </w:rPr>
        <w:t>Razblaživanje</w:t>
      </w:r>
      <w:r w:rsidRPr="001D7049">
        <w:rPr>
          <w:sz w:val="22"/>
          <w:szCs w:val="22"/>
          <w:lang w:val="sr-Latn-ME"/>
        </w:rPr>
        <w:t xml:space="preserve"> </w:t>
      </w:r>
    </w:p>
    <w:p w14:paraId="64BDBD31" w14:textId="2F24B1AF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Za kesu </w:t>
      </w:r>
      <w:proofErr w:type="spellStart"/>
      <w:r w:rsidRPr="001D7049">
        <w:rPr>
          <w:sz w:val="22"/>
          <w:szCs w:val="22"/>
          <w:lang w:val="sr-Latn-ME"/>
        </w:rPr>
        <w:t>razblaživača</w:t>
      </w:r>
      <w:proofErr w:type="spellEnd"/>
      <w:r w:rsidRPr="001D7049">
        <w:rPr>
          <w:sz w:val="22"/>
          <w:szCs w:val="22"/>
          <w:lang w:val="sr-Latn-ME"/>
        </w:rPr>
        <w:t>: Prebaciti količinu koja je jednaka dozi od 15 mg/kg/tjelesne mase (ne smije da pređe</w:t>
      </w:r>
      <w:r w:rsidR="001003C1" w:rsidRPr="001D7049">
        <w:rPr>
          <w:sz w:val="22"/>
          <w:szCs w:val="22"/>
          <w:lang w:val="sr-Latn-ME"/>
        </w:rPr>
        <w:t xml:space="preserve"> dozu od</w:t>
      </w:r>
      <w:r w:rsidRPr="001D7049">
        <w:rPr>
          <w:sz w:val="22"/>
          <w:szCs w:val="22"/>
          <w:lang w:val="sr-Latn-ME"/>
        </w:rPr>
        <w:t xml:space="preserve"> 1 g dnevno) u kesu sa rastvorom natrijum hlorida od 9 mg/ml (0,9%) da bi se dobila konačna koncentracija od 20 mg/ml ili manj</w:t>
      </w:r>
      <w:r w:rsidR="001003C1" w:rsidRPr="001D7049">
        <w:rPr>
          <w:sz w:val="22"/>
          <w:szCs w:val="22"/>
          <w:lang w:val="sr-Latn-ME"/>
        </w:rPr>
        <w:t>a;</w:t>
      </w:r>
      <w:r w:rsidRPr="001D7049">
        <w:rPr>
          <w:sz w:val="22"/>
          <w:szCs w:val="22"/>
          <w:lang w:val="sr-Latn-ME"/>
        </w:rPr>
        <w:t xml:space="preserve"> ili </w:t>
      </w:r>
    </w:p>
    <w:p w14:paraId="5E0FE6ED" w14:textId="2DC16369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Za bočicu </w:t>
      </w:r>
      <w:proofErr w:type="spellStart"/>
      <w:r w:rsidRPr="001D7049">
        <w:rPr>
          <w:sz w:val="22"/>
          <w:szCs w:val="22"/>
          <w:lang w:val="sr-Latn-ME"/>
        </w:rPr>
        <w:t>razblaživača</w:t>
      </w:r>
      <w:proofErr w:type="spellEnd"/>
      <w:r w:rsidRPr="001D7049">
        <w:rPr>
          <w:sz w:val="22"/>
          <w:szCs w:val="22"/>
          <w:lang w:val="sr-Latn-ME"/>
        </w:rPr>
        <w:t xml:space="preserve">: Prebaciti količinu koja je jednaka dozi od 15 mg/kg/tjelesne mase (ne smije da pređe </w:t>
      </w:r>
      <w:r w:rsidR="001003C1" w:rsidRPr="001D7049">
        <w:rPr>
          <w:sz w:val="22"/>
          <w:szCs w:val="22"/>
          <w:lang w:val="sr-Latn-ME"/>
        </w:rPr>
        <w:t xml:space="preserve">dozu od </w:t>
      </w:r>
      <w:r w:rsidRPr="001D7049">
        <w:rPr>
          <w:sz w:val="22"/>
          <w:szCs w:val="22"/>
          <w:lang w:val="sr-Latn-ME"/>
        </w:rPr>
        <w:t>1 g dnevno) u bočicu sa rastvorom natrijum hlorida od 9 mg/ml (0,9%) da bi se dobila konačna koncentracija od 20 mg/ml ili manj</w:t>
      </w:r>
      <w:r w:rsidR="001003C1" w:rsidRPr="001D7049">
        <w:rPr>
          <w:sz w:val="22"/>
          <w:szCs w:val="22"/>
          <w:lang w:val="sr-Latn-ME"/>
        </w:rPr>
        <w:t>a</w:t>
      </w:r>
      <w:r w:rsidRPr="001D7049">
        <w:rPr>
          <w:sz w:val="22"/>
          <w:szCs w:val="22"/>
          <w:lang w:val="sr-Latn-ME"/>
        </w:rPr>
        <w:t xml:space="preserve">. </w:t>
      </w:r>
    </w:p>
    <w:p w14:paraId="231B020B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E2A21B5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D7049">
        <w:rPr>
          <w:sz w:val="22"/>
          <w:szCs w:val="22"/>
          <w:u w:val="single"/>
          <w:lang w:val="sr-Latn-ME"/>
        </w:rPr>
        <w:t xml:space="preserve">Infuzija </w:t>
      </w:r>
    </w:p>
    <w:p w14:paraId="115C020F" w14:textId="77777777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Primjenjivati putem infuzije tokom 30 minuta. </w:t>
      </w:r>
    </w:p>
    <w:p w14:paraId="56EA024F" w14:textId="77777777" w:rsidR="009945C8" w:rsidRPr="001D7049" w:rsidRDefault="009945C8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1C7C31B" w14:textId="467A24FE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Pokazana je kompatibilnost lijeka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t>AptaPharma</w:t>
      </w:r>
      <w:proofErr w:type="spellEnd"/>
      <w:r w:rsidRPr="001D7049">
        <w:rPr>
          <w:sz w:val="22"/>
          <w:szCs w:val="22"/>
          <w:lang w:val="sr-Latn-ME"/>
        </w:rPr>
        <w:t xml:space="preserve"> sa rastvorima za </w:t>
      </w:r>
      <w:proofErr w:type="spellStart"/>
      <w:r w:rsidRPr="001D7049">
        <w:rPr>
          <w:sz w:val="22"/>
          <w:szCs w:val="22"/>
          <w:lang w:val="sr-Latn-ME"/>
        </w:rPr>
        <w:t>intravensku</w:t>
      </w:r>
      <w:proofErr w:type="spellEnd"/>
      <w:r w:rsidRPr="001D7049">
        <w:rPr>
          <w:sz w:val="22"/>
          <w:szCs w:val="22"/>
          <w:lang w:val="sr-Latn-ME"/>
        </w:rPr>
        <w:t xml:space="preserve"> primjenu koji sadrže </w:t>
      </w:r>
      <w:proofErr w:type="spellStart"/>
      <w:r w:rsidRPr="001D7049">
        <w:rPr>
          <w:sz w:val="22"/>
          <w:szCs w:val="22"/>
          <w:lang w:val="sr-Latn-ME"/>
        </w:rPr>
        <w:t>heparin</w:t>
      </w:r>
      <w:proofErr w:type="spellEnd"/>
      <w:r w:rsidRPr="001D7049">
        <w:rPr>
          <w:sz w:val="22"/>
          <w:szCs w:val="22"/>
          <w:lang w:val="sr-Latn-ME"/>
        </w:rPr>
        <w:t xml:space="preserve"> natrijum ili kalijum hlorid. </w:t>
      </w:r>
    </w:p>
    <w:p w14:paraId="3794AB7D" w14:textId="42EE0DBA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 xml:space="preserve">Kad god to ambalaža omogućava, prije primjene lijeka treba vizuelno pregledati </w:t>
      </w:r>
      <w:proofErr w:type="spellStart"/>
      <w:r w:rsidRPr="001D7049">
        <w:rPr>
          <w:sz w:val="22"/>
          <w:szCs w:val="22"/>
          <w:lang w:val="sr-Latn-ME"/>
        </w:rPr>
        <w:t>rekonstituisani</w:t>
      </w:r>
      <w:proofErr w:type="spellEnd"/>
      <w:r w:rsidRPr="001D7049">
        <w:rPr>
          <w:sz w:val="22"/>
          <w:szCs w:val="22"/>
          <w:lang w:val="sr-Latn-ME"/>
        </w:rPr>
        <w:t xml:space="preserve"> rastvor da bi se vidjelo da li u njemu ima prisustva stranih čestica ili promjen</w:t>
      </w:r>
      <w:r w:rsidR="009945C8" w:rsidRPr="001D7049">
        <w:rPr>
          <w:sz w:val="22"/>
          <w:szCs w:val="22"/>
          <w:lang w:val="sr-Latn-ME"/>
        </w:rPr>
        <w:t>a</w:t>
      </w:r>
      <w:r w:rsidRPr="001D7049">
        <w:rPr>
          <w:sz w:val="22"/>
          <w:szCs w:val="22"/>
          <w:lang w:val="sr-Latn-ME"/>
        </w:rPr>
        <w:t xml:space="preserve"> boje. Rastvori lijeka </w:t>
      </w:r>
      <w:proofErr w:type="spellStart"/>
      <w:r w:rsidRPr="001D7049">
        <w:rPr>
          <w:sz w:val="22"/>
          <w:szCs w:val="22"/>
          <w:lang w:val="sr-Latn-ME"/>
        </w:rPr>
        <w:t>Ertapenem</w:t>
      </w:r>
      <w:proofErr w:type="spellEnd"/>
      <w:r w:rsidRPr="001D7049">
        <w:rPr>
          <w:sz w:val="22"/>
          <w:szCs w:val="22"/>
          <w:lang w:val="sr-Latn-ME"/>
        </w:rPr>
        <w:t xml:space="preserve"> </w:t>
      </w:r>
      <w:proofErr w:type="spellStart"/>
      <w:r w:rsidRPr="001D7049">
        <w:rPr>
          <w:sz w:val="22"/>
          <w:szCs w:val="22"/>
          <w:lang w:val="sr-Latn-ME"/>
        </w:rPr>
        <w:lastRenderedPageBreak/>
        <w:t>AptaPharma</w:t>
      </w:r>
      <w:proofErr w:type="spellEnd"/>
      <w:r w:rsidRPr="001D7049">
        <w:rPr>
          <w:sz w:val="22"/>
          <w:szCs w:val="22"/>
          <w:lang w:val="sr-Latn-ME"/>
        </w:rPr>
        <w:t xml:space="preserve"> mogu biti u o</w:t>
      </w:r>
      <w:r w:rsidR="00591D2A" w:rsidRPr="001D7049">
        <w:rPr>
          <w:sz w:val="22"/>
          <w:szCs w:val="22"/>
          <w:lang w:val="sr-Latn-ME"/>
        </w:rPr>
        <w:t>p</w:t>
      </w:r>
      <w:r w:rsidRPr="001D7049">
        <w:rPr>
          <w:sz w:val="22"/>
          <w:szCs w:val="22"/>
          <w:lang w:val="sr-Latn-ME"/>
        </w:rPr>
        <w:t>segu od bezbojn</w:t>
      </w:r>
      <w:r w:rsidR="009945C8" w:rsidRPr="001D7049">
        <w:rPr>
          <w:sz w:val="22"/>
          <w:szCs w:val="22"/>
          <w:lang w:val="sr-Latn-ME"/>
        </w:rPr>
        <w:t>e</w:t>
      </w:r>
      <w:r w:rsidRPr="001D7049">
        <w:rPr>
          <w:sz w:val="22"/>
          <w:szCs w:val="22"/>
          <w:lang w:val="sr-Latn-ME"/>
        </w:rPr>
        <w:t xml:space="preserve"> do blijedo žute boje. Varijacije u boji u okviru ovog opsega ne utiču na efikasnost lijeka. </w:t>
      </w:r>
    </w:p>
    <w:p w14:paraId="467FD354" w14:textId="77777777" w:rsidR="009945C8" w:rsidRPr="001D7049" w:rsidRDefault="009945C8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D83BB97" w14:textId="2F4D609A" w:rsidR="00D72687" w:rsidRPr="001D7049" w:rsidRDefault="00D72687" w:rsidP="00D726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21C08040" w14:textId="77777777" w:rsidR="00D72687" w:rsidRPr="001D7049" w:rsidRDefault="00D72687" w:rsidP="00D7268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A209B7F" w14:textId="77777777" w:rsidR="0072020E" w:rsidRPr="001D704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FFA0D2A" w14:textId="77777777" w:rsidR="00F8570A" w:rsidRPr="001D704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7.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r w:rsidRPr="001D7049">
        <w:rPr>
          <w:b/>
          <w:bCs/>
          <w:sz w:val="22"/>
          <w:szCs w:val="22"/>
          <w:lang w:val="sr-Latn-ME"/>
        </w:rPr>
        <w:t>NOSILAC DOZVOLE</w:t>
      </w:r>
      <w:r w:rsidR="00483928" w:rsidRPr="001D7049">
        <w:rPr>
          <w:b/>
          <w:bCs/>
          <w:sz w:val="22"/>
          <w:szCs w:val="22"/>
          <w:lang w:val="sr-Latn-ME"/>
        </w:rPr>
        <w:t xml:space="preserve"> </w:t>
      </w:r>
    </w:p>
    <w:p w14:paraId="56D7B64F" w14:textId="77777777" w:rsidR="00C61BE0" w:rsidRPr="001D7049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49DC41D" w14:textId="34EC4FF0" w:rsidR="00D72687" w:rsidRPr="001D7049" w:rsidRDefault="009945C8" w:rsidP="00D7268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„</w:t>
      </w:r>
      <w:r w:rsidR="00D72687" w:rsidRPr="001D7049">
        <w:rPr>
          <w:bCs/>
          <w:sz w:val="22"/>
          <w:szCs w:val="22"/>
          <w:lang w:val="sr-Latn-ME"/>
        </w:rPr>
        <w:t xml:space="preserve">Evropa </w:t>
      </w:r>
      <w:proofErr w:type="spellStart"/>
      <w:r w:rsidR="00D72687" w:rsidRPr="001D7049">
        <w:rPr>
          <w:bCs/>
          <w:sz w:val="22"/>
          <w:szCs w:val="22"/>
          <w:lang w:val="sr-Latn-ME"/>
        </w:rPr>
        <w:t>Lek</w:t>
      </w:r>
      <w:proofErr w:type="spellEnd"/>
      <w:r w:rsidR="00D72687" w:rsidRPr="001D7049">
        <w:rPr>
          <w:bCs/>
          <w:sz w:val="22"/>
          <w:szCs w:val="22"/>
          <w:lang w:val="sr-Latn-ME"/>
        </w:rPr>
        <w:t xml:space="preserve"> Pharma</w:t>
      </w:r>
      <w:r w:rsidRPr="001D7049">
        <w:rPr>
          <w:bCs/>
          <w:sz w:val="22"/>
          <w:szCs w:val="22"/>
          <w:lang w:val="sr-Latn-ME"/>
        </w:rPr>
        <w:t>“</w:t>
      </w:r>
      <w:r w:rsidR="00D72687" w:rsidRPr="001D7049">
        <w:rPr>
          <w:bCs/>
          <w:sz w:val="22"/>
          <w:szCs w:val="22"/>
          <w:lang w:val="sr-Latn-ME"/>
        </w:rPr>
        <w:t xml:space="preserve"> d.o.o Podgorica</w:t>
      </w:r>
    </w:p>
    <w:p w14:paraId="259548D0" w14:textId="419175DB" w:rsidR="00D72687" w:rsidRPr="001D7049" w:rsidRDefault="00D72687" w:rsidP="00D7268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Kritskog odreda 4/1</w:t>
      </w:r>
      <w:r w:rsidR="009945C8" w:rsidRPr="001D7049">
        <w:rPr>
          <w:bCs/>
          <w:sz w:val="22"/>
          <w:szCs w:val="22"/>
          <w:lang w:val="sr-Latn-ME"/>
        </w:rPr>
        <w:t xml:space="preserve">, 81000 </w:t>
      </w:r>
      <w:r w:rsidRPr="001D7049">
        <w:rPr>
          <w:bCs/>
          <w:sz w:val="22"/>
          <w:szCs w:val="22"/>
          <w:lang w:val="sr-Latn-ME"/>
        </w:rPr>
        <w:t>Podgorica, Crna Gora</w:t>
      </w:r>
    </w:p>
    <w:p w14:paraId="2C79DB6D" w14:textId="3965656D" w:rsidR="00C37FD7" w:rsidRPr="001D7049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F0E0F7" w14:textId="77777777" w:rsidR="009945C8" w:rsidRPr="001D7049" w:rsidRDefault="009945C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9E3BF8F" w14:textId="77777777" w:rsidR="0072020E" w:rsidRPr="001D704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8.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r w:rsidRPr="001D7049">
        <w:rPr>
          <w:b/>
          <w:bCs/>
          <w:sz w:val="22"/>
          <w:szCs w:val="22"/>
          <w:lang w:val="sr-Latn-ME"/>
        </w:rPr>
        <w:t>BROJ DOZVOLE</w:t>
      </w:r>
      <w:r w:rsidR="008A6D43" w:rsidRPr="001D7049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138BE6C" w14:textId="77777777" w:rsidR="0072020E" w:rsidRPr="001D704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9984AA0" w14:textId="30BEC5E8" w:rsidR="009945C8" w:rsidRPr="001D7049" w:rsidRDefault="001D7049" w:rsidP="00480FB1">
      <w:pPr>
        <w:tabs>
          <w:tab w:val="left" w:pos="540"/>
          <w:tab w:val="left" w:pos="569"/>
        </w:tabs>
        <w:rPr>
          <w:sz w:val="22"/>
          <w:szCs w:val="22"/>
          <w:lang w:val="sr-Latn-ME" w:eastAsia="sr-Latn-ME"/>
        </w:rPr>
      </w:pPr>
      <w:r w:rsidRPr="001D7049">
        <w:rPr>
          <w:sz w:val="22"/>
          <w:szCs w:val="22"/>
          <w:lang w:val="sr-Latn-ME" w:eastAsia="sr-Latn-ME"/>
        </w:rPr>
        <w:t>2030/24/285 – 1488</w:t>
      </w:r>
    </w:p>
    <w:p w14:paraId="649EC424" w14:textId="102DF236" w:rsidR="001D7049" w:rsidRPr="001D7049" w:rsidRDefault="001D7049" w:rsidP="00480FB1">
      <w:pPr>
        <w:tabs>
          <w:tab w:val="left" w:pos="540"/>
          <w:tab w:val="left" w:pos="569"/>
        </w:tabs>
        <w:rPr>
          <w:sz w:val="22"/>
          <w:szCs w:val="22"/>
          <w:lang w:val="sr-Latn-ME" w:eastAsia="sr-Latn-ME"/>
        </w:rPr>
      </w:pPr>
    </w:p>
    <w:p w14:paraId="4DB1AD3A" w14:textId="77777777" w:rsidR="001D7049" w:rsidRPr="001D7049" w:rsidRDefault="001D704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3026D4" w14:textId="77777777" w:rsidR="0072020E" w:rsidRPr="001D704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9.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r w:rsidRPr="001D7049">
        <w:rPr>
          <w:b/>
          <w:bCs/>
          <w:sz w:val="22"/>
          <w:szCs w:val="22"/>
          <w:lang w:val="sr-Latn-ME"/>
        </w:rPr>
        <w:t xml:space="preserve">DATUM </w:t>
      </w:r>
      <w:r w:rsidR="00C05DF8" w:rsidRPr="001D7049">
        <w:rPr>
          <w:b/>
          <w:bCs/>
          <w:sz w:val="22"/>
          <w:szCs w:val="22"/>
          <w:lang w:val="sr-Latn-ME"/>
        </w:rPr>
        <w:t xml:space="preserve">PRVE </w:t>
      </w:r>
      <w:r w:rsidR="008A6D43" w:rsidRPr="001D7049">
        <w:rPr>
          <w:b/>
          <w:bCs/>
          <w:sz w:val="22"/>
          <w:szCs w:val="22"/>
          <w:lang w:val="sr-Latn-ME"/>
        </w:rPr>
        <w:t>DOZVOLE</w:t>
      </w:r>
      <w:r w:rsidR="00C05DF8" w:rsidRPr="001D7049">
        <w:rPr>
          <w:b/>
          <w:bCs/>
          <w:sz w:val="22"/>
          <w:szCs w:val="22"/>
          <w:lang w:val="sr-Latn-ME"/>
        </w:rPr>
        <w:t>/OBNOVE DOZVOLE</w:t>
      </w:r>
      <w:r w:rsidR="008A6D43" w:rsidRPr="001D7049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E4E76AC" w14:textId="77777777" w:rsidR="0072020E" w:rsidRPr="001D704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32B6E70" w14:textId="47963002" w:rsidR="00836B35" w:rsidRPr="001D7049" w:rsidRDefault="001D704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D7049">
        <w:rPr>
          <w:bCs/>
          <w:sz w:val="22"/>
          <w:szCs w:val="22"/>
          <w:lang w:val="sr-Latn-ME"/>
        </w:rPr>
        <w:t>23.01.2024. godine</w:t>
      </w:r>
    </w:p>
    <w:p w14:paraId="67BC9F55" w14:textId="2FC3E7DE" w:rsidR="001D7049" w:rsidRPr="001D7049" w:rsidRDefault="001D704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9A2FA21" w14:textId="77777777" w:rsidR="001D7049" w:rsidRPr="001D7049" w:rsidRDefault="001D704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438A33D" w14:textId="77777777" w:rsidR="003F6A59" w:rsidRPr="001D7049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1D7049">
        <w:rPr>
          <w:b/>
          <w:bCs/>
          <w:sz w:val="22"/>
          <w:szCs w:val="22"/>
          <w:lang w:val="sr-Latn-ME"/>
        </w:rPr>
        <w:t xml:space="preserve">10. </w:t>
      </w:r>
      <w:r w:rsidR="00480FB1" w:rsidRPr="001D7049">
        <w:rPr>
          <w:b/>
          <w:bCs/>
          <w:sz w:val="22"/>
          <w:szCs w:val="22"/>
          <w:lang w:val="sr-Latn-ME"/>
        </w:rPr>
        <w:tab/>
      </w:r>
      <w:r w:rsidR="002846DB" w:rsidRPr="001D7049">
        <w:rPr>
          <w:b/>
          <w:bCs/>
          <w:sz w:val="22"/>
          <w:szCs w:val="22"/>
          <w:lang w:val="sr-Latn-ME"/>
        </w:rPr>
        <w:t>D</w:t>
      </w:r>
      <w:r w:rsidR="00EC2532" w:rsidRPr="001D7049">
        <w:rPr>
          <w:b/>
          <w:bCs/>
          <w:sz w:val="22"/>
          <w:szCs w:val="22"/>
          <w:lang w:val="sr-Latn-ME"/>
        </w:rPr>
        <w:t xml:space="preserve">ATUM REVIZIJE TEKSTA </w:t>
      </w:r>
    </w:p>
    <w:p w14:paraId="6C54CAAF" w14:textId="0CF332EB" w:rsidR="003F6A59" w:rsidRPr="001D7049" w:rsidRDefault="003F6A59" w:rsidP="00DE3F5C">
      <w:pPr>
        <w:rPr>
          <w:sz w:val="22"/>
          <w:szCs w:val="22"/>
          <w:lang w:val="sr-Latn-ME"/>
        </w:rPr>
      </w:pPr>
    </w:p>
    <w:p w14:paraId="68F51645" w14:textId="28A23746" w:rsidR="001D7049" w:rsidRPr="001D7049" w:rsidRDefault="001D7049" w:rsidP="00DE3F5C">
      <w:pPr>
        <w:rPr>
          <w:sz w:val="22"/>
          <w:szCs w:val="22"/>
          <w:lang w:val="sr-Latn-ME"/>
        </w:rPr>
      </w:pPr>
      <w:r w:rsidRPr="001D7049">
        <w:rPr>
          <w:sz w:val="22"/>
          <w:szCs w:val="22"/>
          <w:lang w:val="sr-Latn-ME"/>
        </w:rPr>
        <w:t>Januar, 2024. godine</w:t>
      </w:r>
    </w:p>
    <w:sectPr w:rsidR="001D7049" w:rsidRPr="001D7049" w:rsidSect="009945C8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93318" w14:textId="77777777" w:rsidR="00927E5D" w:rsidRDefault="00927E5D">
      <w:r>
        <w:separator/>
      </w:r>
    </w:p>
  </w:endnote>
  <w:endnote w:type="continuationSeparator" w:id="0">
    <w:p w14:paraId="2730B5A8" w14:textId="77777777" w:rsidR="00927E5D" w:rsidRDefault="0092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E3371" w14:textId="2EF20139" w:rsidR="002F5A9A" w:rsidRPr="00B23F69" w:rsidRDefault="002F5A9A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8F74EE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8F74EE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ED380" w14:textId="77777777" w:rsidR="00927E5D" w:rsidRDefault="00927E5D">
      <w:r>
        <w:separator/>
      </w:r>
    </w:p>
  </w:footnote>
  <w:footnote w:type="continuationSeparator" w:id="0">
    <w:p w14:paraId="10586B5D" w14:textId="77777777" w:rsidR="00927E5D" w:rsidRDefault="00927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55pt;height:13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6E50AD"/>
    <w:multiLevelType w:val="hybridMultilevel"/>
    <w:tmpl w:val="AAEE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E645E"/>
    <w:multiLevelType w:val="hybridMultilevel"/>
    <w:tmpl w:val="8880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2F83"/>
    <w:rsid w:val="000176CA"/>
    <w:rsid w:val="00033469"/>
    <w:rsid w:val="00036FA0"/>
    <w:rsid w:val="0003793F"/>
    <w:rsid w:val="00045130"/>
    <w:rsid w:val="00046790"/>
    <w:rsid w:val="00057E35"/>
    <w:rsid w:val="00075E28"/>
    <w:rsid w:val="00076726"/>
    <w:rsid w:val="00080303"/>
    <w:rsid w:val="00080CD0"/>
    <w:rsid w:val="00083D02"/>
    <w:rsid w:val="000A3F58"/>
    <w:rsid w:val="000B24CF"/>
    <w:rsid w:val="000D2343"/>
    <w:rsid w:val="000D3449"/>
    <w:rsid w:val="000D425A"/>
    <w:rsid w:val="000D60CC"/>
    <w:rsid w:val="000E2084"/>
    <w:rsid w:val="000E6F55"/>
    <w:rsid w:val="000F77FA"/>
    <w:rsid w:val="001003C1"/>
    <w:rsid w:val="00107BF7"/>
    <w:rsid w:val="00116F05"/>
    <w:rsid w:val="00126F53"/>
    <w:rsid w:val="0014766D"/>
    <w:rsid w:val="001536CC"/>
    <w:rsid w:val="001558F2"/>
    <w:rsid w:val="001945E1"/>
    <w:rsid w:val="001A3FBA"/>
    <w:rsid w:val="001A5518"/>
    <w:rsid w:val="001B1C6A"/>
    <w:rsid w:val="001C1263"/>
    <w:rsid w:val="001C1417"/>
    <w:rsid w:val="001D7049"/>
    <w:rsid w:val="001E390B"/>
    <w:rsid w:val="001F42FB"/>
    <w:rsid w:val="001F719A"/>
    <w:rsid w:val="002031B3"/>
    <w:rsid w:val="00215931"/>
    <w:rsid w:val="002160AF"/>
    <w:rsid w:val="00224C91"/>
    <w:rsid w:val="00227BDB"/>
    <w:rsid w:val="00234CB1"/>
    <w:rsid w:val="002352F8"/>
    <w:rsid w:val="00243878"/>
    <w:rsid w:val="002510A5"/>
    <w:rsid w:val="00254A0A"/>
    <w:rsid w:val="00266046"/>
    <w:rsid w:val="002846DB"/>
    <w:rsid w:val="00284CCD"/>
    <w:rsid w:val="002B52CB"/>
    <w:rsid w:val="002C6637"/>
    <w:rsid w:val="002E0135"/>
    <w:rsid w:val="002E37A5"/>
    <w:rsid w:val="002F5A9A"/>
    <w:rsid w:val="00310F03"/>
    <w:rsid w:val="003247D2"/>
    <w:rsid w:val="003445C1"/>
    <w:rsid w:val="00355B61"/>
    <w:rsid w:val="00362686"/>
    <w:rsid w:val="00371510"/>
    <w:rsid w:val="00380837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46601"/>
    <w:rsid w:val="00451314"/>
    <w:rsid w:val="00452E9D"/>
    <w:rsid w:val="004534C7"/>
    <w:rsid w:val="004671AA"/>
    <w:rsid w:val="00471DF8"/>
    <w:rsid w:val="00480FB1"/>
    <w:rsid w:val="00483928"/>
    <w:rsid w:val="00486B96"/>
    <w:rsid w:val="004C331F"/>
    <w:rsid w:val="004D6103"/>
    <w:rsid w:val="004E3BCE"/>
    <w:rsid w:val="004E6F83"/>
    <w:rsid w:val="004E70AD"/>
    <w:rsid w:val="004F0E97"/>
    <w:rsid w:val="004F17E2"/>
    <w:rsid w:val="00501DD1"/>
    <w:rsid w:val="00515C21"/>
    <w:rsid w:val="00530BD7"/>
    <w:rsid w:val="00545CD2"/>
    <w:rsid w:val="005476F3"/>
    <w:rsid w:val="00572527"/>
    <w:rsid w:val="00573E40"/>
    <w:rsid w:val="00576348"/>
    <w:rsid w:val="00591D2A"/>
    <w:rsid w:val="005A0B2E"/>
    <w:rsid w:val="005A23D2"/>
    <w:rsid w:val="005A36CB"/>
    <w:rsid w:val="005B49B8"/>
    <w:rsid w:val="005C0741"/>
    <w:rsid w:val="005C5EF4"/>
    <w:rsid w:val="005E116B"/>
    <w:rsid w:val="005E2E0B"/>
    <w:rsid w:val="005E67AD"/>
    <w:rsid w:val="005E7A7D"/>
    <w:rsid w:val="00602457"/>
    <w:rsid w:val="00644FC3"/>
    <w:rsid w:val="00646BD1"/>
    <w:rsid w:val="006561C2"/>
    <w:rsid w:val="00671CB3"/>
    <w:rsid w:val="00674BAF"/>
    <w:rsid w:val="00682200"/>
    <w:rsid w:val="00692BF6"/>
    <w:rsid w:val="006A1351"/>
    <w:rsid w:val="006A1497"/>
    <w:rsid w:val="006B0BD1"/>
    <w:rsid w:val="006B5404"/>
    <w:rsid w:val="006D20A5"/>
    <w:rsid w:val="006D37BF"/>
    <w:rsid w:val="006E16BF"/>
    <w:rsid w:val="00700694"/>
    <w:rsid w:val="00702E22"/>
    <w:rsid w:val="0072020E"/>
    <w:rsid w:val="00726AA2"/>
    <w:rsid w:val="00754902"/>
    <w:rsid w:val="00786071"/>
    <w:rsid w:val="007A3ECB"/>
    <w:rsid w:val="007D77BC"/>
    <w:rsid w:val="007D7BB3"/>
    <w:rsid w:val="007E114B"/>
    <w:rsid w:val="007E31E9"/>
    <w:rsid w:val="007F05E3"/>
    <w:rsid w:val="00824AB9"/>
    <w:rsid w:val="00836B35"/>
    <w:rsid w:val="00843BDE"/>
    <w:rsid w:val="0086615E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8F74EE"/>
    <w:rsid w:val="00924166"/>
    <w:rsid w:val="00927E5D"/>
    <w:rsid w:val="00940B9B"/>
    <w:rsid w:val="00953573"/>
    <w:rsid w:val="0095676E"/>
    <w:rsid w:val="00956983"/>
    <w:rsid w:val="009569E2"/>
    <w:rsid w:val="00963CF0"/>
    <w:rsid w:val="00964BB1"/>
    <w:rsid w:val="009775D9"/>
    <w:rsid w:val="009930D9"/>
    <w:rsid w:val="009945C8"/>
    <w:rsid w:val="009958EF"/>
    <w:rsid w:val="00997175"/>
    <w:rsid w:val="009A1847"/>
    <w:rsid w:val="009A2B6D"/>
    <w:rsid w:val="009B062A"/>
    <w:rsid w:val="009D4CA4"/>
    <w:rsid w:val="009E7C6F"/>
    <w:rsid w:val="009F1793"/>
    <w:rsid w:val="009F2D23"/>
    <w:rsid w:val="009F5DCB"/>
    <w:rsid w:val="00A01D69"/>
    <w:rsid w:val="00A02335"/>
    <w:rsid w:val="00A462CA"/>
    <w:rsid w:val="00A46C9A"/>
    <w:rsid w:val="00A619F3"/>
    <w:rsid w:val="00A62A73"/>
    <w:rsid w:val="00A87FF6"/>
    <w:rsid w:val="00A94BE3"/>
    <w:rsid w:val="00AA0A3B"/>
    <w:rsid w:val="00AA2763"/>
    <w:rsid w:val="00AA33B6"/>
    <w:rsid w:val="00AB50CA"/>
    <w:rsid w:val="00AB6D64"/>
    <w:rsid w:val="00AC53CE"/>
    <w:rsid w:val="00AD2193"/>
    <w:rsid w:val="00AE3D11"/>
    <w:rsid w:val="00AF19F4"/>
    <w:rsid w:val="00AF2AC7"/>
    <w:rsid w:val="00AF74CE"/>
    <w:rsid w:val="00B208DB"/>
    <w:rsid w:val="00B23F69"/>
    <w:rsid w:val="00B60619"/>
    <w:rsid w:val="00B66A70"/>
    <w:rsid w:val="00B67366"/>
    <w:rsid w:val="00B80EE1"/>
    <w:rsid w:val="00B84135"/>
    <w:rsid w:val="00BF377E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FA8"/>
    <w:rsid w:val="00C94C0D"/>
    <w:rsid w:val="00CA1FEB"/>
    <w:rsid w:val="00CA23AB"/>
    <w:rsid w:val="00CD4F85"/>
    <w:rsid w:val="00CD6F02"/>
    <w:rsid w:val="00CE246D"/>
    <w:rsid w:val="00CF07A0"/>
    <w:rsid w:val="00CF3E03"/>
    <w:rsid w:val="00D0082A"/>
    <w:rsid w:val="00D21455"/>
    <w:rsid w:val="00D47634"/>
    <w:rsid w:val="00D709B3"/>
    <w:rsid w:val="00D72687"/>
    <w:rsid w:val="00D74CD2"/>
    <w:rsid w:val="00D95164"/>
    <w:rsid w:val="00DA2ED6"/>
    <w:rsid w:val="00DA7B44"/>
    <w:rsid w:val="00DB1D55"/>
    <w:rsid w:val="00DB76B8"/>
    <w:rsid w:val="00DC2EA1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7235D"/>
    <w:rsid w:val="00E74AEE"/>
    <w:rsid w:val="00E868E5"/>
    <w:rsid w:val="00E9237A"/>
    <w:rsid w:val="00E939FA"/>
    <w:rsid w:val="00EA5765"/>
    <w:rsid w:val="00EC2532"/>
    <w:rsid w:val="00ED7812"/>
    <w:rsid w:val="00EF3B86"/>
    <w:rsid w:val="00F317E9"/>
    <w:rsid w:val="00F34554"/>
    <w:rsid w:val="00F35B68"/>
    <w:rsid w:val="00F45F77"/>
    <w:rsid w:val="00F5167F"/>
    <w:rsid w:val="00F52258"/>
    <w:rsid w:val="00F8570A"/>
    <w:rsid w:val="00F91C7B"/>
    <w:rsid w:val="00FA369D"/>
    <w:rsid w:val="00FF115C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8E614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0837"/>
    <w:pPr>
      <w:ind w:left="720"/>
      <w:contextualSpacing/>
    </w:pPr>
  </w:style>
  <w:style w:type="paragraph" w:styleId="Revision">
    <w:name w:val="Revision"/>
    <w:hidden/>
    <w:uiPriority w:val="99"/>
    <w:semiHidden/>
    <w:rsid w:val="002B52CB"/>
    <w:rPr>
      <w:sz w:val="24"/>
      <w:szCs w:val="24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2B1E1-E63E-43A8-B5F0-D36E0054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6441</Words>
  <Characters>36720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43075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5</cp:revision>
  <cp:lastPrinted>2023-02-09T08:16:00Z</cp:lastPrinted>
  <dcterms:created xsi:type="dcterms:W3CDTF">2024-01-23T13:14:00Z</dcterms:created>
  <dcterms:modified xsi:type="dcterms:W3CDTF">2024-01-24T07:19:00Z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