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87B1F" w14:textId="0CDB22AA" w:rsidR="002A64E8" w:rsidRPr="005B2E72" w:rsidRDefault="002A64E8" w:rsidP="008D089B">
      <w:pPr>
        <w:pStyle w:val="BodyText"/>
        <w:spacing w:before="76"/>
        <w:ind w:left="218" w:right="449" w:firstLine="328"/>
        <w:jc w:val="center"/>
        <w:rPr>
          <w:b/>
          <w:color w:val="000000" w:themeColor="text1"/>
          <w:u w:val="single"/>
          <w:lang w:val="sr-Latn-RS"/>
        </w:rPr>
      </w:pPr>
      <w:bookmarkStart w:id="0" w:name="_GoBack"/>
      <w:bookmarkEnd w:id="0"/>
      <w:r w:rsidRPr="005B2E72">
        <w:rPr>
          <w:b/>
          <w:color w:val="000000" w:themeColor="text1"/>
          <w:u w:val="single"/>
          <w:lang w:val="sr-Latn-RS"/>
        </w:rPr>
        <w:t>SAŽETAK KARAKTERISTIKA L</w:t>
      </w:r>
      <w:r w:rsidR="00593739">
        <w:rPr>
          <w:b/>
          <w:color w:val="000000" w:themeColor="text1"/>
          <w:u w:val="single"/>
          <w:lang w:val="sr-Latn-RS"/>
        </w:rPr>
        <w:t>IJ</w:t>
      </w:r>
      <w:r w:rsidRPr="005B2E72">
        <w:rPr>
          <w:b/>
          <w:color w:val="000000" w:themeColor="text1"/>
          <w:u w:val="single"/>
          <w:lang w:val="sr-Latn-RS"/>
        </w:rPr>
        <w:t>EKA</w:t>
      </w:r>
    </w:p>
    <w:p w14:paraId="20B046DB" w14:textId="77777777" w:rsidR="002A64E8" w:rsidRDefault="002A64E8" w:rsidP="008D089B">
      <w:pPr>
        <w:pStyle w:val="BodyText"/>
        <w:spacing w:before="13"/>
        <w:ind w:left="118" w:right="265" w:hanging="1"/>
        <w:jc w:val="both"/>
        <w:rPr>
          <w:lang w:val="sr-Latn-RS"/>
        </w:rPr>
      </w:pPr>
    </w:p>
    <w:p w14:paraId="181EE745" w14:textId="77777777" w:rsidR="002A64E8" w:rsidRDefault="002A64E8" w:rsidP="008D089B">
      <w:pPr>
        <w:pStyle w:val="BodyText"/>
        <w:spacing w:before="13"/>
        <w:ind w:left="118" w:right="265" w:hanging="1"/>
        <w:jc w:val="both"/>
        <w:rPr>
          <w:lang w:val="sr-Latn-RS"/>
        </w:rPr>
      </w:pPr>
    </w:p>
    <w:p w14:paraId="0AD990EC" w14:textId="50510626" w:rsidR="002A64E8" w:rsidRDefault="002A64E8" w:rsidP="008D089B">
      <w:pPr>
        <w:pStyle w:val="BodyText"/>
        <w:spacing w:before="13"/>
        <w:ind w:right="265"/>
        <w:jc w:val="both"/>
        <w:rPr>
          <w:lang w:val="sr-Latn-RS"/>
        </w:rPr>
      </w:pPr>
    </w:p>
    <w:p w14:paraId="7D702E27" w14:textId="60348061" w:rsidR="002826F6" w:rsidRPr="000132D2" w:rsidRDefault="00B5574C" w:rsidP="008D089B">
      <w:pPr>
        <w:pStyle w:val="BodyText"/>
        <w:spacing w:before="13"/>
        <w:ind w:left="118" w:right="265" w:hanging="1"/>
        <w:jc w:val="both"/>
        <w:rPr>
          <w:lang w:val="sr-Latn-RS"/>
        </w:rPr>
      </w:pPr>
      <w:r w:rsidRPr="000132D2">
        <w:rPr>
          <w:noProof/>
        </w:rPr>
        <w:drawing>
          <wp:inline distT="0" distB="0" distL="0" distR="0" wp14:anchorId="4262075E" wp14:editId="45C1778A">
            <wp:extent cx="198119" cy="171087"/>
            <wp:effectExtent l="0" t="0" r="0" b="0"/>
            <wp:docPr id="1" name="image1.png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7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739" w:rsidRPr="00593739">
        <w:rPr>
          <w:noProof/>
          <w:lang w:val="hr-HR"/>
        </w:rPr>
        <w:t xml:space="preserve"> </w:t>
      </w:r>
      <w:r w:rsidR="00593739" w:rsidRPr="00786071">
        <w:rPr>
          <w:noProof/>
          <w:lang w:val="hr-HR"/>
        </w:rPr>
        <w:t>Ovaj lijek je pod dodatnim praćenjem.</w:t>
      </w:r>
      <w:r w:rsidR="00593739" w:rsidRPr="00786071">
        <w:rPr>
          <w:lang w:val="hr-HR"/>
        </w:rPr>
        <w:t xml:space="preserve"> </w:t>
      </w:r>
      <w:r w:rsidR="00593739" w:rsidRPr="00786071">
        <w:rPr>
          <w:noProof/>
          <w:lang w:val="hr-HR"/>
        </w:rPr>
        <w:t>Time se omogućava brzo otkrivanje novih bezbjednosnih informacija. Zdravstveni radnici treba da prijave svaku sumnju na neželjeno dejstvo ovog lijeka.</w:t>
      </w:r>
      <w:r w:rsidR="00593739" w:rsidRPr="00786071">
        <w:rPr>
          <w:lang w:val="hr-HR"/>
        </w:rPr>
        <w:t xml:space="preserve"> Za način prijavljivanja neželjenih dejstava vidjeti </w:t>
      </w:r>
      <w:r w:rsidR="00593739">
        <w:rPr>
          <w:lang w:val="hr-HR"/>
        </w:rPr>
        <w:t xml:space="preserve">dio </w:t>
      </w:r>
      <w:r w:rsidR="00593739" w:rsidRPr="00786071">
        <w:rPr>
          <w:lang w:val="hr-HR"/>
        </w:rPr>
        <w:t>4.8</w:t>
      </w:r>
      <w:r w:rsidR="00593739" w:rsidRPr="00786071">
        <w:rPr>
          <w:noProof/>
          <w:lang w:val="hr-HR"/>
        </w:rPr>
        <w:t>.</w:t>
      </w:r>
    </w:p>
    <w:p w14:paraId="53A7909E" w14:textId="77777777" w:rsidR="002826F6" w:rsidRPr="000132D2" w:rsidRDefault="002826F6" w:rsidP="008D089B">
      <w:pPr>
        <w:pStyle w:val="BodyText"/>
        <w:jc w:val="both"/>
        <w:rPr>
          <w:sz w:val="24"/>
          <w:lang w:val="sr-Latn-RS"/>
        </w:rPr>
      </w:pPr>
    </w:p>
    <w:p w14:paraId="5E63E061" w14:textId="77777777" w:rsidR="002826F6" w:rsidRPr="000132D2" w:rsidRDefault="002826F6" w:rsidP="008D089B">
      <w:pPr>
        <w:pStyle w:val="BodyText"/>
        <w:spacing w:before="5"/>
        <w:jc w:val="both"/>
        <w:rPr>
          <w:sz w:val="20"/>
          <w:lang w:val="sr-Latn-RS"/>
        </w:rPr>
      </w:pPr>
    </w:p>
    <w:p w14:paraId="38A3C10E" w14:textId="50AF5031" w:rsidR="002826F6" w:rsidRPr="000132D2" w:rsidRDefault="00F77EB1" w:rsidP="008D089B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1. </w:t>
      </w:r>
      <w:r w:rsidR="00593739">
        <w:rPr>
          <w:lang w:val="sr-Latn-RS"/>
        </w:rPr>
        <w:t>NAZIV</w:t>
      </w:r>
      <w:r w:rsidR="00B5574C" w:rsidRPr="000132D2">
        <w:rPr>
          <w:lang w:val="sr-Latn-RS"/>
        </w:rPr>
        <w:t xml:space="preserve"> L</w:t>
      </w:r>
      <w:r w:rsidR="00593739">
        <w:rPr>
          <w:lang w:val="sr-Latn-RS"/>
        </w:rPr>
        <w:t>IJ</w:t>
      </w:r>
      <w:r w:rsidR="00B5574C" w:rsidRPr="000132D2">
        <w:rPr>
          <w:lang w:val="sr-Latn-RS"/>
        </w:rPr>
        <w:t>EKA</w:t>
      </w:r>
    </w:p>
    <w:p w14:paraId="7D320B6D" w14:textId="77777777" w:rsidR="002826F6" w:rsidRPr="000132D2" w:rsidRDefault="002826F6" w:rsidP="008D089B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03ED5088" w14:textId="7EB2E6DE" w:rsidR="002826F6" w:rsidRPr="000132D2" w:rsidRDefault="00B5574C" w:rsidP="008D089B">
      <w:pPr>
        <w:pStyle w:val="BodyText"/>
        <w:ind w:left="118"/>
        <w:jc w:val="both"/>
        <w:rPr>
          <w:lang w:val="sr-Latn-RS"/>
        </w:rPr>
      </w:pPr>
      <w:r w:rsidRPr="000132D2">
        <w:rPr>
          <w:lang w:val="sr-Latn-RS"/>
        </w:rPr>
        <w:t>G</w:t>
      </w:r>
      <w:r w:rsidR="00F77EB1">
        <w:rPr>
          <w:lang w:val="sr-Latn-RS"/>
        </w:rPr>
        <w:t>avreto,</w:t>
      </w:r>
      <w:r w:rsidRPr="000132D2">
        <w:rPr>
          <w:lang w:val="sr-Latn-RS"/>
        </w:rPr>
        <w:t xml:space="preserve"> 100 mg</w:t>
      </w:r>
      <w:r w:rsidR="00F77EB1">
        <w:rPr>
          <w:lang w:val="sr-Latn-RS"/>
        </w:rPr>
        <w:t>,</w:t>
      </w:r>
      <w:r w:rsidRPr="000132D2">
        <w:rPr>
          <w:lang w:val="sr-Latn-RS"/>
        </w:rPr>
        <w:t xml:space="preserve"> </w:t>
      </w:r>
      <w:r w:rsidR="009870B4">
        <w:rPr>
          <w:lang w:val="sr-Latn-RS"/>
        </w:rPr>
        <w:t>kapsula, tvrda</w:t>
      </w:r>
    </w:p>
    <w:p w14:paraId="423735AB" w14:textId="77777777" w:rsidR="002826F6" w:rsidRPr="000132D2" w:rsidRDefault="002826F6" w:rsidP="008D089B">
      <w:pPr>
        <w:pStyle w:val="BodyText"/>
        <w:jc w:val="both"/>
        <w:rPr>
          <w:sz w:val="24"/>
          <w:lang w:val="sr-Latn-RS"/>
        </w:rPr>
      </w:pPr>
    </w:p>
    <w:p w14:paraId="5B12A6CE" w14:textId="77777777" w:rsidR="002826F6" w:rsidRPr="000132D2" w:rsidRDefault="002826F6" w:rsidP="008D089B">
      <w:pPr>
        <w:pStyle w:val="BodyText"/>
        <w:spacing w:before="4"/>
        <w:jc w:val="both"/>
        <w:rPr>
          <w:sz w:val="20"/>
          <w:lang w:val="sr-Latn-RS"/>
        </w:rPr>
      </w:pPr>
    </w:p>
    <w:p w14:paraId="759603D3" w14:textId="2775880F" w:rsidR="002826F6" w:rsidRPr="000132D2" w:rsidRDefault="00F77EB1" w:rsidP="008D089B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2. </w:t>
      </w:r>
      <w:r w:rsidR="00B5574C" w:rsidRPr="000132D2">
        <w:rPr>
          <w:lang w:val="sr-Latn-RS"/>
        </w:rPr>
        <w:t>KVALITATIVNI I KVANTITATIVNI SASTAV</w:t>
      </w:r>
    </w:p>
    <w:p w14:paraId="171DB170" w14:textId="77777777" w:rsidR="002826F6" w:rsidRPr="000132D2" w:rsidRDefault="002826F6" w:rsidP="008D089B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6DE03D54" w14:textId="77777777" w:rsidR="000132D2" w:rsidRPr="000132D2" w:rsidRDefault="00B5574C" w:rsidP="008D089B">
      <w:pPr>
        <w:pStyle w:val="BodyText"/>
        <w:spacing w:before="1" w:line="480" w:lineRule="auto"/>
        <w:ind w:left="118" w:right="4796"/>
        <w:jc w:val="both"/>
        <w:rPr>
          <w:lang w:val="sr-Latn-RS"/>
        </w:rPr>
      </w:pPr>
      <w:r w:rsidRPr="000132D2">
        <w:rPr>
          <w:lang w:val="sr-Latn-RS"/>
        </w:rPr>
        <w:t>Svaka tvrda kapsula sadrži 100 mg pralsetiniba.</w:t>
      </w:r>
    </w:p>
    <w:p w14:paraId="692CCBDC" w14:textId="6B2E6706" w:rsidR="002826F6" w:rsidRPr="000132D2" w:rsidRDefault="00B5574C" w:rsidP="008D089B">
      <w:pPr>
        <w:pStyle w:val="BodyText"/>
        <w:tabs>
          <w:tab w:val="left" w:pos="4140"/>
          <w:tab w:val="left" w:pos="4230"/>
        </w:tabs>
        <w:spacing w:before="1" w:line="480" w:lineRule="auto"/>
        <w:ind w:left="118" w:right="4180"/>
        <w:jc w:val="both"/>
        <w:rPr>
          <w:lang w:val="sr-Latn-RS"/>
        </w:rPr>
      </w:pPr>
      <w:r w:rsidRPr="000132D2">
        <w:rPr>
          <w:lang w:val="sr-Latn-RS"/>
        </w:rPr>
        <w:t xml:space="preserve">Za listu svih pomoćnih supstanci </w:t>
      </w:r>
      <w:r w:rsidR="007B2F32">
        <w:rPr>
          <w:lang w:val="sr-Latn-RS"/>
        </w:rPr>
        <w:t>pogledati</w:t>
      </w:r>
      <w:r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6.1.</w:t>
      </w:r>
    </w:p>
    <w:p w14:paraId="76959D45" w14:textId="77777777" w:rsidR="002826F6" w:rsidRPr="000132D2" w:rsidRDefault="002826F6" w:rsidP="008D089B">
      <w:pPr>
        <w:pStyle w:val="BodyText"/>
        <w:spacing w:before="5"/>
        <w:jc w:val="both"/>
        <w:rPr>
          <w:lang w:val="sr-Latn-RS"/>
        </w:rPr>
      </w:pPr>
    </w:p>
    <w:p w14:paraId="64BF64EA" w14:textId="06B71899" w:rsidR="002826F6" w:rsidRPr="000132D2" w:rsidRDefault="00F77EB1" w:rsidP="008D089B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3. </w:t>
      </w:r>
      <w:r w:rsidR="00B5574C" w:rsidRPr="000132D2">
        <w:rPr>
          <w:lang w:val="sr-Latn-RS"/>
        </w:rPr>
        <w:t>FARMACEUTSKI OBLIK</w:t>
      </w:r>
    </w:p>
    <w:p w14:paraId="1D8F40CC" w14:textId="77777777" w:rsidR="002826F6" w:rsidRPr="000132D2" w:rsidRDefault="002826F6" w:rsidP="008D089B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1BB59925" w14:textId="3907A7B8" w:rsidR="002826F6" w:rsidRPr="000132D2" w:rsidRDefault="009870B4" w:rsidP="008D089B">
      <w:pPr>
        <w:pStyle w:val="BodyText"/>
        <w:ind w:left="118"/>
        <w:jc w:val="both"/>
        <w:rPr>
          <w:lang w:val="sr-Latn-RS"/>
        </w:rPr>
      </w:pPr>
      <w:r>
        <w:rPr>
          <w:lang w:val="sr-Latn-RS"/>
        </w:rPr>
        <w:t>Kapsula, tvrda.</w:t>
      </w:r>
    </w:p>
    <w:p w14:paraId="20C0DB6A" w14:textId="77777777" w:rsidR="002826F6" w:rsidRPr="000132D2" w:rsidRDefault="002826F6" w:rsidP="008D089B">
      <w:pPr>
        <w:pStyle w:val="BodyText"/>
        <w:spacing w:before="9"/>
        <w:jc w:val="both"/>
        <w:rPr>
          <w:sz w:val="21"/>
          <w:lang w:val="sr-Latn-RS"/>
        </w:rPr>
      </w:pPr>
    </w:p>
    <w:p w14:paraId="21AE231D" w14:textId="70CED00C" w:rsidR="002826F6" w:rsidRPr="000132D2" w:rsidRDefault="00B5574C" w:rsidP="008D089B">
      <w:pPr>
        <w:pStyle w:val="BodyText"/>
        <w:spacing w:before="1"/>
        <w:ind w:left="118" w:right="447"/>
        <w:jc w:val="both"/>
        <w:rPr>
          <w:lang w:val="sr-Latn-RS"/>
        </w:rPr>
      </w:pPr>
      <w:r w:rsidRPr="000132D2">
        <w:rPr>
          <w:lang w:val="sr-Latn-RS"/>
        </w:rPr>
        <w:t>Sv</w:t>
      </w:r>
      <w:r w:rsidR="00573A31">
        <w:rPr>
          <w:lang w:val="sr-Latn-RS"/>
        </w:rPr>
        <w:t>ij</w:t>
      </w:r>
      <w:r w:rsidRPr="000132D2">
        <w:rPr>
          <w:lang w:val="sr-Latn-RS"/>
        </w:rPr>
        <w:t>etloplava, neprozirna tvrda kapsula, veličine 0 (22 mm duga i 7 mm široka) sa odštampanim „BLU-667” na t</w:t>
      </w:r>
      <w:r w:rsidR="00573A31">
        <w:rPr>
          <w:lang w:val="sr-Latn-RS"/>
        </w:rPr>
        <w:t>ij</w:t>
      </w:r>
      <w:r w:rsidRPr="000132D2">
        <w:rPr>
          <w:lang w:val="sr-Latn-RS"/>
        </w:rPr>
        <w:t>elu omotača kapsule i „100 mg” na poklopcu omotača kapsule b</w:t>
      </w:r>
      <w:r w:rsidR="00573A31">
        <w:rPr>
          <w:lang w:val="sr-Latn-RS"/>
        </w:rPr>
        <w:t>ij</w:t>
      </w:r>
      <w:r w:rsidRPr="000132D2">
        <w:rPr>
          <w:lang w:val="sr-Latn-RS"/>
        </w:rPr>
        <w:t>elom bojom.</w:t>
      </w:r>
    </w:p>
    <w:p w14:paraId="3085CC74" w14:textId="77777777" w:rsidR="002826F6" w:rsidRPr="000132D2" w:rsidRDefault="002826F6" w:rsidP="008D089B">
      <w:pPr>
        <w:pStyle w:val="BodyText"/>
        <w:jc w:val="both"/>
        <w:rPr>
          <w:sz w:val="24"/>
          <w:lang w:val="sr-Latn-RS"/>
        </w:rPr>
      </w:pPr>
    </w:p>
    <w:p w14:paraId="18014B78" w14:textId="77777777" w:rsidR="002826F6" w:rsidRPr="000132D2" w:rsidRDefault="002826F6" w:rsidP="008D089B">
      <w:pPr>
        <w:pStyle w:val="BodyText"/>
        <w:spacing w:before="5"/>
        <w:jc w:val="both"/>
        <w:rPr>
          <w:sz w:val="20"/>
          <w:lang w:val="sr-Latn-RS"/>
        </w:rPr>
      </w:pPr>
    </w:p>
    <w:p w14:paraId="04B8FF75" w14:textId="444FC32F" w:rsidR="002826F6" w:rsidRPr="000132D2" w:rsidRDefault="00F77EB1" w:rsidP="008D089B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4. </w:t>
      </w:r>
      <w:r w:rsidR="00B5574C" w:rsidRPr="000132D2">
        <w:rPr>
          <w:lang w:val="sr-Latn-RS"/>
        </w:rPr>
        <w:t>KLINIČKI PODACI</w:t>
      </w:r>
    </w:p>
    <w:p w14:paraId="482CDC35" w14:textId="77777777" w:rsidR="002826F6" w:rsidRPr="000132D2" w:rsidRDefault="002826F6" w:rsidP="008D089B">
      <w:pPr>
        <w:pStyle w:val="BodyText"/>
        <w:spacing w:before="1"/>
        <w:jc w:val="both"/>
        <w:rPr>
          <w:b/>
          <w:lang w:val="sr-Latn-RS"/>
        </w:rPr>
      </w:pPr>
    </w:p>
    <w:p w14:paraId="7C08B9A3" w14:textId="71AFAF21" w:rsidR="002826F6" w:rsidRPr="00F77EB1" w:rsidRDefault="00F77EB1" w:rsidP="006A4869">
      <w:pPr>
        <w:tabs>
          <w:tab w:val="left" w:pos="685"/>
          <w:tab w:val="left" w:pos="686"/>
        </w:tabs>
        <w:ind w:left="118" w:right="238"/>
        <w:jc w:val="both"/>
        <w:rPr>
          <w:b/>
          <w:lang w:val="sr-Latn-RS"/>
        </w:rPr>
      </w:pPr>
      <w:r>
        <w:rPr>
          <w:b/>
          <w:bCs/>
          <w:lang w:val="sr-Latn-RS"/>
        </w:rPr>
        <w:t xml:space="preserve">4.1. </w:t>
      </w:r>
      <w:r w:rsidR="00B5574C" w:rsidRPr="00F77EB1">
        <w:rPr>
          <w:b/>
          <w:bCs/>
          <w:lang w:val="sr-Latn-RS"/>
        </w:rPr>
        <w:t>Terapijske indikacije</w:t>
      </w:r>
    </w:p>
    <w:p w14:paraId="75C6A0FE" w14:textId="77777777" w:rsidR="002826F6" w:rsidRPr="000132D2" w:rsidRDefault="002826F6" w:rsidP="006A4869">
      <w:pPr>
        <w:pStyle w:val="BodyText"/>
        <w:spacing w:before="7"/>
        <w:ind w:right="238"/>
        <w:jc w:val="both"/>
        <w:rPr>
          <w:b/>
          <w:sz w:val="21"/>
          <w:lang w:val="sr-Latn-RS"/>
        </w:rPr>
      </w:pPr>
    </w:p>
    <w:p w14:paraId="601B1700" w14:textId="7F19E0CE" w:rsidR="002826F6" w:rsidRPr="000132D2" w:rsidRDefault="00B041B2" w:rsidP="00AC7849">
      <w:pPr>
        <w:pStyle w:val="BodyText"/>
        <w:tabs>
          <w:tab w:val="left" w:pos="9072"/>
        </w:tabs>
        <w:ind w:left="118" w:right="238"/>
        <w:jc w:val="both"/>
        <w:rPr>
          <w:lang w:val="sr-Latn-RS"/>
        </w:rPr>
      </w:pPr>
      <w:r>
        <w:rPr>
          <w:lang w:val="sr-Latn-RS"/>
        </w:rPr>
        <w:t xml:space="preserve">Lijek </w:t>
      </w:r>
      <w:r w:rsidR="00B5574C" w:rsidRPr="000132D2">
        <w:rPr>
          <w:lang w:val="sr-Latn-RS"/>
        </w:rPr>
        <w:t>Gavreto je indikovan kao monoterapija za l</w:t>
      </w:r>
      <w:r w:rsidR="00573A31">
        <w:rPr>
          <w:lang w:val="sr-Latn-RS"/>
        </w:rPr>
        <w:t>ij</w:t>
      </w:r>
      <w:r w:rsidR="00B5574C" w:rsidRPr="000132D2">
        <w:rPr>
          <w:lang w:val="sr-Latn-RS"/>
        </w:rPr>
        <w:t>ečenje odraslih pacijenata sa uznapredovalim nemikrocelularnim karcinomom pluća (</w:t>
      </w:r>
      <w:r w:rsidR="003739FB">
        <w:rPr>
          <w:rStyle w:val="markedcontent"/>
        </w:rPr>
        <w:t xml:space="preserve">engl. </w:t>
      </w:r>
      <w:r w:rsidR="003739FB" w:rsidRPr="00AC7849">
        <w:rPr>
          <w:rStyle w:val="markedcontent"/>
          <w:i/>
        </w:rPr>
        <w:t>non-small cell lung cancer</w:t>
      </w:r>
      <w:r w:rsidR="003739FB">
        <w:rPr>
          <w:rStyle w:val="markedcontent"/>
        </w:rPr>
        <w:t xml:space="preserve">, </w:t>
      </w:r>
      <w:r w:rsidR="00B5574C" w:rsidRPr="000132D2">
        <w:rPr>
          <w:lang w:val="sr-Latn-RS"/>
        </w:rPr>
        <w:t xml:space="preserve">NSCLC) pozitivnim na fuziju </w:t>
      </w:r>
      <w:r w:rsidR="00B0584A">
        <w:rPr>
          <w:lang w:val="sr-Latn-RS"/>
        </w:rPr>
        <w:t xml:space="preserve">gena RET (engl. </w:t>
      </w:r>
      <w:r w:rsidR="00B0584A" w:rsidRPr="00AC7849">
        <w:rPr>
          <w:rStyle w:val="markedcontent"/>
          <w:i/>
        </w:rPr>
        <w:t>rearranged during transfection</w:t>
      </w:r>
      <w:r w:rsidR="00B0584A">
        <w:rPr>
          <w:rStyle w:val="markedcontent"/>
        </w:rPr>
        <w:t>), a koji</w:t>
      </w:r>
      <w:r w:rsidR="00B5574C" w:rsidRPr="000132D2">
        <w:rPr>
          <w:lang w:val="sr-Latn-RS"/>
        </w:rPr>
        <w:t xml:space="preserve"> prethodno ni</w:t>
      </w:r>
      <w:r w:rsidR="00573A31">
        <w:rPr>
          <w:lang w:val="sr-Latn-RS"/>
        </w:rPr>
        <w:t>je</w:t>
      </w:r>
      <w:r w:rsidR="00B5574C" w:rsidRPr="000132D2">
        <w:rPr>
          <w:lang w:val="sr-Latn-RS"/>
        </w:rPr>
        <w:t>su l</w:t>
      </w:r>
      <w:r w:rsidR="00573A31">
        <w:rPr>
          <w:lang w:val="sr-Latn-RS"/>
        </w:rPr>
        <w:t>ij</w:t>
      </w:r>
      <w:r w:rsidR="00B5574C" w:rsidRPr="000132D2">
        <w:rPr>
          <w:lang w:val="sr-Latn-RS"/>
        </w:rPr>
        <w:t>ečeni</w:t>
      </w:r>
      <w:r w:rsidR="00821F44">
        <w:rPr>
          <w:lang w:val="sr-Latn-RS"/>
        </w:rPr>
        <w:t xml:space="preserve"> RET</w:t>
      </w:r>
      <w:r w:rsidR="00B5574C" w:rsidRPr="000132D2">
        <w:rPr>
          <w:lang w:val="sr-Latn-RS"/>
        </w:rPr>
        <w:t xml:space="preserve"> inhibitorom.</w:t>
      </w:r>
    </w:p>
    <w:p w14:paraId="0A4E360B" w14:textId="77777777" w:rsidR="002826F6" w:rsidRPr="000132D2" w:rsidRDefault="002826F6" w:rsidP="00AC7849">
      <w:pPr>
        <w:pStyle w:val="BodyText"/>
        <w:tabs>
          <w:tab w:val="left" w:pos="9072"/>
        </w:tabs>
        <w:spacing w:before="3"/>
        <w:ind w:right="238"/>
        <w:jc w:val="both"/>
        <w:rPr>
          <w:lang w:val="sr-Latn-RS"/>
        </w:rPr>
      </w:pPr>
    </w:p>
    <w:p w14:paraId="757BEBB5" w14:textId="4C6A2360" w:rsidR="002826F6" w:rsidRPr="000132D2" w:rsidRDefault="00F77EB1" w:rsidP="00AC7849">
      <w:pPr>
        <w:pStyle w:val="Heading1"/>
        <w:tabs>
          <w:tab w:val="left" w:pos="685"/>
          <w:tab w:val="left" w:pos="686"/>
          <w:tab w:val="left" w:pos="9072"/>
        </w:tabs>
        <w:spacing w:before="1"/>
        <w:ind w:right="238"/>
        <w:jc w:val="both"/>
        <w:rPr>
          <w:lang w:val="sr-Latn-RS"/>
        </w:rPr>
      </w:pPr>
      <w:r>
        <w:rPr>
          <w:lang w:val="sr-Latn-RS"/>
        </w:rPr>
        <w:t xml:space="preserve">4.2. </w:t>
      </w:r>
      <w:r w:rsidR="00B5574C" w:rsidRPr="000132D2">
        <w:rPr>
          <w:lang w:val="sr-Latn-RS"/>
        </w:rPr>
        <w:t>Doziranje i način prim</w:t>
      </w:r>
      <w:r w:rsidR="00593739">
        <w:rPr>
          <w:lang w:val="sr-Latn-RS"/>
        </w:rPr>
        <w:t>j</w:t>
      </w:r>
      <w:r w:rsidR="00B5574C" w:rsidRPr="000132D2">
        <w:rPr>
          <w:lang w:val="sr-Latn-RS"/>
        </w:rPr>
        <w:t>ene</w:t>
      </w:r>
    </w:p>
    <w:p w14:paraId="2E0E62EF" w14:textId="77777777" w:rsidR="002826F6" w:rsidRPr="000132D2" w:rsidRDefault="002826F6" w:rsidP="00AC7849">
      <w:pPr>
        <w:pStyle w:val="BodyText"/>
        <w:tabs>
          <w:tab w:val="left" w:pos="9072"/>
        </w:tabs>
        <w:spacing w:before="6"/>
        <w:ind w:right="238"/>
        <w:jc w:val="both"/>
        <w:rPr>
          <w:b/>
          <w:sz w:val="21"/>
          <w:lang w:val="sr-Latn-RS"/>
        </w:rPr>
      </w:pPr>
    </w:p>
    <w:p w14:paraId="78F63F1E" w14:textId="6E333FD9" w:rsidR="002826F6" w:rsidRPr="000132D2" w:rsidRDefault="00B5574C" w:rsidP="00AC7849">
      <w:pPr>
        <w:pStyle w:val="BodyText"/>
        <w:tabs>
          <w:tab w:val="left" w:pos="9072"/>
        </w:tabs>
        <w:spacing w:before="1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>L</w:t>
      </w:r>
      <w:r w:rsidR="00573A31">
        <w:rPr>
          <w:lang w:val="sr-Latn-RS"/>
        </w:rPr>
        <w:t>ij</w:t>
      </w:r>
      <w:r w:rsidRPr="000132D2">
        <w:rPr>
          <w:lang w:val="sr-Latn-RS"/>
        </w:rPr>
        <w:t>ečenje treba da</w:t>
      </w:r>
      <w:r w:rsidR="00970831">
        <w:rPr>
          <w:lang w:val="sr-Latn-RS"/>
        </w:rPr>
        <w:t xml:space="preserve"> započne</w:t>
      </w:r>
      <w:r w:rsidRPr="000132D2">
        <w:rPr>
          <w:lang w:val="sr-Latn-RS"/>
        </w:rPr>
        <w:t xml:space="preserve"> </w:t>
      </w:r>
      <w:r w:rsidR="00674751">
        <w:rPr>
          <w:lang w:val="sr-Latn-RS"/>
        </w:rPr>
        <w:t>ljek</w:t>
      </w:r>
      <w:r w:rsidRPr="000132D2">
        <w:rPr>
          <w:lang w:val="sr-Latn-RS"/>
        </w:rPr>
        <w:t>ar sa iskustvom u prim</w:t>
      </w:r>
      <w:r w:rsidR="00573A31">
        <w:rPr>
          <w:lang w:val="sr-Latn-RS"/>
        </w:rPr>
        <w:t>j</w:t>
      </w:r>
      <w:r w:rsidRPr="000132D2">
        <w:rPr>
          <w:lang w:val="sr-Latn-RS"/>
        </w:rPr>
        <w:t xml:space="preserve">eni </w:t>
      </w:r>
      <w:r w:rsidR="00674751">
        <w:rPr>
          <w:lang w:val="sr-Latn-RS"/>
        </w:rPr>
        <w:t>ljekov</w:t>
      </w:r>
      <w:r w:rsidRPr="000132D2">
        <w:rPr>
          <w:lang w:val="sr-Latn-RS"/>
        </w:rPr>
        <w:t>a za l</w:t>
      </w:r>
      <w:r w:rsidR="00573A31">
        <w:rPr>
          <w:lang w:val="sr-Latn-RS"/>
        </w:rPr>
        <w:t>ij</w:t>
      </w:r>
      <w:r w:rsidRPr="000132D2">
        <w:rPr>
          <w:lang w:val="sr-Latn-RS"/>
        </w:rPr>
        <w:t>ečenje karcinoma.</w:t>
      </w:r>
    </w:p>
    <w:p w14:paraId="19E04901" w14:textId="77777777" w:rsidR="002826F6" w:rsidRPr="000132D2" w:rsidRDefault="002826F6" w:rsidP="00AC7849">
      <w:pPr>
        <w:pStyle w:val="BodyText"/>
        <w:tabs>
          <w:tab w:val="left" w:pos="9072"/>
        </w:tabs>
        <w:ind w:right="238"/>
        <w:jc w:val="both"/>
        <w:rPr>
          <w:lang w:val="sr-Latn-RS"/>
        </w:rPr>
      </w:pPr>
    </w:p>
    <w:p w14:paraId="4C5D5C71" w14:textId="45011BFA" w:rsidR="002826F6" w:rsidRPr="000132D2" w:rsidRDefault="00B5574C" w:rsidP="00AC7849">
      <w:pPr>
        <w:pStyle w:val="BodyText"/>
        <w:tabs>
          <w:tab w:val="left" w:pos="9072"/>
        </w:tabs>
        <w:ind w:left="118" w:right="238"/>
        <w:jc w:val="both"/>
        <w:rPr>
          <w:lang w:val="sr-Latn-RS"/>
        </w:rPr>
      </w:pPr>
      <w:r w:rsidRPr="000132D2">
        <w:rPr>
          <w:lang w:val="sr-Latn-RS"/>
        </w:rPr>
        <w:t>Izbor pacijenata za l</w:t>
      </w:r>
      <w:r w:rsidR="00573A31">
        <w:rPr>
          <w:lang w:val="sr-Latn-RS"/>
        </w:rPr>
        <w:t>ij</w:t>
      </w:r>
      <w:r w:rsidRPr="000132D2">
        <w:rPr>
          <w:lang w:val="sr-Latn-RS"/>
        </w:rPr>
        <w:t>ečenje NSCLC pozitivnog na RET fuziju treba da se zasniva na potvrđenoj metodi testiranja.</w:t>
      </w:r>
    </w:p>
    <w:p w14:paraId="34B033EB" w14:textId="77777777" w:rsidR="002826F6" w:rsidRPr="000132D2" w:rsidRDefault="002826F6" w:rsidP="00AC7849">
      <w:pPr>
        <w:pStyle w:val="BodyText"/>
        <w:tabs>
          <w:tab w:val="left" w:pos="9072"/>
        </w:tabs>
        <w:spacing w:before="1"/>
        <w:jc w:val="both"/>
        <w:rPr>
          <w:lang w:val="sr-Latn-RS"/>
        </w:rPr>
      </w:pPr>
    </w:p>
    <w:p w14:paraId="66C4822E" w14:textId="77777777" w:rsidR="002826F6" w:rsidRPr="000132D2" w:rsidRDefault="00B5574C" w:rsidP="008D089B">
      <w:pPr>
        <w:pStyle w:val="BodyText"/>
        <w:spacing w:before="1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Doziranje</w:t>
      </w:r>
    </w:p>
    <w:p w14:paraId="1BC30750" w14:textId="77777777" w:rsidR="002826F6" w:rsidRPr="000132D2" w:rsidRDefault="002826F6" w:rsidP="008D089B">
      <w:pPr>
        <w:pStyle w:val="BodyText"/>
        <w:spacing w:before="10"/>
        <w:jc w:val="both"/>
        <w:rPr>
          <w:sz w:val="13"/>
          <w:lang w:val="sr-Latn-RS"/>
        </w:rPr>
      </w:pPr>
    </w:p>
    <w:p w14:paraId="23FC516B" w14:textId="3D3EF6D2" w:rsidR="002826F6" w:rsidRPr="000132D2" w:rsidRDefault="00B5574C" w:rsidP="006A4869">
      <w:pPr>
        <w:pStyle w:val="BodyText"/>
        <w:spacing w:before="91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>Preporučena doza je 400 mg pralsetiniba jednom dnevno na prazan stomak (</w:t>
      </w:r>
      <w:r w:rsidR="00D61D2D">
        <w:rPr>
          <w:lang w:val="sr-Latn-RS"/>
        </w:rPr>
        <w:t>vidjeti način</w:t>
      </w:r>
      <w:r w:rsidRPr="000132D2">
        <w:rPr>
          <w:lang w:val="sr-Latn-RS"/>
        </w:rPr>
        <w:t xml:space="preserve"> prim</w:t>
      </w:r>
      <w:r w:rsidR="00573A31">
        <w:rPr>
          <w:lang w:val="sr-Latn-RS"/>
        </w:rPr>
        <w:t>j</w:t>
      </w:r>
      <w:r w:rsidRPr="000132D2">
        <w:rPr>
          <w:lang w:val="sr-Latn-RS"/>
        </w:rPr>
        <w:t>ene). L</w:t>
      </w:r>
      <w:r w:rsidR="00573A31">
        <w:rPr>
          <w:lang w:val="sr-Latn-RS"/>
        </w:rPr>
        <w:t>ij</w:t>
      </w:r>
      <w:r w:rsidRPr="000132D2">
        <w:rPr>
          <w:lang w:val="sr-Latn-RS"/>
        </w:rPr>
        <w:t>ečenje treba nastaviti sve do progresije bolesti ili do pojave neprihvatljive toksičnosti.</w:t>
      </w:r>
    </w:p>
    <w:p w14:paraId="21CC490B" w14:textId="77777777" w:rsidR="002826F6" w:rsidRPr="000132D2" w:rsidRDefault="002826F6" w:rsidP="006A4869">
      <w:pPr>
        <w:pStyle w:val="BodyText"/>
        <w:spacing w:before="2"/>
        <w:ind w:right="238"/>
        <w:jc w:val="both"/>
        <w:rPr>
          <w:lang w:val="sr-Latn-RS"/>
        </w:rPr>
      </w:pPr>
    </w:p>
    <w:p w14:paraId="351AF64D" w14:textId="77777777" w:rsidR="002826F6" w:rsidRPr="000132D2" w:rsidRDefault="00B5574C" w:rsidP="006A4869">
      <w:pPr>
        <w:pStyle w:val="BodyText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>Ukoliko dođe do povraćanja nakon što se uzme doza pralsetiniba, pacijent ne treba da uzima dodatnu dozu, već da nastavi dalje sa uzimanjem doza prema rasporedu.</w:t>
      </w:r>
    </w:p>
    <w:p w14:paraId="6667B080" w14:textId="77777777" w:rsidR="002826F6" w:rsidRPr="000132D2" w:rsidRDefault="002826F6" w:rsidP="006A4869">
      <w:pPr>
        <w:pStyle w:val="BodyText"/>
        <w:spacing w:before="11"/>
        <w:ind w:right="238"/>
        <w:jc w:val="both"/>
        <w:rPr>
          <w:sz w:val="21"/>
          <w:lang w:val="sr-Latn-RS"/>
        </w:rPr>
      </w:pPr>
    </w:p>
    <w:p w14:paraId="32EB181C" w14:textId="77777777" w:rsidR="002826F6" w:rsidRPr="000132D2" w:rsidRDefault="00B5574C" w:rsidP="006A4869">
      <w:pPr>
        <w:spacing w:line="253" w:lineRule="exact"/>
        <w:ind w:left="118" w:right="238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Propuštene doze</w:t>
      </w:r>
    </w:p>
    <w:p w14:paraId="6A3225D2" w14:textId="66210966" w:rsidR="002826F6" w:rsidRPr="000132D2" w:rsidRDefault="00B5574C" w:rsidP="00D61D2D">
      <w:pPr>
        <w:pStyle w:val="BodyText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>Ukoliko se propusti doza pralsetiniba, pacijent treba da nadoknadi propuštenu dozu što je moguće pr</w:t>
      </w:r>
      <w:r w:rsidR="00573A31">
        <w:rPr>
          <w:lang w:val="sr-Latn-RS"/>
        </w:rPr>
        <w:t>ij</w:t>
      </w:r>
      <w:r w:rsidRPr="000132D2">
        <w:rPr>
          <w:lang w:val="sr-Latn-RS"/>
        </w:rPr>
        <w:t xml:space="preserve">e istog dana. </w:t>
      </w:r>
      <w:r w:rsidR="00D61D2D">
        <w:rPr>
          <w:rStyle w:val="markedcontent"/>
        </w:rPr>
        <w:t>Sljedećeg dana treba nastaviti s uobičajenim rasporedom primje</w:t>
      </w:r>
      <w:r w:rsidR="001345C7">
        <w:rPr>
          <w:rStyle w:val="markedcontent"/>
        </w:rPr>
        <w:t>ne pralsetiniba jedanput na dan.</w:t>
      </w:r>
    </w:p>
    <w:p w14:paraId="6D512409" w14:textId="77777777" w:rsidR="006A4869" w:rsidRDefault="006A4869" w:rsidP="008D089B">
      <w:pPr>
        <w:spacing w:before="1" w:line="252" w:lineRule="exact"/>
        <w:ind w:left="118"/>
        <w:jc w:val="both"/>
        <w:rPr>
          <w:i/>
          <w:iCs/>
          <w:lang w:val="sr-Latn-RS"/>
        </w:rPr>
      </w:pPr>
    </w:p>
    <w:p w14:paraId="59875201" w14:textId="6A924F2B" w:rsidR="006A4869" w:rsidRDefault="00B5574C" w:rsidP="00AC7849">
      <w:pPr>
        <w:spacing w:before="1" w:line="252" w:lineRule="exact"/>
        <w:ind w:left="118"/>
        <w:jc w:val="both"/>
        <w:rPr>
          <w:lang w:val="sr-Latn-RS"/>
        </w:rPr>
      </w:pPr>
      <w:r w:rsidRPr="000132D2">
        <w:rPr>
          <w:i/>
          <w:iCs/>
          <w:lang w:val="sr-Latn-RS"/>
        </w:rPr>
        <w:lastRenderedPageBreak/>
        <w:t>Modifikacije doze zbog neželjenih reakcija</w:t>
      </w:r>
    </w:p>
    <w:p w14:paraId="716B14F2" w14:textId="3AB17FB8" w:rsidR="008D089B" w:rsidRDefault="00D61D2D" w:rsidP="00AC7849">
      <w:pPr>
        <w:pStyle w:val="BodyText"/>
        <w:ind w:left="142" w:right="238"/>
        <w:jc w:val="both"/>
        <w:rPr>
          <w:lang w:val="sr-Latn-RS"/>
        </w:rPr>
      </w:pPr>
      <w:r>
        <w:rPr>
          <w:lang w:val="sr-Latn-RS"/>
        </w:rPr>
        <w:t>R</w:t>
      </w:r>
      <w:r w:rsidR="00B5574C" w:rsidRPr="000132D2">
        <w:rPr>
          <w:lang w:val="sr-Latn-RS"/>
        </w:rPr>
        <w:t>adi</w:t>
      </w:r>
      <w:r w:rsidR="006A4869">
        <w:rPr>
          <w:lang w:val="sr-Latn-RS"/>
        </w:rPr>
        <w:t xml:space="preserve"> </w:t>
      </w:r>
      <w:r w:rsidR="00B5574C" w:rsidRPr="000132D2">
        <w:rPr>
          <w:lang w:val="sr-Latn-RS"/>
        </w:rPr>
        <w:t xml:space="preserve">zbrinjavanja neželjenih reakcija </w:t>
      </w:r>
      <w:r>
        <w:rPr>
          <w:lang w:val="sr-Latn-RS"/>
        </w:rPr>
        <w:t xml:space="preserve">može se razmotriti privremeni prekid liječenja, uz smanjenje doze ili bez njega, zavisno od </w:t>
      </w:r>
      <w:r w:rsidR="00B5574C" w:rsidRPr="000132D2">
        <w:rPr>
          <w:lang w:val="sr-Latn-RS"/>
        </w:rPr>
        <w:t>težine</w:t>
      </w:r>
      <w:r w:rsidR="00922998">
        <w:rPr>
          <w:lang w:val="sr-Latn-RS"/>
        </w:rPr>
        <w:t xml:space="preserve"> neželjene reakcije</w:t>
      </w:r>
      <w:r w:rsidR="00B5574C" w:rsidRPr="000132D2">
        <w:rPr>
          <w:lang w:val="sr-Latn-RS"/>
        </w:rPr>
        <w:t xml:space="preserve"> i kliničke slike.</w:t>
      </w:r>
    </w:p>
    <w:p w14:paraId="3A35CEC8" w14:textId="467D7DED" w:rsidR="008D089B" w:rsidRPr="000132D2" w:rsidRDefault="008D089B" w:rsidP="00AC7849">
      <w:pPr>
        <w:pStyle w:val="BodyText"/>
        <w:tabs>
          <w:tab w:val="left" w:pos="8465"/>
        </w:tabs>
        <w:spacing w:before="66"/>
        <w:ind w:left="142" w:right="238"/>
        <w:jc w:val="both"/>
        <w:rPr>
          <w:lang w:val="sr-Latn-RS"/>
        </w:rPr>
      </w:pPr>
      <w:r w:rsidRPr="000132D2">
        <w:rPr>
          <w:lang w:val="sr-Latn-RS"/>
        </w:rPr>
        <w:t xml:space="preserve">Pacijentima se može smanjivati doza u koracima od 100 mg do minimalne doze od 100 mg jednom dnevno. </w:t>
      </w:r>
      <w:r>
        <w:rPr>
          <w:lang w:val="sr-Latn-RS"/>
        </w:rPr>
        <w:t>Prim</w:t>
      </w:r>
      <w:r w:rsidR="00573A31">
        <w:rPr>
          <w:lang w:val="sr-Latn-RS"/>
        </w:rPr>
        <w:t>j</w:t>
      </w:r>
      <w:r>
        <w:rPr>
          <w:lang w:val="sr-Latn-RS"/>
        </w:rPr>
        <w:t xml:space="preserve">enu </w:t>
      </w:r>
      <w:r w:rsidR="00674751">
        <w:rPr>
          <w:lang w:val="sr-Latn-RS"/>
        </w:rPr>
        <w:t>lijek</w:t>
      </w:r>
      <w:r>
        <w:rPr>
          <w:lang w:val="sr-Latn-RS"/>
        </w:rPr>
        <w:t xml:space="preserve">a </w:t>
      </w:r>
      <w:r w:rsidRPr="000132D2">
        <w:rPr>
          <w:lang w:val="sr-Latn-RS"/>
        </w:rPr>
        <w:t>Gavreto treba trajno prekinuti ukoliko pacijenti ne mogu da podnesu dozu od 100 mg jednom dnevno.</w:t>
      </w:r>
    </w:p>
    <w:p w14:paraId="3D4A952A" w14:textId="3E343CD0" w:rsidR="008D089B" w:rsidRPr="000132D2" w:rsidRDefault="008D089B" w:rsidP="00AC7849">
      <w:pPr>
        <w:pStyle w:val="BodyText"/>
        <w:tabs>
          <w:tab w:val="left" w:pos="8465"/>
        </w:tabs>
        <w:ind w:left="118"/>
        <w:jc w:val="both"/>
        <w:rPr>
          <w:lang w:val="sr-Latn-RS"/>
        </w:rPr>
      </w:pPr>
      <w:r w:rsidRPr="000132D2">
        <w:rPr>
          <w:lang w:val="sr-Latn-RS"/>
        </w:rPr>
        <w:t xml:space="preserve">Preporučene modifikacije doze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a zbog neželjenih reakcija navedene su u tabeli 1.</w:t>
      </w:r>
    </w:p>
    <w:p w14:paraId="7149432C" w14:textId="77777777" w:rsidR="008D089B" w:rsidRPr="000132D2" w:rsidRDefault="008D089B" w:rsidP="008D089B">
      <w:pPr>
        <w:pStyle w:val="BodyText"/>
        <w:spacing w:before="5"/>
        <w:jc w:val="both"/>
        <w:rPr>
          <w:lang w:val="sr-Latn-RS"/>
        </w:rPr>
      </w:pPr>
    </w:p>
    <w:p w14:paraId="22A2E3CD" w14:textId="5754BCE5" w:rsidR="008D089B" w:rsidRPr="000132D2" w:rsidRDefault="008D089B" w:rsidP="008D089B">
      <w:pPr>
        <w:pStyle w:val="Heading1"/>
        <w:ind w:left="118" w:firstLine="0"/>
        <w:jc w:val="both"/>
        <w:rPr>
          <w:lang w:val="sr-Latn-RS"/>
        </w:rPr>
      </w:pPr>
      <w:r w:rsidRPr="000132D2">
        <w:rPr>
          <w:lang w:val="sr-Latn-RS"/>
        </w:rPr>
        <w:t xml:space="preserve">Tabela 1. Preporučene modifikacije doze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a Gavreto </w:t>
      </w:r>
      <w:r w:rsidR="00922998">
        <w:rPr>
          <w:lang w:val="sr-Latn-RS"/>
        </w:rPr>
        <w:t>usljed pojave</w:t>
      </w:r>
      <w:r w:rsidR="00922998" w:rsidRPr="000132D2">
        <w:rPr>
          <w:lang w:val="sr-Latn-RS"/>
        </w:rPr>
        <w:t xml:space="preserve"> </w:t>
      </w:r>
      <w:r w:rsidRPr="000132D2">
        <w:rPr>
          <w:lang w:val="sr-Latn-RS"/>
        </w:rPr>
        <w:t>neželjenih reakcija</w:t>
      </w:r>
    </w:p>
    <w:p w14:paraId="5E09E9D7" w14:textId="77777777" w:rsidR="008D089B" w:rsidRPr="000132D2" w:rsidRDefault="008D089B" w:rsidP="008D089B">
      <w:pPr>
        <w:pStyle w:val="BodyText"/>
        <w:spacing w:before="2"/>
        <w:jc w:val="both"/>
        <w:rPr>
          <w:b/>
          <w:lang w:val="sr-Latn-RS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1424"/>
        <w:gridCol w:w="4482"/>
      </w:tblGrid>
      <w:tr w:rsidR="008D089B" w:rsidRPr="000132D2" w14:paraId="6263C208" w14:textId="77777777" w:rsidTr="00573A31">
        <w:trPr>
          <w:trHeight w:val="251"/>
        </w:trPr>
        <w:tc>
          <w:tcPr>
            <w:tcW w:w="2964" w:type="dxa"/>
          </w:tcPr>
          <w:p w14:paraId="3D5CCA0D" w14:textId="77777777" w:rsidR="008D089B" w:rsidRPr="000132D2" w:rsidRDefault="008D089B" w:rsidP="008D089B">
            <w:pPr>
              <w:pStyle w:val="TableParagraph"/>
              <w:spacing w:line="231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Neželjena reakcija</w:t>
            </w:r>
          </w:p>
        </w:tc>
        <w:tc>
          <w:tcPr>
            <w:tcW w:w="1424" w:type="dxa"/>
          </w:tcPr>
          <w:p w14:paraId="2BC0329C" w14:textId="77777777" w:rsidR="008D089B" w:rsidRPr="000132D2" w:rsidRDefault="008D089B" w:rsidP="008D089B">
            <w:pPr>
              <w:pStyle w:val="TableParagraph"/>
              <w:spacing w:line="231" w:lineRule="exact"/>
              <w:ind w:left="98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Težina</w:t>
            </w:r>
            <w:r w:rsidRPr="000132D2">
              <w:rPr>
                <w:b/>
                <w:bCs/>
                <w:vertAlign w:val="superscript"/>
                <w:lang w:val="sr-Latn-RS"/>
              </w:rPr>
              <w:t>a</w:t>
            </w:r>
          </w:p>
        </w:tc>
        <w:tc>
          <w:tcPr>
            <w:tcW w:w="4482" w:type="dxa"/>
          </w:tcPr>
          <w:p w14:paraId="07625501" w14:textId="77777777" w:rsidR="008D089B" w:rsidRPr="000132D2" w:rsidRDefault="008D089B" w:rsidP="008D089B">
            <w:pPr>
              <w:pStyle w:val="TableParagraph"/>
              <w:spacing w:line="231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Modifikacija doze</w:t>
            </w:r>
          </w:p>
        </w:tc>
      </w:tr>
      <w:tr w:rsidR="008D089B" w:rsidRPr="000132D2" w14:paraId="5CDCE604" w14:textId="77777777" w:rsidTr="00573A31">
        <w:trPr>
          <w:trHeight w:val="1132"/>
        </w:trPr>
        <w:tc>
          <w:tcPr>
            <w:tcW w:w="2964" w:type="dxa"/>
            <w:vMerge w:val="restart"/>
          </w:tcPr>
          <w:p w14:paraId="28178F5D" w14:textId="77777777" w:rsidR="008D089B" w:rsidRPr="000132D2" w:rsidRDefault="008D089B" w:rsidP="008D089B">
            <w:pPr>
              <w:pStyle w:val="TableParagraph"/>
              <w:ind w:right="126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Pneumonitis / Intersticijalna bolest pluća (ILD)</w:t>
            </w:r>
          </w:p>
          <w:p w14:paraId="2AE3B030" w14:textId="68DF8830" w:rsidR="008D089B" w:rsidRPr="000132D2" w:rsidRDefault="008D089B">
            <w:pPr>
              <w:pStyle w:val="TableParagraph"/>
              <w:spacing w:line="246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(</w:t>
            </w:r>
            <w:r w:rsidR="00922998">
              <w:rPr>
                <w:lang w:val="sr-Latn-RS"/>
              </w:rPr>
              <w:t>vidjeti</w:t>
            </w:r>
            <w:r w:rsidR="00922998" w:rsidRPr="000132D2">
              <w:rPr>
                <w:lang w:val="sr-Latn-RS"/>
              </w:rPr>
              <w:t xml:space="preserve"> </w:t>
            </w:r>
            <w:r w:rsidR="00674751">
              <w:rPr>
                <w:lang w:val="sr-Latn-RS"/>
              </w:rPr>
              <w:t>dio</w:t>
            </w:r>
            <w:r w:rsidRPr="000132D2">
              <w:rPr>
                <w:lang w:val="sr-Latn-RS"/>
              </w:rPr>
              <w:t xml:space="preserve"> 4.4)</w:t>
            </w:r>
          </w:p>
        </w:tc>
        <w:tc>
          <w:tcPr>
            <w:tcW w:w="1424" w:type="dxa"/>
          </w:tcPr>
          <w:p w14:paraId="7BEAED43" w14:textId="77777777" w:rsidR="008D089B" w:rsidRPr="000132D2" w:rsidRDefault="008D089B" w:rsidP="008D089B">
            <w:pPr>
              <w:pStyle w:val="TableParagraph"/>
              <w:spacing w:line="249" w:lineRule="exact"/>
              <w:ind w:left="9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Gradus 1 ili 2</w:t>
            </w:r>
          </w:p>
        </w:tc>
        <w:tc>
          <w:tcPr>
            <w:tcW w:w="4482" w:type="dxa"/>
          </w:tcPr>
          <w:p w14:paraId="7E9D1CA5" w14:textId="3A895BBB" w:rsidR="008D089B" w:rsidRPr="000132D2" w:rsidRDefault="008D089B" w:rsidP="008D089B">
            <w:pPr>
              <w:pStyle w:val="TableParagraph"/>
              <w:ind w:right="17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Prekinuti l</w:t>
            </w:r>
            <w:r w:rsidR="00573A31">
              <w:rPr>
                <w:lang w:val="sr-Latn-RS"/>
              </w:rPr>
              <w:t>ij</w:t>
            </w:r>
            <w:r w:rsidRPr="000132D2">
              <w:rPr>
                <w:lang w:val="sr-Latn-RS"/>
              </w:rPr>
              <w:t xml:space="preserve">ečenje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 xml:space="preserve">om Gavreto do </w:t>
            </w:r>
            <w:r w:rsidR="00922998">
              <w:rPr>
                <w:lang w:val="sr-Latn-RS"/>
              </w:rPr>
              <w:t>povlačenja neželjene</w:t>
            </w:r>
            <w:r w:rsidR="00922998" w:rsidRPr="000132D2">
              <w:rPr>
                <w:lang w:val="sr-Latn-RS"/>
              </w:rPr>
              <w:t xml:space="preserve"> </w:t>
            </w:r>
            <w:r w:rsidRPr="000132D2">
              <w:rPr>
                <w:lang w:val="sr-Latn-RS"/>
              </w:rPr>
              <w:t xml:space="preserve">reakcije. Nastaviti </w:t>
            </w:r>
            <w:r w:rsidR="00922998">
              <w:rPr>
                <w:lang w:val="sr-Latn-RS"/>
              </w:rPr>
              <w:t>liječenje smanjenom dozom</w:t>
            </w:r>
            <w:r w:rsidRPr="000132D2">
              <w:rPr>
                <w:lang w:val="sr-Latn-RS"/>
              </w:rPr>
              <w:t>.</w:t>
            </w:r>
          </w:p>
          <w:p w14:paraId="6C60E923" w14:textId="1A9B4832" w:rsidR="008D089B" w:rsidRPr="000132D2" w:rsidRDefault="008D089B" w:rsidP="008D089B">
            <w:pPr>
              <w:pStyle w:val="TableParagraph"/>
              <w:spacing w:before="100" w:line="250" w:lineRule="atLeast"/>
              <w:ind w:right="234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Trajno prekinuti prim</w:t>
            </w:r>
            <w:r w:rsidR="00573A31">
              <w:rPr>
                <w:lang w:val="sr-Latn-RS"/>
              </w:rPr>
              <w:t>j</w:t>
            </w:r>
            <w:r w:rsidRPr="000132D2">
              <w:rPr>
                <w:lang w:val="sr-Latn-RS"/>
              </w:rPr>
              <w:t xml:space="preserve">enu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a Gavreto zbog rekurentnog pneumonitisa/ILD.</w:t>
            </w:r>
          </w:p>
        </w:tc>
      </w:tr>
      <w:tr w:rsidR="008D089B" w:rsidRPr="000132D2" w14:paraId="0821CD17" w14:textId="77777777" w:rsidTr="00573A31">
        <w:trPr>
          <w:trHeight w:val="254"/>
        </w:trPr>
        <w:tc>
          <w:tcPr>
            <w:tcW w:w="2964" w:type="dxa"/>
            <w:vMerge/>
            <w:tcBorders>
              <w:top w:val="nil"/>
            </w:tcBorders>
          </w:tcPr>
          <w:p w14:paraId="2170FC80" w14:textId="77777777" w:rsidR="008D089B" w:rsidRPr="000132D2" w:rsidRDefault="008D089B" w:rsidP="008D089B">
            <w:pPr>
              <w:jc w:val="both"/>
              <w:rPr>
                <w:sz w:val="2"/>
                <w:szCs w:val="2"/>
                <w:lang w:val="sr-Latn-RS"/>
              </w:rPr>
            </w:pPr>
          </w:p>
        </w:tc>
        <w:tc>
          <w:tcPr>
            <w:tcW w:w="1424" w:type="dxa"/>
          </w:tcPr>
          <w:p w14:paraId="06937433" w14:textId="77777777" w:rsidR="008D089B" w:rsidRPr="000132D2" w:rsidRDefault="008D089B" w:rsidP="008D089B">
            <w:pPr>
              <w:pStyle w:val="TableParagraph"/>
              <w:spacing w:line="234" w:lineRule="exact"/>
              <w:ind w:left="9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Gradus 3 ili 4</w:t>
            </w:r>
          </w:p>
        </w:tc>
        <w:tc>
          <w:tcPr>
            <w:tcW w:w="4482" w:type="dxa"/>
          </w:tcPr>
          <w:p w14:paraId="61DD76C2" w14:textId="11FA662D" w:rsidR="008D089B" w:rsidRPr="000132D2" w:rsidRDefault="008D089B" w:rsidP="008D089B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Trajno prekinuti prim</w:t>
            </w:r>
            <w:r w:rsidR="00573A31">
              <w:rPr>
                <w:lang w:val="sr-Latn-RS"/>
              </w:rPr>
              <w:t>j</w:t>
            </w:r>
            <w:r w:rsidRPr="000132D2">
              <w:rPr>
                <w:lang w:val="sr-Latn-RS"/>
              </w:rPr>
              <w:t xml:space="preserve">enu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a u slučaju pneumonitisa/ILD.</w:t>
            </w:r>
          </w:p>
        </w:tc>
      </w:tr>
      <w:tr w:rsidR="008D089B" w:rsidRPr="000132D2" w14:paraId="5C30327A" w14:textId="77777777" w:rsidTr="00573A31">
        <w:trPr>
          <w:trHeight w:val="1132"/>
        </w:trPr>
        <w:tc>
          <w:tcPr>
            <w:tcW w:w="2964" w:type="dxa"/>
            <w:vMerge w:val="restart"/>
          </w:tcPr>
          <w:p w14:paraId="13C5B251" w14:textId="77777777" w:rsidR="008D089B" w:rsidRPr="000132D2" w:rsidRDefault="008D089B" w:rsidP="008D089B">
            <w:pPr>
              <w:pStyle w:val="TableParagraph"/>
              <w:spacing w:line="251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Hipertenzija</w:t>
            </w:r>
          </w:p>
        </w:tc>
        <w:tc>
          <w:tcPr>
            <w:tcW w:w="1424" w:type="dxa"/>
          </w:tcPr>
          <w:p w14:paraId="2256816E" w14:textId="77777777" w:rsidR="008D089B" w:rsidRPr="000132D2" w:rsidRDefault="008D089B" w:rsidP="008D089B">
            <w:pPr>
              <w:pStyle w:val="TableParagraph"/>
              <w:spacing w:line="246" w:lineRule="exact"/>
              <w:ind w:left="9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Gradus 3</w:t>
            </w:r>
          </w:p>
        </w:tc>
        <w:tc>
          <w:tcPr>
            <w:tcW w:w="4482" w:type="dxa"/>
          </w:tcPr>
          <w:p w14:paraId="6BB00EAF" w14:textId="5B061874" w:rsidR="008D089B" w:rsidRPr="000132D2" w:rsidRDefault="008D089B">
            <w:pPr>
              <w:pStyle w:val="TableParagraph"/>
              <w:ind w:right="234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 xml:space="preserve">Privremeno prekinuti </w:t>
            </w:r>
            <w:r w:rsidR="00573A31">
              <w:rPr>
                <w:lang w:val="sr-Latn-RS"/>
              </w:rPr>
              <w:t>liječe</w:t>
            </w:r>
            <w:r w:rsidRPr="000132D2">
              <w:rPr>
                <w:lang w:val="sr-Latn-RS"/>
              </w:rPr>
              <w:t xml:space="preserve">nje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 xml:space="preserve">om Gavreto zbog hipertenzije gradusa 3 koja je prisutna uprkos optimalnoj antihipertenzivnoj terapiji. Nastaviti </w:t>
            </w:r>
            <w:r w:rsidR="00922998">
              <w:rPr>
                <w:lang w:val="sr-Latn-RS"/>
              </w:rPr>
              <w:t>liječenje smanjenom dozom</w:t>
            </w:r>
            <w:r w:rsidRPr="000132D2">
              <w:rPr>
                <w:lang w:val="sr-Latn-RS"/>
              </w:rPr>
              <w:t xml:space="preserve"> kada hipertenzija bude pod kontrolom.</w:t>
            </w:r>
          </w:p>
        </w:tc>
      </w:tr>
      <w:tr w:rsidR="008D089B" w:rsidRPr="000132D2" w14:paraId="38958FE3" w14:textId="77777777" w:rsidTr="00573A31">
        <w:trPr>
          <w:trHeight w:val="251"/>
        </w:trPr>
        <w:tc>
          <w:tcPr>
            <w:tcW w:w="2964" w:type="dxa"/>
            <w:vMerge/>
            <w:tcBorders>
              <w:top w:val="nil"/>
            </w:tcBorders>
          </w:tcPr>
          <w:p w14:paraId="400D6988" w14:textId="77777777" w:rsidR="008D089B" w:rsidRPr="000132D2" w:rsidRDefault="008D089B" w:rsidP="008D089B">
            <w:pPr>
              <w:jc w:val="both"/>
              <w:rPr>
                <w:sz w:val="2"/>
                <w:szCs w:val="2"/>
                <w:lang w:val="sr-Latn-RS"/>
              </w:rPr>
            </w:pPr>
          </w:p>
        </w:tc>
        <w:tc>
          <w:tcPr>
            <w:tcW w:w="1424" w:type="dxa"/>
          </w:tcPr>
          <w:p w14:paraId="5D965FDF" w14:textId="77777777" w:rsidR="008D089B" w:rsidRPr="000132D2" w:rsidRDefault="008D089B" w:rsidP="008D089B">
            <w:pPr>
              <w:pStyle w:val="TableParagraph"/>
              <w:spacing w:line="231" w:lineRule="exact"/>
              <w:ind w:left="9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Gradus 4</w:t>
            </w:r>
          </w:p>
        </w:tc>
        <w:tc>
          <w:tcPr>
            <w:tcW w:w="4482" w:type="dxa"/>
          </w:tcPr>
          <w:p w14:paraId="6CE8C334" w14:textId="7770D497" w:rsidR="008D089B" w:rsidRPr="000132D2" w:rsidRDefault="008D089B" w:rsidP="008D089B">
            <w:pPr>
              <w:pStyle w:val="TableParagraph"/>
              <w:spacing w:line="231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Trajno prekinuti prim</w:t>
            </w:r>
            <w:r w:rsidR="00573A31">
              <w:rPr>
                <w:lang w:val="sr-Latn-RS"/>
              </w:rPr>
              <w:t>j</w:t>
            </w:r>
            <w:r w:rsidRPr="000132D2">
              <w:rPr>
                <w:lang w:val="sr-Latn-RS"/>
              </w:rPr>
              <w:t xml:space="preserve">enu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a Gavreto.</w:t>
            </w:r>
          </w:p>
        </w:tc>
      </w:tr>
      <w:tr w:rsidR="008D089B" w:rsidRPr="000132D2" w14:paraId="363240D2" w14:textId="77777777" w:rsidTr="00573A31">
        <w:trPr>
          <w:trHeight w:val="2265"/>
        </w:trPr>
        <w:tc>
          <w:tcPr>
            <w:tcW w:w="2964" w:type="dxa"/>
          </w:tcPr>
          <w:p w14:paraId="5CBDC3D1" w14:textId="13E4F029" w:rsidR="008D089B" w:rsidRPr="000132D2" w:rsidRDefault="008D089B" w:rsidP="00AC7849">
            <w:pPr>
              <w:pStyle w:val="TableParagrap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Povišen</w:t>
            </w:r>
            <w:r w:rsidR="00922998">
              <w:rPr>
                <w:b/>
                <w:bCs/>
                <w:lang w:val="sr-Latn-RS"/>
              </w:rPr>
              <w:t>e</w:t>
            </w:r>
            <w:r w:rsidRPr="000132D2">
              <w:rPr>
                <w:b/>
                <w:bCs/>
                <w:lang w:val="sr-Latn-RS"/>
              </w:rPr>
              <w:t xml:space="preserve"> </w:t>
            </w:r>
            <w:r w:rsidR="00922998">
              <w:rPr>
                <w:b/>
                <w:bCs/>
                <w:lang w:val="sr-Latn-RS"/>
              </w:rPr>
              <w:t xml:space="preserve">vrijednosti </w:t>
            </w:r>
            <w:r w:rsidRPr="000132D2">
              <w:rPr>
                <w:b/>
                <w:bCs/>
                <w:lang w:val="sr-Latn-RS"/>
              </w:rPr>
              <w:t xml:space="preserve"> transaminaza</w:t>
            </w:r>
          </w:p>
        </w:tc>
        <w:tc>
          <w:tcPr>
            <w:tcW w:w="1424" w:type="dxa"/>
          </w:tcPr>
          <w:p w14:paraId="770E0649" w14:textId="77777777" w:rsidR="008D089B" w:rsidRPr="000132D2" w:rsidRDefault="008D089B" w:rsidP="008D089B">
            <w:pPr>
              <w:pStyle w:val="TableParagraph"/>
              <w:spacing w:line="249" w:lineRule="exact"/>
              <w:ind w:left="9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Gradus 3 ili 4</w:t>
            </w:r>
          </w:p>
        </w:tc>
        <w:tc>
          <w:tcPr>
            <w:tcW w:w="4482" w:type="dxa"/>
          </w:tcPr>
          <w:p w14:paraId="701404CB" w14:textId="3D4A13D5" w:rsidR="008D089B" w:rsidRPr="000132D2" w:rsidRDefault="008D089B" w:rsidP="008D089B">
            <w:pPr>
              <w:pStyle w:val="TableParagraph"/>
              <w:ind w:right="171"/>
              <w:jc w:val="both"/>
              <w:rPr>
                <w:lang w:val="sr-Latn-RS"/>
              </w:rPr>
            </w:pPr>
            <w:r w:rsidRPr="00D61D2D">
              <w:rPr>
                <w:lang w:val="sr-Latn-RS"/>
              </w:rPr>
              <w:t>Pr</w:t>
            </w:r>
            <w:r w:rsidR="003D7150" w:rsidRPr="00D61D2D">
              <w:rPr>
                <w:lang w:val="sr-Latn-RS"/>
              </w:rPr>
              <w:t>ivremeno</w:t>
            </w:r>
            <w:r w:rsidR="003D7150">
              <w:rPr>
                <w:lang w:val="sr-Latn-RS"/>
              </w:rPr>
              <w:t xml:space="preserve"> pr</w:t>
            </w:r>
            <w:r w:rsidRPr="000132D2">
              <w:rPr>
                <w:lang w:val="sr-Latn-RS"/>
              </w:rPr>
              <w:t xml:space="preserve">ekinuti terapiju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om Gavreto i pratiti aspartat aminotransferazu (AST) i alanin aminotransferazu (ALT) jednom ned</w:t>
            </w:r>
            <w:r w:rsidR="00573A31">
              <w:rPr>
                <w:lang w:val="sr-Latn-RS"/>
              </w:rPr>
              <w:t>j</w:t>
            </w:r>
            <w:r w:rsidRPr="000132D2">
              <w:rPr>
                <w:lang w:val="sr-Latn-RS"/>
              </w:rPr>
              <w:t xml:space="preserve">eljno do prelaska na gradus 1 ili početnu </w:t>
            </w:r>
            <w:r w:rsidR="00150C32">
              <w:rPr>
                <w:lang w:val="sr-Latn-RS"/>
              </w:rPr>
              <w:t>vrijednost</w:t>
            </w:r>
            <w:r w:rsidRPr="000132D2">
              <w:rPr>
                <w:lang w:val="sr-Latn-RS"/>
              </w:rPr>
              <w:t>.</w:t>
            </w:r>
          </w:p>
          <w:p w14:paraId="4B08DDB3" w14:textId="44E80817" w:rsidR="008D089B" w:rsidRPr="000132D2" w:rsidRDefault="008D089B" w:rsidP="008D089B">
            <w:pPr>
              <w:pStyle w:val="TableParagraph"/>
              <w:spacing w:before="114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 xml:space="preserve">Nastaviti </w:t>
            </w:r>
            <w:r w:rsidR="003D7150">
              <w:rPr>
                <w:lang w:val="sr-Latn-RS"/>
              </w:rPr>
              <w:t>liječenje smanjenom</w:t>
            </w:r>
            <w:r w:rsidRPr="000132D2">
              <w:rPr>
                <w:lang w:val="sr-Latn-RS"/>
              </w:rPr>
              <w:t xml:space="preserve"> doz</w:t>
            </w:r>
            <w:r w:rsidR="009D7B07">
              <w:rPr>
                <w:lang w:val="sr-Latn-RS"/>
              </w:rPr>
              <w:t>om</w:t>
            </w:r>
            <w:r w:rsidRPr="000132D2">
              <w:rPr>
                <w:lang w:val="sr-Latn-RS"/>
              </w:rPr>
              <w:t>.</w:t>
            </w:r>
          </w:p>
          <w:p w14:paraId="2E2E02E8" w14:textId="00AED682" w:rsidR="008D089B" w:rsidRPr="000132D2" w:rsidRDefault="008D089B" w:rsidP="008D089B">
            <w:pPr>
              <w:pStyle w:val="TableParagraph"/>
              <w:spacing w:before="122"/>
              <w:ind w:right="24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Ukoliko do povišenog nivoa transaminaze ponovo dođe u gradusu 3 ili višem, trajno prekinuti terapiju</w:t>
            </w:r>
            <w:r>
              <w:rPr>
                <w:lang w:val="sr-Latn-RS"/>
              </w:rPr>
              <w:t xml:space="preserve">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om Gavreto.</w:t>
            </w:r>
          </w:p>
        </w:tc>
      </w:tr>
      <w:tr w:rsidR="008D089B" w:rsidRPr="000132D2" w14:paraId="2F043611" w14:textId="77777777" w:rsidTr="00573A31">
        <w:trPr>
          <w:trHeight w:val="1758"/>
        </w:trPr>
        <w:tc>
          <w:tcPr>
            <w:tcW w:w="2964" w:type="dxa"/>
          </w:tcPr>
          <w:p w14:paraId="40ED7727" w14:textId="77777777" w:rsidR="008D089B" w:rsidRPr="000132D2" w:rsidRDefault="008D089B" w:rsidP="008D089B">
            <w:pPr>
              <w:pStyle w:val="TableParagraph"/>
              <w:spacing w:line="251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Hemoragijski događaji</w:t>
            </w:r>
          </w:p>
        </w:tc>
        <w:tc>
          <w:tcPr>
            <w:tcW w:w="1424" w:type="dxa"/>
          </w:tcPr>
          <w:p w14:paraId="7100FC37" w14:textId="77777777" w:rsidR="008D089B" w:rsidRPr="000132D2" w:rsidRDefault="008D089B" w:rsidP="008D089B">
            <w:pPr>
              <w:pStyle w:val="TableParagraph"/>
              <w:spacing w:line="246" w:lineRule="exact"/>
              <w:ind w:left="9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Gradus 3 ili 4</w:t>
            </w:r>
          </w:p>
        </w:tc>
        <w:tc>
          <w:tcPr>
            <w:tcW w:w="4482" w:type="dxa"/>
          </w:tcPr>
          <w:p w14:paraId="4DD8BD25" w14:textId="5628F143" w:rsidR="008D089B" w:rsidRPr="000132D2" w:rsidRDefault="008D089B" w:rsidP="008D089B">
            <w:pPr>
              <w:pStyle w:val="TableParagraph"/>
              <w:spacing w:line="242" w:lineRule="auto"/>
              <w:ind w:right="8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Privremeno prekinuti l</w:t>
            </w:r>
            <w:r w:rsidR="00573A31">
              <w:rPr>
                <w:lang w:val="sr-Latn-RS"/>
              </w:rPr>
              <w:t>ij</w:t>
            </w:r>
            <w:r w:rsidRPr="000132D2">
              <w:rPr>
                <w:lang w:val="sr-Latn-RS"/>
              </w:rPr>
              <w:t xml:space="preserve">ečenje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om Gavreto do prelaska na gradus 1.</w:t>
            </w:r>
          </w:p>
          <w:p w14:paraId="388A1E27" w14:textId="77777777" w:rsidR="001345C7" w:rsidRDefault="001345C7" w:rsidP="001345C7">
            <w:pPr>
              <w:pStyle w:val="TableParagraph"/>
              <w:spacing w:before="109"/>
              <w:ind w:left="0"/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  <w:r w:rsidR="008D089B" w:rsidRPr="000132D2">
              <w:rPr>
                <w:lang w:val="sr-Latn-RS"/>
              </w:rPr>
              <w:t>Nastaviti prim</w:t>
            </w:r>
            <w:r w:rsidR="00573A31">
              <w:rPr>
                <w:lang w:val="sr-Latn-RS"/>
              </w:rPr>
              <w:t>j</w:t>
            </w:r>
            <w:r w:rsidR="008D089B" w:rsidRPr="000132D2">
              <w:rPr>
                <w:lang w:val="sr-Latn-RS"/>
              </w:rPr>
              <w:t>enu u smanjenoj dozi.</w:t>
            </w:r>
          </w:p>
          <w:p w14:paraId="4282CD21" w14:textId="0C807EB8" w:rsidR="008D089B" w:rsidRPr="000132D2" w:rsidRDefault="008D089B" w:rsidP="001345C7">
            <w:pPr>
              <w:pStyle w:val="TableParagraph"/>
              <w:spacing w:before="109"/>
              <w:ind w:left="0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Trajno prekinuti prim</w:t>
            </w:r>
            <w:r w:rsidR="00573A31">
              <w:rPr>
                <w:lang w:val="sr-Latn-RS"/>
              </w:rPr>
              <w:t>j</w:t>
            </w:r>
            <w:r w:rsidRPr="000132D2">
              <w:rPr>
                <w:lang w:val="sr-Latn-RS"/>
              </w:rPr>
              <w:t xml:space="preserve">enu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a Gavreto u slučaju</w:t>
            </w:r>
            <w:r w:rsidR="00573A31">
              <w:rPr>
                <w:lang w:val="sr-Latn-RS"/>
              </w:rPr>
              <w:t xml:space="preserve"> </w:t>
            </w:r>
            <w:r w:rsidRPr="000132D2">
              <w:rPr>
                <w:lang w:val="sr-Latn-RS"/>
              </w:rPr>
              <w:t>rekurentnih teških hemoragijskih događaja ili onih koji ugrožavaju život.</w:t>
            </w:r>
          </w:p>
        </w:tc>
      </w:tr>
      <w:tr w:rsidR="008D089B" w:rsidRPr="000132D2" w14:paraId="36562286" w14:textId="77777777" w:rsidTr="00573A31">
        <w:trPr>
          <w:trHeight w:val="2637"/>
        </w:trPr>
        <w:tc>
          <w:tcPr>
            <w:tcW w:w="2964" w:type="dxa"/>
            <w:vMerge w:val="restart"/>
          </w:tcPr>
          <w:p w14:paraId="4F9B042A" w14:textId="77777777" w:rsidR="008D089B" w:rsidRPr="000132D2" w:rsidRDefault="008D089B" w:rsidP="008D089B">
            <w:pPr>
              <w:pStyle w:val="TableParagraph"/>
              <w:spacing w:line="251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Produženje QT</w:t>
            </w:r>
          </w:p>
        </w:tc>
        <w:tc>
          <w:tcPr>
            <w:tcW w:w="1424" w:type="dxa"/>
          </w:tcPr>
          <w:p w14:paraId="08FB9EDF" w14:textId="77777777" w:rsidR="008D089B" w:rsidRPr="000132D2" w:rsidRDefault="008D089B" w:rsidP="008D089B">
            <w:pPr>
              <w:pStyle w:val="TableParagraph"/>
              <w:spacing w:line="246" w:lineRule="exact"/>
              <w:ind w:left="9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Gradus 3</w:t>
            </w:r>
          </w:p>
        </w:tc>
        <w:tc>
          <w:tcPr>
            <w:tcW w:w="4482" w:type="dxa"/>
          </w:tcPr>
          <w:p w14:paraId="380A7BCC" w14:textId="18E01EC9" w:rsidR="008D089B" w:rsidRPr="000132D2" w:rsidRDefault="008D089B" w:rsidP="008D089B">
            <w:pPr>
              <w:pStyle w:val="TableParagraph"/>
              <w:ind w:right="25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Privremeno prekinuti l</w:t>
            </w:r>
            <w:r w:rsidR="00573A31">
              <w:rPr>
                <w:lang w:val="sr-Latn-RS"/>
              </w:rPr>
              <w:t>ij</w:t>
            </w:r>
            <w:r w:rsidRPr="000132D2">
              <w:rPr>
                <w:lang w:val="sr-Latn-RS"/>
              </w:rPr>
              <w:t xml:space="preserve">ečenje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om Gavreto zbog QTc intervala većih od 500 ms sve dok se QTc interval ne vrati na</w:t>
            </w:r>
            <w:r>
              <w:rPr>
                <w:lang w:val="sr-Latn-RS"/>
              </w:rPr>
              <w:t xml:space="preserve"> </w:t>
            </w:r>
            <w:r w:rsidRPr="000132D2">
              <w:rPr>
                <w:lang w:val="sr-Latn-RS"/>
              </w:rPr>
              <w:t>manje od 470 ms.</w:t>
            </w:r>
          </w:p>
          <w:p w14:paraId="053C1016" w14:textId="2F3E93E0" w:rsidR="008D089B" w:rsidRPr="000132D2" w:rsidRDefault="00A0776D" w:rsidP="008D089B">
            <w:pPr>
              <w:pStyle w:val="TableParagraph"/>
              <w:spacing w:before="113"/>
              <w:ind w:right="81"/>
              <w:jc w:val="both"/>
              <w:rPr>
                <w:lang w:val="sr-Latn-RS"/>
              </w:rPr>
            </w:pPr>
            <w:r>
              <w:rPr>
                <w:lang w:val="sr-Latn-RS"/>
              </w:rPr>
              <w:t>Liječenje na</w:t>
            </w:r>
            <w:r w:rsidR="008D089B" w:rsidRPr="000132D2">
              <w:rPr>
                <w:lang w:val="sr-Latn-RS"/>
              </w:rPr>
              <w:t>staviti u istoj dozi ukoliko se faktori rizika koji dovode do produžetka QT prepoznaju i koriguju.</w:t>
            </w:r>
          </w:p>
          <w:p w14:paraId="6C41E0B3" w14:textId="0EBBB405" w:rsidR="008D089B" w:rsidRPr="000132D2" w:rsidRDefault="008D089B">
            <w:pPr>
              <w:pStyle w:val="TableParagraph"/>
              <w:spacing w:before="120"/>
              <w:ind w:right="8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Nastaviti l</w:t>
            </w:r>
            <w:r w:rsidR="00573A31">
              <w:rPr>
                <w:lang w:val="sr-Latn-RS"/>
              </w:rPr>
              <w:t>ij</w:t>
            </w:r>
            <w:r w:rsidRPr="000132D2">
              <w:rPr>
                <w:lang w:val="sr-Latn-RS"/>
              </w:rPr>
              <w:t xml:space="preserve">ečenje </w:t>
            </w:r>
            <w:r w:rsidR="00A0776D">
              <w:rPr>
                <w:lang w:val="sr-Latn-RS"/>
              </w:rPr>
              <w:t>smanjenom dozom</w:t>
            </w:r>
            <w:r w:rsidRPr="000132D2">
              <w:rPr>
                <w:lang w:val="sr-Latn-RS"/>
              </w:rPr>
              <w:t xml:space="preserve"> ukoliko se drugi faktori rizika koji dovode do produžetka QT ne otkriju.</w:t>
            </w:r>
          </w:p>
        </w:tc>
      </w:tr>
      <w:tr w:rsidR="008D089B" w:rsidRPr="000132D2" w14:paraId="721543A7" w14:textId="77777777" w:rsidTr="00573A31">
        <w:trPr>
          <w:trHeight w:val="625"/>
        </w:trPr>
        <w:tc>
          <w:tcPr>
            <w:tcW w:w="2964" w:type="dxa"/>
            <w:vMerge/>
            <w:tcBorders>
              <w:top w:val="nil"/>
            </w:tcBorders>
          </w:tcPr>
          <w:p w14:paraId="21772CF3" w14:textId="77777777" w:rsidR="008D089B" w:rsidRPr="000132D2" w:rsidRDefault="008D089B" w:rsidP="008D089B">
            <w:pPr>
              <w:jc w:val="both"/>
              <w:rPr>
                <w:sz w:val="2"/>
                <w:szCs w:val="2"/>
                <w:lang w:val="sr-Latn-RS"/>
              </w:rPr>
            </w:pPr>
          </w:p>
        </w:tc>
        <w:tc>
          <w:tcPr>
            <w:tcW w:w="1424" w:type="dxa"/>
          </w:tcPr>
          <w:p w14:paraId="74041794" w14:textId="77777777" w:rsidR="008D089B" w:rsidRPr="000132D2" w:rsidRDefault="008D089B" w:rsidP="008D089B">
            <w:pPr>
              <w:pStyle w:val="TableParagraph"/>
              <w:spacing w:line="246" w:lineRule="exact"/>
              <w:ind w:left="9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Gradus 4</w:t>
            </w:r>
          </w:p>
        </w:tc>
        <w:tc>
          <w:tcPr>
            <w:tcW w:w="4482" w:type="dxa"/>
          </w:tcPr>
          <w:p w14:paraId="5C097689" w14:textId="356377CD" w:rsidR="008D089B" w:rsidRPr="000132D2" w:rsidRDefault="008D089B" w:rsidP="008D089B">
            <w:pPr>
              <w:pStyle w:val="TableParagraph"/>
              <w:ind w:right="17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Trajno prekinuti prim</w:t>
            </w:r>
            <w:r w:rsidR="00573A31">
              <w:rPr>
                <w:lang w:val="sr-Latn-RS"/>
              </w:rPr>
              <w:t>j</w:t>
            </w:r>
            <w:r w:rsidRPr="000132D2">
              <w:rPr>
                <w:lang w:val="sr-Latn-RS"/>
              </w:rPr>
              <w:t xml:space="preserve">enu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a Gavreto ukoliko pacijent ima aritmiju koja mu ugrožava život.</w:t>
            </w:r>
          </w:p>
        </w:tc>
      </w:tr>
      <w:tr w:rsidR="008D089B" w:rsidRPr="000132D2" w14:paraId="33588560" w14:textId="77777777" w:rsidTr="00573A31">
        <w:trPr>
          <w:trHeight w:val="1384"/>
        </w:trPr>
        <w:tc>
          <w:tcPr>
            <w:tcW w:w="2964" w:type="dxa"/>
          </w:tcPr>
          <w:p w14:paraId="34D14E5C" w14:textId="51F5EDC5" w:rsidR="008D089B" w:rsidRPr="000132D2" w:rsidRDefault="008D089B">
            <w:pPr>
              <w:pStyle w:val="TableParagraph"/>
              <w:spacing w:line="237" w:lineRule="auto"/>
              <w:ind w:right="103"/>
              <w:jc w:val="both"/>
              <w:rPr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lastRenderedPageBreak/>
              <w:t>Ostale klinički značajne neželjene reakcije</w:t>
            </w:r>
            <w:r w:rsidRPr="000132D2">
              <w:rPr>
                <w:lang w:val="sr-Latn-RS"/>
              </w:rPr>
              <w:t xml:space="preserve"> (</w:t>
            </w:r>
            <w:r w:rsidR="00A0776D">
              <w:rPr>
                <w:lang w:val="sr-Latn-RS"/>
              </w:rPr>
              <w:t>vidjeti</w:t>
            </w:r>
            <w:r w:rsidR="00A0776D" w:rsidRPr="000132D2">
              <w:rPr>
                <w:lang w:val="sr-Latn-RS"/>
              </w:rPr>
              <w:t xml:space="preserve"> </w:t>
            </w:r>
            <w:r w:rsidR="00674751">
              <w:rPr>
                <w:lang w:val="sr-Latn-RS"/>
              </w:rPr>
              <w:t>dio</w:t>
            </w:r>
            <w:r w:rsidRPr="000132D2">
              <w:rPr>
                <w:lang w:val="sr-Latn-RS"/>
              </w:rPr>
              <w:t xml:space="preserve"> 4.8)</w:t>
            </w:r>
          </w:p>
        </w:tc>
        <w:tc>
          <w:tcPr>
            <w:tcW w:w="1424" w:type="dxa"/>
          </w:tcPr>
          <w:p w14:paraId="5CB80074" w14:textId="77777777" w:rsidR="008D089B" w:rsidRPr="000132D2" w:rsidRDefault="008D089B" w:rsidP="008D089B">
            <w:pPr>
              <w:pStyle w:val="TableParagraph"/>
              <w:spacing w:line="246" w:lineRule="exact"/>
              <w:ind w:left="9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Gradus 3 ili 4</w:t>
            </w:r>
          </w:p>
        </w:tc>
        <w:tc>
          <w:tcPr>
            <w:tcW w:w="4482" w:type="dxa"/>
          </w:tcPr>
          <w:p w14:paraId="19F64499" w14:textId="546C04E5" w:rsidR="008D089B" w:rsidRPr="000132D2" w:rsidRDefault="008D089B" w:rsidP="008D089B">
            <w:pPr>
              <w:pStyle w:val="TableParagraph"/>
              <w:ind w:right="126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Privremeno prekinuti l</w:t>
            </w:r>
            <w:r w:rsidR="00573A31">
              <w:rPr>
                <w:lang w:val="sr-Latn-RS"/>
              </w:rPr>
              <w:t>ij</w:t>
            </w:r>
            <w:r w:rsidRPr="000132D2">
              <w:rPr>
                <w:lang w:val="sr-Latn-RS"/>
              </w:rPr>
              <w:t xml:space="preserve">ečenje </w:t>
            </w:r>
            <w:r w:rsidR="00674751">
              <w:rPr>
                <w:lang w:val="sr-Latn-RS"/>
              </w:rPr>
              <w:t>lijek</w:t>
            </w:r>
            <w:r w:rsidRPr="000132D2">
              <w:rPr>
                <w:lang w:val="sr-Latn-RS"/>
              </w:rPr>
              <w:t>om Gavreto do poboljšanja na ≤ gradus 2. Nastaviti</w:t>
            </w:r>
            <w:r w:rsidR="00A0776D">
              <w:rPr>
                <w:lang w:val="sr-Latn-RS"/>
              </w:rPr>
              <w:t xml:space="preserve"> liječenje</w:t>
            </w:r>
            <w:r w:rsidRPr="000132D2">
              <w:rPr>
                <w:lang w:val="sr-Latn-RS"/>
              </w:rPr>
              <w:t xml:space="preserve"> </w:t>
            </w:r>
            <w:r w:rsidR="00A0776D">
              <w:rPr>
                <w:lang w:val="sr-Latn-RS"/>
              </w:rPr>
              <w:t>smanjenom dozom</w:t>
            </w:r>
            <w:r w:rsidRPr="000132D2">
              <w:rPr>
                <w:lang w:val="sr-Latn-RS"/>
              </w:rPr>
              <w:t>.</w:t>
            </w:r>
          </w:p>
          <w:p w14:paraId="17B26EFC" w14:textId="014EE0D3" w:rsidR="008D089B" w:rsidRPr="000132D2" w:rsidRDefault="008D089B" w:rsidP="008D089B">
            <w:pPr>
              <w:pStyle w:val="TableParagraph"/>
              <w:spacing w:before="99" w:line="250" w:lineRule="atLeast"/>
              <w:ind w:right="24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Trajno prekinuti</w:t>
            </w:r>
            <w:r w:rsidR="00A0776D">
              <w:rPr>
                <w:lang w:val="sr-Latn-RS"/>
              </w:rPr>
              <w:t xml:space="preserve"> liječenje</w:t>
            </w:r>
            <w:r w:rsidRPr="000132D2">
              <w:rPr>
                <w:lang w:val="sr-Latn-RS"/>
              </w:rPr>
              <w:t xml:space="preserve"> u slučaju rekurentnih neželjenih događaja gradusa 4.</w:t>
            </w:r>
          </w:p>
        </w:tc>
      </w:tr>
    </w:tbl>
    <w:p w14:paraId="660186D2" w14:textId="310F264A" w:rsidR="008D089B" w:rsidRPr="000132D2" w:rsidRDefault="008D089B" w:rsidP="008D089B">
      <w:pPr>
        <w:ind w:left="375" w:right="643" w:hanging="142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 xml:space="preserve">a </w:t>
      </w:r>
      <w:r w:rsidRPr="000132D2">
        <w:rPr>
          <w:sz w:val="20"/>
          <w:lang w:val="sr-Latn-RS"/>
        </w:rPr>
        <w:t>Neželjeni događaji stepenovani prema Uobičajenim terminološkim kriterijumima za neželjene događaje Nacionalnog instituta za l</w:t>
      </w:r>
      <w:r w:rsidR="00573A31">
        <w:rPr>
          <w:sz w:val="20"/>
          <w:lang w:val="sr-Latn-RS"/>
        </w:rPr>
        <w:t>ij</w:t>
      </w:r>
      <w:r w:rsidRPr="000132D2">
        <w:rPr>
          <w:sz w:val="20"/>
          <w:lang w:val="sr-Latn-RS"/>
        </w:rPr>
        <w:t>ečenje karcinoma (NCI-CTCAE) verzija 4.03</w:t>
      </w:r>
    </w:p>
    <w:p w14:paraId="2B51C89F" w14:textId="7F536208" w:rsidR="00593739" w:rsidRDefault="00593739" w:rsidP="008D089B">
      <w:pPr>
        <w:jc w:val="both"/>
        <w:rPr>
          <w:sz w:val="20"/>
          <w:lang w:val="sr-Latn-RS"/>
        </w:rPr>
      </w:pPr>
    </w:p>
    <w:p w14:paraId="042D459D" w14:textId="4C322B71" w:rsidR="00593739" w:rsidRPr="000132D2" w:rsidRDefault="00593739" w:rsidP="00593739">
      <w:pPr>
        <w:spacing w:before="80"/>
        <w:ind w:left="118" w:right="1148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 xml:space="preserve">Modifikacije doze </w:t>
      </w:r>
      <w:r w:rsidR="00B36CEC">
        <w:rPr>
          <w:i/>
          <w:iCs/>
          <w:lang w:val="sr-Latn-RS"/>
        </w:rPr>
        <w:t>kod primjene sa</w:t>
      </w:r>
      <w:r w:rsidR="009D7B07">
        <w:rPr>
          <w:i/>
          <w:iCs/>
          <w:lang w:val="sr-Latn-RS"/>
        </w:rPr>
        <w:t xml:space="preserve"> </w:t>
      </w:r>
      <w:r w:rsidR="00B36CEC">
        <w:rPr>
          <w:i/>
          <w:iCs/>
          <w:lang w:val="sr-Latn-RS"/>
        </w:rPr>
        <w:t>jakim</w:t>
      </w:r>
      <w:r w:rsidRPr="000132D2">
        <w:rPr>
          <w:i/>
          <w:iCs/>
          <w:lang w:val="sr-Latn-RS"/>
        </w:rPr>
        <w:t xml:space="preserve"> inhibitorima citohroma P-450 (CYP)3A4 ili kombinovanim P-glikoproteinom (P-gp) i jakim inhibitorima CYP3A4</w:t>
      </w:r>
    </w:p>
    <w:p w14:paraId="57D43C86" w14:textId="7FDFD85F" w:rsidR="00593739" w:rsidRPr="000132D2" w:rsidRDefault="00593739" w:rsidP="00593739">
      <w:pPr>
        <w:pStyle w:val="BodyText"/>
        <w:spacing w:before="1"/>
        <w:ind w:left="118" w:right="220"/>
        <w:jc w:val="both"/>
        <w:rPr>
          <w:lang w:val="sr-Latn-RS"/>
        </w:rPr>
      </w:pPr>
      <w:r w:rsidRPr="000132D2">
        <w:rPr>
          <w:lang w:val="sr-Latn-RS"/>
        </w:rPr>
        <w:t>Treba izb</w:t>
      </w:r>
      <w:r w:rsidR="00573A31">
        <w:rPr>
          <w:lang w:val="sr-Latn-RS"/>
        </w:rPr>
        <w:t>j</w:t>
      </w:r>
      <w:r w:rsidRPr="000132D2">
        <w:rPr>
          <w:lang w:val="sr-Latn-RS"/>
        </w:rPr>
        <w:t xml:space="preserve">egavati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u pralsetiniba sa poznatim jakim inhibitorima CYP3A4 ili kombinovanim P-gp i jakim inhibitorima CYP3A4 (</w:t>
      </w:r>
      <w:r w:rsidR="00AB582E">
        <w:rPr>
          <w:lang w:val="sr-Latn-RS"/>
        </w:rPr>
        <w:t xml:space="preserve">vidjeti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4.4 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4.5). Ukoliko nije moguće izb</w:t>
      </w:r>
      <w:r w:rsidR="00573A31">
        <w:rPr>
          <w:lang w:val="sr-Latn-RS"/>
        </w:rPr>
        <w:t>j</w:t>
      </w:r>
      <w:r w:rsidRPr="000132D2">
        <w:rPr>
          <w:lang w:val="sr-Latn-RS"/>
        </w:rPr>
        <w:t xml:space="preserve">eći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u pralsetiniba sa jakim inhibitorom CYP3A4 ili kombinovanim P-gp i jakim inhibitorom CYP3A4, postojeću dozu pralsetiniba treba smanjiti onako kako je preporučeno u tabeli 2. Nakon što se jaki inhibitor CYP3A4 ili kombinovani P-gp i jaki inhibitor CYP3A4 privremeno prekinu na period od 3 do 5 poluvremena eliminacije, treba nastaviti sa dozom pralsetiniba koja je uzimana </w:t>
      </w:r>
      <w:r w:rsidR="00573A31">
        <w:rPr>
          <w:lang w:val="sr-Latn-RS"/>
        </w:rPr>
        <w:t xml:space="preserve">prije </w:t>
      </w:r>
      <w:r w:rsidRPr="000132D2">
        <w:rPr>
          <w:lang w:val="sr-Latn-RS"/>
        </w:rPr>
        <w:t>upotrebe inhibitora.</w:t>
      </w:r>
    </w:p>
    <w:p w14:paraId="0422CC21" w14:textId="77777777" w:rsidR="00593739" w:rsidRPr="000132D2" w:rsidRDefault="00593739" w:rsidP="00593739">
      <w:pPr>
        <w:pStyle w:val="BodyText"/>
        <w:spacing w:before="8"/>
        <w:jc w:val="both"/>
        <w:rPr>
          <w:lang w:val="sr-Latn-RS"/>
        </w:rPr>
      </w:pPr>
    </w:p>
    <w:p w14:paraId="45FDD399" w14:textId="446A0B80" w:rsidR="00593739" w:rsidRPr="000132D2" w:rsidRDefault="00593739" w:rsidP="00593739">
      <w:pPr>
        <w:pStyle w:val="Heading1"/>
        <w:spacing w:line="235" w:lineRule="auto"/>
        <w:ind w:left="118" w:right="818" w:firstLine="0"/>
        <w:jc w:val="both"/>
        <w:rPr>
          <w:lang w:val="sr-Latn-RS"/>
        </w:rPr>
      </w:pPr>
      <w:r w:rsidRPr="000132D2">
        <w:rPr>
          <w:lang w:val="sr-Latn-RS"/>
        </w:rPr>
        <w:t>Tabela 2. Preporučene modifikacije doze za</w:t>
      </w:r>
      <w:r>
        <w:rPr>
          <w:lang w:val="sr-Latn-RS"/>
        </w:rPr>
        <w:t xml:space="preserve">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 Gavreto za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u sa jakim inhibitorima CYP3A4 ili kombinovanim P-gp i jakim inhibitorima CYP3A4</w:t>
      </w:r>
    </w:p>
    <w:p w14:paraId="35AB649B" w14:textId="77777777" w:rsidR="00593739" w:rsidRPr="000132D2" w:rsidRDefault="00593739" w:rsidP="00593739">
      <w:pPr>
        <w:pStyle w:val="BodyText"/>
        <w:spacing w:before="7"/>
        <w:jc w:val="both"/>
        <w:rPr>
          <w:b/>
          <w:lang w:val="sr-Latn-RS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4453"/>
      </w:tblGrid>
      <w:tr w:rsidR="00593739" w:rsidRPr="000132D2" w14:paraId="33C1B926" w14:textId="77777777" w:rsidTr="00AC7849">
        <w:trPr>
          <w:trHeight w:val="398"/>
        </w:trPr>
        <w:tc>
          <w:tcPr>
            <w:tcW w:w="4486" w:type="dxa"/>
          </w:tcPr>
          <w:p w14:paraId="0B3F67DA" w14:textId="3025F2DC" w:rsidR="00593739" w:rsidRPr="000132D2" w:rsidRDefault="00593739" w:rsidP="00573A31">
            <w:pPr>
              <w:pStyle w:val="TableParagraph"/>
              <w:spacing w:before="70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Postojeća doza </w:t>
            </w:r>
            <w:r w:rsidR="00674751">
              <w:rPr>
                <w:b/>
                <w:bCs/>
                <w:lang w:val="sr-Latn-RS"/>
              </w:rPr>
              <w:t>lijek</w:t>
            </w:r>
            <w:r w:rsidRPr="000132D2">
              <w:rPr>
                <w:b/>
                <w:bCs/>
                <w:lang w:val="sr-Latn-RS"/>
              </w:rPr>
              <w:t>a Gavreto</w:t>
            </w:r>
          </w:p>
        </w:tc>
        <w:tc>
          <w:tcPr>
            <w:tcW w:w="4453" w:type="dxa"/>
          </w:tcPr>
          <w:p w14:paraId="1A7FCBFF" w14:textId="278656CC" w:rsidR="00593739" w:rsidRPr="000132D2" w:rsidRDefault="00593739" w:rsidP="00573A31">
            <w:pPr>
              <w:pStyle w:val="TableParagraph"/>
              <w:spacing w:before="70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Preporučena doza </w:t>
            </w:r>
            <w:r w:rsidR="00674751">
              <w:rPr>
                <w:b/>
                <w:bCs/>
                <w:lang w:val="sr-Latn-RS"/>
              </w:rPr>
              <w:t>lijek</w:t>
            </w:r>
            <w:r w:rsidRPr="000132D2">
              <w:rPr>
                <w:b/>
                <w:bCs/>
                <w:lang w:val="sr-Latn-RS"/>
              </w:rPr>
              <w:t>a Gavreto</w:t>
            </w:r>
          </w:p>
        </w:tc>
      </w:tr>
      <w:tr w:rsidR="00593739" w:rsidRPr="000132D2" w14:paraId="25C63C8F" w14:textId="77777777" w:rsidTr="00AC7849">
        <w:trPr>
          <w:trHeight w:val="395"/>
        </w:trPr>
        <w:tc>
          <w:tcPr>
            <w:tcW w:w="4486" w:type="dxa"/>
          </w:tcPr>
          <w:p w14:paraId="29E8B388" w14:textId="77777777" w:rsidR="00593739" w:rsidRPr="000132D2" w:rsidRDefault="00593739" w:rsidP="00573A31">
            <w:pPr>
              <w:pStyle w:val="TableParagraph"/>
              <w:spacing w:before="65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400 mg oralno jednom dnevno</w:t>
            </w:r>
          </w:p>
        </w:tc>
        <w:tc>
          <w:tcPr>
            <w:tcW w:w="4453" w:type="dxa"/>
          </w:tcPr>
          <w:p w14:paraId="5F3C423E" w14:textId="77777777" w:rsidR="00593739" w:rsidRPr="000132D2" w:rsidRDefault="00593739" w:rsidP="00573A31">
            <w:pPr>
              <w:pStyle w:val="TableParagraph"/>
              <w:spacing w:before="65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200 mg oralno jednom dnevno</w:t>
            </w:r>
          </w:p>
        </w:tc>
      </w:tr>
      <w:tr w:rsidR="00593739" w:rsidRPr="000132D2" w14:paraId="6E8DBD21" w14:textId="77777777" w:rsidTr="00AC7849">
        <w:trPr>
          <w:trHeight w:val="398"/>
        </w:trPr>
        <w:tc>
          <w:tcPr>
            <w:tcW w:w="4486" w:type="dxa"/>
          </w:tcPr>
          <w:p w14:paraId="410E1357" w14:textId="77777777" w:rsidR="00593739" w:rsidRPr="000132D2" w:rsidRDefault="00593739" w:rsidP="00573A31">
            <w:pPr>
              <w:pStyle w:val="TableParagraph"/>
              <w:spacing w:before="6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300 mg oralno jednom dnevno</w:t>
            </w:r>
          </w:p>
        </w:tc>
        <w:tc>
          <w:tcPr>
            <w:tcW w:w="4453" w:type="dxa"/>
          </w:tcPr>
          <w:p w14:paraId="5408BED4" w14:textId="77777777" w:rsidR="00593739" w:rsidRPr="000132D2" w:rsidRDefault="00593739" w:rsidP="00573A31">
            <w:pPr>
              <w:pStyle w:val="TableParagraph"/>
              <w:spacing w:before="6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200 mg oralno jednom dnevno</w:t>
            </w:r>
          </w:p>
        </w:tc>
      </w:tr>
      <w:tr w:rsidR="00593739" w:rsidRPr="000132D2" w14:paraId="78D8CD50" w14:textId="77777777" w:rsidTr="00AC7849">
        <w:trPr>
          <w:trHeight w:val="397"/>
        </w:trPr>
        <w:tc>
          <w:tcPr>
            <w:tcW w:w="4486" w:type="dxa"/>
          </w:tcPr>
          <w:p w14:paraId="4E9D8D54" w14:textId="77777777" w:rsidR="00593739" w:rsidRPr="000132D2" w:rsidRDefault="00593739" w:rsidP="00573A31">
            <w:pPr>
              <w:pStyle w:val="TableParagraph"/>
              <w:spacing w:before="65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200 mg oralno jednom dnevno</w:t>
            </w:r>
          </w:p>
        </w:tc>
        <w:tc>
          <w:tcPr>
            <w:tcW w:w="4453" w:type="dxa"/>
          </w:tcPr>
          <w:p w14:paraId="0D43B08D" w14:textId="77777777" w:rsidR="00593739" w:rsidRPr="000132D2" w:rsidRDefault="00593739" w:rsidP="00573A31">
            <w:pPr>
              <w:pStyle w:val="TableParagraph"/>
              <w:spacing w:before="65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100 mg oralno jednom dnevno</w:t>
            </w:r>
          </w:p>
        </w:tc>
      </w:tr>
    </w:tbl>
    <w:p w14:paraId="304969D4" w14:textId="77777777" w:rsidR="00593739" w:rsidRPr="000132D2" w:rsidRDefault="00593739" w:rsidP="00593739">
      <w:pPr>
        <w:pStyle w:val="BodyText"/>
        <w:spacing w:before="4"/>
        <w:jc w:val="both"/>
        <w:rPr>
          <w:b/>
          <w:sz w:val="21"/>
          <w:lang w:val="sr-Latn-RS"/>
        </w:rPr>
      </w:pPr>
    </w:p>
    <w:p w14:paraId="0B6DB5EC" w14:textId="77777777" w:rsidR="00593739" w:rsidRPr="000132D2" w:rsidRDefault="00593739">
      <w:pPr>
        <w:ind w:left="118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Modifikacije doze za upotrebu sa jakim induktorima CYP3A4</w:t>
      </w:r>
    </w:p>
    <w:p w14:paraId="0AE8D24A" w14:textId="5ECD6E68" w:rsidR="00593739" w:rsidRPr="000132D2" w:rsidRDefault="00593739">
      <w:pPr>
        <w:pStyle w:val="BodyText"/>
        <w:spacing w:before="1"/>
        <w:ind w:left="118" w:right="306"/>
        <w:jc w:val="both"/>
        <w:rPr>
          <w:lang w:val="sr-Latn-RS"/>
        </w:rPr>
      </w:pPr>
      <w:r w:rsidRPr="000132D2">
        <w:rPr>
          <w:lang w:val="sr-Latn-RS"/>
        </w:rPr>
        <w:t xml:space="preserve">Treba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gavati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u pralsetiniba sa jakim induktorima CYP3A4 (pogledati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4.4 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4.5). Ukoliko se ne može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ći istovremena </w:t>
      </w:r>
      <w:r w:rsidR="00674751">
        <w:rPr>
          <w:lang w:val="sr-Latn-RS"/>
        </w:rPr>
        <w:t>primjena</w:t>
      </w:r>
      <w:r w:rsidRPr="000132D2">
        <w:rPr>
          <w:lang w:val="sr-Latn-RS"/>
        </w:rPr>
        <w:t xml:space="preserve"> sa jakim induktorom CYP3A4</w:t>
      </w:r>
      <w:r>
        <w:rPr>
          <w:lang w:val="sr-Latn-RS"/>
        </w:rPr>
        <w:t>,</w:t>
      </w:r>
      <w:r w:rsidRPr="000132D2">
        <w:rPr>
          <w:lang w:val="sr-Latn-RS"/>
        </w:rPr>
        <w:t xml:space="preserve"> dozu pralsetiniba treba povećati na duplu dozu od postojeće doze pralsetiniba počev od 7. dana</w:t>
      </w:r>
      <w:r>
        <w:rPr>
          <w:lang w:val="sr-Latn-RS"/>
        </w:rPr>
        <w:t xml:space="preserve"> </w:t>
      </w:r>
      <w:r w:rsidRPr="000132D2">
        <w:rPr>
          <w:lang w:val="sr-Latn-RS"/>
        </w:rPr>
        <w:t xml:space="preserve">istovremene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e pralsetiniba sa jakim induktorom CYP3A4. Nakon što se jaki induktor CYP3A4 privremeno prekine na period od najmanje 14 dana, treba nastaviti sa dozom pralsetiniba koja je uzimana </w:t>
      </w:r>
      <w:r w:rsidR="00573A31">
        <w:rPr>
          <w:lang w:val="sr-Latn-RS"/>
        </w:rPr>
        <w:t xml:space="preserve">prije </w:t>
      </w:r>
      <w:r w:rsidRPr="000132D2">
        <w:rPr>
          <w:lang w:val="sr-Latn-RS"/>
        </w:rPr>
        <w:t>upotrebe induktora.</w:t>
      </w:r>
    </w:p>
    <w:p w14:paraId="20D81329" w14:textId="77777777" w:rsidR="00593739" w:rsidRPr="000132D2" w:rsidRDefault="00593739">
      <w:pPr>
        <w:pStyle w:val="BodyText"/>
        <w:spacing w:before="10"/>
        <w:jc w:val="both"/>
        <w:rPr>
          <w:sz w:val="21"/>
          <w:lang w:val="sr-Latn-RS"/>
        </w:rPr>
      </w:pPr>
    </w:p>
    <w:p w14:paraId="1C63E12A" w14:textId="77777777" w:rsidR="00593739" w:rsidRPr="000132D2" w:rsidRDefault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Posebne populacije</w:t>
      </w:r>
    </w:p>
    <w:p w14:paraId="3EC1D6DC" w14:textId="77777777" w:rsidR="00593739" w:rsidRPr="000132D2" w:rsidRDefault="00593739">
      <w:pPr>
        <w:pStyle w:val="BodyText"/>
        <w:spacing w:before="1"/>
        <w:jc w:val="both"/>
        <w:rPr>
          <w:sz w:val="14"/>
          <w:lang w:val="sr-Latn-RS"/>
        </w:rPr>
      </w:pPr>
    </w:p>
    <w:p w14:paraId="2D5C7E27" w14:textId="77777777" w:rsidR="00593739" w:rsidRPr="000132D2" w:rsidRDefault="00593739" w:rsidP="00AC7849">
      <w:pPr>
        <w:spacing w:before="92"/>
        <w:ind w:left="118" w:right="379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Oštećenje funkcije bubrega</w:t>
      </w:r>
    </w:p>
    <w:p w14:paraId="50607BE7" w14:textId="497CA534" w:rsidR="00593739" w:rsidRPr="000132D2" w:rsidRDefault="00593739" w:rsidP="00AC7849">
      <w:pPr>
        <w:pStyle w:val="BodyText"/>
        <w:spacing w:before="3" w:line="237" w:lineRule="auto"/>
        <w:ind w:left="118" w:right="379"/>
        <w:jc w:val="both"/>
        <w:rPr>
          <w:lang w:val="sr-Latn-RS"/>
        </w:rPr>
      </w:pPr>
      <w:r w:rsidRPr="000132D2">
        <w:rPr>
          <w:lang w:val="sr-Latn-RS"/>
        </w:rPr>
        <w:t xml:space="preserve">Ne preporučuje se nikakvo podešavanje doze kod pacijenata sa blagim ili </w:t>
      </w:r>
      <w:r w:rsidR="00297827">
        <w:rPr>
          <w:lang w:val="sr-Latn-RS"/>
        </w:rPr>
        <w:t>umjere</w:t>
      </w:r>
      <w:r w:rsidRPr="000132D2">
        <w:rPr>
          <w:lang w:val="sr-Latn-RS"/>
        </w:rPr>
        <w:t>nim oštećenjem funkcije bubrega (klirens kreatinina [CL</w:t>
      </w:r>
      <w:r w:rsidRPr="000132D2">
        <w:rPr>
          <w:sz w:val="14"/>
          <w:lang w:val="sr-Latn-RS"/>
        </w:rPr>
        <w:t>CR</w:t>
      </w:r>
      <w:r w:rsidRPr="000132D2">
        <w:rPr>
          <w:lang w:val="sr-Latn-RS"/>
        </w:rPr>
        <w:t>] 30 do 89 ml/min na osnovu proc</w:t>
      </w:r>
      <w:r w:rsidR="00297827">
        <w:rPr>
          <w:lang w:val="sr-Latn-RS"/>
        </w:rPr>
        <w:t>j</w:t>
      </w:r>
      <w:r w:rsidRPr="000132D2">
        <w:rPr>
          <w:lang w:val="sr-Latn-RS"/>
        </w:rPr>
        <w:t>ene Cockcroft-Gault). Pralsetinib nije proučavan kod pacijenata sa teškim oštećenjem funkcije bubrega (CL</w:t>
      </w:r>
      <w:r w:rsidRPr="000132D2">
        <w:rPr>
          <w:sz w:val="14"/>
          <w:lang w:val="sr-Latn-RS"/>
        </w:rPr>
        <w:t xml:space="preserve">CR </w:t>
      </w:r>
      <w:r w:rsidRPr="000132D2">
        <w:rPr>
          <w:lang w:val="sr-Latn-RS"/>
        </w:rPr>
        <w:t>15 do 29 ml/min) ili bolešću bubrega u krajnjem stadijumu</w:t>
      </w:r>
      <w:r>
        <w:rPr>
          <w:lang w:val="sr-Latn-RS"/>
        </w:rPr>
        <w:t xml:space="preserve"> </w:t>
      </w:r>
      <w:r w:rsidRPr="000132D2">
        <w:rPr>
          <w:lang w:val="sr-Latn-RS"/>
        </w:rPr>
        <w:t>(CL</w:t>
      </w:r>
      <w:r w:rsidRPr="000132D2">
        <w:rPr>
          <w:sz w:val="14"/>
          <w:lang w:val="sr-Latn-RS"/>
        </w:rPr>
        <w:t xml:space="preserve">CR </w:t>
      </w:r>
      <w:r w:rsidRPr="000132D2">
        <w:rPr>
          <w:lang w:val="sr-Latn-RS"/>
        </w:rPr>
        <w:t>&lt; 15 ml/min). Pošto je eliminacija pralsetiniba putem bubrega zanemarljiva, nije potrebno podešavanje doze kod pacijenata sa teškim oštećenjem funkcije bubrega ili bolešću bubrega u krajnjem stadijumu (</w:t>
      </w:r>
      <w:r w:rsidR="00AB582E">
        <w:rPr>
          <w:lang w:val="sr-Latn-RS"/>
        </w:rPr>
        <w:t>vidjeti</w:t>
      </w:r>
      <w:r w:rsidR="00AB582E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5.2).</w:t>
      </w:r>
    </w:p>
    <w:p w14:paraId="207E2FAD" w14:textId="77777777" w:rsidR="00593739" w:rsidRPr="000132D2" w:rsidRDefault="00593739" w:rsidP="00AC7849">
      <w:pPr>
        <w:pStyle w:val="BodyText"/>
        <w:spacing w:before="1"/>
        <w:ind w:right="379"/>
        <w:jc w:val="both"/>
        <w:rPr>
          <w:lang w:val="sr-Latn-RS"/>
        </w:rPr>
      </w:pPr>
    </w:p>
    <w:p w14:paraId="23F7C2C3" w14:textId="77777777" w:rsidR="00593739" w:rsidRPr="000132D2" w:rsidRDefault="00593739" w:rsidP="00AC7849">
      <w:pPr>
        <w:spacing w:line="252" w:lineRule="exact"/>
        <w:ind w:left="118" w:right="379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Oštećenje funkcije jetre</w:t>
      </w:r>
    </w:p>
    <w:p w14:paraId="72F76E2E" w14:textId="77777777" w:rsidR="00593739" w:rsidRPr="000132D2" w:rsidRDefault="00593739" w:rsidP="00AC7849">
      <w:pPr>
        <w:pStyle w:val="BodyText"/>
        <w:ind w:left="118" w:right="379"/>
        <w:jc w:val="both"/>
        <w:rPr>
          <w:lang w:val="sr-Latn-RS"/>
        </w:rPr>
      </w:pPr>
      <w:r w:rsidRPr="000132D2">
        <w:rPr>
          <w:lang w:val="sr-Latn-RS"/>
        </w:rPr>
        <w:t>Ne preporučuje se nikakvo podešavanje doze kod pacijenata sa blago oštećenom funkcijom jetre (ukupni bilirubin ≤ gornje granice normale [ULN] i AST &gt; ULN ili ukupni bilirubin &gt; 1 do 1,5 puta od ULN i AST).</w:t>
      </w:r>
    </w:p>
    <w:p w14:paraId="194AD585" w14:textId="56C2EC30" w:rsidR="00593739" w:rsidRPr="000132D2" w:rsidRDefault="00593739" w:rsidP="00AC7849">
      <w:pPr>
        <w:pStyle w:val="BodyText"/>
        <w:ind w:left="118" w:right="379"/>
        <w:jc w:val="both"/>
        <w:rPr>
          <w:lang w:val="sr-Latn-RS"/>
        </w:rPr>
      </w:pPr>
      <w:r w:rsidRPr="000132D2">
        <w:rPr>
          <w:lang w:val="sr-Latn-RS"/>
        </w:rPr>
        <w:t xml:space="preserve">Pralsetinib nije ispitivan kod pacijenata sa </w:t>
      </w:r>
      <w:r w:rsidR="00297827">
        <w:rPr>
          <w:lang w:val="sr-Latn-RS"/>
        </w:rPr>
        <w:t>umjere</w:t>
      </w:r>
      <w:r w:rsidRPr="000132D2">
        <w:rPr>
          <w:lang w:val="sr-Latn-RS"/>
        </w:rPr>
        <w:t>nim ili teškim oštećenjem funkcije jetre, stoga se ne preporučuje njegova upotreba kod pacijenata sa um</w:t>
      </w:r>
      <w:r w:rsidR="00297827">
        <w:rPr>
          <w:lang w:val="sr-Latn-RS"/>
        </w:rPr>
        <w:t>j</w:t>
      </w:r>
      <w:r w:rsidRPr="000132D2">
        <w:rPr>
          <w:lang w:val="sr-Latn-RS"/>
        </w:rPr>
        <w:t>erenim ili teškim oštećenjem funkcije jetre (</w:t>
      </w:r>
      <w:r w:rsidR="00AB582E">
        <w:rPr>
          <w:lang w:val="sr-Latn-RS"/>
        </w:rPr>
        <w:t>vidjeti</w:t>
      </w:r>
      <w:r w:rsidR="00AB582E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5.2).</w:t>
      </w:r>
    </w:p>
    <w:p w14:paraId="66EE1E10" w14:textId="77777777" w:rsidR="00593739" w:rsidRPr="000132D2" w:rsidRDefault="00593739" w:rsidP="00AC7849">
      <w:pPr>
        <w:pStyle w:val="BodyText"/>
        <w:spacing w:before="11"/>
        <w:ind w:right="379"/>
        <w:jc w:val="both"/>
        <w:rPr>
          <w:sz w:val="21"/>
          <w:lang w:val="sr-Latn-RS"/>
        </w:rPr>
      </w:pPr>
    </w:p>
    <w:p w14:paraId="58044858" w14:textId="77777777" w:rsidR="00593739" w:rsidRPr="000132D2" w:rsidRDefault="00593739" w:rsidP="00AC7849">
      <w:pPr>
        <w:ind w:left="118" w:right="379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Starije osobe</w:t>
      </w:r>
    </w:p>
    <w:p w14:paraId="37582D76" w14:textId="0EEBE134" w:rsidR="00593739" w:rsidRPr="000132D2" w:rsidRDefault="00593739" w:rsidP="00AC7849">
      <w:pPr>
        <w:pStyle w:val="BodyText"/>
        <w:spacing w:before="2"/>
        <w:ind w:left="118" w:right="379"/>
        <w:jc w:val="both"/>
        <w:rPr>
          <w:lang w:val="sr-Latn-RS"/>
        </w:rPr>
      </w:pPr>
      <w:r w:rsidRPr="000132D2">
        <w:rPr>
          <w:lang w:val="sr-Latn-RS"/>
        </w:rPr>
        <w:t>Kod pacijenata starih 65 godina i starijih ne preporučuje se nikakvo podešavanje doze (</w:t>
      </w:r>
      <w:r w:rsidR="00AB582E">
        <w:rPr>
          <w:lang w:val="sr-Latn-RS"/>
        </w:rPr>
        <w:t>vidjeti</w:t>
      </w:r>
      <w:r w:rsidR="00AB582E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5.1).</w:t>
      </w:r>
    </w:p>
    <w:p w14:paraId="4CD4EB5F" w14:textId="77777777" w:rsidR="00593739" w:rsidRPr="000132D2" w:rsidRDefault="00593739" w:rsidP="00AC7849">
      <w:pPr>
        <w:pStyle w:val="BodyText"/>
        <w:ind w:right="379"/>
        <w:jc w:val="both"/>
        <w:rPr>
          <w:lang w:val="sr-Latn-RS"/>
        </w:rPr>
      </w:pPr>
    </w:p>
    <w:p w14:paraId="1F567DBF" w14:textId="77777777" w:rsidR="00593739" w:rsidRPr="000132D2" w:rsidRDefault="00593739" w:rsidP="00AC7849">
      <w:pPr>
        <w:spacing w:line="252" w:lineRule="exact"/>
        <w:ind w:left="118" w:right="379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Pedijatrijska populacija</w:t>
      </w:r>
    </w:p>
    <w:p w14:paraId="5422C0E2" w14:textId="2B0E57E9" w:rsidR="00593739" w:rsidRPr="000132D2" w:rsidRDefault="00674751" w:rsidP="00AC7849">
      <w:pPr>
        <w:pStyle w:val="BodyText"/>
        <w:ind w:left="118" w:right="379"/>
        <w:jc w:val="both"/>
        <w:rPr>
          <w:lang w:val="sr-Latn-RS"/>
        </w:rPr>
      </w:pPr>
      <w:r>
        <w:rPr>
          <w:lang w:val="sr-Latn-RS"/>
        </w:rPr>
        <w:t>Bezbjednost</w:t>
      </w:r>
      <w:r w:rsidR="00593739" w:rsidRPr="000132D2">
        <w:rPr>
          <w:lang w:val="sr-Latn-RS"/>
        </w:rPr>
        <w:t xml:space="preserve"> i efikasnost pralsetiniba kod pedijatrijskih pacijenata mlađih od 18 godina sa NSCLC pozitivnim na RET fuziju </w:t>
      </w:r>
      <w:r w:rsidR="00690636">
        <w:rPr>
          <w:lang w:val="sr-Latn-RS"/>
        </w:rPr>
        <w:t>nijesu</w:t>
      </w:r>
      <w:r w:rsidR="00593739" w:rsidRPr="000132D2">
        <w:rPr>
          <w:lang w:val="sr-Latn-RS"/>
        </w:rPr>
        <w:t xml:space="preserve"> ustanovljene. Nema dostupnih podataka.</w:t>
      </w:r>
    </w:p>
    <w:p w14:paraId="544E764B" w14:textId="77777777" w:rsidR="00593739" w:rsidRPr="000132D2" w:rsidRDefault="00593739" w:rsidP="00AC7849">
      <w:pPr>
        <w:pStyle w:val="BodyText"/>
        <w:spacing w:before="11"/>
        <w:ind w:right="379"/>
        <w:jc w:val="both"/>
        <w:rPr>
          <w:sz w:val="21"/>
          <w:lang w:val="sr-Latn-RS"/>
        </w:rPr>
      </w:pPr>
    </w:p>
    <w:p w14:paraId="287DF6D9" w14:textId="243F1EE4" w:rsidR="00593739" w:rsidRDefault="00593739" w:rsidP="00AC7849">
      <w:pPr>
        <w:pStyle w:val="BodyText"/>
        <w:ind w:left="118" w:right="379"/>
        <w:jc w:val="both"/>
        <w:rPr>
          <w:lang w:val="sr-Latn-RS"/>
        </w:rPr>
      </w:pPr>
      <w:r w:rsidRPr="000132D2">
        <w:rPr>
          <w:u w:val="single"/>
          <w:lang w:val="sr-Latn-RS"/>
        </w:rPr>
        <w:t>Način prim</w:t>
      </w:r>
      <w:r>
        <w:rPr>
          <w:u w:val="single"/>
          <w:lang w:val="sr-Latn-RS"/>
        </w:rPr>
        <w:t>j</w:t>
      </w:r>
      <w:r w:rsidRPr="000132D2">
        <w:rPr>
          <w:u w:val="single"/>
          <w:lang w:val="sr-Latn-RS"/>
        </w:rPr>
        <w:t>ene</w:t>
      </w:r>
    </w:p>
    <w:p w14:paraId="0373AF56" w14:textId="0A2B53B9" w:rsidR="00593739" w:rsidRDefault="00674751" w:rsidP="00AC7849">
      <w:pPr>
        <w:pStyle w:val="BodyText"/>
        <w:spacing w:before="91"/>
        <w:ind w:left="118" w:right="379"/>
        <w:jc w:val="both"/>
        <w:rPr>
          <w:lang w:val="sr-Latn-RS"/>
        </w:rPr>
      </w:pPr>
      <w:r>
        <w:rPr>
          <w:lang w:val="sr-Latn-RS"/>
        </w:rPr>
        <w:t>Lijek</w:t>
      </w:r>
      <w:r w:rsidR="00593739">
        <w:rPr>
          <w:lang w:val="sr-Latn-RS"/>
        </w:rPr>
        <w:t xml:space="preserve"> </w:t>
      </w:r>
      <w:r w:rsidR="00593739" w:rsidRPr="000132D2">
        <w:rPr>
          <w:lang w:val="sr-Latn-RS"/>
        </w:rPr>
        <w:t>Gavreto je nam</w:t>
      </w:r>
      <w:r w:rsidR="00297827">
        <w:rPr>
          <w:lang w:val="sr-Latn-RS"/>
        </w:rPr>
        <w:t>ij</w:t>
      </w:r>
      <w:r w:rsidR="00593739" w:rsidRPr="000132D2">
        <w:rPr>
          <w:lang w:val="sr-Latn-RS"/>
        </w:rPr>
        <w:t xml:space="preserve">enjen za oralnu </w:t>
      </w:r>
      <w:r w:rsidR="00573A31">
        <w:rPr>
          <w:lang w:val="sr-Latn-RS"/>
        </w:rPr>
        <w:t>primjen</w:t>
      </w:r>
      <w:r w:rsidR="00593739" w:rsidRPr="000132D2">
        <w:rPr>
          <w:lang w:val="sr-Latn-RS"/>
        </w:rPr>
        <w:t>u. Pacijenti treba da progutaju c</w:t>
      </w:r>
      <w:r w:rsidR="00297827">
        <w:rPr>
          <w:lang w:val="sr-Latn-RS"/>
        </w:rPr>
        <w:t>ij</w:t>
      </w:r>
      <w:r w:rsidR="00593739" w:rsidRPr="000132D2">
        <w:rPr>
          <w:lang w:val="sr-Latn-RS"/>
        </w:rPr>
        <w:t xml:space="preserve">ele tvrde kapsule sa čašom vode, na prazan stomak. Ne bi trebalo da jedu barem dva sata </w:t>
      </w:r>
      <w:r w:rsidR="00573A31">
        <w:rPr>
          <w:lang w:val="sr-Latn-RS"/>
        </w:rPr>
        <w:t>prije</w:t>
      </w:r>
      <w:r w:rsidR="00297827">
        <w:rPr>
          <w:lang w:val="sr-Latn-RS"/>
        </w:rPr>
        <w:t xml:space="preserve"> </w:t>
      </w:r>
      <w:r w:rsidR="00593739" w:rsidRPr="000132D2">
        <w:rPr>
          <w:lang w:val="sr-Latn-RS"/>
        </w:rPr>
        <w:t>i barem</w:t>
      </w:r>
      <w:r w:rsidR="00593739">
        <w:rPr>
          <w:lang w:val="sr-Latn-RS"/>
        </w:rPr>
        <w:t xml:space="preserve"> jedan</w:t>
      </w:r>
      <w:r w:rsidR="00593739" w:rsidRPr="000132D2">
        <w:rPr>
          <w:lang w:val="sr-Latn-RS"/>
        </w:rPr>
        <w:t xml:space="preserve"> sat nakon uzimanja pralsetiniba (</w:t>
      </w:r>
      <w:r w:rsidR="00AB582E">
        <w:rPr>
          <w:lang w:val="sr-Latn-RS"/>
        </w:rPr>
        <w:t xml:space="preserve">vidjeti </w:t>
      </w:r>
      <w:r>
        <w:rPr>
          <w:lang w:val="sr-Latn-RS"/>
        </w:rPr>
        <w:t>dio</w:t>
      </w:r>
      <w:r w:rsidR="00593739" w:rsidRPr="000132D2">
        <w:rPr>
          <w:lang w:val="sr-Latn-RS"/>
        </w:rPr>
        <w:t xml:space="preserve"> 5.2).</w:t>
      </w:r>
    </w:p>
    <w:p w14:paraId="081A3B2E" w14:textId="77777777" w:rsidR="00593739" w:rsidRDefault="00593739" w:rsidP="00593739">
      <w:pPr>
        <w:pStyle w:val="BodyText"/>
        <w:spacing w:before="91"/>
        <w:ind w:left="118" w:right="337"/>
        <w:jc w:val="both"/>
        <w:rPr>
          <w:lang w:val="sr-Latn-RS"/>
        </w:rPr>
      </w:pPr>
    </w:p>
    <w:p w14:paraId="715D0B61" w14:textId="77777777" w:rsidR="00593739" w:rsidRPr="000132D2" w:rsidRDefault="00593739" w:rsidP="00593739">
      <w:pPr>
        <w:pStyle w:val="BodyText"/>
        <w:spacing w:before="91"/>
        <w:ind w:right="337"/>
        <w:jc w:val="both"/>
        <w:rPr>
          <w:lang w:val="sr-Latn-RS"/>
        </w:rPr>
      </w:pPr>
      <w:r>
        <w:rPr>
          <w:b/>
          <w:bCs/>
          <w:lang w:val="sr-Latn-RS"/>
        </w:rPr>
        <w:t xml:space="preserve">  4.3. </w:t>
      </w:r>
      <w:r w:rsidRPr="000132D2">
        <w:rPr>
          <w:b/>
          <w:bCs/>
          <w:lang w:val="sr-Latn-RS"/>
        </w:rPr>
        <w:t>Kontraindikacije</w:t>
      </w:r>
    </w:p>
    <w:p w14:paraId="198A86DF" w14:textId="77777777" w:rsidR="00593739" w:rsidRPr="000132D2" w:rsidRDefault="00593739" w:rsidP="00593739">
      <w:pPr>
        <w:pStyle w:val="BodyText"/>
        <w:spacing w:before="8"/>
        <w:jc w:val="both"/>
        <w:rPr>
          <w:b/>
          <w:sz w:val="21"/>
          <w:lang w:val="sr-Latn-RS"/>
        </w:rPr>
      </w:pPr>
    </w:p>
    <w:p w14:paraId="7264CB96" w14:textId="5D20FE25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lang w:val="sr-Latn-RS"/>
        </w:rPr>
        <w:t>Preos</w:t>
      </w:r>
      <w:r w:rsidR="00297827">
        <w:rPr>
          <w:lang w:val="sr-Latn-RS"/>
        </w:rPr>
        <w:t>j</w:t>
      </w:r>
      <w:r w:rsidRPr="000132D2">
        <w:rPr>
          <w:lang w:val="sr-Latn-RS"/>
        </w:rPr>
        <w:t xml:space="preserve">etljivost na aktivnu supstancu ili neku od pomoćnih supstanci navedenih u </w:t>
      </w:r>
      <w:r w:rsidR="00AB582E">
        <w:rPr>
          <w:lang w:val="sr-Latn-RS"/>
        </w:rPr>
        <w:t>dijelu</w:t>
      </w:r>
      <w:r w:rsidR="00AB582E" w:rsidRPr="000132D2">
        <w:rPr>
          <w:lang w:val="sr-Latn-RS"/>
        </w:rPr>
        <w:t xml:space="preserve"> </w:t>
      </w:r>
      <w:r w:rsidRPr="000132D2">
        <w:rPr>
          <w:lang w:val="sr-Latn-RS"/>
        </w:rPr>
        <w:t>6.1.</w:t>
      </w:r>
    </w:p>
    <w:p w14:paraId="1FE32AA3" w14:textId="77777777" w:rsidR="00593739" w:rsidRPr="000132D2" w:rsidRDefault="00593739" w:rsidP="00593739">
      <w:pPr>
        <w:pStyle w:val="BodyText"/>
        <w:spacing w:before="5"/>
        <w:jc w:val="both"/>
        <w:rPr>
          <w:lang w:val="sr-Latn-RS"/>
        </w:rPr>
      </w:pPr>
    </w:p>
    <w:p w14:paraId="68E76D7A" w14:textId="4F1F69C4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4.4. </w:t>
      </w:r>
      <w:r w:rsidRPr="000132D2">
        <w:rPr>
          <w:lang w:val="sr-Latn-RS"/>
        </w:rPr>
        <w:t>Posebna upozorenja i m</w:t>
      </w:r>
      <w:r>
        <w:rPr>
          <w:lang w:val="sr-Latn-RS"/>
        </w:rPr>
        <w:t>j</w:t>
      </w:r>
      <w:r w:rsidRPr="000132D2">
        <w:rPr>
          <w:lang w:val="sr-Latn-RS"/>
        </w:rPr>
        <w:t>ere opreza pri upotrebi l</w:t>
      </w:r>
      <w:r>
        <w:rPr>
          <w:lang w:val="sr-Latn-RS"/>
        </w:rPr>
        <w:t>ij</w:t>
      </w:r>
      <w:r w:rsidRPr="000132D2">
        <w:rPr>
          <w:lang w:val="sr-Latn-RS"/>
        </w:rPr>
        <w:t>eka</w:t>
      </w:r>
    </w:p>
    <w:p w14:paraId="115FDF5A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2608471B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Pneumonitis/ILD</w:t>
      </w:r>
    </w:p>
    <w:p w14:paraId="269C8E42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5F0A3D56" w14:textId="55C2A656" w:rsidR="00593739" w:rsidRPr="000132D2" w:rsidRDefault="00593739" w:rsidP="00593739">
      <w:pPr>
        <w:pStyle w:val="BodyText"/>
        <w:spacing w:before="92"/>
        <w:ind w:left="118" w:right="167"/>
        <w:jc w:val="both"/>
        <w:rPr>
          <w:lang w:val="sr-Latn-RS"/>
        </w:rPr>
      </w:pPr>
      <w:r w:rsidRPr="000132D2">
        <w:rPr>
          <w:lang w:val="sr-Latn-RS"/>
        </w:rPr>
        <w:t xml:space="preserve">U kliničkim ispitivanjima sa pacijentima koji su primali pralsetinib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i su teški, opasni po život slučajevi pneumonitisa/ILD ili slučajevi sa smrtnim ishodom (</w:t>
      </w:r>
      <w:r w:rsidR="00AB582E">
        <w:rPr>
          <w:lang w:val="sr-Latn-RS"/>
        </w:rPr>
        <w:t>vidjeti</w:t>
      </w:r>
      <w:r w:rsidR="00AB582E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4.8). Pacijenti kod kojih se javio simptomatski pneumonitis ili ILD bili su isključeni iz kliničkih ispitivanja.</w:t>
      </w:r>
    </w:p>
    <w:p w14:paraId="26DFF166" w14:textId="77777777" w:rsidR="00593739" w:rsidRPr="000132D2" w:rsidRDefault="00593739" w:rsidP="00593739">
      <w:pPr>
        <w:pStyle w:val="BodyText"/>
        <w:spacing w:before="9"/>
        <w:jc w:val="both"/>
        <w:rPr>
          <w:sz w:val="21"/>
          <w:lang w:val="sr-Latn-RS"/>
        </w:rPr>
      </w:pPr>
    </w:p>
    <w:p w14:paraId="783C91C5" w14:textId="77777777" w:rsidR="00593739" w:rsidRPr="000132D2" w:rsidRDefault="00593739" w:rsidP="00593739">
      <w:pPr>
        <w:pStyle w:val="BodyText"/>
        <w:spacing w:before="1"/>
        <w:ind w:left="118" w:right="118"/>
        <w:jc w:val="both"/>
        <w:rPr>
          <w:lang w:val="sr-Latn-RS"/>
        </w:rPr>
      </w:pPr>
      <w:r w:rsidRPr="000132D2">
        <w:rPr>
          <w:lang w:val="sr-Latn-RS"/>
        </w:rPr>
        <w:t>Pacijentima treba preporučiti da se odmah obrate svom pružaocu zdravstvenih usluga kako bi prijavili nove ili pogoršane respiratorne simptome.</w:t>
      </w:r>
    </w:p>
    <w:p w14:paraId="46B129DA" w14:textId="77777777" w:rsidR="00593739" w:rsidRPr="000132D2" w:rsidRDefault="00593739" w:rsidP="00593739">
      <w:pPr>
        <w:pStyle w:val="BodyText"/>
        <w:spacing w:before="2"/>
        <w:jc w:val="both"/>
        <w:rPr>
          <w:lang w:val="sr-Latn-RS"/>
        </w:rPr>
      </w:pPr>
    </w:p>
    <w:p w14:paraId="159F70A2" w14:textId="28B1E3A0" w:rsidR="00593739" w:rsidRPr="000132D2" w:rsidRDefault="00593739" w:rsidP="00593739">
      <w:pPr>
        <w:pStyle w:val="BodyText"/>
        <w:ind w:left="118" w:right="239"/>
        <w:jc w:val="both"/>
        <w:rPr>
          <w:lang w:val="sr-Latn-RS"/>
        </w:rPr>
      </w:pPr>
      <w:r w:rsidRPr="000132D2">
        <w:rPr>
          <w:lang w:val="sr-Latn-RS"/>
        </w:rPr>
        <w:t xml:space="preserve">Pacijente kod kojih se jave akutni ili pogoršani respiratorni simptomi koji ukazuju na pneumonitis/ILD (npr. dispneja, kašalj i povišena temperatura) treba ispitati kako bi se isključili drugi potencijalni uzroci. Ukoliko se smatra da su pneumonitis/ILD povezani sa pralsetinibom, dozu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a Gavreto treba privremeno prekinuti, smanjiti ili trajno prekinuti na osnovu stepena težine potvrđenog pneumonitisa/ILD (</w:t>
      </w:r>
      <w:r w:rsidR="002B2562">
        <w:rPr>
          <w:lang w:val="sr-Latn-RS"/>
        </w:rPr>
        <w:t>vidjeti</w:t>
      </w:r>
      <w:r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4.2).</w:t>
      </w:r>
    </w:p>
    <w:p w14:paraId="20B0A190" w14:textId="77777777" w:rsidR="00593739" w:rsidRPr="000132D2" w:rsidRDefault="00593739" w:rsidP="00593739">
      <w:pPr>
        <w:pStyle w:val="BodyText"/>
        <w:spacing w:before="10"/>
        <w:jc w:val="both"/>
        <w:rPr>
          <w:sz w:val="21"/>
          <w:lang w:val="sr-Latn-RS"/>
        </w:rPr>
      </w:pPr>
    </w:p>
    <w:p w14:paraId="3332D952" w14:textId="77777777" w:rsidR="00593739" w:rsidRPr="000132D2" w:rsidRDefault="00593739" w:rsidP="00593739">
      <w:pPr>
        <w:pStyle w:val="BodyText"/>
        <w:spacing w:before="1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Hipertenzija</w:t>
      </w:r>
    </w:p>
    <w:p w14:paraId="40C7E79F" w14:textId="77777777" w:rsidR="00593739" w:rsidRPr="000132D2" w:rsidRDefault="00593739" w:rsidP="00593739">
      <w:pPr>
        <w:pStyle w:val="BodyText"/>
        <w:jc w:val="both"/>
        <w:rPr>
          <w:sz w:val="14"/>
          <w:lang w:val="sr-Latn-RS"/>
        </w:rPr>
      </w:pPr>
    </w:p>
    <w:p w14:paraId="500D8784" w14:textId="77A8DB82" w:rsidR="00593739" w:rsidRPr="000132D2" w:rsidRDefault="00593739" w:rsidP="00593739">
      <w:pPr>
        <w:pStyle w:val="BodyText"/>
        <w:spacing w:before="92"/>
        <w:ind w:left="118" w:right="118"/>
        <w:jc w:val="both"/>
        <w:rPr>
          <w:lang w:val="sr-Latn-RS"/>
        </w:rPr>
      </w:pPr>
      <w:r w:rsidRPr="000132D2">
        <w:rPr>
          <w:lang w:val="sr-Latn-RS"/>
        </w:rPr>
        <w:t xml:space="preserve">Hipertenzija je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a kod pacijenata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nih pralsetinibom u kliničkim ispitivanjima (pogledati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4.8). Hipertenzija povezana sa terapijom najčešće je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>na antihipertenzivima.</w:t>
      </w:r>
    </w:p>
    <w:p w14:paraId="3214BB1B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605AC0B7" w14:textId="4B7626A0" w:rsidR="00593739" w:rsidRPr="000132D2" w:rsidRDefault="00573A31" w:rsidP="00593739">
      <w:pPr>
        <w:pStyle w:val="BodyText"/>
        <w:ind w:left="118" w:right="195"/>
        <w:jc w:val="both"/>
        <w:rPr>
          <w:lang w:val="sr-Latn-RS"/>
        </w:rPr>
      </w:pPr>
      <w:r>
        <w:rPr>
          <w:lang w:val="sr-Latn-RS"/>
        </w:rPr>
        <w:t>Liječe</w:t>
      </w:r>
      <w:r w:rsidR="00593739" w:rsidRPr="000132D2">
        <w:rPr>
          <w:lang w:val="sr-Latn-RS"/>
        </w:rPr>
        <w:t xml:space="preserve">nje </w:t>
      </w:r>
      <w:r w:rsidR="00674751">
        <w:rPr>
          <w:lang w:val="sr-Latn-RS"/>
        </w:rPr>
        <w:t>lijek</w:t>
      </w:r>
      <w:r w:rsidR="00593739" w:rsidRPr="000132D2">
        <w:rPr>
          <w:lang w:val="sr-Latn-RS"/>
        </w:rPr>
        <w:t xml:space="preserve">om Gavreto ne treba započinjati kod pacijenata sa nekontrolisanom hipertenzijom. Već postojeću hipertenziju treba adekvatno kontrolisati </w:t>
      </w:r>
      <w:r>
        <w:rPr>
          <w:lang w:val="sr-Latn-RS"/>
        </w:rPr>
        <w:t xml:space="preserve">prije </w:t>
      </w:r>
      <w:r w:rsidR="00593739" w:rsidRPr="000132D2">
        <w:rPr>
          <w:lang w:val="sr-Latn-RS"/>
        </w:rPr>
        <w:t xml:space="preserve">početka terapije </w:t>
      </w:r>
      <w:r w:rsidR="00674751">
        <w:rPr>
          <w:lang w:val="sr-Latn-RS"/>
        </w:rPr>
        <w:t>lijek</w:t>
      </w:r>
      <w:r w:rsidR="00593739" w:rsidRPr="000132D2">
        <w:rPr>
          <w:lang w:val="sr-Latn-RS"/>
        </w:rPr>
        <w:t xml:space="preserve">om Gavreto. Praćenje krvnog pritiska se preporučuje nakon 1 </w:t>
      </w:r>
      <w:r w:rsidR="00513EC0">
        <w:rPr>
          <w:lang w:val="sr-Latn-RS"/>
        </w:rPr>
        <w:t>nedjelj</w:t>
      </w:r>
      <w:r w:rsidR="00593739" w:rsidRPr="000132D2">
        <w:rPr>
          <w:lang w:val="sr-Latn-RS"/>
        </w:rPr>
        <w:t xml:space="preserve">e, a nakon toga barem jednom </w:t>
      </w:r>
      <w:r w:rsidR="00513EC0">
        <w:rPr>
          <w:lang w:val="sr-Latn-RS"/>
        </w:rPr>
        <w:t>mjeseč</w:t>
      </w:r>
      <w:r w:rsidR="00593739" w:rsidRPr="000132D2">
        <w:rPr>
          <w:lang w:val="sr-Latn-RS"/>
        </w:rPr>
        <w:t>no i prema kliničkim indikacijama. Antihipertenzivnu terapiju treba uvesti ili podesiti po potrebi. Dozu treba privremeno prekinuti, smanjiti</w:t>
      </w:r>
      <w:r w:rsidR="00593739">
        <w:rPr>
          <w:lang w:val="sr-Latn-RS"/>
        </w:rPr>
        <w:t>,</w:t>
      </w:r>
      <w:r w:rsidR="00593739" w:rsidRPr="000132D2">
        <w:rPr>
          <w:lang w:val="sr-Latn-RS"/>
        </w:rPr>
        <w:t xml:space="preserve"> ili trajno prekinuti na osnovu stepena težine hipertenzije </w:t>
      </w:r>
      <w:r w:rsidR="00297827">
        <w:rPr>
          <w:lang w:val="sr-Latn-RS"/>
        </w:rPr>
        <w:t>zabilježen</w:t>
      </w:r>
      <w:r w:rsidR="00593739" w:rsidRPr="000132D2">
        <w:rPr>
          <w:lang w:val="sr-Latn-RS"/>
        </w:rPr>
        <w:t xml:space="preserve">e tokom terapije </w:t>
      </w:r>
      <w:r w:rsidR="00674751">
        <w:rPr>
          <w:lang w:val="sr-Latn-RS"/>
        </w:rPr>
        <w:t>lijek</w:t>
      </w:r>
      <w:r w:rsidR="00593739" w:rsidRPr="000132D2">
        <w:rPr>
          <w:lang w:val="sr-Latn-RS"/>
        </w:rPr>
        <w:t>om Gavreto (</w:t>
      </w:r>
      <w:r w:rsidR="002B2562">
        <w:rPr>
          <w:lang w:val="sr-Latn-RS"/>
        </w:rPr>
        <w:t>vidjeti</w:t>
      </w:r>
      <w:r w:rsidR="002B2562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="00593739" w:rsidRPr="000132D2">
        <w:rPr>
          <w:lang w:val="sr-Latn-RS"/>
        </w:rPr>
        <w:t xml:space="preserve"> 4.2).</w:t>
      </w:r>
    </w:p>
    <w:p w14:paraId="14A01861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5CD40A4B" w14:textId="40F026D6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Povišen</w:t>
      </w:r>
      <w:r w:rsidR="00197F74">
        <w:rPr>
          <w:u w:val="single"/>
          <w:lang w:val="sr-Latn-RS"/>
        </w:rPr>
        <w:t>e</w:t>
      </w:r>
      <w:r w:rsidRPr="000132D2">
        <w:rPr>
          <w:u w:val="single"/>
          <w:lang w:val="sr-Latn-RS"/>
        </w:rPr>
        <w:t xml:space="preserve"> </w:t>
      </w:r>
      <w:r w:rsidR="00197F74">
        <w:rPr>
          <w:u w:val="single"/>
          <w:lang w:val="sr-Latn-RS"/>
        </w:rPr>
        <w:t xml:space="preserve">vrijednosti </w:t>
      </w:r>
      <w:r w:rsidRPr="000132D2">
        <w:rPr>
          <w:u w:val="single"/>
          <w:lang w:val="sr-Latn-RS"/>
        </w:rPr>
        <w:t>transaminaza</w:t>
      </w:r>
    </w:p>
    <w:p w14:paraId="4D9BBCE8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6AAAEC11" w14:textId="47B8DD63" w:rsidR="00593739" w:rsidRPr="000132D2" w:rsidRDefault="00593739" w:rsidP="00593739">
      <w:pPr>
        <w:pStyle w:val="BodyText"/>
        <w:spacing w:before="92"/>
        <w:ind w:left="118" w:right="528"/>
        <w:jc w:val="both"/>
        <w:rPr>
          <w:lang w:val="sr-Latn-RS"/>
        </w:rPr>
      </w:pPr>
      <w:r w:rsidRPr="000132D2">
        <w:rPr>
          <w:lang w:val="sr-Latn-RS"/>
        </w:rPr>
        <w:t xml:space="preserve">U kliničkim ispitivanjima sa pacijentima koji su primali pralsetinib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i su teški slučajevi povišenih </w:t>
      </w:r>
      <w:r w:rsidR="00197F74">
        <w:rPr>
          <w:lang w:val="sr-Latn-RS"/>
        </w:rPr>
        <w:t>vrijednosti</w:t>
      </w:r>
      <w:r w:rsidR="00197F74" w:rsidRPr="000132D2">
        <w:rPr>
          <w:lang w:val="sr-Latn-RS"/>
        </w:rPr>
        <w:t xml:space="preserve"> </w:t>
      </w:r>
      <w:r w:rsidRPr="000132D2">
        <w:rPr>
          <w:lang w:val="sr-Latn-RS"/>
        </w:rPr>
        <w:t>transaminaza (</w:t>
      </w:r>
      <w:r w:rsidR="002B2562">
        <w:rPr>
          <w:lang w:val="sr-Latn-RS"/>
        </w:rPr>
        <w:t>vidjeti</w:t>
      </w:r>
      <w:r w:rsidR="002B2562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4.8).</w:t>
      </w:r>
    </w:p>
    <w:p w14:paraId="3A2F3592" w14:textId="77777777" w:rsidR="00593739" w:rsidRPr="000132D2" w:rsidRDefault="00593739" w:rsidP="00593739">
      <w:pPr>
        <w:pStyle w:val="BodyText"/>
        <w:spacing w:before="11"/>
        <w:jc w:val="both"/>
        <w:rPr>
          <w:sz w:val="21"/>
          <w:lang w:val="sr-Latn-RS"/>
        </w:rPr>
      </w:pPr>
    </w:p>
    <w:p w14:paraId="4027035F" w14:textId="3F4BFF75" w:rsidR="00593739" w:rsidRPr="000132D2" w:rsidRDefault="00593739" w:rsidP="00AC7849">
      <w:pPr>
        <w:pStyle w:val="BodyText"/>
        <w:spacing w:line="252" w:lineRule="exact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ALT i AST treba pratiti </w:t>
      </w:r>
      <w:r w:rsidR="00573A31">
        <w:rPr>
          <w:lang w:val="sr-Latn-RS"/>
        </w:rPr>
        <w:t xml:space="preserve">prije </w:t>
      </w:r>
      <w:r w:rsidRPr="000132D2">
        <w:rPr>
          <w:lang w:val="sr-Latn-RS"/>
        </w:rPr>
        <w:t xml:space="preserve">uvođenja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a Gavreto, svake 2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e tokom prva</w:t>
      </w:r>
      <w:r>
        <w:rPr>
          <w:lang w:val="sr-Latn-RS"/>
        </w:rPr>
        <w:t xml:space="preserve"> </w:t>
      </w:r>
      <w:r w:rsidRPr="000132D2">
        <w:rPr>
          <w:lang w:val="sr-Latn-RS"/>
        </w:rPr>
        <w:t xml:space="preserve">3 </w:t>
      </w:r>
      <w:r w:rsidR="00513EC0">
        <w:rPr>
          <w:lang w:val="sr-Latn-RS"/>
        </w:rPr>
        <w:t>mjesec</w:t>
      </w:r>
      <w:r w:rsidRPr="000132D2">
        <w:rPr>
          <w:lang w:val="sr-Latn-RS"/>
        </w:rPr>
        <w:t xml:space="preserve">a, a nakon toga jednom </w:t>
      </w:r>
      <w:r w:rsidR="00513EC0">
        <w:rPr>
          <w:lang w:val="sr-Latn-RS"/>
        </w:rPr>
        <w:t>mjeseč</w:t>
      </w:r>
      <w:r w:rsidRPr="000132D2">
        <w:rPr>
          <w:lang w:val="sr-Latn-RS"/>
        </w:rPr>
        <w:t xml:space="preserve">no i prema kliničkim indikacijama.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nje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om Gavreto treba privremeno prekinuti, smanjiti ili trajno prekinuti na osnovu stepena težine povišenih nivoa transaminaza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ih tokom terapije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om Gavreto (</w:t>
      </w:r>
      <w:r w:rsidR="002B2562">
        <w:rPr>
          <w:lang w:val="sr-Latn-RS"/>
        </w:rPr>
        <w:t>vidjeti</w:t>
      </w:r>
      <w:r w:rsidR="002B2562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4.2).</w:t>
      </w:r>
    </w:p>
    <w:p w14:paraId="33B92B7B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48A77D96" w14:textId="77777777" w:rsidR="00197F74" w:rsidRDefault="00197F74" w:rsidP="00593739">
      <w:pPr>
        <w:pStyle w:val="BodyText"/>
        <w:spacing w:before="1"/>
        <w:ind w:left="118"/>
        <w:jc w:val="both"/>
        <w:rPr>
          <w:u w:val="single"/>
          <w:lang w:val="sr-Latn-RS"/>
        </w:rPr>
      </w:pPr>
    </w:p>
    <w:p w14:paraId="61C5CA99" w14:textId="2374888E" w:rsidR="00593739" w:rsidRPr="000132D2" w:rsidRDefault="00593739" w:rsidP="00593739">
      <w:pPr>
        <w:pStyle w:val="BodyText"/>
        <w:spacing w:before="1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Hemoragijski događaji</w:t>
      </w:r>
    </w:p>
    <w:p w14:paraId="7BFA4345" w14:textId="77777777" w:rsidR="00593739" w:rsidRPr="000132D2" w:rsidRDefault="00593739" w:rsidP="00593739">
      <w:pPr>
        <w:pStyle w:val="BodyText"/>
        <w:jc w:val="both"/>
        <w:rPr>
          <w:sz w:val="14"/>
          <w:lang w:val="sr-Latn-RS"/>
        </w:rPr>
      </w:pPr>
    </w:p>
    <w:p w14:paraId="4AF3994A" w14:textId="6193F0F6" w:rsidR="00593739" w:rsidRPr="000132D2" w:rsidRDefault="00593739" w:rsidP="00593739">
      <w:pPr>
        <w:pStyle w:val="BodyText"/>
        <w:spacing w:before="92"/>
        <w:ind w:left="118" w:right="247"/>
        <w:jc w:val="both"/>
        <w:rPr>
          <w:lang w:val="sr-Latn-RS"/>
        </w:rPr>
      </w:pPr>
      <w:r w:rsidRPr="000132D2">
        <w:rPr>
          <w:lang w:val="sr-Latn-RS"/>
        </w:rPr>
        <w:t xml:space="preserve">Tokom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a Gavreto mogu se javiti teški hemoragijski događaji, uključujući smrtan ishod. </w:t>
      </w:r>
      <w:r w:rsidRPr="000132D2">
        <w:rPr>
          <w:lang w:val="sr-Latn-RS"/>
        </w:rPr>
        <w:lastRenderedPageBreak/>
        <w:t xml:space="preserve">Kod pacijenata sa rekurentnom ili hemoragijom opasnom po život treba trajno prekinuti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u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a Gavreto (</w:t>
      </w:r>
      <w:r w:rsidR="002B2562">
        <w:rPr>
          <w:lang w:val="sr-Latn-RS"/>
        </w:rPr>
        <w:t>vidjeti</w:t>
      </w:r>
      <w:r w:rsidR="002B2562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4.2).</w:t>
      </w:r>
    </w:p>
    <w:p w14:paraId="7E4C8305" w14:textId="77777777" w:rsidR="00593739" w:rsidRPr="000132D2" w:rsidRDefault="00593739" w:rsidP="00593739">
      <w:pPr>
        <w:pStyle w:val="BodyText"/>
        <w:spacing w:before="11"/>
        <w:jc w:val="both"/>
        <w:rPr>
          <w:sz w:val="21"/>
          <w:lang w:val="sr-Latn-RS"/>
        </w:rPr>
      </w:pPr>
    </w:p>
    <w:p w14:paraId="584B6089" w14:textId="0BC89E82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Produženje QT</w:t>
      </w:r>
      <w:r w:rsidR="00F57FB1">
        <w:rPr>
          <w:u w:val="single"/>
          <w:lang w:val="sr-Latn-RS"/>
        </w:rPr>
        <w:t xml:space="preserve"> intervala</w:t>
      </w:r>
    </w:p>
    <w:p w14:paraId="5EC33C36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02E9D8A9" w14:textId="646E3F2C" w:rsidR="00593739" w:rsidRPr="000132D2" w:rsidRDefault="00593739" w:rsidP="00593739">
      <w:pPr>
        <w:pStyle w:val="BodyText"/>
        <w:spacing w:before="92"/>
        <w:ind w:left="118" w:right="227"/>
        <w:jc w:val="both"/>
        <w:rPr>
          <w:lang w:val="sr-Latn-RS"/>
        </w:rPr>
      </w:pPr>
      <w:r w:rsidRPr="000132D2">
        <w:rPr>
          <w:lang w:val="sr-Latn-RS"/>
        </w:rPr>
        <w:t xml:space="preserve">Produženje intervala QT je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o kod pacijenata koji su primali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 Gavreto u kliničkim ispitivanjima (</w:t>
      </w:r>
      <w:r w:rsidR="002B2562">
        <w:rPr>
          <w:lang w:val="sr-Latn-RS"/>
        </w:rPr>
        <w:t>vidjet</w:t>
      </w:r>
      <w:r w:rsidRPr="000132D2">
        <w:rPr>
          <w:lang w:val="sr-Latn-RS"/>
        </w:rPr>
        <w:t xml:space="preserve">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4.8). Stoga bi </w:t>
      </w:r>
      <w:r w:rsidR="00573A31">
        <w:rPr>
          <w:lang w:val="sr-Latn-RS"/>
        </w:rPr>
        <w:t xml:space="preserve">prije </w:t>
      </w:r>
      <w:r w:rsidRPr="000132D2">
        <w:rPr>
          <w:lang w:val="sr-Latn-RS"/>
        </w:rPr>
        <w:t xml:space="preserve">početka terapije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om Gavreto pacijenti trebalo da imaju interval QTc</w:t>
      </w:r>
      <w:r>
        <w:rPr>
          <w:lang w:val="sr-Latn-RS"/>
        </w:rPr>
        <w:t xml:space="preserve"> </w:t>
      </w:r>
      <w:r w:rsidRPr="000132D2">
        <w:rPr>
          <w:lang w:val="sr-Latn-RS"/>
        </w:rPr>
        <w:t>≤ 470 ms i nivo e</w:t>
      </w:r>
      <w:r w:rsidR="00674751">
        <w:rPr>
          <w:lang w:val="sr-Latn-RS"/>
        </w:rPr>
        <w:t>lek</w:t>
      </w:r>
      <w:r w:rsidRPr="000132D2">
        <w:rPr>
          <w:lang w:val="sr-Latn-RS"/>
        </w:rPr>
        <w:t xml:space="preserve">trolita u serumu u normalnom rasponu. </w:t>
      </w:r>
      <w:r w:rsidR="00573A31">
        <w:rPr>
          <w:lang w:val="sr-Latn-RS"/>
        </w:rPr>
        <w:t xml:space="preserve">Prije </w:t>
      </w:r>
      <w:r w:rsidRPr="000132D2">
        <w:rPr>
          <w:lang w:val="sr-Latn-RS"/>
        </w:rPr>
        <w:t xml:space="preserve">i tokom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nja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om Gavreto treba korigovati hipokal</w:t>
      </w:r>
      <w:r w:rsidR="002B2562">
        <w:rPr>
          <w:lang w:val="sr-Latn-RS"/>
        </w:rPr>
        <w:t>ij</w:t>
      </w:r>
      <w:r w:rsidRPr="000132D2">
        <w:rPr>
          <w:lang w:val="sr-Latn-RS"/>
        </w:rPr>
        <w:t>emiju, hipomagnezemiju i hipokalcemiju. E</w:t>
      </w:r>
      <w:r w:rsidR="00674751">
        <w:rPr>
          <w:lang w:val="sr-Latn-RS"/>
        </w:rPr>
        <w:t>lek</w:t>
      </w:r>
      <w:r w:rsidRPr="000132D2">
        <w:rPr>
          <w:lang w:val="sr-Latn-RS"/>
        </w:rPr>
        <w:t>trokardiograme (EKG) i nivoe e</w:t>
      </w:r>
      <w:r w:rsidR="00674751">
        <w:rPr>
          <w:lang w:val="sr-Latn-RS"/>
        </w:rPr>
        <w:t>lek</w:t>
      </w:r>
      <w:r w:rsidRPr="000132D2">
        <w:rPr>
          <w:lang w:val="sr-Latn-RS"/>
        </w:rPr>
        <w:t xml:space="preserve">trolita u serumu treba pratiti na kraju prve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 xml:space="preserve">e i prvog </w:t>
      </w:r>
      <w:r w:rsidR="00513EC0">
        <w:rPr>
          <w:lang w:val="sr-Latn-RS"/>
        </w:rPr>
        <w:t>mjesec</w:t>
      </w:r>
      <w:r w:rsidRPr="000132D2">
        <w:rPr>
          <w:lang w:val="sr-Latn-RS"/>
        </w:rPr>
        <w:t xml:space="preserve">a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nja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om Gavreto, a onda periodično, kako je klinički indikovano, takođe u zavisnosti od ostalih faktora rizika (npr. interkurentna dijareja, povraćanje, mučnina, </w:t>
      </w:r>
      <w:r w:rsidR="00674751">
        <w:rPr>
          <w:lang w:val="sr-Latn-RS"/>
        </w:rPr>
        <w:t>ljekov</w:t>
      </w:r>
      <w:r w:rsidRPr="000132D2">
        <w:rPr>
          <w:lang w:val="sr-Latn-RS"/>
        </w:rPr>
        <w:t xml:space="preserve">i za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u).</w:t>
      </w:r>
    </w:p>
    <w:p w14:paraId="6029743B" w14:textId="747A70EB" w:rsidR="00593739" w:rsidRPr="000132D2" w:rsidRDefault="00593739" w:rsidP="00593739">
      <w:pPr>
        <w:pStyle w:val="BodyText"/>
        <w:spacing w:before="80"/>
        <w:ind w:left="118" w:right="247"/>
        <w:jc w:val="both"/>
        <w:rPr>
          <w:lang w:val="sr-Latn-RS"/>
        </w:rPr>
      </w:pPr>
      <w:r w:rsidRPr="000132D2">
        <w:rPr>
          <w:lang w:val="sr-Latn-RS"/>
        </w:rPr>
        <w:t xml:space="preserve">Pralsetinib treba pažljivo koristiti kod pacijenata sa srčanim aritmijama ili produženjem QT intervala u anamnezi, kao i kod pacijenata </w:t>
      </w:r>
      <w:r w:rsidR="002B2562">
        <w:rPr>
          <w:lang w:val="sr-Latn-RS"/>
        </w:rPr>
        <w:t>koji su na terapiji jakim inhibitorima</w:t>
      </w:r>
      <w:r w:rsidRPr="000132D2">
        <w:rPr>
          <w:lang w:val="sr-Latn-RS"/>
        </w:rPr>
        <w:t xml:space="preserve"> CYP3A4 ili na </w:t>
      </w:r>
      <w:r w:rsidR="00674751">
        <w:rPr>
          <w:lang w:val="sr-Latn-RS"/>
        </w:rPr>
        <w:t>ljekov</w:t>
      </w:r>
      <w:r w:rsidRPr="000132D2">
        <w:rPr>
          <w:lang w:val="sr-Latn-RS"/>
        </w:rPr>
        <w:t>ima za koje se zna da su povezani sa produženjem QT/QTc.</w:t>
      </w:r>
    </w:p>
    <w:p w14:paraId="315CD50D" w14:textId="77777777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07201FDB" w14:textId="77777777" w:rsidR="008B5C2F" w:rsidRDefault="002B2562" w:rsidP="00AC7849">
      <w:pPr>
        <w:pStyle w:val="BodyText"/>
        <w:ind w:left="142" w:right="238"/>
        <w:jc w:val="both"/>
        <w:rPr>
          <w:lang w:val="sr-Latn-RS"/>
        </w:rPr>
      </w:pPr>
      <w:r>
        <w:rPr>
          <w:rStyle w:val="markedcontent"/>
        </w:rPr>
        <w:t>Možda će biti potrebno privremeno prekinuti primjenu lijeka, prilagoditi dozu ili trajno prekinuti</w:t>
      </w:r>
      <w:r>
        <w:br/>
      </w:r>
      <w:r>
        <w:rPr>
          <w:rStyle w:val="markedcontent"/>
        </w:rPr>
        <w:t>liječenje lijekom Gavreto (vidjeti dio 4.2)</w:t>
      </w:r>
    </w:p>
    <w:p w14:paraId="29859285" w14:textId="77777777" w:rsidR="008B5C2F" w:rsidRDefault="008B5C2F" w:rsidP="00AC7849">
      <w:pPr>
        <w:pStyle w:val="BodyText"/>
        <w:ind w:left="142" w:right="238"/>
        <w:jc w:val="both"/>
        <w:rPr>
          <w:lang w:val="sr-Latn-RS"/>
        </w:rPr>
      </w:pPr>
    </w:p>
    <w:p w14:paraId="0D769AB8" w14:textId="77777777" w:rsidR="008B5C2F" w:rsidRPr="003F76AF" w:rsidRDefault="008B5C2F" w:rsidP="008B5C2F">
      <w:pPr>
        <w:pStyle w:val="BodyText"/>
        <w:ind w:left="142" w:right="238"/>
        <w:jc w:val="both"/>
        <w:rPr>
          <w:u w:val="single"/>
          <w:lang w:val="sr-Latn-RS"/>
        </w:rPr>
      </w:pPr>
      <w:r w:rsidRPr="003F76AF">
        <w:rPr>
          <w:u w:val="single"/>
          <w:lang w:val="sr-Latn-RS"/>
        </w:rPr>
        <w:t>Tuberkuloza</w:t>
      </w:r>
    </w:p>
    <w:p w14:paraId="1A1A3B2B" w14:textId="77777777" w:rsidR="008B5C2F" w:rsidRPr="008B5C2F" w:rsidRDefault="008B5C2F" w:rsidP="008B5C2F">
      <w:pPr>
        <w:pStyle w:val="BodyText"/>
        <w:ind w:left="142" w:right="238"/>
        <w:jc w:val="both"/>
        <w:rPr>
          <w:lang w:val="sr-Latn-RS"/>
        </w:rPr>
      </w:pPr>
    </w:p>
    <w:p w14:paraId="2E8E1808" w14:textId="30FE505E" w:rsidR="002B2562" w:rsidRDefault="008B5C2F" w:rsidP="008B5C2F">
      <w:pPr>
        <w:pStyle w:val="BodyText"/>
        <w:ind w:left="142" w:right="238"/>
        <w:jc w:val="both"/>
        <w:rPr>
          <w:lang w:val="sr-Latn-RS"/>
        </w:rPr>
      </w:pPr>
      <w:r>
        <w:rPr>
          <w:lang w:val="sr-Latn-RS"/>
        </w:rPr>
        <w:t>Kod pacijenata</w:t>
      </w:r>
      <w:r w:rsidRPr="008B5C2F">
        <w:rPr>
          <w:lang w:val="sr-Latn-RS"/>
        </w:rPr>
        <w:t xml:space="preserve"> liječenih lijekom Gavreto prijavljena je tuberkuloza, većinom ekstrapulmonalna. Prije početka liječenja </w:t>
      </w:r>
      <w:r>
        <w:rPr>
          <w:lang w:val="sr-Latn-RS"/>
        </w:rPr>
        <w:t xml:space="preserve">pacijente </w:t>
      </w:r>
      <w:r w:rsidRPr="008B5C2F">
        <w:rPr>
          <w:lang w:val="sr-Latn-RS"/>
        </w:rPr>
        <w:t>treba procijeniti kako bi se utvrdilo imaju li aktivnu ili inaktivnu (“latentnu”) tuberkulozu, u skladu s</w:t>
      </w:r>
      <w:r>
        <w:rPr>
          <w:lang w:val="sr-Latn-RS"/>
        </w:rPr>
        <w:t>a</w:t>
      </w:r>
      <w:r w:rsidRPr="008B5C2F">
        <w:rPr>
          <w:lang w:val="sr-Latn-RS"/>
        </w:rPr>
        <w:t xml:space="preserve"> lokalnim preporukama. Prije početka liječenja lijekom Gavreto, </w:t>
      </w:r>
      <w:r>
        <w:rPr>
          <w:lang w:val="sr-Latn-RS"/>
        </w:rPr>
        <w:t>pacijent</w:t>
      </w:r>
      <w:r w:rsidRPr="008B5C2F">
        <w:rPr>
          <w:lang w:val="sr-Latn-RS"/>
        </w:rPr>
        <w:t>e s</w:t>
      </w:r>
      <w:r>
        <w:rPr>
          <w:lang w:val="sr-Latn-RS"/>
        </w:rPr>
        <w:t>a</w:t>
      </w:r>
      <w:r w:rsidRPr="008B5C2F">
        <w:rPr>
          <w:lang w:val="sr-Latn-RS"/>
        </w:rPr>
        <w:t xml:space="preserve"> aktivnom ili latentnom tuberkulozom treba </w:t>
      </w:r>
      <w:r w:rsidR="00FB1168">
        <w:rPr>
          <w:lang w:val="sr-Latn-RS"/>
        </w:rPr>
        <w:t xml:space="preserve">započeti </w:t>
      </w:r>
      <w:r w:rsidRPr="008B5C2F">
        <w:rPr>
          <w:lang w:val="sr-Latn-RS"/>
        </w:rPr>
        <w:t>liječ</w:t>
      </w:r>
      <w:r w:rsidR="00FB1168">
        <w:rPr>
          <w:lang w:val="sr-Latn-RS"/>
        </w:rPr>
        <w:t>enje</w:t>
      </w:r>
      <w:r w:rsidRPr="008B5C2F">
        <w:rPr>
          <w:lang w:val="sr-Latn-RS"/>
        </w:rPr>
        <w:t xml:space="preserve"> standardnom antimikobakterijskom terapijom.</w:t>
      </w:r>
    </w:p>
    <w:p w14:paraId="58473629" w14:textId="77777777" w:rsidR="002B2562" w:rsidRDefault="002B2562" w:rsidP="00AC7849">
      <w:pPr>
        <w:pStyle w:val="BodyText"/>
        <w:jc w:val="both"/>
        <w:rPr>
          <w:lang w:val="sr-Latn-RS"/>
        </w:rPr>
      </w:pPr>
    </w:p>
    <w:p w14:paraId="5705E975" w14:textId="779270DB" w:rsidR="00593739" w:rsidRPr="000132D2" w:rsidRDefault="00593739" w:rsidP="00593739">
      <w:pPr>
        <w:pStyle w:val="BodyText"/>
        <w:spacing w:line="477" w:lineRule="auto"/>
        <w:ind w:left="118" w:right="130"/>
        <w:jc w:val="both"/>
        <w:rPr>
          <w:lang w:val="sr-Latn-RS"/>
        </w:rPr>
      </w:pPr>
      <w:r w:rsidRPr="000132D2">
        <w:rPr>
          <w:u w:val="single"/>
          <w:lang w:val="sr-Latn-RS"/>
        </w:rPr>
        <w:t>Interakcije sa drugim l</w:t>
      </w:r>
      <w:r>
        <w:rPr>
          <w:u w:val="single"/>
          <w:lang w:val="sr-Latn-RS"/>
        </w:rPr>
        <w:t>j</w:t>
      </w:r>
      <w:r w:rsidRPr="000132D2">
        <w:rPr>
          <w:u w:val="single"/>
          <w:lang w:val="sr-Latn-RS"/>
        </w:rPr>
        <w:t>ekovima</w:t>
      </w:r>
    </w:p>
    <w:p w14:paraId="18DA21CC" w14:textId="251BFA8E" w:rsidR="00593739" w:rsidRPr="000132D2" w:rsidRDefault="00593739" w:rsidP="00593739">
      <w:pPr>
        <w:pStyle w:val="BodyText"/>
        <w:spacing w:before="4"/>
        <w:ind w:left="118" w:right="130"/>
        <w:jc w:val="both"/>
        <w:rPr>
          <w:lang w:val="sr-Latn-RS"/>
        </w:rPr>
      </w:pPr>
      <w:r w:rsidRPr="000132D2">
        <w:rPr>
          <w:lang w:val="sr-Latn-RS"/>
        </w:rPr>
        <w:t xml:space="preserve">Treba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gavati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u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a Gavreto sa jakim inhibitorima CYP3A4 ili kombinovanim P-gp i jakim inhibitorima CYP3A4 jer oni mogu </w:t>
      </w:r>
      <w:r w:rsidR="00DD365D">
        <w:rPr>
          <w:lang w:val="sr-Latn-RS"/>
        </w:rPr>
        <w:t>povećati</w:t>
      </w:r>
      <w:r w:rsidRPr="000132D2">
        <w:rPr>
          <w:lang w:val="sr-Latn-RS"/>
        </w:rPr>
        <w:t xml:space="preserve"> koncentraciju pralsetiniba u plazmi (</w:t>
      </w:r>
      <w:r w:rsidR="00DD365D">
        <w:rPr>
          <w:lang w:val="sr-Latn-RS"/>
        </w:rPr>
        <w:t>vidjeti djelove</w:t>
      </w:r>
      <w:r w:rsidRPr="000132D2">
        <w:rPr>
          <w:lang w:val="sr-Latn-RS"/>
        </w:rPr>
        <w:t xml:space="preserve"> 4.2 i 4.5).</w:t>
      </w:r>
    </w:p>
    <w:p w14:paraId="034F3EFE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12304C60" w14:textId="1EFB4F57" w:rsidR="00593739" w:rsidRPr="000132D2" w:rsidRDefault="00593739" w:rsidP="00593739">
      <w:pPr>
        <w:pStyle w:val="BodyText"/>
        <w:spacing w:before="1"/>
        <w:ind w:left="118" w:right="581"/>
        <w:jc w:val="both"/>
        <w:rPr>
          <w:lang w:val="sr-Latn-RS"/>
        </w:rPr>
      </w:pPr>
      <w:r w:rsidRPr="000132D2">
        <w:rPr>
          <w:lang w:val="sr-Latn-RS"/>
        </w:rPr>
        <w:t xml:space="preserve">Treba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gavati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u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a Gavreto sa jakim induktorima CYP3A4 jer oni mogu </w:t>
      </w:r>
      <w:r w:rsidR="00DD365D">
        <w:rPr>
          <w:lang w:val="sr-Latn-RS"/>
        </w:rPr>
        <w:t>smanjiti</w:t>
      </w:r>
      <w:r w:rsidRPr="000132D2">
        <w:rPr>
          <w:lang w:val="sr-Latn-RS"/>
        </w:rPr>
        <w:t xml:space="preserve"> koncentraciju pralsetiniba u plazmi (</w:t>
      </w:r>
      <w:r w:rsidR="00DD365D">
        <w:rPr>
          <w:lang w:val="sr-Latn-RS"/>
        </w:rPr>
        <w:t>vidjeti djelove</w:t>
      </w:r>
      <w:r w:rsidRPr="000132D2">
        <w:rPr>
          <w:lang w:val="sr-Latn-RS"/>
        </w:rPr>
        <w:t xml:space="preserve"> 4.2 i  4.5).</w:t>
      </w:r>
    </w:p>
    <w:p w14:paraId="61EEB7E5" w14:textId="77777777" w:rsidR="00593739" w:rsidRPr="000132D2" w:rsidRDefault="00593739" w:rsidP="00593739">
      <w:pPr>
        <w:pStyle w:val="BodyText"/>
        <w:spacing w:before="11"/>
        <w:jc w:val="both"/>
        <w:rPr>
          <w:sz w:val="21"/>
          <w:lang w:val="sr-Latn-RS"/>
        </w:rPr>
      </w:pPr>
    </w:p>
    <w:p w14:paraId="1E11C5CD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Plodnost i trudnoća</w:t>
      </w:r>
    </w:p>
    <w:p w14:paraId="2ADE1BBF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25DB32CC" w14:textId="3506AF0F" w:rsidR="00593739" w:rsidRPr="000132D2" w:rsidRDefault="00593739" w:rsidP="00EE7DC5">
      <w:pPr>
        <w:pStyle w:val="BodyText"/>
        <w:spacing w:before="92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Pacijenti sa partnerkama u reproduktivnom periodu moraju da koriste </w:t>
      </w:r>
      <w:r w:rsidR="00513EC0">
        <w:rPr>
          <w:lang w:val="sr-Latn-RS"/>
        </w:rPr>
        <w:t>djelotvorn</w:t>
      </w:r>
      <w:r w:rsidRPr="000132D2">
        <w:rPr>
          <w:lang w:val="sr-Latn-RS"/>
        </w:rPr>
        <w:t>u kontracepciju</w:t>
      </w:r>
      <w:r w:rsidR="00BD68C7" w:rsidRPr="00BD68C7">
        <w:rPr>
          <w:lang w:val="sr-Latn-RS"/>
        </w:rPr>
        <w:t>, uključujući mehaničku metodu kontracepcije,</w:t>
      </w:r>
      <w:r w:rsidRPr="000132D2">
        <w:rPr>
          <w:lang w:val="sr-Latn-RS"/>
        </w:rPr>
        <w:t xml:space="preserve"> tokom terapije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om Gavreto i najmanje 1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u nakon poslednje doze (</w:t>
      </w:r>
      <w:r w:rsidR="00DD365D">
        <w:rPr>
          <w:lang w:val="sr-Latn-RS"/>
        </w:rPr>
        <w:t>vidjeti</w:t>
      </w:r>
      <w:r w:rsidR="00DD365D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4.6).</w:t>
      </w:r>
    </w:p>
    <w:p w14:paraId="65388FBA" w14:textId="77777777" w:rsidR="00593739" w:rsidRPr="000132D2" w:rsidRDefault="00593739" w:rsidP="00EE7DC5">
      <w:pPr>
        <w:pStyle w:val="BodyText"/>
        <w:spacing w:before="10"/>
        <w:ind w:right="96"/>
        <w:jc w:val="both"/>
        <w:rPr>
          <w:sz w:val="21"/>
          <w:lang w:val="sr-Latn-RS"/>
        </w:rPr>
      </w:pPr>
    </w:p>
    <w:p w14:paraId="45EEC7AF" w14:textId="15BC490B" w:rsidR="00593739" w:rsidRPr="000132D2" w:rsidRDefault="00593739" w:rsidP="00EE7DC5">
      <w:pPr>
        <w:pStyle w:val="BodyText"/>
        <w:spacing w:before="1"/>
        <w:ind w:left="118" w:right="96"/>
        <w:jc w:val="both"/>
        <w:rPr>
          <w:i/>
          <w:lang w:val="sr-Latn-RS"/>
        </w:rPr>
      </w:pPr>
      <w:r w:rsidRPr="000132D2">
        <w:rPr>
          <w:lang w:val="sr-Latn-RS"/>
        </w:rPr>
        <w:t xml:space="preserve">Ženama u reproduktivnom periodu treba preporučiti da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gavaju da ostanu u drugom stanju dok primaju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 Gavreto. Visoko </w:t>
      </w:r>
      <w:r w:rsidR="00513EC0">
        <w:rPr>
          <w:lang w:val="sr-Latn-RS"/>
        </w:rPr>
        <w:t>djelotvorn</w:t>
      </w:r>
      <w:r w:rsidRPr="000132D2">
        <w:rPr>
          <w:lang w:val="sr-Latn-RS"/>
        </w:rPr>
        <w:t>a metoda nehormonske kontracepcije neophodna je za pacijentkinje tokom terapije pralsetinibom, jer pralsetinib može da učini hormonska kontraceptivna sredstva ne</w:t>
      </w:r>
      <w:r w:rsidR="00513EC0">
        <w:rPr>
          <w:lang w:val="sr-Latn-RS"/>
        </w:rPr>
        <w:t>djelotvorn</w:t>
      </w:r>
      <w:r w:rsidRPr="000132D2">
        <w:rPr>
          <w:lang w:val="sr-Latn-RS"/>
        </w:rPr>
        <w:t>im. Ukoliko je hormonska metoda kontracepcije ne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žna, onda se mora koristiti </w:t>
      </w:r>
      <w:r>
        <w:rPr>
          <w:lang w:val="sr-Latn-RS"/>
        </w:rPr>
        <w:t>prezervativ</w:t>
      </w:r>
      <w:r w:rsidRPr="000132D2">
        <w:rPr>
          <w:lang w:val="sr-Latn-RS"/>
        </w:rPr>
        <w:t xml:space="preserve"> u kombinaciji sa hormonskom metodom. Korišćenje </w:t>
      </w:r>
      <w:r w:rsidR="00513EC0">
        <w:rPr>
          <w:lang w:val="sr-Latn-RS"/>
        </w:rPr>
        <w:t>djelotvorn</w:t>
      </w:r>
      <w:r w:rsidRPr="000132D2">
        <w:rPr>
          <w:lang w:val="sr-Latn-RS"/>
        </w:rPr>
        <w:t xml:space="preserve">e kontracepcije mora se nastaviti najmanje 2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e nakon poslednje doze (</w:t>
      </w:r>
      <w:r w:rsidR="00DD365D">
        <w:rPr>
          <w:lang w:val="sr-Latn-RS"/>
        </w:rPr>
        <w:t>vidjeti</w:t>
      </w:r>
      <w:r w:rsidR="00DD365D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4.6).</w:t>
      </w:r>
    </w:p>
    <w:p w14:paraId="746F5ABD" w14:textId="77777777" w:rsidR="00593739" w:rsidRPr="000132D2" w:rsidRDefault="00593739" w:rsidP="00593739">
      <w:pPr>
        <w:pStyle w:val="BodyText"/>
        <w:jc w:val="both"/>
        <w:rPr>
          <w:i/>
          <w:lang w:val="sr-Latn-RS"/>
        </w:rPr>
      </w:pPr>
    </w:p>
    <w:p w14:paraId="6EF90084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Sadržaj natrijuma</w:t>
      </w:r>
    </w:p>
    <w:p w14:paraId="6195AB88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45E269AE" w14:textId="43875366" w:rsidR="00593739" w:rsidRPr="000132D2" w:rsidRDefault="00593739" w:rsidP="00197F74">
      <w:pPr>
        <w:pStyle w:val="BodyText"/>
        <w:spacing w:before="92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Ovaj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 sadrži manje od 1 mmol natrijuma (23 mg) po tvrdoj kapsuli, što znači da je u suštini bez natrijuma.</w:t>
      </w:r>
    </w:p>
    <w:p w14:paraId="19FD19EC" w14:textId="77777777" w:rsidR="00593739" w:rsidRPr="000132D2" w:rsidRDefault="00593739" w:rsidP="00593739">
      <w:pPr>
        <w:pStyle w:val="BodyText"/>
        <w:spacing w:before="4"/>
        <w:jc w:val="both"/>
        <w:rPr>
          <w:lang w:val="sr-Latn-RS"/>
        </w:rPr>
      </w:pPr>
    </w:p>
    <w:p w14:paraId="1DD820D1" w14:textId="7DC97B86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4.5. </w:t>
      </w:r>
      <w:r w:rsidRPr="000132D2">
        <w:rPr>
          <w:lang w:val="sr-Latn-RS"/>
        </w:rPr>
        <w:t>Interakcij</w:t>
      </w:r>
      <w:r>
        <w:rPr>
          <w:lang w:val="sr-Latn-RS"/>
        </w:rPr>
        <w:t>e</w:t>
      </w:r>
      <w:r w:rsidRPr="000132D2">
        <w:rPr>
          <w:lang w:val="sr-Latn-RS"/>
        </w:rPr>
        <w:t xml:space="preserve"> sa drugim l</w:t>
      </w:r>
      <w:r>
        <w:rPr>
          <w:lang w:val="sr-Latn-RS"/>
        </w:rPr>
        <w:t>j</w:t>
      </w:r>
      <w:r w:rsidRPr="000132D2">
        <w:rPr>
          <w:lang w:val="sr-Latn-RS"/>
        </w:rPr>
        <w:t>ekovima i druge vrste interakcija</w:t>
      </w:r>
    </w:p>
    <w:p w14:paraId="076FC09B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653CA324" w14:textId="77777777" w:rsidR="00593739" w:rsidRPr="000132D2" w:rsidRDefault="00593739" w:rsidP="003845AA">
      <w:pPr>
        <w:pStyle w:val="BodyText"/>
        <w:ind w:left="118" w:right="96"/>
        <w:jc w:val="both"/>
        <w:rPr>
          <w:lang w:val="sr-Latn-RS"/>
        </w:rPr>
      </w:pPr>
      <w:r w:rsidRPr="000132D2">
        <w:rPr>
          <w:u w:val="single"/>
          <w:lang w:val="sr-Latn-RS"/>
        </w:rPr>
        <w:t>Farmakokinetičke interakcije</w:t>
      </w:r>
    </w:p>
    <w:p w14:paraId="624B9C0E" w14:textId="77777777" w:rsidR="00593739" w:rsidRPr="000132D2" w:rsidRDefault="00593739" w:rsidP="003845AA">
      <w:pPr>
        <w:pStyle w:val="BodyText"/>
        <w:spacing w:before="1"/>
        <w:ind w:right="96"/>
        <w:jc w:val="both"/>
        <w:rPr>
          <w:sz w:val="14"/>
          <w:lang w:val="sr-Latn-RS"/>
        </w:rPr>
      </w:pPr>
    </w:p>
    <w:p w14:paraId="09AEA838" w14:textId="417FF332" w:rsidR="00593739" w:rsidRPr="000132D2" w:rsidRDefault="00593739" w:rsidP="003845AA">
      <w:pPr>
        <w:pStyle w:val="BodyText"/>
        <w:spacing w:before="92"/>
        <w:ind w:left="118" w:right="96"/>
        <w:jc w:val="both"/>
        <w:rPr>
          <w:lang w:val="sr-Latn-RS"/>
        </w:rPr>
      </w:pPr>
      <w:r w:rsidRPr="000132D2">
        <w:rPr>
          <w:i/>
          <w:iCs/>
          <w:lang w:val="sr-Latn-RS"/>
        </w:rPr>
        <w:lastRenderedPageBreak/>
        <w:t>In vitro</w:t>
      </w:r>
      <w:r w:rsidRPr="000132D2">
        <w:rPr>
          <w:lang w:val="sr-Latn-RS"/>
        </w:rPr>
        <w:t xml:space="preserve"> podaci pokazuju da pralsetinib prvenstveno metaboliše CYP3A4, a da ga transportuje P-gp. Stoga induktori i inhibitori CYP3A4 i P-gp mogu da </w:t>
      </w:r>
      <w:r w:rsidR="00513EC0">
        <w:rPr>
          <w:lang w:val="sr-Latn-RS"/>
        </w:rPr>
        <w:t>mijenjaju</w:t>
      </w:r>
      <w:r w:rsidRPr="000132D2">
        <w:rPr>
          <w:lang w:val="sr-Latn-RS"/>
        </w:rPr>
        <w:t xml:space="preserve"> koncentracije pralsetiniba u plazmi.</w:t>
      </w:r>
    </w:p>
    <w:p w14:paraId="0C782BBD" w14:textId="77777777" w:rsidR="00593739" w:rsidRPr="000132D2" w:rsidRDefault="00593739" w:rsidP="003845AA">
      <w:pPr>
        <w:pStyle w:val="BodyText"/>
        <w:spacing w:before="10"/>
        <w:ind w:right="96"/>
        <w:jc w:val="both"/>
        <w:rPr>
          <w:sz w:val="21"/>
          <w:lang w:val="sr-Latn-RS"/>
        </w:rPr>
      </w:pPr>
    </w:p>
    <w:p w14:paraId="79329865" w14:textId="77777777" w:rsidR="00593739" w:rsidRPr="000132D2" w:rsidRDefault="00593739" w:rsidP="003845AA">
      <w:pPr>
        <w:pStyle w:val="BodyText"/>
        <w:ind w:left="118" w:right="96"/>
        <w:jc w:val="both"/>
        <w:rPr>
          <w:lang w:val="sr-Latn-RS"/>
        </w:rPr>
      </w:pPr>
      <w:r w:rsidRPr="000132D2">
        <w:rPr>
          <w:u w:val="single"/>
          <w:lang w:val="sr-Latn-RS"/>
        </w:rPr>
        <w:t>Aktivne supstance koje mogu da imaju dejstvo na pralsetinib</w:t>
      </w:r>
    </w:p>
    <w:p w14:paraId="250D5760" w14:textId="77777777" w:rsidR="00593739" w:rsidRPr="000132D2" w:rsidRDefault="00593739" w:rsidP="003845AA">
      <w:pPr>
        <w:pStyle w:val="BodyText"/>
        <w:spacing w:before="1"/>
        <w:ind w:right="96"/>
        <w:jc w:val="both"/>
        <w:rPr>
          <w:sz w:val="14"/>
          <w:lang w:val="sr-Latn-RS"/>
        </w:rPr>
      </w:pPr>
    </w:p>
    <w:p w14:paraId="0BDDBAF2" w14:textId="77777777" w:rsidR="00593739" w:rsidRPr="000132D2" w:rsidRDefault="00593739" w:rsidP="003845AA">
      <w:pPr>
        <w:spacing w:before="92" w:line="252" w:lineRule="exact"/>
        <w:ind w:left="118" w:right="96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Jaki inhibitori CYP3A4 ili kombinovani P-gp i jaki inhibitori CYP3A4</w:t>
      </w:r>
    </w:p>
    <w:p w14:paraId="54598AD0" w14:textId="64A1ABF7" w:rsidR="00593739" w:rsidRPr="000132D2" w:rsidRDefault="00593739" w:rsidP="003845AA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Istovremena </w:t>
      </w:r>
      <w:r w:rsidR="00674751">
        <w:rPr>
          <w:lang w:val="sr-Latn-RS"/>
        </w:rPr>
        <w:t>primjena</w:t>
      </w:r>
      <w:r w:rsidRPr="000132D2">
        <w:rPr>
          <w:lang w:val="sr-Latn-RS"/>
        </w:rPr>
        <w:t xml:space="preserve"> pralsetiniba sa jakim inhibitorima CYP3A4 ili kombinovanim P-gp i jakim inhibitorima CYP3A4 može da poveća koncentracije pralsetiniba u plazmi, što može da poveća incidencu ili stepen težine neželjenih reakcija na pralsetinib. Istovremena </w:t>
      </w:r>
      <w:r w:rsidR="00674751">
        <w:rPr>
          <w:lang w:val="sr-Latn-RS"/>
        </w:rPr>
        <w:t>primjena</w:t>
      </w:r>
      <w:r w:rsidRPr="000132D2">
        <w:rPr>
          <w:lang w:val="sr-Latn-RS"/>
        </w:rPr>
        <w:t xml:space="preserve"> 200 mg pralsetiniba jednom dnevno sa itrakonazolom 200 mg jednom dnevno (jaki inhibitor CYP3A4 i P-gp) povećala je C</w:t>
      </w:r>
      <w:r w:rsidRPr="000132D2">
        <w:rPr>
          <w:sz w:val="14"/>
          <w:lang w:val="sr-Latn-RS"/>
        </w:rPr>
        <w:t xml:space="preserve">max </w:t>
      </w:r>
      <w:r w:rsidRPr="000132D2">
        <w:rPr>
          <w:lang w:val="sr-Latn-RS"/>
        </w:rPr>
        <w:t>pralsetiniba za 84% i AUC</w:t>
      </w:r>
      <w:r w:rsidRPr="000132D2">
        <w:rPr>
          <w:sz w:val="14"/>
          <w:lang w:val="sr-Latn-RS"/>
        </w:rPr>
        <w:t xml:space="preserve">0-∞ </w:t>
      </w:r>
      <w:r w:rsidRPr="000132D2">
        <w:rPr>
          <w:lang w:val="sr-Latn-RS"/>
        </w:rPr>
        <w:t xml:space="preserve">za 251%, u poređenju sa situacijama u kojima je pralsetinib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jivan samostalno.</w:t>
      </w:r>
    </w:p>
    <w:p w14:paraId="0A2F308C" w14:textId="3E3C1F56" w:rsidR="00593739" w:rsidRPr="000132D2" w:rsidRDefault="00593739" w:rsidP="003845AA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Stoga treba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gavati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u pralsetiniba sa jakim inhibitorima CYP3A4 ili kombinovanim P-gp i jakim inhibitorima CYP3A4 (uključujući, ali bez ograničenja, ritonavir, sakvinavir, telitromicin, ketokonazol, itrakonazol, vorikonazol, posakonazol nefazodon, grejpfrut ili seviljske pomorandže) (</w:t>
      </w:r>
      <w:r w:rsidR="00DD365D">
        <w:rPr>
          <w:lang w:val="sr-Latn-RS"/>
        </w:rPr>
        <w:t>vidjeti dio</w:t>
      </w:r>
      <w:r w:rsidRPr="000132D2">
        <w:rPr>
          <w:lang w:val="sr-Latn-RS"/>
        </w:rPr>
        <w:t xml:space="preserve"> 4.4). Ukoliko nije moguće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ći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u sa jakim inhibitorima CYP3A4 ili kombinovanim P-gp i jakim inhibitorima CYP3A4, </w:t>
      </w:r>
      <w:r w:rsidR="00DD365D">
        <w:rPr>
          <w:lang w:val="sr-Latn-RS"/>
        </w:rPr>
        <w:t>trenutnu</w:t>
      </w:r>
      <w:r w:rsidR="00DD365D" w:rsidRPr="000132D2">
        <w:rPr>
          <w:lang w:val="sr-Latn-RS"/>
        </w:rPr>
        <w:t xml:space="preserve"> </w:t>
      </w:r>
      <w:r w:rsidRPr="000132D2">
        <w:rPr>
          <w:lang w:val="sr-Latn-RS"/>
        </w:rPr>
        <w:t>dozu pralsetiniba treba smanjiti (</w:t>
      </w:r>
      <w:r w:rsidR="00DD365D">
        <w:rPr>
          <w:lang w:val="sr-Latn-RS"/>
        </w:rPr>
        <w:t xml:space="preserve">vidjeti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4.2).</w:t>
      </w:r>
    </w:p>
    <w:p w14:paraId="4F661C50" w14:textId="77777777" w:rsidR="00593739" w:rsidRPr="000132D2" w:rsidRDefault="00593739" w:rsidP="003845AA">
      <w:pPr>
        <w:spacing w:before="66"/>
        <w:ind w:left="118" w:right="96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Jaki induktori CYP3A4</w:t>
      </w:r>
    </w:p>
    <w:p w14:paraId="1B58FE69" w14:textId="28638239" w:rsidR="00593739" w:rsidRPr="000132D2" w:rsidRDefault="00593739" w:rsidP="003845AA">
      <w:pPr>
        <w:pStyle w:val="BodyText"/>
        <w:spacing w:before="1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Istovremena </w:t>
      </w:r>
      <w:r w:rsidR="00674751">
        <w:rPr>
          <w:lang w:val="sr-Latn-RS"/>
        </w:rPr>
        <w:t>primjena</w:t>
      </w:r>
      <w:r w:rsidRPr="000132D2">
        <w:rPr>
          <w:lang w:val="sr-Latn-RS"/>
        </w:rPr>
        <w:t xml:space="preserve"> pralsetiniba sa jakim induktorima CYP3A4 može da smanji koncentracije pralsetiniba u plazmi, što može da smanji efikasnost pralsetiniba. Istovremena </w:t>
      </w:r>
      <w:r w:rsidR="00674751">
        <w:rPr>
          <w:lang w:val="sr-Latn-RS"/>
        </w:rPr>
        <w:t>primjena</w:t>
      </w:r>
      <w:r w:rsidRPr="000132D2">
        <w:rPr>
          <w:lang w:val="sr-Latn-RS"/>
        </w:rPr>
        <w:t xml:space="preserve"> 400 mg pralsetiniba kao jedne doze sa rifampinom od 600 mg jednom dnevno (jaki induktor CYP3A4) smanjila je C</w:t>
      </w:r>
      <w:r w:rsidRPr="000132D2">
        <w:rPr>
          <w:sz w:val="14"/>
          <w:lang w:val="sr-Latn-RS"/>
        </w:rPr>
        <w:t xml:space="preserve">max </w:t>
      </w:r>
      <w:r w:rsidRPr="000132D2">
        <w:rPr>
          <w:lang w:val="sr-Latn-RS"/>
        </w:rPr>
        <w:t>pralsetiniba za 30% i AUC</w:t>
      </w:r>
      <w:r w:rsidRPr="000132D2">
        <w:rPr>
          <w:sz w:val="14"/>
          <w:lang w:val="sr-Latn-RS"/>
        </w:rPr>
        <w:t xml:space="preserve">0-∞ </w:t>
      </w:r>
      <w:r w:rsidRPr="000132D2">
        <w:rPr>
          <w:lang w:val="sr-Latn-RS"/>
        </w:rPr>
        <w:t xml:space="preserve">za 68%. Na osnovu populacione farmakokinetičke analize, slabi induktori CYP3A4 smanjili su izloženost pralsetinibu, ali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bili klinički značajni kod pacijenata sa NSCLC. Stoga treba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gavati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u pralsetiniba sa jakim induktorima CYP3A4 (uključujući, ali bez ograničenja, karbamazepin, fenobarbital, fenitoin, rifabutin, rifampicin i kantarion [</w:t>
      </w:r>
      <w:r w:rsidRPr="000132D2">
        <w:rPr>
          <w:i/>
          <w:iCs/>
          <w:lang w:val="sr-Latn-RS"/>
        </w:rPr>
        <w:t>Hypericum perforatum</w:t>
      </w:r>
      <w:r w:rsidRPr="000132D2">
        <w:rPr>
          <w:lang w:val="sr-Latn-RS"/>
        </w:rPr>
        <w:t>]) (</w:t>
      </w:r>
      <w:r w:rsidR="00DD365D">
        <w:rPr>
          <w:lang w:val="sr-Latn-RS"/>
        </w:rPr>
        <w:t>vidjeti</w:t>
      </w:r>
      <w:r w:rsidR="00DD365D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4.4). Ukoliko je nemoguće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ći istovremenu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u, povećajte dozu pralsetiniba (</w:t>
      </w:r>
      <w:r w:rsidR="00DD365D">
        <w:rPr>
          <w:lang w:val="sr-Latn-RS"/>
        </w:rPr>
        <w:t xml:space="preserve">vidjeti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4.2).</w:t>
      </w:r>
    </w:p>
    <w:p w14:paraId="4024B15A" w14:textId="77777777" w:rsidR="00593739" w:rsidRPr="000132D2" w:rsidRDefault="00593739" w:rsidP="003845AA">
      <w:pPr>
        <w:pStyle w:val="BodyText"/>
        <w:spacing w:before="9"/>
        <w:ind w:right="96"/>
        <w:jc w:val="both"/>
        <w:rPr>
          <w:sz w:val="21"/>
          <w:lang w:val="sr-Latn-RS"/>
        </w:rPr>
      </w:pPr>
    </w:p>
    <w:p w14:paraId="5AB48DCE" w14:textId="77777777" w:rsidR="00593739" w:rsidRPr="000132D2" w:rsidRDefault="00593739" w:rsidP="003845AA">
      <w:pPr>
        <w:ind w:left="118" w:right="96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Senzitivni supstrati CYP3A4, CYP2C8, CYP2C9, P-gp, BCRP, OATP1B1, OATP1B3, OAT1, MATE1 i MATE2-K sa uskim terapeutskim indeksom</w:t>
      </w:r>
    </w:p>
    <w:p w14:paraId="2ED82426" w14:textId="557D0E32" w:rsidR="00593739" w:rsidRPr="000132D2" w:rsidRDefault="00593739" w:rsidP="00AC784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Istovremena </w:t>
      </w:r>
      <w:r w:rsidR="00674751">
        <w:rPr>
          <w:lang w:val="sr-Latn-RS"/>
        </w:rPr>
        <w:t>primjena</w:t>
      </w:r>
      <w:r w:rsidRPr="000132D2">
        <w:rPr>
          <w:lang w:val="sr-Latn-RS"/>
        </w:rPr>
        <w:t xml:space="preserve"> pralsetiniba može da izm</w:t>
      </w:r>
      <w:r w:rsidR="00DD365D">
        <w:rPr>
          <w:lang w:val="sr-Latn-RS"/>
        </w:rPr>
        <w:t>ij</w:t>
      </w:r>
      <w:r w:rsidRPr="000132D2">
        <w:rPr>
          <w:lang w:val="sr-Latn-RS"/>
        </w:rPr>
        <w:t>eni izloženost senzitivnih supstrata CYP enzima (CYP3A4, CYP2C9 i CYP2C8) i transportera (P-gp, BCRP, OATP1B1, OATP1B3, OAT1,</w:t>
      </w:r>
      <w:r w:rsidR="00197F74">
        <w:rPr>
          <w:lang w:val="sr-Latn-RS"/>
        </w:rPr>
        <w:t xml:space="preserve"> </w:t>
      </w:r>
      <w:r w:rsidRPr="000132D2">
        <w:rPr>
          <w:lang w:val="sr-Latn-RS"/>
        </w:rPr>
        <w:t>MATE1 i MATE2-K)</w:t>
      </w:r>
      <w:r w:rsidRPr="000132D2">
        <w:rPr>
          <w:i/>
          <w:iCs/>
          <w:lang w:val="sr-Latn-RS"/>
        </w:rPr>
        <w:t xml:space="preserve">. </w:t>
      </w:r>
      <w:r w:rsidRPr="000132D2">
        <w:rPr>
          <w:lang w:val="sr-Latn-RS"/>
        </w:rPr>
        <w:t xml:space="preserve">Treba </w:t>
      </w:r>
      <w:r w:rsidR="00573A31">
        <w:rPr>
          <w:lang w:val="sr-Latn-RS"/>
        </w:rPr>
        <w:t>izbje</w:t>
      </w:r>
      <w:r w:rsidRPr="000132D2">
        <w:rPr>
          <w:lang w:val="sr-Latn-RS"/>
        </w:rPr>
        <w:t xml:space="preserve">gavati </w:t>
      </w:r>
      <w:r w:rsidR="00DD365D">
        <w:rPr>
          <w:lang w:val="sr-Latn-RS"/>
        </w:rPr>
        <w:t>primjenu ljekova koji su supstrati ovih</w:t>
      </w:r>
      <w:r w:rsidRPr="000132D2">
        <w:rPr>
          <w:lang w:val="sr-Latn-RS"/>
        </w:rPr>
        <w:t xml:space="preserve"> CYP enzima i transportera sa uskim terapeutskim indeksom (uključujući, ali bez ograničenja, ciklosporin, paklitaksel i varfarin).</w:t>
      </w:r>
    </w:p>
    <w:p w14:paraId="34EF9A7A" w14:textId="77777777" w:rsidR="00593739" w:rsidRPr="000132D2" w:rsidRDefault="00593739" w:rsidP="00593739">
      <w:pPr>
        <w:pStyle w:val="BodyText"/>
        <w:spacing w:before="4"/>
        <w:jc w:val="both"/>
        <w:rPr>
          <w:lang w:val="sr-Latn-RS"/>
        </w:rPr>
      </w:pPr>
    </w:p>
    <w:p w14:paraId="6705F789" w14:textId="77777777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4.6. </w:t>
      </w:r>
      <w:r w:rsidRPr="000132D2">
        <w:rPr>
          <w:lang w:val="sr-Latn-RS"/>
        </w:rPr>
        <w:t>Plodnost, trudnoća i dojenje</w:t>
      </w:r>
    </w:p>
    <w:p w14:paraId="6AF62BF7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0101A3D6" w14:textId="77777777" w:rsidR="00593739" w:rsidRPr="000132D2" w:rsidRDefault="00593739">
      <w:pPr>
        <w:pStyle w:val="BodyText"/>
        <w:ind w:left="118" w:right="96"/>
        <w:jc w:val="both"/>
        <w:rPr>
          <w:lang w:val="sr-Latn-RS"/>
        </w:rPr>
      </w:pPr>
      <w:r w:rsidRPr="000132D2">
        <w:rPr>
          <w:u w:val="single"/>
          <w:lang w:val="sr-Latn-RS"/>
        </w:rPr>
        <w:t>Žene u reproduktivnom periodu / Kontracepcija kod muškaraca i žena</w:t>
      </w:r>
    </w:p>
    <w:p w14:paraId="36F6FB05" w14:textId="77777777" w:rsidR="00593739" w:rsidRPr="000132D2" w:rsidRDefault="00593739" w:rsidP="00AC7849">
      <w:pPr>
        <w:pStyle w:val="BodyText"/>
        <w:ind w:right="96"/>
        <w:jc w:val="both"/>
        <w:rPr>
          <w:sz w:val="14"/>
          <w:lang w:val="sr-Latn-RS"/>
        </w:rPr>
      </w:pPr>
    </w:p>
    <w:p w14:paraId="37575A0F" w14:textId="5BD8C498" w:rsidR="00593739" w:rsidRPr="000132D2" w:rsidRDefault="00593739" w:rsidP="00AC784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>Žene u reproduktivnom periodu treba obav</w:t>
      </w:r>
      <w:r w:rsidR="009B142B">
        <w:rPr>
          <w:lang w:val="sr-Latn-RS"/>
        </w:rPr>
        <w:t>ij</w:t>
      </w:r>
      <w:r w:rsidRPr="000132D2">
        <w:rPr>
          <w:lang w:val="sr-Latn-RS"/>
        </w:rPr>
        <w:t>estiti da pralsetinib može da ošteti fetus (</w:t>
      </w:r>
      <w:r w:rsidR="006A3714">
        <w:rPr>
          <w:lang w:val="sr-Latn-RS"/>
        </w:rPr>
        <w:t>vidjeti</w:t>
      </w:r>
      <w:r w:rsidR="006A3714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5.3).</w:t>
      </w:r>
    </w:p>
    <w:p w14:paraId="407A93C9" w14:textId="25FADAAE" w:rsidR="00593739" w:rsidRPr="000132D2" w:rsidRDefault="00593739" w:rsidP="00AC7849">
      <w:pPr>
        <w:pStyle w:val="BodyText"/>
        <w:ind w:left="118" w:right="96"/>
        <w:jc w:val="both"/>
        <w:rPr>
          <w:sz w:val="21"/>
          <w:lang w:val="sr-Latn-RS"/>
        </w:rPr>
      </w:pPr>
      <w:r w:rsidRPr="000132D2">
        <w:rPr>
          <w:lang w:val="sr-Latn-RS"/>
        </w:rPr>
        <w:t xml:space="preserve">Status trudnoće žena u reproduktivnom periodu treba potvrditi </w:t>
      </w:r>
      <w:r w:rsidR="00573A31">
        <w:rPr>
          <w:lang w:val="sr-Latn-RS"/>
        </w:rPr>
        <w:t xml:space="preserve">prije </w:t>
      </w:r>
      <w:r w:rsidRPr="000132D2">
        <w:rPr>
          <w:lang w:val="sr-Latn-RS"/>
        </w:rPr>
        <w:t xml:space="preserve">uvođenja terapije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om Gavreto.</w:t>
      </w:r>
    </w:p>
    <w:p w14:paraId="3984555F" w14:textId="0E96B96E" w:rsidR="00593739" w:rsidRPr="000132D2" w:rsidRDefault="0059373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Pacijentkinje u reproduktivnom periodu moraju da koriste visoko </w:t>
      </w:r>
      <w:r w:rsidR="00513EC0">
        <w:rPr>
          <w:lang w:val="sr-Latn-RS"/>
        </w:rPr>
        <w:t>djelotvorn</w:t>
      </w:r>
      <w:r w:rsidRPr="000132D2">
        <w:rPr>
          <w:lang w:val="sr-Latn-RS"/>
        </w:rPr>
        <w:t xml:space="preserve">e metode nehormonske kontracepcije tokom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nja i najmanje 2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 xml:space="preserve">e nakon poslednje doze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a Gavreto (</w:t>
      </w:r>
      <w:r w:rsidR="001345C7">
        <w:rPr>
          <w:lang w:val="sr-Latn-RS"/>
        </w:rPr>
        <w:t>v</w:t>
      </w:r>
      <w:r w:rsidR="006A3714">
        <w:rPr>
          <w:lang w:val="sr-Latn-RS"/>
        </w:rPr>
        <w:t>i</w:t>
      </w:r>
      <w:r w:rsidR="001345C7">
        <w:rPr>
          <w:lang w:val="sr-Latn-RS"/>
        </w:rPr>
        <w:t>d</w:t>
      </w:r>
      <w:r w:rsidR="006A3714">
        <w:rPr>
          <w:lang w:val="sr-Latn-RS"/>
        </w:rPr>
        <w:t>jeti</w:t>
      </w:r>
      <w:r w:rsidR="006A3714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4.4).</w:t>
      </w:r>
    </w:p>
    <w:p w14:paraId="24CBDEB4" w14:textId="77777777" w:rsidR="00593739" w:rsidRPr="000132D2" w:rsidRDefault="00593739" w:rsidP="00AC7849">
      <w:pPr>
        <w:pStyle w:val="BodyText"/>
        <w:ind w:right="96"/>
        <w:jc w:val="both"/>
        <w:rPr>
          <w:lang w:val="sr-Latn-RS"/>
        </w:rPr>
      </w:pPr>
    </w:p>
    <w:p w14:paraId="6B049077" w14:textId="42DD4A50" w:rsidR="009C755E" w:rsidRPr="000132D2" w:rsidRDefault="0059373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Muškarci sa partnerkama u reproduktivnom periodu moraju da koriste </w:t>
      </w:r>
      <w:r w:rsidR="00513EC0">
        <w:rPr>
          <w:lang w:val="sr-Latn-RS"/>
        </w:rPr>
        <w:t>djelotvorn</w:t>
      </w:r>
      <w:r w:rsidRPr="000132D2">
        <w:rPr>
          <w:lang w:val="sr-Latn-RS"/>
        </w:rPr>
        <w:t>u kontracepciju</w:t>
      </w:r>
      <w:r w:rsidR="00BD68C7" w:rsidRPr="00BD68C7">
        <w:rPr>
          <w:lang w:val="sr-Latn-RS"/>
        </w:rPr>
        <w:t>, uključujući mehaničku metodu kontracepcije,</w:t>
      </w:r>
      <w:r w:rsidRPr="000132D2">
        <w:rPr>
          <w:lang w:val="sr-Latn-RS"/>
        </w:rPr>
        <w:t xml:space="preserve"> tokom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nja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om Gavreto i najmanje 1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 xml:space="preserve">u nakon poslednje doze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a Gavreto.</w:t>
      </w:r>
    </w:p>
    <w:p w14:paraId="653F1E82" w14:textId="77777777" w:rsidR="00593739" w:rsidRPr="000132D2" w:rsidRDefault="00593739" w:rsidP="00AC7849">
      <w:pPr>
        <w:pStyle w:val="BodyText"/>
        <w:ind w:left="118" w:right="96"/>
        <w:jc w:val="both"/>
        <w:rPr>
          <w:sz w:val="21"/>
          <w:lang w:val="sr-Latn-RS"/>
        </w:rPr>
      </w:pPr>
    </w:p>
    <w:p w14:paraId="41824DA6" w14:textId="624D524B" w:rsidR="00593739" w:rsidRDefault="0059373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>Pacijent</w:t>
      </w:r>
      <w:r w:rsidR="009B142B">
        <w:rPr>
          <w:lang w:val="sr-Latn-RS"/>
        </w:rPr>
        <w:t>kinje</w:t>
      </w:r>
      <w:r w:rsidRPr="000132D2">
        <w:rPr>
          <w:lang w:val="sr-Latn-RS"/>
        </w:rPr>
        <w:t xml:space="preserve"> treba </w:t>
      </w:r>
      <w:r w:rsidR="009B142B">
        <w:rPr>
          <w:lang w:val="sr-Latn-RS"/>
        </w:rPr>
        <w:t>upututi</w:t>
      </w:r>
      <w:r w:rsidR="009B142B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da se odmah obrate svom </w:t>
      </w:r>
      <w:r w:rsidR="009B142B">
        <w:rPr>
          <w:lang w:val="sr-Latn-RS"/>
        </w:rPr>
        <w:t>ljekaru</w:t>
      </w:r>
      <w:r w:rsidRPr="000132D2">
        <w:rPr>
          <w:lang w:val="sr-Latn-RS"/>
        </w:rPr>
        <w:t xml:space="preserve"> ukoliko ostanu u drugom stanju, ili u slučaju sumnje na trudnoću</w:t>
      </w:r>
      <w:r>
        <w:rPr>
          <w:lang w:val="sr-Latn-RS"/>
        </w:rPr>
        <w:t xml:space="preserve"> </w:t>
      </w:r>
      <w:r w:rsidRPr="000132D2">
        <w:rPr>
          <w:lang w:val="sr-Latn-RS"/>
        </w:rPr>
        <w:t xml:space="preserve">dok uzimaju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 Gavreto.</w:t>
      </w:r>
    </w:p>
    <w:p w14:paraId="45867646" w14:textId="52742263" w:rsidR="009C755E" w:rsidRDefault="009C755E">
      <w:pPr>
        <w:pStyle w:val="BodyText"/>
        <w:ind w:left="118" w:right="96"/>
        <w:jc w:val="both"/>
        <w:rPr>
          <w:lang w:val="sr-Latn-RS"/>
        </w:rPr>
      </w:pPr>
    </w:p>
    <w:p w14:paraId="0CB43A04" w14:textId="77777777" w:rsidR="009C755E" w:rsidRPr="000132D2" w:rsidRDefault="009C755E" w:rsidP="009C755E">
      <w:pPr>
        <w:pStyle w:val="BodyText"/>
        <w:ind w:left="118" w:right="96"/>
        <w:jc w:val="both"/>
        <w:rPr>
          <w:lang w:val="sr-Latn-RS"/>
        </w:rPr>
      </w:pPr>
      <w:r w:rsidRPr="000132D2">
        <w:rPr>
          <w:u w:val="single"/>
          <w:lang w:val="sr-Latn-RS"/>
        </w:rPr>
        <w:t>Plodnost</w:t>
      </w:r>
    </w:p>
    <w:p w14:paraId="7922563C" w14:textId="77777777" w:rsidR="009C755E" w:rsidRPr="000132D2" w:rsidRDefault="009C755E" w:rsidP="009C755E">
      <w:pPr>
        <w:pStyle w:val="BodyText"/>
        <w:ind w:right="96"/>
        <w:jc w:val="both"/>
        <w:rPr>
          <w:sz w:val="14"/>
          <w:lang w:val="sr-Latn-RS"/>
        </w:rPr>
      </w:pPr>
    </w:p>
    <w:p w14:paraId="35533123" w14:textId="77777777" w:rsidR="009C755E" w:rsidRPr="000132D2" w:rsidRDefault="009C755E" w:rsidP="009C755E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>Nema kliničkih podataka o eventualnim uticajima pralsetiniba na plodnost.</w:t>
      </w:r>
    </w:p>
    <w:p w14:paraId="4C580A54" w14:textId="392D02DB" w:rsidR="009C755E" w:rsidRPr="000132D2" w:rsidRDefault="009C755E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Na osnovu nekliničkih nalaza u pogledu </w:t>
      </w:r>
      <w:r>
        <w:rPr>
          <w:lang w:val="sr-Latn-RS"/>
        </w:rPr>
        <w:t>bezbjednost</w:t>
      </w:r>
      <w:r w:rsidRPr="000132D2">
        <w:rPr>
          <w:lang w:val="sr-Latn-RS"/>
        </w:rPr>
        <w:t>i, plodnost može biti ugrožena tokom terapije pralsetinibom (</w:t>
      </w:r>
      <w:r>
        <w:rPr>
          <w:lang w:val="sr-Latn-RS"/>
        </w:rPr>
        <w:t>vidjeti</w:t>
      </w:r>
      <w:r w:rsidRPr="000132D2">
        <w:rPr>
          <w:lang w:val="sr-Latn-RS"/>
        </w:rPr>
        <w:t xml:space="preserve"> </w:t>
      </w:r>
      <w:r>
        <w:rPr>
          <w:lang w:val="sr-Latn-RS"/>
        </w:rPr>
        <w:t>dio</w:t>
      </w:r>
      <w:r w:rsidRPr="000132D2">
        <w:rPr>
          <w:lang w:val="sr-Latn-RS"/>
        </w:rPr>
        <w:t xml:space="preserve"> 5.3). Muškarci i žene trebalo bi da potraže sav</w:t>
      </w:r>
      <w:r>
        <w:rPr>
          <w:lang w:val="sr-Latn-RS"/>
        </w:rPr>
        <w:t>j</w:t>
      </w:r>
      <w:r w:rsidRPr="000132D2">
        <w:rPr>
          <w:lang w:val="sr-Latn-RS"/>
        </w:rPr>
        <w:t xml:space="preserve">et o </w:t>
      </w:r>
      <w:r>
        <w:rPr>
          <w:lang w:val="sr-Latn-RS"/>
        </w:rPr>
        <w:t>djelotvorn</w:t>
      </w:r>
      <w:r w:rsidRPr="000132D2">
        <w:rPr>
          <w:lang w:val="sr-Latn-RS"/>
        </w:rPr>
        <w:t xml:space="preserve">om očuvanju plodnosti </w:t>
      </w:r>
      <w:r>
        <w:rPr>
          <w:lang w:val="sr-Latn-RS"/>
        </w:rPr>
        <w:t>prije liječe</w:t>
      </w:r>
      <w:r w:rsidRPr="000132D2">
        <w:rPr>
          <w:lang w:val="sr-Latn-RS"/>
        </w:rPr>
        <w:t>nja.</w:t>
      </w:r>
    </w:p>
    <w:p w14:paraId="3EE9ACC6" w14:textId="77777777" w:rsidR="00593739" w:rsidRPr="000132D2" w:rsidRDefault="00593739">
      <w:pPr>
        <w:pStyle w:val="BodyText"/>
        <w:ind w:right="96"/>
        <w:jc w:val="both"/>
        <w:rPr>
          <w:lang w:val="sr-Latn-RS"/>
        </w:rPr>
      </w:pPr>
    </w:p>
    <w:p w14:paraId="25960F1C" w14:textId="77777777" w:rsidR="00593739" w:rsidRPr="000132D2" w:rsidRDefault="00593739">
      <w:pPr>
        <w:pStyle w:val="BodyText"/>
        <w:ind w:left="118" w:right="96"/>
        <w:jc w:val="both"/>
        <w:rPr>
          <w:lang w:val="sr-Latn-RS"/>
        </w:rPr>
      </w:pPr>
      <w:r w:rsidRPr="000132D2">
        <w:rPr>
          <w:u w:val="single"/>
          <w:lang w:val="sr-Latn-RS"/>
        </w:rPr>
        <w:lastRenderedPageBreak/>
        <w:t>Trudnoća</w:t>
      </w:r>
    </w:p>
    <w:p w14:paraId="08CE5D39" w14:textId="77777777" w:rsidR="00593739" w:rsidRPr="000132D2" w:rsidRDefault="00593739" w:rsidP="00AC7849">
      <w:pPr>
        <w:pStyle w:val="BodyText"/>
        <w:ind w:right="96"/>
        <w:jc w:val="both"/>
        <w:rPr>
          <w:sz w:val="14"/>
          <w:lang w:val="sr-Latn-RS"/>
        </w:rPr>
      </w:pPr>
    </w:p>
    <w:p w14:paraId="3FEBF08A" w14:textId="73632CA7" w:rsidR="00593739" w:rsidRPr="000132D2" w:rsidRDefault="00593739" w:rsidP="00AC784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Nema podataka o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i pralsetiniba kod trudnica. Studije na životinjama pokazale su reproduktivnu toksičnost (</w:t>
      </w:r>
      <w:r w:rsidR="006A3714">
        <w:rPr>
          <w:lang w:val="sr-Latn-RS"/>
        </w:rPr>
        <w:t xml:space="preserve">vidjeti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5.3).</w:t>
      </w:r>
    </w:p>
    <w:p w14:paraId="5977C35C" w14:textId="77777777" w:rsidR="00593739" w:rsidRPr="000132D2" w:rsidRDefault="0059373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>Na osnovu mehanizma dejstva i nalaza kod životinja, pralsetinib može da ošteti fetus kada se daje trudnicama.</w:t>
      </w:r>
    </w:p>
    <w:p w14:paraId="628E8978" w14:textId="77777777" w:rsidR="00593739" w:rsidRPr="000132D2" w:rsidRDefault="00593739" w:rsidP="00AC7849">
      <w:pPr>
        <w:pStyle w:val="BodyText"/>
        <w:ind w:right="96"/>
        <w:jc w:val="both"/>
        <w:rPr>
          <w:sz w:val="21"/>
          <w:lang w:val="sr-Latn-RS"/>
        </w:rPr>
      </w:pPr>
    </w:p>
    <w:p w14:paraId="113CB3C3" w14:textId="68EDA940" w:rsidR="00593739" w:rsidRPr="000132D2" w:rsidRDefault="00674751">
      <w:pPr>
        <w:pStyle w:val="BodyText"/>
        <w:ind w:left="118" w:right="96"/>
        <w:jc w:val="both"/>
        <w:rPr>
          <w:lang w:val="sr-Latn-RS"/>
        </w:rPr>
      </w:pPr>
      <w:r>
        <w:rPr>
          <w:lang w:val="sr-Latn-RS"/>
        </w:rPr>
        <w:t>Lijek</w:t>
      </w:r>
      <w:r w:rsidR="00593739">
        <w:rPr>
          <w:lang w:val="sr-Latn-RS"/>
        </w:rPr>
        <w:t xml:space="preserve"> </w:t>
      </w:r>
      <w:r w:rsidR="00593739" w:rsidRPr="000132D2">
        <w:rPr>
          <w:lang w:val="sr-Latn-RS"/>
        </w:rPr>
        <w:t>Gavreto ne treba koristiti tokom trudnoće, osim ukoliko je zbog kliničkog stanja žene terapija pralsetinibom neophodna.</w:t>
      </w:r>
    </w:p>
    <w:p w14:paraId="60C8FA48" w14:textId="77777777" w:rsidR="00593739" w:rsidRPr="000132D2" w:rsidRDefault="00593739" w:rsidP="00AC7849">
      <w:pPr>
        <w:pStyle w:val="BodyText"/>
        <w:ind w:right="96"/>
        <w:jc w:val="both"/>
        <w:rPr>
          <w:sz w:val="21"/>
          <w:lang w:val="sr-Latn-RS"/>
        </w:rPr>
      </w:pPr>
    </w:p>
    <w:p w14:paraId="19369013" w14:textId="77777777" w:rsidR="00593739" w:rsidRPr="000132D2" w:rsidRDefault="00593739">
      <w:pPr>
        <w:pStyle w:val="BodyText"/>
        <w:ind w:left="118" w:right="96"/>
        <w:jc w:val="both"/>
        <w:rPr>
          <w:lang w:val="sr-Latn-RS"/>
        </w:rPr>
      </w:pPr>
      <w:r w:rsidRPr="000132D2">
        <w:rPr>
          <w:u w:val="single"/>
          <w:lang w:val="sr-Latn-RS"/>
        </w:rPr>
        <w:t>Dojenje</w:t>
      </w:r>
    </w:p>
    <w:p w14:paraId="5D41DC4D" w14:textId="77777777" w:rsidR="00593739" w:rsidRPr="000132D2" w:rsidRDefault="00593739" w:rsidP="00AC7849">
      <w:pPr>
        <w:pStyle w:val="BodyText"/>
        <w:ind w:right="96"/>
        <w:jc w:val="both"/>
        <w:rPr>
          <w:sz w:val="14"/>
          <w:lang w:val="sr-Latn-RS"/>
        </w:rPr>
      </w:pPr>
    </w:p>
    <w:p w14:paraId="42AD670A" w14:textId="798E052C" w:rsidR="00593739" w:rsidRPr="000132D2" w:rsidRDefault="00593739" w:rsidP="00AC784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>Nije poznato da li se pralsetinib ili njegovi metaboliti izlučuju u majčino m</w:t>
      </w:r>
      <w:r w:rsidR="00674751">
        <w:rPr>
          <w:lang w:val="sr-Latn-RS"/>
        </w:rPr>
        <w:t>lijek</w:t>
      </w:r>
      <w:r w:rsidRPr="000132D2">
        <w:rPr>
          <w:lang w:val="sr-Latn-RS"/>
        </w:rPr>
        <w:t>o kod ljudi. Rizik za d</w:t>
      </w:r>
      <w:r w:rsidR="009B142B">
        <w:rPr>
          <w:lang w:val="sr-Latn-RS"/>
        </w:rPr>
        <w:t>ij</w:t>
      </w:r>
      <w:r w:rsidRPr="000132D2">
        <w:rPr>
          <w:lang w:val="sr-Latn-RS"/>
        </w:rPr>
        <w:t xml:space="preserve">ete koje se doji </w:t>
      </w:r>
      <w:r>
        <w:rPr>
          <w:lang w:val="sr-Latn-RS"/>
        </w:rPr>
        <w:t xml:space="preserve">se </w:t>
      </w:r>
      <w:r w:rsidRPr="000132D2">
        <w:rPr>
          <w:lang w:val="sr-Latn-RS"/>
        </w:rPr>
        <w:t>ne može isključiti.</w:t>
      </w:r>
    </w:p>
    <w:p w14:paraId="1156C826" w14:textId="3102F2E6" w:rsidR="00593739" w:rsidRPr="000132D2" w:rsidRDefault="00593739" w:rsidP="00AC784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Tokom terapije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om Gavreto i 1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u nakon konačne doze treba prekinuti sa dojenjem.</w:t>
      </w:r>
    </w:p>
    <w:p w14:paraId="4949014B" w14:textId="77777777" w:rsidR="00593739" w:rsidRDefault="00593739">
      <w:pPr>
        <w:ind w:right="96"/>
        <w:jc w:val="both"/>
        <w:rPr>
          <w:lang w:val="sr-Latn-RS"/>
        </w:rPr>
      </w:pPr>
    </w:p>
    <w:p w14:paraId="6AC44FA1" w14:textId="77777777" w:rsidR="00593739" w:rsidRPr="000132D2" w:rsidRDefault="00593739" w:rsidP="00AC7849">
      <w:pPr>
        <w:pStyle w:val="BodyText"/>
        <w:ind w:right="96"/>
        <w:jc w:val="both"/>
        <w:rPr>
          <w:lang w:val="sr-Latn-RS"/>
        </w:rPr>
      </w:pPr>
    </w:p>
    <w:p w14:paraId="082FBB91" w14:textId="0CE5F54E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4.7. </w:t>
      </w:r>
      <w:r w:rsidRPr="000132D2">
        <w:rPr>
          <w:lang w:val="sr-Latn-RS"/>
        </w:rPr>
        <w:t>Uticaj na sposobnost upravljanja vozilima i rukovanja mašinama</w:t>
      </w:r>
    </w:p>
    <w:p w14:paraId="2A3B68B1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442C1EEC" w14:textId="22B42E34" w:rsidR="00593739" w:rsidRPr="000132D2" w:rsidRDefault="00674751" w:rsidP="00AC7849">
      <w:pPr>
        <w:pStyle w:val="BodyText"/>
        <w:ind w:left="118" w:right="96"/>
        <w:jc w:val="both"/>
        <w:rPr>
          <w:lang w:val="sr-Latn-RS"/>
        </w:rPr>
      </w:pPr>
      <w:r>
        <w:rPr>
          <w:lang w:val="sr-Latn-RS"/>
        </w:rPr>
        <w:t>Lijek</w:t>
      </w:r>
      <w:r w:rsidR="00593739" w:rsidRPr="000132D2">
        <w:rPr>
          <w:lang w:val="sr-Latn-RS"/>
        </w:rPr>
        <w:t xml:space="preserve"> Gavreto ima mali uticaj na sposobnost upravljanja motornim vozilima i rukovanja mašinama. Treba biti pažljiv prilikom upravljanja motornim vozilima i rukovanja mašinama</w:t>
      </w:r>
      <w:r w:rsidR="00593739">
        <w:rPr>
          <w:lang w:val="sr-Latn-RS"/>
        </w:rPr>
        <w:t>,</w:t>
      </w:r>
      <w:r w:rsidR="00593739" w:rsidRPr="000132D2">
        <w:rPr>
          <w:lang w:val="sr-Latn-RS"/>
        </w:rPr>
        <w:t xml:space="preserve"> jer kod pacijenata može doći do pojave </w:t>
      </w:r>
      <w:r w:rsidR="009D15AA">
        <w:rPr>
          <w:lang w:val="sr-Latn-RS"/>
        </w:rPr>
        <w:t>umor</w:t>
      </w:r>
      <w:r w:rsidR="00593739" w:rsidRPr="000132D2">
        <w:rPr>
          <w:lang w:val="sr-Latn-RS"/>
        </w:rPr>
        <w:t xml:space="preserve">a dok uzimaju </w:t>
      </w:r>
      <w:r>
        <w:rPr>
          <w:lang w:val="sr-Latn-RS"/>
        </w:rPr>
        <w:t>lijek</w:t>
      </w:r>
      <w:r w:rsidR="00593739" w:rsidRPr="000132D2">
        <w:rPr>
          <w:lang w:val="sr-Latn-RS"/>
        </w:rPr>
        <w:t xml:space="preserve"> Gavreto (</w:t>
      </w:r>
      <w:r w:rsidR="009B142B">
        <w:rPr>
          <w:lang w:val="sr-Latn-RS"/>
        </w:rPr>
        <w:t xml:space="preserve">vidjeti </w:t>
      </w:r>
      <w:r>
        <w:rPr>
          <w:lang w:val="sr-Latn-RS"/>
        </w:rPr>
        <w:t>dio</w:t>
      </w:r>
      <w:r w:rsidR="00593739" w:rsidRPr="000132D2">
        <w:rPr>
          <w:lang w:val="sr-Latn-RS"/>
        </w:rPr>
        <w:t xml:space="preserve"> 4.8).</w:t>
      </w:r>
    </w:p>
    <w:p w14:paraId="6BAB2EA8" w14:textId="77777777" w:rsidR="00593739" w:rsidRPr="000132D2" w:rsidRDefault="00593739" w:rsidP="00593739">
      <w:pPr>
        <w:pStyle w:val="BodyText"/>
        <w:spacing w:before="4"/>
        <w:jc w:val="both"/>
        <w:rPr>
          <w:lang w:val="sr-Latn-RS"/>
        </w:rPr>
      </w:pPr>
    </w:p>
    <w:p w14:paraId="2129C497" w14:textId="77777777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4.8. </w:t>
      </w:r>
      <w:r w:rsidRPr="000132D2">
        <w:rPr>
          <w:lang w:val="sr-Latn-RS"/>
        </w:rPr>
        <w:t>Neželjena dejstva</w:t>
      </w:r>
    </w:p>
    <w:p w14:paraId="5A679B83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53C5D571" w14:textId="15135568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 xml:space="preserve">Sažetak </w:t>
      </w:r>
      <w:r w:rsidR="00513EC0">
        <w:rPr>
          <w:u w:val="single"/>
          <w:lang w:val="sr-Latn-RS"/>
        </w:rPr>
        <w:t>bezbjednosno</w:t>
      </w:r>
      <w:r w:rsidRPr="000132D2">
        <w:rPr>
          <w:u w:val="single"/>
          <w:lang w:val="sr-Latn-RS"/>
        </w:rPr>
        <w:t>g profila</w:t>
      </w:r>
    </w:p>
    <w:p w14:paraId="679A3C9F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7582BE36" w14:textId="7B7802E5" w:rsidR="00147704" w:rsidRDefault="00593739" w:rsidP="006A4869">
      <w:pPr>
        <w:pStyle w:val="BodyText"/>
        <w:spacing w:before="92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>Najčešće neželjene reakcije bile su anemija (</w:t>
      </w:r>
      <w:r w:rsidR="00147704">
        <w:rPr>
          <w:lang w:val="sr-Latn-RS"/>
        </w:rPr>
        <w:t>53,0</w:t>
      </w:r>
      <w:r w:rsidRPr="000132D2">
        <w:rPr>
          <w:lang w:val="sr-Latn-RS"/>
        </w:rPr>
        <w:t>%), povišen nivo aspartat aminotransferaze (</w:t>
      </w:r>
      <w:r w:rsidR="00147704">
        <w:rPr>
          <w:lang w:val="sr-Latn-RS"/>
        </w:rPr>
        <w:t>49,1</w:t>
      </w:r>
      <w:r w:rsidRPr="000132D2">
        <w:rPr>
          <w:lang w:val="sr-Latn-RS"/>
        </w:rPr>
        <w:t>%), neutropenija (</w:t>
      </w:r>
      <w:r w:rsidR="00147704">
        <w:rPr>
          <w:lang w:val="sr-Latn-RS"/>
        </w:rPr>
        <w:t>46,7</w:t>
      </w:r>
      <w:r w:rsidRPr="000132D2">
        <w:rPr>
          <w:lang w:val="sr-Latn-RS"/>
        </w:rPr>
        <w:t xml:space="preserve">%), </w:t>
      </w:r>
      <w:r w:rsidR="00147704" w:rsidRPr="000132D2">
        <w:rPr>
          <w:lang w:val="sr-Latn-RS"/>
        </w:rPr>
        <w:t>muskuloskeletni bol (</w:t>
      </w:r>
      <w:r w:rsidR="00147704">
        <w:rPr>
          <w:lang w:val="sr-Latn-RS"/>
        </w:rPr>
        <w:t>44,4</w:t>
      </w:r>
      <w:r w:rsidR="00147704" w:rsidRPr="000132D2">
        <w:rPr>
          <w:lang w:val="sr-Latn-RS"/>
        </w:rPr>
        <w:t>%),</w:t>
      </w:r>
      <w:r w:rsidR="00147704">
        <w:rPr>
          <w:lang w:val="sr-Latn-RS"/>
        </w:rPr>
        <w:t xml:space="preserve"> </w:t>
      </w:r>
      <w:r w:rsidRPr="000132D2">
        <w:rPr>
          <w:lang w:val="sr-Latn-RS"/>
        </w:rPr>
        <w:t>konstipacija (</w:t>
      </w:r>
      <w:r w:rsidR="00147704">
        <w:rPr>
          <w:lang w:val="sr-Latn-RS"/>
        </w:rPr>
        <w:t>43,9</w:t>
      </w:r>
      <w:r w:rsidRPr="000132D2">
        <w:rPr>
          <w:lang w:val="sr-Latn-RS"/>
        </w:rPr>
        <w:t xml:space="preserve">%), </w:t>
      </w:r>
      <w:r w:rsidR="009D15AA">
        <w:rPr>
          <w:lang w:val="sr-Latn-RS"/>
        </w:rPr>
        <w:t>u</w:t>
      </w:r>
      <w:r w:rsidRPr="000132D2">
        <w:rPr>
          <w:lang w:val="sr-Latn-RS"/>
        </w:rPr>
        <w:t>mor (</w:t>
      </w:r>
      <w:r w:rsidR="00147704">
        <w:rPr>
          <w:lang w:val="sr-Latn-RS"/>
        </w:rPr>
        <w:t>42,2</w:t>
      </w:r>
      <w:r w:rsidRPr="000132D2">
        <w:rPr>
          <w:lang w:val="sr-Latn-RS"/>
        </w:rPr>
        <w:t xml:space="preserve">%), </w:t>
      </w:r>
      <w:r w:rsidR="00147704" w:rsidRPr="000132D2">
        <w:rPr>
          <w:lang w:val="sr-Latn-RS"/>
        </w:rPr>
        <w:t>povišen nivo alanin aminotransferaze (</w:t>
      </w:r>
      <w:r w:rsidR="00147704">
        <w:rPr>
          <w:lang w:val="sr-Latn-RS"/>
        </w:rPr>
        <w:t>37,0</w:t>
      </w:r>
      <w:r w:rsidR="00147704" w:rsidRPr="000132D2">
        <w:rPr>
          <w:lang w:val="sr-Latn-RS"/>
        </w:rPr>
        <w:t>%)</w:t>
      </w:r>
      <w:r w:rsidR="00147704">
        <w:rPr>
          <w:lang w:val="sr-Latn-RS"/>
        </w:rPr>
        <w:t xml:space="preserve">, </w:t>
      </w:r>
      <w:r w:rsidRPr="000132D2">
        <w:rPr>
          <w:lang w:val="sr-Latn-RS"/>
        </w:rPr>
        <w:t>leukopenija (</w:t>
      </w:r>
      <w:r w:rsidR="00147704">
        <w:rPr>
          <w:lang w:val="sr-Latn-RS"/>
        </w:rPr>
        <w:t>37,0</w:t>
      </w:r>
      <w:r w:rsidRPr="000132D2">
        <w:rPr>
          <w:lang w:val="sr-Latn-RS"/>
        </w:rPr>
        <w:t>%) i hipertenzija (</w:t>
      </w:r>
      <w:r w:rsidR="00147704" w:rsidRPr="000132D2">
        <w:rPr>
          <w:lang w:val="sr-Latn-RS"/>
        </w:rPr>
        <w:t>3</w:t>
      </w:r>
      <w:r w:rsidR="00147704">
        <w:rPr>
          <w:lang w:val="sr-Latn-RS"/>
        </w:rPr>
        <w:t>5</w:t>
      </w:r>
      <w:r w:rsidRPr="000132D2">
        <w:rPr>
          <w:lang w:val="sr-Latn-RS"/>
        </w:rPr>
        <w:t>,0%).</w:t>
      </w:r>
    </w:p>
    <w:p w14:paraId="24AFC8CD" w14:textId="6A628D50" w:rsidR="00147704" w:rsidRDefault="00593739" w:rsidP="00147704">
      <w:pPr>
        <w:pStyle w:val="BodyText"/>
        <w:spacing w:before="92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>Najčešće ozbiljne neželjene reakcije bile su pneumonija (</w:t>
      </w:r>
      <w:r w:rsidR="00147704">
        <w:rPr>
          <w:lang w:val="sr-Latn-RS"/>
        </w:rPr>
        <w:t>15,6</w:t>
      </w:r>
      <w:r w:rsidRPr="000132D2">
        <w:rPr>
          <w:lang w:val="sr-Latn-RS"/>
        </w:rPr>
        <w:t>%), pneumonitis (5,</w:t>
      </w:r>
      <w:r w:rsidR="00147704">
        <w:rPr>
          <w:lang w:val="sr-Latn-RS"/>
        </w:rPr>
        <w:t>7</w:t>
      </w:r>
      <w:r w:rsidRPr="000132D2">
        <w:rPr>
          <w:lang w:val="sr-Latn-RS"/>
        </w:rPr>
        <w:t>%) i anemija (</w:t>
      </w:r>
      <w:r w:rsidR="00147704">
        <w:rPr>
          <w:lang w:val="sr-Latn-RS"/>
        </w:rPr>
        <w:t>5,2</w:t>
      </w:r>
      <w:r w:rsidRPr="000132D2">
        <w:rPr>
          <w:lang w:val="sr-Latn-RS"/>
        </w:rPr>
        <w:t>%).</w:t>
      </w:r>
    </w:p>
    <w:p w14:paraId="7480301E" w14:textId="03F7FA69" w:rsidR="00147704" w:rsidRPr="000132D2" w:rsidRDefault="00147704" w:rsidP="006A4869">
      <w:pPr>
        <w:pStyle w:val="BodyText"/>
        <w:spacing w:before="92"/>
        <w:ind w:left="118" w:right="96"/>
        <w:jc w:val="both"/>
        <w:rPr>
          <w:lang w:val="sr-Latn-RS"/>
        </w:rPr>
      </w:pPr>
      <w:r w:rsidRPr="00147704">
        <w:rPr>
          <w:lang w:val="sr-Latn-RS"/>
        </w:rPr>
        <w:t xml:space="preserve">Najčešće teške </w:t>
      </w:r>
      <w:r>
        <w:rPr>
          <w:lang w:val="sr-Latn-RS"/>
        </w:rPr>
        <w:t>neželjene reakcije</w:t>
      </w:r>
      <w:r w:rsidRPr="00147704">
        <w:rPr>
          <w:lang w:val="sr-Latn-RS"/>
        </w:rPr>
        <w:t xml:space="preserve"> bile su anemija (22,4%), neutropenija (21,1%), hipertenzija (17,6%), pneumonija (15,4%) i limfopenija (17,4%).</w:t>
      </w:r>
    </w:p>
    <w:p w14:paraId="64AC2D8E" w14:textId="77777777" w:rsidR="00593739" w:rsidRPr="000132D2" w:rsidRDefault="00593739" w:rsidP="006A4869">
      <w:pPr>
        <w:pStyle w:val="BodyText"/>
        <w:spacing w:before="11"/>
        <w:ind w:right="96"/>
        <w:jc w:val="both"/>
        <w:rPr>
          <w:sz w:val="21"/>
          <w:lang w:val="sr-Latn-RS"/>
        </w:rPr>
      </w:pPr>
    </w:p>
    <w:p w14:paraId="3C5C7FBF" w14:textId="21C024A4" w:rsidR="00593739" w:rsidRPr="000132D2" w:rsidRDefault="00593739" w:rsidP="006A486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Na osnovu podataka iz kliničkih ispitivanja, odnos izloženosti i odgovora za svaku neželjenu reakciju gradusa 3 ili 4 bio je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 pri višim izloženostima, sa bržim početkom neželjenih reakcija što je izloženost pralsetinibu bila veća.</w:t>
      </w:r>
    </w:p>
    <w:p w14:paraId="439D9016" w14:textId="77777777" w:rsidR="00593739" w:rsidRPr="000132D2" w:rsidRDefault="00593739" w:rsidP="006A4869">
      <w:pPr>
        <w:pStyle w:val="BodyText"/>
        <w:spacing w:before="1"/>
        <w:ind w:right="96"/>
        <w:jc w:val="both"/>
        <w:rPr>
          <w:lang w:val="sr-Latn-RS"/>
        </w:rPr>
      </w:pPr>
    </w:p>
    <w:p w14:paraId="0EAD83B2" w14:textId="06E0533F" w:rsidR="00593739" w:rsidRPr="000132D2" w:rsidRDefault="00593739" w:rsidP="006A486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Do redukcija doze zbog neželjene reakcije došlo je kod </w:t>
      </w:r>
      <w:r w:rsidR="00147704">
        <w:rPr>
          <w:lang w:val="sr-Latn-RS"/>
        </w:rPr>
        <w:t>46,7</w:t>
      </w:r>
      <w:r w:rsidRPr="000132D2">
        <w:rPr>
          <w:lang w:val="sr-Latn-RS"/>
        </w:rPr>
        <w:t xml:space="preserve">% pacijenata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nih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om Gavreto. Najčešće neželjene reakcije koje su dovodile do redukcija doze bile su neutropenija (</w:t>
      </w:r>
      <w:r w:rsidR="00147704">
        <w:rPr>
          <w:lang w:val="sr-Latn-RS"/>
        </w:rPr>
        <w:t>15,6</w:t>
      </w:r>
      <w:r w:rsidRPr="000132D2">
        <w:rPr>
          <w:lang w:val="sr-Latn-RS"/>
        </w:rPr>
        <w:t>%), anemija (</w:t>
      </w:r>
      <w:r w:rsidR="00147704">
        <w:rPr>
          <w:lang w:val="sr-Latn-RS"/>
        </w:rPr>
        <w:t>10,6</w:t>
      </w:r>
      <w:r w:rsidRPr="000132D2">
        <w:rPr>
          <w:lang w:val="sr-Latn-RS"/>
        </w:rPr>
        <w:t>%), limfopenija (</w:t>
      </w:r>
      <w:r w:rsidR="00147704">
        <w:rPr>
          <w:lang w:val="sr-Latn-RS"/>
        </w:rPr>
        <w:t>7,2</w:t>
      </w:r>
      <w:r w:rsidRPr="000132D2">
        <w:rPr>
          <w:lang w:val="sr-Latn-RS"/>
        </w:rPr>
        <w:t>%), pneumonitis (5,</w:t>
      </w:r>
      <w:r w:rsidR="00147704">
        <w:rPr>
          <w:lang w:val="sr-Latn-RS"/>
        </w:rPr>
        <w:t>7</w:t>
      </w:r>
      <w:r w:rsidRPr="000132D2">
        <w:rPr>
          <w:lang w:val="sr-Latn-RS"/>
        </w:rPr>
        <w:t>%), povišen nivo fosfokinaze u krvi (</w:t>
      </w:r>
      <w:r w:rsidR="00147704">
        <w:rPr>
          <w:lang w:val="sr-Latn-RS"/>
        </w:rPr>
        <w:t>5,2</w:t>
      </w:r>
      <w:r w:rsidRPr="000132D2">
        <w:rPr>
          <w:lang w:val="sr-Latn-RS"/>
        </w:rPr>
        <w:t>%), hipertenzija (4,</w:t>
      </w:r>
      <w:r w:rsidR="00147704">
        <w:rPr>
          <w:lang w:val="sr-Latn-RS"/>
        </w:rPr>
        <w:t>8</w:t>
      </w:r>
      <w:r w:rsidRPr="000132D2">
        <w:rPr>
          <w:lang w:val="sr-Latn-RS"/>
        </w:rPr>
        <w:t>%)</w:t>
      </w:r>
      <w:r w:rsidR="00147704">
        <w:rPr>
          <w:lang w:val="sr-Latn-RS"/>
        </w:rPr>
        <w:t>,</w:t>
      </w:r>
      <w:r w:rsidR="00147704" w:rsidRPr="00147704">
        <w:rPr>
          <w:lang w:val="sr-Latn-RS"/>
        </w:rPr>
        <w:t xml:space="preserve"> </w:t>
      </w:r>
      <w:r w:rsidR="00147704">
        <w:rPr>
          <w:lang w:val="sr-Latn-RS"/>
        </w:rPr>
        <w:t>leukopenija (4,6%)</w:t>
      </w:r>
      <w:r w:rsidR="00147704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 i zamor (</w:t>
      </w:r>
      <w:r w:rsidR="00147704">
        <w:rPr>
          <w:lang w:val="sr-Latn-RS"/>
        </w:rPr>
        <w:t>4,1</w:t>
      </w:r>
      <w:r w:rsidRPr="000132D2">
        <w:rPr>
          <w:lang w:val="sr-Latn-RS"/>
        </w:rPr>
        <w:t>%).</w:t>
      </w:r>
    </w:p>
    <w:p w14:paraId="31A20620" w14:textId="77777777" w:rsidR="00593739" w:rsidRPr="000132D2" w:rsidRDefault="00593739" w:rsidP="006A4869">
      <w:pPr>
        <w:pStyle w:val="BodyText"/>
        <w:ind w:right="96"/>
        <w:jc w:val="both"/>
        <w:rPr>
          <w:lang w:val="sr-Latn-RS"/>
        </w:rPr>
      </w:pPr>
    </w:p>
    <w:p w14:paraId="2FD1D7E3" w14:textId="29DF27CD" w:rsidR="00593739" w:rsidRPr="000132D2" w:rsidRDefault="00593739" w:rsidP="006A4869">
      <w:pPr>
        <w:pStyle w:val="BodyText"/>
        <w:ind w:left="118" w:right="96"/>
        <w:jc w:val="both"/>
        <w:rPr>
          <w:lang w:val="sr-Latn-RS"/>
        </w:rPr>
      </w:pPr>
      <w:r w:rsidRPr="000132D2">
        <w:rPr>
          <w:lang w:val="sr-Latn-RS"/>
        </w:rPr>
        <w:t xml:space="preserve">Do trajnog prekida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e zbog neželjene reakcije došlo je kod </w:t>
      </w:r>
      <w:r w:rsidR="00147704">
        <w:rPr>
          <w:lang w:val="sr-Latn-RS"/>
        </w:rPr>
        <w:t>10,6</w:t>
      </w:r>
      <w:r w:rsidRPr="000132D2">
        <w:rPr>
          <w:lang w:val="sr-Latn-RS"/>
        </w:rPr>
        <w:t xml:space="preserve">% pacijenata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nih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om Gavreto. Najčešće neželjene reakcije koje su dovodile do trajnog prekida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 xml:space="preserve">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a Gavreto su bile pneumonija i pneumonitis (</w:t>
      </w:r>
      <w:r w:rsidR="00147704">
        <w:rPr>
          <w:lang w:val="sr-Latn-RS"/>
        </w:rPr>
        <w:t>2,6</w:t>
      </w:r>
      <w:r w:rsidRPr="000132D2">
        <w:rPr>
          <w:lang w:val="sr-Latn-RS"/>
        </w:rPr>
        <w:t>%</w:t>
      </w:r>
      <w:r w:rsidR="00147704">
        <w:rPr>
          <w:lang w:val="sr-Latn-RS"/>
        </w:rPr>
        <w:t xml:space="preserve"> odnosno 2,2%</w:t>
      </w:r>
      <w:r w:rsidRPr="000132D2">
        <w:rPr>
          <w:lang w:val="sr-Latn-RS"/>
        </w:rPr>
        <w:t>).</w:t>
      </w:r>
    </w:p>
    <w:p w14:paraId="2053E646" w14:textId="77777777" w:rsidR="00593739" w:rsidRPr="000132D2" w:rsidRDefault="00593739" w:rsidP="006A4869">
      <w:pPr>
        <w:pStyle w:val="BodyText"/>
        <w:spacing w:before="10"/>
        <w:ind w:right="96"/>
        <w:jc w:val="both"/>
        <w:rPr>
          <w:sz w:val="21"/>
          <w:lang w:val="sr-Latn-RS"/>
        </w:rPr>
      </w:pPr>
    </w:p>
    <w:p w14:paraId="4DB5D7DB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Tabelarni prikaz neželjenih reakcija</w:t>
      </w:r>
    </w:p>
    <w:p w14:paraId="5426D0E3" w14:textId="77777777" w:rsidR="00593739" w:rsidRPr="000132D2" w:rsidRDefault="00593739" w:rsidP="00593739">
      <w:pPr>
        <w:pStyle w:val="BodyText"/>
        <w:spacing w:before="2"/>
        <w:jc w:val="both"/>
        <w:rPr>
          <w:sz w:val="14"/>
          <w:lang w:val="sr-Latn-RS"/>
        </w:rPr>
      </w:pPr>
    </w:p>
    <w:p w14:paraId="7028769E" w14:textId="7106B897" w:rsidR="00593739" w:rsidRPr="000132D2" w:rsidRDefault="00593739" w:rsidP="00AC7849">
      <w:pPr>
        <w:pStyle w:val="BodyText"/>
        <w:tabs>
          <w:tab w:val="left" w:pos="9072"/>
        </w:tabs>
        <w:spacing w:before="91"/>
        <w:ind w:left="170" w:right="96"/>
        <w:jc w:val="both"/>
        <w:rPr>
          <w:lang w:val="sr-Latn-RS"/>
        </w:rPr>
      </w:pPr>
      <w:r w:rsidRPr="000132D2">
        <w:rPr>
          <w:lang w:val="sr-Latn-RS"/>
        </w:rPr>
        <w:t xml:space="preserve">Populacija kod koje je proučavana </w:t>
      </w:r>
      <w:r w:rsidR="00674751">
        <w:rPr>
          <w:lang w:val="sr-Latn-RS"/>
        </w:rPr>
        <w:t>bezbjednost</w:t>
      </w:r>
      <w:r w:rsidRPr="000132D2">
        <w:rPr>
          <w:lang w:val="sr-Latn-RS"/>
        </w:rPr>
        <w:t xml:space="preserve"> obuhvata ukupno </w:t>
      </w:r>
      <w:r w:rsidR="00147704" w:rsidRPr="000132D2">
        <w:rPr>
          <w:lang w:val="sr-Latn-RS"/>
        </w:rPr>
        <w:t>5</w:t>
      </w:r>
      <w:r w:rsidR="00147704">
        <w:rPr>
          <w:lang w:val="sr-Latn-RS"/>
        </w:rPr>
        <w:t>40</w:t>
      </w:r>
      <w:r w:rsidR="00147704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pacijenata, uključujući 281 pacijenta sa uznapredovalim NCSLC, kao i pacijente sa drugim solidnim tumorima (uključujući karcinom tireoidee sa RET fuzijom i medularni karcinom tireoidee sa RET mutacijom), koji su primali pralsetinib u početnoj dozi od 400 mg </w:t>
      </w:r>
      <w:r>
        <w:rPr>
          <w:lang w:val="sr-Latn-RS"/>
        </w:rPr>
        <w:t>(</w:t>
      </w:r>
      <w:r w:rsidR="009D15AA">
        <w:rPr>
          <w:lang w:val="sr-Latn-RS"/>
        </w:rPr>
        <w:t>vidjeti</w:t>
      </w:r>
      <w:r w:rsidR="009D15AA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5.1</w:t>
      </w:r>
      <w:r>
        <w:rPr>
          <w:lang w:val="sr-Latn-RS"/>
        </w:rPr>
        <w:t>)</w:t>
      </w:r>
      <w:r w:rsidRPr="000132D2">
        <w:rPr>
          <w:lang w:val="sr-Latn-RS"/>
        </w:rPr>
        <w:t xml:space="preserve">.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e klinički relevantne razlike u </w:t>
      </w:r>
      <w:r w:rsidR="00513EC0">
        <w:rPr>
          <w:lang w:val="sr-Latn-RS"/>
        </w:rPr>
        <w:t>bezbjednosno</w:t>
      </w:r>
      <w:r w:rsidRPr="000132D2">
        <w:rPr>
          <w:lang w:val="sr-Latn-RS"/>
        </w:rPr>
        <w:t>m profilu u indikacijama.</w:t>
      </w:r>
    </w:p>
    <w:p w14:paraId="5B5B89A7" w14:textId="77777777" w:rsidR="00593739" w:rsidRPr="000132D2" w:rsidRDefault="00593739" w:rsidP="00AC7849">
      <w:pPr>
        <w:pStyle w:val="BodyText"/>
        <w:tabs>
          <w:tab w:val="left" w:pos="9072"/>
        </w:tabs>
        <w:ind w:left="170" w:right="96"/>
        <w:jc w:val="both"/>
        <w:rPr>
          <w:lang w:val="sr-Latn-RS"/>
        </w:rPr>
      </w:pPr>
    </w:p>
    <w:p w14:paraId="61BCA80E" w14:textId="5747C376" w:rsidR="00593739" w:rsidRPr="000132D2" w:rsidRDefault="00593739" w:rsidP="00AC7849">
      <w:pPr>
        <w:pStyle w:val="BodyText"/>
        <w:tabs>
          <w:tab w:val="left" w:pos="9072"/>
        </w:tabs>
        <w:ind w:left="170" w:right="96"/>
        <w:jc w:val="both"/>
        <w:rPr>
          <w:lang w:val="sr-Latn-RS"/>
        </w:rPr>
      </w:pPr>
      <w:r w:rsidRPr="000132D2">
        <w:rPr>
          <w:lang w:val="sr-Latn-RS"/>
        </w:rPr>
        <w:t xml:space="preserve">Neželjene reakcije prijavljene kod pacijenata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nih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om Gavreto u ispitivanju ARROW navedene su u nastavku (tabela 3), prema klasi sistema organa i učestalosti MedDRA.</w:t>
      </w:r>
    </w:p>
    <w:p w14:paraId="1D87F981" w14:textId="77777777" w:rsidR="00593739" w:rsidRPr="000132D2" w:rsidRDefault="00593739" w:rsidP="00AC7849">
      <w:pPr>
        <w:pStyle w:val="BodyText"/>
        <w:tabs>
          <w:tab w:val="left" w:pos="9072"/>
        </w:tabs>
        <w:spacing w:before="11"/>
        <w:ind w:left="170" w:right="96"/>
        <w:jc w:val="both"/>
        <w:rPr>
          <w:sz w:val="21"/>
          <w:lang w:val="sr-Latn-RS"/>
        </w:rPr>
      </w:pPr>
    </w:p>
    <w:p w14:paraId="1272AE09" w14:textId="45931C0E" w:rsidR="00593739" w:rsidRPr="000132D2" w:rsidRDefault="00593739" w:rsidP="00AC7849">
      <w:pPr>
        <w:pStyle w:val="BodyText"/>
        <w:tabs>
          <w:tab w:val="left" w:pos="9072"/>
        </w:tabs>
        <w:ind w:left="170" w:right="96"/>
        <w:jc w:val="both"/>
        <w:rPr>
          <w:lang w:val="sr-Latn-RS"/>
        </w:rPr>
      </w:pPr>
      <w:r w:rsidRPr="000132D2">
        <w:rPr>
          <w:lang w:val="sr-Latn-RS"/>
        </w:rPr>
        <w:lastRenderedPageBreak/>
        <w:t>Učestalosti se definišu prema sledećoj konvenciji: veoma čest</w:t>
      </w:r>
      <w:r w:rsidR="009D15AA">
        <w:rPr>
          <w:lang w:val="sr-Latn-RS"/>
        </w:rPr>
        <w:t>o</w:t>
      </w:r>
      <w:r w:rsidRPr="000132D2">
        <w:rPr>
          <w:lang w:val="sr-Latn-RS"/>
        </w:rPr>
        <w:t xml:space="preserve"> (≥ 1/10), čest</w:t>
      </w:r>
      <w:r w:rsidR="009D15AA">
        <w:rPr>
          <w:lang w:val="sr-Latn-RS"/>
        </w:rPr>
        <w:t>o</w:t>
      </w:r>
      <w:r w:rsidRPr="000132D2">
        <w:rPr>
          <w:lang w:val="sr-Latn-RS"/>
        </w:rPr>
        <w:t xml:space="preserve"> (≥1/100 do</w:t>
      </w:r>
      <w:r w:rsidR="00197F74">
        <w:rPr>
          <w:lang w:val="sr-Latn-RS"/>
        </w:rPr>
        <w:t xml:space="preserve"> </w:t>
      </w:r>
      <w:r w:rsidRPr="000132D2">
        <w:rPr>
          <w:lang w:val="sr-Latn-RS"/>
        </w:rPr>
        <w:t>&lt;1/10, povremen</w:t>
      </w:r>
      <w:r w:rsidR="009D15AA">
        <w:rPr>
          <w:lang w:val="sr-Latn-RS"/>
        </w:rPr>
        <w:t>o</w:t>
      </w:r>
      <w:r w:rsidRPr="000132D2">
        <w:rPr>
          <w:lang w:val="sr-Latn-RS"/>
        </w:rPr>
        <w:t xml:space="preserve"> (≥1/1000 do &lt;1/100), </w:t>
      </w:r>
      <w:r w:rsidR="00513EC0">
        <w:rPr>
          <w:lang w:val="sr-Latn-RS"/>
        </w:rPr>
        <w:t>rijetk</w:t>
      </w:r>
      <w:r w:rsidR="009D15AA">
        <w:rPr>
          <w:lang w:val="sr-Latn-RS"/>
        </w:rPr>
        <w:t>o</w:t>
      </w:r>
      <w:r w:rsidRPr="000132D2">
        <w:rPr>
          <w:lang w:val="sr-Latn-RS"/>
        </w:rPr>
        <w:t xml:space="preserve"> (≥1/10.000 do &lt;1/1000), veoma </w:t>
      </w:r>
      <w:r w:rsidR="00513EC0">
        <w:rPr>
          <w:lang w:val="sr-Latn-RS"/>
        </w:rPr>
        <w:t>rijetk</w:t>
      </w:r>
      <w:r w:rsidR="009D15AA">
        <w:rPr>
          <w:lang w:val="sr-Latn-RS"/>
        </w:rPr>
        <w:t>o</w:t>
      </w:r>
      <w:r w:rsidRPr="000132D2">
        <w:rPr>
          <w:lang w:val="sr-Latn-RS"/>
        </w:rPr>
        <w:t xml:space="preserve"> (&lt;1/10.000) i nepoznato (ne može se </w:t>
      </w:r>
      <w:r w:rsidR="00150C32">
        <w:rPr>
          <w:lang w:val="sr-Latn-RS"/>
        </w:rPr>
        <w:t>procijeniti</w:t>
      </w:r>
      <w:r w:rsidRPr="000132D2">
        <w:rPr>
          <w:lang w:val="sr-Latn-RS"/>
        </w:rPr>
        <w:t xml:space="preserve"> na osnovu dostupnih podataka).</w:t>
      </w:r>
    </w:p>
    <w:p w14:paraId="548B5660" w14:textId="77777777" w:rsidR="00593739" w:rsidRPr="000132D2" w:rsidRDefault="00593739" w:rsidP="00AC7849">
      <w:pPr>
        <w:pStyle w:val="BodyText"/>
        <w:tabs>
          <w:tab w:val="left" w:pos="9072"/>
        </w:tabs>
        <w:ind w:left="170" w:right="96"/>
        <w:jc w:val="both"/>
        <w:rPr>
          <w:lang w:val="sr-Latn-RS"/>
        </w:rPr>
      </w:pPr>
    </w:p>
    <w:p w14:paraId="103A3B77" w14:textId="6181FFAB" w:rsidR="001A1561" w:rsidRDefault="00593739" w:rsidP="00147704">
      <w:pPr>
        <w:pStyle w:val="BodyText"/>
        <w:ind w:left="170" w:right="96"/>
        <w:jc w:val="both"/>
        <w:rPr>
          <w:lang w:val="sr-Latn-RS"/>
        </w:rPr>
      </w:pPr>
      <w:r w:rsidRPr="000132D2">
        <w:rPr>
          <w:lang w:val="sr-Latn-RS"/>
        </w:rPr>
        <w:t>U svakoj klasi sistema organa prikazane su neželjene reakcije po opadajućoj učestalosti</w:t>
      </w:r>
    </w:p>
    <w:p w14:paraId="1E30B246" w14:textId="77777777" w:rsidR="009D15AA" w:rsidRDefault="009D15AA" w:rsidP="00AC7849">
      <w:pPr>
        <w:pStyle w:val="BodyText"/>
        <w:ind w:right="259"/>
        <w:jc w:val="both"/>
        <w:rPr>
          <w:lang w:val="sr-Latn-RS"/>
        </w:rPr>
      </w:pPr>
    </w:p>
    <w:p w14:paraId="56B1348B" w14:textId="29E45FE2" w:rsidR="00B13662" w:rsidRPr="000132D2" w:rsidRDefault="00593739" w:rsidP="00147704">
      <w:pPr>
        <w:pStyle w:val="BodyText"/>
        <w:ind w:left="170" w:right="259"/>
        <w:jc w:val="both"/>
        <w:rPr>
          <w:lang w:val="sr-Latn-RS"/>
        </w:rPr>
      </w:pPr>
      <w:r w:rsidRPr="000132D2">
        <w:rPr>
          <w:lang w:val="sr-Latn-RS"/>
        </w:rPr>
        <w:t xml:space="preserve">Tabela 3. Neželjene reakcije prijavljene kod svih pacijenata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nih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om Gavreto 400 mg u ispitivanju ARROW (N = </w:t>
      </w:r>
      <w:r w:rsidR="00147704">
        <w:rPr>
          <w:lang w:val="sr-Latn-RS"/>
        </w:rPr>
        <w:t>540</w:t>
      </w:r>
      <w:r w:rsidRPr="000132D2">
        <w:rPr>
          <w:lang w:val="sr-Latn-RS"/>
        </w:rPr>
        <w:t>)</w:t>
      </w:r>
    </w:p>
    <w:p w14:paraId="15DD1BDA" w14:textId="77777777" w:rsidR="00593739" w:rsidRPr="000132D2" w:rsidRDefault="00593739" w:rsidP="00AC7849">
      <w:pPr>
        <w:pStyle w:val="BodyText"/>
        <w:ind w:right="259"/>
        <w:jc w:val="both"/>
        <w:rPr>
          <w:b/>
          <w:lang w:val="sr-Latn-RS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1701"/>
        <w:gridCol w:w="1406"/>
        <w:gridCol w:w="1560"/>
      </w:tblGrid>
      <w:tr w:rsidR="00593739" w:rsidRPr="000132D2" w14:paraId="72387FE5" w14:textId="77777777" w:rsidTr="00AC7849">
        <w:trPr>
          <w:trHeight w:val="506"/>
        </w:trPr>
        <w:tc>
          <w:tcPr>
            <w:tcW w:w="4407" w:type="dxa"/>
          </w:tcPr>
          <w:p w14:paraId="5E822966" w14:textId="77777777" w:rsidR="00593739" w:rsidRPr="000132D2" w:rsidRDefault="00593739" w:rsidP="00573A31">
            <w:pPr>
              <w:pStyle w:val="TableParagraph"/>
              <w:spacing w:line="248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Klasa sistema organa /</w:t>
            </w:r>
          </w:p>
          <w:p w14:paraId="427B1887" w14:textId="77777777" w:rsidR="00593739" w:rsidRPr="000132D2" w:rsidRDefault="00593739" w:rsidP="00573A31">
            <w:pPr>
              <w:pStyle w:val="TableParagraph"/>
              <w:spacing w:line="238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Neželjene reakcije</w:t>
            </w:r>
          </w:p>
        </w:tc>
        <w:tc>
          <w:tcPr>
            <w:tcW w:w="1701" w:type="dxa"/>
          </w:tcPr>
          <w:p w14:paraId="0768D128" w14:textId="77777777" w:rsidR="00593739" w:rsidRPr="000132D2" w:rsidRDefault="00593739" w:rsidP="00573A31">
            <w:pPr>
              <w:pStyle w:val="TableParagraph"/>
              <w:spacing w:line="252" w:lineRule="exact"/>
              <w:ind w:left="358" w:right="323" w:hanging="12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Kategorija učestalosti</w:t>
            </w:r>
          </w:p>
        </w:tc>
        <w:tc>
          <w:tcPr>
            <w:tcW w:w="1406" w:type="dxa"/>
          </w:tcPr>
          <w:p w14:paraId="5B2CA467" w14:textId="77777777" w:rsidR="00593739" w:rsidRPr="000132D2" w:rsidRDefault="00593739" w:rsidP="00AC7849">
            <w:pPr>
              <w:pStyle w:val="TableParagraph"/>
              <w:spacing w:line="251" w:lineRule="exact"/>
              <w:ind w:left="0" w:right="156"/>
              <w:jc w:val="center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Svi gradusi</w:t>
            </w:r>
          </w:p>
          <w:p w14:paraId="5AABD816" w14:textId="77777777" w:rsidR="00593739" w:rsidRPr="000132D2" w:rsidRDefault="00593739" w:rsidP="00AC7849">
            <w:pPr>
              <w:pStyle w:val="TableParagraph"/>
              <w:spacing w:line="235" w:lineRule="exact"/>
              <w:ind w:left="0" w:right="-24"/>
              <w:jc w:val="center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%</w:t>
            </w:r>
          </w:p>
        </w:tc>
        <w:tc>
          <w:tcPr>
            <w:tcW w:w="1560" w:type="dxa"/>
          </w:tcPr>
          <w:p w14:paraId="0D8DA793" w14:textId="77777777" w:rsidR="00593739" w:rsidRPr="000132D2" w:rsidRDefault="00593739" w:rsidP="00AC7849">
            <w:pPr>
              <w:pStyle w:val="TableParagraph"/>
              <w:spacing w:line="251" w:lineRule="exact"/>
              <w:ind w:left="242" w:right="236" w:hanging="140"/>
              <w:jc w:val="center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Gradusi 3–4</w:t>
            </w:r>
          </w:p>
          <w:p w14:paraId="0E62753E" w14:textId="77777777" w:rsidR="00593739" w:rsidRPr="000132D2" w:rsidRDefault="00593739" w:rsidP="00AC7849">
            <w:pPr>
              <w:pStyle w:val="TableParagraph"/>
              <w:spacing w:line="235" w:lineRule="exact"/>
              <w:ind w:left="3"/>
              <w:jc w:val="center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%</w:t>
            </w:r>
          </w:p>
        </w:tc>
      </w:tr>
      <w:tr w:rsidR="00593739" w:rsidRPr="000132D2" w14:paraId="26403AB7" w14:textId="77777777" w:rsidTr="00573A31">
        <w:trPr>
          <w:trHeight w:val="251"/>
        </w:trPr>
        <w:tc>
          <w:tcPr>
            <w:tcW w:w="9074" w:type="dxa"/>
            <w:gridSpan w:val="4"/>
          </w:tcPr>
          <w:p w14:paraId="7C8F731E" w14:textId="77777777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Infekcije i infestacije</w:t>
            </w:r>
          </w:p>
        </w:tc>
      </w:tr>
      <w:tr w:rsidR="00593739" w:rsidRPr="000132D2" w14:paraId="108E0682" w14:textId="77777777" w:rsidTr="00AC7849">
        <w:trPr>
          <w:trHeight w:val="506"/>
        </w:trPr>
        <w:tc>
          <w:tcPr>
            <w:tcW w:w="4407" w:type="dxa"/>
          </w:tcPr>
          <w:p w14:paraId="091938DA" w14:textId="77777777" w:rsidR="00593739" w:rsidRPr="000132D2" w:rsidRDefault="00593739" w:rsidP="00573A31">
            <w:pPr>
              <w:pStyle w:val="TableParagraph"/>
              <w:spacing w:line="247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Pneumonija</w:t>
            </w:r>
            <w:r w:rsidRPr="000132D2">
              <w:rPr>
                <w:vertAlign w:val="superscript"/>
                <w:lang w:val="sr-Latn-RS"/>
              </w:rPr>
              <w:t>1</w:t>
            </w:r>
          </w:p>
          <w:p w14:paraId="27A6C9C8" w14:textId="77777777" w:rsidR="00593739" w:rsidRPr="000132D2" w:rsidRDefault="00593739" w:rsidP="00573A31">
            <w:pPr>
              <w:pStyle w:val="TableParagraph"/>
              <w:spacing w:before="1" w:line="238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Infekcija urinarnog trakta</w:t>
            </w:r>
          </w:p>
        </w:tc>
        <w:tc>
          <w:tcPr>
            <w:tcW w:w="1701" w:type="dxa"/>
          </w:tcPr>
          <w:p w14:paraId="4497B52E" w14:textId="53E5D4F5" w:rsidR="00593739" w:rsidRPr="000132D2" w:rsidRDefault="00593739" w:rsidP="00573A31">
            <w:pPr>
              <w:pStyle w:val="TableParagraph"/>
              <w:spacing w:before="12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</w:tcPr>
          <w:p w14:paraId="0B0E700B" w14:textId="393F31A6" w:rsidR="00593739" w:rsidRPr="000132D2" w:rsidRDefault="00147704" w:rsidP="00573A31">
            <w:pPr>
              <w:pStyle w:val="TableParagraph"/>
              <w:spacing w:line="247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22</w:t>
            </w:r>
            <w:r w:rsidR="00593739" w:rsidRPr="000132D2">
              <w:rPr>
                <w:lang w:val="sr-Latn-RS"/>
              </w:rPr>
              <w:t>,4</w:t>
            </w:r>
          </w:p>
          <w:p w14:paraId="43ED10AA" w14:textId="48609142" w:rsidR="00593739" w:rsidRPr="000132D2" w:rsidRDefault="00147704" w:rsidP="00573A31">
            <w:pPr>
              <w:pStyle w:val="TableParagraph"/>
              <w:spacing w:before="1" w:line="238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14,8</w:t>
            </w:r>
          </w:p>
        </w:tc>
        <w:tc>
          <w:tcPr>
            <w:tcW w:w="1560" w:type="dxa"/>
          </w:tcPr>
          <w:p w14:paraId="78A52C36" w14:textId="3BB176A8" w:rsidR="00593739" w:rsidRPr="000132D2" w:rsidRDefault="00147704" w:rsidP="00573A31">
            <w:pPr>
              <w:pStyle w:val="TableParagraph"/>
              <w:spacing w:line="247" w:lineRule="exact"/>
              <w:ind w:left="242" w:right="236"/>
              <w:jc w:val="both"/>
              <w:rPr>
                <w:lang w:val="sr-Latn-RS"/>
              </w:rPr>
            </w:pPr>
            <w:r>
              <w:rPr>
                <w:lang w:val="sr-Latn-RS"/>
              </w:rPr>
              <w:t>13,1</w:t>
            </w:r>
          </w:p>
          <w:p w14:paraId="739E0761" w14:textId="2221D12B" w:rsidR="00593739" w:rsidRPr="000132D2" w:rsidRDefault="00147704" w:rsidP="00573A31">
            <w:pPr>
              <w:pStyle w:val="TableParagraph"/>
              <w:spacing w:before="1" w:line="238" w:lineRule="exact"/>
              <w:ind w:left="242" w:right="236"/>
              <w:jc w:val="both"/>
              <w:rPr>
                <w:lang w:val="sr-Latn-RS"/>
              </w:rPr>
            </w:pPr>
            <w:r>
              <w:rPr>
                <w:lang w:val="sr-Latn-RS"/>
              </w:rPr>
              <w:t>4,4</w:t>
            </w:r>
          </w:p>
        </w:tc>
      </w:tr>
      <w:tr w:rsidR="008B5C2F" w:rsidRPr="000132D2" w14:paraId="53413D04" w14:textId="77777777" w:rsidTr="00AC7849">
        <w:trPr>
          <w:trHeight w:val="506"/>
        </w:trPr>
        <w:tc>
          <w:tcPr>
            <w:tcW w:w="4407" w:type="dxa"/>
          </w:tcPr>
          <w:p w14:paraId="5335E719" w14:textId="4528A33A" w:rsidR="008B5C2F" w:rsidRPr="000132D2" w:rsidRDefault="008B5C2F" w:rsidP="008B5C2F">
            <w:pPr>
              <w:pStyle w:val="TableParagraph"/>
              <w:spacing w:line="247" w:lineRule="exact"/>
              <w:jc w:val="both"/>
              <w:rPr>
                <w:lang w:val="sr-Latn-RS"/>
              </w:rPr>
            </w:pPr>
            <w:r>
              <w:rPr>
                <w:lang w:val="sr-Latn-RS"/>
              </w:rPr>
              <w:t>Tuberkuloza</w:t>
            </w:r>
            <w:r w:rsidRPr="00C92C94">
              <w:rPr>
                <w:bCs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5EF8EEF" w14:textId="5A1F0670" w:rsidR="008B5C2F" w:rsidRPr="000132D2" w:rsidRDefault="008B5C2F" w:rsidP="008B5C2F">
            <w:pPr>
              <w:pStyle w:val="TableParagraph"/>
              <w:spacing w:before="121"/>
              <w:jc w:val="both"/>
              <w:rPr>
                <w:lang w:val="sr-Latn-RS"/>
              </w:rPr>
            </w:pPr>
            <w:r>
              <w:t>Povremeno</w:t>
            </w:r>
          </w:p>
        </w:tc>
        <w:tc>
          <w:tcPr>
            <w:tcW w:w="1406" w:type="dxa"/>
          </w:tcPr>
          <w:p w14:paraId="624B5365" w14:textId="066212B3" w:rsidR="008B5C2F" w:rsidRPr="000132D2" w:rsidRDefault="008B5C2F" w:rsidP="00147704">
            <w:pPr>
              <w:pStyle w:val="TableParagraph"/>
              <w:spacing w:line="247" w:lineRule="exact"/>
              <w:ind w:left="349" w:right="339"/>
              <w:jc w:val="both"/>
              <w:rPr>
                <w:lang w:val="sr-Latn-RS"/>
              </w:rPr>
            </w:pPr>
            <w:r w:rsidRPr="00F20EBA">
              <w:t>0,</w:t>
            </w:r>
            <w:r w:rsidR="00147704">
              <w:t>7</w:t>
            </w:r>
          </w:p>
        </w:tc>
        <w:tc>
          <w:tcPr>
            <w:tcW w:w="1560" w:type="dxa"/>
          </w:tcPr>
          <w:p w14:paraId="7ECB2B18" w14:textId="7B7419B7" w:rsidR="008B5C2F" w:rsidRPr="000132D2" w:rsidRDefault="008B5C2F" w:rsidP="00147704">
            <w:pPr>
              <w:pStyle w:val="TableParagraph"/>
              <w:spacing w:line="247" w:lineRule="exact"/>
              <w:ind w:left="242" w:right="236"/>
              <w:jc w:val="both"/>
              <w:rPr>
                <w:lang w:val="sr-Latn-RS"/>
              </w:rPr>
            </w:pPr>
            <w:r w:rsidRPr="00F20EBA">
              <w:t>0,</w:t>
            </w:r>
            <w:r w:rsidR="00147704">
              <w:t>4</w:t>
            </w:r>
          </w:p>
        </w:tc>
      </w:tr>
      <w:tr w:rsidR="00593739" w:rsidRPr="000132D2" w14:paraId="10A2F6CF" w14:textId="77777777" w:rsidTr="00573A31">
        <w:trPr>
          <w:trHeight w:val="253"/>
        </w:trPr>
        <w:tc>
          <w:tcPr>
            <w:tcW w:w="9074" w:type="dxa"/>
            <w:gridSpan w:val="4"/>
          </w:tcPr>
          <w:p w14:paraId="339C5CDA" w14:textId="77777777" w:rsidR="00593739" w:rsidRPr="000132D2" w:rsidRDefault="00593739" w:rsidP="00573A31">
            <w:pPr>
              <w:pStyle w:val="TableParagraph"/>
              <w:spacing w:line="234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Poremećaji krvi i limfnog sistema</w:t>
            </w:r>
          </w:p>
        </w:tc>
      </w:tr>
      <w:tr w:rsidR="00593739" w:rsidRPr="000132D2" w14:paraId="5117D622" w14:textId="77777777" w:rsidTr="00AC7849">
        <w:trPr>
          <w:trHeight w:val="250"/>
        </w:trPr>
        <w:tc>
          <w:tcPr>
            <w:tcW w:w="4407" w:type="dxa"/>
            <w:tcBorders>
              <w:bottom w:val="nil"/>
            </w:tcBorders>
          </w:tcPr>
          <w:p w14:paraId="56E30DFB" w14:textId="22048BBA" w:rsidR="00593739" w:rsidRPr="000132D2" w:rsidRDefault="008B5C2F" w:rsidP="008B5C2F">
            <w:pPr>
              <w:pStyle w:val="TableParagraph"/>
              <w:spacing w:line="231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Anemija</w:t>
            </w:r>
            <w:r>
              <w:rPr>
                <w:vertAlign w:val="superscript"/>
                <w:lang w:val="sr-Latn-RS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14:paraId="5F9C4B85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 w14:paraId="0A0A1864" w14:textId="300B86A1" w:rsidR="00593739" w:rsidRPr="000132D2" w:rsidRDefault="00147704" w:rsidP="00147704">
            <w:pPr>
              <w:pStyle w:val="TableParagraph"/>
              <w:spacing w:line="231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53,0</w:t>
            </w:r>
          </w:p>
        </w:tc>
        <w:tc>
          <w:tcPr>
            <w:tcW w:w="1560" w:type="dxa"/>
            <w:tcBorders>
              <w:bottom w:val="nil"/>
            </w:tcBorders>
          </w:tcPr>
          <w:p w14:paraId="40567D75" w14:textId="45389FC9" w:rsidR="00593739" w:rsidRPr="000132D2" w:rsidRDefault="00147704" w:rsidP="00AC7849">
            <w:pPr>
              <w:pStyle w:val="TableParagraph"/>
              <w:spacing w:line="231" w:lineRule="exact"/>
              <w:ind w:left="0" w:right="576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22,4</w:t>
            </w:r>
          </w:p>
        </w:tc>
      </w:tr>
      <w:tr w:rsidR="00593739" w:rsidRPr="000132D2" w14:paraId="310D7801" w14:textId="77777777" w:rsidTr="00AC7849">
        <w:trPr>
          <w:trHeight w:val="253"/>
        </w:trPr>
        <w:tc>
          <w:tcPr>
            <w:tcW w:w="4407" w:type="dxa"/>
            <w:tcBorders>
              <w:top w:val="nil"/>
              <w:bottom w:val="nil"/>
            </w:tcBorders>
          </w:tcPr>
          <w:p w14:paraId="1A7EAE05" w14:textId="490C8BA3" w:rsidR="00593739" w:rsidRPr="000132D2" w:rsidRDefault="008B5C2F" w:rsidP="008B5C2F">
            <w:pPr>
              <w:pStyle w:val="TableParagraph"/>
              <w:spacing w:line="233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Neutropenija</w:t>
            </w:r>
            <w:r>
              <w:rPr>
                <w:vertAlign w:val="superscript"/>
                <w:lang w:val="sr-Latn-RS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E6BD3A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16F61185" w14:textId="2856BEEF" w:rsidR="00593739" w:rsidRPr="000132D2" w:rsidRDefault="00147704" w:rsidP="00573A31">
            <w:pPr>
              <w:pStyle w:val="TableParagraph"/>
              <w:spacing w:line="233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46,7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0ADEAC" w14:textId="22E7934B" w:rsidR="00593739" w:rsidRPr="000132D2" w:rsidRDefault="00147704" w:rsidP="00147704">
            <w:pPr>
              <w:pStyle w:val="TableParagraph"/>
              <w:spacing w:line="233" w:lineRule="exact"/>
              <w:ind w:left="0" w:right="576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2</w:t>
            </w:r>
            <w:r>
              <w:rPr>
                <w:lang w:val="sr-Latn-RS"/>
              </w:rPr>
              <w:t>1</w:t>
            </w:r>
            <w:r w:rsidR="00593739" w:rsidRPr="000132D2">
              <w:rPr>
                <w:lang w:val="sr-Latn-RS"/>
              </w:rPr>
              <w:t>,1</w:t>
            </w:r>
          </w:p>
        </w:tc>
      </w:tr>
      <w:tr w:rsidR="00593739" w:rsidRPr="000132D2" w14:paraId="505ACD7C" w14:textId="77777777" w:rsidTr="00AC7849">
        <w:trPr>
          <w:trHeight w:val="253"/>
        </w:trPr>
        <w:tc>
          <w:tcPr>
            <w:tcW w:w="4407" w:type="dxa"/>
            <w:tcBorders>
              <w:top w:val="nil"/>
              <w:bottom w:val="nil"/>
            </w:tcBorders>
          </w:tcPr>
          <w:p w14:paraId="6CC17A3B" w14:textId="51964487" w:rsidR="00593739" w:rsidRPr="000132D2" w:rsidRDefault="008B5C2F" w:rsidP="008B5C2F">
            <w:pPr>
              <w:pStyle w:val="TableParagraph"/>
              <w:spacing w:line="233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Leukopenija</w:t>
            </w:r>
            <w:r>
              <w:rPr>
                <w:vertAlign w:val="superscript"/>
                <w:lang w:val="sr-Latn-RS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7B084B" w14:textId="332798AA" w:rsidR="00593739" w:rsidRPr="000132D2" w:rsidRDefault="00593739" w:rsidP="00573A31">
            <w:pPr>
              <w:pStyle w:val="TableParagraph"/>
              <w:spacing w:line="233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6BF9FD96" w14:textId="290A6E21" w:rsidR="00593739" w:rsidRPr="000132D2" w:rsidRDefault="00147704" w:rsidP="00573A31">
            <w:pPr>
              <w:pStyle w:val="TableParagraph"/>
              <w:spacing w:line="233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37,0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82433F" w14:textId="102F9F37" w:rsidR="00593739" w:rsidRPr="000132D2" w:rsidRDefault="00593739" w:rsidP="00AC7849">
            <w:pPr>
              <w:pStyle w:val="TableParagraph"/>
              <w:spacing w:line="233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8,</w:t>
            </w:r>
            <w:r w:rsidR="00147704">
              <w:rPr>
                <w:lang w:val="sr-Latn-RS"/>
              </w:rPr>
              <w:t>9</w:t>
            </w:r>
          </w:p>
        </w:tc>
      </w:tr>
      <w:tr w:rsidR="00593739" w:rsidRPr="000132D2" w14:paraId="265DBEEF" w14:textId="77777777" w:rsidTr="00AC7849">
        <w:trPr>
          <w:trHeight w:val="253"/>
        </w:trPr>
        <w:tc>
          <w:tcPr>
            <w:tcW w:w="4407" w:type="dxa"/>
            <w:tcBorders>
              <w:top w:val="nil"/>
              <w:bottom w:val="nil"/>
            </w:tcBorders>
          </w:tcPr>
          <w:p w14:paraId="4689E2CA" w14:textId="18FE92E3" w:rsidR="00593739" w:rsidRPr="000132D2" w:rsidRDefault="008B5C2F" w:rsidP="008B5C2F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Limfopenija</w:t>
            </w:r>
            <w:r>
              <w:rPr>
                <w:vertAlign w:val="superscript"/>
                <w:lang w:val="sr-Latn-RS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CE49EF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2EF7148A" w14:textId="0DFBAF70" w:rsidR="00593739" w:rsidRPr="000132D2" w:rsidRDefault="00147704" w:rsidP="00573A31">
            <w:pPr>
              <w:pStyle w:val="TableParagraph"/>
              <w:spacing w:line="234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26,9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DBCD3F" w14:textId="0B8626D8" w:rsidR="00593739" w:rsidRPr="000132D2" w:rsidRDefault="00147704" w:rsidP="00AC7849">
            <w:pPr>
              <w:pStyle w:val="TableParagraph"/>
              <w:spacing w:line="234" w:lineRule="exact"/>
              <w:ind w:left="0" w:right="576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17,4</w:t>
            </w:r>
          </w:p>
        </w:tc>
      </w:tr>
      <w:tr w:rsidR="00593739" w:rsidRPr="000132D2" w14:paraId="55087014" w14:textId="77777777" w:rsidTr="00AC7849">
        <w:trPr>
          <w:trHeight w:val="254"/>
        </w:trPr>
        <w:tc>
          <w:tcPr>
            <w:tcW w:w="4407" w:type="dxa"/>
            <w:tcBorders>
              <w:top w:val="nil"/>
            </w:tcBorders>
          </w:tcPr>
          <w:p w14:paraId="75729084" w14:textId="6E7618C0" w:rsidR="00593739" w:rsidRPr="000132D2" w:rsidRDefault="008B5C2F" w:rsidP="008B5C2F">
            <w:pPr>
              <w:pStyle w:val="TableParagraph"/>
              <w:spacing w:line="235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Trombocitopenija</w:t>
            </w:r>
            <w:r>
              <w:rPr>
                <w:vertAlign w:val="superscript"/>
                <w:lang w:val="sr-Latn-RS"/>
              </w:rPr>
              <w:t>7</w:t>
            </w:r>
          </w:p>
        </w:tc>
        <w:tc>
          <w:tcPr>
            <w:tcW w:w="1701" w:type="dxa"/>
            <w:tcBorders>
              <w:top w:val="nil"/>
            </w:tcBorders>
          </w:tcPr>
          <w:p w14:paraId="471F12E9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0E255156" w14:textId="348CE710" w:rsidR="00593739" w:rsidRPr="000132D2" w:rsidRDefault="00147704" w:rsidP="00573A31">
            <w:pPr>
              <w:pStyle w:val="TableParagraph"/>
              <w:spacing w:line="235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19,6</w:t>
            </w:r>
          </w:p>
        </w:tc>
        <w:tc>
          <w:tcPr>
            <w:tcW w:w="1560" w:type="dxa"/>
            <w:tcBorders>
              <w:top w:val="nil"/>
            </w:tcBorders>
          </w:tcPr>
          <w:p w14:paraId="48ADF7CE" w14:textId="1C892C4D" w:rsidR="00593739" w:rsidRPr="000132D2" w:rsidRDefault="00593739" w:rsidP="00AC7849">
            <w:pPr>
              <w:pStyle w:val="TableParagraph"/>
              <w:spacing w:line="235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4,</w:t>
            </w:r>
            <w:r w:rsidR="00147704">
              <w:rPr>
                <w:lang w:val="sr-Latn-RS"/>
              </w:rPr>
              <w:t>8</w:t>
            </w:r>
          </w:p>
        </w:tc>
      </w:tr>
      <w:tr w:rsidR="00593739" w:rsidRPr="000132D2" w14:paraId="58BD3DF4" w14:textId="77777777" w:rsidTr="00573A31">
        <w:trPr>
          <w:trHeight w:val="254"/>
        </w:trPr>
        <w:tc>
          <w:tcPr>
            <w:tcW w:w="9074" w:type="dxa"/>
            <w:gridSpan w:val="4"/>
          </w:tcPr>
          <w:p w14:paraId="3FC08BBA" w14:textId="77777777" w:rsidR="00593739" w:rsidRPr="000132D2" w:rsidRDefault="00593739" w:rsidP="00573A31">
            <w:pPr>
              <w:pStyle w:val="TableParagraph"/>
              <w:spacing w:line="234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Poremećaji metabolizma i ishrane</w:t>
            </w:r>
          </w:p>
        </w:tc>
      </w:tr>
      <w:tr w:rsidR="00593739" w:rsidRPr="000132D2" w14:paraId="562A0B2E" w14:textId="77777777" w:rsidTr="00AC7849">
        <w:trPr>
          <w:trHeight w:val="250"/>
        </w:trPr>
        <w:tc>
          <w:tcPr>
            <w:tcW w:w="4407" w:type="dxa"/>
            <w:tcBorders>
              <w:bottom w:val="nil"/>
            </w:tcBorders>
          </w:tcPr>
          <w:p w14:paraId="6EFE9C3E" w14:textId="6D67C9C3" w:rsidR="00593739" w:rsidRPr="000132D2" w:rsidRDefault="00593739" w:rsidP="00573A31">
            <w:pPr>
              <w:pStyle w:val="TableParagraph"/>
              <w:spacing w:line="231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Hipokalc</w:t>
            </w:r>
            <w:r w:rsidR="000A367E">
              <w:rPr>
                <w:lang w:val="sr-Latn-RS"/>
              </w:rPr>
              <w:t>ij</w:t>
            </w:r>
            <w:r w:rsidRPr="000132D2">
              <w:rPr>
                <w:lang w:val="sr-Latn-RS"/>
              </w:rPr>
              <w:t>emija</w:t>
            </w:r>
          </w:p>
        </w:tc>
        <w:tc>
          <w:tcPr>
            <w:tcW w:w="1701" w:type="dxa"/>
            <w:tcBorders>
              <w:bottom w:val="nil"/>
            </w:tcBorders>
          </w:tcPr>
          <w:p w14:paraId="38BCF83A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 w14:paraId="448B8CBB" w14:textId="5575577E" w:rsidR="00593739" w:rsidRPr="000132D2" w:rsidRDefault="00147704" w:rsidP="00573A31">
            <w:pPr>
              <w:pStyle w:val="TableParagraph"/>
              <w:spacing w:line="231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23,1</w:t>
            </w:r>
          </w:p>
        </w:tc>
        <w:tc>
          <w:tcPr>
            <w:tcW w:w="1560" w:type="dxa"/>
            <w:tcBorders>
              <w:bottom w:val="nil"/>
            </w:tcBorders>
          </w:tcPr>
          <w:p w14:paraId="38A2BC99" w14:textId="11AA6E98" w:rsidR="00593739" w:rsidRPr="000132D2" w:rsidRDefault="00593739" w:rsidP="00147704">
            <w:pPr>
              <w:pStyle w:val="TableParagraph"/>
              <w:spacing w:line="231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3,</w:t>
            </w:r>
            <w:r w:rsidR="00147704">
              <w:rPr>
                <w:lang w:val="sr-Latn-RS"/>
              </w:rPr>
              <w:t>9</w:t>
            </w:r>
          </w:p>
        </w:tc>
      </w:tr>
      <w:tr w:rsidR="00593739" w:rsidRPr="000132D2" w14:paraId="0C0A8049" w14:textId="77777777" w:rsidTr="00AC7849">
        <w:trPr>
          <w:trHeight w:val="253"/>
        </w:trPr>
        <w:tc>
          <w:tcPr>
            <w:tcW w:w="4407" w:type="dxa"/>
            <w:tcBorders>
              <w:top w:val="nil"/>
              <w:bottom w:val="nil"/>
            </w:tcBorders>
          </w:tcPr>
          <w:p w14:paraId="25FBB622" w14:textId="77777777" w:rsidR="00593739" w:rsidRPr="000132D2" w:rsidRDefault="00593739" w:rsidP="00573A31">
            <w:pPr>
              <w:pStyle w:val="TableParagraph"/>
              <w:spacing w:line="233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Hiperfosfatemija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8708B3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0B658669" w14:textId="52616D52" w:rsidR="00593739" w:rsidRPr="000132D2" w:rsidRDefault="00593739" w:rsidP="00147704">
            <w:pPr>
              <w:pStyle w:val="TableParagraph"/>
              <w:spacing w:line="233" w:lineRule="exact"/>
              <w:ind w:left="349" w:right="339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17,</w:t>
            </w:r>
            <w:r w:rsidR="00147704">
              <w:rPr>
                <w:lang w:val="sr-Latn-RS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E21348" w14:textId="77777777" w:rsidR="00593739" w:rsidRPr="000132D2" w:rsidRDefault="00593739" w:rsidP="00AC7849">
            <w:pPr>
              <w:pStyle w:val="TableParagraph"/>
              <w:spacing w:line="233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0,2</w:t>
            </w:r>
          </w:p>
        </w:tc>
      </w:tr>
      <w:tr w:rsidR="00593739" w:rsidRPr="000132D2" w14:paraId="08648776" w14:textId="77777777" w:rsidTr="00AC7849">
        <w:trPr>
          <w:trHeight w:val="241"/>
        </w:trPr>
        <w:tc>
          <w:tcPr>
            <w:tcW w:w="4407" w:type="dxa"/>
            <w:tcBorders>
              <w:top w:val="nil"/>
              <w:bottom w:val="nil"/>
            </w:tcBorders>
          </w:tcPr>
          <w:p w14:paraId="09E81CCE" w14:textId="77777777" w:rsidR="00593739" w:rsidRPr="000132D2" w:rsidRDefault="00593739" w:rsidP="00573A31">
            <w:pPr>
              <w:pStyle w:val="TableParagraph"/>
              <w:spacing w:line="221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Hipoalbuminemija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A5CBBA" w14:textId="11188D8C" w:rsidR="00593739" w:rsidRPr="000132D2" w:rsidRDefault="00593739" w:rsidP="00573A31">
            <w:pPr>
              <w:pStyle w:val="TableParagraph"/>
              <w:spacing w:line="221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7B855D95" w14:textId="7EABD427" w:rsidR="00593739" w:rsidRPr="000132D2" w:rsidRDefault="00147704" w:rsidP="00573A31">
            <w:pPr>
              <w:pStyle w:val="TableParagraph"/>
              <w:spacing w:line="221" w:lineRule="exact"/>
              <w:ind w:left="348" w:right="340"/>
              <w:jc w:val="both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>14,8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64141D" w14:textId="2D40A035" w:rsidR="00593739" w:rsidRPr="000132D2" w:rsidRDefault="000A367E" w:rsidP="00AC7849">
            <w:pPr>
              <w:pStyle w:val="TableParagraph"/>
              <w:spacing w:line="221" w:lineRule="exact"/>
              <w:ind w:left="5"/>
              <w:rPr>
                <w:lang w:val="sr-Latn-RS"/>
              </w:rPr>
            </w:pPr>
            <w:r>
              <w:rPr>
                <w:lang w:val="sr-Latn-RS"/>
              </w:rPr>
              <w:t xml:space="preserve">       </w:t>
            </w:r>
            <w:r w:rsidR="00593739" w:rsidRPr="000132D2">
              <w:rPr>
                <w:lang w:val="sr-Latn-RS"/>
              </w:rPr>
              <w:t>-</w:t>
            </w:r>
          </w:p>
        </w:tc>
      </w:tr>
      <w:tr w:rsidR="00593739" w:rsidRPr="000132D2" w14:paraId="399FAE2A" w14:textId="77777777" w:rsidTr="00AC7849">
        <w:trPr>
          <w:trHeight w:val="253"/>
        </w:trPr>
        <w:tc>
          <w:tcPr>
            <w:tcW w:w="4407" w:type="dxa"/>
            <w:tcBorders>
              <w:top w:val="nil"/>
              <w:bottom w:val="nil"/>
            </w:tcBorders>
          </w:tcPr>
          <w:p w14:paraId="13AD7510" w14:textId="77777777" w:rsidR="00593739" w:rsidRPr="000132D2" w:rsidRDefault="00593739" w:rsidP="00573A31">
            <w:pPr>
              <w:pStyle w:val="TableParagraph"/>
              <w:spacing w:before="7" w:line="226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Hipofosfatemija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70AD53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7DB5F9B4" w14:textId="20F6D58E" w:rsidR="00593739" w:rsidRPr="000132D2" w:rsidRDefault="00147704" w:rsidP="00573A31">
            <w:pPr>
              <w:pStyle w:val="TableParagraph"/>
              <w:spacing w:line="233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13,0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396334" w14:textId="386B65F4" w:rsidR="00593739" w:rsidRPr="000132D2" w:rsidRDefault="00147704" w:rsidP="00AC7849">
            <w:pPr>
              <w:pStyle w:val="TableParagraph"/>
              <w:spacing w:before="7" w:line="226" w:lineRule="exact"/>
              <w:ind w:left="0" w:right="631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6,7</w:t>
            </w:r>
          </w:p>
        </w:tc>
      </w:tr>
      <w:tr w:rsidR="00593739" w:rsidRPr="000132D2" w14:paraId="52DAC02F" w14:textId="77777777" w:rsidTr="00AC7849">
        <w:trPr>
          <w:trHeight w:val="266"/>
        </w:trPr>
        <w:tc>
          <w:tcPr>
            <w:tcW w:w="4407" w:type="dxa"/>
            <w:tcBorders>
              <w:top w:val="nil"/>
            </w:tcBorders>
          </w:tcPr>
          <w:p w14:paraId="3DE946CB" w14:textId="5D0B40A4" w:rsidR="00593739" w:rsidRPr="000132D2" w:rsidRDefault="00593739" w:rsidP="00573A31">
            <w:pPr>
              <w:pStyle w:val="TableParagraph"/>
              <w:spacing w:before="6" w:line="240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Hiponatr</w:t>
            </w:r>
            <w:r w:rsidR="000A367E">
              <w:rPr>
                <w:lang w:val="sr-Latn-RS"/>
              </w:rPr>
              <w:t>ij</w:t>
            </w:r>
            <w:r w:rsidRPr="000132D2">
              <w:rPr>
                <w:lang w:val="sr-Latn-RS"/>
              </w:rPr>
              <w:t>emija</w:t>
            </w:r>
          </w:p>
        </w:tc>
        <w:tc>
          <w:tcPr>
            <w:tcW w:w="1701" w:type="dxa"/>
            <w:tcBorders>
              <w:top w:val="nil"/>
            </w:tcBorders>
          </w:tcPr>
          <w:p w14:paraId="394DA2CD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726B7021" w14:textId="0B33126B" w:rsidR="00593739" w:rsidRPr="000132D2" w:rsidRDefault="00147704" w:rsidP="00147704">
            <w:pPr>
              <w:pStyle w:val="TableParagraph"/>
              <w:spacing w:line="237" w:lineRule="exact"/>
              <w:ind w:left="349" w:right="339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1</w:t>
            </w:r>
            <w:r>
              <w:rPr>
                <w:lang w:val="sr-Latn-RS"/>
              </w:rPr>
              <w:t>2</w:t>
            </w:r>
            <w:r w:rsidR="00593739" w:rsidRPr="000132D2">
              <w:rPr>
                <w:lang w:val="sr-Latn-RS"/>
              </w:rPr>
              <w:t>,2</w:t>
            </w:r>
          </w:p>
        </w:tc>
        <w:tc>
          <w:tcPr>
            <w:tcW w:w="1560" w:type="dxa"/>
            <w:tcBorders>
              <w:top w:val="nil"/>
            </w:tcBorders>
          </w:tcPr>
          <w:p w14:paraId="1EB9A424" w14:textId="41563F01" w:rsidR="00593739" w:rsidRPr="000132D2" w:rsidRDefault="00593739" w:rsidP="00147704">
            <w:pPr>
              <w:pStyle w:val="TableParagraph"/>
              <w:spacing w:before="6" w:line="240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4,</w:t>
            </w:r>
            <w:r w:rsidR="00147704">
              <w:rPr>
                <w:lang w:val="sr-Latn-RS"/>
              </w:rPr>
              <w:t>4</w:t>
            </w:r>
          </w:p>
        </w:tc>
      </w:tr>
      <w:tr w:rsidR="00593739" w:rsidRPr="000132D2" w14:paraId="34ED3DB9" w14:textId="77777777" w:rsidTr="00573A31">
        <w:trPr>
          <w:trHeight w:val="251"/>
        </w:trPr>
        <w:tc>
          <w:tcPr>
            <w:tcW w:w="9074" w:type="dxa"/>
            <w:gridSpan w:val="4"/>
          </w:tcPr>
          <w:p w14:paraId="2D0BB360" w14:textId="77777777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Poremećaji nervnog sistema</w:t>
            </w:r>
          </w:p>
        </w:tc>
      </w:tr>
      <w:tr w:rsidR="00593739" w:rsidRPr="000132D2" w14:paraId="122345AF" w14:textId="77777777" w:rsidTr="00AC7849">
        <w:trPr>
          <w:trHeight w:val="248"/>
        </w:trPr>
        <w:tc>
          <w:tcPr>
            <w:tcW w:w="4407" w:type="dxa"/>
            <w:tcBorders>
              <w:top w:val="nil"/>
            </w:tcBorders>
          </w:tcPr>
          <w:p w14:paraId="15ADED03" w14:textId="56F3F477" w:rsidR="00593739" w:rsidRDefault="00147704" w:rsidP="003F76AF">
            <w:pPr>
              <w:pStyle w:val="TableParagraph"/>
              <w:spacing w:line="228" w:lineRule="exact"/>
              <w:ind w:left="0"/>
              <w:jc w:val="both"/>
              <w:rPr>
                <w:vertAlign w:val="superscript"/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Pr="000132D2">
              <w:rPr>
                <w:lang w:val="sr-Latn-RS"/>
              </w:rPr>
              <w:t>Glavobolja</w:t>
            </w:r>
            <w:r>
              <w:rPr>
                <w:vertAlign w:val="superscript"/>
                <w:lang w:val="sr-Latn-RS"/>
              </w:rPr>
              <w:t>8</w:t>
            </w:r>
          </w:p>
          <w:p w14:paraId="299A48C3" w14:textId="5126A76E" w:rsidR="00147704" w:rsidRPr="000132D2" w:rsidRDefault="00147704" w:rsidP="008B5C2F">
            <w:pPr>
              <w:pStyle w:val="TableParagraph"/>
              <w:spacing w:line="228" w:lineRule="exact"/>
              <w:jc w:val="both"/>
              <w:rPr>
                <w:lang w:val="sr-Latn-RS"/>
              </w:rPr>
            </w:pPr>
            <w:r>
              <w:rPr>
                <w:lang w:val="sr-Latn-RS"/>
              </w:rPr>
              <w:t>Poremećaj čula ukusa</w:t>
            </w:r>
            <w:r w:rsidRPr="003F76AF">
              <w:rPr>
                <w:vertAlign w:val="superscript"/>
                <w:lang w:val="sr-Latn-RS"/>
              </w:rPr>
              <w:t>9</w:t>
            </w:r>
          </w:p>
        </w:tc>
        <w:tc>
          <w:tcPr>
            <w:tcW w:w="1701" w:type="dxa"/>
            <w:tcBorders>
              <w:top w:val="nil"/>
            </w:tcBorders>
          </w:tcPr>
          <w:p w14:paraId="1EE62AA6" w14:textId="77777777" w:rsidR="00593739" w:rsidRPr="000132D2" w:rsidRDefault="00593739" w:rsidP="00573A31">
            <w:pPr>
              <w:jc w:val="both"/>
              <w:rPr>
                <w:sz w:val="2"/>
                <w:szCs w:val="2"/>
                <w:lang w:val="sr-Latn-RS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08601C15" w14:textId="67F66F77" w:rsidR="00593739" w:rsidRDefault="00147704" w:rsidP="0003259C">
            <w:pPr>
              <w:pStyle w:val="TableParagraph"/>
              <w:spacing w:line="228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18,0</w:t>
            </w:r>
          </w:p>
          <w:p w14:paraId="7EFED28E" w14:textId="7739EF15" w:rsidR="00147704" w:rsidRPr="000132D2" w:rsidRDefault="00147704" w:rsidP="0003259C">
            <w:pPr>
              <w:pStyle w:val="TableParagraph"/>
              <w:spacing w:line="228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16,7</w:t>
            </w:r>
          </w:p>
        </w:tc>
        <w:tc>
          <w:tcPr>
            <w:tcW w:w="1560" w:type="dxa"/>
            <w:tcBorders>
              <w:top w:val="nil"/>
            </w:tcBorders>
          </w:tcPr>
          <w:p w14:paraId="01F4AC47" w14:textId="741F1A32" w:rsidR="00593739" w:rsidRDefault="00593739" w:rsidP="00147704">
            <w:pPr>
              <w:pStyle w:val="TableParagraph"/>
              <w:spacing w:line="228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0,</w:t>
            </w:r>
            <w:r w:rsidR="00147704">
              <w:rPr>
                <w:lang w:val="sr-Latn-RS"/>
              </w:rPr>
              <w:t>6</w:t>
            </w:r>
          </w:p>
          <w:p w14:paraId="10E090E4" w14:textId="1DC39752" w:rsidR="00147704" w:rsidRPr="000132D2" w:rsidRDefault="00147704" w:rsidP="00147704">
            <w:pPr>
              <w:pStyle w:val="TableParagraph"/>
              <w:spacing w:line="228" w:lineRule="exact"/>
              <w:ind w:left="0" w:right="631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  <w:tr w:rsidR="00593739" w:rsidRPr="000132D2" w14:paraId="04A68C02" w14:textId="77777777" w:rsidTr="00573A31">
        <w:trPr>
          <w:trHeight w:val="253"/>
        </w:trPr>
        <w:tc>
          <w:tcPr>
            <w:tcW w:w="9074" w:type="dxa"/>
            <w:gridSpan w:val="4"/>
          </w:tcPr>
          <w:p w14:paraId="6E350FA8" w14:textId="77777777" w:rsidR="00593739" w:rsidRPr="000132D2" w:rsidRDefault="00593739" w:rsidP="00573A31">
            <w:pPr>
              <w:pStyle w:val="TableParagraph"/>
              <w:spacing w:before="1" w:line="233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Vaskularni poremećaji</w:t>
            </w:r>
          </w:p>
        </w:tc>
      </w:tr>
      <w:tr w:rsidR="00593739" w:rsidRPr="000132D2" w14:paraId="58DB8320" w14:textId="77777777" w:rsidTr="00AC7849">
        <w:trPr>
          <w:trHeight w:val="246"/>
        </w:trPr>
        <w:tc>
          <w:tcPr>
            <w:tcW w:w="4407" w:type="dxa"/>
            <w:tcBorders>
              <w:bottom w:val="nil"/>
            </w:tcBorders>
          </w:tcPr>
          <w:p w14:paraId="0455D277" w14:textId="6BDEF7B8" w:rsidR="00593739" w:rsidRPr="000132D2" w:rsidRDefault="008B5C2F" w:rsidP="008B5C2F">
            <w:pPr>
              <w:pStyle w:val="TableParagraph"/>
              <w:spacing w:line="227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Hipertenzija</w:t>
            </w:r>
            <w:r>
              <w:rPr>
                <w:vertAlign w:val="superscript"/>
                <w:lang w:val="sr-Latn-RS"/>
              </w:rPr>
              <w:t>10</w:t>
            </w:r>
          </w:p>
        </w:tc>
        <w:tc>
          <w:tcPr>
            <w:tcW w:w="1701" w:type="dxa"/>
            <w:vMerge w:val="restart"/>
          </w:tcPr>
          <w:p w14:paraId="6B77D95F" w14:textId="3877DE29" w:rsidR="00593739" w:rsidRPr="000132D2" w:rsidRDefault="00593739" w:rsidP="00573A31">
            <w:pPr>
              <w:pStyle w:val="TableParagraph"/>
              <w:spacing w:before="12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  <w:tcBorders>
              <w:bottom w:val="nil"/>
            </w:tcBorders>
          </w:tcPr>
          <w:p w14:paraId="6FDB0FEA" w14:textId="683CD491" w:rsidR="00593739" w:rsidRPr="000132D2" w:rsidRDefault="00147704" w:rsidP="0003259C">
            <w:pPr>
              <w:pStyle w:val="TableParagraph"/>
              <w:spacing w:line="227" w:lineRule="exact"/>
              <w:ind w:left="349" w:right="339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3</w:t>
            </w:r>
            <w:r>
              <w:rPr>
                <w:lang w:val="sr-Latn-RS"/>
              </w:rPr>
              <w:t>5</w:t>
            </w:r>
            <w:r w:rsidR="00593739" w:rsidRPr="000132D2">
              <w:rPr>
                <w:lang w:val="sr-Latn-RS"/>
              </w:rPr>
              <w:t>,0</w:t>
            </w:r>
          </w:p>
        </w:tc>
        <w:tc>
          <w:tcPr>
            <w:tcW w:w="1560" w:type="dxa"/>
            <w:tcBorders>
              <w:bottom w:val="nil"/>
            </w:tcBorders>
          </w:tcPr>
          <w:p w14:paraId="41FE6E55" w14:textId="00B3A7CE" w:rsidR="00593739" w:rsidRPr="000132D2" w:rsidRDefault="00147704" w:rsidP="00AC7849">
            <w:pPr>
              <w:pStyle w:val="TableParagraph"/>
              <w:spacing w:line="227" w:lineRule="exact"/>
              <w:ind w:left="0" w:right="576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17,6</w:t>
            </w:r>
          </w:p>
        </w:tc>
      </w:tr>
      <w:tr w:rsidR="00593739" w:rsidRPr="000132D2" w14:paraId="74295136" w14:textId="77777777" w:rsidTr="00AC7849">
        <w:trPr>
          <w:trHeight w:val="249"/>
        </w:trPr>
        <w:tc>
          <w:tcPr>
            <w:tcW w:w="4407" w:type="dxa"/>
            <w:tcBorders>
              <w:top w:val="nil"/>
            </w:tcBorders>
          </w:tcPr>
          <w:p w14:paraId="78425111" w14:textId="134E7376" w:rsidR="00593739" w:rsidRPr="000132D2" w:rsidRDefault="008B5C2F" w:rsidP="008B5C2F">
            <w:pPr>
              <w:pStyle w:val="TableParagraph"/>
              <w:spacing w:line="229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Hemoragija</w:t>
            </w:r>
            <w:r w:rsidRPr="000132D2">
              <w:rPr>
                <w:vertAlign w:val="superscript"/>
                <w:lang w:val="sr-Latn-RS"/>
              </w:rPr>
              <w:t>1</w:t>
            </w:r>
            <w:r>
              <w:rPr>
                <w:vertAlign w:val="superscript"/>
                <w:lang w:val="sr-Latn-RS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32CEF57" w14:textId="77777777" w:rsidR="00593739" w:rsidRPr="000132D2" w:rsidRDefault="00593739" w:rsidP="00573A31">
            <w:pPr>
              <w:jc w:val="both"/>
              <w:rPr>
                <w:sz w:val="2"/>
                <w:szCs w:val="2"/>
                <w:lang w:val="sr-Latn-RS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0DE6A151" w14:textId="0739373F" w:rsidR="00593739" w:rsidRPr="000132D2" w:rsidRDefault="00147704" w:rsidP="00573A31">
            <w:pPr>
              <w:pStyle w:val="TableParagraph"/>
              <w:spacing w:line="229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20,6</w:t>
            </w:r>
          </w:p>
        </w:tc>
        <w:tc>
          <w:tcPr>
            <w:tcW w:w="1560" w:type="dxa"/>
            <w:tcBorders>
              <w:top w:val="nil"/>
            </w:tcBorders>
          </w:tcPr>
          <w:p w14:paraId="63C7698E" w14:textId="39092236" w:rsidR="00593739" w:rsidRPr="000132D2" w:rsidRDefault="00593739" w:rsidP="0003259C">
            <w:pPr>
              <w:pStyle w:val="TableParagraph"/>
              <w:spacing w:line="229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3,</w:t>
            </w:r>
            <w:r w:rsidR="00147704">
              <w:rPr>
                <w:lang w:val="sr-Latn-RS"/>
              </w:rPr>
              <w:t>9</w:t>
            </w:r>
          </w:p>
        </w:tc>
      </w:tr>
      <w:tr w:rsidR="00593739" w:rsidRPr="000132D2" w14:paraId="3729E1DD" w14:textId="77777777" w:rsidTr="00573A31">
        <w:trPr>
          <w:trHeight w:val="253"/>
        </w:trPr>
        <w:tc>
          <w:tcPr>
            <w:tcW w:w="9074" w:type="dxa"/>
            <w:gridSpan w:val="4"/>
          </w:tcPr>
          <w:p w14:paraId="701D82A5" w14:textId="77777777" w:rsidR="00593739" w:rsidRPr="000132D2" w:rsidRDefault="00593739" w:rsidP="00573A31">
            <w:pPr>
              <w:pStyle w:val="TableParagraph"/>
              <w:spacing w:line="234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Respiratorni, torakalni i medijastinalni poremećaji</w:t>
            </w:r>
          </w:p>
        </w:tc>
      </w:tr>
      <w:tr w:rsidR="00593739" w:rsidRPr="000132D2" w14:paraId="19CD3975" w14:textId="77777777" w:rsidTr="00AC7849">
        <w:trPr>
          <w:trHeight w:val="250"/>
        </w:trPr>
        <w:tc>
          <w:tcPr>
            <w:tcW w:w="4407" w:type="dxa"/>
            <w:tcBorders>
              <w:bottom w:val="nil"/>
            </w:tcBorders>
          </w:tcPr>
          <w:p w14:paraId="5CCAA0BE" w14:textId="58B60090" w:rsidR="00593739" w:rsidRPr="000132D2" w:rsidRDefault="008B5C2F" w:rsidP="008B5C2F">
            <w:pPr>
              <w:pStyle w:val="TableParagraph"/>
              <w:spacing w:line="231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Kašalj</w:t>
            </w:r>
            <w:r w:rsidRPr="000132D2">
              <w:rPr>
                <w:vertAlign w:val="superscript"/>
                <w:lang w:val="sr-Latn-RS"/>
              </w:rPr>
              <w:t>1</w:t>
            </w:r>
            <w:r>
              <w:rPr>
                <w:vertAlign w:val="superscript"/>
                <w:lang w:val="sr-Latn-RS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14:paraId="64858179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 w14:paraId="70C4E0BC" w14:textId="2E724B0C" w:rsidR="00593739" w:rsidRPr="000132D2" w:rsidRDefault="00147704" w:rsidP="00573A31">
            <w:pPr>
              <w:pStyle w:val="TableParagraph"/>
              <w:spacing w:line="231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28,1</w:t>
            </w:r>
          </w:p>
        </w:tc>
        <w:tc>
          <w:tcPr>
            <w:tcW w:w="1560" w:type="dxa"/>
            <w:tcBorders>
              <w:bottom w:val="nil"/>
            </w:tcBorders>
          </w:tcPr>
          <w:p w14:paraId="4BEE8E13" w14:textId="77777777" w:rsidR="00593739" w:rsidRPr="000132D2" w:rsidRDefault="00593739" w:rsidP="00AC7849">
            <w:pPr>
              <w:pStyle w:val="TableParagraph"/>
              <w:spacing w:line="231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0,6</w:t>
            </w:r>
          </w:p>
        </w:tc>
      </w:tr>
      <w:tr w:rsidR="00593739" w:rsidRPr="000132D2" w14:paraId="6DC0EDE1" w14:textId="77777777" w:rsidTr="00AC7849">
        <w:trPr>
          <w:trHeight w:val="252"/>
        </w:trPr>
        <w:tc>
          <w:tcPr>
            <w:tcW w:w="4407" w:type="dxa"/>
            <w:tcBorders>
              <w:top w:val="nil"/>
              <w:bottom w:val="nil"/>
            </w:tcBorders>
          </w:tcPr>
          <w:p w14:paraId="71220D13" w14:textId="77777777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Dispneja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5C8E5C" w14:textId="6992A2EF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73CE2E05" w14:textId="71B5C9D9" w:rsidR="00593739" w:rsidRPr="000132D2" w:rsidRDefault="00147704" w:rsidP="00573A31">
            <w:pPr>
              <w:pStyle w:val="TableParagraph"/>
              <w:spacing w:line="232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20,4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C86469" w14:textId="660D7667" w:rsidR="00593739" w:rsidRPr="000132D2" w:rsidRDefault="00593739" w:rsidP="0003259C">
            <w:pPr>
              <w:pStyle w:val="TableParagraph"/>
              <w:spacing w:line="232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2,</w:t>
            </w:r>
            <w:r w:rsidR="00147704">
              <w:rPr>
                <w:lang w:val="sr-Latn-RS"/>
              </w:rPr>
              <w:t>0</w:t>
            </w:r>
          </w:p>
        </w:tc>
      </w:tr>
      <w:tr w:rsidR="00593739" w:rsidRPr="000132D2" w14:paraId="656FDAD7" w14:textId="77777777" w:rsidTr="00AC7849">
        <w:trPr>
          <w:trHeight w:val="255"/>
        </w:trPr>
        <w:tc>
          <w:tcPr>
            <w:tcW w:w="4407" w:type="dxa"/>
            <w:tcBorders>
              <w:top w:val="nil"/>
            </w:tcBorders>
          </w:tcPr>
          <w:p w14:paraId="1D72B37F" w14:textId="177583DA" w:rsidR="00593739" w:rsidRPr="000132D2" w:rsidRDefault="008B5C2F" w:rsidP="008B5C2F">
            <w:pPr>
              <w:pStyle w:val="TableParagraph"/>
              <w:spacing w:line="235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Pneumonitis</w:t>
            </w:r>
            <w:r w:rsidRPr="000132D2">
              <w:rPr>
                <w:vertAlign w:val="superscript"/>
                <w:lang w:val="sr-Latn-RS"/>
              </w:rPr>
              <w:t>1</w:t>
            </w:r>
            <w:r>
              <w:rPr>
                <w:vertAlign w:val="superscript"/>
                <w:lang w:val="sr-Latn-RS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</w:tcPr>
          <w:p w14:paraId="545CD232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07F8B7D0" w14:textId="2D842EE7" w:rsidR="00593739" w:rsidRPr="000132D2" w:rsidRDefault="00147704" w:rsidP="00573A31">
            <w:pPr>
              <w:pStyle w:val="TableParagraph"/>
              <w:spacing w:line="235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12,2</w:t>
            </w:r>
          </w:p>
        </w:tc>
        <w:tc>
          <w:tcPr>
            <w:tcW w:w="1560" w:type="dxa"/>
            <w:tcBorders>
              <w:top w:val="nil"/>
            </w:tcBorders>
          </w:tcPr>
          <w:p w14:paraId="6BB04C66" w14:textId="43081375" w:rsidR="00593739" w:rsidRPr="000132D2" w:rsidRDefault="00593739" w:rsidP="0003259C">
            <w:pPr>
              <w:pStyle w:val="TableParagraph"/>
              <w:spacing w:line="235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3,</w:t>
            </w:r>
            <w:r w:rsidR="00147704">
              <w:rPr>
                <w:lang w:val="sr-Latn-RS"/>
              </w:rPr>
              <w:t>3</w:t>
            </w:r>
          </w:p>
        </w:tc>
      </w:tr>
      <w:tr w:rsidR="00593739" w:rsidRPr="000132D2" w14:paraId="0CF3C8E5" w14:textId="77777777" w:rsidTr="00573A31">
        <w:trPr>
          <w:trHeight w:val="251"/>
        </w:trPr>
        <w:tc>
          <w:tcPr>
            <w:tcW w:w="9074" w:type="dxa"/>
            <w:gridSpan w:val="4"/>
          </w:tcPr>
          <w:p w14:paraId="0F2B58A1" w14:textId="77777777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Gastrointestinalni poremećaji</w:t>
            </w:r>
          </w:p>
        </w:tc>
      </w:tr>
      <w:tr w:rsidR="00593739" w:rsidRPr="000132D2" w14:paraId="255A7583" w14:textId="77777777" w:rsidTr="00AC7849">
        <w:trPr>
          <w:trHeight w:val="252"/>
        </w:trPr>
        <w:tc>
          <w:tcPr>
            <w:tcW w:w="4407" w:type="dxa"/>
            <w:tcBorders>
              <w:bottom w:val="nil"/>
            </w:tcBorders>
          </w:tcPr>
          <w:p w14:paraId="7F6EB9B3" w14:textId="77777777" w:rsidR="00593739" w:rsidRPr="000132D2" w:rsidRDefault="00593739" w:rsidP="00573A31">
            <w:pPr>
              <w:pStyle w:val="TableParagraph"/>
              <w:spacing w:line="233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Konstipacija</w:t>
            </w:r>
          </w:p>
        </w:tc>
        <w:tc>
          <w:tcPr>
            <w:tcW w:w="1701" w:type="dxa"/>
            <w:tcBorders>
              <w:bottom w:val="nil"/>
            </w:tcBorders>
          </w:tcPr>
          <w:p w14:paraId="55D7174A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 w14:paraId="37A5571D" w14:textId="27DF4A8B" w:rsidR="00593739" w:rsidRPr="000132D2" w:rsidRDefault="00147704" w:rsidP="0003259C">
            <w:pPr>
              <w:pStyle w:val="TableParagraph"/>
              <w:spacing w:line="233" w:lineRule="exact"/>
              <w:ind w:left="349" w:right="339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4</w:t>
            </w:r>
            <w:r>
              <w:rPr>
                <w:lang w:val="sr-Latn-RS"/>
              </w:rPr>
              <w:t>3</w:t>
            </w:r>
            <w:r w:rsidR="00593739" w:rsidRPr="000132D2">
              <w:rPr>
                <w:lang w:val="sr-Latn-RS"/>
              </w:rPr>
              <w:t>,9</w:t>
            </w:r>
          </w:p>
        </w:tc>
        <w:tc>
          <w:tcPr>
            <w:tcW w:w="1560" w:type="dxa"/>
            <w:tcBorders>
              <w:bottom w:val="nil"/>
            </w:tcBorders>
          </w:tcPr>
          <w:p w14:paraId="5D0BB638" w14:textId="77777777" w:rsidR="00593739" w:rsidRPr="000132D2" w:rsidRDefault="00593739" w:rsidP="00AC7849">
            <w:pPr>
              <w:pStyle w:val="TableParagraph"/>
              <w:spacing w:line="233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0,6</w:t>
            </w:r>
          </w:p>
        </w:tc>
      </w:tr>
      <w:tr w:rsidR="00593739" w:rsidRPr="000132D2" w14:paraId="7BAC26E4" w14:textId="77777777" w:rsidTr="00AC7849">
        <w:trPr>
          <w:trHeight w:val="251"/>
        </w:trPr>
        <w:tc>
          <w:tcPr>
            <w:tcW w:w="4407" w:type="dxa"/>
            <w:tcBorders>
              <w:top w:val="nil"/>
              <w:bottom w:val="nil"/>
            </w:tcBorders>
          </w:tcPr>
          <w:p w14:paraId="346472E3" w14:textId="77777777" w:rsidR="00593739" w:rsidRDefault="00593739" w:rsidP="00573A31">
            <w:pPr>
              <w:pStyle w:val="TableParagraph"/>
              <w:spacing w:line="232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Dijareja</w:t>
            </w:r>
          </w:p>
          <w:p w14:paraId="1A5ADD09" w14:textId="5F035356" w:rsidR="00147704" w:rsidRPr="000132D2" w:rsidRDefault="00147704" w:rsidP="00573A31">
            <w:pPr>
              <w:pStyle w:val="TableParagraph"/>
              <w:spacing w:line="232" w:lineRule="exact"/>
              <w:jc w:val="both"/>
              <w:rPr>
                <w:lang w:val="sr-Latn-RS"/>
              </w:rPr>
            </w:pPr>
            <w:r>
              <w:rPr>
                <w:lang w:val="sr-Latn-RS"/>
              </w:rPr>
              <w:t>Mučnina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DE6FD2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296133B6" w14:textId="3C3B8492" w:rsidR="00593739" w:rsidRDefault="00147704" w:rsidP="00573A31">
            <w:pPr>
              <w:pStyle w:val="TableParagraph"/>
              <w:spacing w:line="232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33,1</w:t>
            </w:r>
          </w:p>
          <w:p w14:paraId="3274A50E" w14:textId="63D37E4F" w:rsidR="00147704" w:rsidRPr="000132D2" w:rsidRDefault="00147704" w:rsidP="00573A31">
            <w:pPr>
              <w:pStyle w:val="TableParagraph"/>
              <w:spacing w:line="232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19,6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B56240" w14:textId="5259B938" w:rsidR="00593739" w:rsidRDefault="00147704" w:rsidP="00AC7849">
            <w:pPr>
              <w:pStyle w:val="TableParagraph"/>
              <w:spacing w:line="232" w:lineRule="exact"/>
              <w:ind w:left="0" w:right="631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3,1</w:t>
            </w:r>
          </w:p>
          <w:p w14:paraId="3FECD4CA" w14:textId="08A07454" w:rsidR="00147704" w:rsidRPr="000132D2" w:rsidRDefault="00147704" w:rsidP="00AC7849">
            <w:pPr>
              <w:pStyle w:val="TableParagraph"/>
              <w:spacing w:line="232" w:lineRule="exact"/>
              <w:ind w:left="0" w:right="631"/>
              <w:jc w:val="center"/>
              <w:rPr>
                <w:lang w:val="sr-Latn-RS"/>
              </w:rPr>
            </w:pPr>
            <w:r>
              <w:rPr>
                <w:lang w:val="sr-Latn-RS"/>
              </w:rPr>
              <w:t>0,2</w:t>
            </w:r>
          </w:p>
        </w:tc>
      </w:tr>
      <w:tr w:rsidR="00593739" w:rsidRPr="000132D2" w14:paraId="0D36221E" w14:textId="77777777" w:rsidTr="00AC7849">
        <w:trPr>
          <w:trHeight w:val="253"/>
        </w:trPr>
        <w:tc>
          <w:tcPr>
            <w:tcW w:w="4407" w:type="dxa"/>
            <w:tcBorders>
              <w:top w:val="nil"/>
              <w:bottom w:val="nil"/>
            </w:tcBorders>
          </w:tcPr>
          <w:p w14:paraId="0D6A2FBB" w14:textId="442054DA" w:rsidR="00593739" w:rsidRPr="000132D2" w:rsidRDefault="00147704" w:rsidP="003F76AF">
            <w:pPr>
              <w:pStyle w:val="TableParagraph"/>
              <w:spacing w:line="233" w:lineRule="exact"/>
              <w:ind w:left="0"/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="00593739" w:rsidRPr="000132D2">
              <w:rPr>
                <w:lang w:val="sr-Latn-RS"/>
              </w:rPr>
              <w:t xml:space="preserve">Bol u </w:t>
            </w:r>
            <w:r w:rsidR="008B5C2F" w:rsidRPr="000132D2">
              <w:rPr>
                <w:lang w:val="sr-Latn-RS"/>
              </w:rPr>
              <w:t>abdomenu</w:t>
            </w:r>
            <w:r w:rsidR="008B5C2F" w:rsidRPr="000132D2">
              <w:rPr>
                <w:vertAlign w:val="superscript"/>
                <w:lang w:val="sr-Latn-RS"/>
              </w:rPr>
              <w:t>1</w:t>
            </w:r>
            <w:r w:rsidR="008B5C2F">
              <w:rPr>
                <w:vertAlign w:val="superscript"/>
                <w:lang w:val="sr-Latn-RS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B5DE51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051EAAE9" w14:textId="57236D90" w:rsidR="00593739" w:rsidRPr="000132D2" w:rsidRDefault="00147704" w:rsidP="00573A31">
            <w:pPr>
              <w:pStyle w:val="TableParagraph"/>
              <w:spacing w:line="233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17,8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8F6C30" w14:textId="052F0D73" w:rsidR="00593739" w:rsidRPr="000132D2" w:rsidRDefault="00593739" w:rsidP="0003259C">
            <w:pPr>
              <w:pStyle w:val="TableParagraph"/>
              <w:spacing w:line="233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1,</w:t>
            </w:r>
            <w:r w:rsidR="00147704">
              <w:rPr>
                <w:lang w:val="sr-Latn-RS"/>
              </w:rPr>
              <w:t>5</w:t>
            </w:r>
          </w:p>
        </w:tc>
      </w:tr>
      <w:tr w:rsidR="00593739" w:rsidRPr="000132D2" w14:paraId="165ADE09" w14:textId="77777777" w:rsidTr="00AC7849">
        <w:trPr>
          <w:trHeight w:val="254"/>
        </w:trPr>
        <w:tc>
          <w:tcPr>
            <w:tcW w:w="4407" w:type="dxa"/>
            <w:tcBorders>
              <w:top w:val="nil"/>
            </w:tcBorders>
          </w:tcPr>
          <w:p w14:paraId="6AD7828C" w14:textId="5B4897BE" w:rsidR="00147704" w:rsidRDefault="00147704" w:rsidP="00573A31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>
              <w:rPr>
                <w:lang w:val="sr-Latn-RS"/>
              </w:rPr>
              <w:t>Suva usta</w:t>
            </w:r>
          </w:p>
          <w:p w14:paraId="70C7809C" w14:textId="6AD43A8F" w:rsidR="00593739" w:rsidRPr="000132D2" w:rsidRDefault="00593739" w:rsidP="00573A31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Povraćanje</w:t>
            </w:r>
          </w:p>
        </w:tc>
        <w:tc>
          <w:tcPr>
            <w:tcW w:w="1701" w:type="dxa"/>
            <w:tcBorders>
              <w:top w:val="nil"/>
            </w:tcBorders>
          </w:tcPr>
          <w:p w14:paraId="309DC4DA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5E6C595D" w14:textId="7923A9F9" w:rsidR="00593739" w:rsidRDefault="00147704" w:rsidP="00573A31">
            <w:pPr>
              <w:pStyle w:val="TableParagraph"/>
              <w:spacing w:line="234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16,5</w:t>
            </w:r>
          </w:p>
          <w:p w14:paraId="2F95B37E" w14:textId="7F84DCF1" w:rsidR="00147704" w:rsidRPr="000132D2" w:rsidRDefault="00147704" w:rsidP="00573A31">
            <w:pPr>
              <w:pStyle w:val="TableParagraph"/>
              <w:spacing w:line="234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14,8</w:t>
            </w:r>
          </w:p>
        </w:tc>
        <w:tc>
          <w:tcPr>
            <w:tcW w:w="1560" w:type="dxa"/>
            <w:tcBorders>
              <w:top w:val="nil"/>
            </w:tcBorders>
          </w:tcPr>
          <w:p w14:paraId="3A83E0A2" w14:textId="683CB44F" w:rsidR="00593739" w:rsidRDefault="00147704" w:rsidP="00AC7849">
            <w:pPr>
              <w:pStyle w:val="TableParagraph"/>
              <w:spacing w:line="234" w:lineRule="exact"/>
              <w:ind w:left="0" w:right="631"/>
              <w:jc w:val="center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  <w:p w14:paraId="1D13A984" w14:textId="442998A8" w:rsidR="00147704" w:rsidRPr="000132D2" w:rsidRDefault="00147704" w:rsidP="00AC7849">
            <w:pPr>
              <w:pStyle w:val="TableParagraph"/>
              <w:spacing w:line="234" w:lineRule="exact"/>
              <w:ind w:left="0" w:right="631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1,1</w:t>
            </w:r>
          </w:p>
        </w:tc>
      </w:tr>
      <w:tr w:rsidR="00593739" w:rsidRPr="000132D2" w14:paraId="384A25E9" w14:textId="77777777" w:rsidTr="00AC7849">
        <w:trPr>
          <w:trHeight w:val="254"/>
        </w:trPr>
        <w:tc>
          <w:tcPr>
            <w:tcW w:w="4407" w:type="dxa"/>
          </w:tcPr>
          <w:p w14:paraId="3704B1C6" w14:textId="50067903" w:rsidR="00593739" w:rsidRPr="000132D2" w:rsidRDefault="008B5C2F" w:rsidP="008B5C2F">
            <w:pPr>
              <w:pStyle w:val="TableParagraph"/>
              <w:spacing w:line="235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Stomatitis</w:t>
            </w:r>
            <w:r w:rsidRPr="000132D2">
              <w:rPr>
                <w:vertAlign w:val="superscript"/>
                <w:lang w:val="sr-Latn-RS"/>
              </w:rPr>
              <w:t>1</w:t>
            </w:r>
            <w:r>
              <w:rPr>
                <w:vertAlign w:val="superscript"/>
                <w:lang w:val="sr-Latn-RS"/>
              </w:rPr>
              <w:t>5</w:t>
            </w:r>
          </w:p>
        </w:tc>
        <w:tc>
          <w:tcPr>
            <w:tcW w:w="1701" w:type="dxa"/>
          </w:tcPr>
          <w:p w14:paraId="4A24BCBD" w14:textId="3B40C31C" w:rsidR="00593739" w:rsidRPr="000132D2" w:rsidRDefault="00593739" w:rsidP="00573A31">
            <w:pPr>
              <w:pStyle w:val="TableParagraph"/>
              <w:spacing w:line="235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</w:tcPr>
          <w:p w14:paraId="7E698742" w14:textId="7BDE2877" w:rsidR="00593739" w:rsidRPr="000132D2" w:rsidRDefault="00593739" w:rsidP="0003259C">
            <w:pPr>
              <w:pStyle w:val="TableParagraph"/>
              <w:spacing w:line="235" w:lineRule="exact"/>
              <w:ind w:left="345" w:right="340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6,</w:t>
            </w:r>
            <w:r w:rsidR="00147704">
              <w:rPr>
                <w:lang w:val="sr-Latn-RS"/>
              </w:rPr>
              <w:t>9</w:t>
            </w:r>
          </w:p>
        </w:tc>
        <w:tc>
          <w:tcPr>
            <w:tcW w:w="1560" w:type="dxa"/>
          </w:tcPr>
          <w:p w14:paraId="3176DEB2" w14:textId="52330745" w:rsidR="00593739" w:rsidRPr="000132D2" w:rsidRDefault="000A367E" w:rsidP="00573A31">
            <w:pPr>
              <w:pStyle w:val="TableParagraph"/>
              <w:spacing w:line="235" w:lineRule="exact"/>
              <w:ind w:left="0" w:right="631"/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      </w:t>
            </w:r>
            <w:r w:rsidR="00593739" w:rsidRPr="000132D2">
              <w:rPr>
                <w:lang w:val="sr-Latn-RS"/>
              </w:rPr>
              <w:t>1,3</w:t>
            </w:r>
          </w:p>
        </w:tc>
      </w:tr>
      <w:tr w:rsidR="00593739" w:rsidRPr="000132D2" w14:paraId="1BF754C8" w14:textId="77777777" w:rsidTr="00573A31">
        <w:trPr>
          <w:trHeight w:val="251"/>
        </w:trPr>
        <w:tc>
          <w:tcPr>
            <w:tcW w:w="9074" w:type="dxa"/>
            <w:gridSpan w:val="4"/>
          </w:tcPr>
          <w:p w14:paraId="0F9D2DEB" w14:textId="77777777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Hepatobilijarni poremećaji</w:t>
            </w:r>
          </w:p>
        </w:tc>
      </w:tr>
      <w:tr w:rsidR="001A1561" w:rsidRPr="000132D2" w14:paraId="2573EB8D" w14:textId="77777777" w:rsidTr="00AC7849">
        <w:trPr>
          <w:trHeight w:val="649"/>
        </w:trPr>
        <w:tc>
          <w:tcPr>
            <w:tcW w:w="4407" w:type="dxa"/>
          </w:tcPr>
          <w:p w14:paraId="581AD44B" w14:textId="77777777" w:rsidR="001A1561" w:rsidRPr="000132D2" w:rsidRDefault="001A1561">
            <w:pPr>
              <w:pStyle w:val="TableParagraph"/>
              <w:spacing w:line="232" w:lineRule="exact"/>
              <w:rPr>
                <w:lang w:val="sr-Latn-RS"/>
              </w:rPr>
            </w:pPr>
            <w:r w:rsidRPr="000132D2">
              <w:rPr>
                <w:lang w:val="sr-Latn-RS"/>
              </w:rPr>
              <w:t>Povišen nivo aspartat aminotransferaze</w:t>
            </w:r>
            <w:r w:rsidRPr="000132D2">
              <w:rPr>
                <w:vertAlign w:val="superscript"/>
                <w:lang w:val="sr-Latn-RS"/>
              </w:rPr>
              <w:t>*</w:t>
            </w:r>
          </w:p>
          <w:p w14:paraId="7A7C5046" w14:textId="49D14EFD" w:rsidR="001A1561" w:rsidRPr="000132D2" w:rsidRDefault="001A1561" w:rsidP="008B5C2F">
            <w:pPr>
              <w:pStyle w:val="TableParagraph"/>
              <w:ind w:right="765"/>
              <w:rPr>
                <w:lang w:val="sr-Latn-RS"/>
              </w:rPr>
            </w:pPr>
            <w:r w:rsidRPr="000132D2">
              <w:rPr>
                <w:lang w:val="sr-Latn-RS"/>
              </w:rPr>
              <w:t>Povišen nivo alani</w:t>
            </w:r>
            <w:r>
              <w:rPr>
                <w:lang w:val="sr-Latn-RS"/>
              </w:rPr>
              <w:t xml:space="preserve">n </w:t>
            </w:r>
            <w:r w:rsidRPr="000132D2">
              <w:rPr>
                <w:lang w:val="sr-Latn-RS"/>
              </w:rPr>
              <w:t>aminotransferaze</w:t>
            </w:r>
            <w:r w:rsidRPr="000132D2">
              <w:rPr>
                <w:vertAlign w:val="superscript"/>
                <w:lang w:val="sr-Latn-RS"/>
              </w:rPr>
              <w:t xml:space="preserve">* </w:t>
            </w:r>
            <w:r w:rsidR="008B5C2F" w:rsidRPr="000132D2">
              <w:rPr>
                <w:lang w:val="sr-Latn-RS"/>
              </w:rPr>
              <w:t>Hiperbilirubinemija</w:t>
            </w:r>
            <w:r w:rsidR="008B5C2F" w:rsidRPr="000132D2">
              <w:rPr>
                <w:vertAlign w:val="superscript"/>
                <w:lang w:val="sr-Latn-RS"/>
              </w:rPr>
              <w:t>1</w:t>
            </w:r>
            <w:r w:rsidR="008B5C2F">
              <w:rPr>
                <w:vertAlign w:val="superscript"/>
                <w:lang w:val="sr-Latn-RS"/>
              </w:rPr>
              <w:t>6</w:t>
            </w:r>
          </w:p>
        </w:tc>
        <w:tc>
          <w:tcPr>
            <w:tcW w:w="1701" w:type="dxa"/>
          </w:tcPr>
          <w:p w14:paraId="0E20828C" w14:textId="47C03F53" w:rsidR="001A1561" w:rsidRPr="000132D2" w:rsidRDefault="001A1561" w:rsidP="00AC7849">
            <w:pPr>
              <w:pStyle w:val="TableParagraph"/>
              <w:spacing w:before="6"/>
              <w:rPr>
                <w:sz w:val="18"/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>
              <w:rPr>
                <w:lang w:val="sr-Latn-RS"/>
              </w:rPr>
              <w:t>o</w:t>
            </w:r>
          </w:p>
        </w:tc>
        <w:tc>
          <w:tcPr>
            <w:tcW w:w="1406" w:type="dxa"/>
          </w:tcPr>
          <w:p w14:paraId="103CE4BE" w14:textId="14C36168" w:rsidR="001A1561" w:rsidRDefault="00147704" w:rsidP="00573A31">
            <w:pPr>
              <w:pStyle w:val="TableParagraph"/>
              <w:spacing w:line="232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49,1</w:t>
            </w:r>
          </w:p>
          <w:p w14:paraId="79B0BBC0" w14:textId="267C9625" w:rsidR="001A1561" w:rsidRPr="000132D2" w:rsidRDefault="00147704" w:rsidP="00573A31">
            <w:pPr>
              <w:pStyle w:val="TableParagraph"/>
              <w:spacing w:line="249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37,0</w:t>
            </w:r>
          </w:p>
          <w:p w14:paraId="0B200320" w14:textId="1498C83C" w:rsidR="001A1561" w:rsidRPr="000132D2" w:rsidRDefault="00147704" w:rsidP="0003259C">
            <w:pPr>
              <w:pStyle w:val="TableParagraph"/>
              <w:spacing w:line="252" w:lineRule="exact"/>
              <w:ind w:left="349" w:right="339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1</w:t>
            </w:r>
            <w:r>
              <w:rPr>
                <w:lang w:val="sr-Latn-RS"/>
              </w:rPr>
              <w:t>4</w:t>
            </w:r>
            <w:r w:rsidR="001A1561" w:rsidRPr="000132D2">
              <w:rPr>
                <w:lang w:val="sr-Latn-RS"/>
              </w:rPr>
              <w:t>,4</w:t>
            </w:r>
          </w:p>
        </w:tc>
        <w:tc>
          <w:tcPr>
            <w:tcW w:w="1560" w:type="dxa"/>
          </w:tcPr>
          <w:p w14:paraId="32FBB4F7" w14:textId="44466184" w:rsidR="001A1561" w:rsidRPr="000132D2" w:rsidRDefault="00147704">
            <w:pPr>
              <w:pStyle w:val="TableParagraph"/>
              <w:spacing w:line="232" w:lineRule="exact"/>
              <w:ind w:left="0" w:right="631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6,9</w:t>
            </w:r>
          </w:p>
          <w:p w14:paraId="0892A6BC" w14:textId="5B17D5E0" w:rsidR="001A1561" w:rsidRDefault="001A1561" w:rsidP="00AC7849">
            <w:pPr>
              <w:pStyle w:val="TableParagraph"/>
              <w:spacing w:line="249" w:lineRule="exact"/>
              <w:ind w:left="242" w:right="236"/>
              <w:rPr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Pr="000132D2">
              <w:rPr>
                <w:lang w:val="sr-Latn-RS"/>
              </w:rPr>
              <w:t>4,</w:t>
            </w:r>
            <w:r w:rsidR="00147704">
              <w:rPr>
                <w:lang w:val="sr-Latn-RS"/>
              </w:rPr>
              <w:t>8</w:t>
            </w:r>
          </w:p>
          <w:p w14:paraId="66249BA5" w14:textId="3C74D2CF" w:rsidR="001A1561" w:rsidRPr="000132D2" w:rsidRDefault="001A1561" w:rsidP="0003259C">
            <w:pPr>
              <w:pStyle w:val="TableParagraph"/>
              <w:spacing w:line="252" w:lineRule="exact"/>
              <w:ind w:left="242" w:right="236"/>
              <w:rPr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Pr="000132D2">
              <w:rPr>
                <w:lang w:val="sr-Latn-RS"/>
              </w:rPr>
              <w:t>1,</w:t>
            </w:r>
            <w:r w:rsidR="00147704">
              <w:rPr>
                <w:lang w:val="sr-Latn-RS"/>
              </w:rPr>
              <w:t>7</w:t>
            </w:r>
          </w:p>
        </w:tc>
      </w:tr>
      <w:tr w:rsidR="00593739" w:rsidRPr="000132D2" w14:paraId="7C93A435" w14:textId="77777777" w:rsidTr="00573A31">
        <w:trPr>
          <w:trHeight w:val="253"/>
        </w:trPr>
        <w:tc>
          <w:tcPr>
            <w:tcW w:w="9074" w:type="dxa"/>
            <w:gridSpan w:val="4"/>
          </w:tcPr>
          <w:p w14:paraId="060EB071" w14:textId="77777777" w:rsidR="00593739" w:rsidRPr="000132D2" w:rsidRDefault="00593739" w:rsidP="00573A31">
            <w:pPr>
              <w:pStyle w:val="TableParagraph"/>
              <w:spacing w:line="234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Poremećaji kože i potkožnog tkiva</w:t>
            </w:r>
          </w:p>
        </w:tc>
      </w:tr>
      <w:tr w:rsidR="00593739" w:rsidRPr="000132D2" w14:paraId="35360E50" w14:textId="77777777" w:rsidTr="00AC7849">
        <w:trPr>
          <w:trHeight w:val="251"/>
        </w:trPr>
        <w:tc>
          <w:tcPr>
            <w:tcW w:w="4407" w:type="dxa"/>
          </w:tcPr>
          <w:p w14:paraId="470F7832" w14:textId="344A82FB" w:rsidR="00593739" w:rsidRPr="000132D2" w:rsidRDefault="008B5C2F" w:rsidP="008B5C2F">
            <w:pPr>
              <w:pStyle w:val="TableParagraph"/>
              <w:spacing w:line="232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Osip</w:t>
            </w:r>
            <w:r w:rsidRPr="000132D2">
              <w:rPr>
                <w:vertAlign w:val="superscript"/>
                <w:lang w:val="sr-Latn-RS"/>
              </w:rPr>
              <w:t>1</w:t>
            </w:r>
            <w:r>
              <w:rPr>
                <w:vertAlign w:val="superscript"/>
                <w:lang w:val="sr-Latn-RS"/>
              </w:rPr>
              <w:t>7</w:t>
            </w:r>
          </w:p>
        </w:tc>
        <w:tc>
          <w:tcPr>
            <w:tcW w:w="1701" w:type="dxa"/>
          </w:tcPr>
          <w:p w14:paraId="3782E238" w14:textId="4EE97383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</w:tcPr>
          <w:p w14:paraId="332D3FD5" w14:textId="68C82045" w:rsidR="00593739" w:rsidRPr="000132D2" w:rsidRDefault="00147704" w:rsidP="00573A31">
            <w:pPr>
              <w:pStyle w:val="TableParagraph"/>
              <w:spacing w:line="232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19,1</w:t>
            </w:r>
          </w:p>
        </w:tc>
        <w:tc>
          <w:tcPr>
            <w:tcW w:w="1560" w:type="dxa"/>
          </w:tcPr>
          <w:p w14:paraId="69F69EC6" w14:textId="77777777" w:rsidR="00593739" w:rsidRPr="000132D2" w:rsidRDefault="00593739" w:rsidP="00573A31">
            <w:pPr>
              <w:pStyle w:val="TableParagraph"/>
              <w:spacing w:line="232" w:lineRule="exact"/>
              <w:ind w:left="5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-</w:t>
            </w:r>
          </w:p>
        </w:tc>
      </w:tr>
      <w:tr w:rsidR="00593739" w:rsidRPr="000132D2" w14:paraId="4202CB25" w14:textId="77777777" w:rsidTr="00573A31">
        <w:trPr>
          <w:trHeight w:val="253"/>
        </w:trPr>
        <w:tc>
          <w:tcPr>
            <w:tcW w:w="9074" w:type="dxa"/>
            <w:gridSpan w:val="4"/>
          </w:tcPr>
          <w:p w14:paraId="75CFDA9E" w14:textId="77777777" w:rsidR="00593739" w:rsidRPr="000132D2" w:rsidRDefault="00593739" w:rsidP="00573A31">
            <w:pPr>
              <w:pStyle w:val="TableParagraph"/>
              <w:spacing w:line="234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Poremećaji mišićno-koštanog sistema i vezivnog tkiva</w:t>
            </w:r>
          </w:p>
        </w:tc>
      </w:tr>
      <w:tr w:rsidR="00593739" w:rsidRPr="000132D2" w14:paraId="0541C116" w14:textId="77777777" w:rsidTr="00AC7849">
        <w:trPr>
          <w:trHeight w:val="245"/>
        </w:trPr>
        <w:tc>
          <w:tcPr>
            <w:tcW w:w="4407" w:type="dxa"/>
            <w:tcBorders>
              <w:bottom w:val="nil"/>
            </w:tcBorders>
          </w:tcPr>
          <w:p w14:paraId="00382C14" w14:textId="09617B07" w:rsidR="00593739" w:rsidRPr="000132D2" w:rsidRDefault="00593739" w:rsidP="008B5C2F">
            <w:pPr>
              <w:pStyle w:val="TableParagraph"/>
              <w:spacing w:line="226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 xml:space="preserve">Muskuloskeletni </w:t>
            </w:r>
            <w:r w:rsidR="008B5C2F" w:rsidRPr="000132D2">
              <w:rPr>
                <w:lang w:val="sr-Latn-RS"/>
              </w:rPr>
              <w:t>bol</w:t>
            </w:r>
            <w:r w:rsidR="008B5C2F" w:rsidRPr="000132D2">
              <w:rPr>
                <w:vertAlign w:val="superscript"/>
                <w:lang w:val="sr-Latn-RS"/>
              </w:rPr>
              <w:t>1</w:t>
            </w:r>
            <w:r w:rsidR="008B5C2F">
              <w:rPr>
                <w:vertAlign w:val="superscript"/>
                <w:lang w:val="sr-Latn-RS"/>
              </w:rPr>
              <w:t>8</w:t>
            </w:r>
          </w:p>
        </w:tc>
        <w:tc>
          <w:tcPr>
            <w:tcW w:w="1701" w:type="dxa"/>
            <w:vMerge w:val="restart"/>
          </w:tcPr>
          <w:p w14:paraId="05FFA262" w14:textId="6D01390F" w:rsidR="00593739" w:rsidRPr="000132D2" w:rsidRDefault="00593739" w:rsidP="00573A31">
            <w:pPr>
              <w:pStyle w:val="TableParagraph"/>
              <w:spacing w:before="12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  <w:tcBorders>
              <w:bottom w:val="nil"/>
            </w:tcBorders>
          </w:tcPr>
          <w:p w14:paraId="3B053609" w14:textId="608AE56F" w:rsidR="00593739" w:rsidRPr="000132D2" w:rsidRDefault="00147704" w:rsidP="00573A31">
            <w:pPr>
              <w:pStyle w:val="TableParagraph"/>
              <w:spacing w:line="226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44,4</w:t>
            </w:r>
          </w:p>
        </w:tc>
        <w:tc>
          <w:tcPr>
            <w:tcW w:w="1560" w:type="dxa"/>
            <w:tcBorders>
              <w:bottom w:val="nil"/>
            </w:tcBorders>
          </w:tcPr>
          <w:p w14:paraId="51F6D477" w14:textId="4B90C284" w:rsidR="00593739" w:rsidRPr="000132D2" w:rsidRDefault="00593739" w:rsidP="0003259C">
            <w:pPr>
              <w:pStyle w:val="TableParagraph"/>
              <w:spacing w:line="226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2,</w:t>
            </w:r>
            <w:r w:rsidR="00147704">
              <w:rPr>
                <w:lang w:val="sr-Latn-RS"/>
              </w:rPr>
              <w:t>6</w:t>
            </w:r>
          </w:p>
        </w:tc>
      </w:tr>
      <w:tr w:rsidR="00593739" w:rsidRPr="000132D2" w14:paraId="25A1B40C" w14:textId="77777777" w:rsidTr="00AC7849">
        <w:trPr>
          <w:trHeight w:val="250"/>
        </w:trPr>
        <w:tc>
          <w:tcPr>
            <w:tcW w:w="4407" w:type="dxa"/>
            <w:tcBorders>
              <w:top w:val="nil"/>
            </w:tcBorders>
          </w:tcPr>
          <w:p w14:paraId="46991307" w14:textId="77777777" w:rsidR="00593739" w:rsidRPr="000132D2" w:rsidRDefault="00593739" w:rsidP="00573A31">
            <w:pPr>
              <w:pStyle w:val="TableParagraph"/>
              <w:spacing w:line="230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Povišen nivo kreatin fosfokinaze u krvi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97BC98F" w14:textId="77777777" w:rsidR="00593739" w:rsidRPr="000132D2" w:rsidRDefault="00593739" w:rsidP="00573A31">
            <w:pPr>
              <w:jc w:val="both"/>
              <w:rPr>
                <w:sz w:val="2"/>
                <w:szCs w:val="2"/>
                <w:lang w:val="sr-Latn-RS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1CF060DF" w14:textId="0B833113" w:rsidR="00593739" w:rsidRPr="000132D2" w:rsidRDefault="00593739" w:rsidP="0003259C">
            <w:pPr>
              <w:pStyle w:val="TableParagraph"/>
              <w:spacing w:line="230" w:lineRule="exact"/>
              <w:ind w:left="349" w:right="339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16,</w:t>
            </w:r>
            <w:r w:rsidR="00147704">
              <w:rPr>
                <w:lang w:val="sr-Latn-RS"/>
              </w:rPr>
              <w:t>7</w:t>
            </w:r>
          </w:p>
        </w:tc>
        <w:tc>
          <w:tcPr>
            <w:tcW w:w="1560" w:type="dxa"/>
            <w:tcBorders>
              <w:top w:val="nil"/>
            </w:tcBorders>
          </w:tcPr>
          <w:p w14:paraId="4CC11078" w14:textId="42FE67B1" w:rsidR="00593739" w:rsidRPr="000132D2" w:rsidRDefault="00147704" w:rsidP="00AC7849">
            <w:pPr>
              <w:pStyle w:val="TableParagraph"/>
              <w:spacing w:line="230" w:lineRule="exact"/>
              <w:ind w:left="0" w:right="631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7,6</w:t>
            </w:r>
          </w:p>
        </w:tc>
      </w:tr>
      <w:tr w:rsidR="00593739" w:rsidRPr="000132D2" w14:paraId="51560CB4" w14:textId="77777777" w:rsidTr="00573A31">
        <w:trPr>
          <w:trHeight w:val="251"/>
        </w:trPr>
        <w:tc>
          <w:tcPr>
            <w:tcW w:w="9074" w:type="dxa"/>
            <w:gridSpan w:val="4"/>
          </w:tcPr>
          <w:p w14:paraId="4784EBC7" w14:textId="75554F7A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Opšti poremećaji i reakcije na m</w:t>
            </w:r>
            <w:r w:rsidR="009D7B07">
              <w:rPr>
                <w:b/>
                <w:bCs/>
                <w:lang w:val="sr-Latn-RS"/>
              </w:rPr>
              <w:t>j</w:t>
            </w:r>
            <w:r w:rsidRPr="000132D2">
              <w:rPr>
                <w:b/>
                <w:bCs/>
                <w:lang w:val="sr-Latn-RS"/>
              </w:rPr>
              <w:t xml:space="preserve">estu </w:t>
            </w:r>
            <w:r w:rsidR="00573A31">
              <w:rPr>
                <w:b/>
                <w:bCs/>
                <w:lang w:val="sr-Latn-RS"/>
              </w:rPr>
              <w:t>primjen</w:t>
            </w:r>
            <w:r w:rsidRPr="000132D2">
              <w:rPr>
                <w:b/>
                <w:bCs/>
                <w:lang w:val="sr-Latn-RS"/>
              </w:rPr>
              <w:t>e</w:t>
            </w:r>
          </w:p>
        </w:tc>
      </w:tr>
      <w:tr w:rsidR="00593739" w:rsidRPr="000132D2" w14:paraId="5A3D8C4C" w14:textId="77777777" w:rsidTr="00AC7849">
        <w:trPr>
          <w:trHeight w:val="251"/>
        </w:trPr>
        <w:tc>
          <w:tcPr>
            <w:tcW w:w="4407" w:type="dxa"/>
            <w:tcBorders>
              <w:bottom w:val="nil"/>
            </w:tcBorders>
          </w:tcPr>
          <w:p w14:paraId="6D32464E" w14:textId="0A5D2EA5" w:rsidR="00593739" w:rsidRPr="000132D2" w:rsidRDefault="008B5C2F" w:rsidP="008B5C2F">
            <w:pPr>
              <w:pStyle w:val="TableParagraph"/>
              <w:spacing w:line="232" w:lineRule="exact"/>
              <w:jc w:val="both"/>
              <w:rPr>
                <w:lang w:val="sr-Latn-RS"/>
              </w:rPr>
            </w:pPr>
            <w:r>
              <w:rPr>
                <w:lang w:val="sr-Latn-RS"/>
              </w:rPr>
              <w:t>U</w:t>
            </w:r>
            <w:r w:rsidRPr="000132D2">
              <w:rPr>
                <w:lang w:val="sr-Latn-RS"/>
              </w:rPr>
              <w:t>mor</w:t>
            </w:r>
            <w:r w:rsidRPr="000132D2">
              <w:rPr>
                <w:vertAlign w:val="superscript"/>
                <w:lang w:val="sr-Latn-RS"/>
              </w:rPr>
              <w:t>1</w:t>
            </w:r>
            <w:r>
              <w:rPr>
                <w:vertAlign w:val="superscript"/>
                <w:lang w:val="sr-Latn-RS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</w:tcPr>
          <w:p w14:paraId="3CC01446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bottom w:val="nil"/>
            </w:tcBorders>
          </w:tcPr>
          <w:p w14:paraId="2FD697AC" w14:textId="34DCB736" w:rsidR="00593739" w:rsidRPr="000132D2" w:rsidRDefault="00147704" w:rsidP="00573A31">
            <w:pPr>
              <w:pStyle w:val="TableParagraph"/>
              <w:spacing w:line="232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42,2</w:t>
            </w:r>
          </w:p>
        </w:tc>
        <w:tc>
          <w:tcPr>
            <w:tcW w:w="1560" w:type="dxa"/>
            <w:tcBorders>
              <w:bottom w:val="nil"/>
            </w:tcBorders>
          </w:tcPr>
          <w:p w14:paraId="56857DF2" w14:textId="126D5827" w:rsidR="00593739" w:rsidRPr="000132D2" w:rsidRDefault="00593739" w:rsidP="0003259C">
            <w:pPr>
              <w:pStyle w:val="TableParagraph"/>
              <w:spacing w:line="232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4,</w:t>
            </w:r>
            <w:r w:rsidR="00147704">
              <w:rPr>
                <w:lang w:val="sr-Latn-RS"/>
              </w:rPr>
              <w:t>1</w:t>
            </w:r>
          </w:p>
        </w:tc>
      </w:tr>
      <w:tr w:rsidR="00593739" w:rsidRPr="000132D2" w14:paraId="1D04C8C2" w14:textId="77777777" w:rsidTr="00AC7849">
        <w:trPr>
          <w:trHeight w:val="253"/>
        </w:trPr>
        <w:tc>
          <w:tcPr>
            <w:tcW w:w="4407" w:type="dxa"/>
            <w:tcBorders>
              <w:top w:val="nil"/>
              <w:bottom w:val="nil"/>
            </w:tcBorders>
          </w:tcPr>
          <w:p w14:paraId="063C2238" w14:textId="44F73D92" w:rsidR="00593739" w:rsidRPr="000132D2" w:rsidRDefault="008B5C2F" w:rsidP="008B5C2F">
            <w:pPr>
              <w:pStyle w:val="TableParagraph"/>
              <w:spacing w:line="233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Edem</w:t>
            </w:r>
            <w:r>
              <w:rPr>
                <w:vertAlign w:val="superscript"/>
                <w:lang w:val="sr-Latn-RS"/>
              </w:rPr>
              <w:t>20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F97351" w14:textId="378D36FC" w:rsidR="00593739" w:rsidRPr="000132D2" w:rsidRDefault="00593739" w:rsidP="00573A31">
            <w:pPr>
              <w:pStyle w:val="TableParagraph"/>
              <w:spacing w:line="233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3BC9D460" w14:textId="07DB993A" w:rsidR="00593739" w:rsidRPr="000132D2" w:rsidRDefault="00147704" w:rsidP="00573A31">
            <w:pPr>
              <w:pStyle w:val="TableParagraph"/>
              <w:spacing w:line="233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31,5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E53A92" w14:textId="77777777" w:rsidR="00593739" w:rsidRPr="000132D2" w:rsidRDefault="00593739" w:rsidP="00AC7849">
            <w:pPr>
              <w:pStyle w:val="TableParagraph"/>
              <w:spacing w:line="233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0,2</w:t>
            </w:r>
          </w:p>
        </w:tc>
      </w:tr>
      <w:tr w:rsidR="00593739" w:rsidRPr="000132D2" w14:paraId="15387D74" w14:textId="77777777" w:rsidTr="00AC7849">
        <w:trPr>
          <w:trHeight w:val="255"/>
        </w:trPr>
        <w:tc>
          <w:tcPr>
            <w:tcW w:w="4407" w:type="dxa"/>
            <w:tcBorders>
              <w:top w:val="nil"/>
            </w:tcBorders>
          </w:tcPr>
          <w:p w14:paraId="5B968C86" w14:textId="77777777" w:rsidR="00593739" w:rsidRPr="000132D2" w:rsidRDefault="00593739" w:rsidP="00573A31">
            <w:pPr>
              <w:pStyle w:val="TableParagraph"/>
              <w:spacing w:line="235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lastRenderedPageBreak/>
              <w:t>Pireksija</w:t>
            </w:r>
          </w:p>
        </w:tc>
        <w:tc>
          <w:tcPr>
            <w:tcW w:w="1701" w:type="dxa"/>
            <w:tcBorders>
              <w:top w:val="nil"/>
            </w:tcBorders>
          </w:tcPr>
          <w:p w14:paraId="3999C68C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sz w:val="18"/>
                <w:lang w:val="sr-Latn-RS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5B62C8D7" w14:textId="0E91FD5F" w:rsidR="00593739" w:rsidRPr="000132D2" w:rsidRDefault="00147704" w:rsidP="00573A31">
            <w:pPr>
              <w:pStyle w:val="TableParagraph"/>
              <w:spacing w:line="235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27,8</w:t>
            </w:r>
          </w:p>
        </w:tc>
        <w:tc>
          <w:tcPr>
            <w:tcW w:w="1560" w:type="dxa"/>
            <w:tcBorders>
              <w:top w:val="nil"/>
            </w:tcBorders>
          </w:tcPr>
          <w:p w14:paraId="77BFD417" w14:textId="11B1DAF0" w:rsidR="00593739" w:rsidRPr="000132D2" w:rsidRDefault="00593739" w:rsidP="0003259C">
            <w:pPr>
              <w:pStyle w:val="TableParagraph"/>
              <w:spacing w:line="235" w:lineRule="exact"/>
              <w:ind w:left="0" w:right="631"/>
              <w:jc w:val="center"/>
              <w:rPr>
                <w:lang w:val="sr-Latn-RS"/>
              </w:rPr>
            </w:pPr>
            <w:r w:rsidRPr="000132D2">
              <w:rPr>
                <w:lang w:val="sr-Latn-RS"/>
              </w:rPr>
              <w:t>1,</w:t>
            </w:r>
            <w:r w:rsidR="00147704">
              <w:rPr>
                <w:lang w:val="sr-Latn-RS"/>
              </w:rPr>
              <w:t>5</w:t>
            </w:r>
          </w:p>
        </w:tc>
      </w:tr>
      <w:tr w:rsidR="00593739" w:rsidRPr="000132D2" w14:paraId="0FB323F7" w14:textId="77777777" w:rsidTr="00573A31">
        <w:trPr>
          <w:trHeight w:val="251"/>
        </w:trPr>
        <w:tc>
          <w:tcPr>
            <w:tcW w:w="9074" w:type="dxa"/>
            <w:gridSpan w:val="4"/>
          </w:tcPr>
          <w:p w14:paraId="333191CD" w14:textId="77777777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Kardiološki poremećaji</w:t>
            </w:r>
          </w:p>
        </w:tc>
      </w:tr>
      <w:tr w:rsidR="00593739" w:rsidRPr="000132D2" w14:paraId="275EED38" w14:textId="77777777" w:rsidTr="00AC7849">
        <w:trPr>
          <w:trHeight w:val="254"/>
        </w:trPr>
        <w:tc>
          <w:tcPr>
            <w:tcW w:w="4407" w:type="dxa"/>
          </w:tcPr>
          <w:p w14:paraId="667780F0" w14:textId="4F7061D5" w:rsidR="00593739" w:rsidRPr="000132D2" w:rsidRDefault="00593739" w:rsidP="008B5C2F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 xml:space="preserve">Produženje </w:t>
            </w:r>
            <w:r w:rsidR="008B5C2F" w:rsidRPr="000132D2">
              <w:rPr>
                <w:lang w:val="sr-Latn-RS"/>
              </w:rPr>
              <w:t>QT</w:t>
            </w:r>
            <w:r w:rsidR="008B5C2F" w:rsidRPr="000132D2">
              <w:rPr>
                <w:vertAlign w:val="superscript"/>
                <w:lang w:val="sr-Latn-RS"/>
              </w:rPr>
              <w:t>2</w:t>
            </w:r>
            <w:r w:rsidR="008B5C2F">
              <w:rPr>
                <w:vertAlign w:val="superscript"/>
                <w:lang w:val="sr-Latn-RS"/>
              </w:rPr>
              <w:t>1</w:t>
            </w:r>
          </w:p>
        </w:tc>
        <w:tc>
          <w:tcPr>
            <w:tcW w:w="1701" w:type="dxa"/>
          </w:tcPr>
          <w:p w14:paraId="119A5899" w14:textId="3F832E46" w:rsidR="00593739" w:rsidRPr="000132D2" w:rsidRDefault="00593739" w:rsidP="00573A31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</w:tcPr>
          <w:p w14:paraId="69459E27" w14:textId="6F28F038" w:rsidR="00593739" w:rsidRPr="000132D2" w:rsidRDefault="00593739" w:rsidP="0003259C">
            <w:pPr>
              <w:pStyle w:val="TableParagraph"/>
              <w:spacing w:line="225" w:lineRule="exact"/>
              <w:ind w:left="349" w:right="340"/>
              <w:jc w:val="both"/>
              <w:rPr>
                <w:sz w:val="20"/>
                <w:lang w:val="sr-Latn-RS"/>
              </w:rPr>
            </w:pPr>
            <w:r w:rsidRPr="000132D2">
              <w:rPr>
                <w:sz w:val="20"/>
                <w:lang w:val="sr-Latn-RS"/>
              </w:rPr>
              <w:t>5,</w:t>
            </w:r>
            <w:r w:rsidR="00147704">
              <w:rPr>
                <w:sz w:val="20"/>
                <w:lang w:val="sr-Latn-RS"/>
              </w:rPr>
              <w:t>2</w:t>
            </w:r>
          </w:p>
        </w:tc>
        <w:tc>
          <w:tcPr>
            <w:tcW w:w="1560" w:type="dxa"/>
          </w:tcPr>
          <w:p w14:paraId="2ED11D54" w14:textId="77777777" w:rsidR="00593739" w:rsidRPr="000132D2" w:rsidRDefault="00593739" w:rsidP="00AC7849">
            <w:pPr>
              <w:pStyle w:val="TableParagraph"/>
              <w:spacing w:line="225" w:lineRule="exact"/>
              <w:ind w:left="0" w:right="645"/>
              <w:jc w:val="center"/>
              <w:rPr>
                <w:sz w:val="20"/>
                <w:lang w:val="sr-Latn-RS"/>
              </w:rPr>
            </w:pPr>
            <w:r w:rsidRPr="000132D2">
              <w:rPr>
                <w:sz w:val="20"/>
                <w:lang w:val="sr-Latn-RS"/>
              </w:rPr>
              <w:t>0,4</w:t>
            </w:r>
          </w:p>
        </w:tc>
      </w:tr>
      <w:tr w:rsidR="00593739" w:rsidRPr="000132D2" w14:paraId="66D48209" w14:textId="77777777" w:rsidTr="00573A31">
        <w:trPr>
          <w:trHeight w:val="251"/>
        </w:trPr>
        <w:tc>
          <w:tcPr>
            <w:tcW w:w="9074" w:type="dxa"/>
            <w:gridSpan w:val="4"/>
          </w:tcPr>
          <w:p w14:paraId="7FBF3EAD" w14:textId="77777777" w:rsidR="00593739" w:rsidRPr="000132D2" w:rsidRDefault="00593739" w:rsidP="00573A31">
            <w:pPr>
              <w:pStyle w:val="TableParagraph"/>
              <w:spacing w:line="232" w:lineRule="exact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Poremećaji bubrega i urinarnog sistema</w:t>
            </w:r>
          </w:p>
        </w:tc>
      </w:tr>
      <w:tr w:rsidR="00593739" w:rsidRPr="000132D2" w14:paraId="2C9C5CCF" w14:textId="77777777" w:rsidTr="00AC7849">
        <w:trPr>
          <w:trHeight w:val="253"/>
        </w:trPr>
        <w:tc>
          <w:tcPr>
            <w:tcW w:w="4407" w:type="dxa"/>
          </w:tcPr>
          <w:p w14:paraId="018D719C" w14:textId="77777777" w:rsidR="00593739" w:rsidRPr="000132D2" w:rsidRDefault="00593739" w:rsidP="00573A31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Povišen nivo kreatinina u krvi</w:t>
            </w:r>
          </w:p>
        </w:tc>
        <w:tc>
          <w:tcPr>
            <w:tcW w:w="1701" w:type="dxa"/>
          </w:tcPr>
          <w:p w14:paraId="2A4C1516" w14:textId="26930D45" w:rsidR="00593739" w:rsidRPr="000132D2" w:rsidRDefault="00593739" w:rsidP="00573A31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 w:rsidR="000A367E">
              <w:rPr>
                <w:lang w:val="sr-Latn-RS"/>
              </w:rPr>
              <w:t>o</w:t>
            </w:r>
          </w:p>
        </w:tc>
        <w:tc>
          <w:tcPr>
            <w:tcW w:w="1406" w:type="dxa"/>
          </w:tcPr>
          <w:p w14:paraId="43D1B54D" w14:textId="109475AE" w:rsidR="00593739" w:rsidRPr="000132D2" w:rsidRDefault="00147704" w:rsidP="00573A31">
            <w:pPr>
              <w:pStyle w:val="TableParagraph"/>
              <w:spacing w:line="234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25,4</w:t>
            </w:r>
          </w:p>
        </w:tc>
        <w:tc>
          <w:tcPr>
            <w:tcW w:w="1560" w:type="dxa"/>
          </w:tcPr>
          <w:p w14:paraId="5F2514D0" w14:textId="2A7345E4" w:rsidR="00593739" w:rsidRPr="000132D2" w:rsidRDefault="000A367E" w:rsidP="0003259C">
            <w:pPr>
              <w:pStyle w:val="TableParagraph"/>
              <w:spacing w:line="234" w:lineRule="exact"/>
              <w:ind w:left="0" w:right="631"/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      </w:t>
            </w:r>
            <w:r w:rsidR="00593739" w:rsidRPr="000132D2">
              <w:rPr>
                <w:lang w:val="sr-Latn-RS"/>
              </w:rPr>
              <w:t>0,</w:t>
            </w:r>
            <w:r w:rsidR="00147704">
              <w:rPr>
                <w:lang w:val="sr-Latn-RS"/>
              </w:rPr>
              <w:t>6</w:t>
            </w:r>
          </w:p>
        </w:tc>
      </w:tr>
      <w:tr w:rsidR="0003259C" w:rsidRPr="000132D2" w14:paraId="4700AA4D" w14:textId="77777777" w:rsidTr="008D0A9C">
        <w:trPr>
          <w:trHeight w:val="253"/>
        </w:trPr>
        <w:tc>
          <w:tcPr>
            <w:tcW w:w="9074" w:type="dxa"/>
            <w:gridSpan w:val="4"/>
          </w:tcPr>
          <w:p w14:paraId="2518E472" w14:textId="26EC2C48" w:rsidR="0003259C" w:rsidRDefault="0003259C" w:rsidP="0003259C">
            <w:pPr>
              <w:pStyle w:val="TableParagraph"/>
              <w:spacing w:line="234" w:lineRule="exact"/>
              <w:ind w:left="0" w:right="631"/>
              <w:jc w:val="both"/>
              <w:rPr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Ispitivanja</w:t>
            </w:r>
          </w:p>
        </w:tc>
      </w:tr>
      <w:tr w:rsidR="0003259C" w:rsidRPr="000132D2" w14:paraId="4ADB2434" w14:textId="77777777" w:rsidTr="00AC7849">
        <w:trPr>
          <w:trHeight w:val="253"/>
        </w:trPr>
        <w:tc>
          <w:tcPr>
            <w:tcW w:w="4407" w:type="dxa"/>
          </w:tcPr>
          <w:p w14:paraId="1710E53C" w14:textId="3F1C8D59" w:rsidR="0003259C" w:rsidRPr="000132D2" w:rsidRDefault="0003259C" w:rsidP="0003259C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Povišen nivo alkalne fosfataze u krvi</w:t>
            </w:r>
          </w:p>
        </w:tc>
        <w:tc>
          <w:tcPr>
            <w:tcW w:w="1701" w:type="dxa"/>
          </w:tcPr>
          <w:p w14:paraId="7E36E14C" w14:textId="45676905" w:rsidR="0003259C" w:rsidRPr="000132D2" w:rsidRDefault="0003259C" w:rsidP="0003259C">
            <w:pPr>
              <w:pStyle w:val="TableParagraph"/>
              <w:spacing w:line="234" w:lineRule="exact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Veoma čest</w:t>
            </w:r>
            <w:r>
              <w:rPr>
                <w:lang w:val="sr-Latn-RS"/>
              </w:rPr>
              <w:t>o</w:t>
            </w:r>
          </w:p>
        </w:tc>
        <w:tc>
          <w:tcPr>
            <w:tcW w:w="1406" w:type="dxa"/>
          </w:tcPr>
          <w:p w14:paraId="1A6E0AC9" w14:textId="234CFFB7" w:rsidR="0003259C" w:rsidRPr="000132D2" w:rsidDel="00147704" w:rsidRDefault="0003259C" w:rsidP="0003259C">
            <w:pPr>
              <w:pStyle w:val="TableParagraph"/>
              <w:spacing w:line="234" w:lineRule="exact"/>
              <w:ind w:left="349" w:right="339"/>
              <w:jc w:val="both"/>
              <w:rPr>
                <w:lang w:val="sr-Latn-RS"/>
              </w:rPr>
            </w:pPr>
            <w:r>
              <w:rPr>
                <w:lang w:val="sr-Latn-RS"/>
              </w:rPr>
              <w:t>12,0</w:t>
            </w:r>
          </w:p>
        </w:tc>
        <w:tc>
          <w:tcPr>
            <w:tcW w:w="1560" w:type="dxa"/>
          </w:tcPr>
          <w:p w14:paraId="0AA08356" w14:textId="23F2C8A4" w:rsidR="0003259C" w:rsidRDefault="0003259C" w:rsidP="0003259C">
            <w:pPr>
              <w:pStyle w:val="TableParagraph"/>
              <w:spacing w:line="234" w:lineRule="exact"/>
              <w:ind w:left="0" w:right="63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1,1</w:t>
            </w:r>
            <w:r>
              <w:rPr>
                <w:lang w:val="sr-Latn-RS"/>
              </w:rPr>
              <w:t>5</w:t>
            </w:r>
          </w:p>
        </w:tc>
      </w:tr>
    </w:tbl>
    <w:p w14:paraId="05A14499" w14:textId="77777777" w:rsidR="00593739" w:rsidRPr="000132D2" w:rsidRDefault="00593739" w:rsidP="0065461A">
      <w:pPr>
        <w:tabs>
          <w:tab w:val="left" w:pos="5103"/>
        </w:tabs>
        <w:spacing w:line="234" w:lineRule="exact"/>
        <w:jc w:val="both"/>
        <w:rPr>
          <w:lang w:val="sr-Latn-RS"/>
        </w:rPr>
        <w:sectPr w:rsidR="00593739" w:rsidRPr="000132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1060" w:right="1300" w:bottom="900" w:left="1300" w:header="0" w:footer="716" w:gutter="0"/>
          <w:cols w:space="720"/>
        </w:sectPr>
      </w:pPr>
    </w:p>
    <w:p w14:paraId="6D9138B3" w14:textId="77777777" w:rsidR="00947B33" w:rsidRPr="00947B33" w:rsidRDefault="00593739" w:rsidP="00947B33">
      <w:pPr>
        <w:spacing w:line="217" w:lineRule="exact"/>
        <w:ind w:left="360" w:hanging="134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lastRenderedPageBreak/>
        <w:t>1</w:t>
      </w:r>
      <w:r w:rsidRPr="000132D2">
        <w:rPr>
          <w:sz w:val="20"/>
          <w:lang w:val="sr-Latn-RS"/>
        </w:rPr>
        <w:t xml:space="preserve"> obuhvata </w:t>
      </w:r>
      <w:r w:rsidR="00947B33" w:rsidRPr="00947B33">
        <w:rPr>
          <w:sz w:val="20"/>
          <w:lang w:val="sr-Latn-RS"/>
        </w:rPr>
        <w:t xml:space="preserve">pneumoniju, pneumoniju uzročnika </w:t>
      </w:r>
      <w:r w:rsidR="00947B33" w:rsidRPr="00AC7849">
        <w:rPr>
          <w:i/>
          <w:sz w:val="20"/>
          <w:lang w:val="sr-Latn-RS"/>
        </w:rPr>
        <w:t>Pneumocystis jirovecii</w:t>
      </w:r>
      <w:r w:rsidR="00947B33" w:rsidRPr="00947B33">
        <w:rPr>
          <w:sz w:val="20"/>
          <w:lang w:val="sr-Latn-RS"/>
        </w:rPr>
        <w:t>, citomegalovirusnu pneumoniju,</w:t>
      </w:r>
    </w:p>
    <w:p w14:paraId="77390D08" w14:textId="77777777" w:rsidR="00947B33" w:rsidRPr="00AC7849" w:rsidRDefault="00947B33" w:rsidP="00947B33">
      <w:pPr>
        <w:spacing w:line="217" w:lineRule="exact"/>
        <w:ind w:left="360" w:hanging="134"/>
        <w:jc w:val="both"/>
        <w:rPr>
          <w:i/>
          <w:sz w:val="20"/>
          <w:lang w:val="sr-Latn-RS"/>
        </w:rPr>
      </w:pPr>
      <w:r w:rsidRPr="00947B33">
        <w:rPr>
          <w:sz w:val="20"/>
          <w:lang w:val="sr-Latn-RS"/>
        </w:rPr>
        <w:t xml:space="preserve">atipičnu pneumoniju, plućnu infekciju, bakterijsku pneumoniju, pneumoniju uzročnika </w:t>
      </w:r>
      <w:r w:rsidRPr="00AC7849">
        <w:rPr>
          <w:i/>
          <w:sz w:val="20"/>
          <w:lang w:val="sr-Latn-RS"/>
        </w:rPr>
        <w:t>Haemophilus</w:t>
      </w:r>
    </w:p>
    <w:p w14:paraId="62B5DC39" w14:textId="77777777" w:rsidR="00947B33" w:rsidRPr="00AC7849" w:rsidRDefault="00947B33" w:rsidP="00947B33">
      <w:pPr>
        <w:spacing w:line="217" w:lineRule="exact"/>
        <w:ind w:left="360" w:hanging="134"/>
        <w:jc w:val="both"/>
        <w:rPr>
          <w:i/>
          <w:sz w:val="20"/>
          <w:lang w:val="sr-Latn-RS"/>
        </w:rPr>
      </w:pPr>
      <w:r w:rsidRPr="00AC7849">
        <w:rPr>
          <w:i/>
          <w:sz w:val="20"/>
          <w:lang w:val="sr-Latn-RS"/>
        </w:rPr>
        <w:t>influenzae</w:t>
      </w:r>
      <w:r w:rsidRPr="00947B33">
        <w:rPr>
          <w:sz w:val="20"/>
          <w:lang w:val="sr-Latn-RS"/>
        </w:rPr>
        <w:t xml:space="preserve">, pneumoniju uzrokovanu gripom, streptokoknu pneumoniju, pneumoniju uzročnika </w:t>
      </w:r>
      <w:r w:rsidRPr="00AC7849">
        <w:rPr>
          <w:i/>
          <w:sz w:val="20"/>
          <w:lang w:val="sr-Latn-RS"/>
        </w:rPr>
        <w:t>Moraxella</w:t>
      </w:r>
    </w:p>
    <w:p w14:paraId="75CE5B55" w14:textId="77777777" w:rsidR="00947B33" w:rsidRPr="00947B33" w:rsidRDefault="00947B33" w:rsidP="00947B33">
      <w:pPr>
        <w:spacing w:line="217" w:lineRule="exact"/>
        <w:ind w:left="360" w:hanging="134"/>
        <w:jc w:val="both"/>
        <w:rPr>
          <w:sz w:val="20"/>
          <w:lang w:val="sr-Latn-RS"/>
        </w:rPr>
      </w:pPr>
      <w:r w:rsidRPr="00AC7849">
        <w:rPr>
          <w:i/>
          <w:sz w:val="20"/>
          <w:lang w:val="sr-Latn-RS"/>
        </w:rPr>
        <w:t>catarrhalis</w:t>
      </w:r>
      <w:r w:rsidRPr="00947B33">
        <w:rPr>
          <w:sz w:val="20"/>
          <w:lang w:val="sr-Latn-RS"/>
        </w:rPr>
        <w:t>, stafilokoknu pneumoniju, pseudomonasnu pneumoniju, atipičnu mikobakterijsku pneumoniju,</w:t>
      </w:r>
    </w:p>
    <w:p w14:paraId="3047680B" w14:textId="2FFF6BB5" w:rsidR="00947B33" w:rsidRDefault="00947B33" w:rsidP="00947B33">
      <w:pPr>
        <w:spacing w:line="217" w:lineRule="exact"/>
        <w:ind w:left="360" w:hanging="134"/>
        <w:jc w:val="both"/>
        <w:rPr>
          <w:sz w:val="20"/>
          <w:lang w:val="sr-Latn-RS"/>
        </w:rPr>
      </w:pPr>
      <w:r w:rsidRPr="00947B33">
        <w:rPr>
          <w:sz w:val="20"/>
          <w:lang w:val="sr-Latn-RS"/>
        </w:rPr>
        <w:t xml:space="preserve">pneumoniju uzrokovanu vrstama roda </w:t>
      </w:r>
      <w:r w:rsidRPr="00AC7849">
        <w:rPr>
          <w:i/>
          <w:sz w:val="20"/>
          <w:lang w:val="sr-Latn-RS"/>
        </w:rPr>
        <w:t>Legionella</w:t>
      </w:r>
      <w:r w:rsidRPr="00947B33" w:rsidDel="00947B33">
        <w:rPr>
          <w:sz w:val="20"/>
          <w:lang w:val="sr-Latn-RS"/>
        </w:rPr>
        <w:t xml:space="preserve"> </w:t>
      </w:r>
    </w:p>
    <w:p w14:paraId="74D3CC01" w14:textId="44E326FB" w:rsidR="008B5C2F" w:rsidRDefault="008B5C2F" w:rsidP="00947B33">
      <w:pPr>
        <w:spacing w:line="217" w:lineRule="exact"/>
        <w:ind w:left="360" w:hanging="134"/>
        <w:jc w:val="both"/>
        <w:rPr>
          <w:sz w:val="20"/>
          <w:lang w:val="sr-Latn-RS"/>
        </w:rPr>
      </w:pPr>
      <w:r w:rsidRPr="00267527">
        <w:rPr>
          <w:sz w:val="20"/>
          <w:vertAlign w:val="superscript"/>
          <w:lang w:val="sr-Latn-RS"/>
        </w:rPr>
        <w:t>2</w:t>
      </w:r>
      <w:r w:rsidRPr="008B5C2F">
        <w:rPr>
          <w:sz w:val="20"/>
          <w:lang w:val="sr-Latn-RS"/>
        </w:rPr>
        <w:tab/>
        <w:t>u većini slučajeva prijavljena je ekstrapulmonalna tuberkuloza kao što je tuberkuloza limfnih čvorova, peritonealna tuberkuloza ili tuberkuloza bubrega</w:t>
      </w:r>
    </w:p>
    <w:p w14:paraId="7251BD7C" w14:textId="3C459F55" w:rsidR="00593739" w:rsidRPr="000132D2" w:rsidRDefault="008B5C2F" w:rsidP="00947B33">
      <w:pPr>
        <w:spacing w:line="217" w:lineRule="exact"/>
        <w:ind w:left="360" w:hanging="134"/>
        <w:jc w:val="both"/>
        <w:rPr>
          <w:sz w:val="20"/>
          <w:lang w:val="sr-Latn-RS"/>
        </w:rPr>
      </w:pPr>
      <w:r>
        <w:rPr>
          <w:sz w:val="20"/>
          <w:vertAlign w:val="superscript"/>
          <w:lang w:val="sr-Latn-RS"/>
        </w:rPr>
        <w:t>3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anemiju, smanjen nivo hematokrita, smanjen broj crvenih krvnih zrnaca, smanjen nivo hemoglobina, anaplastičnu anemiju</w:t>
      </w:r>
    </w:p>
    <w:p w14:paraId="44DF29B8" w14:textId="1729D786" w:rsidR="00593739" w:rsidRPr="000132D2" w:rsidRDefault="008B5C2F" w:rsidP="00593739">
      <w:pPr>
        <w:spacing w:before="1" w:line="229" w:lineRule="exact"/>
        <w:ind w:left="226"/>
        <w:jc w:val="both"/>
        <w:rPr>
          <w:sz w:val="20"/>
          <w:lang w:val="sr-Latn-RS"/>
        </w:rPr>
      </w:pPr>
      <w:r>
        <w:rPr>
          <w:sz w:val="20"/>
          <w:vertAlign w:val="superscript"/>
          <w:lang w:val="sr-Latn-RS"/>
        </w:rPr>
        <w:t>4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smanjen broj neutrofila, neutropeniju</w:t>
      </w:r>
    </w:p>
    <w:p w14:paraId="4050526F" w14:textId="4FBC0D27" w:rsidR="00593739" w:rsidRPr="000132D2" w:rsidRDefault="008B5C2F" w:rsidP="00593739">
      <w:pPr>
        <w:spacing w:line="229" w:lineRule="exact"/>
        <w:ind w:left="226"/>
        <w:jc w:val="both"/>
        <w:rPr>
          <w:sz w:val="20"/>
          <w:lang w:val="sr-Latn-RS"/>
        </w:rPr>
      </w:pPr>
      <w:r>
        <w:rPr>
          <w:sz w:val="20"/>
          <w:vertAlign w:val="superscript"/>
          <w:lang w:val="sr-Latn-RS"/>
        </w:rPr>
        <w:t>5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 xml:space="preserve">obuhvata smanjen broj </w:t>
      </w:r>
      <w:r w:rsidR="00513EC0">
        <w:rPr>
          <w:sz w:val="20"/>
          <w:lang w:val="sr-Latn-RS"/>
        </w:rPr>
        <w:t>bijelih</w:t>
      </w:r>
      <w:r w:rsidR="00593739" w:rsidRPr="000132D2">
        <w:rPr>
          <w:sz w:val="20"/>
          <w:lang w:val="sr-Latn-RS"/>
        </w:rPr>
        <w:t xml:space="preserve"> krvnih zrnaca, leukopeniju</w:t>
      </w:r>
    </w:p>
    <w:p w14:paraId="647736F3" w14:textId="5A1B820E" w:rsidR="00593739" w:rsidRPr="000132D2" w:rsidRDefault="008B5C2F" w:rsidP="00593739">
      <w:pPr>
        <w:ind w:left="226"/>
        <w:jc w:val="both"/>
        <w:rPr>
          <w:sz w:val="20"/>
          <w:lang w:val="sr-Latn-RS"/>
        </w:rPr>
      </w:pPr>
      <w:r>
        <w:rPr>
          <w:sz w:val="20"/>
          <w:vertAlign w:val="superscript"/>
          <w:lang w:val="sr-Latn-RS"/>
        </w:rPr>
        <w:t>6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limfopeniju, smanjen broj limfocita</w:t>
      </w:r>
    </w:p>
    <w:p w14:paraId="4C84052F" w14:textId="334E5B15" w:rsidR="00593739" w:rsidRPr="000132D2" w:rsidRDefault="008B5C2F" w:rsidP="00593739">
      <w:pPr>
        <w:spacing w:before="1"/>
        <w:ind w:left="226"/>
        <w:jc w:val="both"/>
        <w:rPr>
          <w:sz w:val="20"/>
          <w:lang w:val="sr-Latn-RS"/>
        </w:rPr>
      </w:pPr>
      <w:r>
        <w:rPr>
          <w:sz w:val="20"/>
          <w:vertAlign w:val="superscript"/>
          <w:lang w:val="sr-Latn-RS"/>
        </w:rPr>
        <w:t>7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trombocitopeniju, smanjen broj trombocita</w:t>
      </w:r>
    </w:p>
    <w:p w14:paraId="7FC7AE0B" w14:textId="41579D2C" w:rsidR="00593739" w:rsidRPr="000132D2" w:rsidRDefault="008B5C2F" w:rsidP="00593739">
      <w:pPr>
        <w:ind w:left="226"/>
        <w:jc w:val="both"/>
        <w:rPr>
          <w:sz w:val="20"/>
          <w:lang w:val="sr-Latn-RS"/>
        </w:rPr>
      </w:pPr>
      <w:r>
        <w:rPr>
          <w:sz w:val="20"/>
          <w:vertAlign w:val="superscript"/>
          <w:lang w:val="sr-Latn-RS"/>
        </w:rPr>
        <w:t>8</w:t>
      </w:r>
      <w:r w:rsidRPr="000132D2">
        <w:rPr>
          <w:sz w:val="20"/>
          <w:lang w:val="sr-Latn-RS"/>
        </w:rPr>
        <w:t xml:space="preserve"> </w:t>
      </w:r>
      <w:r w:rsidR="00147704" w:rsidRPr="00147704">
        <w:rPr>
          <w:sz w:val="20"/>
          <w:lang w:val="sr-Latn-RS"/>
        </w:rPr>
        <w:t xml:space="preserve">uključuje glavobolju, tenzijsku glavobolju </w:t>
      </w:r>
    </w:p>
    <w:p w14:paraId="2A6CD143" w14:textId="59357487" w:rsidR="00593739" w:rsidRPr="000132D2" w:rsidRDefault="008B5C2F" w:rsidP="00593739">
      <w:pPr>
        <w:ind w:left="226"/>
        <w:jc w:val="both"/>
        <w:rPr>
          <w:sz w:val="20"/>
          <w:lang w:val="sr-Latn-RS"/>
        </w:rPr>
      </w:pPr>
      <w:r>
        <w:rPr>
          <w:sz w:val="20"/>
          <w:vertAlign w:val="superscript"/>
          <w:lang w:val="sr-Latn-RS"/>
        </w:rPr>
        <w:t>9</w:t>
      </w:r>
      <w:r w:rsidRPr="000132D2">
        <w:rPr>
          <w:sz w:val="20"/>
          <w:lang w:val="sr-Latn-RS"/>
        </w:rPr>
        <w:t xml:space="preserve"> </w:t>
      </w:r>
      <w:r w:rsidR="00147704" w:rsidRPr="00147704">
        <w:rPr>
          <w:sz w:val="20"/>
          <w:lang w:val="sr-Latn-RS"/>
        </w:rPr>
        <w:t xml:space="preserve">uključuje ageuziju, disgeuziju </w:t>
      </w:r>
    </w:p>
    <w:p w14:paraId="2BA4B528" w14:textId="2201E333" w:rsidR="00593739" w:rsidRPr="000132D2" w:rsidRDefault="008B5C2F" w:rsidP="00593739">
      <w:pPr>
        <w:spacing w:before="1" w:line="229" w:lineRule="exact"/>
        <w:ind w:left="226"/>
        <w:jc w:val="both"/>
        <w:rPr>
          <w:sz w:val="20"/>
          <w:lang w:val="sr-Latn-RS"/>
        </w:rPr>
      </w:pPr>
      <w:r>
        <w:rPr>
          <w:sz w:val="20"/>
          <w:vertAlign w:val="superscript"/>
          <w:lang w:val="sr-Latn-RS"/>
        </w:rPr>
        <w:t>10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hipertenziju, povišen krvni pritisak</w:t>
      </w:r>
    </w:p>
    <w:p w14:paraId="68C693C0" w14:textId="6D92D403" w:rsidR="00593739" w:rsidRPr="000132D2" w:rsidRDefault="008B5C2F" w:rsidP="00593739">
      <w:pPr>
        <w:ind w:left="360" w:right="301" w:hanging="180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1</w:t>
      </w:r>
      <w:r>
        <w:rPr>
          <w:sz w:val="20"/>
          <w:vertAlign w:val="superscript"/>
          <w:lang w:val="sr-Latn-RS"/>
        </w:rPr>
        <w:t>1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 xml:space="preserve">obuhvata 39 poželjnih termina iz uže terminologije SMQ za hemoragije (bez laboratorijskih termina), isključujući termine koji se odnose na invazivnu </w:t>
      </w:r>
      <w:r w:rsidR="00573A31">
        <w:rPr>
          <w:sz w:val="20"/>
          <w:lang w:val="sr-Latn-RS"/>
        </w:rPr>
        <w:t>primjen</w:t>
      </w:r>
      <w:r w:rsidR="00593739" w:rsidRPr="000132D2">
        <w:rPr>
          <w:sz w:val="20"/>
          <w:lang w:val="sr-Latn-RS"/>
        </w:rPr>
        <w:t xml:space="preserve">u </w:t>
      </w:r>
      <w:r w:rsidR="00674751">
        <w:rPr>
          <w:sz w:val="20"/>
          <w:lang w:val="sr-Latn-RS"/>
        </w:rPr>
        <w:t>lijek</w:t>
      </w:r>
      <w:r w:rsidR="00593739" w:rsidRPr="000132D2">
        <w:rPr>
          <w:sz w:val="20"/>
          <w:lang w:val="sr-Latn-RS"/>
        </w:rPr>
        <w:t>a, termine koji se odnose na rupturu, diseminovanu intravaskularnu koagulopatiju, termine koji se odnose na traumatske hemoragije i hemoragijske termine koji se odnose na trudnoću, porođaj ili neonatalne pojmove</w:t>
      </w:r>
    </w:p>
    <w:p w14:paraId="251F0CE3" w14:textId="0815D2CA" w:rsidR="00593739" w:rsidRPr="000132D2" w:rsidRDefault="008B5C2F" w:rsidP="00593739">
      <w:pPr>
        <w:spacing w:before="1" w:line="229" w:lineRule="exact"/>
        <w:ind w:left="226" w:hanging="46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1</w:t>
      </w:r>
      <w:r>
        <w:rPr>
          <w:sz w:val="20"/>
          <w:vertAlign w:val="superscript"/>
          <w:lang w:val="sr-Latn-RS"/>
        </w:rPr>
        <w:t>2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kašalj, produktivni kašalj</w:t>
      </w:r>
    </w:p>
    <w:p w14:paraId="333E15AA" w14:textId="0080442C" w:rsidR="00593739" w:rsidRDefault="008B5C2F" w:rsidP="00593739">
      <w:pPr>
        <w:ind w:left="226" w:right="4810" w:hanging="46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1</w:t>
      </w:r>
      <w:r>
        <w:rPr>
          <w:sz w:val="20"/>
          <w:vertAlign w:val="superscript"/>
          <w:lang w:val="sr-Latn-RS"/>
        </w:rPr>
        <w:t>3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pneumonitis, intersticijalnu bolest pluća</w:t>
      </w:r>
    </w:p>
    <w:p w14:paraId="6FD1F33F" w14:textId="20828B2C" w:rsidR="00593739" w:rsidRDefault="008B5C2F" w:rsidP="00593739">
      <w:pPr>
        <w:tabs>
          <w:tab w:val="left" w:pos="4140"/>
        </w:tabs>
        <w:ind w:left="226" w:right="4000" w:hanging="46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1</w:t>
      </w:r>
      <w:r>
        <w:rPr>
          <w:sz w:val="20"/>
          <w:vertAlign w:val="superscript"/>
          <w:lang w:val="sr-Latn-RS"/>
        </w:rPr>
        <w:t>4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 xml:space="preserve">obuhvata bol u abdomenu, bol u gornjem </w:t>
      </w:r>
      <w:r w:rsidR="00513EC0">
        <w:rPr>
          <w:sz w:val="20"/>
          <w:lang w:val="sr-Latn-RS"/>
        </w:rPr>
        <w:t>dijelu</w:t>
      </w:r>
      <w:r w:rsidR="00593739" w:rsidRPr="000132D2">
        <w:rPr>
          <w:sz w:val="20"/>
          <w:lang w:val="sr-Latn-RS"/>
        </w:rPr>
        <w:t xml:space="preserve"> abdomena</w:t>
      </w:r>
    </w:p>
    <w:p w14:paraId="646DA594" w14:textId="6DF8B927" w:rsidR="00593739" w:rsidRPr="000132D2" w:rsidRDefault="008B5C2F" w:rsidP="00593739">
      <w:pPr>
        <w:ind w:left="226" w:right="5113" w:hanging="46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1</w:t>
      </w:r>
      <w:r>
        <w:rPr>
          <w:sz w:val="20"/>
          <w:vertAlign w:val="superscript"/>
          <w:lang w:val="sr-Latn-RS"/>
        </w:rPr>
        <w:t>5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stomatitis, aftozni ulcer</w:t>
      </w:r>
    </w:p>
    <w:p w14:paraId="5D761BF8" w14:textId="3AA8A0DE" w:rsidR="00593739" w:rsidRPr="000132D2" w:rsidRDefault="008B5C2F" w:rsidP="00593739">
      <w:pPr>
        <w:ind w:left="360" w:right="643" w:hanging="180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1</w:t>
      </w:r>
      <w:r>
        <w:rPr>
          <w:sz w:val="20"/>
          <w:vertAlign w:val="superscript"/>
          <w:lang w:val="sr-Latn-RS"/>
        </w:rPr>
        <w:t>6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povišen nivo bilirubina u krvi, hiperbilirubinemiju, povišen nivo konjugovanog bilirubina, povišen nivo nekonjugovanog bilirubina u krvi</w:t>
      </w:r>
    </w:p>
    <w:p w14:paraId="171BE6F1" w14:textId="3CA3F812" w:rsidR="00593739" w:rsidRPr="000132D2" w:rsidRDefault="008B5C2F" w:rsidP="00593739">
      <w:pPr>
        <w:spacing w:before="1"/>
        <w:ind w:left="360" w:hanging="180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1</w:t>
      </w:r>
      <w:r>
        <w:rPr>
          <w:sz w:val="20"/>
          <w:vertAlign w:val="superscript"/>
          <w:lang w:val="sr-Latn-RS"/>
        </w:rPr>
        <w:t>7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osip, makulo-papularni osip, akneiformni dermatitis, eritem, generalizovani osip, papularni osip, pustularni osip, makularni osip, eritematozni osip</w:t>
      </w:r>
    </w:p>
    <w:p w14:paraId="247769F8" w14:textId="6FB5820C" w:rsidR="00593739" w:rsidRPr="000132D2" w:rsidRDefault="008B5C2F" w:rsidP="00593739">
      <w:pPr>
        <w:ind w:left="360" w:right="270" w:hanging="217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1</w:t>
      </w:r>
      <w:r>
        <w:rPr>
          <w:sz w:val="20"/>
          <w:vertAlign w:val="superscript"/>
          <w:lang w:val="sr-Latn-RS"/>
        </w:rPr>
        <w:t>8</w:t>
      </w:r>
      <w:r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muskuloskeletni bol u grudima, mialgiju, artralgiju, bol u ekstremitetima, bol u vratu, muskuloskeletni bol, bol u leđima, bol u kostima, bol u kičmi, muskuloskeletnu ukočenost</w:t>
      </w:r>
    </w:p>
    <w:p w14:paraId="14290E56" w14:textId="55A69B4D" w:rsidR="00593739" w:rsidRPr="000132D2" w:rsidRDefault="008B5C2F" w:rsidP="00593739">
      <w:pPr>
        <w:ind w:left="226" w:hanging="46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1</w:t>
      </w:r>
      <w:r>
        <w:rPr>
          <w:sz w:val="20"/>
          <w:vertAlign w:val="superscript"/>
          <w:lang w:val="sr-Latn-RS"/>
        </w:rPr>
        <w:t>9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asteniju, zamor</w:t>
      </w:r>
    </w:p>
    <w:p w14:paraId="0617B869" w14:textId="73A0B9ED" w:rsidR="00593739" w:rsidRPr="000132D2" w:rsidRDefault="008B5C2F" w:rsidP="00593739">
      <w:pPr>
        <w:ind w:left="360" w:hanging="180"/>
        <w:jc w:val="both"/>
        <w:rPr>
          <w:sz w:val="20"/>
          <w:lang w:val="sr-Latn-RS"/>
        </w:rPr>
      </w:pPr>
      <w:r>
        <w:rPr>
          <w:sz w:val="20"/>
          <w:vertAlign w:val="superscript"/>
          <w:lang w:val="sr-Latn-RS"/>
        </w:rPr>
        <w:t>20</w:t>
      </w:r>
      <w:r w:rsidRPr="000132D2">
        <w:rPr>
          <w:sz w:val="20"/>
          <w:vertAlign w:val="superscript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edem, oticanje lica, periferno oticanje, periferni edem, edem lica, periorbitalni edem, edem očnih kapaka, generalizovani edem, oticanje, lokalizovani edem</w:t>
      </w:r>
    </w:p>
    <w:p w14:paraId="570A4C57" w14:textId="2855CDE0" w:rsidR="00593739" w:rsidRPr="000132D2" w:rsidRDefault="008B5C2F" w:rsidP="00593739">
      <w:pPr>
        <w:spacing w:line="228" w:lineRule="exact"/>
        <w:ind w:left="226" w:hanging="46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2</w:t>
      </w:r>
      <w:r>
        <w:rPr>
          <w:sz w:val="20"/>
          <w:vertAlign w:val="superscript"/>
          <w:lang w:val="sr-Latn-RS"/>
        </w:rPr>
        <w:t>1</w:t>
      </w:r>
      <w:r w:rsidRPr="000132D2">
        <w:rPr>
          <w:sz w:val="20"/>
          <w:lang w:val="sr-Latn-RS"/>
        </w:rPr>
        <w:t xml:space="preserve"> </w:t>
      </w:r>
      <w:r w:rsidR="00593739" w:rsidRPr="000132D2">
        <w:rPr>
          <w:sz w:val="20"/>
          <w:lang w:val="sr-Latn-RS"/>
        </w:rPr>
        <w:t>obuhvata produženi QT na e</w:t>
      </w:r>
      <w:r w:rsidR="00674751">
        <w:rPr>
          <w:sz w:val="20"/>
          <w:lang w:val="sr-Latn-RS"/>
        </w:rPr>
        <w:t>l</w:t>
      </w:r>
      <w:r w:rsidR="00022673">
        <w:rPr>
          <w:sz w:val="20"/>
          <w:lang w:val="sr-Latn-RS"/>
        </w:rPr>
        <w:t>e</w:t>
      </w:r>
      <w:r w:rsidR="00674751">
        <w:rPr>
          <w:sz w:val="20"/>
          <w:lang w:val="sr-Latn-RS"/>
        </w:rPr>
        <w:t>k</w:t>
      </w:r>
      <w:r w:rsidR="00593739" w:rsidRPr="000132D2">
        <w:rPr>
          <w:sz w:val="20"/>
          <w:lang w:val="sr-Latn-RS"/>
        </w:rPr>
        <w:t>trokardiogramu, sindrom dugog QT</w:t>
      </w:r>
    </w:p>
    <w:p w14:paraId="411F8849" w14:textId="72C44D2F" w:rsidR="00593739" w:rsidRPr="000132D2" w:rsidRDefault="00593739" w:rsidP="00593739">
      <w:pPr>
        <w:spacing w:before="1"/>
        <w:ind w:left="226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*</w:t>
      </w:r>
      <w:r w:rsidRPr="000132D2">
        <w:rPr>
          <w:sz w:val="20"/>
          <w:lang w:val="sr-Latn-RS"/>
        </w:rPr>
        <w:t xml:space="preserve"> pored toga, prijavljeno je 3,</w:t>
      </w:r>
      <w:r w:rsidR="00147704">
        <w:rPr>
          <w:sz w:val="20"/>
          <w:lang w:val="sr-Latn-RS"/>
        </w:rPr>
        <w:t>7</w:t>
      </w:r>
      <w:r w:rsidRPr="000132D2">
        <w:rPr>
          <w:sz w:val="20"/>
          <w:lang w:val="sr-Latn-RS"/>
        </w:rPr>
        <w:t>% povišenih transaminaza (0,6% gradusa 3–4)</w:t>
      </w:r>
    </w:p>
    <w:p w14:paraId="71BC3AD3" w14:textId="77777777" w:rsidR="00593739" w:rsidRPr="000132D2" w:rsidRDefault="00593739" w:rsidP="00593739">
      <w:pPr>
        <w:pStyle w:val="BodyText"/>
        <w:jc w:val="both"/>
        <w:rPr>
          <w:sz w:val="14"/>
          <w:lang w:val="sr-Latn-RS"/>
        </w:rPr>
      </w:pPr>
    </w:p>
    <w:p w14:paraId="5D29967A" w14:textId="77777777" w:rsidR="00593739" w:rsidRPr="000132D2" w:rsidRDefault="00593739" w:rsidP="00593739">
      <w:pPr>
        <w:pStyle w:val="BodyText"/>
        <w:spacing w:before="91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Opis odabranih neželjenih reakcija</w:t>
      </w:r>
    </w:p>
    <w:p w14:paraId="1F7EC0D5" w14:textId="77777777" w:rsidR="00593739" w:rsidRPr="000132D2" w:rsidRDefault="00593739" w:rsidP="00593739">
      <w:pPr>
        <w:pStyle w:val="BodyText"/>
        <w:spacing w:before="10"/>
        <w:jc w:val="both"/>
        <w:rPr>
          <w:sz w:val="13"/>
          <w:lang w:val="sr-Latn-RS"/>
        </w:rPr>
      </w:pPr>
    </w:p>
    <w:p w14:paraId="5CB85E2E" w14:textId="77777777" w:rsidR="00593739" w:rsidRPr="000132D2" w:rsidRDefault="00593739" w:rsidP="00593739">
      <w:pPr>
        <w:spacing w:before="92"/>
        <w:ind w:left="118"/>
        <w:jc w:val="both"/>
        <w:rPr>
          <w:i/>
          <w:lang w:val="sr-Latn-RS"/>
        </w:rPr>
      </w:pPr>
      <w:r w:rsidRPr="000132D2">
        <w:rPr>
          <w:i/>
          <w:iCs/>
          <w:u w:val="single"/>
          <w:lang w:val="sr-Latn-RS"/>
        </w:rPr>
        <w:t>Pneumonitis/ILD</w:t>
      </w:r>
    </w:p>
    <w:p w14:paraId="2801EA65" w14:textId="5884AEE9" w:rsidR="00593739" w:rsidRPr="000132D2" w:rsidRDefault="00593739" w:rsidP="00593739">
      <w:pPr>
        <w:pStyle w:val="BodyText"/>
        <w:spacing w:before="1"/>
        <w:ind w:left="118" w:right="196"/>
        <w:jc w:val="both"/>
        <w:rPr>
          <w:lang w:val="sr-Latn-RS"/>
        </w:rPr>
      </w:pPr>
      <w:r w:rsidRPr="000132D2">
        <w:rPr>
          <w:lang w:val="sr-Latn-RS"/>
        </w:rPr>
        <w:t xml:space="preserve">Pneumonitis i ILD javili su se kod </w:t>
      </w:r>
      <w:r w:rsidR="0003259C">
        <w:rPr>
          <w:lang w:val="sr-Latn-RS"/>
        </w:rPr>
        <w:t>12,2</w:t>
      </w:r>
      <w:r w:rsidRPr="000132D2">
        <w:rPr>
          <w:lang w:val="sr-Latn-RS"/>
        </w:rPr>
        <w:t xml:space="preserve">% od </w:t>
      </w:r>
      <w:r w:rsidR="0003259C">
        <w:rPr>
          <w:lang w:val="sr-Latn-RS"/>
        </w:rPr>
        <w:t>540</w:t>
      </w:r>
      <w:r w:rsidR="0003259C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pacijenata sa NSCLC ili drugim solidnim tumorima koji su učestvovali u studiji ARROW i primali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 Gavreto (</w:t>
      </w:r>
      <w:r w:rsidR="00022673">
        <w:rPr>
          <w:lang w:val="sr-Latn-RS"/>
        </w:rPr>
        <w:t>vidjeti</w:t>
      </w:r>
      <w:r w:rsidR="00022673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4.4). Među pacijentima koji su imali pneumonitis/ILD, medijana vremena do po</w:t>
      </w:r>
      <w:r w:rsidR="00022673">
        <w:rPr>
          <w:lang w:val="sr-Latn-RS"/>
        </w:rPr>
        <w:t>jave neželjene reakcije</w:t>
      </w:r>
      <w:r w:rsidRPr="000132D2">
        <w:rPr>
          <w:lang w:val="sr-Latn-RS"/>
        </w:rPr>
        <w:t xml:space="preserve"> iznosila je </w:t>
      </w:r>
      <w:r w:rsidR="0003259C">
        <w:rPr>
          <w:lang w:val="sr-Latn-RS"/>
        </w:rPr>
        <w:t>16,1</w:t>
      </w:r>
      <w:r w:rsidRPr="000132D2">
        <w:rPr>
          <w:lang w:val="sr-Latn-RS"/>
        </w:rPr>
        <w:t xml:space="preserve">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a.</w:t>
      </w:r>
    </w:p>
    <w:p w14:paraId="6C89FCCE" w14:textId="77777777" w:rsidR="00593739" w:rsidRPr="000132D2" w:rsidRDefault="00593739" w:rsidP="00593739">
      <w:pPr>
        <w:pStyle w:val="BodyText"/>
        <w:spacing w:before="11"/>
        <w:jc w:val="both"/>
        <w:rPr>
          <w:sz w:val="21"/>
          <w:lang w:val="sr-Latn-RS"/>
        </w:rPr>
      </w:pPr>
    </w:p>
    <w:p w14:paraId="04B45C0E" w14:textId="583A23F8" w:rsidR="00593739" w:rsidRPr="000132D2" w:rsidRDefault="00593739" w:rsidP="00B13662">
      <w:pPr>
        <w:pStyle w:val="BodyText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Ozbiljne neželjene reakcije kao što su pneumonitis/ILD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e su kod 5,</w:t>
      </w:r>
      <w:r w:rsidR="0003259C">
        <w:rPr>
          <w:lang w:val="sr-Latn-RS"/>
        </w:rPr>
        <w:t>7</w:t>
      </w:r>
      <w:r w:rsidRPr="000132D2">
        <w:rPr>
          <w:lang w:val="sr-Latn-RS"/>
        </w:rPr>
        <w:t>% pacijenata, uključujući događaje gradusa 3 (2,</w:t>
      </w:r>
      <w:r w:rsidR="0003259C">
        <w:rPr>
          <w:lang w:val="sr-Latn-RS"/>
        </w:rPr>
        <w:t>8</w:t>
      </w:r>
      <w:r w:rsidRPr="000132D2">
        <w:rPr>
          <w:lang w:val="sr-Latn-RS"/>
        </w:rPr>
        <w:t>%), gradusa 4 (0,6%) i jedan događaj gradusa 5 sa smrtnim ishodom (0,2%).</w:t>
      </w:r>
    </w:p>
    <w:p w14:paraId="163C4A3F" w14:textId="77777777" w:rsidR="00593739" w:rsidRPr="000132D2" w:rsidRDefault="00593739" w:rsidP="00593739">
      <w:pPr>
        <w:pStyle w:val="BodyText"/>
        <w:spacing w:before="2"/>
        <w:jc w:val="both"/>
        <w:rPr>
          <w:lang w:val="sr-Latn-RS"/>
        </w:rPr>
      </w:pPr>
    </w:p>
    <w:p w14:paraId="21F91F77" w14:textId="4C1BEAB8" w:rsidR="00593739" w:rsidRPr="000132D2" w:rsidRDefault="00593739" w:rsidP="00593739">
      <w:pPr>
        <w:pStyle w:val="BodyText"/>
        <w:ind w:left="118" w:right="148"/>
        <w:jc w:val="both"/>
        <w:rPr>
          <w:lang w:val="sr-Latn-RS"/>
        </w:rPr>
      </w:pPr>
      <w:r w:rsidRPr="000132D2">
        <w:rPr>
          <w:lang w:val="sr-Latn-RS"/>
        </w:rPr>
        <w:t>U kliničkim ispitivanjima većina pacijenata sa pneumonitisom gradusa 1 ili gradusa 2 mogla je da nastavi terapiju rekurentnog pneumonitisa/ILD nakon privremenog prekida i smanjenja doze. Do privremenog prekida doze došlo je kod 8,9</w:t>
      </w:r>
      <w:r w:rsidR="008B051A">
        <w:rPr>
          <w:lang w:val="sr-Latn-RS"/>
        </w:rPr>
        <w:t>%</w:t>
      </w:r>
      <w:r w:rsidRPr="000132D2">
        <w:rPr>
          <w:lang w:val="sr-Latn-RS"/>
        </w:rPr>
        <w:t xml:space="preserve"> pacijenata, smanjenja doze kod 5,</w:t>
      </w:r>
      <w:r w:rsidR="0003259C">
        <w:rPr>
          <w:lang w:val="sr-Latn-RS"/>
        </w:rPr>
        <w:t>7</w:t>
      </w:r>
      <w:r w:rsidRPr="000132D2">
        <w:rPr>
          <w:lang w:val="sr-Latn-RS"/>
        </w:rPr>
        <w:t xml:space="preserve">% i </w:t>
      </w:r>
      <w:r>
        <w:rPr>
          <w:lang w:val="sr-Latn-RS"/>
        </w:rPr>
        <w:t xml:space="preserve">do </w:t>
      </w:r>
      <w:r w:rsidRPr="000132D2">
        <w:rPr>
          <w:lang w:val="sr-Latn-RS"/>
        </w:rPr>
        <w:t xml:space="preserve">trajnog prekida doze došlo je kod </w:t>
      </w:r>
      <w:r w:rsidR="0003259C">
        <w:rPr>
          <w:lang w:val="sr-Latn-RS"/>
        </w:rPr>
        <w:t>2,2</w:t>
      </w:r>
      <w:r w:rsidRPr="000132D2">
        <w:rPr>
          <w:lang w:val="sr-Latn-RS"/>
        </w:rPr>
        <w:t xml:space="preserve">% pacijenata zbog ILD/pneumonitisa. Medijana vremena do </w:t>
      </w:r>
      <w:r w:rsidR="00022673">
        <w:rPr>
          <w:lang w:val="sr-Latn-RS"/>
        </w:rPr>
        <w:t>prestanka neželjene reakcije</w:t>
      </w:r>
      <w:r w:rsidR="00022673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bila je </w:t>
      </w:r>
      <w:r w:rsidR="0003259C">
        <w:rPr>
          <w:lang w:val="sr-Latn-RS"/>
        </w:rPr>
        <w:t>4,3</w:t>
      </w:r>
      <w:r w:rsidRPr="000132D2">
        <w:rPr>
          <w:lang w:val="sr-Latn-RS"/>
        </w:rPr>
        <w:t xml:space="preserve">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a.</w:t>
      </w:r>
    </w:p>
    <w:p w14:paraId="6D38E421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3A94C644" w14:textId="77777777" w:rsidR="00593739" w:rsidRPr="000132D2" w:rsidRDefault="00593739" w:rsidP="00593739">
      <w:pPr>
        <w:spacing w:line="252" w:lineRule="exact"/>
        <w:ind w:left="118"/>
        <w:jc w:val="both"/>
        <w:rPr>
          <w:i/>
          <w:lang w:val="sr-Latn-RS"/>
        </w:rPr>
      </w:pPr>
      <w:r w:rsidRPr="000132D2">
        <w:rPr>
          <w:i/>
          <w:iCs/>
          <w:u w:val="single"/>
          <w:lang w:val="sr-Latn-RS"/>
        </w:rPr>
        <w:t>Hipertenzija</w:t>
      </w:r>
    </w:p>
    <w:p w14:paraId="7886F757" w14:textId="5595944D" w:rsidR="00593739" w:rsidRPr="000132D2" w:rsidRDefault="00593739" w:rsidP="00593739">
      <w:pPr>
        <w:pStyle w:val="BodyText"/>
        <w:ind w:left="118" w:right="239"/>
        <w:jc w:val="both"/>
        <w:rPr>
          <w:lang w:val="sr-Latn-RS"/>
        </w:rPr>
      </w:pPr>
      <w:r w:rsidRPr="000132D2">
        <w:rPr>
          <w:lang w:val="sr-Latn-RS"/>
        </w:rPr>
        <w:t xml:space="preserve">Hipertenzija (uključujući povišeni krvni pritisak) se javila kod </w:t>
      </w:r>
      <w:r w:rsidR="0003259C" w:rsidRPr="000132D2">
        <w:rPr>
          <w:lang w:val="sr-Latn-RS"/>
        </w:rPr>
        <w:t>3</w:t>
      </w:r>
      <w:r w:rsidR="0003259C">
        <w:rPr>
          <w:lang w:val="sr-Latn-RS"/>
        </w:rPr>
        <w:t>5</w:t>
      </w:r>
      <w:r w:rsidRPr="000132D2">
        <w:rPr>
          <w:lang w:val="sr-Latn-RS"/>
        </w:rPr>
        <w:t xml:space="preserve">,0% od </w:t>
      </w:r>
      <w:r w:rsidR="0003259C">
        <w:rPr>
          <w:lang w:val="sr-Latn-RS"/>
        </w:rPr>
        <w:t>540</w:t>
      </w:r>
      <w:r w:rsidR="0003259C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pacijenata sa NSCLC ili drugim solidnim tumorima, uključujući događaje gradusa ≤ 2 kod </w:t>
      </w:r>
      <w:r w:rsidR="0003259C">
        <w:rPr>
          <w:lang w:val="sr-Latn-RS"/>
        </w:rPr>
        <w:t>17,4</w:t>
      </w:r>
      <w:r w:rsidRPr="000132D2">
        <w:rPr>
          <w:lang w:val="sr-Latn-RS"/>
        </w:rPr>
        <w:t xml:space="preserve">% i gradusa 3 kod </w:t>
      </w:r>
      <w:r w:rsidR="0003259C">
        <w:rPr>
          <w:lang w:val="sr-Latn-RS"/>
        </w:rPr>
        <w:t>17,6</w:t>
      </w:r>
      <w:r w:rsidRPr="000132D2">
        <w:rPr>
          <w:lang w:val="sr-Latn-RS"/>
        </w:rPr>
        <w:t xml:space="preserve">% pacijenata. </w:t>
      </w:r>
      <w:r w:rsidR="00690636">
        <w:rPr>
          <w:lang w:val="sr-Latn-RS"/>
        </w:rPr>
        <w:t>Nijesu</w:t>
      </w:r>
      <w:r>
        <w:rPr>
          <w:lang w:val="sr-Latn-RS"/>
        </w:rPr>
        <w:t xml:space="preserve"> </w:t>
      </w:r>
      <w:r w:rsidRPr="000132D2">
        <w:rPr>
          <w:lang w:val="sr-Latn-RS"/>
        </w:rPr>
        <w:t xml:space="preserve">prijavljeni događaji gradusa 4 ili gradusa 5. Među pacijentima koji su imali hipertenziju, medijana vremena do pojave bila je 2,1 </w:t>
      </w:r>
      <w:r w:rsidR="00513EC0">
        <w:rPr>
          <w:lang w:val="sr-Latn-RS"/>
        </w:rPr>
        <w:t>nedjelj</w:t>
      </w:r>
      <w:r w:rsidR="00022673">
        <w:rPr>
          <w:lang w:val="sr-Latn-RS"/>
        </w:rPr>
        <w:t>a</w:t>
      </w:r>
      <w:r w:rsidRPr="000132D2">
        <w:rPr>
          <w:lang w:val="sr-Latn-RS"/>
        </w:rPr>
        <w:t>.</w:t>
      </w:r>
    </w:p>
    <w:p w14:paraId="6CCBC03C" w14:textId="77777777" w:rsidR="00593739" w:rsidRPr="000132D2" w:rsidRDefault="00593739" w:rsidP="00593739">
      <w:pPr>
        <w:pStyle w:val="BodyText"/>
        <w:spacing w:before="11"/>
        <w:jc w:val="both"/>
        <w:rPr>
          <w:sz w:val="21"/>
          <w:lang w:val="sr-Latn-RS"/>
        </w:rPr>
      </w:pPr>
    </w:p>
    <w:p w14:paraId="5F9AB2E8" w14:textId="51A9FB10" w:rsidR="00593739" w:rsidRPr="000132D2" w:rsidRDefault="00593739" w:rsidP="00B13662">
      <w:pPr>
        <w:pStyle w:val="BodyText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Ozbiljne neželjene reakcije hipertenzije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e su kod 1,3% svih pacijenata (svi događaji gradusa 3).</w:t>
      </w:r>
    </w:p>
    <w:p w14:paraId="4CCE6AE3" w14:textId="77777777" w:rsidR="00593739" w:rsidRPr="000132D2" w:rsidRDefault="00593739" w:rsidP="00B13662">
      <w:pPr>
        <w:pStyle w:val="BodyText"/>
        <w:ind w:right="238"/>
        <w:jc w:val="both"/>
        <w:rPr>
          <w:lang w:val="sr-Latn-RS"/>
        </w:rPr>
      </w:pPr>
    </w:p>
    <w:p w14:paraId="25E762EE" w14:textId="3C97F030" w:rsidR="00593739" w:rsidRDefault="00593739" w:rsidP="00B13662">
      <w:pPr>
        <w:pStyle w:val="BodyText"/>
        <w:spacing w:before="1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lastRenderedPageBreak/>
        <w:t xml:space="preserve">Do privremenog prekida doze došlo je kod </w:t>
      </w:r>
      <w:r w:rsidR="0003259C">
        <w:rPr>
          <w:lang w:val="sr-Latn-RS"/>
        </w:rPr>
        <w:t>8</w:t>
      </w:r>
      <w:r w:rsidR="008B051A">
        <w:rPr>
          <w:lang w:val="sr-Latn-RS"/>
        </w:rPr>
        <w:t xml:space="preserve">,0% </w:t>
      </w:r>
      <w:r w:rsidRPr="000132D2">
        <w:rPr>
          <w:lang w:val="sr-Latn-RS"/>
        </w:rPr>
        <w:t>pacijenata, smanjenja doze kod 4,</w:t>
      </w:r>
      <w:r w:rsidR="0003259C">
        <w:rPr>
          <w:lang w:val="sr-Latn-RS"/>
        </w:rPr>
        <w:t>8</w:t>
      </w:r>
      <w:r w:rsidRPr="000132D2">
        <w:rPr>
          <w:lang w:val="sr-Latn-RS"/>
        </w:rPr>
        <w:t xml:space="preserve">%, a kod jednog pacijenta (0,2%) bio je neophodan trajni prekid doze. Medijana vremena do </w:t>
      </w:r>
      <w:r w:rsidR="00022673">
        <w:rPr>
          <w:lang w:val="sr-Latn-RS"/>
        </w:rPr>
        <w:t>povlačenja neželjenog dejstva</w:t>
      </w:r>
      <w:r w:rsidR="00022673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bila je </w:t>
      </w:r>
      <w:r w:rsidR="0003259C">
        <w:rPr>
          <w:lang w:val="sr-Latn-RS"/>
        </w:rPr>
        <w:t>4,0</w:t>
      </w:r>
      <w:r w:rsidRPr="000132D2">
        <w:rPr>
          <w:lang w:val="sr-Latn-RS"/>
        </w:rPr>
        <w:t xml:space="preserve"> </w:t>
      </w:r>
      <w:r w:rsidR="0003259C">
        <w:rPr>
          <w:lang w:val="sr-Latn-RS"/>
        </w:rPr>
        <w:t>nedjelje</w:t>
      </w:r>
      <w:r w:rsidRPr="000132D2">
        <w:rPr>
          <w:lang w:val="sr-Latn-RS"/>
        </w:rPr>
        <w:t>.</w:t>
      </w:r>
    </w:p>
    <w:p w14:paraId="61E85A1A" w14:textId="77777777" w:rsidR="00A06119" w:rsidRPr="000132D2" w:rsidRDefault="00A06119" w:rsidP="00B13662">
      <w:pPr>
        <w:pStyle w:val="BodyText"/>
        <w:spacing w:before="1"/>
        <w:ind w:left="118" w:right="238"/>
        <w:jc w:val="both"/>
        <w:rPr>
          <w:lang w:val="sr-Latn-RS"/>
        </w:rPr>
      </w:pPr>
    </w:p>
    <w:p w14:paraId="38CAFD7B" w14:textId="4857C485" w:rsidR="00593739" w:rsidRPr="000132D2" w:rsidRDefault="00593739" w:rsidP="00593739">
      <w:pPr>
        <w:spacing w:before="80"/>
        <w:ind w:left="118"/>
        <w:jc w:val="both"/>
        <w:rPr>
          <w:i/>
          <w:lang w:val="sr-Latn-RS"/>
        </w:rPr>
      </w:pPr>
      <w:r w:rsidRPr="000132D2">
        <w:rPr>
          <w:i/>
          <w:iCs/>
          <w:u w:val="single"/>
          <w:lang w:val="sr-Latn-RS"/>
        </w:rPr>
        <w:t>Povišen</w:t>
      </w:r>
      <w:r w:rsidR="00197F74">
        <w:rPr>
          <w:i/>
          <w:iCs/>
          <w:u w:val="single"/>
          <w:lang w:val="sr-Latn-RS"/>
        </w:rPr>
        <w:t>e</w:t>
      </w:r>
      <w:r w:rsidRPr="000132D2">
        <w:rPr>
          <w:i/>
          <w:iCs/>
          <w:u w:val="single"/>
          <w:lang w:val="sr-Latn-RS"/>
        </w:rPr>
        <w:t xml:space="preserve"> </w:t>
      </w:r>
      <w:r w:rsidR="00197F74">
        <w:rPr>
          <w:i/>
          <w:iCs/>
          <w:u w:val="single"/>
          <w:lang w:val="sr-Latn-RS"/>
        </w:rPr>
        <w:t>vrijednosti</w:t>
      </w:r>
      <w:r w:rsidRPr="000132D2">
        <w:rPr>
          <w:i/>
          <w:iCs/>
          <w:u w:val="single"/>
          <w:lang w:val="sr-Latn-RS"/>
        </w:rPr>
        <w:t xml:space="preserve"> transaminaza</w:t>
      </w:r>
    </w:p>
    <w:p w14:paraId="5E6B3A4A" w14:textId="77777777" w:rsidR="00593739" w:rsidRPr="000132D2" w:rsidRDefault="00593739" w:rsidP="00593739">
      <w:pPr>
        <w:pStyle w:val="BodyText"/>
        <w:spacing w:before="1"/>
        <w:jc w:val="both"/>
        <w:rPr>
          <w:i/>
          <w:sz w:val="14"/>
          <w:lang w:val="sr-Latn-RS"/>
        </w:rPr>
      </w:pPr>
    </w:p>
    <w:p w14:paraId="52A80438" w14:textId="2D4365BE" w:rsidR="00593739" w:rsidRPr="000132D2" w:rsidRDefault="00593739" w:rsidP="00B13662">
      <w:pPr>
        <w:pStyle w:val="BodyText"/>
        <w:spacing w:before="92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Povišen nivo AST se javio kod </w:t>
      </w:r>
      <w:r w:rsidR="0003259C">
        <w:rPr>
          <w:lang w:val="sr-Latn-RS"/>
        </w:rPr>
        <w:t>49,1</w:t>
      </w:r>
      <w:r w:rsidRPr="000132D2">
        <w:rPr>
          <w:lang w:val="sr-Latn-RS"/>
        </w:rPr>
        <w:t xml:space="preserve">% od </w:t>
      </w:r>
      <w:r w:rsidR="0003259C">
        <w:rPr>
          <w:lang w:val="sr-Latn-RS"/>
        </w:rPr>
        <w:t>540</w:t>
      </w:r>
      <w:r w:rsidR="0003259C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pacijenata, uključujući događaje gradusa 3 ili 4 kod </w:t>
      </w:r>
      <w:r w:rsidR="0003259C">
        <w:rPr>
          <w:lang w:val="sr-Latn-RS"/>
        </w:rPr>
        <w:t>6,9</w:t>
      </w:r>
      <w:r w:rsidRPr="000132D2">
        <w:rPr>
          <w:lang w:val="sr-Latn-RS"/>
        </w:rPr>
        <w:t xml:space="preserve">% pacijenata. Povišen nivo AST se javio kod </w:t>
      </w:r>
      <w:r w:rsidR="0003259C">
        <w:rPr>
          <w:lang w:val="sr-Latn-RS"/>
        </w:rPr>
        <w:t>37,0</w:t>
      </w:r>
      <w:r w:rsidRPr="000132D2">
        <w:rPr>
          <w:lang w:val="sr-Latn-RS"/>
        </w:rPr>
        <w:t>% pacijenata, uključujući događaje gradusa 3 ili 4 kod 4,</w:t>
      </w:r>
      <w:r w:rsidR="0003259C">
        <w:rPr>
          <w:lang w:val="sr-Latn-RS"/>
        </w:rPr>
        <w:t>8</w:t>
      </w:r>
      <w:r w:rsidRPr="000132D2">
        <w:rPr>
          <w:lang w:val="sr-Latn-RS"/>
        </w:rPr>
        <w:t xml:space="preserve">% pacijenata. Medijana vremena do prvog početka za povišen nivo AST bila je 2,1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u, a za povišeni ALT 3,</w:t>
      </w:r>
      <w:r w:rsidR="0003259C">
        <w:rPr>
          <w:lang w:val="sr-Latn-RS"/>
        </w:rPr>
        <w:t>5</w:t>
      </w:r>
      <w:r w:rsidR="0003259C" w:rsidRPr="000132D2">
        <w:rPr>
          <w:lang w:val="sr-Latn-RS"/>
        </w:rPr>
        <w:t xml:space="preserve"> </w:t>
      </w:r>
      <w:r w:rsidR="0003259C">
        <w:rPr>
          <w:lang w:val="sr-Latn-RS"/>
        </w:rPr>
        <w:t>nedjelja</w:t>
      </w:r>
      <w:r w:rsidRPr="000132D2">
        <w:rPr>
          <w:lang w:val="sr-Latn-RS"/>
        </w:rPr>
        <w:t>.</w:t>
      </w:r>
    </w:p>
    <w:p w14:paraId="12B6C24C" w14:textId="77777777" w:rsidR="00593739" w:rsidRPr="000132D2" w:rsidRDefault="00593739" w:rsidP="00B13662">
      <w:pPr>
        <w:pStyle w:val="BodyText"/>
        <w:spacing w:before="10"/>
        <w:ind w:right="238"/>
        <w:jc w:val="both"/>
        <w:rPr>
          <w:sz w:val="21"/>
          <w:lang w:val="sr-Latn-RS"/>
        </w:rPr>
      </w:pPr>
    </w:p>
    <w:p w14:paraId="08488AF2" w14:textId="31615930" w:rsidR="00593739" w:rsidRPr="000132D2" w:rsidRDefault="00593739" w:rsidP="00B13662">
      <w:pPr>
        <w:pStyle w:val="BodyText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Ozbiljne neželjene reakcije povišenog nivoa AST ili ALT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e su kod 0,</w:t>
      </w:r>
      <w:r w:rsidR="0003259C">
        <w:rPr>
          <w:lang w:val="sr-Latn-RS"/>
        </w:rPr>
        <w:t>7</w:t>
      </w:r>
      <w:r w:rsidRPr="000132D2">
        <w:rPr>
          <w:lang w:val="sr-Latn-RS"/>
        </w:rPr>
        <w:t>%</w:t>
      </w:r>
      <w:r w:rsidR="0003259C">
        <w:rPr>
          <w:lang w:val="sr-Latn-RS"/>
        </w:rPr>
        <w:t xml:space="preserve"> odnosno 0,6%</w:t>
      </w:r>
      <w:r w:rsidRPr="000132D2">
        <w:rPr>
          <w:lang w:val="sr-Latn-RS"/>
        </w:rPr>
        <w:t xml:space="preserve">  pacijenata.</w:t>
      </w:r>
    </w:p>
    <w:p w14:paraId="62071544" w14:textId="77777777" w:rsidR="00593739" w:rsidRPr="000132D2" w:rsidRDefault="00593739" w:rsidP="00B13662">
      <w:pPr>
        <w:pStyle w:val="BodyText"/>
        <w:ind w:right="238"/>
        <w:jc w:val="both"/>
        <w:rPr>
          <w:lang w:val="sr-Latn-RS"/>
        </w:rPr>
      </w:pPr>
    </w:p>
    <w:p w14:paraId="44C7CA1D" w14:textId="239A72BE" w:rsidR="00593739" w:rsidRPr="000132D2" w:rsidRDefault="00593739" w:rsidP="00B13662">
      <w:pPr>
        <w:pStyle w:val="BodyText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Do privremenog prekida doze zbog povišenog nivoa AST ili ALT došlo je kod </w:t>
      </w:r>
      <w:r w:rsidR="0003259C">
        <w:rPr>
          <w:lang w:val="sr-Latn-RS"/>
        </w:rPr>
        <w:t>5,0</w:t>
      </w:r>
      <w:r w:rsidRPr="000132D2">
        <w:rPr>
          <w:lang w:val="sr-Latn-RS"/>
        </w:rPr>
        <w:t>% odnosno 3,</w:t>
      </w:r>
      <w:r w:rsidR="0003259C">
        <w:rPr>
          <w:lang w:val="sr-Latn-RS"/>
        </w:rPr>
        <w:t>9</w:t>
      </w:r>
      <w:r w:rsidRPr="000132D2">
        <w:rPr>
          <w:lang w:val="sr-Latn-RS"/>
        </w:rPr>
        <w:t xml:space="preserve">% pacijenata, a do smanjenja doze kod </w:t>
      </w:r>
      <w:r w:rsidR="0003259C">
        <w:rPr>
          <w:lang w:val="sr-Latn-RS"/>
        </w:rPr>
        <w:t>2,0</w:t>
      </w:r>
      <w:r w:rsidRPr="000132D2">
        <w:rPr>
          <w:lang w:val="sr-Latn-RS"/>
        </w:rPr>
        <w:t xml:space="preserve">% </w:t>
      </w:r>
      <w:r w:rsidR="0003259C">
        <w:rPr>
          <w:lang w:val="sr-Latn-RS"/>
        </w:rPr>
        <w:t xml:space="preserve">odnosno 1,5% </w:t>
      </w:r>
      <w:r w:rsidRPr="000132D2">
        <w:rPr>
          <w:lang w:val="sr-Latn-RS"/>
        </w:rPr>
        <w:t xml:space="preserve">za oba događaja. Ni kod jednog pacijenta nije bio potreban trajan prekid doze. Medijana vremena do otklanjanja bila je </w:t>
      </w:r>
      <w:r w:rsidR="0003259C">
        <w:rPr>
          <w:lang w:val="sr-Latn-RS"/>
        </w:rPr>
        <w:t>6,0</w:t>
      </w:r>
      <w:r w:rsidRPr="000132D2">
        <w:rPr>
          <w:lang w:val="sr-Latn-RS"/>
        </w:rPr>
        <w:t xml:space="preserve"> za AST i </w:t>
      </w:r>
      <w:r w:rsidR="0003259C">
        <w:rPr>
          <w:lang w:val="sr-Latn-RS"/>
        </w:rPr>
        <w:t>5,1</w:t>
      </w:r>
      <w:r w:rsidRPr="000132D2">
        <w:rPr>
          <w:lang w:val="sr-Latn-RS"/>
        </w:rPr>
        <w:t xml:space="preserve">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u za ALT.</w:t>
      </w:r>
    </w:p>
    <w:p w14:paraId="3FA19067" w14:textId="77777777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342D9F67" w14:textId="77777777" w:rsidR="00593739" w:rsidRPr="000132D2" w:rsidRDefault="00593739" w:rsidP="00593739">
      <w:pPr>
        <w:ind w:left="118"/>
        <w:jc w:val="both"/>
        <w:rPr>
          <w:i/>
          <w:lang w:val="sr-Latn-RS"/>
        </w:rPr>
      </w:pPr>
      <w:r w:rsidRPr="000132D2">
        <w:rPr>
          <w:i/>
          <w:iCs/>
          <w:u w:val="single"/>
          <w:lang w:val="sr-Latn-RS"/>
        </w:rPr>
        <w:t>Hemoragijski događaji</w:t>
      </w:r>
    </w:p>
    <w:p w14:paraId="5549000B" w14:textId="77777777" w:rsidR="00593739" w:rsidRPr="000132D2" w:rsidRDefault="00593739" w:rsidP="00593739">
      <w:pPr>
        <w:pStyle w:val="BodyText"/>
        <w:spacing w:before="2"/>
        <w:jc w:val="both"/>
        <w:rPr>
          <w:i/>
          <w:sz w:val="14"/>
          <w:lang w:val="sr-Latn-RS"/>
        </w:rPr>
      </w:pPr>
    </w:p>
    <w:p w14:paraId="6C9386BA" w14:textId="6C0C5262" w:rsidR="00593739" w:rsidRPr="000132D2" w:rsidRDefault="00593739" w:rsidP="00B13662">
      <w:pPr>
        <w:pStyle w:val="BodyText"/>
        <w:spacing w:before="91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Hemoragijski događaji su se javili kod </w:t>
      </w:r>
      <w:r w:rsidR="0003259C">
        <w:rPr>
          <w:lang w:val="sr-Latn-RS"/>
        </w:rPr>
        <w:t>20,6</w:t>
      </w:r>
      <w:r w:rsidRPr="000132D2">
        <w:rPr>
          <w:lang w:val="sr-Latn-RS"/>
        </w:rPr>
        <w:t xml:space="preserve">% od </w:t>
      </w:r>
      <w:r w:rsidR="0003259C">
        <w:rPr>
          <w:lang w:val="sr-Latn-RS"/>
        </w:rPr>
        <w:t>540</w:t>
      </w:r>
      <w:r w:rsidR="0003259C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pacijenata, uključujući događaje gradusa 3 </w:t>
      </w:r>
      <w:r w:rsidR="0003259C">
        <w:rPr>
          <w:lang w:val="sr-Latn-RS"/>
        </w:rPr>
        <w:t>kod</w:t>
      </w:r>
      <w:r w:rsidR="0003259C" w:rsidRPr="000132D2">
        <w:rPr>
          <w:lang w:val="sr-Latn-RS"/>
        </w:rPr>
        <w:t xml:space="preserve"> </w:t>
      </w:r>
      <w:r w:rsidR="0003259C">
        <w:rPr>
          <w:lang w:val="sr-Latn-RS"/>
        </w:rPr>
        <w:t>3,7</w:t>
      </w:r>
      <w:r w:rsidRPr="000132D2">
        <w:rPr>
          <w:lang w:val="sr-Latn-RS"/>
        </w:rPr>
        <w:t>% pacijenata ili gradusa 4 ili fatalne (gradusa 5) od kojih se svaki javio kod po jednog pacijenta (0,2%).</w:t>
      </w:r>
    </w:p>
    <w:p w14:paraId="72A47A83" w14:textId="77777777" w:rsidR="00593739" w:rsidRPr="000132D2" w:rsidRDefault="00593739" w:rsidP="00B13662">
      <w:pPr>
        <w:pStyle w:val="BodyText"/>
        <w:spacing w:before="11"/>
        <w:ind w:right="238"/>
        <w:jc w:val="both"/>
        <w:rPr>
          <w:sz w:val="21"/>
          <w:lang w:val="sr-Latn-RS"/>
        </w:rPr>
      </w:pPr>
    </w:p>
    <w:p w14:paraId="2AFCF7FD" w14:textId="2FC17CF4" w:rsidR="00593739" w:rsidRPr="000132D2" w:rsidRDefault="00593739" w:rsidP="00B13662">
      <w:pPr>
        <w:pStyle w:val="BodyText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Ozbiljne neželjene reakcije hemoragije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e su za 3,</w:t>
      </w:r>
      <w:r w:rsidR="0003259C">
        <w:rPr>
          <w:lang w:val="sr-Latn-RS"/>
        </w:rPr>
        <w:t>9</w:t>
      </w:r>
      <w:r w:rsidRPr="000132D2">
        <w:rPr>
          <w:lang w:val="sr-Latn-RS"/>
        </w:rPr>
        <w:t>% pacijenata.</w:t>
      </w:r>
    </w:p>
    <w:p w14:paraId="45C27D40" w14:textId="77777777" w:rsidR="00593739" w:rsidRPr="000132D2" w:rsidRDefault="00593739" w:rsidP="00B13662">
      <w:pPr>
        <w:pStyle w:val="BodyText"/>
        <w:ind w:right="238"/>
        <w:jc w:val="both"/>
        <w:rPr>
          <w:lang w:val="sr-Latn-RS"/>
        </w:rPr>
      </w:pPr>
    </w:p>
    <w:p w14:paraId="514BE002" w14:textId="7FBA4793" w:rsidR="00593739" w:rsidRPr="000132D2" w:rsidRDefault="00593739" w:rsidP="00B13662">
      <w:pPr>
        <w:pStyle w:val="BodyText"/>
        <w:spacing w:before="1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Kod </w:t>
      </w:r>
      <w:r w:rsidR="0003259C">
        <w:rPr>
          <w:lang w:val="sr-Latn-RS"/>
        </w:rPr>
        <w:t>17</w:t>
      </w:r>
      <w:r w:rsidR="0003259C" w:rsidRPr="000132D2">
        <w:rPr>
          <w:lang w:val="sr-Latn-RS"/>
        </w:rPr>
        <w:t xml:space="preserve"> </w:t>
      </w:r>
      <w:r w:rsidRPr="000132D2">
        <w:rPr>
          <w:lang w:val="sr-Latn-RS"/>
        </w:rPr>
        <w:t>pacijenata (</w:t>
      </w:r>
      <w:r w:rsidR="0003259C">
        <w:rPr>
          <w:lang w:val="sr-Latn-RS"/>
        </w:rPr>
        <w:t>3,1</w:t>
      </w:r>
      <w:r w:rsidRPr="000132D2">
        <w:rPr>
          <w:lang w:val="sr-Latn-RS"/>
        </w:rPr>
        <w:t xml:space="preserve">%) bio je neophodan privremen prekid doze, a do smanjenja doze ili trajnog prekida </w:t>
      </w:r>
      <w:r w:rsidR="0003259C">
        <w:rPr>
          <w:lang w:val="sr-Latn-RS"/>
        </w:rPr>
        <w:t>primjene</w:t>
      </w:r>
      <w:r w:rsidR="0003259C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zbog hemoragije došlo je kod </w:t>
      </w:r>
      <w:r w:rsidR="0003259C">
        <w:rPr>
          <w:lang w:val="sr-Latn-RS"/>
        </w:rPr>
        <w:t>0,4% odnosno 0,2% pacijenata</w:t>
      </w:r>
      <w:r w:rsidRPr="000132D2">
        <w:rPr>
          <w:lang w:val="sr-Latn-RS"/>
        </w:rPr>
        <w:t>.</w:t>
      </w:r>
    </w:p>
    <w:p w14:paraId="66DD8BCF" w14:textId="77777777" w:rsidR="00593739" w:rsidRPr="000132D2" w:rsidRDefault="00593739" w:rsidP="00593739">
      <w:pPr>
        <w:pStyle w:val="BodyText"/>
        <w:spacing w:before="10"/>
        <w:jc w:val="both"/>
        <w:rPr>
          <w:sz w:val="21"/>
          <w:lang w:val="sr-Latn-RS"/>
        </w:rPr>
      </w:pPr>
    </w:p>
    <w:p w14:paraId="5C49714B" w14:textId="77777777" w:rsidR="00593739" w:rsidRPr="000132D2" w:rsidRDefault="00593739" w:rsidP="00593739">
      <w:pPr>
        <w:ind w:left="118"/>
        <w:jc w:val="both"/>
        <w:rPr>
          <w:i/>
          <w:lang w:val="sr-Latn-RS"/>
        </w:rPr>
      </w:pPr>
      <w:r w:rsidRPr="000132D2">
        <w:rPr>
          <w:i/>
          <w:iCs/>
          <w:u w:val="single"/>
          <w:lang w:val="sr-Latn-RS"/>
        </w:rPr>
        <w:t>Produženje QT</w:t>
      </w:r>
      <w:r>
        <w:rPr>
          <w:i/>
          <w:iCs/>
          <w:u w:val="single"/>
          <w:lang w:val="sr-Latn-RS"/>
        </w:rPr>
        <w:t xml:space="preserve"> intervala</w:t>
      </w:r>
    </w:p>
    <w:p w14:paraId="088C3612" w14:textId="77777777" w:rsidR="00593739" w:rsidRPr="000132D2" w:rsidRDefault="00593739" w:rsidP="00593739">
      <w:pPr>
        <w:pStyle w:val="BodyText"/>
        <w:spacing w:before="1"/>
        <w:jc w:val="both"/>
        <w:rPr>
          <w:i/>
          <w:sz w:val="14"/>
          <w:lang w:val="sr-Latn-RS"/>
        </w:rPr>
      </w:pPr>
    </w:p>
    <w:p w14:paraId="060312A1" w14:textId="5F434EB5" w:rsidR="00593739" w:rsidRPr="000132D2" w:rsidRDefault="00593739" w:rsidP="00593739">
      <w:pPr>
        <w:pStyle w:val="BodyText"/>
        <w:spacing w:before="92"/>
        <w:ind w:left="118" w:right="133"/>
        <w:jc w:val="both"/>
        <w:rPr>
          <w:lang w:val="sr-Latn-RS"/>
        </w:rPr>
      </w:pPr>
      <w:r w:rsidRPr="000132D2">
        <w:rPr>
          <w:lang w:val="sr-Latn-RS"/>
        </w:rPr>
        <w:t>Produženje QT</w:t>
      </w:r>
      <w:r w:rsidR="006B0DF5">
        <w:rPr>
          <w:lang w:val="sr-Latn-RS"/>
        </w:rPr>
        <w:t xml:space="preserve"> intervala</w:t>
      </w:r>
      <w:r w:rsidRPr="000132D2">
        <w:rPr>
          <w:lang w:val="sr-Latn-RS"/>
        </w:rPr>
        <w:t xml:space="preserve"> javilo se kod 5,</w:t>
      </w:r>
      <w:r w:rsidR="0003259C">
        <w:rPr>
          <w:lang w:val="sr-Latn-RS"/>
        </w:rPr>
        <w:t>2</w:t>
      </w:r>
      <w:r w:rsidRPr="000132D2">
        <w:rPr>
          <w:lang w:val="sr-Latn-RS"/>
        </w:rPr>
        <w:t xml:space="preserve">% od </w:t>
      </w:r>
      <w:r w:rsidR="0003259C" w:rsidRPr="000132D2">
        <w:rPr>
          <w:lang w:val="sr-Latn-RS"/>
        </w:rPr>
        <w:t>5</w:t>
      </w:r>
      <w:r w:rsidR="0003259C">
        <w:rPr>
          <w:lang w:val="sr-Latn-RS"/>
        </w:rPr>
        <w:t>40</w:t>
      </w:r>
      <w:r w:rsidR="0003259C" w:rsidRPr="000132D2">
        <w:rPr>
          <w:lang w:val="sr-Latn-RS"/>
        </w:rPr>
        <w:t xml:space="preserve"> </w:t>
      </w:r>
      <w:r w:rsidRPr="000132D2">
        <w:rPr>
          <w:lang w:val="sr-Latn-RS"/>
        </w:rPr>
        <w:t>pacijenata sa NSCLC ili drugim solidnim tumorima. Kod 2 pacijenta (0,4%) događaj je proc</w:t>
      </w:r>
      <w:r w:rsidR="006B0DF5">
        <w:rPr>
          <w:lang w:val="sr-Latn-RS"/>
        </w:rPr>
        <w:t>ij</w:t>
      </w:r>
      <w:r w:rsidRPr="000132D2">
        <w:rPr>
          <w:lang w:val="sr-Latn-RS"/>
        </w:rPr>
        <w:t>enjen kao ozbiljan. Većina pacijenata doživ</w:t>
      </w:r>
      <w:r w:rsidR="008B051A">
        <w:rPr>
          <w:lang w:val="sr-Latn-RS"/>
        </w:rPr>
        <w:t>j</w:t>
      </w:r>
      <w:r w:rsidRPr="000132D2">
        <w:rPr>
          <w:lang w:val="sr-Latn-RS"/>
        </w:rPr>
        <w:t xml:space="preserve">ela je događaje koji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bili teški – tj. gradusa 1 kod 21 (</w:t>
      </w:r>
      <w:r w:rsidR="0003259C">
        <w:rPr>
          <w:lang w:val="sr-Latn-RS"/>
        </w:rPr>
        <w:t>3,9</w:t>
      </w:r>
      <w:r w:rsidRPr="000132D2">
        <w:rPr>
          <w:lang w:val="sr-Latn-RS"/>
        </w:rPr>
        <w:t xml:space="preserve">%) i gradusa 2 kod </w:t>
      </w:r>
      <w:r w:rsidR="0003259C">
        <w:rPr>
          <w:lang w:val="sr-Latn-RS"/>
        </w:rPr>
        <w:t>5</w:t>
      </w:r>
      <w:r w:rsidR="0003259C" w:rsidRPr="000132D2">
        <w:rPr>
          <w:lang w:val="sr-Latn-RS"/>
        </w:rPr>
        <w:t xml:space="preserve"> </w:t>
      </w:r>
      <w:r w:rsidRPr="000132D2">
        <w:rPr>
          <w:lang w:val="sr-Latn-RS"/>
        </w:rPr>
        <w:t>pacijenta (0,</w:t>
      </w:r>
      <w:r w:rsidR="0003259C">
        <w:rPr>
          <w:lang w:val="sr-Latn-RS"/>
        </w:rPr>
        <w:t>9</w:t>
      </w:r>
      <w:r w:rsidRPr="000132D2">
        <w:rPr>
          <w:lang w:val="sr-Latn-RS"/>
        </w:rPr>
        <w:t>%). Kod dva pacijenta (0,4%) javili su se događaji produžetka QT intervala na e</w:t>
      </w:r>
      <w:r w:rsidR="00674751">
        <w:rPr>
          <w:lang w:val="sr-Latn-RS"/>
        </w:rPr>
        <w:t>lek</w:t>
      </w:r>
      <w:r w:rsidRPr="000132D2">
        <w:rPr>
          <w:lang w:val="sr-Latn-RS"/>
        </w:rPr>
        <w:t>trokardiogramu gradusa 3 i otklonjeni su. Nije bilo produžetka QT sa smrtnim ishodom ili koji je ugrozio život</w:t>
      </w:r>
      <w:r>
        <w:rPr>
          <w:lang w:val="sr-Latn-RS"/>
        </w:rPr>
        <w:t xml:space="preserve"> pacijenta</w:t>
      </w:r>
      <w:r w:rsidRPr="000132D2">
        <w:rPr>
          <w:lang w:val="sr-Latn-RS"/>
        </w:rPr>
        <w:t>. Tri pacijenta (0,6%) imala su događaj koji nije otklonjen do trenutka pres</w:t>
      </w:r>
      <w:r w:rsidR="006B0DF5">
        <w:rPr>
          <w:lang w:val="sr-Latn-RS"/>
        </w:rPr>
        <w:t>j</w:t>
      </w:r>
      <w:r w:rsidRPr="000132D2">
        <w:rPr>
          <w:lang w:val="sr-Latn-RS"/>
        </w:rPr>
        <w:t>eka podataka. Smanjenja ili privremeni prekidi doza bili su neophodni kod po jednog pacijenta sa produžetkom QT intervala na e</w:t>
      </w:r>
      <w:r w:rsidR="00674751">
        <w:rPr>
          <w:lang w:val="sr-Latn-RS"/>
        </w:rPr>
        <w:t>l</w:t>
      </w:r>
      <w:r w:rsidR="006B0DF5">
        <w:rPr>
          <w:lang w:val="sr-Latn-RS"/>
        </w:rPr>
        <w:t>e</w:t>
      </w:r>
      <w:r w:rsidR="00674751">
        <w:rPr>
          <w:lang w:val="sr-Latn-RS"/>
        </w:rPr>
        <w:t>k</w:t>
      </w:r>
      <w:r w:rsidRPr="000132D2">
        <w:rPr>
          <w:lang w:val="sr-Latn-RS"/>
        </w:rPr>
        <w:t>trokardiogramu. Nijedan događaj produžetka QT</w:t>
      </w:r>
      <w:r w:rsidR="006B0DF5">
        <w:rPr>
          <w:lang w:val="sr-Latn-RS"/>
        </w:rPr>
        <w:t xml:space="preserve"> intervala</w:t>
      </w:r>
      <w:r w:rsidRPr="000132D2">
        <w:rPr>
          <w:lang w:val="sr-Latn-RS"/>
        </w:rPr>
        <w:t xml:space="preserve"> nije doveo do trajnog prekida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e pralsetiniba.</w:t>
      </w:r>
    </w:p>
    <w:p w14:paraId="3EEE65E8" w14:textId="77777777" w:rsidR="00593739" w:rsidRPr="000132D2" w:rsidRDefault="00593739" w:rsidP="00593739">
      <w:pPr>
        <w:pStyle w:val="BodyText"/>
        <w:spacing w:before="11"/>
        <w:jc w:val="both"/>
        <w:rPr>
          <w:sz w:val="21"/>
          <w:lang w:val="sr-Latn-RS"/>
        </w:rPr>
      </w:pPr>
    </w:p>
    <w:p w14:paraId="5AC850B1" w14:textId="77777777" w:rsidR="00593739" w:rsidRPr="000132D2" w:rsidRDefault="00593739" w:rsidP="00593739">
      <w:pPr>
        <w:ind w:left="118"/>
        <w:jc w:val="both"/>
        <w:rPr>
          <w:i/>
          <w:lang w:val="sr-Latn-RS"/>
        </w:rPr>
      </w:pPr>
      <w:r w:rsidRPr="000132D2">
        <w:rPr>
          <w:i/>
          <w:iCs/>
          <w:u w:val="single"/>
          <w:lang w:val="sr-Latn-RS"/>
        </w:rPr>
        <w:t>Infekcije</w:t>
      </w:r>
    </w:p>
    <w:p w14:paraId="51CC8738" w14:textId="77777777" w:rsidR="00593739" w:rsidRPr="000132D2" w:rsidRDefault="00593739" w:rsidP="00593739">
      <w:pPr>
        <w:pStyle w:val="BodyText"/>
        <w:spacing w:before="1"/>
        <w:jc w:val="both"/>
        <w:rPr>
          <w:i/>
          <w:sz w:val="14"/>
          <w:lang w:val="sr-Latn-RS"/>
        </w:rPr>
      </w:pPr>
    </w:p>
    <w:p w14:paraId="2E6C3EEB" w14:textId="1F6EEE23" w:rsidR="00593739" w:rsidRPr="00693D3F" w:rsidRDefault="00593739" w:rsidP="006A4869">
      <w:pPr>
        <w:pStyle w:val="BodyText"/>
        <w:spacing w:before="92" w:line="252" w:lineRule="exact"/>
        <w:ind w:left="118" w:right="118"/>
        <w:jc w:val="both"/>
        <w:rPr>
          <w:lang w:val="sr-Latn-RS"/>
        </w:rPr>
      </w:pPr>
      <w:r w:rsidRPr="000132D2">
        <w:rPr>
          <w:lang w:val="sr-Latn-RS"/>
        </w:rPr>
        <w:t xml:space="preserve">Infekcije su bile uobičajene kod </w:t>
      </w:r>
      <w:r w:rsidR="0003259C">
        <w:rPr>
          <w:lang w:val="sr-Latn-RS"/>
        </w:rPr>
        <w:t>66,1</w:t>
      </w:r>
      <w:r w:rsidRPr="000132D2">
        <w:rPr>
          <w:lang w:val="sr-Latn-RS"/>
        </w:rPr>
        <w:t>% o</w:t>
      </w:r>
      <w:r w:rsidR="00A06119">
        <w:rPr>
          <w:lang w:val="sr-Latn-RS"/>
        </w:rPr>
        <w:t xml:space="preserve">d </w:t>
      </w:r>
      <w:r w:rsidR="0003259C">
        <w:rPr>
          <w:lang w:val="sr-Latn-RS"/>
        </w:rPr>
        <w:t xml:space="preserve">540 </w:t>
      </w:r>
      <w:r w:rsidR="00A06119">
        <w:rPr>
          <w:lang w:val="sr-Latn-RS"/>
        </w:rPr>
        <w:t xml:space="preserve">pacijenata tokom medijane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>nja od</w:t>
      </w:r>
      <w:r>
        <w:rPr>
          <w:lang w:val="sr-Latn-RS"/>
        </w:rPr>
        <w:t xml:space="preserve"> </w:t>
      </w:r>
      <w:r w:rsidR="0003259C">
        <w:rPr>
          <w:lang w:val="sr-Latn-RS"/>
        </w:rPr>
        <w:t>15,9</w:t>
      </w:r>
      <w:r w:rsidRPr="000132D2">
        <w:rPr>
          <w:lang w:val="sr-Latn-RS"/>
        </w:rPr>
        <w:t xml:space="preserve"> </w:t>
      </w:r>
      <w:r w:rsidR="00513EC0">
        <w:rPr>
          <w:lang w:val="sr-Latn-RS"/>
        </w:rPr>
        <w:t>mjesec</w:t>
      </w:r>
      <w:r w:rsidRPr="000132D2">
        <w:rPr>
          <w:lang w:val="sr-Latn-RS"/>
        </w:rPr>
        <w:t xml:space="preserve">i. Najčešće (&gt;10%) </w:t>
      </w:r>
      <w:r w:rsidR="0024071C" w:rsidRPr="000132D2">
        <w:rPr>
          <w:lang w:val="sr-Latn-RS"/>
        </w:rPr>
        <w:t>prijavljivan</w:t>
      </w:r>
      <w:r w:rsidR="0024071C">
        <w:rPr>
          <w:lang w:val="sr-Latn-RS"/>
        </w:rPr>
        <w:t>e</w:t>
      </w:r>
      <w:r w:rsidR="0024071C" w:rsidRPr="000132D2">
        <w:rPr>
          <w:lang w:val="sr-Latn-RS"/>
        </w:rPr>
        <w:t xml:space="preserve"> </w:t>
      </w:r>
      <w:r w:rsidR="0024071C">
        <w:rPr>
          <w:lang w:val="sr-Latn-RS"/>
        </w:rPr>
        <w:t xml:space="preserve">bile </w:t>
      </w:r>
      <w:r w:rsidR="006B0DF5">
        <w:rPr>
          <w:lang w:val="sr-Latn-RS"/>
        </w:rPr>
        <w:t xml:space="preserve">su </w:t>
      </w:r>
      <w:r w:rsidRPr="000132D2">
        <w:rPr>
          <w:lang w:val="sr-Latn-RS"/>
        </w:rPr>
        <w:t>pneumonij</w:t>
      </w:r>
      <w:r w:rsidR="006B0DF5">
        <w:rPr>
          <w:lang w:val="sr-Latn-RS"/>
        </w:rPr>
        <w:t>a</w:t>
      </w:r>
      <w:r w:rsidRPr="000132D2">
        <w:rPr>
          <w:lang w:val="sr-Latn-RS"/>
        </w:rPr>
        <w:t xml:space="preserve"> i infekcij</w:t>
      </w:r>
      <w:r w:rsidR="006B0DF5">
        <w:rPr>
          <w:lang w:val="sr-Latn-RS"/>
        </w:rPr>
        <w:t>a</w:t>
      </w:r>
      <w:r w:rsidRPr="000132D2">
        <w:rPr>
          <w:lang w:val="sr-Latn-RS"/>
        </w:rPr>
        <w:t xml:space="preserve"> urinarnog trakta (</w:t>
      </w:r>
      <w:r w:rsidR="0003259C">
        <w:rPr>
          <w:lang w:val="sr-Latn-RS"/>
        </w:rPr>
        <w:t>22,4</w:t>
      </w:r>
      <w:r w:rsidRPr="000132D2">
        <w:rPr>
          <w:lang w:val="sr-Latn-RS"/>
        </w:rPr>
        <w:t xml:space="preserve">% odnosno </w:t>
      </w:r>
      <w:r w:rsidR="0003259C">
        <w:rPr>
          <w:lang w:val="sr-Latn-RS"/>
        </w:rPr>
        <w:t>14,8</w:t>
      </w:r>
      <w:r w:rsidRPr="000132D2">
        <w:rPr>
          <w:lang w:val="sr-Latn-RS"/>
        </w:rPr>
        <w:t xml:space="preserve">%). Većina infekcija je bila blaga (gradusa 1 ili 2) i prošle su; teška infekcija (gradusa ≥ 3) javila se kod </w:t>
      </w:r>
      <w:r w:rsidR="0003259C">
        <w:rPr>
          <w:lang w:val="sr-Latn-RS"/>
        </w:rPr>
        <w:t>30,4</w:t>
      </w:r>
      <w:r w:rsidRPr="00693D3F">
        <w:rPr>
          <w:lang w:val="sr-Latn-RS"/>
        </w:rPr>
        <w:t xml:space="preserve">% pacijenata (sa smrtnim ishodima </w:t>
      </w:r>
      <w:r w:rsidR="00297827">
        <w:rPr>
          <w:lang w:val="sr-Latn-RS"/>
        </w:rPr>
        <w:t>zabilježen</w:t>
      </w:r>
      <w:r w:rsidRPr="00693D3F">
        <w:rPr>
          <w:lang w:val="sr-Latn-RS"/>
        </w:rPr>
        <w:t xml:space="preserve">im kod </w:t>
      </w:r>
      <w:r w:rsidR="0003259C">
        <w:rPr>
          <w:lang w:val="sr-Latn-RS"/>
        </w:rPr>
        <w:t>4,1</w:t>
      </w:r>
      <w:r w:rsidRPr="00693D3F">
        <w:rPr>
          <w:lang w:val="sr-Latn-RS"/>
        </w:rPr>
        <w:t>%).</w:t>
      </w:r>
    </w:p>
    <w:p w14:paraId="09B69378" w14:textId="77777777" w:rsidR="00593739" w:rsidRPr="00693D3F" w:rsidRDefault="00593739" w:rsidP="006A4869">
      <w:pPr>
        <w:pStyle w:val="BodyText"/>
        <w:spacing w:before="11"/>
        <w:ind w:right="118"/>
        <w:jc w:val="both"/>
        <w:rPr>
          <w:sz w:val="21"/>
          <w:lang w:val="sr-Latn-RS"/>
        </w:rPr>
      </w:pPr>
    </w:p>
    <w:p w14:paraId="3C440AC2" w14:textId="0374A75F" w:rsidR="00593739" w:rsidRPr="00693D3F" w:rsidRDefault="00593739" w:rsidP="006A4869">
      <w:pPr>
        <w:pStyle w:val="BodyText"/>
        <w:ind w:left="118" w:right="118"/>
        <w:jc w:val="both"/>
        <w:rPr>
          <w:lang w:val="sr-Latn-RS"/>
        </w:rPr>
      </w:pPr>
      <w:r w:rsidRPr="00693D3F">
        <w:rPr>
          <w:lang w:val="sr-Latn-RS"/>
        </w:rPr>
        <w:t xml:space="preserve">Infekcije prijavljene kao ozbiljne javile su se kod </w:t>
      </w:r>
      <w:r w:rsidR="0003259C">
        <w:rPr>
          <w:lang w:val="sr-Latn-RS"/>
        </w:rPr>
        <w:t>18,5</w:t>
      </w:r>
      <w:r w:rsidRPr="00693D3F">
        <w:rPr>
          <w:lang w:val="sr-Latn-RS"/>
        </w:rPr>
        <w:t xml:space="preserve">% pacijenata. </w:t>
      </w:r>
      <w:r w:rsidR="0003259C" w:rsidRPr="00693D3F">
        <w:rPr>
          <w:lang w:val="sr-Latn-RS"/>
        </w:rPr>
        <w:t>Najčešć</w:t>
      </w:r>
      <w:r w:rsidR="0003259C">
        <w:rPr>
          <w:lang w:val="sr-Latn-RS"/>
        </w:rPr>
        <w:t>e</w:t>
      </w:r>
      <w:r w:rsidR="0003259C" w:rsidRPr="00693D3F">
        <w:rPr>
          <w:lang w:val="sr-Latn-RS"/>
        </w:rPr>
        <w:t xml:space="preserve"> </w:t>
      </w:r>
      <w:r w:rsidRPr="00693D3F">
        <w:rPr>
          <w:lang w:val="sr-Latn-RS"/>
        </w:rPr>
        <w:t xml:space="preserve">(&gt; 2%) </w:t>
      </w:r>
      <w:r w:rsidR="0003259C">
        <w:rPr>
          <w:lang w:val="sr-Latn-RS"/>
        </w:rPr>
        <w:t xml:space="preserve">ozbiljna </w:t>
      </w:r>
      <w:r>
        <w:rPr>
          <w:lang w:val="sr-Latn-RS"/>
        </w:rPr>
        <w:t>infekcija bila</w:t>
      </w:r>
      <w:r w:rsidRPr="00693D3F">
        <w:rPr>
          <w:lang w:val="sr-Latn-RS"/>
        </w:rPr>
        <w:t xml:space="preserve"> je pneumonija (</w:t>
      </w:r>
      <w:r w:rsidR="0003259C">
        <w:rPr>
          <w:lang w:val="sr-Latn-RS"/>
        </w:rPr>
        <w:t>15,6</w:t>
      </w:r>
      <w:r w:rsidRPr="00693D3F">
        <w:rPr>
          <w:lang w:val="sr-Latn-RS"/>
        </w:rPr>
        <w:t>%), nakon čega sl</w:t>
      </w:r>
      <w:r w:rsidR="009D7B07">
        <w:rPr>
          <w:lang w:val="sr-Latn-RS"/>
        </w:rPr>
        <w:t>ij</w:t>
      </w:r>
      <w:r w:rsidRPr="00693D3F">
        <w:rPr>
          <w:lang w:val="sr-Latn-RS"/>
        </w:rPr>
        <w:t>edi infekcija urinarnog trakta (3,</w:t>
      </w:r>
      <w:r w:rsidR="0003259C">
        <w:rPr>
          <w:lang w:val="sr-Latn-RS"/>
        </w:rPr>
        <w:t>7</w:t>
      </w:r>
      <w:r w:rsidRPr="00693D3F">
        <w:rPr>
          <w:lang w:val="sr-Latn-RS"/>
        </w:rPr>
        <w:t>%) i sepsa (</w:t>
      </w:r>
      <w:r w:rsidR="0003259C">
        <w:rPr>
          <w:lang w:val="sr-Latn-RS"/>
        </w:rPr>
        <w:t>3,7</w:t>
      </w:r>
      <w:r w:rsidRPr="00693D3F">
        <w:rPr>
          <w:lang w:val="sr-Latn-RS"/>
        </w:rPr>
        <w:t>%). Kod većine pacijenata sa sepsom istovremen</w:t>
      </w:r>
      <w:r w:rsidR="006B0DF5">
        <w:rPr>
          <w:lang w:val="sr-Latn-RS"/>
        </w:rPr>
        <w:t>o je zabilježena</w:t>
      </w:r>
      <w:r w:rsidRPr="00693D3F">
        <w:rPr>
          <w:lang w:val="sr-Latn-RS"/>
        </w:rPr>
        <w:t xml:space="preserve"> pneumonija ili infekcija urinarnog trakta.</w:t>
      </w:r>
    </w:p>
    <w:p w14:paraId="195D75BE" w14:textId="77777777" w:rsidR="00593739" w:rsidRPr="00693D3F" w:rsidRDefault="00593739" w:rsidP="00593739">
      <w:pPr>
        <w:pStyle w:val="BodyText"/>
        <w:jc w:val="both"/>
        <w:rPr>
          <w:lang w:val="sr-Latn-RS"/>
        </w:rPr>
      </w:pPr>
    </w:p>
    <w:p w14:paraId="317AB585" w14:textId="00B738AB" w:rsidR="00593739" w:rsidRPr="000132D2" w:rsidRDefault="00593739" w:rsidP="00593739">
      <w:pPr>
        <w:pStyle w:val="BodyText"/>
        <w:ind w:left="118" w:right="148"/>
        <w:jc w:val="both"/>
        <w:rPr>
          <w:lang w:val="sr-Latn-RS"/>
        </w:rPr>
      </w:pPr>
      <w:r w:rsidRPr="00693D3F">
        <w:rPr>
          <w:lang w:val="sr-Latn-RS"/>
        </w:rPr>
        <w:t xml:space="preserve">Do privremenog prekida </w:t>
      </w:r>
      <w:r w:rsidR="006B0DF5">
        <w:rPr>
          <w:lang w:val="sr-Latn-RS"/>
        </w:rPr>
        <w:t>lijeka</w:t>
      </w:r>
      <w:r w:rsidR="006B0DF5" w:rsidRPr="00693D3F">
        <w:rPr>
          <w:lang w:val="sr-Latn-RS"/>
        </w:rPr>
        <w:t xml:space="preserve"> </w:t>
      </w:r>
      <w:r w:rsidRPr="00693D3F">
        <w:rPr>
          <w:lang w:val="sr-Latn-RS"/>
        </w:rPr>
        <w:t xml:space="preserve">zbog infekcije došlo je kod </w:t>
      </w:r>
      <w:r w:rsidR="0003259C">
        <w:rPr>
          <w:lang w:val="sr-Latn-RS"/>
        </w:rPr>
        <w:t>12,8</w:t>
      </w:r>
      <w:r w:rsidRPr="00693D3F">
        <w:rPr>
          <w:lang w:val="sr-Latn-RS"/>
        </w:rPr>
        <w:t>% pacijenata (pretežno zbog</w:t>
      </w:r>
      <w:r w:rsidR="006B0DF5">
        <w:rPr>
          <w:lang w:val="sr-Latn-RS"/>
        </w:rPr>
        <w:t>,,</w:t>
      </w:r>
      <w:r w:rsidR="0003259C" w:rsidRPr="00693D3F">
        <w:rPr>
          <w:lang w:val="sr-Latn-RS"/>
        </w:rPr>
        <w:t>pneumonij</w:t>
      </w:r>
      <w:r w:rsidR="0003259C">
        <w:rPr>
          <w:lang w:val="sr-Latn-RS"/>
        </w:rPr>
        <w:t>e</w:t>
      </w:r>
      <w:r w:rsidR="006B0DF5">
        <w:rPr>
          <w:lang w:val="sr-Latn-RS"/>
        </w:rPr>
        <w:t>“</w:t>
      </w:r>
      <w:r w:rsidRPr="00693D3F">
        <w:rPr>
          <w:lang w:val="sr-Latn-RS"/>
        </w:rPr>
        <w:t xml:space="preserve"> [</w:t>
      </w:r>
      <w:r w:rsidR="0003259C">
        <w:rPr>
          <w:lang w:val="sr-Latn-RS"/>
        </w:rPr>
        <w:t>10,9</w:t>
      </w:r>
      <w:r w:rsidRPr="00693D3F">
        <w:rPr>
          <w:lang w:val="sr-Latn-RS"/>
        </w:rPr>
        <w:t xml:space="preserve">%] i </w:t>
      </w:r>
      <w:r w:rsidR="006B0DF5">
        <w:rPr>
          <w:lang w:val="sr-Latn-RS"/>
        </w:rPr>
        <w:t>,,</w:t>
      </w:r>
      <w:r w:rsidR="0003259C" w:rsidRPr="00693D3F">
        <w:rPr>
          <w:lang w:val="sr-Latn-RS"/>
        </w:rPr>
        <w:t>infekcij</w:t>
      </w:r>
      <w:r w:rsidR="0003259C">
        <w:rPr>
          <w:lang w:val="sr-Latn-RS"/>
        </w:rPr>
        <w:t>e</w:t>
      </w:r>
      <w:r w:rsidR="0003259C" w:rsidRPr="00693D3F">
        <w:rPr>
          <w:lang w:val="sr-Latn-RS"/>
        </w:rPr>
        <w:t xml:space="preserve"> </w:t>
      </w:r>
      <w:r w:rsidRPr="00693D3F">
        <w:rPr>
          <w:lang w:val="sr-Latn-RS"/>
        </w:rPr>
        <w:t>urinarnog trakta</w:t>
      </w:r>
      <w:r w:rsidR="006B0DF5">
        <w:rPr>
          <w:lang w:val="sr-Latn-RS"/>
        </w:rPr>
        <w:t>“</w:t>
      </w:r>
      <w:r w:rsidRPr="00693D3F">
        <w:rPr>
          <w:lang w:val="sr-Latn-RS"/>
        </w:rPr>
        <w:t xml:space="preserve"> [2,</w:t>
      </w:r>
      <w:r w:rsidR="0003259C">
        <w:rPr>
          <w:lang w:val="sr-Latn-RS"/>
        </w:rPr>
        <w:t>6</w:t>
      </w:r>
      <w:r w:rsidRPr="00693D3F">
        <w:rPr>
          <w:lang w:val="sr-Latn-RS"/>
        </w:rPr>
        <w:t>%]). Doza je smanjena zbog infekcije kod 3,</w:t>
      </w:r>
      <w:r w:rsidR="0003259C">
        <w:rPr>
          <w:lang w:val="sr-Latn-RS"/>
        </w:rPr>
        <w:t>7</w:t>
      </w:r>
      <w:r w:rsidRPr="00693D3F">
        <w:rPr>
          <w:lang w:val="sr-Latn-RS"/>
        </w:rPr>
        <w:t xml:space="preserve">% pacijenata (pretežno zbog </w:t>
      </w:r>
      <w:r w:rsidR="006B0DF5">
        <w:rPr>
          <w:lang w:val="sr-Latn-RS"/>
        </w:rPr>
        <w:t>„</w:t>
      </w:r>
      <w:r w:rsidR="0003259C" w:rsidRPr="00693D3F">
        <w:rPr>
          <w:lang w:val="sr-Latn-RS"/>
        </w:rPr>
        <w:t>pneumonij</w:t>
      </w:r>
      <w:r w:rsidR="0003259C">
        <w:rPr>
          <w:lang w:val="sr-Latn-RS"/>
        </w:rPr>
        <w:t>e</w:t>
      </w:r>
      <w:r w:rsidR="006B0DF5">
        <w:rPr>
          <w:lang w:val="sr-Latn-RS"/>
        </w:rPr>
        <w:t>“</w:t>
      </w:r>
      <w:r w:rsidRPr="00693D3F">
        <w:rPr>
          <w:lang w:val="sr-Latn-RS"/>
        </w:rPr>
        <w:t xml:space="preserve"> [</w:t>
      </w:r>
      <w:r w:rsidR="0003259C">
        <w:rPr>
          <w:lang w:val="sr-Latn-RS"/>
        </w:rPr>
        <w:t>3,5</w:t>
      </w:r>
      <w:r w:rsidRPr="00693D3F">
        <w:rPr>
          <w:lang w:val="sr-Latn-RS"/>
        </w:rPr>
        <w:t xml:space="preserve">%]). Trajan prekid doze bio je neophodan kod </w:t>
      </w:r>
      <w:r w:rsidR="0003259C">
        <w:rPr>
          <w:lang w:val="sr-Latn-RS"/>
        </w:rPr>
        <w:t>2,6</w:t>
      </w:r>
      <w:r w:rsidRPr="00693D3F">
        <w:rPr>
          <w:lang w:val="sr-Latn-RS"/>
        </w:rPr>
        <w:t>% pacijenata zbog infekcija (pretežno zbog pneumonije [</w:t>
      </w:r>
      <w:r w:rsidR="0003259C">
        <w:rPr>
          <w:lang w:val="sr-Latn-RS"/>
        </w:rPr>
        <w:t>2,6</w:t>
      </w:r>
      <w:r w:rsidRPr="00693D3F">
        <w:rPr>
          <w:lang w:val="sr-Latn-RS"/>
        </w:rPr>
        <w:t>%]).</w:t>
      </w:r>
    </w:p>
    <w:p w14:paraId="4B926B55" w14:textId="77777777" w:rsidR="00593739" w:rsidRDefault="00593739" w:rsidP="00593739">
      <w:pPr>
        <w:pStyle w:val="BodyText"/>
        <w:spacing w:before="2"/>
        <w:jc w:val="both"/>
        <w:rPr>
          <w:lang w:val="sr-Latn-RS"/>
        </w:rPr>
      </w:pPr>
    </w:p>
    <w:p w14:paraId="4B2C88AD" w14:textId="77777777" w:rsidR="00593739" w:rsidRDefault="00593739" w:rsidP="00593739">
      <w:pPr>
        <w:ind w:left="118"/>
        <w:jc w:val="both"/>
        <w:rPr>
          <w:i/>
          <w:iCs/>
          <w:u w:val="single"/>
          <w:lang w:val="sr-Latn-RS"/>
        </w:rPr>
      </w:pPr>
    </w:p>
    <w:p w14:paraId="068424CD" w14:textId="77777777" w:rsidR="00593739" w:rsidRDefault="00593739" w:rsidP="00593739">
      <w:pPr>
        <w:ind w:left="118"/>
        <w:jc w:val="both"/>
        <w:rPr>
          <w:i/>
          <w:iCs/>
          <w:u w:val="single"/>
          <w:lang w:val="sr-Latn-RS"/>
        </w:rPr>
      </w:pPr>
    </w:p>
    <w:p w14:paraId="168478AF" w14:textId="77777777" w:rsidR="00593739" w:rsidRPr="000132D2" w:rsidRDefault="00593739" w:rsidP="00593739">
      <w:pPr>
        <w:ind w:left="118"/>
        <w:jc w:val="both"/>
        <w:rPr>
          <w:i/>
          <w:lang w:val="sr-Latn-RS"/>
        </w:rPr>
      </w:pPr>
      <w:r w:rsidRPr="000132D2">
        <w:rPr>
          <w:i/>
          <w:iCs/>
          <w:u w:val="single"/>
          <w:lang w:val="sr-Latn-RS"/>
        </w:rPr>
        <w:t>Starije osobe</w:t>
      </w:r>
    </w:p>
    <w:p w14:paraId="73168B7E" w14:textId="77777777" w:rsidR="00593739" w:rsidRPr="000132D2" w:rsidRDefault="00593739" w:rsidP="00593739">
      <w:pPr>
        <w:pStyle w:val="BodyText"/>
        <w:spacing w:before="1"/>
        <w:jc w:val="both"/>
        <w:rPr>
          <w:i/>
          <w:sz w:val="14"/>
          <w:lang w:val="sr-Latn-RS"/>
        </w:rPr>
      </w:pPr>
    </w:p>
    <w:p w14:paraId="42F24A46" w14:textId="40DF7A38" w:rsidR="00593739" w:rsidRPr="000132D2" w:rsidRDefault="00593739" w:rsidP="00B13662">
      <w:pPr>
        <w:pStyle w:val="BodyText"/>
        <w:spacing w:before="91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U ispitivanju ARROW (N = </w:t>
      </w:r>
      <w:r w:rsidR="0003259C">
        <w:rPr>
          <w:lang w:val="sr-Latn-RS"/>
        </w:rPr>
        <w:t>540</w:t>
      </w:r>
      <w:r w:rsidRPr="000132D2">
        <w:rPr>
          <w:lang w:val="sr-Latn-RS"/>
        </w:rPr>
        <w:t xml:space="preserve">), </w:t>
      </w:r>
      <w:r w:rsidR="0003259C">
        <w:rPr>
          <w:lang w:val="sr-Latn-RS"/>
        </w:rPr>
        <w:t>30,9</w:t>
      </w:r>
      <w:r w:rsidRPr="000132D2">
        <w:rPr>
          <w:lang w:val="sr-Latn-RS"/>
        </w:rPr>
        <w:t>% pacijenata imalo je 65 godina i više. U poređenju sa mlađim pacijentima (mlađim od 65 godina), više pacijenata ≥ 65 godina imalo je neželjene reakcije koje su dovele do trajnog prekida doze (</w:t>
      </w:r>
      <w:r w:rsidR="0003259C">
        <w:rPr>
          <w:lang w:val="sr-Latn-RS"/>
        </w:rPr>
        <w:t>29,3</w:t>
      </w:r>
      <w:r w:rsidRPr="000132D2">
        <w:rPr>
          <w:lang w:val="sr-Latn-RS"/>
        </w:rPr>
        <w:t xml:space="preserve">% u poređenju sa </w:t>
      </w:r>
      <w:r w:rsidR="0003259C">
        <w:rPr>
          <w:lang w:val="sr-Latn-RS"/>
        </w:rPr>
        <w:t>18,8</w:t>
      </w:r>
      <w:r w:rsidRPr="000132D2">
        <w:rPr>
          <w:lang w:val="sr-Latn-RS"/>
        </w:rPr>
        <w:t>%). Od obično prijavljivanih događaja sa većom incidencom kod</w:t>
      </w:r>
      <w:r>
        <w:rPr>
          <w:lang w:val="sr-Latn-RS"/>
        </w:rPr>
        <w:t xml:space="preserve"> </w:t>
      </w:r>
      <w:r w:rsidRPr="000132D2">
        <w:rPr>
          <w:lang w:val="sr-Latn-RS"/>
        </w:rPr>
        <w:t>starijih pacijenata (≥ 65), najveća razlika je u slučaju hipertenzije u poređenju sa pacijentima mlađim od 65 godina. Ipak, hipertenzija se i inače očekuje češće kod starije populacije.</w:t>
      </w:r>
    </w:p>
    <w:p w14:paraId="64182FAD" w14:textId="08ED4AC1" w:rsidR="00593739" w:rsidRPr="000132D2" w:rsidRDefault="00593739" w:rsidP="00B13662">
      <w:pPr>
        <w:pStyle w:val="BodyText"/>
        <w:ind w:left="118" w:right="238"/>
        <w:jc w:val="both"/>
        <w:rPr>
          <w:lang w:val="sr-Latn-RS"/>
        </w:rPr>
      </w:pPr>
      <w:r w:rsidRPr="000132D2">
        <w:rPr>
          <w:lang w:val="sr-Latn-RS"/>
        </w:rPr>
        <w:t xml:space="preserve">Kod starijih pacijenata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o je više neželjenih reakcija gradusa 3 ili višeg u poređenju sa</w:t>
      </w:r>
      <w:r w:rsidR="0020681F">
        <w:rPr>
          <w:lang w:val="sr-Latn-RS"/>
        </w:rPr>
        <w:t xml:space="preserve"> </w:t>
      </w:r>
      <w:r w:rsidRPr="000132D2">
        <w:rPr>
          <w:lang w:val="sr-Latn-RS"/>
        </w:rPr>
        <w:t>mlađim pacijentima (</w:t>
      </w:r>
      <w:r w:rsidR="0003259C">
        <w:rPr>
          <w:lang w:val="sr-Latn-RS"/>
        </w:rPr>
        <w:t>89,8</w:t>
      </w:r>
      <w:r w:rsidRPr="000132D2">
        <w:rPr>
          <w:lang w:val="sr-Latn-RS"/>
        </w:rPr>
        <w:t xml:space="preserve">% u poređenju sa </w:t>
      </w:r>
      <w:r w:rsidR="0003259C">
        <w:rPr>
          <w:lang w:val="sr-Latn-RS"/>
        </w:rPr>
        <w:t>78,3</w:t>
      </w:r>
      <w:r w:rsidRPr="000132D2">
        <w:rPr>
          <w:lang w:val="sr-Latn-RS"/>
        </w:rPr>
        <w:t>%).</w:t>
      </w:r>
    </w:p>
    <w:p w14:paraId="0EE9EE4C" w14:textId="77777777" w:rsidR="00593739" w:rsidRPr="000132D2" w:rsidRDefault="00593739" w:rsidP="00593739">
      <w:pPr>
        <w:pStyle w:val="BodyText"/>
        <w:spacing w:before="2"/>
        <w:jc w:val="both"/>
        <w:rPr>
          <w:lang w:val="sr-Latn-RS"/>
        </w:rPr>
      </w:pPr>
    </w:p>
    <w:p w14:paraId="465C5553" w14:textId="77777777" w:rsidR="00593739" w:rsidRPr="00786071" w:rsidRDefault="00593739" w:rsidP="00593739">
      <w:pPr>
        <w:spacing w:after="200" w:line="276" w:lineRule="auto"/>
        <w:ind w:left="118"/>
        <w:rPr>
          <w:rFonts w:eastAsia="Calibri"/>
          <w:u w:val="single"/>
          <w:lang w:val="sr-Latn-RS"/>
        </w:rPr>
      </w:pPr>
      <w:r w:rsidRPr="00786071">
        <w:rPr>
          <w:rFonts w:eastAsia="Calibri"/>
          <w:u w:val="single"/>
          <w:lang w:val="sr-Latn-RS"/>
        </w:rPr>
        <w:t>Prijavljivanje sumnji na neželjena dejstva</w:t>
      </w:r>
    </w:p>
    <w:p w14:paraId="5F423D6C" w14:textId="77777777" w:rsidR="00593739" w:rsidRPr="00786071" w:rsidRDefault="00593739" w:rsidP="00B13662">
      <w:pPr>
        <w:spacing w:after="200"/>
        <w:ind w:left="118" w:right="238"/>
        <w:jc w:val="both"/>
        <w:rPr>
          <w:rFonts w:eastAsia="Calibri"/>
          <w:lang w:val="sr-Latn-RS"/>
        </w:rPr>
      </w:pPr>
      <w:r w:rsidRPr="00786071">
        <w:rPr>
          <w:rFonts w:eastAsia="Calibri"/>
          <w:lang w:val="sr-Latn-RS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>
        <w:rPr>
          <w:rFonts w:eastAsia="Calibri"/>
          <w:lang w:val="sr-Latn-RS"/>
        </w:rPr>
        <w:t>Institutu</w:t>
      </w:r>
      <w:r w:rsidRPr="00786071">
        <w:rPr>
          <w:rFonts w:eastAsia="Calibri"/>
          <w:lang w:val="sr-Latn-RS"/>
        </w:rPr>
        <w:t xml:space="preserve"> za ljekove i medicinska sredstva</w:t>
      </w:r>
      <w:r>
        <w:rPr>
          <w:rFonts w:eastAsia="Calibri"/>
          <w:lang w:val="sr-Latn-RS"/>
        </w:rPr>
        <w:t xml:space="preserve"> </w:t>
      </w:r>
      <w:r w:rsidRPr="00786071">
        <w:rPr>
          <w:rFonts w:eastAsia="Calibri"/>
          <w:lang w:val="sr-Latn-RS"/>
        </w:rPr>
        <w:t>(C</w:t>
      </w:r>
      <w:r>
        <w:rPr>
          <w:rFonts w:eastAsia="Calibri"/>
          <w:lang w:val="sr-Latn-RS"/>
        </w:rPr>
        <w:t>InMED</w:t>
      </w:r>
      <w:r w:rsidRPr="00786071">
        <w:rPr>
          <w:rFonts w:eastAsia="Calibri"/>
          <w:lang w:val="sr-Latn-RS"/>
        </w:rPr>
        <w:t>):</w:t>
      </w:r>
    </w:p>
    <w:p w14:paraId="0B3B4422" w14:textId="77777777" w:rsidR="00593739" w:rsidRPr="00786071" w:rsidRDefault="00593739" w:rsidP="00B13662">
      <w:pPr>
        <w:pStyle w:val="NoSpacing"/>
        <w:ind w:left="118" w:right="238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 </w:t>
      </w:r>
    </w:p>
    <w:p w14:paraId="7BB19567" w14:textId="77777777" w:rsidR="00593739" w:rsidRPr="00786071" w:rsidRDefault="00593739" w:rsidP="00B13662">
      <w:pPr>
        <w:pStyle w:val="NoSpacing"/>
        <w:ind w:left="118" w:right="238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66BD9471" w14:textId="77777777" w:rsidR="00593739" w:rsidRPr="00786071" w:rsidRDefault="00593739" w:rsidP="00B13662">
      <w:pPr>
        <w:pStyle w:val="NoSpacing"/>
        <w:ind w:left="118" w:right="238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11F48EFE" w14:textId="77777777" w:rsidR="00593739" w:rsidRPr="00786071" w:rsidRDefault="00593739" w:rsidP="00593739">
      <w:pPr>
        <w:pStyle w:val="NoSpacing"/>
        <w:ind w:left="118"/>
        <w:rPr>
          <w:rFonts w:eastAsia="Calibri"/>
          <w:sz w:val="22"/>
          <w:szCs w:val="22"/>
          <w:lang w:val="sr-Latn-RS"/>
        </w:rPr>
      </w:pPr>
    </w:p>
    <w:p w14:paraId="6E1E54E0" w14:textId="77777777" w:rsidR="00593739" w:rsidRPr="00786071" w:rsidRDefault="00593739" w:rsidP="00593739">
      <w:pPr>
        <w:pStyle w:val="NoSpacing"/>
        <w:ind w:left="118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1CAB14D5" w14:textId="77777777" w:rsidR="00593739" w:rsidRPr="00786071" w:rsidRDefault="00593739" w:rsidP="00593739">
      <w:pPr>
        <w:pStyle w:val="NoSpacing"/>
        <w:ind w:left="118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 +382 (0) 20 310 581</w:t>
      </w:r>
    </w:p>
    <w:p w14:paraId="6A4AE1CE" w14:textId="77777777" w:rsidR="00593739" w:rsidRPr="00786071" w:rsidRDefault="00E00399" w:rsidP="00593739">
      <w:pPr>
        <w:pStyle w:val="NoSpacing"/>
        <w:ind w:left="118"/>
        <w:jc w:val="both"/>
        <w:rPr>
          <w:rFonts w:eastAsia="Calibri"/>
          <w:sz w:val="22"/>
          <w:szCs w:val="22"/>
          <w:lang w:val="sr-Latn-RS"/>
        </w:rPr>
      </w:pPr>
      <w:hyperlink r:id="rId15" w:history="1">
        <w:r w:rsidR="00593739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55C57F0A" w14:textId="77777777" w:rsidR="00593739" w:rsidRPr="00786071" w:rsidRDefault="00E00399" w:rsidP="00593739">
      <w:pPr>
        <w:pStyle w:val="NoSpacing"/>
        <w:ind w:left="118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6" w:history="1">
        <w:r w:rsidR="00593739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14A78F5B" w14:textId="3FFAD968" w:rsidR="00593739" w:rsidRDefault="00593739" w:rsidP="00593739">
      <w:pPr>
        <w:pStyle w:val="NoSpacing"/>
        <w:ind w:left="118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64D6674F" w14:textId="77777777" w:rsidR="0024071C" w:rsidRDefault="0024071C" w:rsidP="0024071C">
      <w:pPr>
        <w:pStyle w:val="NoSpacing"/>
        <w:spacing w:line="480" w:lineRule="auto"/>
        <w:ind w:left="142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QR kod za online prijavu sumnje na neželjeno dejstvo lijeka:</w:t>
      </w:r>
    </w:p>
    <w:p w14:paraId="10462E93" w14:textId="6D08ADE0" w:rsidR="0024071C" w:rsidRDefault="0024071C" w:rsidP="0024071C">
      <w:pPr>
        <w:pStyle w:val="NoSpacing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</w:t>
      </w:r>
      <w:r>
        <w:rPr>
          <w:noProof/>
          <w:sz w:val="22"/>
          <w:szCs w:val="22"/>
        </w:rPr>
        <w:drawing>
          <wp:inline distT="0" distB="0" distL="0" distR="0" wp14:anchorId="37F59EB5" wp14:editId="700597E3">
            <wp:extent cx="969645" cy="969645"/>
            <wp:effectExtent l="0" t="0" r="1905" b="1905"/>
            <wp:docPr id="4" name="Picture 4" descr="cid:image005.png@01D95809.5CBF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5.png@01D95809.5CBF214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33C62" w14:textId="3ABA5E36" w:rsidR="0024071C" w:rsidRPr="00786071" w:rsidRDefault="0024071C" w:rsidP="009D4D0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290EF8F" w14:textId="77777777" w:rsidR="00593739" w:rsidRPr="000132D2" w:rsidRDefault="00593739" w:rsidP="00593739">
      <w:pPr>
        <w:pStyle w:val="BodyText"/>
        <w:spacing w:before="5"/>
        <w:ind w:left="118"/>
        <w:jc w:val="both"/>
        <w:rPr>
          <w:sz w:val="14"/>
          <w:lang w:val="sr-Latn-RS"/>
        </w:rPr>
      </w:pPr>
    </w:p>
    <w:p w14:paraId="4D430668" w14:textId="77777777" w:rsidR="00593739" w:rsidRPr="000132D2" w:rsidRDefault="00593739" w:rsidP="00593739">
      <w:pPr>
        <w:pStyle w:val="Heading1"/>
        <w:tabs>
          <w:tab w:val="left" w:pos="685"/>
        </w:tabs>
        <w:spacing w:before="91"/>
        <w:ind w:left="118" w:firstLine="0"/>
        <w:jc w:val="both"/>
        <w:rPr>
          <w:lang w:val="sr-Latn-RS"/>
        </w:rPr>
      </w:pPr>
      <w:r>
        <w:rPr>
          <w:lang w:val="sr-Latn-RS"/>
        </w:rPr>
        <w:t xml:space="preserve">4.9. </w:t>
      </w:r>
      <w:r w:rsidRPr="000132D2">
        <w:rPr>
          <w:lang w:val="sr-Latn-RS"/>
        </w:rPr>
        <w:t>Predoziranje</w:t>
      </w:r>
    </w:p>
    <w:p w14:paraId="1F59AC3C" w14:textId="77777777" w:rsidR="00593739" w:rsidRPr="000132D2" w:rsidRDefault="00593739" w:rsidP="00593739">
      <w:pPr>
        <w:pStyle w:val="BodyText"/>
        <w:spacing w:before="8"/>
        <w:jc w:val="both"/>
        <w:rPr>
          <w:b/>
          <w:sz w:val="21"/>
          <w:lang w:val="sr-Latn-RS"/>
        </w:rPr>
      </w:pPr>
    </w:p>
    <w:p w14:paraId="4E313537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Simptomi</w:t>
      </w:r>
    </w:p>
    <w:p w14:paraId="50D35A64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573F9F3E" w14:textId="18FAEC50" w:rsidR="00593739" w:rsidRPr="000132D2" w:rsidRDefault="00593739" w:rsidP="00593739">
      <w:pPr>
        <w:pStyle w:val="BodyText"/>
        <w:spacing w:before="92"/>
        <w:ind w:left="118" w:right="154"/>
        <w:jc w:val="both"/>
        <w:rPr>
          <w:lang w:val="sr-Latn-RS"/>
        </w:rPr>
      </w:pPr>
      <w:r w:rsidRPr="000132D2">
        <w:rPr>
          <w:lang w:val="sr-Latn-RS"/>
        </w:rPr>
        <w:t xml:space="preserve">U kliničkim ispitivanjima pralsetiniba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i slučajevi predoziranja. Maksimalna doza pralsetiniba koja je klinički proučavana iznosi 600 mg oralno jednom dnevno. Neželjene reakcije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e za ovu dozu su bile u skladu sa bezb</w:t>
      </w:r>
      <w:r w:rsidR="00513EC0">
        <w:rPr>
          <w:lang w:val="sr-Latn-RS"/>
        </w:rPr>
        <w:t>j</w:t>
      </w:r>
      <w:r w:rsidRPr="000132D2">
        <w:rPr>
          <w:lang w:val="sr-Latn-RS"/>
        </w:rPr>
        <w:t>ednosnim profilom za 400 mg jednom dnevno (</w:t>
      </w:r>
      <w:r w:rsidR="006F26F4">
        <w:rPr>
          <w:lang w:val="sr-Latn-RS"/>
        </w:rPr>
        <w:t>vidjeti</w:t>
      </w:r>
      <w:r w:rsidR="006F26F4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4.8).</w:t>
      </w:r>
    </w:p>
    <w:p w14:paraId="3ECD0376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5A0A9BF5" w14:textId="722C16E5" w:rsidR="00593739" w:rsidRPr="000132D2" w:rsidRDefault="00573A31" w:rsidP="00593739">
      <w:pPr>
        <w:pStyle w:val="BodyText"/>
        <w:spacing w:before="1"/>
        <w:ind w:left="118"/>
        <w:jc w:val="both"/>
        <w:rPr>
          <w:lang w:val="sr-Latn-RS"/>
        </w:rPr>
      </w:pPr>
      <w:r>
        <w:rPr>
          <w:u w:val="single"/>
          <w:lang w:val="sr-Latn-RS"/>
        </w:rPr>
        <w:t>Liječe</w:t>
      </w:r>
      <w:r w:rsidR="00593739" w:rsidRPr="000132D2">
        <w:rPr>
          <w:u w:val="single"/>
          <w:lang w:val="sr-Latn-RS"/>
        </w:rPr>
        <w:t>nje</w:t>
      </w:r>
    </w:p>
    <w:p w14:paraId="640DFAE4" w14:textId="77777777" w:rsidR="00593739" w:rsidRPr="000132D2" w:rsidRDefault="00593739" w:rsidP="00593739">
      <w:pPr>
        <w:pStyle w:val="BodyText"/>
        <w:spacing w:before="9"/>
        <w:jc w:val="both"/>
        <w:rPr>
          <w:sz w:val="13"/>
          <w:lang w:val="sr-Latn-RS"/>
        </w:rPr>
      </w:pPr>
    </w:p>
    <w:p w14:paraId="075EE475" w14:textId="280552EA" w:rsidR="00593739" w:rsidRPr="000132D2" w:rsidRDefault="00593739" w:rsidP="00593739">
      <w:pPr>
        <w:pStyle w:val="BodyText"/>
        <w:spacing w:before="92"/>
        <w:ind w:left="118" w:right="234"/>
        <w:jc w:val="both"/>
        <w:rPr>
          <w:lang w:val="sr-Latn-RS"/>
        </w:rPr>
      </w:pPr>
      <w:r w:rsidRPr="000132D2">
        <w:rPr>
          <w:lang w:val="sr-Latn-RS"/>
        </w:rPr>
        <w:t xml:space="preserve">Ne postoji poznati antidot za predoziranje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om Gavreto. U slučaju sumnje na predoziranje,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 Gavreto treba privremeno prekinuti i treba uvesti suportivnu terapiju. </w:t>
      </w:r>
      <w:r w:rsidR="006F26F4">
        <w:rPr>
          <w:rStyle w:val="markedcontent"/>
        </w:rPr>
        <w:t>S obzirom na velik</w:t>
      </w:r>
      <w:r w:rsidR="009D7B07">
        <w:rPr>
          <w:rStyle w:val="markedcontent"/>
        </w:rPr>
        <w:t>i</w:t>
      </w:r>
      <w:r w:rsidR="006F26F4">
        <w:rPr>
          <w:rStyle w:val="markedcontent"/>
        </w:rPr>
        <w:t xml:space="preserve"> volumen</w:t>
      </w:r>
      <w:r w:rsidR="006F26F4">
        <w:br/>
      </w:r>
      <w:r w:rsidR="006F26F4">
        <w:rPr>
          <w:rStyle w:val="markedcontent"/>
        </w:rPr>
        <w:t>distribucije pralsetiniba i opsežno vezivanje za proteine</w:t>
      </w:r>
      <w:r w:rsidRPr="000132D2">
        <w:rPr>
          <w:lang w:val="sr-Latn-RS"/>
        </w:rPr>
        <w:t>, dijaliza ne bi trebalo da dovede do značajnog uklanjanja pralsetiniba.</w:t>
      </w:r>
    </w:p>
    <w:p w14:paraId="5E6F17FF" w14:textId="77777777" w:rsidR="00593739" w:rsidRPr="000132D2" w:rsidRDefault="00593739" w:rsidP="00593739">
      <w:pPr>
        <w:pStyle w:val="BodyText"/>
        <w:jc w:val="both"/>
        <w:rPr>
          <w:sz w:val="24"/>
          <w:lang w:val="sr-Latn-RS"/>
        </w:rPr>
      </w:pPr>
    </w:p>
    <w:p w14:paraId="66F87404" w14:textId="77777777" w:rsidR="00593739" w:rsidRPr="000132D2" w:rsidRDefault="00593739" w:rsidP="00593739">
      <w:pPr>
        <w:pStyle w:val="BodyText"/>
        <w:spacing w:before="7"/>
        <w:jc w:val="both"/>
        <w:rPr>
          <w:sz w:val="20"/>
          <w:lang w:val="sr-Latn-RS"/>
        </w:rPr>
      </w:pPr>
    </w:p>
    <w:p w14:paraId="6487AA3F" w14:textId="77777777" w:rsidR="00593739" w:rsidRPr="000132D2" w:rsidRDefault="00593739" w:rsidP="00593739">
      <w:pPr>
        <w:pStyle w:val="Heading1"/>
        <w:tabs>
          <w:tab w:val="left" w:pos="685"/>
          <w:tab w:val="left" w:pos="686"/>
        </w:tabs>
        <w:spacing w:before="1"/>
        <w:jc w:val="both"/>
        <w:rPr>
          <w:lang w:val="sr-Latn-RS"/>
        </w:rPr>
      </w:pPr>
      <w:r>
        <w:rPr>
          <w:lang w:val="sr-Latn-RS"/>
        </w:rPr>
        <w:t xml:space="preserve">5. </w:t>
      </w:r>
      <w:r w:rsidRPr="000132D2">
        <w:rPr>
          <w:lang w:val="sr-Latn-RS"/>
        </w:rPr>
        <w:t>FARMAKOLOŠKI PODACI</w:t>
      </w:r>
    </w:p>
    <w:p w14:paraId="439B2933" w14:textId="77777777" w:rsidR="00593739" w:rsidRPr="000132D2" w:rsidRDefault="00593739" w:rsidP="00593739">
      <w:pPr>
        <w:pStyle w:val="BodyText"/>
        <w:spacing w:before="9"/>
        <w:jc w:val="both"/>
        <w:rPr>
          <w:b/>
          <w:sz w:val="21"/>
          <w:lang w:val="sr-Latn-RS"/>
        </w:rPr>
      </w:pPr>
    </w:p>
    <w:p w14:paraId="32885C19" w14:textId="77777777" w:rsidR="00593739" w:rsidRPr="00F77EB1" w:rsidRDefault="00593739" w:rsidP="00593739">
      <w:pPr>
        <w:tabs>
          <w:tab w:val="left" w:pos="685"/>
          <w:tab w:val="left" w:pos="686"/>
        </w:tabs>
        <w:jc w:val="both"/>
        <w:rPr>
          <w:b/>
          <w:lang w:val="sr-Latn-RS"/>
        </w:rPr>
      </w:pPr>
      <w:r>
        <w:rPr>
          <w:b/>
          <w:bCs/>
          <w:lang w:val="sr-Latn-RS"/>
        </w:rPr>
        <w:t xml:space="preserve">  5.1. </w:t>
      </w:r>
      <w:r w:rsidRPr="00F77EB1">
        <w:rPr>
          <w:b/>
          <w:bCs/>
          <w:lang w:val="sr-Latn-RS"/>
        </w:rPr>
        <w:t>Farmakodinamski podaci</w:t>
      </w:r>
    </w:p>
    <w:p w14:paraId="34420B5E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6B26018A" w14:textId="77777777" w:rsidR="00593739" w:rsidRDefault="00593739" w:rsidP="00593739">
      <w:pPr>
        <w:pStyle w:val="BodyText"/>
        <w:spacing w:line="480" w:lineRule="auto"/>
        <w:ind w:left="118" w:right="484"/>
        <w:jc w:val="both"/>
        <w:rPr>
          <w:lang w:val="sr-Latn-RS"/>
        </w:rPr>
      </w:pPr>
      <w:r w:rsidRPr="000132D2">
        <w:rPr>
          <w:lang w:val="sr-Latn-RS"/>
        </w:rPr>
        <w:t>Farmakoterapeutska grupa: antineoplastici, inhibitori protein kinaze</w:t>
      </w:r>
    </w:p>
    <w:p w14:paraId="79D0B878" w14:textId="7ECB250E" w:rsidR="00593739" w:rsidRDefault="00593739" w:rsidP="00593739">
      <w:pPr>
        <w:pStyle w:val="BodyText"/>
        <w:spacing w:line="480" w:lineRule="auto"/>
        <w:ind w:left="118" w:right="484"/>
        <w:jc w:val="both"/>
        <w:rPr>
          <w:lang w:val="sr-Latn-RS"/>
        </w:rPr>
      </w:pPr>
      <w:r w:rsidRPr="000132D2">
        <w:rPr>
          <w:lang w:val="sr-Latn-RS"/>
        </w:rPr>
        <w:t xml:space="preserve">ATC </w:t>
      </w:r>
      <w:r>
        <w:rPr>
          <w:lang w:val="sr-Latn-RS"/>
        </w:rPr>
        <w:t>kod</w:t>
      </w:r>
      <w:r w:rsidRPr="000132D2">
        <w:rPr>
          <w:lang w:val="sr-Latn-RS"/>
        </w:rPr>
        <w:t>: L01EX23</w:t>
      </w:r>
    </w:p>
    <w:p w14:paraId="64BAD848" w14:textId="15E12838" w:rsidR="00593739" w:rsidRPr="000132D2" w:rsidRDefault="00593739" w:rsidP="00593739">
      <w:pPr>
        <w:pStyle w:val="BodyText"/>
        <w:spacing w:line="480" w:lineRule="auto"/>
        <w:ind w:left="118" w:right="484"/>
        <w:jc w:val="both"/>
        <w:rPr>
          <w:lang w:val="sr-Latn-RS"/>
        </w:rPr>
      </w:pPr>
      <w:r w:rsidRPr="000132D2">
        <w:rPr>
          <w:u w:val="single"/>
          <w:lang w:val="sr-Latn-RS"/>
        </w:rPr>
        <w:t>Mehanizam dejstva</w:t>
      </w:r>
    </w:p>
    <w:p w14:paraId="6F0838C4" w14:textId="52C8901F" w:rsidR="00593739" w:rsidRPr="000132D2" w:rsidRDefault="00593739" w:rsidP="00B13662">
      <w:pPr>
        <w:pStyle w:val="BodyText"/>
        <w:tabs>
          <w:tab w:val="left" w:pos="9072"/>
        </w:tabs>
        <w:spacing w:before="1"/>
        <w:ind w:left="118" w:right="208"/>
        <w:jc w:val="both"/>
        <w:rPr>
          <w:lang w:val="sr-Latn-RS"/>
        </w:rPr>
      </w:pPr>
      <w:r w:rsidRPr="000132D2">
        <w:rPr>
          <w:lang w:val="sr-Latn-RS"/>
        </w:rPr>
        <w:t xml:space="preserve">Pralsetinib je snažan inhibitor proteinske kinaze koji </w:t>
      </w:r>
      <w:r w:rsidR="00823954">
        <w:rPr>
          <w:lang w:val="sr-Latn-RS"/>
        </w:rPr>
        <w:t>selektivno</w:t>
      </w:r>
      <w:r w:rsidRPr="000132D2">
        <w:rPr>
          <w:lang w:val="sr-Latn-RS"/>
        </w:rPr>
        <w:t xml:space="preserve"> cilja onkogene RET fuzije (KIF5B-RET i CCDC6-RET). U slučaju NSCLC, RET fuzije predstavljaju neke od glavnih onkogenih pokretača. </w:t>
      </w:r>
      <w:r w:rsidRPr="000132D2">
        <w:rPr>
          <w:i/>
          <w:iCs/>
          <w:lang w:val="sr-Latn-RS"/>
        </w:rPr>
        <w:t>In vitro</w:t>
      </w:r>
      <w:r w:rsidRPr="000132D2">
        <w:rPr>
          <w:lang w:val="sr-Latn-RS"/>
        </w:rPr>
        <w:t xml:space="preserve">, pralsetinib je inhibirao nekoliko onkogenih RET fuzija jače nego kinaze koje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ciljane u klinički relevantnim koncentracijama (npr. </w:t>
      </w:r>
      <w:r w:rsidR="00823954">
        <w:rPr>
          <w:lang w:val="sr-Latn-RS"/>
        </w:rPr>
        <w:t>selektivno</w:t>
      </w:r>
      <w:r w:rsidRPr="000132D2">
        <w:rPr>
          <w:lang w:val="sr-Latn-RS"/>
        </w:rPr>
        <w:t xml:space="preserve">st 81 puta veća u odnosu na VEGFR2). Pralsetinib je pokazao antitumorsku aktivnost u kultivisanim ćelijama i životinjskim </w:t>
      </w:r>
      <w:r w:rsidR="00073139">
        <w:rPr>
          <w:lang w:val="sr-Latn-RS"/>
        </w:rPr>
        <w:t xml:space="preserve">tumorskim implantacijskim </w:t>
      </w:r>
      <w:r w:rsidRPr="000132D2">
        <w:rPr>
          <w:lang w:val="sr-Latn-RS"/>
        </w:rPr>
        <w:t>modelima koji predstavljaju brojne tipove tumora koji nose onkogene RET fuzije (KIF5B-RET, CCDC6-RET).</w:t>
      </w:r>
    </w:p>
    <w:p w14:paraId="2976A5A6" w14:textId="77777777" w:rsidR="00593739" w:rsidRPr="000132D2" w:rsidRDefault="00593739" w:rsidP="00B13662">
      <w:pPr>
        <w:pStyle w:val="BodyText"/>
        <w:tabs>
          <w:tab w:val="left" w:pos="9072"/>
        </w:tabs>
        <w:spacing w:before="1"/>
        <w:jc w:val="both"/>
        <w:rPr>
          <w:lang w:val="sr-Latn-RS"/>
        </w:rPr>
      </w:pPr>
    </w:p>
    <w:p w14:paraId="47BDA141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Farmakodinamska dejstva</w:t>
      </w:r>
    </w:p>
    <w:p w14:paraId="50E00D2F" w14:textId="77777777" w:rsidR="00593739" w:rsidRPr="000132D2" w:rsidRDefault="00593739" w:rsidP="00593739">
      <w:pPr>
        <w:pStyle w:val="BodyText"/>
        <w:spacing w:before="10"/>
        <w:jc w:val="both"/>
        <w:rPr>
          <w:sz w:val="13"/>
          <w:lang w:val="sr-Latn-RS"/>
        </w:rPr>
      </w:pPr>
    </w:p>
    <w:p w14:paraId="3E66A45C" w14:textId="734DD9D0" w:rsidR="00593739" w:rsidRPr="000132D2" w:rsidRDefault="00593739" w:rsidP="00593739">
      <w:pPr>
        <w:spacing w:before="92"/>
        <w:ind w:left="118"/>
        <w:jc w:val="both"/>
        <w:rPr>
          <w:i/>
          <w:lang w:val="sr-Latn-RS"/>
        </w:rPr>
      </w:pPr>
      <w:r w:rsidRPr="000132D2">
        <w:rPr>
          <w:i/>
          <w:iCs/>
          <w:u w:val="single"/>
          <w:lang w:val="sr-Latn-RS"/>
        </w:rPr>
        <w:t>E</w:t>
      </w:r>
      <w:r w:rsidR="00674751">
        <w:rPr>
          <w:i/>
          <w:iCs/>
          <w:u w:val="single"/>
          <w:lang w:val="sr-Latn-RS"/>
        </w:rPr>
        <w:t>lek</w:t>
      </w:r>
      <w:r w:rsidRPr="000132D2">
        <w:rPr>
          <w:i/>
          <w:iCs/>
          <w:u w:val="single"/>
          <w:lang w:val="sr-Latn-RS"/>
        </w:rPr>
        <w:t>trofiziologija srca</w:t>
      </w:r>
    </w:p>
    <w:p w14:paraId="02BC2090" w14:textId="77777777" w:rsidR="00593739" w:rsidRPr="000132D2" w:rsidRDefault="00593739" w:rsidP="00593739">
      <w:pPr>
        <w:pStyle w:val="BodyText"/>
        <w:jc w:val="both"/>
        <w:rPr>
          <w:i/>
          <w:sz w:val="14"/>
          <w:lang w:val="sr-Latn-RS"/>
        </w:rPr>
      </w:pPr>
    </w:p>
    <w:p w14:paraId="0639DE34" w14:textId="0CA9F7A1" w:rsidR="00593739" w:rsidRPr="000132D2" w:rsidRDefault="00593739" w:rsidP="00AC7849">
      <w:pPr>
        <w:pStyle w:val="BodyText"/>
        <w:spacing w:before="92"/>
        <w:ind w:left="119" w:right="170"/>
        <w:jc w:val="both"/>
        <w:rPr>
          <w:lang w:val="sr-Latn-RS"/>
        </w:rPr>
      </w:pPr>
      <w:r w:rsidRPr="000132D2">
        <w:rPr>
          <w:lang w:val="sr-Latn-RS"/>
        </w:rPr>
        <w:t>Potencijal pralsetiniba za produženje QT intervala proc</w:t>
      </w:r>
      <w:r w:rsidR="006F26F4">
        <w:rPr>
          <w:lang w:val="sr-Latn-RS"/>
        </w:rPr>
        <w:t>j</w:t>
      </w:r>
      <w:r w:rsidRPr="000132D2">
        <w:rPr>
          <w:lang w:val="sr-Latn-RS"/>
        </w:rPr>
        <w:t>enjivana je kod 34 pacijenta sa solidnim</w:t>
      </w:r>
      <w:r w:rsidR="006A4869">
        <w:rPr>
          <w:lang w:val="sr-Latn-RS"/>
        </w:rPr>
        <w:t xml:space="preserve"> </w:t>
      </w:r>
      <w:r w:rsidRPr="000132D2">
        <w:rPr>
          <w:lang w:val="sr-Latn-RS"/>
        </w:rPr>
        <w:t>tumorima pozitivnim na RET fuziju kojima je davan u dozi od 400 mg jednom dnevno u formalnoj EKG podstudiji.</w:t>
      </w:r>
    </w:p>
    <w:p w14:paraId="750E129C" w14:textId="77777777" w:rsidR="00593739" w:rsidRPr="000132D2" w:rsidRDefault="00593739" w:rsidP="006A4869">
      <w:pPr>
        <w:pStyle w:val="BodyText"/>
        <w:tabs>
          <w:tab w:val="left" w:pos="8789"/>
        </w:tabs>
        <w:spacing w:before="11"/>
        <w:jc w:val="both"/>
        <w:rPr>
          <w:sz w:val="21"/>
          <w:lang w:val="sr-Latn-RS"/>
        </w:rPr>
      </w:pPr>
    </w:p>
    <w:p w14:paraId="37ECD177" w14:textId="129377E7" w:rsidR="00593739" w:rsidRPr="000132D2" w:rsidRDefault="00593739" w:rsidP="006A4869">
      <w:pPr>
        <w:pStyle w:val="BodyText"/>
        <w:tabs>
          <w:tab w:val="left" w:pos="8789"/>
        </w:tabs>
        <w:ind w:left="118" w:right="123"/>
        <w:jc w:val="both"/>
        <w:rPr>
          <w:lang w:val="sr-Latn-RS"/>
        </w:rPr>
      </w:pPr>
      <w:r w:rsidRPr="000132D2">
        <w:rPr>
          <w:lang w:val="sr-Latn-RS"/>
        </w:rPr>
        <w:t xml:space="preserve">Kod pacijenata koji su primali pralsetinib u studiji ARROW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o je produženje QT</w:t>
      </w:r>
      <w:r w:rsidR="006F26F4">
        <w:rPr>
          <w:lang w:val="sr-Latn-RS"/>
        </w:rPr>
        <w:t xml:space="preserve"> intervala</w:t>
      </w:r>
      <w:r w:rsidRPr="000132D2">
        <w:rPr>
          <w:lang w:val="sr-Latn-RS"/>
        </w:rPr>
        <w:t xml:space="preserve"> (</w:t>
      </w:r>
      <w:r w:rsidR="006F26F4">
        <w:rPr>
          <w:lang w:val="sr-Latn-RS"/>
        </w:rPr>
        <w:t>vidjeti</w:t>
      </w:r>
      <w:r w:rsidR="006F26F4" w:rsidRPr="000132D2">
        <w:rPr>
          <w:lang w:val="sr-Latn-RS"/>
        </w:rPr>
        <w:t xml:space="preserve">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4.8). Stoga bi mogli da budu potrebni privremeni prekidi ili modifikacije doze kod pacijenata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>nih pralsetinibom (</w:t>
      </w:r>
      <w:r w:rsidR="006F26F4">
        <w:rPr>
          <w:lang w:val="sr-Latn-RS"/>
        </w:rPr>
        <w:t>vidjeti djelove</w:t>
      </w:r>
      <w:r w:rsidRPr="000132D2">
        <w:rPr>
          <w:lang w:val="sr-Latn-RS"/>
        </w:rPr>
        <w:t xml:space="preserve"> 4.2 i 4.4).</w:t>
      </w:r>
    </w:p>
    <w:p w14:paraId="132C9507" w14:textId="77777777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305DFC5E" w14:textId="1FDD89FC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 xml:space="preserve">Klinička efikasnost i </w:t>
      </w:r>
      <w:r w:rsidR="00674751">
        <w:rPr>
          <w:u w:val="single"/>
          <w:lang w:val="sr-Latn-RS"/>
        </w:rPr>
        <w:t>bezbjednost</w:t>
      </w:r>
    </w:p>
    <w:p w14:paraId="20A77F49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54CAE4E4" w14:textId="57E6A645" w:rsidR="00593739" w:rsidRPr="000132D2" w:rsidRDefault="00593739" w:rsidP="00593739">
      <w:pPr>
        <w:pStyle w:val="BodyText"/>
        <w:spacing w:before="92"/>
        <w:ind w:left="118" w:right="163"/>
        <w:jc w:val="both"/>
        <w:rPr>
          <w:lang w:val="sr-Latn-RS"/>
        </w:rPr>
      </w:pPr>
      <w:r w:rsidRPr="000132D2">
        <w:rPr>
          <w:lang w:val="sr-Latn-RS"/>
        </w:rPr>
        <w:t xml:space="preserve">Efikasnost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a Gavreto proučavana je kod pacijenata sa NSCLC pozitivnim na RET fuziju u studiji BLU-667-1101 (ARROW), multicentričnom, nerandomizovanom, otvorenom kliničkom ispitivanju faze I/II sa više</w:t>
      </w:r>
      <w:r>
        <w:rPr>
          <w:lang w:val="sr-Latn-RS"/>
        </w:rPr>
        <w:t xml:space="preserve"> </w:t>
      </w:r>
      <w:r w:rsidRPr="000132D2">
        <w:rPr>
          <w:lang w:val="sr-Latn-RS"/>
        </w:rPr>
        <w:t xml:space="preserve">kohorti. U odvojenim kohortama u studiju su uključeni pacijenti sa uznapredovalim NSCLC pozitivnim na RET fuziju kod kojih je došlo do napredovanja tokom hemioterapije na bazi platine, kao i pacijenti kod kojih je došlo do napredovanja na prethodnoj terapiji koja nije bila na bazi platine ili koji ranije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bili sistemski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ni. Studija je bila u toku u </w:t>
      </w:r>
      <w:r w:rsidR="00150C32">
        <w:rPr>
          <w:lang w:val="sr-Latn-RS"/>
        </w:rPr>
        <w:t xml:space="preserve">vrijeme </w:t>
      </w:r>
      <w:r w:rsidRPr="000132D2">
        <w:rPr>
          <w:lang w:val="sr-Latn-RS"/>
        </w:rPr>
        <w:t>odobrenja.</w:t>
      </w:r>
    </w:p>
    <w:p w14:paraId="06BBE2B6" w14:textId="77777777" w:rsidR="00593739" w:rsidRPr="000132D2" w:rsidRDefault="00593739" w:rsidP="00593739">
      <w:pPr>
        <w:pStyle w:val="BodyText"/>
        <w:spacing w:before="2"/>
        <w:jc w:val="both"/>
        <w:rPr>
          <w:lang w:val="sr-Latn-RS"/>
        </w:rPr>
      </w:pPr>
    </w:p>
    <w:p w14:paraId="70F51876" w14:textId="1A91B679" w:rsidR="00593739" w:rsidRPr="000132D2" w:rsidRDefault="00593739" w:rsidP="00593739">
      <w:pPr>
        <w:pStyle w:val="BodyText"/>
        <w:ind w:left="118" w:right="184"/>
        <w:jc w:val="both"/>
        <w:rPr>
          <w:lang w:val="sr-Latn-RS"/>
        </w:rPr>
      </w:pPr>
      <w:r w:rsidRPr="000132D2">
        <w:rPr>
          <w:lang w:val="sr-Latn-RS"/>
        </w:rPr>
        <w:t>Bilo je neophodno da svi NSCLC pacijenti imaju lokalno uznapredovalu ili metastatsku bolest koja je mogla da se iz</w:t>
      </w:r>
      <w:r w:rsidR="00150C32">
        <w:rPr>
          <w:lang w:val="sr-Latn-RS"/>
        </w:rPr>
        <w:t>mjeri</w:t>
      </w:r>
      <w:r w:rsidRPr="000132D2">
        <w:rPr>
          <w:lang w:val="sr-Latn-RS"/>
        </w:rPr>
        <w:t xml:space="preserve"> na osnovu verzije 1.1. (v1.1) </w:t>
      </w:r>
      <w:r>
        <w:rPr>
          <w:lang w:val="sr-Latn-RS"/>
        </w:rPr>
        <w:t>k</w:t>
      </w:r>
      <w:r w:rsidRPr="000132D2">
        <w:rPr>
          <w:lang w:val="sr-Latn-RS"/>
        </w:rPr>
        <w:t>riterijuma za proc</w:t>
      </w:r>
      <w:r w:rsidR="00662106">
        <w:rPr>
          <w:lang w:val="sr-Latn-RS"/>
        </w:rPr>
        <w:t>j</w:t>
      </w:r>
      <w:r w:rsidRPr="000132D2">
        <w:rPr>
          <w:lang w:val="sr-Latn-RS"/>
        </w:rPr>
        <w:t xml:space="preserve">enu odgovora kod solidnih tumora (RECIST) i sa prisustvom RET fuzije utvrđene testiranjem na lokalnom nivou (sekvenciranje naredne generacije (NGS), fluorescentne in situ hibridizacije (FISH), ostalo). Uključeni su pacijenti sa asimptomatskim metastazama u centralnom nervnom sistemu (CNS), uključujući pacijente sa stabilnom ili opadajućom upotrebom steroida u roku od 2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 xml:space="preserve">e </w:t>
      </w:r>
      <w:r w:rsidR="00573A31">
        <w:rPr>
          <w:lang w:val="sr-Latn-RS"/>
        </w:rPr>
        <w:t xml:space="preserve">prije </w:t>
      </w:r>
      <w:r w:rsidRPr="000132D2">
        <w:rPr>
          <w:lang w:val="sr-Latn-RS"/>
        </w:rPr>
        <w:t>ulaska u studiju. Protokol je isključio pacijente sa poznatom primarnom alteracijom pokretača osim RET fuzija, pacijente sa sindromom produženja QT ili Torsades de pointes u anamnezi</w:t>
      </w:r>
      <w:r>
        <w:rPr>
          <w:lang w:val="sr-Latn-RS"/>
        </w:rPr>
        <w:t>,</w:t>
      </w:r>
      <w:r w:rsidRPr="000132D2">
        <w:rPr>
          <w:lang w:val="sr-Latn-RS"/>
        </w:rPr>
        <w:t xml:space="preserve"> ili sindromom produženja QT u porodičnoj anamnezi, klinički simptomatičnim pneumonitisom i bilo kojim prethodnim ili sadašnjim klinički značajnim medicinskim stanjem koje bi moglo da utiče na </w:t>
      </w:r>
      <w:r w:rsidR="00674751">
        <w:rPr>
          <w:lang w:val="sr-Latn-RS"/>
        </w:rPr>
        <w:t>bezbjednost</w:t>
      </w:r>
      <w:r w:rsidRPr="000132D2">
        <w:rPr>
          <w:lang w:val="sr-Latn-RS"/>
        </w:rPr>
        <w:t xml:space="preserve"> pacijenta.</w:t>
      </w:r>
    </w:p>
    <w:p w14:paraId="05B8577D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0C010A30" w14:textId="5B171532" w:rsidR="00593739" w:rsidRPr="000132D2" w:rsidRDefault="00150C32" w:rsidP="006A4869">
      <w:pPr>
        <w:pStyle w:val="BodyText"/>
        <w:spacing w:before="1"/>
        <w:ind w:left="118" w:right="260"/>
        <w:jc w:val="both"/>
        <w:rPr>
          <w:lang w:val="sr-Latn-RS"/>
        </w:rPr>
      </w:pPr>
      <w:r>
        <w:rPr>
          <w:lang w:val="sr-Latn-RS"/>
        </w:rPr>
        <w:t>Mjera</w:t>
      </w:r>
      <w:r w:rsidR="00593739" w:rsidRPr="000132D2">
        <w:rPr>
          <w:lang w:val="sr-Latn-RS"/>
        </w:rPr>
        <w:t xml:space="preserve"> primarnog ishoda efikasnosti bila je stopa </w:t>
      </w:r>
      <w:r w:rsidR="00662106">
        <w:rPr>
          <w:lang w:val="sr-Latn-RS"/>
        </w:rPr>
        <w:t xml:space="preserve">ukupnog </w:t>
      </w:r>
      <w:r w:rsidR="00593739" w:rsidRPr="000132D2">
        <w:rPr>
          <w:lang w:val="sr-Latn-RS"/>
        </w:rPr>
        <w:t>odgovora (</w:t>
      </w:r>
      <w:r w:rsidR="00662106">
        <w:rPr>
          <w:lang w:val="sr-Latn-RS"/>
        </w:rPr>
        <w:t>e</w:t>
      </w:r>
      <w:r w:rsidR="00662106">
        <w:rPr>
          <w:rStyle w:val="markedcontent"/>
        </w:rPr>
        <w:t xml:space="preserve">ngl. </w:t>
      </w:r>
      <w:r w:rsidR="00662106" w:rsidRPr="00AC7849">
        <w:rPr>
          <w:rStyle w:val="markedcontent"/>
          <w:i/>
        </w:rPr>
        <w:t>overall response rate,</w:t>
      </w:r>
      <w:r w:rsidR="00662106" w:rsidRPr="00AC7849">
        <w:rPr>
          <w:i/>
        </w:rPr>
        <w:br/>
      </w:r>
      <w:r w:rsidR="00593739" w:rsidRPr="000132D2">
        <w:rPr>
          <w:lang w:val="sr-Latn-RS"/>
        </w:rPr>
        <w:t>ORR) i prema RECIST v1.1. proc</w:t>
      </w:r>
      <w:r w:rsidR="00662106">
        <w:rPr>
          <w:lang w:val="sr-Latn-RS"/>
        </w:rPr>
        <w:t>ij</w:t>
      </w:r>
      <w:r w:rsidR="00593739" w:rsidRPr="000132D2">
        <w:rPr>
          <w:lang w:val="sr-Latn-RS"/>
        </w:rPr>
        <w:t>enjena na osnovu „zasl</w:t>
      </w:r>
      <w:r w:rsidR="009D7B07">
        <w:rPr>
          <w:lang w:val="sr-Latn-RS"/>
        </w:rPr>
        <w:t>ij</w:t>
      </w:r>
      <w:r w:rsidR="00593739" w:rsidRPr="000132D2">
        <w:rPr>
          <w:lang w:val="sr-Latn-RS"/>
        </w:rPr>
        <w:t>epljenog” nezavisnog centralnog pregleda (BICR). Sekundarn</w:t>
      </w:r>
      <w:r w:rsidR="00662106">
        <w:rPr>
          <w:lang w:val="sr-Latn-RS"/>
        </w:rPr>
        <w:t xml:space="preserve">e mjere ishoda </w:t>
      </w:r>
      <w:r w:rsidR="00593739" w:rsidRPr="000132D2">
        <w:rPr>
          <w:lang w:val="sr-Latn-RS"/>
        </w:rPr>
        <w:t>efikasnosti obuhvatil</w:t>
      </w:r>
      <w:r w:rsidR="00662106">
        <w:rPr>
          <w:lang w:val="sr-Latn-RS"/>
        </w:rPr>
        <w:t>e</w:t>
      </w:r>
      <w:r w:rsidR="00593739" w:rsidRPr="000132D2">
        <w:rPr>
          <w:lang w:val="sr-Latn-RS"/>
        </w:rPr>
        <w:t xml:space="preserve"> su trajanje odgovora (</w:t>
      </w:r>
      <w:r w:rsidR="006A4869">
        <w:rPr>
          <w:lang w:val="sr-Latn-RS"/>
        </w:rPr>
        <w:t xml:space="preserve">engl. </w:t>
      </w:r>
      <w:r w:rsidR="006A4869" w:rsidRPr="00AC7849">
        <w:rPr>
          <w:i/>
          <w:lang w:val="sr-Latn-RS"/>
        </w:rPr>
        <w:t>duration of response</w:t>
      </w:r>
      <w:r w:rsidR="006A4869">
        <w:rPr>
          <w:lang w:val="sr-Latn-RS"/>
        </w:rPr>
        <w:t xml:space="preserve">, </w:t>
      </w:r>
      <w:r w:rsidR="00593739" w:rsidRPr="000132D2">
        <w:rPr>
          <w:lang w:val="sr-Latn-RS"/>
        </w:rPr>
        <w:t>DOR), preživljavanje bez progresije bolesti (</w:t>
      </w:r>
      <w:r w:rsidR="00662106">
        <w:rPr>
          <w:lang w:val="sr-Latn-RS"/>
        </w:rPr>
        <w:t xml:space="preserve">engl. </w:t>
      </w:r>
      <w:r w:rsidR="00662106" w:rsidRPr="00AC7849">
        <w:rPr>
          <w:i/>
          <w:lang w:val="sr-Latn-RS"/>
        </w:rPr>
        <w:t>progression free survival</w:t>
      </w:r>
      <w:r w:rsidR="00662106">
        <w:rPr>
          <w:lang w:val="sr-Latn-RS"/>
        </w:rPr>
        <w:t xml:space="preserve">, </w:t>
      </w:r>
      <w:r w:rsidR="00593739" w:rsidRPr="000132D2">
        <w:rPr>
          <w:lang w:val="sr-Latn-RS"/>
        </w:rPr>
        <w:t>PFS) i ukupno preživljavanje (</w:t>
      </w:r>
      <w:r w:rsidR="00662106">
        <w:rPr>
          <w:lang w:val="sr-Latn-RS"/>
        </w:rPr>
        <w:t>e</w:t>
      </w:r>
      <w:r w:rsidR="00662106">
        <w:rPr>
          <w:rStyle w:val="markedcontent"/>
        </w:rPr>
        <w:t xml:space="preserve">ngl. </w:t>
      </w:r>
      <w:r w:rsidR="00662106" w:rsidRPr="00AC7849">
        <w:rPr>
          <w:rStyle w:val="markedcontent"/>
          <w:i/>
        </w:rPr>
        <w:t>overall survival</w:t>
      </w:r>
      <w:r w:rsidR="00662106">
        <w:rPr>
          <w:rStyle w:val="markedcontent"/>
        </w:rPr>
        <w:t>, OS</w:t>
      </w:r>
      <w:r w:rsidR="00593739" w:rsidRPr="000132D2">
        <w:rPr>
          <w:lang w:val="sr-Latn-RS"/>
        </w:rPr>
        <w:t>).</w:t>
      </w:r>
    </w:p>
    <w:p w14:paraId="1EF09A9F" w14:textId="77777777" w:rsidR="00593739" w:rsidRPr="000132D2" w:rsidRDefault="00593739" w:rsidP="006A4869">
      <w:pPr>
        <w:pStyle w:val="BodyText"/>
        <w:spacing w:before="9"/>
        <w:ind w:right="260"/>
        <w:jc w:val="both"/>
        <w:rPr>
          <w:sz w:val="21"/>
          <w:lang w:val="sr-Latn-RS"/>
        </w:rPr>
      </w:pPr>
    </w:p>
    <w:p w14:paraId="0F688EAC" w14:textId="7538DDA3" w:rsidR="00593739" w:rsidRPr="000132D2" w:rsidRDefault="00593739" w:rsidP="006A4869">
      <w:pPr>
        <w:spacing w:before="1"/>
        <w:ind w:left="118" w:right="260"/>
        <w:jc w:val="both"/>
        <w:rPr>
          <w:i/>
          <w:lang w:val="sr-Latn-RS"/>
        </w:rPr>
      </w:pPr>
      <w:r w:rsidRPr="000132D2">
        <w:rPr>
          <w:i/>
          <w:iCs/>
          <w:u w:val="single"/>
          <w:lang w:val="sr-Latn-RS"/>
        </w:rPr>
        <w:t xml:space="preserve">Ukupna populacija </w:t>
      </w:r>
      <w:r w:rsidR="00662106">
        <w:rPr>
          <w:i/>
          <w:iCs/>
          <w:u w:val="single"/>
          <w:lang w:val="sr-Latn-RS"/>
        </w:rPr>
        <w:t xml:space="preserve">pacijenata </w:t>
      </w:r>
      <w:r w:rsidRPr="000132D2">
        <w:rPr>
          <w:i/>
          <w:iCs/>
          <w:u w:val="single"/>
          <w:lang w:val="sr-Latn-RS"/>
        </w:rPr>
        <w:t>sa NSCLC pozitivnim na RET fuziju</w:t>
      </w:r>
    </w:p>
    <w:p w14:paraId="393605D8" w14:textId="77777777" w:rsidR="00593739" w:rsidRPr="000132D2" w:rsidRDefault="00593739" w:rsidP="006A4869">
      <w:pPr>
        <w:pStyle w:val="BodyText"/>
        <w:ind w:right="260"/>
        <w:jc w:val="both"/>
        <w:rPr>
          <w:i/>
          <w:sz w:val="14"/>
          <w:lang w:val="sr-Latn-RS"/>
        </w:rPr>
      </w:pPr>
    </w:p>
    <w:p w14:paraId="688B137F" w14:textId="563D536B" w:rsidR="00593739" w:rsidRPr="000132D2" w:rsidRDefault="00593739" w:rsidP="006A4869">
      <w:pPr>
        <w:pStyle w:val="BodyText"/>
        <w:spacing w:before="92"/>
        <w:ind w:left="118" w:right="260"/>
        <w:jc w:val="both"/>
        <w:rPr>
          <w:lang w:val="sr-Latn-RS"/>
        </w:rPr>
      </w:pPr>
      <w:r w:rsidRPr="000132D2">
        <w:rPr>
          <w:lang w:val="sr-Latn-RS"/>
        </w:rPr>
        <w:t>Populacija kod koje je proc</w:t>
      </w:r>
      <w:r w:rsidR="00B45A11">
        <w:rPr>
          <w:lang w:val="sr-Latn-RS"/>
        </w:rPr>
        <w:t>j</w:t>
      </w:r>
      <w:r w:rsidRPr="000132D2">
        <w:rPr>
          <w:lang w:val="sr-Latn-RS"/>
        </w:rPr>
        <w:t xml:space="preserve">enjivana efikasnost sastojala se od </w:t>
      </w:r>
      <w:r w:rsidR="00D75D1B">
        <w:rPr>
          <w:lang w:val="sr-Latn-RS"/>
        </w:rPr>
        <w:t>281</w:t>
      </w:r>
      <w:r w:rsidR="00D75D1B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pacijenta sa uznapredovalim NSCLC pozitivnim na RET fuziju koji su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ni početnom oralnom dozom od 400 mg jednom </w:t>
      </w:r>
      <w:r w:rsidRPr="000132D2">
        <w:rPr>
          <w:lang w:val="sr-Latn-RS"/>
        </w:rPr>
        <w:lastRenderedPageBreak/>
        <w:t xml:space="preserve">dnevno, uključujući </w:t>
      </w:r>
      <w:r w:rsidR="00D75D1B">
        <w:rPr>
          <w:lang w:val="sr-Latn-RS"/>
        </w:rPr>
        <w:t>116</w:t>
      </w:r>
      <w:r w:rsidR="00D75D1B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koji ranije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primali terapiju i </w:t>
      </w:r>
      <w:r w:rsidR="00D75D1B">
        <w:rPr>
          <w:lang w:val="sr-Latn-RS"/>
        </w:rPr>
        <w:t>141</w:t>
      </w:r>
      <w:r w:rsidR="00D75D1B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koji su prethodno primali hemioterapiju na bazi platine. </w:t>
      </w:r>
      <w:r w:rsidR="00B45A11">
        <w:rPr>
          <w:lang w:val="sr-Latn-RS"/>
        </w:rPr>
        <w:t>M</w:t>
      </w:r>
      <w:r w:rsidRPr="000132D2">
        <w:rPr>
          <w:lang w:val="sr-Latn-RS"/>
        </w:rPr>
        <w:t xml:space="preserve">edijana praćenja </w:t>
      </w:r>
      <w:r w:rsidR="00B45A11">
        <w:rPr>
          <w:lang w:val="sr-Latn-RS"/>
        </w:rPr>
        <w:t xml:space="preserve">do posljednjeg datuma prestanka prikupljanja podataka </w:t>
      </w:r>
      <w:r w:rsidR="00D75D1B">
        <w:rPr>
          <w:lang w:val="sr-Latn-RS"/>
        </w:rPr>
        <w:t>(04. mart 2022</w:t>
      </w:r>
      <w:r w:rsidR="008D0A9C">
        <w:rPr>
          <w:lang w:val="sr-Latn-RS"/>
        </w:rPr>
        <w:t>.</w:t>
      </w:r>
      <w:r w:rsidR="00D75D1B">
        <w:rPr>
          <w:lang w:val="sr-Latn-RS"/>
        </w:rPr>
        <w:t xml:space="preserve">) </w:t>
      </w:r>
      <w:r w:rsidRPr="000132D2">
        <w:rPr>
          <w:lang w:val="sr-Latn-RS"/>
        </w:rPr>
        <w:t xml:space="preserve">iznosila je </w:t>
      </w:r>
      <w:r w:rsidR="00D75D1B">
        <w:rPr>
          <w:lang w:val="sr-Latn-RS"/>
        </w:rPr>
        <w:t>24</w:t>
      </w:r>
      <w:r w:rsidRPr="000132D2">
        <w:rPr>
          <w:lang w:val="sr-Latn-RS"/>
        </w:rPr>
        <w:t xml:space="preserve">,1 </w:t>
      </w:r>
      <w:r w:rsidR="00513EC0">
        <w:rPr>
          <w:lang w:val="sr-Latn-RS"/>
        </w:rPr>
        <w:t>mjesec</w:t>
      </w:r>
      <w:r w:rsidRPr="000132D2">
        <w:rPr>
          <w:lang w:val="sr-Latn-RS"/>
        </w:rPr>
        <w:t>.</w:t>
      </w:r>
    </w:p>
    <w:p w14:paraId="3A77DBC9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23377009" w14:textId="16F7CB53" w:rsidR="00593739" w:rsidRPr="000132D2" w:rsidRDefault="00593739" w:rsidP="006A4869">
      <w:pPr>
        <w:pStyle w:val="BodyText"/>
        <w:ind w:left="118" w:right="260"/>
        <w:jc w:val="both"/>
        <w:rPr>
          <w:lang w:val="sr-Latn-RS"/>
        </w:rPr>
      </w:pPr>
      <w:r w:rsidRPr="000132D2">
        <w:rPr>
          <w:lang w:val="sr-Latn-RS"/>
        </w:rPr>
        <w:t xml:space="preserve">Demografske karakteristike </w:t>
      </w:r>
      <w:r w:rsidR="00D75D1B">
        <w:rPr>
          <w:lang w:val="sr-Latn-RS"/>
        </w:rPr>
        <w:t>tog</w:t>
      </w:r>
      <w:r w:rsidR="00D75D1B" w:rsidRPr="000132D2">
        <w:rPr>
          <w:lang w:val="sr-Latn-RS"/>
        </w:rPr>
        <w:t xml:space="preserve"> 2</w:t>
      </w:r>
      <w:r w:rsidR="00D75D1B">
        <w:rPr>
          <w:lang w:val="sr-Latn-RS"/>
        </w:rPr>
        <w:t>81</w:t>
      </w:r>
      <w:r w:rsidR="00D75D1B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pacijenta bile su: </w:t>
      </w:r>
      <w:r w:rsidR="00D75D1B">
        <w:rPr>
          <w:lang w:val="sr-Latn-RS"/>
        </w:rPr>
        <w:t>54,1</w:t>
      </w:r>
      <w:r w:rsidRPr="000132D2">
        <w:rPr>
          <w:lang w:val="sr-Latn-RS"/>
        </w:rPr>
        <w:t xml:space="preserve">% ženskog pola, </w:t>
      </w:r>
      <w:r w:rsidR="00D75D1B">
        <w:rPr>
          <w:lang w:val="sr-Latn-RS"/>
        </w:rPr>
        <w:t>46,3</w:t>
      </w:r>
      <w:r w:rsidRPr="000132D2">
        <w:rPr>
          <w:lang w:val="sr-Latn-RS"/>
        </w:rPr>
        <w:t xml:space="preserve">% </w:t>
      </w:r>
      <w:r w:rsidR="00150C32">
        <w:rPr>
          <w:lang w:val="sr-Latn-RS"/>
        </w:rPr>
        <w:t>bijelci</w:t>
      </w:r>
      <w:r w:rsidRPr="000132D2">
        <w:rPr>
          <w:lang w:val="sr-Latn-RS"/>
        </w:rPr>
        <w:t xml:space="preserve">, </w:t>
      </w:r>
      <w:r w:rsidR="00D75D1B">
        <w:rPr>
          <w:lang w:val="sr-Latn-RS"/>
        </w:rPr>
        <w:t>45,6</w:t>
      </w:r>
      <w:r w:rsidRPr="000132D2">
        <w:rPr>
          <w:lang w:val="sr-Latn-RS"/>
        </w:rPr>
        <w:t>% azijskog por</w:t>
      </w:r>
      <w:r w:rsidR="009D7B07">
        <w:rPr>
          <w:lang w:val="sr-Latn-RS"/>
        </w:rPr>
        <w:t>ij</w:t>
      </w:r>
      <w:r w:rsidRPr="000132D2">
        <w:rPr>
          <w:lang w:val="sr-Latn-RS"/>
        </w:rPr>
        <w:t>ekla, 3,</w:t>
      </w:r>
      <w:r w:rsidR="00D75D1B">
        <w:rPr>
          <w:lang w:val="sr-Latn-RS"/>
        </w:rPr>
        <w:t>6</w:t>
      </w:r>
      <w:r w:rsidRPr="000132D2">
        <w:rPr>
          <w:lang w:val="sr-Latn-RS"/>
        </w:rPr>
        <w:t>% hispanskog/latinoameričkog por</w:t>
      </w:r>
      <w:r w:rsidR="009D7B07">
        <w:rPr>
          <w:lang w:val="sr-Latn-RS"/>
        </w:rPr>
        <w:t>ij</w:t>
      </w:r>
      <w:r w:rsidRPr="000132D2">
        <w:rPr>
          <w:lang w:val="sr-Latn-RS"/>
        </w:rPr>
        <w:t>ekla, a medijana starosti iznosila je 60,0 godina (raspon: 26 do 87) sa 37,</w:t>
      </w:r>
      <w:r w:rsidR="00D75D1B">
        <w:rPr>
          <w:lang w:val="sr-Latn-RS"/>
        </w:rPr>
        <w:t>4</w:t>
      </w:r>
      <w:r w:rsidRPr="000132D2">
        <w:rPr>
          <w:lang w:val="sr-Latn-RS"/>
        </w:rPr>
        <w:t>% ≥ 65 godina. Većina pacijenata na početku je imala funkcionalni status ECOG</w:t>
      </w:r>
      <w:r>
        <w:rPr>
          <w:lang w:val="sr-Latn-RS"/>
        </w:rPr>
        <w:t xml:space="preserve"> </w:t>
      </w:r>
      <w:r w:rsidRPr="000132D2">
        <w:rPr>
          <w:lang w:val="sr-Latn-RS"/>
        </w:rPr>
        <w:t>0 (</w:t>
      </w:r>
      <w:r w:rsidR="00D75D1B">
        <w:rPr>
          <w:lang w:val="sr-Latn-RS"/>
        </w:rPr>
        <w:t>29</w:t>
      </w:r>
      <w:r w:rsidRPr="000132D2">
        <w:rPr>
          <w:lang w:val="sr-Latn-RS"/>
        </w:rPr>
        <w:t>,5%) ili 1 (</w:t>
      </w:r>
      <w:r w:rsidR="00D75D1B">
        <w:rPr>
          <w:lang w:val="sr-Latn-RS"/>
        </w:rPr>
        <w:t>68</w:t>
      </w:r>
      <w:r w:rsidRPr="000132D2">
        <w:rPr>
          <w:lang w:val="sr-Latn-RS"/>
        </w:rPr>
        <w:t>,</w:t>
      </w:r>
      <w:r w:rsidR="00D75D1B">
        <w:rPr>
          <w:lang w:val="sr-Latn-RS"/>
        </w:rPr>
        <w:t>0</w:t>
      </w:r>
      <w:r w:rsidRPr="000132D2">
        <w:rPr>
          <w:lang w:val="sr-Latn-RS"/>
        </w:rPr>
        <w:t>%), imala je metastatsku bolest (</w:t>
      </w:r>
      <w:r w:rsidR="00D75D1B">
        <w:rPr>
          <w:lang w:val="sr-Latn-RS"/>
        </w:rPr>
        <w:t>98,6</w:t>
      </w:r>
      <w:r w:rsidRPr="000132D2">
        <w:rPr>
          <w:lang w:val="sr-Latn-RS"/>
        </w:rPr>
        <w:t>%), nikada nije pušila (62,</w:t>
      </w:r>
      <w:r w:rsidR="00D75D1B">
        <w:rPr>
          <w:lang w:val="sr-Latn-RS"/>
        </w:rPr>
        <w:t>6</w:t>
      </w:r>
      <w:r w:rsidRPr="000132D2">
        <w:rPr>
          <w:lang w:val="sr-Latn-RS"/>
        </w:rPr>
        <w:t>%)</w:t>
      </w:r>
      <w:r>
        <w:rPr>
          <w:lang w:val="sr-Latn-RS"/>
        </w:rPr>
        <w:t>,</w:t>
      </w:r>
      <w:r w:rsidRPr="000132D2">
        <w:rPr>
          <w:lang w:val="sr-Latn-RS"/>
        </w:rPr>
        <w:t xml:space="preserve"> ili su to bili bivši pušači (33,</w:t>
      </w:r>
      <w:r w:rsidR="00D75D1B">
        <w:rPr>
          <w:lang w:val="sr-Latn-RS"/>
        </w:rPr>
        <w:t>1</w:t>
      </w:r>
      <w:r w:rsidRPr="000132D2">
        <w:rPr>
          <w:lang w:val="sr-Latn-RS"/>
        </w:rPr>
        <w:t>%) i imali su adenokarcinom (96,</w:t>
      </w:r>
      <w:r w:rsidR="00D75D1B">
        <w:rPr>
          <w:lang w:val="sr-Latn-RS"/>
        </w:rPr>
        <w:t>8</w:t>
      </w:r>
      <w:r w:rsidRPr="000132D2">
        <w:rPr>
          <w:lang w:val="sr-Latn-RS"/>
        </w:rPr>
        <w:t xml:space="preserve">%). Metastaze na mozgu su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e kod </w:t>
      </w:r>
      <w:r w:rsidR="00D75D1B">
        <w:rPr>
          <w:lang w:val="sr-Latn-RS"/>
        </w:rPr>
        <w:t>34,5</w:t>
      </w:r>
      <w:r w:rsidRPr="000132D2">
        <w:rPr>
          <w:lang w:val="sr-Latn-RS"/>
        </w:rPr>
        <w:t xml:space="preserve">% pacijenata. Pacijenti prethodno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ni hemioterapijom na bazi platine (N = </w:t>
      </w:r>
      <w:r w:rsidR="00D75D1B">
        <w:rPr>
          <w:lang w:val="sr-Latn-RS"/>
        </w:rPr>
        <w:t>141</w:t>
      </w:r>
      <w:r w:rsidRPr="000132D2">
        <w:rPr>
          <w:lang w:val="sr-Latn-RS"/>
        </w:rPr>
        <w:t>), primali su medijanu od 2 prethodne linije terapije (raspon: 1–8). Pored hemioterapije na bazi platine, 40,4% je primalo PD-1/PD-L1 inhibitore, 27,</w:t>
      </w:r>
      <w:r w:rsidR="00D75D1B">
        <w:rPr>
          <w:lang w:val="sr-Latn-RS"/>
        </w:rPr>
        <w:t>7</w:t>
      </w:r>
      <w:r w:rsidRPr="000132D2">
        <w:rPr>
          <w:lang w:val="sr-Latn-RS"/>
        </w:rPr>
        <w:t xml:space="preserve">% je primalo inhibitore multikinaze (MKI), a </w:t>
      </w:r>
      <w:r w:rsidR="00D75D1B">
        <w:rPr>
          <w:lang w:val="sr-Latn-RS"/>
        </w:rPr>
        <w:t>48,9</w:t>
      </w:r>
      <w:r w:rsidRPr="000132D2">
        <w:rPr>
          <w:lang w:val="sr-Latn-RS"/>
        </w:rPr>
        <w:t xml:space="preserve">% je ranije primilo terapiju zračenjem. </w:t>
      </w:r>
      <w:r w:rsidR="00D75D1B">
        <w:rPr>
          <w:lang w:val="sr-Latn-RS"/>
        </w:rPr>
        <w:t>15,5</w:t>
      </w:r>
      <w:r w:rsidRPr="000132D2">
        <w:rPr>
          <w:lang w:val="sr-Latn-RS"/>
        </w:rPr>
        <w:t xml:space="preserve">% pacijenata koji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ranije primali sistemsku terapiju (N = </w:t>
      </w:r>
      <w:r w:rsidR="00D75D1B">
        <w:rPr>
          <w:lang w:val="sr-Latn-RS"/>
        </w:rPr>
        <w:t>116</w:t>
      </w:r>
      <w:r w:rsidRPr="000132D2">
        <w:rPr>
          <w:lang w:val="sr-Latn-RS"/>
        </w:rPr>
        <w:t xml:space="preserve">) prethodno je primalo terapiju zračenjem. </w:t>
      </w:r>
      <w:r w:rsidR="00D75D1B">
        <w:rPr>
          <w:lang w:val="sr-Latn-RS"/>
        </w:rPr>
        <w:t>Kod</w:t>
      </w:r>
      <w:r w:rsidR="00D75D1B" w:rsidRPr="00D75D1B">
        <w:rPr>
          <w:lang w:val="sr-Latn-RS"/>
        </w:rPr>
        <w:t xml:space="preserve"> 75,8% </w:t>
      </w:r>
      <w:r w:rsidR="00D75D1B">
        <w:rPr>
          <w:lang w:val="sr-Latn-RS"/>
        </w:rPr>
        <w:t>pacijenata</w:t>
      </w:r>
      <w:r w:rsidR="00D75D1B" w:rsidRPr="00D75D1B">
        <w:rPr>
          <w:lang w:val="sr-Latn-RS"/>
        </w:rPr>
        <w:t xml:space="preserve"> utvrđene su fuzije gena RET sekvenci</w:t>
      </w:r>
      <w:r w:rsidR="00D75D1B">
        <w:rPr>
          <w:lang w:val="sr-Latn-RS"/>
        </w:rPr>
        <w:t>oniranjem</w:t>
      </w:r>
      <w:r w:rsidR="00D75D1B" w:rsidRPr="00D75D1B">
        <w:rPr>
          <w:lang w:val="sr-Latn-RS"/>
        </w:rPr>
        <w:t xml:space="preserve"> nove generacije (uzorak tkiva: 36,7%; uzorak plazme: 15,7%; nepoznato: 23,5%), </w:t>
      </w:r>
      <w:r w:rsidR="00D75D1B">
        <w:rPr>
          <w:lang w:val="sr-Latn-RS"/>
        </w:rPr>
        <w:t>kod</w:t>
      </w:r>
      <w:r w:rsidR="00D75D1B" w:rsidRPr="00D75D1B">
        <w:rPr>
          <w:lang w:val="sr-Latn-RS"/>
        </w:rPr>
        <w:t xml:space="preserve"> 15,3% njih metodom FISH, </w:t>
      </w:r>
      <w:r w:rsidR="00D75D1B">
        <w:rPr>
          <w:lang w:val="sr-Latn-RS"/>
        </w:rPr>
        <w:t>kod</w:t>
      </w:r>
      <w:r w:rsidR="00D75D1B" w:rsidRPr="00D75D1B">
        <w:rPr>
          <w:lang w:val="sr-Latn-RS"/>
        </w:rPr>
        <w:t xml:space="preserve"> 6,0% nepoznato, a </w:t>
      </w:r>
      <w:r w:rsidR="00D75D1B">
        <w:rPr>
          <w:lang w:val="sr-Latn-RS"/>
        </w:rPr>
        <w:t>kod</w:t>
      </w:r>
      <w:r w:rsidR="00D75D1B" w:rsidRPr="00D75D1B">
        <w:rPr>
          <w:lang w:val="sr-Latn-RS"/>
        </w:rPr>
        <w:t xml:space="preserve"> 2,8% njih nekom drugom metodom. </w:t>
      </w:r>
      <w:r w:rsidRPr="000132D2">
        <w:rPr>
          <w:lang w:val="sr-Latn-RS"/>
        </w:rPr>
        <w:t>Najčešći partneri RET fuzije bili su KIF5B (70,</w:t>
      </w:r>
      <w:r w:rsidR="00D75D1B">
        <w:rPr>
          <w:lang w:val="sr-Latn-RS"/>
        </w:rPr>
        <w:t>1</w:t>
      </w:r>
      <w:r w:rsidRPr="000132D2">
        <w:rPr>
          <w:lang w:val="sr-Latn-RS"/>
        </w:rPr>
        <w:t>%) i CCD6 (17,</w:t>
      </w:r>
      <w:r w:rsidR="00D75D1B">
        <w:rPr>
          <w:lang w:val="sr-Latn-RS"/>
        </w:rPr>
        <w:t>8</w:t>
      </w:r>
      <w:r w:rsidRPr="000132D2">
        <w:rPr>
          <w:lang w:val="sr-Latn-RS"/>
        </w:rPr>
        <w:t>%).</w:t>
      </w:r>
    </w:p>
    <w:p w14:paraId="20D1BDB9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29681B61" w14:textId="4B5EB18E" w:rsidR="00593739" w:rsidRPr="000132D2" w:rsidRDefault="00593739" w:rsidP="00593739">
      <w:pPr>
        <w:pStyle w:val="BodyText"/>
        <w:ind w:left="118" w:right="282"/>
        <w:jc w:val="both"/>
        <w:rPr>
          <w:lang w:val="sr-Latn-RS"/>
        </w:rPr>
      </w:pPr>
      <w:r w:rsidRPr="000132D2">
        <w:rPr>
          <w:lang w:val="sr-Latn-RS"/>
        </w:rPr>
        <w:t xml:space="preserve">Kratak pregled rezultata efikasnosti dat je u tabeli 4. Medijana vremena do prvog odgovora bila je 1,8 </w:t>
      </w:r>
      <w:r w:rsidR="00513EC0">
        <w:rPr>
          <w:lang w:val="sr-Latn-RS"/>
        </w:rPr>
        <w:t>mjesec</w:t>
      </w:r>
      <w:r w:rsidRPr="000132D2">
        <w:rPr>
          <w:lang w:val="sr-Latn-RS"/>
        </w:rPr>
        <w:t xml:space="preserve">i za sveukupnu populaciju (raspon: 0,9 – </w:t>
      </w:r>
      <w:r w:rsidR="00D75D1B">
        <w:rPr>
          <w:lang w:val="sr-Latn-RS"/>
        </w:rPr>
        <w:t>20,5</w:t>
      </w:r>
      <w:r w:rsidRPr="000132D2">
        <w:rPr>
          <w:lang w:val="sr-Latn-RS"/>
        </w:rPr>
        <w:t xml:space="preserve"> </w:t>
      </w:r>
      <w:r w:rsidR="00D75D1B">
        <w:rPr>
          <w:lang w:val="sr-Latn-RS"/>
        </w:rPr>
        <w:t>mjeseci</w:t>
      </w:r>
      <w:r w:rsidRPr="000132D2">
        <w:rPr>
          <w:lang w:val="sr-Latn-RS"/>
        </w:rPr>
        <w:t xml:space="preserve">), kao i za pacijente prethodno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 xml:space="preserve">ne platinskom hemioterapijom (raspon: 1,3 – 11,4 </w:t>
      </w:r>
      <w:r w:rsidR="00513EC0">
        <w:rPr>
          <w:lang w:val="sr-Latn-RS"/>
        </w:rPr>
        <w:t>mjesec</w:t>
      </w:r>
      <w:r w:rsidRPr="000132D2">
        <w:rPr>
          <w:lang w:val="sr-Latn-RS"/>
        </w:rPr>
        <w:t xml:space="preserve">a) i pacijente koji ranije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primali terapiju (raspon: 0,9 – </w:t>
      </w:r>
      <w:r w:rsidR="00D75D1B">
        <w:rPr>
          <w:lang w:val="sr-Latn-RS"/>
        </w:rPr>
        <w:t>20,5</w:t>
      </w:r>
      <w:r w:rsidRPr="000132D2">
        <w:rPr>
          <w:lang w:val="sr-Latn-RS"/>
        </w:rPr>
        <w:t xml:space="preserve"> </w:t>
      </w:r>
      <w:r w:rsidR="00513EC0">
        <w:rPr>
          <w:lang w:val="sr-Latn-RS"/>
        </w:rPr>
        <w:t>mjesec</w:t>
      </w:r>
      <w:r w:rsidR="00D75D1B">
        <w:rPr>
          <w:lang w:val="sr-Latn-RS"/>
        </w:rPr>
        <w:t>i</w:t>
      </w:r>
      <w:r w:rsidRPr="000132D2">
        <w:rPr>
          <w:lang w:val="sr-Latn-RS"/>
        </w:rPr>
        <w:t>).</w:t>
      </w:r>
    </w:p>
    <w:p w14:paraId="060835F8" w14:textId="77777777" w:rsidR="00593739" w:rsidRDefault="00593739" w:rsidP="00593739">
      <w:pPr>
        <w:jc w:val="both"/>
        <w:rPr>
          <w:lang w:val="sr-Latn-RS"/>
        </w:rPr>
      </w:pPr>
    </w:p>
    <w:p w14:paraId="040B2F6F" w14:textId="15FB9DF4" w:rsidR="00593739" w:rsidRPr="000132D2" w:rsidRDefault="00593739" w:rsidP="00593739">
      <w:pPr>
        <w:pStyle w:val="Heading1"/>
        <w:tabs>
          <w:tab w:val="left" w:pos="1666"/>
        </w:tabs>
        <w:spacing w:before="70"/>
        <w:ind w:left="226" w:right="255" w:firstLine="0"/>
        <w:jc w:val="both"/>
        <w:rPr>
          <w:lang w:val="sr-Latn-RS"/>
        </w:rPr>
      </w:pPr>
      <w:r w:rsidRPr="000132D2">
        <w:rPr>
          <w:lang w:val="sr-Latn-RS"/>
        </w:rPr>
        <w:t>Tabela 4:</w:t>
      </w:r>
      <w:r w:rsidR="00811ABC">
        <w:rPr>
          <w:lang w:val="sr-Latn-RS"/>
        </w:rPr>
        <w:t xml:space="preserve"> </w:t>
      </w:r>
      <w:r w:rsidRPr="000132D2">
        <w:rPr>
          <w:lang w:val="sr-Latn-RS"/>
        </w:rPr>
        <w:t>Rezultati efikasnosti za uznapredovali NSCLC pozitivan na RET fuziju (ARROW) (populacija kod koje je procenjivana efikasnost)</w:t>
      </w:r>
    </w:p>
    <w:p w14:paraId="3C275B9D" w14:textId="77777777" w:rsidR="00593739" w:rsidRPr="000132D2" w:rsidRDefault="00593739" w:rsidP="00593739">
      <w:pPr>
        <w:pStyle w:val="BodyText"/>
        <w:spacing w:before="4"/>
        <w:jc w:val="both"/>
        <w:rPr>
          <w:b/>
          <w:lang w:val="sr-Latn-RS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623"/>
        <w:gridCol w:w="1808"/>
        <w:gridCol w:w="1808"/>
        <w:gridCol w:w="1852"/>
      </w:tblGrid>
      <w:tr w:rsidR="00593739" w:rsidRPr="000132D2" w14:paraId="22F64863" w14:textId="77777777" w:rsidTr="00573A31">
        <w:trPr>
          <w:trHeight w:val="1516"/>
        </w:trPr>
        <w:tc>
          <w:tcPr>
            <w:tcW w:w="1985" w:type="dxa"/>
          </w:tcPr>
          <w:p w14:paraId="4CF268E8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b/>
                <w:sz w:val="24"/>
                <w:lang w:val="sr-Latn-RS"/>
              </w:rPr>
            </w:pPr>
          </w:p>
          <w:p w14:paraId="0AAF6214" w14:textId="77777777" w:rsidR="00593739" w:rsidRPr="000132D2" w:rsidRDefault="00593739" w:rsidP="00573A31">
            <w:pPr>
              <w:pStyle w:val="TableParagraph"/>
              <w:spacing w:before="10"/>
              <w:ind w:left="0"/>
              <w:jc w:val="both"/>
              <w:rPr>
                <w:b/>
                <w:sz w:val="19"/>
                <w:lang w:val="sr-Latn-RS"/>
              </w:rPr>
            </w:pPr>
          </w:p>
          <w:p w14:paraId="05524BEC" w14:textId="77777777" w:rsidR="00593739" w:rsidRPr="000132D2" w:rsidRDefault="00593739" w:rsidP="00573A31">
            <w:pPr>
              <w:pStyle w:val="TableParagraph"/>
              <w:ind w:right="657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Parametar efikasnosti</w:t>
            </w:r>
          </w:p>
        </w:tc>
        <w:tc>
          <w:tcPr>
            <w:tcW w:w="1623" w:type="dxa"/>
          </w:tcPr>
          <w:p w14:paraId="4137481E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b/>
                <w:sz w:val="24"/>
                <w:lang w:val="sr-Latn-RS"/>
              </w:rPr>
            </w:pPr>
          </w:p>
          <w:p w14:paraId="00D68743" w14:textId="77777777" w:rsidR="00593739" w:rsidRPr="000132D2" w:rsidRDefault="00593739" w:rsidP="00573A31">
            <w:pPr>
              <w:pStyle w:val="TableParagraph"/>
              <w:spacing w:before="10"/>
              <w:ind w:left="0"/>
              <w:jc w:val="both"/>
              <w:rPr>
                <w:b/>
                <w:sz w:val="19"/>
                <w:lang w:val="sr-Latn-RS"/>
              </w:rPr>
            </w:pPr>
          </w:p>
          <w:p w14:paraId="410FB915" w14:textId="0ACE789E" w:rsidR="00593739" w:rsidRPr="000132D2" w:rsidRDefault="00593739" w:rsidP="00D75D1B">
            <w:pPr>
              <w:pStyle w:val="TableParagraph"/>
              <w:ind w:left="321" w:right="211" w:firstLine="90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Ukupno (N = </w:t>
            </w:r>
            <w:r w:rsidR="00D75D1B">
              <w:rPr>
                <w:b/>
                <w:bCs/>
                <w:lang w:val="sr-Latn-RS"/>
              </w:rPr>
              <w:t>281</w:t>
            </w:r>
            <w:r w:rsidRPr="000132D2">
              <w:rPr>
                <w:b/>
                <w:bCs/>
                <w:lang w:val="sr-Latn-RS"/>
              </w:rPr>
              <w:t>)</w:t>
            </w:r>
          </w:p>
        </w:tc>
        <w:tc>
          <w:tcPr>
            <w:tcW w:w="1808" w:type="dxa"/>
          </w:tcPr>
          <w:p w14:paraId="133C26C3" w14:textId="2DF60BAF" w:rsidR="00593739" w:rsidRPr="000132D2" w:rsidRDefault="00593739" w:rsidP="00D75D1B">
            <w:pPr>
              <w:pStyle w:val="TableParagraph"/>
              <w:spacing w:before="125"/>
              <w:ind w:left="229" w:right="40" w:hanging="229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Prethodno </w:t>
            </w:r>
            <w:r w:rsidR="00573A31">
              <w:rPr>
                <w:b/>
                <w:bCs/>
                <w:lang w:val="sr-Latn-RS"/>
              </w:rPr>
              <w:t>liječe</w:t>
            </w:r>
            <w:r w:rsidRPr="000132D2">
              <w:rPr>
                <w:b/>
                <w:bCs/>
                <w:lang w:val="sr-Latn-RS"/>
              </w:rPr>
              <w:t xml:space="preserve">ni platinskom hemioterapijom (N = </w:t>
            </w:r>
            <w:r w:rsidR="00D75D1B">
              <w:rPr>
                <w:b/>
                <w:bCs/>
                <w:lang w:val="sr-Latn-RS"/>
              </w:rPr>
              <w:t>141</w:t>
            </w:r>
            <w:r w:rsidRPr="000132D2">
              <w:rPr>
                <w:b/>
                <w:bCs/>
                <w:lang w:val="sr-Latn-RS"/>
              </w:rPr>
              <w:t>)</w:t>
            </w:r>
          </w:p>
        </w:tc>
        <w:tc>
          <w:tcPr>
            <w:tcW w:w="1808" w:type="dxa"/>
          </w:tcPr>
          <w:p w14:paraId="05A7B466" w14:textId="70E745B2" w:rsidR="00593739" w:rsidRPr="000132D2" w:rsidRDefault="00593739" w:rsidP="00AC7849">
            <w:pPr>
              <w:pStyle w:val="TableParagraph"/>
              <w:tabs>
                <w:tab w:val="left" w:pos="1400"/>
              </w:tabs>
              <w:ind w:left="258" w:right="138" w:firstLine="12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Prethodno </w:t>
            </w:r>
            <w:r w:rsidR="00573A31">
              <w:rPr>
                <w:b/>
                <w:bCs/>
                <w:lang w:val="sr-Latn-RS"/>
              </w:rPr>
              <w:t>liječe</w:t>
            </w:r>
            <w:r w:rsidRPr="000132D2">
              <w:rPr>
                <w:b/>
                <w:bCs/>
                <w:lang w:val="sr-Latn-RS"/>
              </w:rPr>
              <w:t xml:space="preserve">ni sistemskom terapijom koja nije </w:t>
            </w:r>
            <w:r w:rsidR="00B45A11">
              <w:rPr>
                <w:b/>
                <w:bCs/>
                <w:lang w:val="sr-Latn-RS"/>
              </w:rPr>
              <w:t xml:space="preserve">sadržala </w:t>
            </w:r>
            <w:r w:rsidRPr="000132D2">
              <w:rPr>
                <w:b/>
                <w:bCs/>
                <w:lang w:val="sr-Latn-RS"/>
              </w:rPr>
              <w:t>plati</w:t>
            </w:r>
            <w:r w:rsidR="00B45A11">
              <w:rPr>
                <w:b/>
                <w:bCs/>
                <w:lang w:val="sr-Latn-RS"/>
              </w:rPr>
              <w:t>nu</w:t>
            </w:r>
          </w:p>
          <w:p w14:paraId="0DC07151" w14:textId="532AFA96" w:rsidR="00593739" w:rsidRPr="000132D2" w:rsidRDefault="00593739" w:rsidP="00D75D1B">
            <w:pPr>
              <w:pStyle w:val="TableParagraph"/>
              <w:spacing w:line="233" w:lineRule="exact"/>
              <w:ind w:left="258" w:right="178" w:firstLine="12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(N = </w:t>
            </w:r>
            <w:r w:rsidR="00D75D1B" w:rsidRPr="000132D2">
              <w:rPr>
                <w:b/>
                <w:bCs/>
                <w:lang w:val="sr-Latn-RS"/>
              </w:rPr>
              <w:t>2</w:t>
            </w:r>
            <w:r w:rsidR="00D75D1B">
              <w:rPr>
                <w:b/>
                <w:bCs/>
                <w:lang w:val="sr-Latn-RS"/>
              </w:rPr>
              <w:t>4</w:t>
            </w:r>
            <w:r w:rsidRPr="000132D2">
              <w:rPr>
                <w:b/>
                <w:bCs/>
                <w:lang w:val="sr-Latn-RS"/>
              </w:rPr>
              <w:t>)</w:t>
            </w:r>
          </w:p>
        </w:tc>
        <w:tc>
          <w:tcPr>
            <w:tcW w:w="1852" w:type="dxa"/>
          </w:tcPr>
          <w:p w14:paraId="2AC7F61C" w14:textId="77777777" w:rsidR="00593739" w:rsidRPr="000132D2" w:rsidRDefault="00593739" w:rsidP="00573A31">
            <w:pPr>
              <w:pStyle w:val="TableParagraph"/>
              <w:ind w:left="0"/>
              <w:jc w:val="both"/>
              <w:rPr>
                <w:b/>
                <w:sz w:val="24"/>
                <w:lang w:val="sr-Latn-RS"/>
              </w:rPr>
            </w:pPr>
          </w:p>
          <w:p w14:paraId="5439672A" w14:textId="77777777" w:rsidR="00593739" w:rsidRPr="000132D2" w:rsidRDefault="00593739" w:rsidP="00573A31">
            <w:pPr>
              <w:pStyle w:val="TableParagraph"/>
              <w:spacing w:before="10"/>
              <w:ind w:left="0"/>
              <w:jc w:val="both"/>
              <w:rPr>
                <w:b/>
                <w:sz w:val="19"/>
                <w:lang w:val="sr-Latn-RS"/>
              </w:rPr>
            </w:pPr>
          </w:p>
          <w:p w14:paraId="39378BAD" w14:textId="32DC274E" w:rsidR="00593739" w:rsidRPr="000132D2" w:rsidRDefault="00593739" w:rsidP="00D75D1B">
            <w:pPr>
              <w:pStyle w:val="TableParagraph"/>
              <w:ind w:left="42" w:right="14" w:hanging="42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Prethodno ne</w:t>
            </w:r>
            <w:r w:rsidR="00573A31">
              <w:rPr>
                <w:b/>
                <w:bCs/>
                <w:lang w:val="sr-Latn-RS"/>
              </w:rPr>
              <w:t>liječe</w:t>
            </w:r>
            <w:r w:rsidRPr="000132D2">
              <w:rPr>
                <w:b/>
                <w:bCs/>
                <w:lang w:val="sr-Latn-RS"/>
              </w:rPr>
              <w:t xml:space="preserve">ni (N = </w:t>
            </w:r>
            <w:r w:rsidR="00D75D1B">
              <w:rPr>
                <w:b/>
                <w:bCs/>
                <w:lang w:val="sr-Latn-RS"/>
              </w:rPr>
              <w:t>116</w:t>
            </w:r>
            <w:r w:rsidRPr="000132D2">
              <w:rPr>
                <w:b/>
                <w:bCs/>
                <w:lang w:val="sr-Latn-RS"/>
              </w:rPr>
              <w:t>)</w:t>
            </w:r>
          </w:p>
        </w:tc>
      </w:tr>
      <w:tr w:rsidR="00593739" w:rsidRPr="000132D2" w14:paraId="136C654A" w14:textId="77777777" w:rsidTr="00573A31">
        <w:trPr>
          <w:trHeight w:val="760"/>
        </w:trPr>
        <w:tc>
          <w:tcPr>
            <w:tcW w:w="1985" w:type="dxa"/>
          </w:tcPr>
          <w:p w14:paraId="5D43BDF4" w14:textId="7369B65F" w:rsidR="00593739" w:rsidRPr="000132D2" w:rsidRDefault="00B45A11" w:rsidP="00AC7849">
            <w:pPr>
              <w:pStyle w:val="TableParagraph"/>
              <w:tabs>
                <w:tab w:val="left" w:pos="1415"/>
              </w:tabs>
              <w:spacing w:before="5" w:line="235" w:lineRule="auto"/>
              <w:rPr>
                <w:lang w:val="sr-Latn-RS"/>
              </w:rPr>
            </w:pPr>
            <w:r>
              <w:rPr>
                <w:b/>
                <w:bCs/>
                <w:lang w:val="sr-Latn-RS"/>
              </w:rPr>
              <w:t>Stopa ukupnog odgovora</w:t>
            </w:r>
            <w:r w:rsidR="00593739" w:rsidRPr="000132D2">
              <w:rPr>
                <w:lang w:val="sr-Latn-RS"/>
              </w:rPr>
              <w:t xml:space="preserve"> </w:t>
            </w:r>
            <w:r w:rsidR="00593739" w:rsidRPr="000132D2">
              <w:rPr>
                <w:b/>
                <w:bCs/>
                <w:lang w:val="sr-Latn-RS"/>
              </w:rPr>
              <w:t>(ORR)</w:t>
            </w:r>
            <w:r w:rsidR="00593739" w:rsidRPr="000132D2">
              <w:rPr>
                <w:vertAlign w:val="superscript"/>
                <w:lang w:val="sr-Latn-RS"/>
              </w:rPr>
              <w:t>a</w:t>
            </w:r>
          </w:p>
          <w:p w14:paraId="0ADB1821" w14:textId="77777777" w:rsidR="00593739" w:rsidRPr="000132D2" w:rsidRDefault="00593739" w:rsidP="00AC7849">
            <w:pPr>
              <w:pStyle w:val="TableParagraph"/>
              <w:spacing w:line="240" w:lineRule="exact"/>
              <w:rPr>
                <w:lang w:val="sr-Latn-RS"/>
              </w:rPr>
            </w:pPr>
            <w:r w:rsidRPr="000132D2">
              <w:rPr>
                <w:lang w:val="sr-Latn-RS"/>
              </w:rPr>
              <w:t>(95% CI)</w:t>
            </w:r>
          </w:p>
        </w:tc>
        <w:tc>
          <w:tcPr>
            <w:tcW w:w="1623" w:type="dxa"/>
          </w:tcPr>
          <w:p w14:paraId="12395F57" w14:textId="42DCBADF" w:rsidR="00593739" w:rsidRPr="000132D2" w:rsidRDefault="00384BBA" w:rsidP="00573A31">
            <w:pPr>
              <w:pStyle w:val="TableParagraph"/>
              <w:spacing w:before="121"/>
              <w:ind w:left="91" w:right="88"/>
              <w:jc w:val="both"/>
              <w:rPr>
                <w:lang w:val="sr-Latn-RS"/>
              </w:rPr>
            </w:pPr>
            <w:r>
              <w:rPr>
                <w:lang w:val="sr-Latn-RS"/>
              </w:rPr>
              <w:t>65,8</w:t>
            </w:r>
            <w:r w:rsidR="00593739" w:rsidRPr="000132D2">
              <w:rPr>
                <w:lang w:val="sr-Latn-RS"/>
              </w:rPr>
              <w:t>%</w:t>
            </w:r>
          </w:p>
          <w:p w14:paraId="3E0B4CAB" w14:textId="7CC6BCE3" w:rsidR="00593739" w:rsidRPr="000132D2" w:rsidRDefault="00593739" w:rsidP="00384BBA">
            <w:pPr>
              <w:pStyle w:val="TableParagraph"/>
              <w:spacing w:before="1"/>
              <w:ind w:left="92" w:right="88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(</w:t>
            </w:r>
            <w:r w:rsidR="00384BBA">
              <w:rPr>
                <w:lang w:val="sr-Latn-RS"/>
              </w:rPr>
              <w:t>60,0</w:t>
            </w:r>
            <w:r w:rsidR="00384BBA" w:rsidRPr="000132D2">
              <w:rPr>
                <w:lang w:val="sr-Latn-RS"/>
              </w:rPr>
              <w:t>%</w:t>
            </w:r>
            <w:r w:rsidR="00384BBA">
              <w:rPr>
                <w:lang w:val="sr-Latn-RS"/>
              </w:rPr>
              <w:t>;</w:t>
            </w:r>
            <w:r w:rsidR="00384BBA" w:rsidRPr="000132D2">
              <w:rPr>
                <w:lang w:val="sr-Latn-RS"/>
              </w:rPr>
              <w:t xml:space="preserve"> </w:t>
            </w:r>
            <w:r w:rsidR="00384BBA">
              <w:rPr>
                <w:lang w:val="sr-Latn-RS"/>
              </w:rPr>
              <w:t>71,4</w:t>
            </w:r>
            <w:r w:rsidRPr="000132D2">
              <w:rPr>
                <w:lang w:val="sr-Latn-RS"/>
              </w:rPr>
              <w:t>%)</w:t>
            </w:r>
          </w:p>
        </w:tc>
        <w:tc>
          <w:tcPr>
            <w:tcW w:w="1808" w:type="dxa"/>
          </w:tcPr>
          <w:p w14:paraId="52892193" w14:textId="6F49437A" w:rsidR="00593739" w:rsidRPr="000132D2" w:rsidRDefault="00384BBA" w:rsidP="00573A31">
            <w:pPr>
              <w:pStyle w:val="TableParagraph"/>
              <w:spacing w:before="121"/>
              <w:ind w:left="186" w:right="177"/>
              <w:jc w:val="both"/>
              <w:rPr>
                <w:lang w:val="sr-Latn-RS"/>
              </w:rPr>
            </w:pPr>
            <w:r>
              <w:rPr>
                <w:lang w:val="sr-Latn-RS"/>
              </w:rPr>
              <w:t>59,6</w:t>
            </w:r>
            <w:r w:rsidR="00593739" w:rsidRPr="000132D2">
              <w:rPr>
                <w:lang w:val="sr-Latn-RS"/>
              </w:rPr>
              <w:t>%</w:t>
            </w:r>
          </w:p>
          <w:p w14:paraId="71D9DBFE" w14:textId="74648D03" w:rsidR="00593739" w:rsidRPr="000132D2" w:rsidRDefault="00593739" w:rsidP="00384BBA">
            <w:pPr>
              <w:pStyle w:val="TableParagraph"/>
              <w:spacing w:before="1"/>
              <w:ind w:left="186" w:right="180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(</w:t>
            </w:r>
            <w:r w:rsidR="00384BBA">
              <w:rPr>
                <w:lang w:val="sr-Latn-RS"/>
              </w:rPr>
              <w:t>51,0</w:t>
            </w:r>
            <w:r w:rsidR="00384BBA" w:rsidRPr="000132D2">
              <w:rPr>
                <w:lang w:val="sr-Latn-RS"/>
              </w:rPr>
              <w:t>%</w:t>
            </w:r>
            <w:r w:rsidR="00384BBA">
              <w:rPr>
                <w:lang w:val="sr-Latn-RS"/>
              </w:rPr>
              <w:t>;</w:t>
            </w:r>
            <w:r w:rsidRPr="000132D2">
              <w:rPr>
                <w:lang w:val="sr-Latn-RS"/>
              </w:rPr>
              <w:t>67,</w:t>
            </w:r>
            <w:r w:rsidR="00384BBA">
              <w:rPr>
                <w:lang w:val="sr-Latn-RS"/>
              </w:rPr>
              <w:t>7</w:t>
            </w:r>
            <w:r w:rsidRPr="000132D2">
              <w:rPr>
                <w:lang w:val="sr-Latn-RS"/>
              </w:rPr>
              <w:t>%)</w:t>
            </w:r>
          </w:p>
        </w:tc>
        <w:tc>
          <w:tcPr>
            <w:tcW w:w="1808" w:type="dxa"/>
          </w:tcPr>
          <w:p w14:paraId="4DD98613" w14:textId="5082A074" w:rsidR="00593739" w:rsidRPr="000132D2" w:rsidRDefault="00384BBA" w:rsidP="00573A31">
            <w:pPr>
              <w:pStyle w:val="TableParagraph"/>
              <w:spacing w:before="121"/>
              <w:ind w:left="186" w:right="178"/>
              <w:jc w:val="both"/>
              <w:rPr>
                <w:lang w:val="sr-Latn-RS"/>
              </w:rPr>
            </w:pPr>
            <w:r>
              <w:rPr>
                <w:lang w:val="sr-Latn-RS"/>
              </w:rPr>
              <w:t>70,8</w:t>
            </w:r>
            <w:r w:rsidR="00593739" w:rsidRPr="000132D2">
              <w:rPr>
                <w:lang w:val="sr-Latn-RS"/>
              </w:rPr>
              <w:t>%</w:t>
            </w:r>
          </w:p>
          <w:p w14:paraId="2CF968D6" w14:textId="6A531AEB" w:rsidR="00593739" w:rsidRPr="000132D2" w:rsidRDefault="00593739" w:rsidP="00384BBA">
            <w:pPr>
              <w:pStyle w:val="TableParagraph"/>
              <w:spacing w:before="1"/>
              <w:ind w:left="186" w:right="180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(</w:t>
            </w:r>
            <w:r w:rsidR="00384BBA">
              <w:rPr>
                <w:lang w:val="sr-Latn-RS"/>
              </w:rPr>
              <w:t>48,9</w:t>
            </w:r>
            <w:r w:rsidR="00384BBA" w:rsidRPr="000132D2">
              <w:rPr>
                <w:lang w:val="sr-Latn-RS"/>
              </w:rPr>
              <w:t>%</w:t>
            </w:r>
            <w:r w:rsidR="00384BBA">
              <w:rPr>
                <w:lang w:val="sr-Latn-RS"/>
              </w:rPr>
              <w:t>;</w:t>
            </w:r>
            <w:r w:rsidR="00384BBA" w:rsidRPr="000132D2">
              <w:rPr>
                <w:lang w:val="sr-Latn-RS"/>
              </w:rPr>
              <w:t xml:space="preserve"> </w:t>
            </w:r>
            <w:r w:rsidR="00384BBA">
              <w:rPr>
                <w:lang w:val="sr-Latn-RS"/>
              </w:rPr>
              <w:t>87,4</w:t>
            </w:r>
            <w:r w:rsidRPr="000132D2">
              <w:rPr>
                <w:lang w:val="sr-Latn-RS"/>
              </w:rPr>
              <w:t>%)</w:t>
            </w:r>
          </w:p>
        </w:tc>
        <w:tc>
          <w:tcPr>
            <w:tcW w:w="1852" w:type="dxa"/>
          </w:tcPr>
          <w:p w14:paraId="77379CBA" w14:textId="113C88E8" w:rsidR="00593739" w:rsidRPr="000132D2" w:rsidRDefault="00593739" w:rsidP="00573A31">
            <w:pPr>
              <w:pStyle w:val="TableParagraph"/>
              <w:spacing w:before="121"/>
              <w:ind w:left="205" w:right="203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72,</w:t>
            </w:r>
            <w:r w:rsidR="00384BBA">
              <w:rPr>
                <w:lang w:val="sr-Latn-RS"/>
              </w:rPr>
              <w:t>4</w:t>
            </w:r>
            <w:r w:rsidRPr="000132D2">
              <w:rPr>
                <w:lang w:val="sr-Latn-RS"/>
              </w:rPr>
              <w:t>%</w:t>
            </w:r>
          </w:p>
          <w:p w14:paraId="2B84743F" w14:textId="1B07CB11" w:rsidR="00593739" w:rsidRPr="000132D2" w:rsidRDefault="00593739" w:rsidP="00384BBA">
            <w:pPr>
              <w:pStyle w:val="TableParagraph"/>
              <w:spacing w:before="1"/>
              <w:ind w:left="206" w:right="203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(</w:t>
            </w:r>
            <w:r w:rsidR="00384BBA">
              <w:rPr>
                <w:lang w:val="sr-Latn-RS"/>
              </w:rPr>
              <w:t>63,3</w:t>
            </w:r>
            <w:r w:rsidR="00384BBA" w:rsidRPr="000132D2">
              <w:rPr>
                <w:lang w:val="sr-Latn-RS"/>
              </w:rPr>
              <w:t>%</w:t>
            </w:r>
            <w:r w:rsidR="00384BBA">
              <w:rPr>
                <w:lang w:val="sr-Latn-RS"/>
              </w:rPr>
              <w:t>;</w:t>
            </w:r>
            <w:r w:rsidR="00384BBA" w:rsidRPr="000132D2">
              <w:rPr>
                <w:lang w:val="sr-Latn-RS"/>
              </w:rPr>
              <w:t xml:space="preserve"> </w:t>
            </w:r>
            <w:r w:rsidR="00384BBA">
              <w:rPr>
                <w:lang w:val="sr-Latn-RS"/>
              </w:rPr>
              <w:t>80,3</w:t>
            </w:r>
            <w:r w:rsidRPr="000132D2">
              <w:rPr>
                <w:lang w:val="sr-Latn-RS"/>
              </w:rPr>
              <w:t>%)</w:t>
            </w:r>
          </w:p>
        </w:tc>
      </w:tr>
      <w:tr w:rsidR="00593739" w:rsidRPr="000132D2" w14:paraId="1D498C5B" w14:textId="77777777" w:rsidTr="00573A31">
        <w:trPr>
          <w:trHeight w:val="566"/>
        </w:trPr>
        <w:tc>
          <w:tcPr>
            <w:tcW w:w="1985" w:type="dxa"/>
          </w:tcPr>
          <w:p w14:paraId="4076778A" w14:textId="77777777" w:rsidR="00593739" w:rsidRDefault="00593739" w:rsidP="00573A31">
            <w:pPr>
              <w:pStyle w:val="TableParagraph"/>
              <w:spacing w:before="25"/>
              <w:ind w:right="112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 xml:space="preserve">Potpun odgovor, </w:t>
            </w:r>
          </w:p>
          <w:p w14:paraId="1BD4B0B1" w14:textId="77777777" w:rsidR="00593739" w:rsidRPr="000132D2" w:rsidRDefault="00593739" w:rsidP="00573A31">
            <w:pPr>
              <w:pStyle w:val="TableParagraph"/>
              <w:spacing w:before="25"/>
              <w:ind w:right="112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n (%)</w:t>
            </w:r>
          </w:p>
        </w:tc>
        <w:tc>
          <w:tcPr>
            <w:tcW w:w="1623" w:type="dxa"/>
          </w:tcPr>
          <w:p w14:paraId="498B3BAF" w14:textId="25CCF2E3" w:rsidR="00593739" w:rsidRPr="000132D2" w:rsidRDefault="00384BBA" w:rsidP="00384BBA">
            <w:pPr>
              <w:pStyle w:val="TableParagraph"/>
              <w:spacing w:before="149"/>
              <w:ind w:left="92" w:right="86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1</w:t>
            </w:r>
            <w:r>
              <w:rPr>
                <w:lang w:val="sr-Latn-RS"/>
              </w:rPr>
              <w:t>8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(</w:t>
            </w:r>
            <w:r>
              <w:rPr>
                <w:lang w:val="sr-Latn-RS"/>
              </w:rPr>
              <w:t>6,4</w:t>
            </w:r>
            <w:r w:rsidR="00593739" w:rsidRPr="000132D2">
              <w:rPr>
                <w:lang w:val="sr-Latn-RS"/>
              </w:rPr>
              <w:t>)</w:t>
            </w:r>
          </w:p>
        </w:tc>
        <w:tc>
          <w:tcPr>
            <w:tcW w:w="1808" w:type="dxa"/>
          </w:tcPr>
          <w:p w14:paraId="7D7D8A0D" w14:textId="7A0BF0FD" w:rsidR="00593739" w:rsidRPr="000132D2" w:rsidRDefault="00384BBA" w:rsidP="00384BBA">
            <w:pPr>
              <w:pStyle w:val="TableParagraph"/>
              <w:spacing w:before="149"/>
              <w:ind w:left="186" w:right="179"/>
              <w:jc w:val="both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(</w:t>
            </w:r>
            <w:r>
              <w:rPr>
                <w:lang w:val="sr-Latn-RS"/>
              </w:rPr>
              <w:t>7</w:t>
            </w:r>
            <w:r w:rsidR="00593739" w:rsidRPr="000132D2">
              <w:rPr>
                <w:lang w:val="sr-Latn-RS"/>
              </w:rPr>
              <w:t>,1)</w:t>
            </w:r>
          </w:p>
        </w:tc>
        <w:tc>
          <w:tcPr>
            <w:tcW w:w="1808" w:type="dxa"/>
          </w:tcPr>
          <w:p w14:paraId="542620FD" w14:textId="32C6FA01" w:rsidR="00593739" w:rsidRPr="000132D2" w:rsidRDefault="00E75CCF" w:rsidP="00573A31">
            <w:pPr>
              <w:pStyle w:val="TableParagraph"/>
              <w:spacing w:before="149"/>
              <w:ind w:left="5"/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  <w:r w:rsidR="00593739" w:rsidRPr="000132D2">
              <w:rPr>
                <w:lang w:val="sr-Latn-RS"/>
              </w:rPr>
              <w:t>0</w:t>
            </w:r>
          </w:p>
        </w:tc>
        <w:tc>
          <w:tcPr>
            <w:tcW w:w="1852" w:type="dxa"/>
          </w:tcPr>
          <w:p w14:paraId="55CC64F2" w14:textId="3DA52A40" w:rsidR="00593739" w:rsidRPr="000132D2" w:rsidRDefault="00384BBA" w:rsidP="00384BBA">
            <w:pPr>
              <w:pStyle w:val="TableParagraph"/>
              <w:spacing w:before="149"/>
              <w:ind w:left="206" w:right="201"/>
              <w:jc w:val="both"/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(</w:t>
            </w:r>
            <w:r>
              <w:rPr>
                <w:lang w:val="sr-Latn-RS"/>
              </w:rPr>
              <w:t>6,9</w:t>
            </w:r>
            <w:r w:rsidR="00593739" w:rsidRPr="000132D2">
              <w:rPr>
                <w:lang w:val="sr-Latn-RS"/>
              </w:rPr>
              <w:t>)</w:t>
            </w:r>
          </w:p>
        </w:tc>
      </w:tr>
      <w:tr w:rsidR="00593739" w:rsidRPr="000132D2" w14:paraId="47776B00" w14:textId="77777777" w:rsidTr="00573A31">
        <w:trPr>
          <w:trHeight w:val="568"/>
        </w:trPr>
        <w:tc>
          <w:tcPr>
            <w:tcW w:w="1985" w:type="dxa"/>
          </w:tcPr>
          <w:p w14:paraId="299A3CE0" w14:textId="1C483750" w:rsidR="00593739" w:rsidRPr="000132D2" w:rsidRDefault="00150C32" w:rsidP="00573A31">
            <w:pPr>
              <w:pStyle w:val="TableParagraph"/>
              <w:spacing w:before="25"/>
              <w:ind w:right="228"/>
              <w:jc w:val="both"/>
              <w:rPr>
                <w:lang w:val="sr-Latn-RS"/>
              </w:rPr>
            </w:pPr>
            <w:r>
              <w:rPr>
                <w:lang w:val="sr-Latn-RS"/>
              </w:rPr>
              <w:t>Djelimič</w:t>
            </w:r>
            <w:r w:rsidR="00593739" w:rsidRPr="000132D2">
              <w:rPr>
                <w:lang w:val="sr-Latn-RS"/>
              </w:rPr>
              <w:t>an odgovor, n (%)</w:t>
            </w:r>
          </w:p>
        </w:tc>
        <w:tc>
          <w:tcPr>
            <w:tcW w:w="1623" w:type="dxa"/>
          </w:tcPr>
          <w:p w14:paraId="1D1E3199" w14:textId="725CFA28" w:rsidR="00593739" w:rsidRPr="000132D2" w:rsidRDefault="00384BBA" w:rsidP="00384BBA">
            <w:pPr>
              <w:pStyle w:val="TableParagraph"/>
              <w:spacing w:before="152"/>
              <w:ind w:left="92" w:right="88"/>
              <w:jc w:val="both"/>
              <w:rPr>
                <w:lang w:val="sr-Latn-RS"/>
              </w:rPr>
            </w:pPr>
            <w:r>
              <w:rPr>
                <w:lang w:val="sr-Latn-RS"/>
              </w:rPr>
              <w:t>167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(59,</w:t>
            </w:r>
            <w:r>
              <w:rPr>
                <w:lang w:val="sr-Latn-RS"/>
              </w:rPr>
              <w:t>4</w:t>
            </w:r>
            <w:r w:rsidR="00593739" w:rsidRPr="000132D2">
              <w:rPr>
                <w:lang w:val="sr-Latn-RS"/>
              </w:rPr>
              <w:t>)</w:t>
            </w:r>
          </w:p>
        </w:tc>
        <w:tc>
          <w:tcPr>
            <w:tcW w:w="1808" w:type="dxa"/>
          </w:tcPr>
          <w:p w14:paraId="2A61745A" w14:textId="35C90B54" w:rsidR="00593739" w:rsidRPr="000132D2" w:rsidRDefault="00384BBA" w:rsidP="00384BBA">
            <w:pPr>
              <w:pStyle w:val="TableParagraph"/>
              <w:spacing w:before="152"/>
              <w:ind w:left="186" w:right="179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7</w:t>
            </w:r>
            <w:r>
              <w:rPr>
                <w:lang w:val="sr-Latn-RS"/>
              </w:rPr>
              <w:t>4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(</w:t>
            </w:r>
            <w:r>
              <w:rPr>
                <w:lang w:val="sr-Latn-RS"/>
              </w:rPr>
              <w:t>52,5</w:t>
            </w:r>
            <w:r w:rsidR="00593739" w:rsidRPr="000132D2">
              <w:rPr>
                <w:lang w:val="sr-Latn-RS"/>
              </w:rPr>
              <w:t>)</w:t>
            </w:r>
          </w:p>
        </w:tc>
        <w:tc>
          <w:tcPr>
            <w:tcW w:w="1808" w:type="dxa"/>
          </w:tcPr>
          <w:p w14:paraId="77B97C41" w14:textId="1358F11E" w:rsidR="00593739" w:rsidRPr="000132D2" w:rsidRDefault="00384BBA" w:rsidP="00384BBA">
            <w:pPr>
              <w:pStyle w:val="TableParagraph"/>
              <w:spacing w:before="152"/>
              <w:ind w:left="186" w:right="180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1</w:t>
            </w:r>
            <w:r>
              <w:rPr>
                <w:lang w:val="sr-Latn-RS"/>
              </w:rPr>
              <w:t>7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(</w:t>
            </w:r>
            <w:r>
              <w:rPr>
                <w:lang w:val="sr-Latn-RS"/>
              </w:rPr>
              <w:t>70,8</w:t>
            </w:r>
            <w:r w:rsidR="00593739" w:rsidRPr="000132D2">
              <w:rPr>
                <w:lang w:val="sr-Latn-RS"/>
              </w:rPr>
              <w:t>)</w:t>
            </w:r>
          </w:p>
        </w:tc>
        <w:tc>
          <w:tcPr>
            <w:tcW w:w="1852" w:type="dxa"/>
          </w:tcPr>
          <w:p w14:paraId="21E0C878" w14:textId="29A4FF3C" w:rsidR="00593739" w:rsidRPr="000132D2" w:rsidRDefault="00384BBA" w:rsidP="00384BBA">
            <w:pPr>
              <w:pStyle w:val="TableParagraph"/>
              <w:spacing w:before="152"/>
              <w:ind w:left="206" w:right="201"/>
              <w:jc w:val="both"/>
              <w:rPr>
                <w:lang w:val="sr-Latn-RS"/>
              </w:rPr>
            </w:pPr>
            <w:r>
              <w:rPr>
                <w:lang w:val="sr-Latn-RS"/>
              </w:rPr>
              <w:t>76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(</w:t>
            </w:r>
            <w:r>
              <w:rPr>
                <w:lang w:val="sr-Latn-RS"/>
              </w:rPr>
              <w:t>65,5</w:t>
            </w:r>
            <w:r w:rsidR="00593739" w:rsidRPr="000132D2">
              <w:rPr>
                <w:lang w:val="sr-Latn-RS"/>
              </w:rPr>
              <w:t>)</w:t>
            </w:r>
          </w:p>
        </w:tc>
      </w:tr>
      <w:tr w:rsidR="00593739" w:rsidRPr="000132D2" w14:paraId="71AFB168" w14:textId="77777777" w:rsidTr="00573A31">
        <w:trPr>
          <w:trHeight w:val="566"/>
        </w:trPr>
        <w:tc>
          <w:tcPr>
            <w:tcW w:w="1985" w:type="dxa"/>
          </w:tcPr>
          <w:p w14:paraId="4B50BCCF" w14:textId="77777777" w:rsidR="00593739" w:rsidRPr="000132D2" w:rsidRDefault="00593739" w:rsidP="00573A31">
            <w:pPr>
              <w:pStyle w:val="TableParagraph"/>
              <w:spacing w:before="27"/>
              <w:ind w:right="117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>Trajanje odgovora (DOR)</w:t>
            </w:r>
          </w:p>
        </w:tc>
        <w:tc>
          <w:tcPr>
            <w:tcW w:w="1623" w:type="dxa"/>
          </w:tcPr>
          <w:p w14:paraId="73683AEC" w14:textId="39E072B2" w:rsidR="00593739" w:rsidRPr="000132D2" w:rsidRDefault="00593739" w:rsidP="00384BBA">
            <w:pPr>
              <w:pStyle w:val="TableParagraph"/>
              <w:spacing w:before="154"/>
              <w:ind w:left="92" w:right="88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N = </w:t>
            </w:r>
            <w:r w:rsidR="00384BBA">
              <w:rPr>
                <w:b/>
                <w:bCs/>
                <w:lang w:val="sr-Latn-RS"/>
              </w:rPr>
              <w:t>185</w:t>
            </w:r>
          </w:p>
        </w:tc>
        <w:tc>
          <w:tcPr>
            <w:tcW w:w="1808" w:type="dxa"/>
          </w:tcPr>
          <w:p w14:paraId="00A954E4" w14:textId="729CDE98" w:rsidR="00593739" w:rsidRPr="000132D2" w:rsidRDefault="00593739" w:rsidP="00384BBA">
            <w:pPr>
              <w:pStyle w:val="TableParagraph"/>
              <w:spacing w:before="154"/>
              <w:ind w:left="185" w:right="180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N = </w:t>
            </w:r>
            <w:r w:rsidR="00384BBA" w:rsidRPr="000132D2">
              <w:rPr>
                <w:b/>
                <w:bCs/>
                <w:lang w:val="sr-Latn-RS"/>
              </w:rPr>
              <w:t>8</w:t>
            </w:r>
            <w:r w:rsidR="00384BBA">
              <w:rPr>
                <w:b/>
                <w:bCs/>
                <w:lang w:val="sr-Latn-RS"/>
              </w:rPr>
              <w:t>4</w:t>
            </w:r>
          </w:p>
        </w:tc>
        <w:tc>
          <w:tcPr>
            <w:tcW w:w="1808" w:type="dxa"/>
          </w:tcPr>
          <w:p w14:paraId="7B2A6AB1" w14:textId="07145573" w:rsidR="00593739" w:rsidRPr="000132D2" w:rsidRDefault="00593739" w:rsidP="00384BBA">
            <w:pPr>
              <w:pStyle w:val="TableParagraph"/>
              <w:spacing w:before="154"/>
              <w:ind w:left="184" w:right="180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N = </w:t>
            </w:r>
            <w:r w:rsidR="00384BBA" w:rsidRPr="000132D2">
              <w:rPr>
                <w:b/>
                <w:bCs/>
                <w:lang w:val="sr-Latn-RS"/>
              </w:rPr>
              <w:t>1</w:t>
            </w:r>
            <w:r w:rsidR="00384BBA">
              <w:rPr>
                <w:b/>
                <w:bCs/>
                <w:lang w:val="sr-Latn-RS"/>
              </w:rPr>
              <w:t>7</w:t>
            </w:r>
          </w:p>
        </w:tc>
        <w:tc>
          <w:tcPr>
            <w:tcW w:w="1852" w:type="dxa"/>
          </w:tcPr>
          <w:p w14:paraId="254C0D87" w14:textId="321EC35E" w:rsidR="00593739" w:rsidRPr="000132D2" w:rsidRDefault="00593739" w:rsidP="00384BBA">
            <w:pPr>
              <w:pStyle w:val="TableParagraph"/>
              <w:spacing w:before="154"/>
              <w:ind w:left="206" w:right="203"/>
              <w:jc w:val="both"/>
              <w:rPr>
                <w:b/>
                <w:lang w:val="sr-Latn-RS"/>
              </w:rPr>
            </w:pPr>
            <w:r w:rsidRPr="000132D2">
              <w:rPr>
                <w:b/>
                <w:bCs/>
                <w:lang w:val="sr-Latn-RS"/>
              </w:rPr>
              <w:t xml:space="preserve">N = </w:t>
            </w:r>
            <w:r w:rsidR="00384BBA">
              <w:rPr>
                <w:b/>
                <w:bCs/>
                <w:lang w:val="sr-Latn-RS"/>
              </w:rPr>
              <w:t>8</w:t>
            </w:r>
            <w:r w:rsidR="00384BBA" w:rsidRPr="000132D2">
              <w:rPr>
                <w:b/>
                <w:bCs/>
                <w:lang w:val="sr-Latn-RS"/>
              </w:rPr>
              <w:t>4</w:t>
            </w:r>
          </w:p>
        </w:tc>
      </w:tr>
      <w:tr w:rsidR="00593739" w:rsidRPr="000132D2" w14:paraId="09708791" w14:textId="77777777" w:rsidTr="00573A31">
        <w:trPr>
          <w:trHeight w:val="565"/>
        </w:trPr>
        <w:tc>
          <w:tcPr>
            <w:tcW w:w="1985" w:type="dxa"/>
          </w:tcPr>
          <w:p w14:paraId="7C35D9EA" w14:textId="197EAB64" w:rsidR="00593739" w:rsidRPr="000132D2" w:rsidRDefault="00593739" w:rsidP="00AC7849">
            <w:pPr>
              <w:pStyle w:val="TableParagraph"/>
              <w:spacing w:before="25"/>
              <w:ind w:right="27"/>
              <w:rPr>
                <w:lang w:val="sr-Latn-RS"/>
              </w:rPr>
            </w:pPr>
            <w:r w:rsidRPr="000132D2">
              <w:rPr>
                <w:lang w:val="sr-Latn-RS"/>
              </w:rPr>
              <w:t xml:space="preserve">DOR, medijana (95% CI) u </w:t>
            </w:r>
            <w:r w:rsidR="00513EC0">
              <w:rPr>
                <w:lang w:val="sr-Latn-RS"/>
              </w:rPr>
              <w:t>mjesec</w:t>
            </w:r>
            <w:r w:rsidRPr="000132D2">
              <w:rPr>
                <w:lang w:val="sr-Latn-RS"/>
              </w:rPr>
              <w:t>ima</w:t>
            </w:r>
          </w:p>
        </w:tc>
        <w:tc>
          <w:tcPr>
            <w:tcW w:w="1623" w:type="dxa"/>
          </w:tcPr>
          <w:p w14:paraId="38F5DF05" w14:textId="3DD5C74C" w:rsidR="00593739" w:rsidRPr="000132D2" w:rsidRDefault="00384BBA" w:rsidP="00384BBA">
            <w:pPr>
              <w:pStyle w:val="TableParagraph"/>
              <w:spacing w:before="152"/>
              <w:ind w:left="92" w:right="88"/>
              <w:jc w:val="both"/>
              <w:rPr>
                <w:lang w:val="sr-Latn-RS"/>
              </w:rPr>
            </w:pPr>
            <w:r>
              <w:rPr>
                <w:lang w:val="sr-Latn-RS"/>
              </w:rPr>
              <w:t>19,1</w:t>
            </w:r>
            <w:r w:rsidR="00593739" w:rsidRPr="000132D2">
              <w:rPr>
                <w:lang w:val="sr-Latn-RS"/>
              </w:rPr>
              <w:t xml:space="preserve"> (14,</w:t>
            </w:r>
            <w:r>
              <w:rPr>
                <w:lang w:val="sr-Latn-RS"/>
              </w:rPr>
              <w:t>5;</w:t>
            </w:r>
            <w:r w:rsidR="00593739" w:rsidRPr="000132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27,3</w:t>
            </w:r>
            <w:r w:rsidR="00593739" w:rsidRPr="000132D2">
              <w:rPr>
                <w:lang w:val="sr-Latn-RS"/>
              </w:rPr>
              <w:t>)</w:t>
            </w:r>
          </w:p>
        </w:tc>
        <w:tc>
          <w:tcPr>
            <w:tcW w:w="1808" w:type="dxa"/>
          </w:tcPr>
          <w:p w14:paraId="4B7983C7" w14:textId="5A513013" w:rsidR="00593739" w:rsidRPr="000132D2" w:rsidRDefault="00384BBA" w:rsidP="00384BBA">
            <w:pPr>
              <w:pStyle w:val="TableParagraph"/>
              <w:spacing w:before="152"/>
              <w:ind w:left="186" w:right="179"/>
              <w:jc w:val="both"/>
              <w:rPr>
                <w:lang w:val="sr-Latn-RS"/>
              </w:rPr>
            </w:pPr>
            <w:r>
              <w:rPr>
                <w:lang w:val="sr-Latn-RS"/>
              </w:rPr>
              <w:t>23,4</w:t>
            </w:r>
            <w:r w:rsidR="00593739" w:rsidRPr="000132D2">
              <w:rPr>
                <w:lang w:val="sr-Latn-RS"/>
              </w:rPr>
              <w:t xml:space="preserve"> (</w:t>
            </w:r>
            <w:r>
              <w:rPr>
                <w:lang w:val="sr-Latn-RS"/>
              </w:rPr>
              <w:t>14,8;</w:t>
            </w:r>
            <w:r w:rsidRPr="000132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39,4</w:t>
            </w:r>
            <w:r w:rsidR="00593739" w:rsidRPr="000132D2">
              <w:rPr>
                <w:lang w:val="sr-Latn-RS"/>
              </w:rPr>
              <w:t>)</w:t>
            </w:r>
          </w:p>
        </w:tc>
        <w:tc>
          <w:tcPr>
            <w:tcW w:w="1808" w:type="dxa"/>
          </w:tcPr>
          <w:p w14:paraId="0FC155A4" w14:textId="68B40D3F" w:rsidR="00593739" w:rsidRPr="000132D2" w:rsidRDefault="00384BBA" w:rsidP="00384BBA">
            <w:pPr>
              <w:pStyle w:val="TableParagraph"/>
              <w:spacing w:before="152"/>
              <w:ind w:left="186" w:right="178"/>
              <w:jc w:val="both"/>
              <w:rPr>
                <w:lang w:val="sr-Latn-RS"/>
              </w:rPr>
            </w:pPr>
            <w:r>
              <w:rPr>
                <w:lang w:val="sr-Latn-RS"/>
              </w:rPr>
              <w:t>20,4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(9,</w:t>
            </w:r>
            <w:r>
              <w:rPr>
                <w:lang w:val="sr-Latn-RS"/>
              </w:rPr>
              <w:t>3;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ND)</w:t>
            </w:r>
          </w:p>
        </w:tc>
        <w:tc>
          <w:tcPr>
            <w:tcW w:w="1852" w:type="dxa"/>
          </w:tcPr>
          <w:p w14:paraId="06FF4115" w14:textId="358D65A5" w:rsidR="00593739" w:rsidRPr="000132D2" w:rsidRDefault="00384BBA" w:rsidP="00384BBA">
            <w:pPr>
              <w:pStyle w:val="TableParagraph"/>
              <w:spacing w:before="152"/>
              <w:ind w:left="205" w:right="203"/>
              <w:jc w:val="both"/>
              <w:rPr>
                <w:lang w:val="sr-Latn-RS"/>
              </w:rPr>
            </w:pPr>
            <w:r>
              <w:rPr>
                <w:lang w:val="sr-Latn-RS"/>
              </w:rPr>
              <w:t>13,4</w:t>
            </w:r>
            <w:r w:rsidRPr="000132D2">
              <w:rPr>
                <w:lang w:val="sr-Latn-RS"/>
              </w:rPr>
              <w:t xml:space="preserve"> </w:t>
            </w:r>
            <w:r w:rsidR="00593739" w:rsidRPr="000132D2">
              <w:rPr>
                <w:lang w:val="sr-Latn-RS"/>
              </w:rPr>
              <w:t>(9,</w:t>
            </w:r>
            <w:r>
              <w:rPr>
                <w:lang w:val="sr-Latn-RS"/>
              </w:rPr>
              <w:t>4;</w:t>
            </w:r>
            <w:r w:rsidRPr="000132D2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23,1</w:t>
            </w:r>
            <w:r w:rsidR="00593739" w:rsidRPr="000132D2">
              <w:rPr>
                <w:lang w:val="sr-Latn-RS"/>
              </w:rPr>
              <w:t>)</w:t>
            </w:r>
          </w:p>
        </w:tc>
      </w:tr>
      <w:tr w:rsidR="00593739" w:rsidRPr="000132D2" w14:paraId="06637594" w14:textId="77777777" w:rsidTr="00573A31">
        <w:trPr>
          <w:trHeight w:val="568"/>
        </w:trPr>
        <w:tc>
          <w:tcPr>
            <w:tcW w:w="1985" w:type="dxa"/>
          </w:tcPr>
          <w:p w14:paraId="3D0D7D59" w14:textId="77777777" w:rsidR="00593739" w:rsidRPr="000132D2" w:rsidRDefault="00593739" w:rsidP="00573A31">
            <w:pPr>
              <w:pStyle w:val="TableParagraph"/>
              <w:spacing w:before="25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Pacijenti sa DOR</w:t>
            </w:r>
          </w:p>
          <w:p w14:paraId="498E9799" w14:textId="2B81DF11" w:rsidR="00593739" w:rsidRPr="000132D2" w:rsidRDefault="00593739" w:rsidP="00573A31">
            <w:pPr>
              <w:pStyle w:val="TableParagraph"/>
              <w:spacing w:before="1"/>
              <w:jc w:val="both"/>
              <w:rPr>
                <w:lang w:val="sr-Latn-RS"/>
              </w:rPr>
            </w:pPr>
            <w:r w:rsidRPr="000132D2">
              <w:rPr>
                <w:lang w:val="sr-Latn-RS"/>
              </w:rPr>
              <w:t>≥ 6-</w:t>
            </w:r>
            <w:r w:rsidR="00513EC0">
              <w:rPr>
                <w:lang w:val="sr-Latn-RS"/>
              </w:rPr>
              <w:t>mjesec</w:t>
            </w:r>
            <w:r w:rsidRPr="000132D2">
              <w:rPr>
                <w:lang w:val="sr-Latn-RS"/>
              </w:rPr>
              <w:t>i</w:t>
            </w:r>
            <w:r w:rsidRPr="000132D2">
              <w:rPr>
                <w:vertAlign w:val="superscript"/>
                <w:lang w:val="sr-Latn-RS"/>
              </w:rPr>
              <w:t>b</w:t>
            </w:r>
            <w:r w:rsidRPr="000132D2">
              <w:rPr>
                <w:lang w:val="sr-Latn-RS"/>
              </w:rPr>
              <w:t>, %</w:t>
            </w:r>
          </w:p>
        </w:tc>
        <w:tc>
          <w:tcPr>
            <w:tcW w:w="1623" w:type="dxa"/>
          </w:tcPr>
          <w:p w14:paraId="7E5AA15E" w14:textId="0C813DBE" w:rsidR="00593739" w:rsidRPr="000132D2" w:rsidRDefault="00384BBA" w:rsidP="00573A31">
            <w:pPr>
              <w:pStyle w:val="TableParagraph"/>
              <w:spacing w:before="152"/>
              <w:ind w:left="92" w:right="84"/>
              <w:jc w:val="both"/>
              <w:rPr>
                <w:lang w:val="sr-Latn-RS"/>
              </w:rPr>
            </w:pPr>
            <w:r>
              <w:rPr>
                <w:lang w:val="sr-Latn-RS"/>
              </w:rPr>
              <w:t>79,5</w:t>
            </w:r>
            <w:r w:rsidR="00593739" w:rsidRPr="000132D2">
              <w:rPr>
                <w:lang w:val="sr-Latn-RS"/>
              </w:rPr>
              <w:t>%</w:t>
            </w:r>
          </w:p>
        </w:tc>
        <w:tc>
          <w:tcPr>
            <w:tcW w:w="1808" w:type="dxa"/>
          </w:tcPr>
          <w:p w14:paraId="75ED9CB7" w14:textId="552A4A7C" w:rsidR="00593739" w:rsidRPr="000132D2" w:rsidRDefault="00384BBA" w:rsidP="00573A31">
            <w:pPr>
              <w:pStyle w:val="TableParagraph"/>
              <w:spacing w:before="152"/>
              <w:ind w:left="186" w:right="177"/>
              <w:jc w:val="both"/>
              <w:rPr>
                <w:lang w:val="sr-Latn-RS"/>
              </w:rPr>
            </w:pPr>
            <w:r>
              <w:rPr>
                <w:lang w:val="sr-Latn-RS"/>
              </w:rPr>
              <w:t>81,0</w:t>
            </w:r>
            <w:r w:rsidR="00593739" w:rsidRPr="000132D2">
              <w:rPr>
                <w:lang w:val="sr-Latn-RS"/>
              </w:rPr>
              <w:t>%</w:t>
            </w:r>
          </w:p>
        </w:tc>
        <w:tc>
          <w:tcPr>
            <w:tcW w:w="1808" w:type="dxa"/>
          </w:tcPr>
          <w:p w14:paraId="37A20534" w14:textId="5278542F" w:rsidR="00593739" w:rsidRPr="000132D2" w:rsidRDefault="00384BBA" w:rsidP="00573A31">
            <w:pPr>
              <w:pStyle w:val="TableParagraph"/>
              <w:spacing w:before="152"/>
              <w:ind w:left="186" w:right="178"/>
              <w:jc w:val="both"/>
              <w:rPr>
                <w:lang w:val="sr-Latn-RS"/>
              </w:rPr>
            </w:pPr>
            <w:r>
              <w:rPr>
                <w:lang w:val="sr-Latn-RS"/>
              </w:rPr>
              <w:t>94,1</w:t>
            </w:r>
            <w:r w:rsidR="00593739" w:rsidRPr="000132D2">
              <w:rPr>
                <w:lang w:val="sr-Latn-RS"/>
              </w:rPr>
              <w:t>%</w:t>
            </w:r>
          </w:p>
        </w:tc>
        <w:tc>
          <w:tcPr>
            <w:tcW w:w="1852" w:type="dxa"/>
          </w:tcPr>
          <w:p w14:paraId="5DAE64F2" w14:textId="6D426072" w:rsidR="00593739" w:rsidRPr="000132D2" w:rsidRDefault="00384BBA" w:rsidP="00573A31">
            <w:pPr>
              <w:pStyle w:val="TableParagraph"/>
              <w:spacing w:before="152"/>
              <w:ind w:left="205" w:right="203"/>
              <w:jc w:val="both"/>
              <w:rPr>
                <w:lang w:val="sr-Latn-RS"/>
              </w:rPr>
            </w:pPr>
            <w:r>
              <w:rPr>
                <w:lang w:val="sr-Latn-RS"/>
              </w:rPr>
              <w:t>75,0</w:t>
            </w:r>
            <w:r w:rsidR="00593739" w:rsidRPr="000132D2">
              <w:rPr>
                <w:lang w:val="sr-Latn-RS"/>
              </w:rPr>
              <w:t>%</w:t>
            </w:r>
          </w:p>
        </w:tc>
      </w:tr>
    </w:tbl>
    <w:p w14:paraId="30A26431" w14:textId="77777777" w:rsidR="00593739" w:rsidRPr="000132D2" w:rsidRDefault="00593739" w:rsidP="00593739">
      <w:pPr>
        <w:ind w:left="118"/>
        <w:jc w:val="both"/>
        <w:rPr>
          <w:sz w:val="20"/>
          <w:lang w:val="sr-Latn-RS"/>
        </w:rPr>
      </w:pPr>
      <w:r w:rsidRPr="000132D2">
        <w:rPr>
          <w:sz w:val="20"/>
          <w:lang w:val="sr-Latn-RS"/>
        </w:rPr>
        <w:t>ND = Nije dostignuto</w:t>
      </w:r>
    </w:p>
    <w:p w14:paraId="60EA72D5" w14:textId="77777777" w:rsidR="00593739" w:rsidRPr="000132D2" w:rsidRDefault="00593739" w:rsidP="00593739">
      <w:pPr>
        <w:spacing w:line="229" w:lineRule="exact"/>
        <w:ind w:left="118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a</w:t>
      </w:r>
      <w:r w:rsidRPr="000132D2">
        <w:rPr>
          <w:sz w:val="20"/>
          <w:lang w:val="sr-Latn-RS"/>
        </w:rPr>
        <w:t xml:space="preserve"> Potvrđena ukupna stopa odgovora koju je potvrdio BICR</w:t>
      </w:r>
    </w:p>
    <w:p w14:paraId="1D4436B7" w14:textId="1FCFC4E4" w:rsidR="00593739" w:rsidRPr="000132D2" w:rsidRDefault="00593739" w:rsidP="00593739">
      <w:pPr>
        <w:ind w:left="260" w:right="643" w:hanging="142"/>
        <w:jc w:val="both"/>
        <w:rPr>
          <w:sz w:val="20"/>
          <w:lang w:val="sr-Latn-RS"/>
        </w:rPr>
      </w:pPr>
      <w:r w:rsidRPr="000132D2">
        <w:rPr>
          <w:sz w:val="20"/>
          <w:vertAlign w:val="superscript"/>
          <w:lang w:val="sr-Latn-RS"/>
        </w:rPr>
        <w:t>b</w:t>
      </w:r>
      <w:r w:rsidRPr="000132D2">
        <w:rPr>
          <w:sz w:val="20"/>
          <w:lang w:val="sr-Latn-RS"/>
        </w:rPr>
        <w:t xml:space="preserve"> Izračunato pomoću procenta respondenata sa </w:t>
      </w:r>
      <w:r w:rsidR="00297827">
        <w:rPr>
          <w:sz w:val="20"/>
          <w:lang w:val="sr-Latn-RS"/>
        </w:rPr>
        <w:t>zabilježen</w:t>
      </w:r>
      <w:r w:rsidRPr="000132D2">
        <w:rPr>
          <w:sz w:val="20"/>
          <w:lang w:val="sr-Latn-RS"/>
        </w:rPr>
        <w:t xml:space="preserve">im trajanjem odgovora od najmanje 6 </w:t>
      </w:r>
      <w:r w:rsidR="00513EC0">
        <w:rPr>
          <w:sz w:val="20"/>
          <w:lang w:val="sr-Latn-RS"/>
        </w:rPr>
        <w:t>mjesec</w:t>
      </w:r>
      <w:r w:rsidRPr="000132D2">
        <w:rPr>
          <w:sz w:val="20"/>
          <w:lang w:val="sr-Latn-RS"/>
        </w:rPr>
        <w:t>i ili dužim</w:t>
      </w:r>
    </w:p>
    <w:p w14:paraId="5CF3BC15" w14:textId="77777777" w:rsidR="00593739" w:rsidRPr="000132D2" w:rsidRDefault="00593739" w:rsidP="00593739">
      <w:pPr>
        <w:pStyle w:val="BodyText"/>
        <w:spacing w:before="7"/>
        <w:jc w:val="both"/>
        <w:rPr>
          <w:sz w:val="21"/>
          <w:lang w:val="sr-Latn-RS"/>
        </w:rPr>
      </w:pPr>
    </w:p>
    <w:p w14:paraId="0D8354EA" w14:textId="39864C54" w:rsidR="00593739" w:rsidRPr="000132D2" w:rsidRDefault="00593739" w:rsidP="00593739">
      <w:pPr>
        <w:pStyle w:val="BodyText"/>
        <w:ind w:left="118" w:right="135"/>
        <w:jc w:val="both"/>
        <w:rPr>
          <w:lang w:val="sr-Latn-RS"/>
        </w:rPr>
      </w:pPr>
      <w:r w:rsidRPr="000132D2">
        <w:rPr>
          <w:lang w:val="sr-Latn-RS"/>
        </w:rPr>
        <w:t xml:space="preserve">ORR i medijana DOR za 233 pacijenta sa uznapredovalim NSCLC pozitivnim na </w:t>
      </w:r>
      <w:r w:rsidRPr="000132D2">
        <w:rPr>
          <w:i/>
          <w:iCs/>
          <w:lang w:val="sr-Latn-RS"/>
        </w:rPr>
        <w:t xml:space="preserve">RET </w:t>
      </w:r>
      <w:r w:rsidRPr="000132D2">
        <w:rPr>
          <w:lang w:val="sr-Latn-RS"/>
        </w:rPr>
        <w:t xml:space="preserve">fuziju u populaciji u kojoj je </w:t>
      </w:r>
      <w:r w:rsidR="00B45A11">
        <w:rPr>
          <w:lang w:val="sr-Latn-RS"/>
        </w:rPr>
        <w:t>vršena procjena</w:t>
      </w:r>
      <w:r w:rsidRPr="000132D2">
        <w:rPr>
          <w:lang w:val="sr-Latn-RS"/>
        </w:rPr>
        <w:t xml:space="preserve"> efikasnost</w:t>
      </w:r>
      <w:r w:rsidR="00B45A11">
        <w:rPr>
          <w:lang w:val="sr-Latn-RS"/>
        </w:rPr>
        <w:t>i</w:t>
      </w:r>
      <w:r w:rsidRPr="000132D2">
        <w:rPr>
          <w:lang w:val="sr-Latn-RS"/>
        </w:rPr>
        <w:t xml:space="preserve"> iznosila je 64,4% (95% CI: 57,9, 70,5) i 22,3 </w:t>
      </w:r>
      <w:r w:rsidR="00513EC0">
        <w:rPr>
          <w:lang w:val="sr-Latn-RS"/>
        </w:rPr>
        <w:t>mjesec</w:t>
      </w:r>
      <w:r w:rsidRPr="000132D2">
        <w:rPr>
          <w:lang w:val="sr-Latn-RS"/>
        </w:rPr>
        <w:t>a (95% CI: 14,7, NR), redom.</w:t>
      </w:r>
    </w:p>
    <w:p w14:paraId="025D3BFA" w14:textId="77777777" w:rsidR="00593739" w:rsidRPr="000132D2" w:rsidRDefault="00593739" w:rsidP="00593739">
      <w:pPr>
        <w:pStyle w:val="BodyText"/>
        <w:spacing w:before="11"/>
        <w:jc w:val="both"/>
        <w:rPr>
          <w:sz w:val="21"/>
          <w:lang w:val="sr-Latn-RS"/>
        </w:rPr>
      </w:pPr>
    </w:p>
    <w:p w14:paraId="4DD28451" w14:textId="12190CEC" w:rsidR="00593739" w:rsidRPr="000132D2" w:rsidRDefault="00593739" w:rsidP="00593739">
      <w:pPr>
        <w:pStyle w:val="BodyText"/>
        <w:ind w:left="118" w:right="340"/>
        <w:jc w:val="both"/>
        <w:rPr>
          <w:lang w:val="sr-Latn-RS"/>
        </w:rPr>
      </w:pPr>
      <w:r w:rsidRPr="000132D2">
        <w:rPr>
          <w:lang w:val="sr-Latn-RS"/>
        </w:rPr>
        <w:lastRenderedPageBreak/>
        <w:t xml:space="preserve">Nije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a klinički relevantna razlika u efikasnosti kod pacijenata sa fuzionim partnerom KIF5B ili CCDC6. BICR stope odgovora iznosile su: ORR = </w:t>
      </w:r>
      <w:r w:rsidR="00384BBA">
        <w:rPr>
          <w:lang w:val="sr-Latn-RS"/>
        </w:rPr>
        <w:t>68,5</w:t>
      </w:r>
      <w:r w:rsidRPr="000132D2">
        <w:rPr>
          <w:lang w:val="sr-Latn-RS"/>
        </w:rPr>
        <w:t xml:space="preserve">% (95% CI: </w:t>
      </w:r>
      <w:r w:rsidR="00384BBA">
        <w:rPr>
          <w:lang w:val="sr-Latn-RS"/>
        </w:rPr>
        <w:t>61,5;</w:t>
      </w:r>
      <w:r w:rsidRPr="000132D2">
        <w:rPr>
          <w:lang w:val="sr-Latn-RS"/>
        </w:rPr>
        <w:t xml:space="preserve"> 74,</w:t>
      </w:r>
      <w:r w:rsidR="00384BBA">
        <w:rPr>
          <w:lang w:val="sr-Latn-RS"/>
        </w:rPr>
        <w:t>9</w:t>
      </w:r>
      <w:r w:rsidRPr="000132D2">
        <w:rPr>
          <w:lang w:val="sr-Latn-RS"/>
        </w:rPr>
        <w:t xml:space="preserve">) kod </w:t>
      </w:r>
      <w:r w:rsidR="00384BBA">
        <w:rPr>
          <w:lang w:val="sr-Latn-RS"/>
        </w:rPr>
        <w:t>197</w:t>
      </w:r>
      <w:r w:rsidR="00384BBA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pacijenta sa fuzionim partnerom KIF5B; ORR = </w:t>
      </w:r>
      <w:r w:rsidR="00384BBA">
        <w:rPr>
          <w:lang w:val="sr-Latn-RS"/>
        </w:rPr>
        <w:t>72,0</w:t>
      </w:r>
      <w:r w:rsidRPr="000132D2">
        <w:rPr>
          <w:lang w:val="sr-Latn-RS"/>
        </w:rPr>
        <w:t xml:space="preserve">% (95% CI: </w:t>
      </w:r>
      <w:r w:rsidR="00384BBA">
        <w:rPr>
          <w:lang w:val="sr-Latn-RS"/>
        </w:rPr>
        <w:t>57,5;</w:t>
      </w:r>
      <w:r w:rsidRPr="000132D2">
        <w:rPr>
          <w:lang w:val="sr-Latn-RS"/>
        </w:rPr>
        <w:t xml:space="preserve"> </w:t>
      </w:r>
      <w:r w:rsidR="00384BBA">
        <w:rPr>
          <w:lang w:val="sr-Latn-RS"/>
        </w:rPr>
        <w:t>83,8</w:t>
      </w:r>
      <w:r w:rsidRPr="000132D2">
        <w:rPr>
          <w:lang w:val="sr-Latn-RS"/>
        </w:rPr>
        <w:t xml:space="preserve">) kod </w:t>
      </w:r>
      <w:r w:rsidR="00384BBA">
        <w:rPr>
          <w:lang w:val="sr-Latn-RS"/>
        </w:rPr>
        <w:t>50</w:t>
      </w:r>
      <w:r w:rsidR="00384BBA" w:rsidRPr="000132D2">
        <w:rPr>
          <w:lang w:val="sr-Latn-RS"/>
        </w:rPr>
        <w:t xml:space="preserve"> </w:t>
      </w:r>
      <w:r w:rsidRPr="000132D2">
        <w:rPr>
          <w:lang w:val="sr-Latn-RS"/>
        </w:rPr>
        <w:t>pacijenta sa fuzionim partnerom CCDC6.</w:t>
      </w:r>
    </w:p>
    <w:p w14:paraId="202AEE7F" w14:textId="77777777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783A2C22" w14:textId="3C91131D" w:rsidR="00384BBA" w:rsidRDefault="00384BBA" w:rsidP="00593739">
      <w:pPr>
        <w:pStyle w:val="BodyText"/>
        <w:ind w:left="118" w:right="288"/>
        <w:jc w:val="both"/>
        <w:rPr>
          <w:lang w:val="sr-Latn-RS"/>
        </w:rPr>
      </w:pPr>
    </w:p>
    <w:p w14:paraId="24970838" w14:textId="70280585" w:rsidR="00384BBA" w:rsidRPr="000132D2" w:rsidRDefault="00384BBA" w:rsidP="00593739">
      <w:pPr>
        <w:pStyle w:val="BodyText"/>
        <w:ind w:left="118" w:right="288"/>
        <w:jc w:val="both"/>
        <w:rPr>
          <w:lang w:val="sr-Latn-RS"/>
        </w:rPr>
      </w:pPr>
      <w:r>
        <w:rPr>
          <w:lang w:val="sr-Latn-RS"/>
        </w:rPr>
        <w:t>U populaciji za procjenu</w:t>
      </w:r>
      <w:r w:rsidRPr="00384BBA">
        <w:rPr>
          <w:lang w:val="sr-Latn-RS"/>
        </w:rPr>
        <w:t xml:space="preserve"> </w:t>
      </w:r>
      <w:r>
        <w:rPr>
          <w:lang w:val="sr-Latn-RS"/>
        </w:rPr>
        <w:t>efikasnosti</w:t>
      </w:r>
      <w:r w:rsidRPr="00384BBA">
        <w:rPr>
          <w:lang w:val="sr-Latn-RS"/>
        </w:rPr>
        <w:t xml:space="preserve">, ORR u </w:t>
      </w:r>
      <w:r>
        <w:rPr>
          <w:lang w:val="sr-Latn-RS"/>
        </w:rPr>
        <w:t>centralnom nervnom sistemu</w:t>
      </w:r>
      <w:r w:rsidRPr="00384BBA">
        <w:rPr>
          <w:lang w:val="sr-Latn-RS"/>
        </w:rPr>
        <w:t xml:space="preserve"> (prema verziji 1.1 RECIST kriterij</w:t>
      </w:r>
      <w:r>
        <w:rPr>
          <w:lang w:val="sr-Latn-RS"/>
        </w:rPr>
        <w:t>uma</w:t>
      </w:r>
      <w:r w:rsidRPr="00384BBA">
        <w:rPr>
          <w:lang w:val="sr-Latn-RS"/>
        </w:rPr>
        <w:t xml:space="preserve">) je prema </w:t>
      </w:r>
      <w:r w:rsidR="00BC1E4F">
        <w:rPr>
          <w:lang w:val="sr-Latn-RS"/>
        </w:rPr>
        <w:t xml:space="preserve">centralnoj </w:t>
      </w:r>
      <w:r w:rsidRPr="00384BBA">
        <w:rPr>
          <w:lang w:val="sr-Latn-RS"/>
        </w:rPr>
        <w:t xml:space="preserve">procjeni iznosio 53,3% (95% CI: 26,6; 78,7); 3 </w:t>
      </w:r>
      <w:r>
        <w:rPr>
          <w:lang w:val="sr-Latn-RS"/>
        </w:rPr>
        <w:t xml:space="preserve">pacijenta </w:t>
      </w:r>
      <w:r w:rsidRPr="00384BBA">
        <w:rPr>
          <w:lang w:val="sr-Latn-RS"/>
        </w:rPr>
        <w:t xml:space="preserve">(20,0%) su </w:t>
      </w:r>
      <w:r>
        <w:rPr>
          <w:lang w:val="sr-Latn-RS"/>
        </w:rPr>
        <w:t xml:space="preserve">imala </w:t>
      </w:r>
      <w:r w:rsidRPr="00384BBA">
        <w:rPr>
          <w:lang w:val="sr-Latn-RS"/>
        </w:rPr>
        <w:t xml:space="preserve">potpuni odgovor, a 5 (33,3%) </w:t>
      </w:r>
      <w:r>
        <w:rPr>
          <w:lang w:val="sr-Latn-RS"/>
        </w:rPr>
        <w:t>pacijenata</w:t>
      </w:r>
      <w:r w:rsidRPr="00384BBA">
        <w:rPr>
          <w:lang w:val="sr-Latn-RS"/>
        </w:rPr>
        <w:t xml:space="preserve"> djel</w:t>
      </w:r>
      <w:r>
        <w:rPr>
          <w:lang w:val="sr-Latn-RS"/>
        </w:rPr>
        <w:t>i</w:t>
      </w:r>
      <w:r w:rsidRPr="00384BBA">
        <w:rPr>
          <w:lang w:val="sr-Latn-RS"/>
        </w:rPr>
        <w:t>mičan odgovor.</w:t>
      </w:r>
    </w:p>
    <w:p w14:paraId="34AC599C" w14:textId="77777777" w:rsidR="00593739" w:rsidRPr="000132D2" w:rsidRDefault="00593739" w:rsidP="00593739">
      <w:pPr>
        <w:pStyle w:val="BodyText"/>
        <w:spacing w:before="10"/>
        <w:jc w:val="both"/>
        <w:rPr>
          <w:sz w:val="21"/>
          <w:lang w:val="sr-Latn-RS"/>
        </w:rPr>
      </w:pPr>
    </w:p>
    <w:p w14:paraId="52F676DC" w14:textId="77777777" w:rsidR="00593739" w:rsidRPr="000132D2" w:rsidRDefault="00593739" w:rsidP="00593739">
      <w:pPr>
        <w:pStyle w:val="BodyText"/>
        <w:spacing w:before="1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Starija populacija</w:t>
      </w:r>
    </w:p>
    <w:p w14:paraId="543AB0CF" w14:textId="77777777" w:rsidR="00593739" w:rsidRPr="000132D2" w:rsidRDefault="00593739" w:rsidP="00593739">
      <w:pPr>
        <w:pStyle w:val="BodyText"/>
        <w:jc w:val="both"/>
        <w:rPr>
          <w:sz w:val="14"/>
          <w:lang w:val="sr-Latn-RS"/>
        </w:rPr>
      </w:pPr>
    </w:p>
    <w:p w14:paraId="6A9DDBB3" w14:textId="48DF7263" w:rsidR="00593739" w:rsidRPr="000132D2" w:rsidRDefault="00593739" w:rsidP="00593739">
      <w:pPr>
        <w:pStyle w:val="BodyText"/>
        <w:spacing w:before="92"/>
        <w:ind w:left="118" w:right="586"/>
        <w:jc w:val="both"/>
        <w:rPr>
          <w:lang w:val="sr-Latn-RS"/>
        </w:rPr>
      </w:pPr>
      <w:r w:rsidRPr="000132D2">
        <w:rPr>
          <w:lang w:val="sr-Latn-RS"/>
        </w:rPr>
        <w:t xml:space="preserve">U ispitivanju ARROW (N = </w:t>
      </w:r>
      <w:r w:rsidR="00BC1E4F">
        <w:rPr>
          <w:lang w:val="sr-Latn-RS"/>
        </w:rPr>
        <w:t>540</w:t>
      </w:r>
      <w:r w:rsidRPr="000132D2">
        <w:rPr>
          <w:lang w:val="sr-Latn-RS"/>
        </w:rPr>
        <w:t xml:space="preserve">), </w:t>
      </w:r>
      <w:r w:rsidR="00BC1E4F">
        <w:rPr>
          <w:lang w:val="sr-Latn-RS"/>
        </w:rPr>
        <w:t>30,9</w:t>
      </w:r>
      <w:r w:rsidRPr="000132D2">
        <w:rPr>
          <w:lang w:val="sr-Latn-RS"/>
        </w:rPr>
        <w:t xml:space="preserve">% pacijenata imalo je 65 godina i više.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e opšte razlike u farmakokinetici, </w:t>
      </w:r>
      <w:r w:rsidR="00674751">
        <w:rPr>
          <w:lang w:val="sr-Latn-RS"/>
        </w:rPr>
        <w:t>bezbjednost</w:t>
      </w:r>
      <w:r w:rsidRPr="000132D2">
        <w:rPr>
          <w:lang w:val="sr-Latn-RS"/>
        </w:rPr>
        <w:t>i ili efikasnosti u poređenju sa mlađim pacijentima.</w:t>
      </w:r>
    </w:p>
    <w:p w14:paraId="45024E73" w14:textId="77777777" w:rsidR="00593739" w:rsidRPr="000132D2" w:rsidRDefault="00593739" w:rsidP="00593739">
      <w:pPr>
        <w:pStyle w:val="BodyText"/>
        <w:spacing w:before="11"/>
        <w:jc w:val="both"/>
        <w:rPr>
          <w:sz w:val="21"/>
          <w:lang w:val="sr-Latn-RS"/>
        </w:rPr>
      </w:pPr>
    </w:p>
    <w:p w14:paraId="04886540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Pedijatrijska populacija</w:t>
      </w:r>
    </w:p>
    <w:p w14:paraId="7FA1090F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5FE58938" w14:textId="702B090E" w:rsidR="00593739" w:rsidRPr="000132D2" w:rsidRDefault="00593739" w:rsidP="00593739">
      <w:pPr>
        <w:pStyle w:val="BodyText"/>
        <w:spacing w:before="91"/>
        <w:ind w:left="118" w:right="706"/>
        <w:jc w:val="both"/>
        <w:rPr>
          <w:lang w:val="sr-Latn-RS"/>
        </w:rPr>
      </w:pPr>
      <w:r w:rsidRPr="000132D2">
        <w:rPr>
          <w:lang w:val="sr-Latn-RS"/>
        </w:rPr>
        <w:t xml:space="preserve">Evropska agencija za </w:t>
      </w:r>
      <w:r w:rsidR="00674751">
        <w:rPr>
          <w:lang w:val="sr-Latn-RS"/>
        </w:rPr>
        <w:t>ljekov</w:t>
      </w:r>
      <w:r w:rsidRPr="000132D2">
        <w:rPr>
          <w:lang w:val="sr-Latn-RS"/>
        </w:rPr>
        <w:t xml:space="preserve">e je izuzela obavezu podnošenja rezultata ispitivanja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a Gavreto u svim podgrupama pedijatrijske populacije za </w:t>
      </w:r>
      <w:r w:rsidR="00573A31">
        <w:rPr>
          <w:lang w:val="sr-Latn-RS"/>
        </w:rPr>
        <w:t>liječe</w:t>
      </w:r>
      <w:r w:rsidRPr="000132D2">
        <w:rPr>
          <w:lang w:val="sr-Latn-RS"/>
        </w:rPr>
        <w:t>nje karcinoma pluća (mikrocelularnog i nemikrocelularnog karcinoma pluća) (</w:t>
      </w:r>
      <w:r w:rsidR="00B45A11">
        <w:rPr>
          <w:lang w:val="sr-Latn-RS"/>
        </w:rPr>
        <w:t xml:space="preserve">vidjeti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4.2 za informacije o pedijatrijskoj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i).</w:t>
      </w:r>
    </w:p>
    <w:p w14:paraId="03CE2474" w14:textId="77777777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16593A54" w14:textId="77777777" w:rsidR="00593739" w:rsidRPr="000132D2" w:rsidRDefault="00593739" w:rsidP="00593739">
      <w:pPr>
        <w:pStyle w:val="BodyText"/>
        <w:spacing w:before="1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Uslovno odobrenje</w:t>
      </w:r>
    </w:p>
    <w:p w14:paraId="781F673A" w14:textId="77777777" w:rsidR="00593739" w:rsidRPr="000132D2" w:rsidRDefault="00593739" w:rsidP="00593739">
      <w:pPr>
        <w:pStyle w:val="BodyText"/>
        <w:spacing w:before="10"/>
        <w:jc w:val="both"/>
        <w:rPr>
          <w:sz w:val="13"/>
          <w:lang w:val="sr-Latn-RS"/>
        </w:rPr>
      </w:pPr>
    </w:p>
    <w:p w14:paraId="67C81D8B" w14:textId="11305B57" w:rsidR="00593739" w:rsidRPr="000132D2" w:rsidRDefault="00593739" w:rsidP="00593739">
      <w:pPr>
        <w:pStyle w:val="BodyText"/>
        <w:spacing w:before="91"/>
        <w:ind w:left="118" w:right="552"/>
        <w:jc w:val="both"/>
        <w:rPr>
          <w:lang w:val="sr-Latn-RS"/>
        </w:rPr>
      </w:pPr>
      <w:r w:rsidRPr="000132D2">
        <w:rPr>
          <w:lang w:val="sr-Latn-RS"/>
        </w:rPr>
        <w:t xml:space="preserve">Ovaj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 je dobio dozvolu u okviru takozvane šeme uslovnog odobrenja. To znači da se čekaju dodatni dokazi o ovom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u.</w:t>
      </w:r>
    </w:p>
    <w:p w14:paraId="032258E8" w14:textId="6B47182C" w:rsidR="00593739" w:rsidRDefault="00593739" w:rsidP="00593739">
      <w:pPr>
        <w:pStyle w:val="BodyText"/>
        <w:spacing w:before="1"/>
        <w:ind w:left="118" w:right="142"/>
        <w:jc w:val="both"/>
        <w:rPr>
          <w:lang w:val="sr-Latn-RS"/>
        </w:rPr>
      </w:pPr>
      <w:r w:rsidRPr="000132D2">
        <w:rPr>
          <w:lang w:val="sr-Latn-RS"/>
        </w:rPr>
        <w:t xml:space="preserve">Evropska agencija za </w:t>
      </w:r>
      <w:r w:rsidR="00674751">
        <w:rPr>
          <w:lang w:val="sr-Latn-RS"/>
        </w:rPr>
        <w:t>ljekov</w:t>
      </w:r>
      <w:r w:rsidRPr="000132D2">
        <w:rPr>
          <w:lang w:val="sr-Latn-RS"/>
        </w:rPr>
        <w:t xml:space="preserve">e pregledaće nove informacije o ovom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u barem svake godine i ovaj sažetak karakteristika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a biće ažuriran po potrebi.</w:t>
      </w:r>
    </w:p>
    <w:p w14:paraId="57B975FA" w14:textId="77777777" w:rsidR="00593739" w:rsidRPr="000132D2" w:rsidRDefault="00593739" w:rsidP="00593739">
      <w:pPr>
        <w:pStyle w:val="BodyText"/>
        <w:spacing w:before="1"/>
        <w:ind w:left="118" w:right="142"/>
        <w:jc w:val="both"/>
        <w:rPr>
          <w:lang w:val="sr-Latn-RS"/>
        </w:rPr>
      </w:pPr>
    </w:p>
    <w:p w14:paraId="00EFCC6C" w14:textId="77777777" w:rsidR="00593739" w:rsidRPr="000132D2" w:rsidRDefault="00593739" w:rsidP="00593739">
      <w:pPr>
        <w:pStyle w:val="Heading1"/>
        <w:tabs>
          <w:tab w:val="left" w:pos="685"/>
          <w:tab w:val="left" w:pos="686"/>
        </w:tabs>
        <w:spacing w:before="70"/>
        <w:jc w:val="both"/>
        <w:rPr>
          <w:lang w:val="sr-Latn-RS"/>
        </w:rPr>
      </w:pPr>
      <w:r>
        <w:rPr>
          <w:lang w:val="sr-Latn-RS"/>
        </w:rPr>
        <w:t xml:space="preserve">5.2. </w:t>
      </w:r>
      <w:r w:rsidRPr="000132D2">
        <w:rPr>
          <w:lang w:val="sr-Latn-RS"/>
        </w:rPr>
        <w:t>Farmakokinetički podaci</w:t>
      </w:r>
    </w:p>
    <w:p w14:paraId="0A81F220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36327385" w14:textId="3F342438" w:rsidR="00593739" w:rsidRPr="000132D2" w:rsidRDefault="00BC1E4F" w:rsidP="00593739">
      <w:pPr>
        <w:pStyle w:val="BodyText"/>
        <w:ind w:left="118" w:right="143"/>
        <w:jc w:val="both"/>
        <w:rPr>
          <w:lang w:val="sr-Latn-RS"/>
        </w:rPr>
      </w:pPr>
      <w:r>
        <w:rPr>
          <w:lang w:val="sr-Latn-RS"/>
        </w:rPr>
        <w:t xml:space="preserve">Kod pacijenata su se </w:t>
      </w:r>
      <w:r w:rsidR="00593739" w:rsidRPr="000132D2">
        <w:rPr>
          <w:lang w:val="sr-Latn-RS"/>
        </w:rPr>
        <w:t>C</w:t>
      </w:r>
      <w:r w:rsidR="00593739" w:rsidRPr="000132D2">
        <w:rPr>
          <w:sz w:val="14"/>
          <w:lang w:val="sr-Latn-RS"/>
        </w:rPr>
        <w:t xml:space="preserve">max </w:t>
      </w:r>
      <w:r w:rsidR="00593739" w:rsidRPr="000132D2">
        <w:rPr>
          <w:lang w:val="sr-Latn-RS"/>
        </w:rPr>
        <w:t xml:space="preserve">i AUC pralsetiniba nekonzistentnopovećavali u rasponu doza od 60 mg do 600 mg jednom dnevno (0,15 do 1,5 puta veće od preporučene doze); farmakokinetika je bila linearna u rasponu doza od 200 i 400 mg kod zdravih dobrovoljaca. Koncentracije pralsetiniba u plazmi dostigle su </w:t>
      </w:r>
      <w:r w:rsidR="001C605F">
        <w:rPr>
          <w:lang w:val="sr-Latn-RS"/>
        </w:rPr>
        <w:t>stanje dinamičke ravnoteže</w:t>
      </w:r>
      <w:r w:rsidR="00593739" w:rsidRPr="000132D2">
        <w:rPr>
          <w:lang w:val="sr-Latn-RS"/>
        </w:rPr>
        <w:t xml:space="preserve"> za 3 do 5 dana.</w:t>
      </w:r>
    </w:p>
    <w:p w14:paraId="488675A4" w14:textId="77777777" w:rsidR="00593739" w:rsidRPr="000132D2" w:rsidRDefault="00593739" w:rsidP="00593739">
      <w:pPr>
        <w:pStyle w:val="BodyText"/>
        <w:spacing w:before="10"/>
        <w:jc w:val="both"/>
        <w:rPr>
          <w:sz w:val="21"/>
          <w:lang w:val="sr-Latn-RS"/>
        </w:rPr>
      </w:pPr>
    </w:p>
    <w:p w14:paraId="695BFF46" w14:textId="13B7646C" w:rsidR="00593739" w:rsidRPr="000132D2" w:rsidRDefault="001C605F" w:rsidP="00593739">
      <w:pPr>
        <w:pStyle w:val="BodyText"/>
        <w:ind w:left="118" w:right="344"/>
        <w:jc w:val="both"/>
        <w:rPr>
          <w:lang w:val="sr-Latn-RS"/>
        </w:rPr>
      </w:pPr>
      <w:r>
        <w:rPr>
          <w:lang w:val="sr-Latn-RS"/>
        </w:rPr>
        <w:t>Pri</w:t>
      </w:r>
      <w:r w:rsidR="00593739" w:rsidRPr="000132D2">
        <w:rPr>
          <w:lang w:val="sr-Latn-RS"/>
        </w:rPr>
        <w:t xml:space="preserve"> preporučenoj dozi od 400 mg jednom dnevno natašte, srednja </w:t>
      </w:r>
      <w:r w:rsidR="00150C32">
        <w:rPr>
          <w:lang w:val="sr-Latn-RS"/>
        </w:rPr>
        <w:t>vrijednost</w:t>
      </w:r>
      <w:r w:rsidR="00593739" w:rsidRPr="000132D2">
        <w:rPr>
          <w:lang w:val="sr-Latn-RS"/>
        </w:rPr>
        <w:t xml:space="preserve"> C</w:t>
      </w:r>
      <w:r w:rsidR="00593739" w:rsidRPr="000132D2">
        <w:rPr>
          <w:sz w:val="14"/>
          <w:lang w:val="sr-Latn-RS"/>
        </w:rPr>
        <w:t xml:space="preserve">max </w:t>
      </w:r>
      <w:r w:rsidR="00593739" w:rsidRPr="000132D2">
        <w:rPr>
          <w:lang w:val="sr-Latn-RS"/>
        </w:rPr>
        <w:t xml:space="preserve">pralsetiniba u </w:t>
      </w:r>
      <w:r>
        <w:rPr>
          <w:lang w:val="sr-Latn-RS"/>
        </w:rPr>
        <w:t>stanju dinamičke ravnoteže</w:t>
      </w:r>
      <w:r w:rsidR="00593739" w:rsidRPr="000132D2">
        <w:rPr>
          <w:lang w:val="sr-Latn-RS"/>
        </w:rPr>
        <w:t xml:space="preserve"> je bila </w:t>
      </w:r>
      <w:r w:rsidR="00BC1E4F">
        <w:rPr>
          <w:lang w:val="sr-Latn-RS"/>
        </w:rPr>
        <w:t>2840</w:t>
      </w:r>
      <w:r w:rsidR="00BC1E4F" w:rsidRPr="000132D2">
        <w:rPr>
          <w:lang w:val="sr-Latn-RS"/>
        </w:rPr>
        <w:t xml:space="preserve"> </w:t>
      </w:r>
      <w:r w:rsidR="00593739" w:rsidRPr="000132D2">
        <w:rPr>
          <w:lang w:val="sr-Latn-RS"/>
        </w:rPr>
        <w:t xml:space="preserve">ng/ml, a srednja </w:t>
      </w:r>
      <w:r w:rsidR="00150C32">
        <w:rPr>
          <w:lang w:val="sr-Latn-RS"/>
        </w:rPr>
        <w:t>vrijednost</w:t>
      </w:r>
      <w:r w:rsidR="00593739" w:rsidRPr="000132D2">
        <w:rPr>
          <w:lang w:val="sr-Latn-RS"/>
        </w:rPr>
        <w:t xml:space="preserve"> oblasti ispod krive </w:t>
      </w:r>
      <w:r>
        <w:rPr>
          <w:lang w:val="sr-Latn-RS"/>
        </w:rPr>
        <w:t>koncentracije kroz vrijeme</w:t>
      </w:r>
      <w:r w:rsidR="00593739" w:rsidRPr="000132D2">
        <w:rPr>
          <w:lang w:val="sr-Latn-RS"/>
        </w:rPr>
        <w:t xml:space="preserve"> (AUC</w:t>
      </w:r>
      <w:r w:rsidR="00593739" w:rsidRPr="000132D2">
        <w:rPr>
          <w:sz w:val="14"/>
          <w:lang w:val="sr-Latn-RS"/>
        </w:rPr>
        <w:t>0–24 sata</w:t>
      </w:r>
      <w:r w:rsidR="00593739" w:rsidRPr="000132D2">
        <w:rPr>
          <w:lang w:val="sr-Latn-RS"/>
        </w:rPr>
        <w:t xml:space="preserve">) u </w:t>
      </w:r>
      <w:r>
        <w:rPr>
          <w:lang w:val="sr-Latn-RS"/>
        </w:rPr>
        <w:t>stanju dinamičke ravnoteže</w:t>
      </w:r>
      <w:r w:rsidR="00593739" w:rsidRPr="000132D2">
        <w:rPr>
          <w:lang w:val="sr-Latn-RS"/>
        </w:rPr>
        <w:t xml:space="preserve"> iznosila je </w:t>
      </w:r>
      <w:r w:rsidR="00BC1E4F">
        <w:rPr>
          <w:lang w:val="sr-Latn-RS"/>
        </w:rPr>
        <w:t>40100</w:t>
      </w:r>
      <w:r w:rsidR="00BC1E4F" w:rsidRPr="000132D2">
        <w:rPr>
          <w:lang w:val="sr-Latn-RS"/>
        </w:rPr>
        <w:t xml:space="preserve"> </w:t>
      </w:r>
      <w:r w:rsidR="00593739" w:rsidRPr="000132D2">
        <w:rPr>
          <w:lang w:val="sr-Latn-RS"/>
        </w:rPr>
        <w:t>h•ng/ml. Srednja sraz</w:t>
      </w:r>
      <w:r w:rsidR="00150C32">
        <w:rPr>
          <w:lang w:val="sr-Latn-RS"/>
        </w:rPr>
        <w:t>mjera</w:t>
      </w:r>
      <w:r w:rsidR="00593739" w:rsidRPr="000132D2">
        <w:rPr>
          <w:lang w:val="sr-Latn-RS"/>
        </w:rPr>
        <w:t xml:space="preserve"> akumulacije bila je ~ 2</w:t>
      </w:r>
      <w:r>
        <w:rPr>
          <w:lang w:val="sr-Latn-RS"/>
        </w:rPr>
        <w:t>puta veća</w:t>
      </w:r>
      <w:r w:rsidR="00593739" w:rsidRPr="000132D2">
        <w:rPr>
          <w:lang w:val="sr-Latn-RS"/>
        </w:rPr>
        <w:t xml:space="preserve"> nakon ponovljenog doziranja.</w:t>
      </w:r>
    </w:p>
    <w:p w14:paraId="095D1373" w14:textId="77777777" w:rsidR="00593739" w:rsidRPr="000132D2" w:rsidRDefault="00593739" w:rsidP="00593739">
      <w:pPr>
        <w:pStyle w:val="BodyText"/>
        <w:spacing w:before="7"/>
        <w:jc w:val="both"/>
        <w:rPr>
          <w:sz w:val="21"/>
          <w:lang w:val="sr-Latn-RS"/>
        </w:rPr>
      </w:pPr>
    </w:p>
    <w:p w14:paraId="52BFCF49" w14:textId="77777777" w:rsidR="00593739" w:rsidRPr="000132D2" w:rsidRDefault="00593739" w:rsidP="00593739">
      <w:pPr>
        <w:pStyle w:val="BodyText"/>
        <w:spacing w:before="1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Resorpcija</w:t>
      </w:r>
    </w:p>
    <w:p w14:paraId="237FF951" w14:textId="77777777" w:rsidR="00593739" w:rsidRPr="000132D2" w:rsidRDefault="00593739" w:rsidP="00593739">
      <w:pPr>
        <w:pStyle w:val="BodyText"/>
        <w:spacing w:before="10"/>
        <w:jc w:val="both"/>
        <w:rPr>
          <w:sz w:val="13"/>
          <w:lang w:val="sr-Latn-RS"/>
        </w:rPr>
      </w:pPr>
    </w:p>
    <w:p w14:paraId="7F8C4B13" w14:textId="65EF75DD" w:rsidR="00593739" w:rsidRPr="000132D2" w:rsidRDefault="00593739" w:rsidP="00593739">
      <w:pPr>
        <w:pStyle w:val="BodyText"/>
        <w:spacing w:before="90"/>
        <w:ind w:left="118" w:right="316"/>
        <w:jc w:val="both"/>
        <w:rPr>
          <w:lang w:val="sr-Latn-RS"/>
        </w:rPr>
      </w:pPr>
      <w:r w:rsidRPr="000132D2">
        <w:rPr>
          <w:lang w:val="sr-Latn-RS"/>
        </w:rPr>
        <w:t xml:space="preserve">Medijana vremena do vršne </w:t>
      </w:r>
      <w:r w:rsidR="00150C32">
        <w:rPr>
          <w:lang w:val="sr-Latn-RS"/>
        </w:rPr>
        <w:t>vrijednost</w:t>
      </w:r>
      <w:r w:rsidRPr="000132D2">
        <w:rPr>
          <w:lang w:val="sr-Latn-RS"/>
        </w:rPr>
        <w:t>i koncentracije (T</w:t>
      </w:r>
      <w:r w:rsidRPr="000132D2">
        <w:rPr>
          <w:sz w:val="14"/>
          <w:lang w:val="sr-Latn-RS"/>
        </w:rPr>
        <w:t>max</w:t>
      </w:r>
      <w:r w:rsidRPr="000132D2">
        <w:rPr>
          <w:lang w:val="sr-Latn-RS"/>
        </w:rPr>
        <w:t>) bila je u rasponu od 2,0 do 4,0 sata nakon pojedinačnih doza pralsetiniba od 60 mg do 600 mg (0,15 do 1,5 većih od odobrene preporučene doze). Apsolutna bioraspoloživost pralsetiniba nije utvrđena.</w:t>
      </w:r>
    </w:p>
    <w:p w14:paraId="44291003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76582385" w14:textId="77777777" w:rsidR="00593739" w:rsidRPr="000132D2" w:rsidRDefault="00593739" w:rsidP="00593739">
      <w:pPr>
        <w:spacing w:line="252" w:lineRule="exact"/>
        <w:ind w:left="118"/>
        <w:jc w:val="both"/>
        <w:rPr>
          <w:i/>
          <w:lang w:val="sr-Latn-RS"/>
        </w:rPr>
      </w:pPr>
      <w:r w:rsidRPr="000132D2">
        <w:rPr>
          <w:i/>
          <w:iCs/>
          <w:lang w:val="sr-Latn-RS"/>
        </w:rPr>
        <w:t>Dejstvo hrane</w:t>
      </w:r>
    </w:p>
    <w:p w14:paraId="2E579CC1" w14:textId="6D73D5B7" w:rsidR="00593739" w:rsidRPr="000132D2" w:rsidRDefault="00593739" w:rsidP="00593739">
      <w:pPr>
        <w:pStyle w:val="BodyText"/>
        <w:spacing w:before="1" w:line="237" w:lineRule="auto"/>
        <w:ind w:left="118" w:right="172"/>
        <w:jc w:val="both"/>
        <w:rPr>
          <w:lang w:val="sr-Latn-RS"/>
        </w:rPr>
      </w:pPr>
      <w:r w:rsidRPr="000132D2">
        <w:rPr>
          <w:lang w:val="sr-Latn-RS"/>
        </w:rPr>
        <w:t xml:space="preserve">Nakon davanja jedne doze od 200 mg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a Gavreto uz obrok sa visokim sadržajem masti (otprilike 800 do 1000 kalorija sa 50 do 60% kalorija iz masti), srednja </w:t>
      </w:r>
      <w:r w:rsidR="00150C32">
        <w:rPr>
          <w:lang w:val="sr-Latn-RS"/>
        </w:rPr>
        <w:t>vrijednost</w:t>
      </w:r>
      <w:r w:rsidRPr="000132D2">
        <w:rPr>
          <w:lang w:val="sr-Latn-RS"/>
        </w:rPr>
        <w:t xml:space="preserve"> (90% CI) C</w:t>
      </w:r>
      <w:r w:rsidRPr="000132D2">
        <w:rPr>
          <w:sz w:val="14"/>
          <w:lang w:val="sr-Latn-RS"/>
        </w:rPr>
        <w:t xml:space="preserve">max </w:t>
      </w:r>
      <w:r w:rsidRPr="000132D2">
        <w:rPr>
          <w:lang w:val="sr-Latn-RS"/>
        </w:rPr>
        <w:t xml:space="preserve">pralsetiniba povećana je za 104% (65%, 153%), srednja </w:t>
      </w:r>
      <w:r w:rsidR="00150C32">
        <w:rPr>
          <w:lang w:val="sr-Latn-RS"/>
        </w:rPr>
        <w:t>vrijednost</w:t>
      </w:r>
      <w:r w:rsidRPr="000132D2">
        <w:rPr>
          <w:lang w:val="sr-Latn-RS"/>
        </w:rPr>
        <w:t xml:space="preserve"> (90% CI) AUC</w:t>
      </w:r>
      <w:r w:rsidRPr="000132D2">
        <w:rPr>
          <w:sz w:val="14"/>
          <w:lang w:val="sr-Latn-RS"/>
        </w:rPr>
        <w:t xml:space="preserve">0-∞ </w:t>
      </w:r>
      <w:r w:rsidRPr="000132D2">
        <w:rPr>
          <w:lang w:val="sr-Latn-RS"/>
        </w:rPr>
        <w:t>povećana je za 122% (96%, 152%), a medijana T</w:t>
      </w:r>
      <w:r w:rsidRPr="000132D2">
        <w:rPr>
          <w:sz w:val="14"/>
          <w:lang w:val="sr-Latn-RS"/>
        </w:rPr>
        <w:t xml:space="preserve">max </w:t>
      </w:r>
      <w:r w:rsidRPr="000132D2">
        <w:rPr>
          <w:lang w:val="sr-Latn-RS"/>
        </w:rPr>
        <w:t>odložena je sa 4 na 8,5 sati u poređenju sa stanjem natašte.</w:t>
      </w:r>
    </w:p>
    <w:p w14:paraId="72256044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1EEB0DD6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Distribucija</w:t>
      </w:r>
    </w:p>
    <w:p w14:paraId="3A7E8B68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23B6E542" w14:textId="7D9438CE" w:rsidR="00593739" w:rsidRPr="000132D2" w:rsidRDefault="00593739" w:rsidP="00593739">
      <w:pPr>
        <w:pStyle w:val="BodyText"/>
        <w:spacing w:before="92"/>
        <w:ind w:left="118" w:right="129"/>
        <w:jc w:val="both"/>
        <w:rPr>
          <w:lang w:val="sr-Latn-RS"/>
        </w:rPr>
      </w:pPr>
      <w:r w:rsidRPr="000132D2">
        <w:rPr>
          <w:lang w:val="sr-Latn-RS"/>
        </w:rPr>
        <w:t>Srednj</w:t>
      </w:r>
      <w:r w:rsidR="00811ABC">
        <w:rPr>
          <w:lang w:val="sr-Latn-RS"/>
        </w:rPr>
        <w:t>a</w:t>
      </w:r>
      <w:r w:rsidRPr="000132D2">
        <w:rPr>
          <w:lang w:val="sr-Latn-RS"/>
        </w:rPr>
        <w:t xml:space="preserve"> </w:t>
      </w:r>
      <w:r w:rsidR="00811ABC">
        <w:rPr>
          <w:lang w:val="sr-Latn-RS"/>
        </w:rPr>
        <w:t>vrijednost prividnog volumena</w:t>
      </w:r>
      <w:r w:rsidRPr="000132D2">
        <w:rPr>
          <w:lang w:val="sr-Latn-RS"/>
        </w:rPr>
        <w:t xml:space="preserve"> distribucije pralsetiniba </w:t>
      </w:r>
      <w:r w:rsidR="00BC1E4F">
        <w:rPr>
          <w:lang w:val="sr-Latn-RS"/>
        </w:rPr>
        <w:t xml:space="preserve">u stanju dinamičke ravnoteže </w:t>
      </w:r>
      <w:r w:rsidRPr="000132D2">
        <w:rPr>
          <w:lang w:val="sr-Latn-RS"/>
        </w:rPr>
        <w:t xml:space="preserve">iznosi </w:t>
      </w:r>
      <w:r w:rsidR="00BC1E4F">
        <w:rPr>
          <w:lang w:val="sr-Latn-RS"/>
        </w:rPr>
        <w:t>255 l.</w:t>
      </w:r>
      <w:r w:rsidRPr="000132D2">
        <w:rPr>
          <w:lang w:val="sr-Latn-RS"/>
        </w:rPr>
        <w:t xml:space="preserve"> Vezivanje za proteine plazme kada je u pitanju pralsetinib iznosi 97,1% i ne zavisi od koncentracije</w:t>
      </w:r>
      <w:r w:rsidR="00811ABC">
        <w:rPr>
          <w:lang w:val="sr-Latn-RS"/>
        </w:rPr>
        <w:t xml:space="preserve"> lijeka.</w:t>
      </w:r>
      <w:r w:rsidRPr="000132D2">
        <w:rPr>
          <w:lang w:val="sr-Latn-RS"/>
        </w:rPr>
        <w:t xml:space="preserve"> Odnos koncentracije u </w:t>
      </w:r>
      <w:r w:rsidR="00150C32">
        <w:rPr>
          <w:lang w:val="sr-Latn-RS"/>
        </w:rPr>
        <w:t>cijeloj</w:t>
      </w:r>
      <w:r w:rsidRPr="000132D2">
        <w:rPr>
          <w:lang w:val="sr-Latn-RS"/>
        </w:rPr>
        <w:t xml:space="preserve"> krvi i plazmi iznosi 0,6 do 0,7.</w:t>
      </w:r>
    </w:p>
    <w:p w14:paraId="3A85CB9A" w14:textId="77777777" w:rsidR="00593739" w:rsidRPr="000132D2" w:rsidRDefault="00593739" w:rsidP="00593739">
      <w:pPr>
        <w:pStyle w:val="BodyText"/>
        <w:spacing w:before="2"/>
        <w:jc w:val="both"/>
        <w:rPr>
          <w:lang w:val="sr-Latn-RS"/>
        </w:rPr>
      </w:pPr>
    </w:p>
    <w:p w14:paraId="39E09662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Biotransformacija</w:t>
      </w:r>
    </w:p>
    <w:p w14:paraId="77F5F35B" w14:textId="77777777" w:rsidR="00593739" w:rsidRPr="000132D2" w:rsidRDefault="00593739" w:rsidP="00593739">
      <w:pPr>
        <w:pStyle w:val="BodyText"/>
        <w:spacing w:before="10"/>
        <w:jc w:val="both"/>
        <w:rPr>
          <w:sz w:val="13"/>
          <w:lang w:val="sr-Latn-RS"/>
        </w:rPr>
      </w:pPr>
    </w:p>
    <w:p w14:paraId="3185EE62" w14:textId="53BED62F" w:rsidR="00593739" w:rsidRPr="000132D2" w:rsidRDefault="00593739" w:rsidP="00593739">
      <w:pPr>
        <w:pStyle w:val="BodyText"/>
        <w:spacing w:before="92"/>
        <w:ind w:left="118" w:right="177"/>
        <w:jc w:val="both"/>
        <w:rPr>
          <w:lang w:val="sr-Latn-RS"/>
        </w:rPr>
      </w:pPr>
      <w:r w:rsidRPr="000132D2">
        <w:rPr>
          <w:lang w:val="sr-Latn-RS"/>
        </w:rPr>
        <w:t xml:space="preserve">Pralsetinib prvenstveno metabolišu CYP3A4 i UGT1A4, a u manjoj </w:t>
      </w:r>
      <w:r w:rsidR="00150C32">
        <w:rPr>
          <w:lang w:val="sr-Latn-RS"/>
        </w:rPr>
        <w:t>mjeri</w:t>
      </w:r>
      <w:r w:rsidRPr="000132D2">
        <w:rPr>
          <w:lang w:val="sr-Latn-RS"/>
        </w:rPr>
        <w:t xml:space="preserve"> CYP2D6 i CYP1A2 </w:t>
      </w:r>
      <w:r w:rsidRPr="000132D2">
        <w:rPr>
          <w:i/>
          <w:iCs/>
          <w:lang w:val="sr-Latn-RS"/>
        </w:rPr>
        <w:t>in vitro</w:t>
      </w:r>
      <w:r w:rsidRPr="000132D2">
        <w:rPr>
          <w:lang w:val="sr-Latn-RS"/>
        </w:rPr>
        <w:t>.</w:t>
      </w:r>
    </w:p>
    <w:p w14:paraId="7A16F70C" w14:textId="77777777" w:rsidR="00593739" w:rsidRPr="000132D2" w:rsidRDefault="00593739" w:rsidP="00593739">
      <w:pPr>
        <w:pStyle w:val="BodyText"/>
        <w:ind w:left="118" w:right="221"/>
        <w:jc w:val="both"/>
        <w:rPr>
          <w:lang w:val="sr-Latn-RS"/>
        </w:rPr>
      </w:pPr>
      <w:r w:rsidRPr="000132D2">
        <w:rPr>
          <w:lang w:val="sr-Latn-RS"/>
        </w:rPr>
        <w:t>Nakon jedne oralne doze od približno 310 mg radiooznačenog pralsetiniba zdravim ispitanicima, metaboliti pralsetiniba iz oksidacije (M531, M453, M549b) i glukuronidacije (M709) detektovani su u malim količinama do količina u tragovima (~ 5%).</w:t>
      </w:r>
    </w:p>
    <w:p w14:paraId="5E107235" w14:textId="77777777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37FA35FE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Eliminacija</w:t>
      </w:r>
    </w:p>
    <w:p w14:paraId="14F629D7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42AFEB68" w14:textId="203C9566" w:rsidR="00593739" w:rsidRPr="000132D2" w:rsidRDefault="00593739" w:rsidP="00593739">
      <w:pPr>
        <w:pStyle w:val="BodyText"/>
        <w:spacing w:before="91"/>
        <w:ind w:left="118" w:right="135"/>
        <w:jc w:val="both"/>
        <w:rPr>
          <w:lang w:val="sr-Latn-RS"/>
        </w:rPr>
      </w:pPr>
      <w:r w:rsidRPr="000132D2">
        <w:rPr>
          <w:lang w:val="sr-Latn-RS"/>
        </w:rPr>
        <w:t>Srednje polu</w:t>
      </w:r>
      <w:r w:rsidR="00150C32">
        <w:rPr>
          <w:lang w:val="sr-Latn-RS"/>
        </w:rPr>
        <w:t xml:space="preserve">vrijeme </w:t>
      </w:r>
      <w:r w:rsidRPr="000132D2">
        <w:rPr>
          <w:lang w:val="sr-Latn-RS"/>
        </w:rPr>
        <w:t xml:space="preserve">eliminacije pralsetiniba iz plazme bilo je </w:t>
      </w:r>
      <w:r w:rsidR="00BC1E4F">
        <w:rPr>
          <w:lang w:val="sr-Latn-RS"/>
        </w:rPr>
        <w:t>13,4</w:t>
      </w:r>
      <w:r w:rsidRPr="000132D2">
        <w:rPr>
          <w:lang w:val="sr-Latn-RS"/>
        </w:rPr>
        <w:t xml:space="preserve"> </w:t>
      </w:r>
      <w:r w:rsidR="00BC1E4F" w:rsidRPr="000132D2">
        <w:rPr>
          <w:lang w:val="sr-Latn-RS"/>
        </w:rPr>
        <w:t>sat</w:t>
      </w:r>
      <w:r w:rsidR="00BC1E4F">
        <w:rPr>
          <w:lang w:val="sr-Latn-RS"/>
        </w:rPr>
        <w:t>a</w:t>
      </w:r>
      <w:r w:rsidR="00BC1E4F" w:rsidRPr="000132D2">
        <w:rPr>
          <w:lang w:val="sr-Latn-RS"/>
        </w:rPr>
        <w:t xml:space="preserve"> </w:t>
      </w:r>
      <w:r w:rsidRPr="000132D2">
        <w:rPr>
          <w:lang w:val="sr-Latn-RS"/>
        </w:rPr>
        <w:t xml:space="preserve">nakon jedne doze od 400 mg (preporučene doze) pralsetiniba i </w:t>
      </w:r>
      <w:r w:rsidR="00BC1E4F">
        <w:rPr>
          <w:lang w:val="sr-Latn-RS"/>
        </w:rPr>
        <w:t>17,9</w:t>
      </w:r>
      <w:r w:rsidRPr="000132D2">
        <w:rPr>
          <w:lang w:val="sr-Latn-RS"/>
        </w:rPr>
        <w:t xml:space="preserve"> </w:t>
      </w:r>
      <w:r w:rsidR="00BC1E4F" w:rsidRPr="000132D2">
        <w:rPr>
          <w:lang w:val="sr-Latn-RS"/>
        </w:rPr>
        <w:t>sat</w:t>
      </w:r>
      <w:r w:rsidR="00BC1E4F">
        <w:rPr>
          <w:lang w:val="sr-Latn-RS"/>
        </w:rPr>
        <w:t>i</w:t>
      </w:r>
      <w:r w:rsidR="00BC1E4F" w:rsidRPr="000132D2">
        <w:rPr>
          <w:lang w:val="sr-Latn-RS"/>
        </w:rPr>
        <w:t xml:space="preserve"> </w:t>
      </w:r>
      <w:r w:rsidRPr="000132D2">
        <w:rPr>
          <w:lang w:val="sr-Latn-RS"/>
        </w:rPr>
        <w:t>nakon više doza od 400 mg pralsetiniba.</w:t>
      </w:r>
    </w:p>
    <w:p w14:paraId="71E6C780" w14:textId="4F3C3548" w:rsidR="00593739" w:rsidRPr="000132D2" w:rsidRDefault="00593739" w:rsidP="00593739">
      <w:pPr>
        <w:pStyle w:val="BodyText"/>
        <w:spacing w:line="252" w:lineRule="exact"/>
        <w:ind w:left="118"/>
        <w:jc w:val="both"/>
        <w:rPr>
          <w:lang w:val="sr-Latn-RS"/>
        </w:rPr>
      </w:pPr>
      <w:r w:rsidRPr="000132D2">
        <w:rPr>
          <w:lang w:val="sr-Latn-RS"/>
        </w:rPr>
        <w:t xml:space="preserve">Srednji očigledni oralni klirens pralsetiniba u </w:t>
      </w:r>
      <w:r w:rsidR="00EF3455">
        <w:rPr>
          <w:lang w:val="sr-Latn-RS"/>
        </w:rPr>
        <w:t>stanju dinamičke ravnoteže</w:t>
      </w:r>
      <w:r w:rsidRPr="000132D2">
        <w:rPr>
          <w:lang w:val="sr-Latn-RS"/>
        </w:rPr>
        <w:t xml:space="preserve"> (CL/F) iznosi 9,</w:t>
      </w:r>
      <w:r w:rsidR="00BC1E4F">
        <w:rPr>
          <w:lang w:val="sr-Latn-RS"/>
        </w:rPr>
        <w:t>9</w:t>
      </w:r>
      <w:r w:rsidR="00BC1E4F" w:rsidRPr="000132D2">
        <w:rPr>
          <w:lang w:val="sr-Latn-RS"/>
        </w:rPr>
        <w:t xml:space="preserve"> </w:t>
      </w:r>
      <w:r w:rsidRPr="000132D2">
        <w:rPr>
          <w:lang w:val="sr-Latn-RS"/>
        </w:rPr>
        <w:t>l/h.</w:t>
      </w:r>
    </w:p>
    <w:p w14:paraId="3D8067B8" w14:textId="77777777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0217DF2E" w14:textId="009261EC" w:rsidR="00593739" w:rsidRPr="000132D2" w:rsidRDefault="00593739" w:rsidP="00593739">
      <w:pPr>
        <w:pStyle w:val="BodyText"/>
        <w:ind w:left="118" w:right="288"/>
        <w:jc w:val="both"/>
        <w:rPr>
          <w:lang w:val="sr-Latn-RS"/>
        </w:rPr>
      </w:pPr>
      <w:r w:rsidRPr="000132D2">
        <w:rPr>
          <w:lang w:val="sr-Latn-RS"/>
        </w:rPr>
        <w:t>Nakon jedne oralne doze radiooznačenog pralsetiniba zdravim ispitanicima, 72,5% radioaktivne doze nađeno je u fecesu (66% u neprom</w:t>
      </w:r>
      <w:r w:rsidR="009D7B07">
        <w:rPr>
          <w:lang w:val="sr-Latn-RS"/>
        </w:rPr>
        <w:t>j</w:t>
      </w:r>
      <w:r w:rsidRPr="000132D2">
        <w:rPr>
          <w:lang w:val="sr-Latn-RS"/>
        </w:rPr>
        <w:t>enjenom obliku) i 6,1% u urinu (4,8% u neprom</w:t>
      </w:r>
      <w:r w:rsidR="009D7B07">
        <w:rPr>
          <w:lang w:val="sr-Latn-RS"/>
        </w:rPr>
        <w:t>j</w:t>
      </w:r>
      <w:r w:rsidRPr="000132D2">
        <w:rPr>
          <w:lang w:val="sr-Latn-RS"/>
        </w:rPr>
        <w:t>enjenom obliku).</w:t>
      </w:r>
    </w:p>
    <w:p w14:paraId="68D99950" w14:textId="77777777" w:rsidR="00593739" w:rsidRPr="000132D2" w:rsidRDefault="00593739" w:rsidP="00593739">
      <w:pPr>
        <w:pStyle w:val="BodyText"/>
        <w:spacing w:before="11"/>
        <w:jc w:val="both"/>
        <w:rPr>
          <w:sz w:val="21"/>
          <w:lang w:val="sr-Latn-RS"/>
        </w:rPr>
      </w:pPr>
    </w:p>
    <w:p w14:paraId="7EDB7557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Interakcija sa CYP supstratima</w:t>
      </w:r>
    </w:p>
    <w:p w14:paraId="4431954C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3D3966D7" w14:textId="77777777" w:rsidR="00593739" w:rsidRPr="000132D2" w:rsidRDefault="00593739" w:rsidP="00593739">
      <w:pPr>
        <w:pStyle w:val="BodyText"/>
        <w:spacing w:before="91"/>
        <w:ind w:left="118" w:right="104"/>
        <w:jc w:val="both"/>
        <w:rPr>
          <w:lang w:val="sr-Latn-RS"/>
        </w:rPr>
      </w:pPr>
      <w:r w:rsidRPr="000132D2">
        <w:rPr>
          <w:i/>
          <w:iCs/>
          <w:lang w:val="sr-Latn-RS"/>
        </w:rPr>
        <w:t xml:space="preserve">In vitro </w:t>
      </w:r>
      <w:r w:rsidRPr="000132D2">
        <w:rPr>
          <w:lang w:val="sr-Latn-RS"/>
        </w:rPr>
        <w:t>studije pokazuju da je pralsetinib vremenski zavisni inhibitor CYP3A4/5 u klinički relevantnim koncentracijama. Pralsetinib može da ima potencijal da inhibira ili indukuje CYP2C8, CYP2C9 i CYP3A4/5 u klinički relevantnim koncentracijama.</w:t>
      </w:r>
    </w:p>
    <w:p w14:paraId="3835EFEC" w14:textId="07E9D1DF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0842028F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Interakcija sa transportnim proteinima</w:t>
      </w:r>
    </w:p>
    <w:p w14:paraId="6768E8E9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3EBC1EFE" w14:textId="6859ECF9" w:rsidR="00593739" w:rsidRDefault="00593739" w:rsidP="00593739">
      <w:pPr>
        <w:pStyle w:val="BodyText"/>
        <w:spacing w:before="92"/>
        <w:ind w:left="118" w:right="574"/>
        <w:jc w:val="both"/>
        <w:rPr>
          <w:lang w:val="sr-Latn-RS"/>
        </w:rPr>
      </w:pPr>
      <w:r w:rsidRPr="000132D2">
        <w:rPr>
          <w:i/>
          <w:iCs/>
          <w:lang w:val="sr-Latn-RS"/>
        </w:rPr>
        <w:t xml:space="preserve">In vitro </w:t>
      </w:r>
      <w:r w:rsidRPr="000132D2">
        <w:rPr>
          <w:lang w:val="sr-Latn-RS"/>
        </w:rPr>
        <w:t>studije pokazuju da pralsetinib može da ima potencijal da inhibira P-gp, BCRP, OATP1B1, OATP1B3, OAT1, MATE1 i MATE2-K u klinički relevantnim koncentracijama. Pralsetinib predstavlja supstrat P-gp. (</w:t>
      </w:r>
      <w:r w:rsidR="00EF3455">
        <w:rPr>
          <w:lang w:val="sr-Latn-RS"/>
        </w:rPr>
        <w:t>vidje</w:t>
      </w:r>
      <w:r w:rsidR="00EF3455" w:rsidRPr="000132D2">
        <w:rPr>
          <w:lang w:val="sr-Latn-RS"/>
        </w:rPr>
        <w:t xml:space="preserve">ti </w:t>
      </w:r>
      <w:r w:rsidR="00674751">
        <w:rPr>
          <w:lang w:val="sr-Latn-RS"/>
        </w:rPr>
        <w:t>dio</w:t>
      </w:r>
      <w:r w:rsidRPr="000132D2">
        <w:rPr>
          <w:lang w:val="sr-Latn-RS"/>
        </w:rPr>
        <w:t xml:space="preserve"> 4.5).</w:t>
      </w:r>
    </w:p>
    <w:p w14:paraId="51FDC2C6" w14:textId="52869AAF" w:rsidR="00593739" w:rsidRPr="000132D2" w:rsidRDefault="00593739" w:rsidP="00593739">
      <w:pPr>
        <w:pStyle w:val="BodyText"/>
        <w:spacing w:before="92"/>
        <w:ind w:left="118" w:right="574"/>
        <w:jc w:val="both"/>
        <w:rPr>
          <w:lang w:val="sr-Latn-RS"/>
        </w:rPr>
      </w:pPr>
      <w:r w:rsidRPr="000132D2">
        <w:rPr>
          <w:i/>
          <w:iCs/>
          <w:u w:val="single"/>
          <w:lang w:val="sr-Latn-RS"/>
        </w:rPr>
        <w:t xml:space="preserve">In vitro </w:t>
      </w:r>
      <w:r w:rsidRPr="000132D2">
        <w:rPr>
          <w:u w:val="single"/>
          <w:lang w:val="sr-Latn-RS"/>
        </w:rPr>
        <w:t xml:space="preserve">studije sa transporterima </w:t>
      </w:r>
      <w:r w:rsidR="00674751">
        <w:rPr>
          <w:u w:val="single"/>
          <w:lang w:val="sr-Latn-RS"/>
        </w:rPr>
        <w:t>lijek</w:t>
      </w:r>
      <w:r w:rsidRPr="000132D2">
        <w:rPr>
          <w:u w:val="single"/>
          <w:lang w:val="sr-Latn-RS"/>
        </w:rPr>
        <w:t>a</w:t>
      </w:r>
    </w:p>
    <w:p w14:paraId="0F26113B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426FBC1B" w14:textId="77777777" w:rsidR="00593739" w:rsidRPr="000132D2" w:rsidRDefault="00593739" w:rsidP="00593739">
      <w:pPr>
        <w:pStyle w:val="BodyText"/>
        <w:spacing w:before="91"/>
        <w:ind w:left="118" w:right="630"/>
        <w:jc w:val="both"/>
        <w:rPr>
          <w:lang w:val="sr-Latn-RS"/>
        </w:rPr>
      </w:pPr>
      <w:r w:rsidRPr="000132D2">
        <w:rPr>
          <w:i/>
          <w:iCs/>
          <w:lang w:val="sr-Latn-RS"/>
        </w:rPr>
        <w:t xml:space="preserve">In vitro </w:t>
      </w:r>
      <w:r w:rsidRPr="000132D2">
        <w:rPr>
          <w:lang w:val="sr-Latn-RS"/>
        </w:rPr>
        <w:t>studije pokazuju da pralsetinib može da bude potencijalni supstrat P-glikoproteina (P-gp) i BCRP u klinički relevantnim koncentracijama.</w:t>
      </w:r>
    </w:p>
    <w:p w14:paraId="53903013" w14:textId="77777777" w:rsidR="00593739" w:rsidRPr="000132D2" w:rsidRDefault="00593739" w:rsidP="00593739">
      <w:pPr>
        <w:pStyle w:val="BodyText"/>
        <w:spacing w:before="2"/>
        <w:jc w:val="both"/>
        <w:rPr>
          <w:lang w:val="sr-Latn-RS"/>
        </w:rPr>
      </w:pPr>
    </w:p>
    <w:p w14:paraId="5D9121B1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Posebne populacije</w:t>
      </w:r>
    </w:p>
    <w:p w14:paraId="23C66682" w14:textId="77777777" w:rsidR="00593739" w:rsidRPr="000132D2" w:rsidRDefault="00593739" w:rsidP="00593739">
      <w:pPr>
        <w:pStyle w:val="BodyText"/>
        <w:spacing w:before="10"/>
        <w:jc w:val="both"/>
        <w:rPr>
          <w:sz w:val="13"/>
          <w:lang w:val="sr-Latn-RS"/>
        </w:rPr>
      </w:pPr>
    </w:p>
    <w:p w14:paraId="0D574F96" w14:textId="3AB838CC" w:rsidR="00593739" w:rsidRPr="000132D2" w:rsidRDefault="00690636" w:rsidP="00593739">
      <w:pPr>
        <w:pStyle w:val="BodyText"/>
        <w:spacing w:before="92"/>
        <w:ind w:left="118" w:right="227"/>
        <w:jc w:val="both"/>
        <w:rPr>
          <w:lang w:val="sr-Latn-RS"/>
        </w:rPr>
      </w:pPr>
      <w:r>
        <w:rPr>
          <w:lang w:val="sr-Latn-RS"/>
        </w:rPr>
        <w:t>Nijesu</w:t>
      </w:r>
      <w:r w:rsidR="00593739" w:rsidRPr="000132D2">
        <w:rPr>
          <w:lang w:val="sr-Latn-RS"/>
        </w:rPr>
        <w:t xml:space="preserve"> </w:t>
      </w:r>
      <w:r w:rsidR="00297827">
        <w:rPr>
          <w:lang w:val="sr-Latn-RS"/>
        </w:rPr>
        <w:t>zabilježen</w:t>
      </w:r>
      <w:r w:rsidR="00593739" w:rsidRPr="000132D2">
        <w:rPr>
          <w:lang w:val="sr-Latn-RS"/>
        </w:rPr>
        <w:t>e klinički relevantne razlike u farmakokinetici pralsetiniba na osnovu godina života (19 do 87 godina), pola, rase (</w:t>
      </w:r>
      <w:r w:rsidR="00150C32">
        <w:rPr>
          <w:lang w:val="sr-Latn-RS"/>
        </w:rPr>
        <w:t>bijelci</w:t>
      </w:r>
      <w:r w:rsidR="00593739" w:rsidRPr="000132D2">
        <w:rPr>
          <w:lang w:val="sr-Latn-RS"/>
        </w:rPr>
        <w:t xml:space="preserve">, crnci ili Azijati), </w:t>
      </w:r>
      <w:r w:rsidR="00150C32">
        <w:rPr>
          <w:lang w:val="sr-Latn-RS"/>
        </w:rPr>
        <w:t>tjelesn</w:t>
      </w:r>
      <w:r w:rsidR="00593739" w:rsidRPr="000132D2">
        <w:rPr>
          <w:lang w:val="sr-Latn-RS"/>
        </w:rPr>
        <w:t xml:space="preserve">e težine (34,9 do 128 kg), blagog do </w:t>
      </w:r>
      <w:r w:rsidR="00297827">
        <w:rPr>
          <w:lang w:val="sr-Latn-RS"/>
        </w:rPr>
        <w:t>umjere</w:t>
      </w:r>
      <w:r w:rsidR="00593739" w:rsidRPr="000132D2">
        <w:rPr>
          <w:lang w:val="sr-Latn-RS"/>
        </w:rPr>
        <w:t>nog (CL</w:t>
      </w:r>
      <w:r w:rsidR="00593739" w:rsidRPr="000132D2">
        <w:rPr>
          <w:sz w:val="14"/>
          <w:lang w:val="sr-Latn-RS"/>
        </w:rPr>
        <w:t xml:space="preserve">CR </w:t>
      </w:r>
      <w:r w:rsidR="00593739" w:rsidRPr="000132D2">
        <w:rPr>
          <w:lang w:val="sr-Latn-RS"/>
        </w:rPr>
        <w:t>30 do 89 ml/min na osnovu proc</w:t>
      </w:r>
      <w:r w:rsidR="00EF3455">
        <w:rPr>
          <w:lang w:val="sr-Latn-RS"/>
        </w:rPr>
        <w:t>j</w:t>
      </w:r>
      <w:r w:rsidR="00593739" w:rsidRPr="000132D2">
        <w:rPr>
          <w:lang w:val="sr-Latn-RS"/>
        </w:rPr>
        <w:t>ene Cockcroft-Gault</w:t>
      </w:r>
      <w:r w:rsidR="00EF3455">
        <w:rPr>
          <w:lang w:val="sr-Latn-RS"/>
        </w:rPr>
        <w:t xml:space="preserve"> formulom</w:t>
      </w:r>
      <w:r w:rsidR="00593739" w:rsidRPr="000132D2">
        <w:rPr>
          <w:lang w:val="sr-Latn-RS"/>
        </w:rPr>
        <w:t xml:space="preserve">) oštećenja funkcije bubrega ili blagog oštećenja funkcije jetre (ukupni bilirubin ≤ ULN i AST &gt; ULN ili ukupni bilirubin &gt; 1 do 1,5 puta od ULN i AST). </w:t>
      </w:r>
      <w:r w:rsidR="00EF3455">
        <w:rPr>
          <w:lang w:val="sr-Latn-RS"/>
        </w:rPr>
        <w:t>Efekat</w:t>
      </w:r>
      <w:r w:rsidR="00EF3455" w:rsidRPr="000132D2">
        <w:rPr>
          <w:lang w:val="sr-Latn-RS"/>
        </w:rPr>
        <w:t xml:space="preserve"> </w:t>
      </w:r>
      <w:r w:rsidR="00593739" w:rsidRPr="000132D2">
        <w:rPr>
          <w:lang w:val="sr-Latn-RS"/>
        </w:rPr>
        <w:t>teškog oštećenja funkcije bubrega (CL</w:t>
      </w:r>
      <w:r w:rsidR="00593739" w:rsidRPr="000132D2">
        <w:rPr>
          <w:sz w:val="14"/>
          <w:lang w:val="sr-Latn-RS"/>
        </w:rPr>
        <w:t xml:space="preserve">CR </w:t>
      </w:r>
      <w:r w:rsidR="00593739" w:rsidRPr="000132D2">
        <w:rPr>
          <w:lang w:val="sr-Latn-RS"/>
        </w:rPr>
        <w:t>15 do 29 ml/min), bolest bubrega u krajnjem stadijumu</w:t>
      </w:r>
      <w:r w:rsidR="00593739">
        <w:rPr>
          <w:lang w:val="sr-Latn-RS"/>
        </w:rPr>
        <w:t xml:space="preserve"> </w:t>
      </w:r>
      <w:r w:rsidR="00593739" w:rsidRPr="000132D2">
        <w:rPr>
          <w:lang w:val="sr-Latn-RS"/>
        </w:rPr>
        <w:t>(CL</w:t>
      </w:r>
      <w:r w:rsidR="00593739" w:rsidRPr="000132D2">
        <w:rPr>
          <w:sz w:val="14"/>
          <w:lang w:val="sr-Latn-RS"/>
        </w:rPr>
        <w:t xml:space="preserve">CR </w:t>
      </w:r>
      <w:r w:rsidR="00593739" w:rsidRPr="000132D2">
        <w:rPr>
          <w:lang w:val="sr-Latn-RS"/>
        </w:rPr>
        <w:t xml:space="preserve">&lt; 15 ml/min), ili </w:t>
      </w:r>
      <w:r w:rsidR="00297827">
        <w:rPr>
          <w:lang w:val="sr-Latn-RS"/>
        </w:rPr>
        <w:t>umjere</w:t>
      </w:r>
      <w:r w:rsidR="00593739" w:rsidRPr="000132D2">
        <w:rPr>
          <w:lang w:val="sr-Latn-RS"/>
        </w:rPr>
        <w:t>nog do teškog oštećenja funkcije jetre (ukupni bilirubin &gt; 1,5 puta od ULN i AST) na farmakokinetiku pralsetiniba nije poznat (</w:t>
      </w:r>
      <w:r w:rsidR="00EF3455">
        <w:rPr>
          <w:lang w:val="sr-Latn-RS"/>
        </w:rPr>
        <w:t>vidje</w:t>
      </w:r>
      <w:r w:rsidR="00EF3455" w:rsidRPr="000132D2">
        <w:rPr>
          <w:lang w:val="sr-Latn-RS"/>
        </w:rPr>
        <w:t xml:space="preserve">ti </w:t>
      </w:r>
      <w:r w:rsidR="00674751">
        <w:rPr>
          <w:lang w:val="sr-Latn-RS"/>
        </w:rPr>
        <w:t>dio</w:t>
      </w:r>
      <w:r w:rsidR="00593739" w:rsidRPr="000132D2">
        <w:rPr>
          <w:lang w:val="sr-Latn-RS"/>
        </w:rPr>
        <w:t xml:space="preserve"> 4.2). Stoga </w:t>
      </w:r>
      <w:r>
        <w:rPr>
          <w:lang w:val="sr-Latn-RS"/>
        </w:rPr>
        <w:t>nije</w:t>
      </w:r>
      <w:r w:rsidR="00593739" w:rsidRPr="000132D2">
        <w:rPr>
          <w:lang w:val="sr-Latn-RS"/>
        </w:rPr>
        <w:t xml:space="preserve"> potrebn</w:t>
      </w:r>
      <w:r w:rsidR="00EF3455">
        <w:rPr>
          <w:lang w:val="sr-Latn-RS"/>
        </w:rPr>
        <w:t>o</w:t>
      </w:r>
      <w:r w:rsidR="00593739" w:rsidRPr="000132D2">
        <w:rPr>
          <w:lang w:val="sr-Latn-RS"/>
        </w:rPr>
        <w:t xml:space="preserve"> </w:t>
      </w:r>
      <w:r w:rsidR="00EF3455">
        <w:rPr>
          <w:lang w:val="sr-Latn-RS"/>
        </w:rPr>
        <w:t>prilagođavanje</w:t>
      </w:r>
      <w:r w:rsidR="00EF3455" w:rsidRPr="000132D2">
        <w:rPr>
          <w:lang w:val="sr-Latn-RS"/>
        </w:rPr>
        <w:t xml:space="preserve"> </w:t>
      </w:r>
      <w:r w:rsidR="00593739" w:rsidRPr="000132D2">
        <w:rPr>
          <w:lang w:val="sr-Latn-RS"/>
        </w:rPr>
        <w:t>doza u gore</w:t>
      </w:r>
      <w:r w:rsidR="00EF3455">
        <w:rPr>
          <w:lang w:val="sr-Latn-RS"/>
        </w:rPr>
        <w:t xml:space="preserve"> </w:t>
      </w:r>
      <w:r w:rsidR="00593739" w:rsidRPr="000132D2">
        <w:rPr>
          <w:lang w:val="sr-Latn-RS"/>
        </w:rPr>
        <w:t>navedenim posebnim populacijama.</w:t>
      </w:r>
    </w:p>
    <w:p w14:paraId="6994F678" w14:textId="77777777" w:rsidR="00593739" w:rsidRPr="000132D2" w:rsidRDefault="00593739" w:rsidP="00593739">
      <w:pPr>
        <w:pStyle w:val="BodyText"/>
        <w:spacing w:before="9"/>
        <w:jc w:val="both"/>
        <w:rPr>
          <w:sz w:val="21"/>
          <w:lang w:val="sr-Latn-RS"/>
        </w:rPr>
      </w:pPr>
    </w:p>
    <w:p w14:paraId="12C056A7" w14:textId="3E73A212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5.3. </w:t>
      </w:r>
      <w:r w:rsidRPr="000132D2">
        <w:rPr>
          <w:lang w:val="sr-Latn-RS"/>
        </w:rPr>
        <w:t>Pretklinički podaci o bezb</w:t>
      </w:r>
      <w:r>
        <w:rPr>
          <w:lang w:val="sr-Latn-RS"/>
        </w:rPr>
        <w:t>j</w:t>
      </w:r>
      <w:r w:rsidRPr="000132D2">
        <w:rPr>
          <w:lang w:val="sr-Latn-RS"/>
        </w:rPr>
        <w:t>ednosti</w:t>
      </w:r>
    </w:p>
    <w:p w14:paraId="77C8FE36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74CD4AA3" w14:textId="50E066EC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Studije toksičnosti ponovljen</w:t>
      </w:r>
      <w:r w:rsidR="00073139">
        <w:rPr>
          <w:u w:val="single"/>
          <w:lang w:val="sr-Latn-RS"/>
        </w:rPr>
        <w:t>ih</w:t>
      </w:r>
      <w:r w:rsidRPr="000132D2">
        <w:rPr>
          <w:u w:val="single"/>
          <w:lang w:val="sr-Latn-RS"/>
        </w:rPr>
        <w:t xml:space="preserve"> doz</w:t>
      </w:r>
      <w:r w:rsidR="00073139">
        <w:rPr>
          <w:u w:val="single"/>
          <w:lang w:val="sr-Latn-RS"/>
        </w:rPr>
        <w:t>a</w:t>
      </w:r>
    </w:p>
    <w:p w14:paraId="02B53426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60E8797F" w14:textId="28AB928B" w:rsidR="00337E02" w:rsidRDefault="00593739" w:rsidP="00117192">
      <w:pPr>
        <w:pStyle w:val="BodyText"/>
        <w:spacing w:before="92"/>
        <w:ind w:left="118" w:right="165"/>
        <w:jc w:val="both"/>
        <w:rPr>
          <w:rStyle w:val="markedcontent"/>
        </w:rPr>
      </w:pPr>
      <w:r w:rsidRPr="000132D2">
        <w:rPr>
          <w:lang w:val="sr-Latn-RS"/>
        </w:rPr>
        <w:t xml:space="preserve">U studijama koje su trajale do 13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 xml:space="preserve">a sa pacovima i makaki (ciynomolgus) majmunima, primarni nalazi pri izloženostima sličnim izloženosti ljudi (AUC) u </w:t>
      </w:r>
      <w:r w:rsidR="00E06D05">
        <w:rPr>
          <w:lang w:val="sr-Latn-RS"/>
        </w:rPr>
        <w:t>stanju dinamičke ravnoteže</w:t>
      </w:r>
      <w:r w:rsidRPr="000132D2">
        <w:rPr>
          <w:lang w:val="sr-Latn-RS"/>
        </w:rPr>
        <w:t xml:space="preserve"> pri dozi od 400 mg jednom dnevno kod pacijenata sa uznapredovalim NSCLC obuhvatili su </w:t>
      </w:r>
      <w:r w:rsidR="00117192">
        <w:rPr>
          <w:lang w:val="sr-Latn-RS"/>
        </w:rPr>
        <w:t xml:space="preserve">displaziju epifizne ploče </w:t>
      </w:r>
      <w:r w:rsidRPr="000132D2">
        <w:rPr>
          <w:lang w:val="sr-Latn-RS"/>
        </w:rPr>
        <w:t xml:space="preserve">kod pacova (2 puta veću od </w:t>
      </w:r>
      <w:r w:rsidR="00117192">
        <w:rPr>
          <w:lang w:val="sr-Latn-RS"/>
        </w:rPr>
        <w:t>granične vrijednosti</w:t>
      </w:r>
      <w:r w:rsidRPr="000132D2">
        <w:rPr>
          <w:lang w:val="sr-Latn-RS"/>
        </w:rPr>
        <w:t xml:space="preserve">) i hematološka dejstva (1 put veća od </w:t>
      </w:r>
      <w:r w:rsidR="00117192">
        <w:rPr>
          <w:lang w:val="sr-Latn-RS"/>
        </w:rPr>
        <w:t>granične vrijednosti</w:t>
      </w:r>
      <w:r w:rsidRPr="000132D2">
        <w:rPr>
          <w:lang w:val="sr-Latn-RS"/>
        </w:rPr>
        <w:t xml:space="preserve">) kod </w:t>
      </w:r>
      <w:r w:rsidR="00150C32">
        <w:rPr>
          <w:lang w:val="sr-Latn-RS"/>
        </w:rPr>
        <w:t>obje</w:t>
      </w:r>
      <w:r w:rsidRPr="000132D2">
        <w:rPr>
          <w:lang w:val="sr-Latn-RS"/>
        </w:rPr>
        <w:t xml:space="preserve"> vrste. Dodatni neželjeni nalazi pri višim izloženostima obuhvataju degenerativne prom</w:t>
      </w:r>
      <w:r w:rsidR="00E06D05">
        <w:rPr>
          <w:lang w:val="sr-Latn-RS"/>
        </w:rPr>
        <w:t>j</w:t>
      </w:r>
      <w:r w:rsidRPr="000132D2">
        <w:rPr>
          <w:lang w:val="sr-Latn-RS"/>
        </w:rPr>
        <w:t xml:space="preserve">ene reproduktivnih organa mužjaka i ženki (2 puta veće od margine) i povišen nivo fosfora </w:t>
      </w:r>
      <w:r w:rsidR="00117192">
        <w:rPr>
          <w:lang w:val="sr-Latn-RS"/>
        </w:rPr>
        <w:t>u</w:t>
      </w:r>
      <w:r w:rsidRPr="000132D2">
        <w:rPr>
          <w:lang w:val="sr-Latn-RS"/>
        </w:rPr>
        <w:t xml:space="preserve"> krvi </w:t>
      </w:r>
      <w:r w:rsidR="00117192">
        <w:rPr>
          <w:lang w:val="sr-Latn-RS"/>
        </w:rPr>
        <w:t xml:space="preserve">praćen </w:t>
      </w:r>
      <w:r w:rsidRPr="000132D2">
        <w:rPr>
          <w:lang w:val="sr-Latn-RS"/>
        </w:rPr>
        <w:t xml:space="preserve">mineralizacijom u mekim tkivima pacova (≥ 2 puta od margine) i miokardijalnom hemoragijom kod pacova (4,4 puta veća od margine). Povišen krvni pritisak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 je kod pacova nakon jedne doze od 25 mg/kg (2 puta). Nivo</w:t>
      </w:r>
      <w:r w:rsidR="00117192">
        <w:rPr>
          <w:lang w:val="sr-Latn-RS"/>
        </w:rPr>
        <w:t xml:space="preserve"> izloženosti</w:t>
      </w:r>
      <w:r w:rsidRPr="000132D2">
        <w:rPr>
          <w:lang w:val="sr-Latn-RS"/>
        </w:rPr>
        <w:t xml:space="preserve"> bez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og neželjenog dejstva (</w:t>
      </w:r>
      <w:r w:rsidR="00117192">
        <w:rPr>
          <w:lang w:val="sr-Latn-RS"/>
        </w:rPr>
        <w:t>e</w:t>
      </w:r>
      <w:r w:rsidR="00117192">
        <w:rPr>
          <w:rStyle w:val="markedcontent"/>
        </w:rPr>
        <w:t xml:space="preserve">ngl. </w:t>
      </w:r>
      <w:r w:rsidR="00117192" w:rsidRPr="00AC7849">
        <w:rPr>
          <w:rStyle w:val="markedcontent"/>
          <w:i/>
        </w:rPr>
        <w:t>no</w:t>
      </w:r>
      <w:r w:rsidR="00117192" w:rsidRPr="00AC7849">
        <w:rPr>
          <w:i/>
        </w:rPr>
        <w:br/>
      </w:r>
      <w:r w:rsidR="00117192" w:rsidRPr="00AC7849">
        <w:rPr>
          <w:rStyle w:val="markedcontent"/>
          <w:i/>
        </w:rPr>
        <w:lastRenderedPageBreak/>
        <w:t>observed adverse effect level</w:t>
      </w:r>
      <w:r w:rsidR="00117192">
        <w:rPr>
          <w:lang w:val="sr-Latn-RS"/>
        </w:rPr>
        <w:t xml:space="preserve">, </w:t>
      </w:r>
      <w:r w:rsidRPr="000132D2">
        <w:rPr>
          <w:lang w:val="sr-Latn-RS"/>
        </w:rPr>
        <w:t xml:space="preserve">NOAEL) pralsetiniba u studijama od 13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 xml:space="preserve">a bio je 10 mg/kg/dan </w:t>
      </w:r>
      <w:r w:rsidR="00117192">
        <w:rPr>
          <w:lang w:val="sr-Latn-RS"/>
        </w:rPr>
        <w:t>kod</w:t>
      </w:r>
      <w:r w:rsidRPr="000132D2">
        <w:rPr>
          <w:lang w:val="sr-Latn-RS"/>
        </w:rPr>
        <w:t xml:space="preserve"> </w:t>
      </w:r>
      <w:r w:rsidR="00150C32">
        <w:rPr>
          <w:lang w:val="sr-Latn-RS"/>
        </w:rPr>
        <w:t>obje</w:t>
      </w:r>
      <w:r w:rsidRPr="000132D2">
        <w:rPr>
          <w:lang w:val="sr-Latn-RS"/>
        </w:rPr>
        <w:t xml:space="preserve"> vrste, </w:t>
      </w:r>
      <w:r w:rsidR="00117192">
        <w:rPr>
          <w:rStyle w:val="markedcontent"/>
        </w:rPr>
        <w:t xml:space="preserve">pri čemu je granična vrijednost izloženosti (AUC) odgovarala 100% izloženosti kod ljudi. </w:t>
      </w:r>
    </w:p>
    <w:p w14:paraId="40B8D7DA" w14:textId="606A0C67" w:rsidR="00593739" w:rsidRPr="000132D2" w:rsidRDefault="00593739" w:rsidP="00117192">
      <w:pPr>
        <w:pStyle w:val="BodyText"/>
        <w:spacing w:before="92"/>
        <w:ind w:left="118" w:right="165"/>
        <w:jc w:val="both"/>
        <w:rPr>
          <w:lang w:val="sr-Latn-RS"/>
        </w:rPr>
      </w:pPr>
      <w:r w:rsidRPr="000132D2">
        <w:rPr>
          <w:lang w:val="sr-Latn-RS"/>
        </w:rPr>
        <w:t>Što se tiče lokalne izloženosti i toksičnosti, nije bilo dokaza o gastrointestinalnim smetnjama kod bilo koje od dv</w:t>
      </w:r>
      <w:r w:rsidR="00337E02">
        <w:rPr>
          <w:lang w:val="sr-Latn-RS"/>
        </w:rPr>
        <w:t>ij</w:t>
      </w:r>
      <w:r w:rsidRPr="000132D2">
        <w:rPr>
          <w:lang w:val="sr-Latn-RS"/>
        </w:rPr>
        <w:t xml:space="preserve">e vrste do NOAEL doze od 10 mg/kg (0,9 veća od margine kod ljudi). Kod majmuna su u višim dozama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e gastrointestinalne ulceracije i krvarenja.</w:t>
      </w:r>
    </w:p>
    <w:p w14:paraId="0E3DA01D" w14:textId="77777777" w:rsidR="00593739" w:rsidRPr="000132D2" w:rsidRDefault="00593739" w:rsidP="00593739">
      <w:pPr>
        <w:pStyle w:val="BodyText"/>
        <w:spacing w:before="10"/>
        <w:jc w:val="both"/>
        <w:rPr>
          <w:sz w:val="21"/>
          <w:lang w:val="sr-Latn-RS"/>
        </w:rPr>
      </w:pPr>
    </w:p>
    <w:p w14:paraId="6D342ACF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Embriotoksičnosti/teratogenost</w:t>
      </w:r>
    </w:p>
    <w:p w14:paraId="055B42D6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191FB422" w14:textId="33FDC671" w:rsidR="00593739" w:rsidRPr="000132D2" w:rsidRDefault="00593739" w:rsidP="00593739">
      <w:pPr>
        <w:pStyle w:val="BodyText"/>
        <w:spacing w:before="92"/>
        <w:ind w:left="118" w:right="282"/>
        <w:jc w:val="both"/>
        <w:rPr>
          <w:lang w:val="sr-Latn-RS"/>
        </w:rPr>
      </w:pPr>
      <w:r w:rsidRPr="000132D2">
        <w:rPr>
          <w:lang w:val="sr-Latn-RS"/>
        </w:rPr>
        <w:t xml:space="preserve">U studiji embriofetalnog razvoja, </w:t>
      </w:r>
      <w:r w:rsidR="00337E02">
        <w:rPr>
          <w:lang w:val="sr-Latn-RS"/>
        </w:rPr>
        <w:t xml:space="preserve">primjena </w:t>
      </w:r>
      <w:r w:rsidRPr="000132D2">
        <w:rPr>
          <w:lang w:val="sr-Latn-RS"/>
        </w:rPr>
        <w:t xml:space="preserve">pralsetiniba pacovima tokom perioda organogeneze bila je teratogena i embriotoksična pri izlaganju ispod kliničkog izlaganja ljudi (AUC) pri </w:t>
      </w:r>
      <w:r w:rsidR="00337E02">
        <w:rPr>
          <w:lang w:val="sr-Latn-RS"/>
        </w:rPr>
        <w:t>stanju dinamičke ravnoteže</w:t>
      </w:r>
      <w:r w:rsidRPr="000132D2">
        <w:rPr>
          <w:lang w:val="sr-Latn-RS"/>
        </w:rPr>
        <w:t xml:space="preserve"> i dozi od 400 mg jednom dnevno. Malformacije, uključujući viscelarne (pretežno bubrega i uretera) i skeletne (vertebralne, vertebralne centralne anomalije i anomalije rebara i hrskavice rebara)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 xml:space="preserve">e su pri izlaganju većem približno 0,2 puta od izloženosti ljudi. Do gubitka nakon implantacije dolazilo je pri izlaganju većem 0,5 puta od izloženosti ljudi </w:t>
      </w:r>
      <w:r w:rsidR="00337E02">
        <w:rPr>
          <w:lang w:val="sr-Latn-RS"/>
        </w:rPr>
        <w:t xml:space="preserve">uz porast </w:t>
      </w:r>
      <w:r w:rsidRPr="000132D2">
        <w:rPr>
          <w:lang w:val="sr-Latn-RS"/>
        </w:rPr>
        <w:t>incidenc</w:t>
      </w:r>
      <w:r w:rsidR="00337E02">
        <w:rPr>
          <w:lang w:val="sr-Latn-RS"/>
        </w:rPr>
        <w:t>e</w:t>
      </w:r>
      <w:r w:rsidRPr="000132D2">
        <w:rPr>
          <w:lang w:val="sr-Latn-RS"/>
        </w:rPr>
        <w:t xml:space="preserve"> od 100% pri izlaganju većem 1,5 puta od izloženosti ljudi.</w:t>
      </w:r>
    </w:p>
    <w:p w14:paraId="704E2C27" w14:textId="77777777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0200D007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Reproduktivna toksičnost</w:t>
      </w:r>
    </w:p>
    <w:p w14:paraId="743959C2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573550AD" w14:textId="462E44C1" w:rsidR="00593739" w:rsidRPr="000132D2" w:rsidRDefault="00593739" w:rsidP="00593739">
      <w:pPr>
        <w:pStyle w:val="BodyText"/>
        <w:spacing w:before="91"/>
        <w:ind w:left="118" w:right="117"/>
        <w:jc w:val="both"/>
        <w:rPr>
          <w:lang w:val="sr-Latn-RS"/>
        </w:rPr>
      </w:pPr>
      <w:r w:rsidRPr="000132D2">
        <w:rPr>
          <w:lang w:val="sr-Latn-RS"/>
        </w:rPr>
        <w:t xml:space="preserve">U posebnoj studiji plodnosti i ranog razvoja embriona koja je sprovedena na mužjacima pacova uparenim sa tretiranim ženkama, pralsetinib nije imao uticaj na učinak mužjaka i ženki u smislu parenja ili sposobnost ostajanja u drugom stanju. Ipak, u skladu sa nalazima studije toksikologije embriofetalnog razvoja došlo je do gubitka </w:t>
      </w:r>
      <w:r w:rsidR="00073139">
        <w:rPr>
          <w:lang w:val="sr-Latn-RS"/>
        </w:rPr>
        <w:t xml:space="preserve">ploda </w:t>
      </w:r>
      <w:r w:rsidRPr="000132D2">
        <w:rPr>
          <w:lang w:val="sr-Latn-RS"/>
        </w:rPr>
        <w:t xml:space="preserve">nakon implantacije u dozama od 5 mg/kg (približno 0,3 puta veće od izloženosti ljudi (AUC) u kliničkoj dozi od 400 mg na osnovu toksikokinetskih podataka iz toksikološke studije na pacovima u trajanju od 13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 xml:space="preserve">a). Na nivou doze od 20 mg/kg (približno 2,5 – 3,6 puta veća od izloženosti ljudi) 82% ženki pacova je totalno resorbovalo </w:t>
      </w:r>
      <w:r w:rsidR="00073139">
        <w:rPr>
          <w:lang w:val="sr-Latn-RS"/>
        </w:rPr>
        <w:t>plod</w:t>
      </w:r>
      <w:r w:rsidRPr="000132D2">
        <w:rPr>
          <w:lang w:val="sr-Latn-RS"/>
        </w:rPr>
        <w:t>, sa 92% gubitka nakon implantacije (rane resorpcije).</w:t>
      </w:r>
      <w:r w:rsidR="004E713E">
        <w:rPr>
          <w:lang w:val="sr-Latn-RS"/>
        </w:rPr>
        <w:t xml:space="preserve"> </w:t>
      </w:r>
      <w:r w:rsidR="004E713E" w:rsidRPr="004E713E">
        <w:rPr>
          <w:lang w:val="sr-Latn-RS"/>
        </w:rPr>
        <w:t xml:space="preserve">U </w:t>
      </w:r>
      <w:r w:rsidR="004E713E">
        <w:rPr>
          <w:lang w:val="sr-Latn-RS"/>
        </w:rPr>
        <w:t>posebnom</w:t>
      </w:r>
      <w:r w:rsidR="004E713E" w:rsidRPr="004E713E">
        <w:rPr>
          <w:lang w:val="sr-Latn-RS"/>
        </w:rPr>
        <w:t xml:space="preserve"> ispitivanju plodnosti i ranog embrionalnog razvoja u kojem su se mužjaci </w:t>
      </w:r>
      <w:r w:rsidR="004E713E">
        <w:rPr>
          <w:lang w:val="sr-Latn-RS"/>
        </w:rPr>
        <w:t>pacova</w:t>
      </w:r>
      <w:r w:rsidR="004E713E" w:rsidRPr="004E713E">
        <w:rPr>
          <w:lang w:val="sr-Latn-RS"/>
        </w:rPr>
        <w:t xml:space="preserve"> koji su primali pralsetinib parili sa ženkama </w:t>
      </w:r>
      <w:r w:rsidR="004E713E">
        <w:rPr>
          <w:lang w:val="sr-Latn-RS"/>
        </w:rPr>
        <w:t>pacova</w:t>
      </w:r>
      <w:r w:rsidR="004E713E" w:rsidRPr="004E713E">
        <w:rPr>
          <w:lang w:val="sr-Latn-RS"/>
        </w:rPr>
        <w:t xml:space="preserve"> koje ni</w:t>
      </w:r>
      <w:r w:rsidR="004E713E">
        <w:rPr>
          <w:lang w:val="sr-Latn-RS"/>
        </w:rPr>
        <w:t>je</w:t>
      </w:r>
      <w:r w:rsidR="004E713E" w:rsidRPr="004E713E">
        <w:rPr>
          <w:lang w:val="sr-Latn-RS"/>
        </w:rPr>
        <w:t>su primale pralsetinib, nije zabilježen ut</w:t>
      </w:r>
      <w:r w:rsidR="004E713E">
        <w:rPr>
          <w:lang w:val="sr-Latn-RS"/>
        </w:rPr>
        <w:t>i</w:t>
      </w:r>
      <w:r w:rsidR="004E713E" w:rsidRPr="004E713E">
        <w:rPr>
          <w:lang w:val="sr-Latn-RS"/>
        </w:rPr>
        <w:t>caj na intrauterino preživljavanje embri</w:t>
      </w:r>
      <w:r w:rsidR="004E713E">
        <w:rPr>
          <w:lang w:val="sr-Latn-RS"/>
        </w:rPr>
        <w:t>ona</w:t>
      </w:r>
      <w:r w:rsidR="004E713E" w:rsidRPr="004E713E">
        <w:rPr>
          <w:lang w:val="sr-Latn-RS"/>
        </w:rPr>
        <w:t xml:space="preserve"> (srednja vrijednost udjela gubitaka ploda u leglu nakon implantacije </w:t>
      </w:r>
      <w:r w:rsidR="004E713E">
        <w:rPr>
          <w:lang w:val="sr-Latn-RS"/>
        </w:rPr>
        <w:t xml:space="preserve">i </w:t>
      </w:r>
      <w:r w:rsidR="004E713E" w:rsidRPr="004E713E">
        <w:rPr>
          <w:lang w:val="sr-Latn-RS"/>
        </w:rPr>
        <w:t>srednja vrijednost broja i udjela vijabilnih embri</w:t>
      </w:r>
      <w:r w:rsidR="004E713E">
        <w:rPr>
          <w:lang w:val="sr-Latn-RS"/>
        </w:rPr>
        <w:t>ona</w:t>
      </w:r>
      <w:r w:rsidR="004E713E" w:rsidRPr="004E713E">
        <w:rPr>
          <w:lang w:val="sr-Latn-RS"/>
        </w:rPr>
        <w:t xml:space="preserve"> u leglu) pri primjeni pralsetiniba </w:t>
      </w:r>
      <w:r w:rsidR="004E713E">
        <w:rPr>
          <w:lang w:val="sr-Latn-RS"/>
        </w:rPr>
        <w:t>kod</w:t>
      </w:r>
      <w:r w:rsidR="004E713E" w:rsidRPr="004E713E">
        <w:rPr>
          <w:lang w:val="sr-Latn-RS"/>
        </w:rPr>
        <w:t xml:space="preserve"> mužjaka pri dozi od 20 mg/kg (izloženost približno 1,4 puta veća od izloženosti </w:t>
      </w:r>
      <w:r w:rsidR="004E713E">
        <w:rPr>
          <w:lang w:val="sr-Latn-RS"/>
        </w:rPr>
        <w:t>kod</w:t>
      </w:r>
      <w:r w:rsidR="004E713E" w:rsidRPr="004E713E">
        <w:rPr>
          <w:lang w:val="sr-Latn-RS"/>
        </w:rPr>
        <w:t xml:space="preserve"> ljudi (AUC) pri kliničkoj dozi od 400 mg na</w:t>
      </w:r>
      <w:r w:rsidR="004E713E">
        <w:rPr>
          <w:lang w:val="sr-Latn-RS"/>
        </w:rPr>
        <w:t xml:space="preserve"> osnovu</w:t>
      </w:r>
      <w:r w:rsidR="004E713E" w:rsidRPr="004E713E">
        <w:rPr>
          <w:lang w:val="sr-Latn-RS"/>
        </w:rPr>
        <w:t xml:space="preserve"> toksikokinetičkih podataka prikupljenih u ovom ispitivanju). Osim toga, u ovom ispitivanju nisu </w:t>
      </w:r>
      <w:r w:rsidR="004E713E">
        <w:rPr>
          <w:lang w:val="sr-Latn-RS"/>
        </w:rPr>
        <w:t>primijećeni</w:t>
      </w:r>
      <w:r w:rsidR="004E713E" w:rsidRPr="004E713E">
        <w:rPr>
          <w:lang w:val="sr-Latn-RS"/>
        </w:rPr>
        <w:t xml:space="preserve"> u</w:t>
      </w:r>
      <w:r w:rsidR="004E713E">
        <w:rPr>
          <w:lang w:val="sr-Latn-RS"/>
        </w:rPr>
        <w:t>ticaji</w:t>
      </w:r>
      <w:r w:rsidR="004E713E" w:rsidRPr="004E713E">
        <w:rPr>
          <w:lang w:val="sr-Latn-RS"/>
        </w:rPr>
        <w:t xml:space="preserve"> na reproduktivnu sposobnost mužjaka (parenje, plodnost i pokazatelji trudnoće) povezani s</w:t>
      </w:r>
      <w:r w:rsidR="004E713E">
        <w:rPr>
          <w:lang w:val="sr-Latn-RS"/>
        </w:rPr>
        <w:t>a</w:t>
      </w:r>
      <w:r w:rsidR="004E713E" w:rsidRPr="004E713E">
        <w:rPr>
          <w:lang w:val="sr-Latn-RS"/>
        </w:rPr>
        <w:t xml:space="preserve"> pralsetinibom.</w:t>
      </w:r>
    </w:p>
    <w:p w14:paraId="3364EEAA" w14:textId="77777777" w:rsidR="00593739" w:rsidRPr="000132D2" w:rsidRDefault="00593739" w:rsidP="00593739">
      <w:pPr>
        <w:pStyle w:val="BodyText"/>
        <w:jc w:val="both"/>
        <w:rPr>
          <w:lang w:val="sr-Latn-RS"/>
        </w:rPr>
      </w:pPr>
    </w:p>
    <w:p w14:paraId="4224C63A" w14:textId="27D32E8B" w:rsidR="00593739" w:rsidRPr="000132D2" w:rsidRDefault="00593739" w:rsidP="00593739">
      <w:pPr>
        <w:pStyle w:val="BodyText"/>
        <w:ind w:left="118" w:right="112"/>
        <w:jc w:val="both"/>
        <w:rPr>
          <w:lang w:val="sr-Latn-RS"/>
        </w:rPr>
      </w:pPr>
      <w:r w:rsidRPr="000132D2">
        <w:rPr>
          <w:lang w:val="sr-Latn-RS"/>
        </w:rPr>
        <w:t xml:space="preserve">U toksikološkoj studiji ponovljene doze od 13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a, mužjaci pacovi su imali mikroskopske dokaze tubularne degeneracije/atrofije u testisu sa sekundarnim ćelijskim ostacima i smanjen</w:t>
      </w:r>
      <w:r w:rsidR="00073139">
        <w:rPr>
          <w:lang w:val="sr-Latn-RS"/>
        </w:rPr>
        <w:t>i</w:t>
      </w:r>
      <w:r w:rsidRPr="000132D2">
        <w:rPr>
          <w:lang w:val="sr-Latn-RS"/>
        </w:rPr>
        <w:t xml:space="preserve">m </w:t>
      </w:r>
      <w:r w:rsidR="00073139">
        <w:rPr>
          <w:lang w:val="sr-Latn-RS"/>
        </w:rPr>
        <w:t xml:space="preserve">brojem </w:t>
      </w:r>
      <w:r w:rsidRPr="006A4869">
        <w:rPr>
          <w:lang w:val="sr-Latn-RS"/>
        </w:rPr>
        <w:t>sper</w:t>
      </w:r>
      <w:r w:rsidR="009D7B07">
        <w:rPr>
          <w:lang w:val="sr-Latn-RS"/>
        </w:rPr>
        <w:t>m</w:t>
      </w:r>
      <w:r w:rsidR="00073139" w:rsidRPr="00AC7849">
        <w:rPr>
          <w:lang w:val="sr-Latn-RS"/>
        </w:rPr>
        <w:t>atozoida</w:t>
      </w:r>
      <w:r w:rsidRPr="000132D2">
        <w:rPr>
          <w:lang w:val="sr-Latn-RS"/>
        </w:rPr>
        <w:t xml:space="preserve"> u lumenu epididimisa, što je bilo u korelaciji sa manjim težinama testisa i epididimisa i opštim opservacijama mekog i malog testisa. Kod ženki pacova došlo je do degeneracije corpus luteuma u jajniku. Za oba</w:t>
      </w:r>
      <w:r>
        <w:rPr>
          <w:lang w:val="sr-Latn-RS"/>
        </w:rPr>
        <w:t xml:space="preserve"> </w:t>
      </w:r>
      <w:r w:rsidRPr="000132D2">
        <w:rPr>
          <w:lang w:val="sr-Latn-RS"/>
        </w:rPr>
        <w:t xml:space="preserve">pola </w:t>
      </w:r>
      <w:r w:rsidR="00297827">
        <w:rPr>
          <w:lang w:val="sr-Latn-RS"/>
        </w:rPr>
        <w:t>zabilježen</w:t>
      </w:r>
      <w:r w:rsidRPr="000132D2">
        <w:rPr>
          <w:lang w:val="sr-Latn-RS"/>
        </w:rPr>
        <w:t>a su dejstva pri dozama pralsetiniba ≥ 10 mg/kg/dan, što je približno 0,9 puta više od izloženosti ljudi na osnovu AUC pri kliničkoj dozi od 400 mg.</w:t>
      </w:r>
    </w:p>
    <w:p w14:paraId="17D56A14" w14:textId="6791D3A4" w:rsidR="00593739" w:rsidRPr="000132D2" w:rsidRDefault="00593739" w:rsidP="00593739">
      <w:pPr>
        <w:pStyle w:val="BodyText"/>
        <w:ind w:left="118" w:right="184"/>
        <w:jc w:val="both"/>
        <w:rPr>
          <w:lang w:val="sr-Latn-RS"/>
        </w:rPr>
      </w:pPr>
      <w:r w:rsidRPr="000132D2">
        <w:rPr>
          <w:lang w:val="sr-Latn-RS"/>
        </w:rPr>
        <w:t xml:space="preserve">Nije bilo nalaza u pogledu reproduktivnih organa u toksikološkoj studiji ponovljene doze od 13 </w:t>
      </w:r>
      <w:r w:rsidR="00513EC0">
        <w:rPr>
          <w:lang w:val="sr-Latn-RS"/>
        </w:rPr>
        <w:t>nedjelj</w:t>
      </w:r>
      <w:r w:rsidRPr="000132D2">
        <w:rPr>
          <w:lang w:val="sr-Latn-RS"/>
        </w:rPr>
        <w:t>a kod majmuna pri nivoima doze do 10 mg/kg/dan (približno 1 put više od izloženosti ljudi pri dozi od 400 mg jednom dnevno).</w:t>
      </w:r>
    </w:p>
    <w:p w14:paraId="71532DEC" w14:textId="77777777" w:rsidR="00593739" w:rsidRPr="000132D2" w:rsidRDefault="00593739" w:rsidP="00593739">
      <w:pPr>
        <w:pStyle w:val="BodyText"/>
        <w:spacing w:before="1"/>
        <w:jc w:val="both"/>
        <w:rPr>
          <w:lang w:val="sr-Latn-RS"/>
        </w:rPr>
      </w:pPr>
    </w:p>
    <w:p w14:paraId="1F159A77" w14:textId="77777777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u w:val="single"/>
          <w:lang w:val="sr-Latn-RS"/>
        </w:rPr>
        <w:t>Genotoksičnost i kancerogenost</w:t>
      </w:r>
    </w:p>
    <w:p w14:paraId="1AD39815" w14:textId="77777777" w:rsidR="00593739" w:rsidRPr="000132D2" w:rsidRDefault="00593739" w:rsidP="00593739">
      <w:pPr>
        <w:pStyle w:val="BodyText"/>
        <w:spacing w:before="1"/>
        <w:jc w:val="both"/>
        <w:rPr>
          <w:sz w:val="14"/>
          <w:lang w:val="sr-Latn-RS"/>
        </w:rPr>
      </w:pPr>
    </w:p>
    <w:p w14:paraId="427E10BB" w14:textId="716AF2A5" w:rsidR="00593739" w:rsidRPr="000132D2" w:rsidRDefault="00593739" w:rsidP="00593739">
      <w:pPr>
        <w:pStyle w:val="BodyText"/>
        <w:spacing w:before="92"/>
        <w:ind w:left="118" w:right="124"/>
        <w:jc w:val="both"/>
        <w:rPr>
          <w:lang w:val="sr-Latn-RS"/>
        </w:rPr>
      </w:pPr>
      <w:r w:rsidRPr="000132D2">
        <w:rPr>
          <w:lang w:val="sr-Latn-RS"/>
        </w:rPr>
        <w:t xml:space="preserve">Pralsetinib nije bio mutagen </w:t>
      </w:r>
      <w:r w:rsidR="00E34133">
        <w:rPr>
          <w:lang w:val="sr-Latn-RS"/>
        </w:rPr>
        <w:t xml:space="preserve">u </w:t>
      </w:r>
      <w:r w:rsidRPr="000132D2">
        <w:rPr>
          <w:i/>
          <w:iCs/>
          <w:lang w:val="sr-Latn-RS"/>
        </w:rPr>
        <w:t xml:space="preserve">in vitro </w:t>
      </w:r>
      <w:r w:rsidRPr="000132D2">
        <w:rPr>
          <w:lang w:val="sr-Latn-RS"/>
        </w:rPr>
        <w:t xml:space="preserve">testu </w:t>
      </w:r>
      <w:r w:rsidR="00E34133">
        <w:rPr>
          <w:lang w:val="sr-Latn-RS"/>
        </w:rPr>
        <w:t>reverzne mutacije bakterija</w:t>
      </w:r>
      <w:r w:rsidRPr="000132D2">
        <w:rPr>
          <w:lang w:val="sr-Latn-RS"/>
        </w:rPr>
        <w:t xml:space="preserve"> (Ames</w:t>
      </w:r>
      <w:r w:rsidR="00E34133">
        <w:rPr>
          <w:lang w:val="sr-Latn-RS"/>
        </w:rPr>
        <w:t>ov test</w:t>
      </w:r>
      <w:r w:rsidRPr="000132D2">
        <w:rPr>
          <w:lang w:val="sr-Latn-RS"/>
        </w:rPr>
        <w:t xml:space="preserve">) i bio je negativan i </w:t>
      </w:r>
      <w:r w:rsidR="00E34133">
        <w:rPr>
          <w:lang w:val="sr-Latn-RS"/>
        </w:rPr>
        <w:t>u</w:t>
      </w:r>
      <w:r w:rsidRPr="000132D2">
        <w:rPr>
          <w:lang w:val="sr-Latn-RS"/>
        </w:rPr>
        <w:t xml:space="preserve"> </w:t>
      </w:r>
      <w:r w:rsidRPr="000132D2">
        <w:rPr>
          <w:i/>
          <w:iCs/>
          <w:lang w:val="sr-Latn-RS"/>
        </w:rPr>
        <w:t xml:space="preserve">in vitro </w:t>
      </w:r>
      <w:r w:rsidRPr="000132D2">
        <w:rPr>
          <w:lang w:val="sr-Latn-RS"/>
        </w:rPr>
        <w:t xml:space="preserve">testu </w:t>
      </w:r>
      <w:r w:rsidR="00E34133">
        <w:rPr>
          <w:lang w:val="sr-Latn-RS"/>
        </w:rPr>
        <w:t>hromozomske aberacije na ljudskim limfocitima</w:t>
      </w:r>
      <w:r w:rsidRPr="000132D2">
        <w:rPr>
          <w:lang w:val="sr-Latn-RS"/>
        </w:rPr>
        <w:t xml:space="preserve"> i </w:t>
      </w:r>
      <w:r w:rsidR="00E34133">
        <w:rPr>
          <w:lang w:val="sr-Latn-RS"/>
        </w:rPr>
        <w:t>u</w:t>
      </w:r>
      <w:r w:rsidRPr="000132D2">
        <w:rPr>
          <w:lang w:val="sr-Latn-RS"/>
        </w:rPr>
        <w:t xml:space="preserve"> </w:t>
      </w:r>
      <w:r w:rsidRPr="000132D2">
        <w:rPr>
          <w:i/>
          <w:iCs/>
          <w:lang w:val="sr-Latn-RS"/>
        </w:rPr>
        <w:t xml:space="preserve">in vivo </w:t>
      </w:r>
      <w:r w:rsidR="00E34133">
        <w:rPr>
          <w:lang w:val="sr-Latn-RS"/>
        </w:rPr>
        <w:t xml:space="preserve">mikronukleusnim testovima na kostnoj srži pacova. </w:t>
      </w:r>
    </w:p>
    <w:p w14:paraId="7954AB20" w14:textId="77777777" w:rsidR="00593739" w:rsidRPr="000132D2" w:rsidRDefault="00593739" w:rsidP="00593739">
      <w:pPr>
        <w:pStyle w:val="BodyText"/>
        <w:spacing w:before="9"/>
        <w:jc w:val="both"/>
        <w:rPr>
          <w:sz w:val="21"/>
          <w:lang w:val="sr-Latn-RS"/>
        </w:rPr>
      </w:pPr>
    </w:p>
    <w:p w14:paraId="4035D89F" w14:textId="60712F3D" w:rsidR="00593739" w:rsidRPr="000132D2" w:rsidRDefault="00690636" w:rsidP="00593739">
      <w:pPr>
        <w:pStyle w:val="BodyText"/>
        <w:spacing w:before="1"/>
        <w:ind w:left="118"/>
        <w:jc w:val="both"/>
        <w:rPr>
          <w:lang w:val="sr-Latn-RS"/>
        </w:rPr>
      </w:pPr>
      <w:r>
        <w:rPr>
          <w:lang w:val="sr-Latn-RS"/>
        </w:rPr>
        <w:t>Nijesu</w:t>
      </w:r>
      <w:r w:rsidR="00593739" w:rsidRPr="000132D2">
        <w:rPr>
          <w:lang w:val="sr-Latn-RS"/>
        </w:rPr>
        <w:t xml:space="preserve"> sprovedene studije kancerogenosti sa pralsetinibom.</w:t>
      </w:r>
    </w:p>
    <w:p w14:paraId="6CC4181C" w14:textId="77777777" w:rsidR="00593739" w:rsidRPr="000132D2" w:rsidRDefault="00593739" w:rsidP="00593739">
      <w:pPr>
        <w:pStyle w:val="BodyText"/>
        <w:jc w:val="both"/>
        <w:rPr>
          <w:sz w:val="24"/>
          <w:lang w:val="sr-Latn-RS"/>
        </w:rPr>
      </w:pPr>
    </w:p>
    <w:p w14:paraId="39DDEDE6" w14:textId="77777777" w:rsidR="00593739" w:rsidRPr="000132D2" w:rsidRDefault="00593739" w:rsidP="00593739">
      <w:pPr>
        <w:pStyle w:val="BodyText"/>
        <w:spacing w:before="7"/>
        <w:jc w:val="both"/>
        <w:rPr>
          <w:sz w:val="20"/>
          <w:lang w:val="sr-Latn-RS"/>
        </w:rPr>
      </w:pPr>
    </w:p>
    <w:p w14:paraId="11FC509F" w14:textId="77777777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6. </w:t>
      </w:r>
      <w:r w:rsidRPr="000132D2">
        <w:rPr>
          <w:lang w:val="sr-Latn-RS"/>
        </w:rPr>
        <w:t>FARMACEUTSKI PODACI</w:t>
      </w:r>
    </w:p>
    <w:p w14:paraId="17ADA2DB" w14:textId="77777777" w:rsidR="00593739" w:rsidRPr="000132D2" w:rsidRDefault="00593739" w:rsidP="00593739">
      <w:pPr>
        <w:pStyle w:val="BodyText"/>
        <w:spacing w:before="9"/>
        <w:jc w:val="both"/>
        <w:rPr>
          <w:b/>
          <w:sz w:val="21"/>
          <w:lang w:val="sr-Latn-RS"/>
        </w:rPr>
      </w:pPr>
    </w:p>
    <w:p w14:paraId="7B4D5CC8" w14:textId="28F4F23D" w:rsidR="00593739" w:rsidRPr="00F77EB1" w:rsidRDefault="00593739" w:rsidP="00593739">
      <w:pPr>
        <w:tabs>
          <w:tab w:val="left" w:pos="685"/>
          <w:tab w:val="left" w:pos="686"/>
        </w:tabs>
        <w:jc w:val="both"/>
        <w:rPr>
          <w:b/>
          <w:lang w:val="sr-Latn-RS"/>
        </w:rPr>
      </w:pPr>
      <w:r>
        <w:rPr>
          <w:b/>
          <w:bCs/>
          <w:lang w:val="sr-Latn-RS"/>
        </w:rPr>
        <w:t xml:space="preserve">  6.1. </w:t>
      </w:r>
      <w:r w:rsidRPr="00F77EB1">
        <w:rPr>
          <w:b/>
          <w:bCs/>
          <w:lang w:val="sr-Latn-RS"/>
        </w:rPr>
        <w:t>Lista pomoćnih supstanci</w:t>
      </w:r>
      <w:r>
        <w:rPr>
          <w:b/>
          <w:bCs/>
          <w:lang w:val="sr-Latn-RS"/>
        </w:rPr>
        <w:t xml:space="preserve"> </w:t>
      </w:r>
      <w:r w:rsidRPr="00786071">
        <w:rPr>
          <w:b/>
          <w:bCs/>
        </w:rPr>
        <w:t>(ekscipijenasa)</w:t>
      </w:r>
    </w:p>
    <w:p w14:paraId="61ED71D2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6D346738" w14:textId="77777777" w:rsidR="00593739" w:rsidRPr="000132D2" w:rsidRDefault="00593739" w:rsidP="00593739">
      <w:pPr>
        <w:pStyle w:val="BodyText"/>
        <w:spacing w:before="1"/>
        <w:ind w:left="118"/>
        <w:rPr>
          <w:lang w:val="sr-Latn-RS"/>
        </w:rPr>
      </w:pPr>
      <w:r w:rsidRPr="000132D2">
        <w:rPr>
          <w:u w:val="single"/>
          <w:lang w:val="sr-Latn-RS"/>
        </w:rPr>
        <w:lastRenderedPageBreak/>
        <w:t>Sadržaj kapsule</w:t>
      </w:r>
    </w:p>
    <w:p w14:paraId="0E68B8B2" w14:textId="77777777" w:rsidR="00593739" w:rsidRPr="000132D2" w:rsidRDefault="00593739" w:rsidP="00593739">
      <w:pPr>
        <w:pStyle w:val="BodyText"/>
        <w:rPr>
          <w:sz w:val="14"/>
          <w:lang w:val="sr-Latn-RS"/>
        </w:rPr>
      </w:pPr>
    </w:p>
    <w:p w14:paraId="62824720" w14:textId="77777777" w:rsidR="00593739" w:rsidRPr="000132D2" w:rsidRDefault="00593739" w:rsidP="00593739">
      <w:pPr>
        <w:pStyle w:val="BodyText"/>
        <w:spacing w:before="92" w:line="252" w:lineRule="exact"/>
        <w:ind w:left="118"/>
        <w:rPr>
          <w:lang w:val="sr-Latn-RS"/>
        </w:rPr>
      </w:pPr>
      <w:r w:rsidRPr="000132D2">
        <w:rPr>
          <w:lang w:val="sr-Latn-RS"/>
        </w:rPr>
        <w:t>Hipromeloza</w:t>
      </w:r>
    </w:p>
    <w:p w14:paraId="50E7A0E5" w14:textId="11229EDA" w:rsidR="00080E4D" w:rsidRDefault="00080E4D" w:rsidP="00593739">
      <w:pPr>
        <w:pStyle w:val="BodyText"/>
        <w:ind w:left="118" w:right="6691"/>
        <w:rPr>
          <w:lang w:val="sr-Latn-RS"/>
        </w:rPr>
      </w:pPr>
      <w:r>
        <w:rPr>
          <w:lang w:val="sr-Latn-RS"/>
        </w:rPr>
        <w:t>C</w:t>
      </w:r>
      <w:r w:rsidR="00593739" w:rsidRPr="000132D2">
        <w:rPr>
          <w:lang w:val="sr-Latn-RS"/>
        </w:rPr>
        <w:t>eluloza</w:t>
      </w:r>
      <w:r>
        <w:rPr>
          <w:lang w:val="sr-Latn-RS"/>
        </w:rPr>
        <w:t>, mikrokristalna</w:t>
      </w:r>
    </w:p>
    <w:p w14:paraId="5C8E75F1" w14:textId="1DF36EEE" w:rsidR="00080E4D" w:rsidRDefault="00080E4D" w:rsidP="00593739">
      <w:pPr>
        <w:pStyle w:val="BodyText"/>
        <w:ind w:left="118" w:right="6691"/>
        <w:rPr>
          <w:lang w:val="sr-Latn-RS"/>
        </w:rPr>
      </w:pPr>
      <w:r>
        <w:rPr>
          <w:lang w:val="sr-Latn-RS"/>
        </w:rPr>
        <w:t>S</w:t>
      </w:r>
      <w:r w:rsidR="00593739" w:rsidRPr="000132D2">
        <w:rPr>
          <w:lang w:val="sr-Latn-RS"/>
        </w:rPr>
        <w:t>krob</w:t>
      </w:r>
      <w:r>
        <w:rPr>
          <w:lang w:val="sr-Latn-RS"/>
        </w:rPr>
        <w:t>, p</w:t>
      </w:r>
      <w:r w:rsidRPr="000132D2">
        <w:rPr>
          <w:lang w:val="sr-Latn-RS"/>
        </w:rPr>
        <w:t>reželatinizirani</w:t>
      </w:r>
      <w:r w:rsidR="00593739" w:rsidRPr="000132D2">
        <w:rPr>
          <w:lang w:val="sr-Latn-RS"/>
        </w:rPr>
        <w:t xml:space="preserve"> </w:t>
      </w:r>
    </w:p>
    <w:p w14:paraId="5D6250C9" w14:textId="7BFE40C8" w:rsidR="00720197" w:rsidRDefault="00593739" w:rsidP="00593739">
      <w:pPr>
        <w:pStyle w:val="BodyText"/>
        <w:ind w:left="118" w:right="6691"/>
        <w:rPr>
          <w:lang w:val="sr-Latn-RS"/>
        </w:rPr>
      </w:pPr>
      <w:r w:rsidRPr="000132D2">
        <w:rPr>
          <w:lang w:val="sr-Latn-RS"/>
        </w:rPr>
        <w:t>Natrijum</w:t>
      </w:r>
      <w:r w:rsidR="00720197" w:rsidRPr="000132D2" w:rsidDel="00720197">
        <w:rPr>
          <w:lang w:val="sr-Latn-RS"/>
        </w:rPr>
        <w:t xml:space="preserve"> </w:t>
      </w:r>
      <w:r w:rsidR="00720197">
        <w:rPr>
          <w:lang w:val="sr-Latn-RS"/>
        </w:rPr>
        <w:t>hidrogen</w:t>
      </w:r>
      <w:r w:rsidRPr="000132D2">
        <w:rPr>
          <w:lang w:val="sr-Latn-RS"/>
        </w:rPr>
        <w:t xml:space="preserve">karbonat </w:t>
      </w:r>
    </w:p>
    <w:p w14:paraId="3AEF74E3" w14:textId="64083483" w:rsidR="00593739" w:rsidRPr="000132D2" w:rsidRDefault="00593739" w:rsidP="00593739">
      <w:pPr>
        <w:pStyle w:val="BodyText"/>
        <w:ind w:left="118" w:right="6691"/>
        <w:rPr>
          <w:lang w:val="sr-Latn-RS"/>
        </w:rPr>
      </w:pPr>
      <w:r w:rsidRPr="000132D2">
        <w:rPr>
          <w:lang w:val="sr-Latn-RS"/>
        </w:rPr>
        <w:t>Citr</w:t>
      </w:r>
      <w:r w:rsidR="00720197">
        <w:rPr>
          <w:lang w:val="sr-Latn-RS"/>
        </w:rPr>
        <w:t>at</w:t>
      </w:r>
      <w:r w:rsidRPr="000132D2">
        <w:rPr>
          <w:lang w:val="sr-Latn-RS"/>
        </w:rPr>
        <w:t>na kiselina</w:t>
      </w:r>
    </w:p>
    <w:p w14:paraId="0F63EF46" w14:textId="29D3692C" w:rsidR="00593739" w:rsidRPr="000132D2" w:rsidRDefault="00593739" w:rsidP="00593739">
      <w:pPr>
        <w:pStyle w:val="BodyText"/>
        <w:spacing w:before="1" w:line="480" w:lineRule="auto"/>
        <w:ind w:left="118" w:right="7406"/>
        <w:rPr>
          <w:lang w:val="sr-Latn-RS"/>
        </w:rPr>
      </w:pPr>
      <w:r w:rsidRPr="000132D2">
        <w:rPr>
          <w:lang w:val="sr-Latn-RS"/>
        </w:rPr>
        <w:t>Magnezijum</w:t>
      </w:r>
      <w:r w:rsidR="00720197">
        <w:rPr>
          <w:lang w:val="sr-Latn-RS"/>
        </w:rPr>
        <w:t xml:space="preserve"> </w:t>
      </w:r>
      <w:r w:rsidRPr="000132D2">
        <w:rPr>
          <w:lang w:val="sr-Latn-RS"/>
        </w:rPr>
        <w:t xml:space="preserve">stearat </w:t>
      </w:r>
      <w:r w:rsidRPr="000132D2">
        <w:rPr>
          <w:u w:val="single"/>
          <w:lang w:val="sr-Latn-RS"/>
        </w:rPr>
        <w:t>Omot</w:t>
      </w:r>
      <w:r>
        <w:rPr>
          <w:u w:val="single"/>
          <w:lang w:val="sr-Latn-RS"/>
        </w:rPr>
        <w:t>ač</w:t>
      </w:r>
      <w:r w:rsidRPr="000132D2">
        <w:rPr>
          <w:u w:val="single"/>
          <w:lang w:val="sr-Latn-RS"/>
        </w:rPr>
        <w:t xml:space="preserve"> kapsule</w:t>
      </w:r>
    </w:p>
    <w:p w14:paraId="3ED2FD73" w14:textId="2E767FD2" w:rsidR="00D56033" w:rsidRDefault="00D56033" w:rsidP="00AC7849">
      <w:pPr>
        <w:pStyle w:val="BodyText"/>
        <w:spacing w:before="1"/>
        <w:ind w:left="118" w:right="6892"/>
        <w:jc w:val="both"/>
        <w:rPr>
          <w:lang w:val="sr-Latn-RS"/>
        </w:rPr>
      </w:pPr>
      <w:r>
        <w:rPr>
          <w:lang w:val="sr-Latn-RS"/>
        </w:rPr>
        <w:t xml:space="preserve">Boja </w:t>
      </w:r>
      <w:r w:rsidRPr="00AC7849">
        <w:rPr>
          <w:i/>
          <w:lang w:val="sr-Latn-RS"/>
        </w:rPr>
        <w:t>briliant blue</w:t>
      </w:r>
      <w:r w:rsidR="00593739" w:rsidRPr="000132D2">
        <w:rPr>
          <w:lang w:val="sr-Latn-RS"/>
        </w:rPr>
        <w:t xml:space="preserve"> FCF</w:t>
      </w:r>
    </w:p>
    <w:p w14:paraId="43C4C9E8" w14:textId="13127608" w:rsidR="005E2027" w:rsidRDefault="00593739" w:rsidP="00AC7849">
      <w:pPr>
        <w:pStyle w:val="BodyText"/>
        <w:spacing w:before="1"/>
        <w:ind w:left="118" w:right="6892"/>
        <w:jc w:val="both"/>
        <w:rPr>
          <w:lang w:val="sr-Latn-RS"/>
        </w:rPr>
      </w:pPr>
      <w:r w:rsidRPr="000132D2">
        <w:rPr>
          <w:lang w:val="sr-Latn-RS"/>
        </w:rPr>
        <w:t xml:space="preserve">(E133) </w:t>
      </w:r>
    </w:p>
    <w:p w14:paraId="07DF1CDC" w14:textId="7C2C1F96" w:rsidR="00593739" w:rsidRPr="000132D2" w:rsidRDefault="00593739" w:rsidP="00AC7849">
      <w:pPr>
        <w:pStyle w:val="BodyText"/>
        <w:spacing w:before="1"/>
        <w:ind w:left="118" w:right="6892"/>
        <w:jc w:val="both"/>
        <w:rPr>
          <w:lang w:val="sr-Latn-RS"/>
        </w:rPr>
      </w:pPr>
      <w:r w:rsidRPr="000132D2">
        <w:rPr>
          <w:lang w:val="sr-Latn-RS"/>
        </w:rPr>
        <w:t>Hipromeloza</w:t>
      </w:r>
    </w:p>
    <w:p w14:paraId="1562E1E4" w14:textId="4646C31C" w:rsidR="00593739" w:rsidRPr="000132D2" w:rsidRDefault="00593739" w:rsidP="00593739">
      <w:pPr>
        <w:pStyle w:val="BodyText"/>
        <w:spacing w:line="477" w:lineRule="auto"/>
        <w:ind w:left="118" w:right="6790"/>
        <w:rPr>
          <w:lang w:val="sr-Latn-RS"/>
        </w:rPr>
      </w:pPr>
      <w:r w:rsidRPr="000132D2">
        <w:rPr>
          <w:lang w:val="sr-Latn-RS"/>
        </w:rPr>
        <w:t>Titanijum</w:t>
      </w:r>
      <w:r w:rsidR="005E2027">
        <w:rPr>
          <w:lang w:val="sr-Latn-RS"/>
        </w:rPr>
        <w:t xml:space="preserve"> </w:t>
      </w:r>
      <w:r w:rsidRPr="000132D2">
        <w:rPr>
          <w:lang w:val="sr-Latn-RS"/>
        </w:rPr>
        <w:t xml:space="preserve">dioksid (E171) </w:t>
      </w:r>
      <w:r>
        <w:rPr>
          <w:u w:val="single"/>
          <w:lang w:val="sr-Latn-RS"/>
        </w:rPr>
        <w:t>Boja</w:t>
      </w:r>
      <w:r w:rsidRPr="000132D2">
        <w:rPr>
          <w:u w:val="single"/>
          <w:lang w:val="sr-Latn-RS"/>
        </w:rPr>
        <w:t xml:space="preserve"> za štampu</w:t>
      </w:r>
    </w:p>
    <w:p w14:paraId="0D80A3A0" w14:textId="77777777" w:rsidR="00593739" w:rsidRPr="000132D2" w:rsidRDefault="00593739" w:rsidP="00593739">
      <w:pPr>
        <w:pStyle w:val="BodyText"/>
        <w:spacing w:before="4"/>
        <w:ind w:left="118"/>
        <w:rPr>
          <w:lang w:val="sr-Latn-RS"/>
        </w:rPr>
      </w:pPr>
      <w:r w:rsidRPr="000132D2">
        <w:rPr>
          <w:lang w:val="sr-Latn-RS"/>
        </w:rPr>
        <w:t>Šelak</w:t>
      </w:r>
    </w:p>
    <w:p w14:paraId="1B11E2A8" w14:textId="3BB04E11" w:rsidR="00593739" w:rsidRPr="000132D2" w:rsidRDefault="00593739" w:rsidP="00593739">
      <w:pPr>
        <w:pStyle w:val="BodyText"/>
        <w:spacing w:before="1"/>
        <w:ind w:left="118" w:right="6899"/>
        <w:rPr>
          <w:lang w:val="sr-Latn-RS"/>
        </w:rPr>
      </w:pPr>
      <w:r w:rsidRPr="000132D2">
        <w:rPr>
          <w:lang w:val="sr-Latn-RS"/>
        </w:rPr>
        <w:t>Propilen</w:t>
      </w:r>
      <w:r w:rsidR="005E2027">
        <w:rPr>
          <w:lang w:val="sr-Latn-RS"/>
        </w:rPr>
        <w:t xml:space="preserve"> </w:t>
      </w:r>
      <w:r w:rsidRPr="000132D2">
        <w:rPr>
          <w:lang w:val="sr-Latn-RS"/>
        </w:rPr>
        <w:t>glikol (E1520) Kalijum</w:t>
      </w:r>
      <w:r w:rsidR="005E2027">
        <w:rPr>
          <w:lang w:val="sr-Latn-RS"/>
        </w:rPr>
        <w:t xml:space="preserve"> </w:t>
      </w:r>
      <w:r w:rsidRPr="000132D2">
        <w:rPr>
          <w:lang w:val="sr-Latn-RS"/>
        </w:rPr>
        <w:t>hidroksid Titanijum</w:t>
      </w:r>
      <w:r w:rsidR="005E2027">
        <w:rPr>
          <w:lang w:val="sr-Latn-RS"/>
        </w:rPr>
        <w:t xml:space="preserve"> </w:t>
      </w:r>
      <w:r w:rsidRPr="000132D2">
        <w:rPr>
          <w:lang w:val="sr-Latn-RS"/>
        </w:rPr>
        <w:t>dioksid (E171)</w:t>
      </w:r>
    </w:p>
    <w:p w14:paraId="1830FCFB" w14:textId="77777777" w:rsidR="00593739" w:rsidRPr="000132D2" w:rsidRDefault="00593739" w:rsidP="00593739">
      <w:pPr>
        <w:pStyle w:val="BodyText"/>
        <w:spacing w:before="4"/>
        <w:jc w:val="both"/>
        <w:rPr>
          <w:lang w:val="sr-Latn-RS"/>
        </w:rPr>
      </w:pPr>
    </w:p>
    <w:p w14:paraId="2A65FAA2" w14:textId="69A4A81B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>6.2. Inkompatibilnosti</w:t>
      </w:r>
    </w:p>
    <w:p w14:paraId="254CDD57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10D406D5" w14:textId="712E303E" w:rsidR="00593739" w:rsidRPr="000132D2" w:rsidRDefault="00593739" w:rsidP="00593739">
      <w:pPr>
        <w:pStyle w:val="BodyText"/>
        <w:ind w:left="118"/>
        <w:jc w:val="both"/>
        <w:rPr>
          <w:lang w:val="sr-Latn-RS"/>
        </w:rPr>
      </w:pPr>
      <w:r w:rsidRPr="000132D2">
        <w:rPr>
          <w:lang w:val="sr-Latn-RS"/>
        </w:rPr>
        <w:t xml:space="preserve">Nije </w:t>
      </w:r>
      <w:r w:rsidR="00573A31">
        <w:rPr>
          <w:lang w:val="sr-Latn-RS"/>
        </w:rPr>
        <w:t>primjen</w:t>
      </w:r>
      <w:r w:rsidRPr="000132D2">
        <w:rPr>
          <w:lang w:val="sr-Latn-RS"/>
        </w:rPr>
        <w:t>jivo.</w:t>
      </w:r>
    </w:p>
    <w:p w14:paraId="3116E402" w14:textId="77777777" w:rsidR="00593739" w:rsidRPr="000132D2" w:rsidRDefault="00593739" w:rsidP="00593739">
      <w:pPr>
        <w:pStyle w:val="BodyText"/>
        <w:spacing w:before="5"/>
        <w:jc w:val="both"/>
        <w:rPr>
          <w:lang w:val="sr-Latn-RS"/>
        </w:rPr>
      </w:pPr>
    </w:p>
    <w:p w14:paraId="5635F745" w14:textId="77777777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6.3. </w:t>
      </w:r>
      <w:r w:rsidRPr="000132D2">
        <w:rPr>
          <w:lang w:val="sr-Latn-RS"/>
        </w:rPr>
        <w:t>Rok upotrebe</w:t>
      </w:r>
    </w:p>
    <w:p w14:paraId="6F5BE409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33482289" w14:textId="0B869FFA" w:rsidR="00593739" w:rsidRPr="003D26FF" w:rsidRDefault="00593739" w:rsidP="00AC7849">
      <w:pPr>
        <w:pStyle w:val="ListParagraph"/>
        <w:numPr>
          <w:ilvl w:val="0"/>
          <w:numId w:val="4"/>
        </w:numPr>
        <w:tabs>
          <w:tab w:val="left" w:pos="285"/>
        </w:tabs>
        <w:spacing w:before="1"/>
        <w:jc w:val="both"/>
        <w:rPr>
          <w:lang w:val="sr-Latn-RS"/>
        </w:rPr>
      </w:pPr>
      <w:r w:rsidRPr="003D26FF">
        <w:rPr>
          <w:lang w:val="sr-Latn-RS"/>
        </w:rPr>
        <w:t>godine.</w:t>
      </w:r>
    </w:p>
    <w:p w14:paraId="71619F95" w14:textId="77777777" w:rsidR="00593739" w:rsidRPr="000132D2" w:rsidRDefault="00593739" w:rsidP="00593739">
      <w:pPr>
        <w:pStyle w:val="BodyText"/>
        <w:spacing w:before="2"/>
        <w:jc w:val="both"/>
        <w:rPr>
          <w:lang w:val="sr-Latn-RS"/>
        </w:rPr>
      </w:pPr>
    </w:p>
    <w:p w14:paraId="493411B6" w14:textId="53A8B6B4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6.4. </w:t>
      </w:r>
      <w:r w:rsidRPr="000132D2">
        <w:rPr>
          <w:lang w:val="sr-Latn-RS"/>
        </w:rPr>
        <w:t>Posebne m</w:t>
      </w:r>
      <w:r>
        <w:rPr>
          <w:lang w:val="sr-Latn-RS"/>
        </w:rPr>
        <w:t>j</w:t>
      </w:r>
      <w:r w:rsidRPr="000132D2">
        <w:rPr>
          <w:lang w:val="sr-Latn-RS"/>
        </w:rPr>
        <w:t>ere opreza pri čuvanju</w:t>
      </w:r>
      <w:r>
        <w:rPr>
          <w:lang w:val="sr-Latn-RS"/>
        </w:rPr>
        <w:t xml:space="preserve"> lijeka</w:t>
      </w:r>
    </w:p>
    <w:p w14:paraId="6D98533F" w14:textId="77777777" w:rsidR="00593739" w:rsidRPr="000132D2" w:rsidRDefault="00593739" w:rsidP="00593739">
      <w:pPr>
        <w:pStyle w:val="BodyText"/>
        <w:spacing w:before="8"/>
        <w:jc w:val="both"/>
        <w:rPr>
          <w:b/>
          <w:sz w:val="21"/>
          <w:lang w:val="sr-Latn-RS"/>
        </w:rPr>
      </w:pPr>
    </w:p>
    <w:p w14:paraId="07BE99D1" w14:textId="053F625C" w:rsidR="00593739" w:rsidRDefault="00593739" w:rsidP="00A61456">
      <w:pPr>
        <w:pStyle w:val="BodyText"/>
        <w:ind w:left="118" w:right="1798"/>
        <w:jc w:val="both"/>
        <w:rPr>
          <w:lang w:val="sr-Latn-RS"/>
        </w:rPr>
      </w:pPr>
      <w:r w:rsidRPr="000132D2">
        <w:rPr>
          <w:lang w:val="sr-Latn-RS"/>
        </w:rPr>
        <w:t xml:space="preserve">Za ovaj </w:t>
      </w:r>
      <w:r w:rsidR="00674751">
        <w:rPr>
          <w:lang w:val="sr-Latn-RS"/>
        </w:rPr>
        <w:t>lijek</w:t>
      </w:r>
      <w:r w:rsidRPr="000132D2">
        <w:rPr>
          <w:lang w:val="sr-Latn-RS"/>
        </w:rPr>
        <w:t xml:space="preserve"> </w:t>
      </w:r>
      <w:r w:rsidR="00690636">
        <w:rPr>
          <w:lang w:val="sr-Latn-RS"/>
        </w:rPr>
        <w:t>nijesu</w:t>
      </w:r>
      <w:r w:rsidRPr="000132D2">
        <w:rPr>
          <w:lang w:val="sr-Latn-RS"/>
        </w:rPr>
        <w:t xml:space="preserve"> potrebni nikakvi posebni temperaturni uslovi čuvanja. Čuvajte u</w:t>
      </w:r>
      <w:r w:rsidR="004F7E1A">
        <w:rPr>
          <w:lang w:val="sr-Latn-RS"/>
        </w:rPr>
        <w:t xml:space="preserve"> </w:t>
      </w:r>
      <w:r w:rsidRPr="000132D2">
        <w:rPr>
          <w:lang w:val="sr-Latn-RS"/>
        </w:rPr>
        <w:t>originalnom pakovanju radi zaštite od vlage.</w:t>
      </w:r>
    </w:p>
    <w:p w14:paraId="361F9934" w14:textId="77777777" w:rsidR="00593739" w:rsidRPr="000132D2" w:rsidRDefault="00593739" w:rsidP="00593739">
      <w:pPr>
        <w:pStyle w:val="BodyText"/>
        <w:ind w:left="118" w:right="1798"/>
        <w:jc w:val="both"/>
        <w:rPr>
          <w:lang w:val="sr-Latn-RS"/>
        </w:rPr>
      </w:pPr>
    </w:p>
    <w:p w14:paraId="75453528" w14:textId="725561D8" w:rsidR="00593739" w:rsidRPr="000132D2" w:rsidRDefault="00593739" w:rsidP="00593739">
      <w:pPr>
        <w:pStyle w:val="Heading1"/>
        <w:tabs>
          <w:tab w:val="left" w:pos="685"/>
          <w:tab w:val="left" w:pos="686"/>
        </w:tabs>
        <w:spacing w:before="70"/>
        <w:jc w:val="both"/>
        <w:rPr>
          <w:lang w:val="sr-Latn-RS"/>
        </w:rPr>
      </w:pPr>
      <w:r>
        <w:rPr>
          <w:lang w:val="sr-Latn-RS"/>
        </w:rPr>
        <w:t>6.5. Vrsta</w:t>
      </w:r>
      <w:r w:rsidRPr="000132D2">
        <w:rPr>
          <w:lang w:val="sr-Latn-RS"/>
        </w:rPr>
        <w:t xml:space="preserve"> i sadržaj </w:t>
      </w:r>
      <w:r>
        <w:rPr>
          <w:lang w:val="sr-Latn-RS"/>
        </w:rPr>
        <w:t>pakovanja</w:t>
      </w:r>
    </w:p>
    <w:p w14:paraId="7B15347E" w14:textId="77777777" w:rsidR="00593739" w:rsidRPr="000132D2" w:rsidRDefault="00593739" w:rsidP="00593739">
      <w:pPr>
        <w:pStyle w:val="BodyText"/>
        <w:spacing w:before="8"/>
        <w:jc w:val="both"/>
        <w:rPr>
          <w:b/>
          <w:sz w:val="21"/>
          <w:lang w:val="sr-Latn-RS"/>
        </w:rPr>
      </w:pPr>
    </w:p>
    <w:p w14:paraId="778BB471" w14:textId="6BAD1506" w:rsidR="00593739" w:rsidRPr="000132D2" w:rsidRDefault="00593739" w:rsidP="00593739">
      <w:pPr>
        <w:pStyle w:val="BodyText"/>
        <w:ind w:left="118" w:right="111"/>
        <w:jc w:val="both"/>
        <w:rPr>
          <w:lang w:val="sr-Latn-RS"/>
        </w:rPr>
      </w:pPr>
      <w:r w:rsidRPr="000132D2">
        <w:rPr>
          <w:lang w:val="sr-Latn-RS"/>
        </w:rPr>
        <w:t xml:space="preserve">Bočica od polietilena velike gustine (HDPE) sa </w:t>
      </w:r>
      <w:r w:rsidR="00513EC0">
        <w:rPr>
          <w:lang w:val="sr-Latn-RS"/>
        </w:rPr>
        <w:t>bezbjedno</w:t>
      </w:r>
      <w:r w:rsidRPr="000132D2">
        <w:rPr>
          <w:lang w:val="sr-Latn-RS"/>
        </w:rPr>
        <w:t xml:space="preserve">snim (polipropilenskim) </w:t>
      </w:r>
      <w:r>
        <w:rPr>
          <w:lang w:val="sr-Latn-RS"/>
        </w:rPr>
        <w:t>zatvaračem</w:t>
      </w:r>
      <w:r w:rsidRPr="000132D2">
        <w:rPr>
          <w:lang w:val="sr-Latn-RS"/>
        </w:rPr>
        <w:t xml:space="preserve"> i indukcionom zaptivnom oblogom od folije i kesicom desikanta (silika gel)</w:t>
      </w:r>
      <w:r w:rsidR="004F7E1A">
        <w:rPr>
          <w:lang w:val="sr-Latn-RS"/>
        </w:rPr>
        <w:t>.</w:t>
      </w:r>
    </w:p>
    <w:p w14:paraId="459637D4" w14:textId="77777777" w:rsidR="00593739" w:rsidRPr="000132D2" w:rsidRDefault="00593739" w:rsidP="00593739">
      <w:pPr>
        <w:pStyle w:val="BodyText"/>
        <w:spacing w:before="2"/>
        <w:jc w:val="both"/>
        <w:rPr>
          <w:lang w:val="sr-Latn-RS"/>
        </w:rPr>
      </w:pPr>
    </w:p>
    <w:p w14:paraId="2EE8A5B2" w14:textId="35AFDC4B" w:rsidR="00593739" w:rsidRPr="000132D2" w:rsidRDefault="00593739" w:rsidP="00593739">
      <w:pPr>
        <w:pStyle w:val="BodyText"/>
        <w:spacing w:after="240" w:line="477" w:lineRule="auto"/>
        <w:ind w:left="118" w:right="4720"/>
        <w:jc w:val="both"/>
        <w:rPr>
          <w:lang w:val="sr-Latn-RS"/>
        </w:rPr>
      </w:pPr>
      <w:r w:rsidRPr="000132D2">
        <w:rPr>
          <w:lang w:val="sr-Latn-RS"/>
        </w:rPr>
        <w:t>Veličin</w:t>
      </w:r>
      <w:r>
        <w:rPr>
          <w:lang w:val="sr-Latn-RS"/>
        </w:rPr>
        <w:t>a</w:t>
      </w:r>
      <w:r w:rsidRPr="000132D2">
        <w:rPr>
          <w:lang w:val="sr-Latn-RS"/>
        </w:rPr>
        <w:t xml:space="preserve"> pakova</w:t>
      </w:r>
      <w:r>
        <w:rPr>
          <w:lang w:val="sr-Latn-RS"/>
        </w:rPr>
        <w:t>nja: 120 kapsula</w:t>
      </w:r>
      <w:r w:rsidR="00A06119">
        <w:rPr>
          <w:lang w:val="sr-Latn-RS"/>
        </w:rPr>
        <w:t>, tvrdih</w:t>
      </w:r>
      <w:r>
        <w:rPr>
          <w:lang w:val="sr-Latn-RS"/>
        </w:rPr>
        <w:t xml:space="preserve">. </w:t>
      </w:r>
    </w:p>
    <w:p w14:paraId="2E2963CC" w14:textId="07C6BD32" w:rsidR="00593739" w:rsidRPr="000132D2" w:rsidRDefault="00593739" w:rsidP="00593739">
      <w:pPr>
        <w:pStyle w:val="Heading1"/>
        <w:tabs>
          <w:tab w:val="left" w:pos="685"/>
          <w:tab w:val="left" w:pos="686"/>
        </w:tabs>
        <w:spacing w:before="8"/>
        <w:jc w:val="both"/>
        <w:rPr>
          <w:lang w:val="sr-Latn-RS"/>
        </w:rPr>
      </w:pPr>
      <w:r>
        <w:rPr>
          <w:lang w:val="sr-Latn-RS"/>
        </w:rPr>
        <w:t xml:space="preserve">6.6. </w:t>
      </w:r>
      <w:r w:rsidRPr="00D47634">
        <w:rPr>
          <w:color w:val="000000"/>
        </w:rPr>
        <w:t>Posebne mjere opreza pri odlaganju materijala koji treba odbaciti nakon primjene lijeka</w:t>
      </w:r>
      <w:r w:rsidRPr="00786071">
        <w:t xml:space="preserve"> </w:t>
      </w:r>
      <w:r>
        <w:t>(i druga uputstva za rukovanje lijekom)</w:t>
      </w:r>
    </w:p>
    <w:p w14:paraId="04E6638D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1585D4EB" w14:textId="33249F64" w:rsidR="00593739" w:rsidRPr="000132D2" w:rsidRDefault="00593739" w:rsidP="00593739">
      <w:pPr>
        <w:pStyle w:val="BodyText"/>
        <w:ind w:left="118" w:right="728"/>
        <w:jc w:val="both"/>
        <w:rPr>
          <w:lang w:val="sr-Latn-RS"/>
        </w:rPr>
      </w:pPr>
      <w:r w:rsidRPr="000132D2">
        <w:rPr>
          <w:lang w:val="sr-Latn-RS"/>
        </w:rPr>
        <w:t xml:space="preserve">Svu neiskorišćenu količinu </w:t>
      </w:r>
      <w:r w:rsidR="00674751">
        <w:rPr>
          <w:lang w:val="sr-Latn-RS"/>
        </w:rPr>
        <w:t>lijek</w:t>
      </w:r>
      <w:r w:rsidRPr="000132D2">
        <w:rPr>
          <w:lang w:val="sr-Latn-RS"/>
        </w:rPr>
        <w:t>a ili otpadnog materijala treba odložiti, u skladu s važećim propisima.</w:t>
      </w:r>
    </w:p>
    <w:p w14:paraId="4A45F3CB" w14:textId="77777777" w:rsidR="00593739" w:rsidRPr="000132D2" w:rsidRDefault="00593739" w:rsidP="00593739">
      <w:pPr>
        <w:pStyle w:val="BodyText"/>
        <w:jc w:val="both"/>
        <w:rPr>
          <w:sz w:val="24"/>
          <w:lang w:val="sr-Latn-RS"/>
        </w:rPr>
      </w:pPr>
    </w:p>
    <w:p w14:paraId="78A683F7" w14:textId="77777777" w:rsidR="00593739" w:rsidRPr="000132D2" w:rsidRDefault="00593739" w:rsidP="00593739">
      <w:pPr>
        <w:pStyle w:val="BodyText"/>
        <w:spacing w:before="6"/>
        <w:jc w:val="both"/>
        <w:rPr>
          <w:sz w:val="20"/>
          <w:lang w:val="sr-Latn-RS"/>
        </w:rPr>
      </w:pPr>
    </w:p>
    <w:p w14:paraId="2721970A" w14:textId="77777777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7. </w:t>
      </w:r>
      <w:r w:rsidRPr="000132D2">
        <w:rPr>
          <w:lang w:val="sr-Latn-RS"/>
        </w:rPr>
        <w:t xml:space="preserve">NOSILAC DOZVOLE </w:t>
      </w:r>
    </w:p>
    <w:p w14:paraId="4EAC1B4C" w14:textId="2D330E02" w:rsidR="00593739" w:rsidRDefault="00593739" w:rsidP="00593739">
      <w:pPr>
        <w:pStyle w:val="BodyText"/>
        <w:spacing w:before="5"/>
        <w:ind w:left="117"/>
        <w:jc w:val="both"/>
        <w:rPr>
          <w:b/>
          <w:lang w:val="sr-Latn-RS"/>
        </w:rPr>
      </w:pPr>
    </w:p>
    <w:p w14:paraId="35C9E7DA" w14:textId="77777777" w:rsidR="00757D19" w:rsidRPr="009971C0" w:rsidRDefault="00757D19" w:rsidP="00757D19">
      <w:pPr>
        <w:pStyle w:val="BodyText"/>
        <w:spacing w:before="7"/>
        <w:ind w:left="117"/>
        <w:jc w:val="both"/>
        <w:rPr>
          <w:color w:val="000000" w:themeColor="text1"/>
          <w:lang w:val="sr-Latn-RS"/>
        </w:rPr>
      </w:pPr>
      <w:r w:rsidRPr="009971C0">
        <w:rPr>
          <w:color w:val="000000" w:themeColor="text1"/>
          <w:lang w:val="sr-Latn-RS"/>
        </w:rPr>
        <w:t>„Hoffmann-La Roche Ltd“ dio stranog društva Podgorica</w:t>
      </w:r>
    </w:p>
    <w:p w14:paraId="1DD0780E" w14:textId="77777777" w:rsidR="00757D19" w:rsidRPr="009971C0" w:rsidRDefault="00757D19" w:rsidP="00757D19">
      <w:pPr>
        <w:pStyle w:val="BodyText"/>
        <w:spacing w:before="7"/>
        <w:ind w:left="117"/>
        <w:jc w:val="both"/>
        <w:rPr>
          <w:color w:val="000000" w:themeColor="text1"/>
          <w:lang w:val="sr-Latn-RS"/>
        </w:rPr>
      </w:pPr>
      <w:r w:rsidRPr="009971C0">
        <w:rPr>
          <w:color w:val="000000" w:themeColor="text1"/>
          <w:lang w:val="sr-Latn-RS"/>
        </w:rPr>
        <w:t>Cetinjska br. 11</w:t>
      </w:r>
    </w:p>
    <w:p w14:paraId="619A6D1A" w14:textId="77777777" w:rsidR="00757D19" w:rsidRPr="009971C0" w:rsidRDefault="00757D19" w:rsidP="00757D19">
      <w:pPr>
        <w:pStyle w:val="BodyText"/>
        <w:spacing w:before="7"/>
        <w:ind w:left="117"/>
        <w:jc w:val="both"/>
        <w:rPr>
          <w:color w:val="000000" w:themeColor="text1"/>
          <w:lang w:val="sr-Latn-RS"/>
        </w:rPr>
      </w:pPr>
      <w:r w:rsidRPr="009971C0">
        <w:rPr>
          <w:color w:val="000000" w:themeColor="text1"/>
          <w:lang w:val="sr-Latn-RS"/>
        </w:rPr>
        <w:t>81000 Podgorica, Crna Gora</w:t>
      </w:r>
    </w:p>
    <w:p w14:paraId="1AAD2CD5" w14:textId="77777777" w:rsidR="00757D19" w:rsidRPr="00672730" w:rsidRDefault="00757D19" w:rsidP="00593739">
      <w:pPr>
        <w:pStyle w:val="BodyText"/>
        <w:spacing w:before="5"/>
        <w:ind w:left="117"/>
        <w:jc w:val="both"/>
        <w:rPr>
          <w:b/>
          <w:lang w:val="sr-Latn-RS"/>
        </w:rPr>
      </w:pPr>
    </w:p>
    <w:p w14:paraId="001A85D7" w14:textId="77777777" w:rsidR="00593739" w:rsidRPr="000132D2" w:rsidRDefault="00593739" w:rsidP="00593739">
      <w:pPr>
        <w:pStyle w:val="BodyText"/>
        <w:spacing w:before="5"/>
        <w:jc w:val="both"/>
        <w:rPr>
          <w:sz w:val="20"/>
          <w:lang w:val="sr-Latn-RS"/>
        </w:rPr>
      </w:pPr>
    </w:p>
    <w:p w14:paraId="148D2881" w14:textId="29C39D72" w:rsidR="00593739" w:rsidRPr="000132D2" w:rsidRDefault="00593739" w:rsidP="00593739">
      <w:pPr>
        <w:pStyle w:val="Heading1"/>
        <w:tabs>
          <w:tab w:val="left" w:pos="685"/>
          <w:tab w:val="left" w:pos="686"/>
        </w:tabs>
        <w:jc w:val="both"/>
        <w:rPr>
          <w:lang w:val="sr-Latn-RS"/>
        </w:rPr>
      </w:pPr>
      <w:r>
        <w:rPr>
          <w:lang w:val="sr-Latn-RS"/>
        </w:rPr>
        <w:t xml:space="preserve">8. </w:t>
      </w:r>
      <w:r w:rsidRPr="00786071">
        <w:t>BROJ DOZVOLE</w:t>
      </w:r>
      <w:r>
        <w:t xml:space="preserve"> ZA STAVLJANJE LIJEKA U PROMET</w:t>
      </w:r>
    </w:p>
    <w:p w14:paraId="06579477" w14:textId="77777777" w:rsidR="00593739" w:rsidRPr="000132D2" w:rsidRDefault="00593739" w:rsidP="00593739">
      <w:pPr>
        <w:pStyle w:val="BodyText"/>
        <w:spacing w:before="7"/>
        <w:jc w:val="both"/>
        <w:rPr>
          <w:b/>
          <w:sz w:val="21"/>
          <w:lang w:val="sr-Latn-RS"/>
        </w:rPr>
      </w:pPr>
    </w:p>
    <w:p w14:paraId="68E75288" w14:textId="3AC6A183" w:rsidR="00593739" w:rsidRPr="000132D2" w:rsidRDefault="00A06119" w:rsidP="00593739">
      <w:pPr>
        <w:pStyle w:val="BodyText"/>
        <w:jc w:val="both"/>
        <w:rPr>
          <w:sz w:val="24"/>
          <w:lang w:val="sr-Latn-RS"/>
        </w:rPr>
      </w:pPr>
      <w:r>
        <w:rPr>
          <w:sz w:val="24"/>
          <w:lang w:val="sr-Latn-RS"/>
        </w:rPr>
        <w:t xml:space="preserve">    2030/23/2332 - 2105</w:t>
      </w:r>
    </w:p>
    <w:p w14:paraId="0D560B60" w14:textId="77777777" w:rsidR="00593739" w:rsidRPr="000132D2" w:rsidRDefault="00593739" w:rsidP="00593739">
      <w:pPr>
        <w:pStyle w:val="BodyText"/>
        <w:spacing w:before="4"/>
        <w:jc w:val="both"/>
        <w:rPr>
          <w:sz w:val="20"/>
          <w:lang w:val="sr-Latn-RS"/>
        </w:rPr>
      </w:pPr>
    </w:p>
    <w:p w14:paraId="38FF1101" w14:textId="3A87F1F0" w:rsidR="00593739" w:rsidRPr="000132D2" w:rsidRDefault="00593739" w:rsidP="00593739">
      <w:pPr>
        <w:pStyle w:val="Heading1"/>
        <w:tabs>
          <w:tab w:val="left" w:pos="685"/>
          <w:tab w:val="left" w:pos="686"/>
        </w:tabs>
        <w:spacing w:before="1"/>
        <w:jc w:val="both"/>
        <w:rPr>
          <w:lang w:val="sr-Latn-RS"/>
        </w:rPr>
      </w:pPr>
      <w:r>
        <w:rPr>
          <w:lang w:val="sr-Latn-RS"/>
        </w:rPr>
        <w:t xml:space="preserve">9. </w:t>
      </w:r>
      <w:r w:rsidRPr="00786071">
        <w:t xml:space="preserve">DATUM </w:t>
      </w:r>
      <w:r>
        <w:t xml:space="preserve">PRVE </w:t>
      </w:r>
      <w:r w:rsidRPr="00786071">
        <w:t>DOZVOLE</w:t>
      </w:r>
      <w:r>
        <w:t>/OBNOVE DOZVOLE ZA STAVLJANJE LIJEKA U PROMET</w:t>
      </w:r>
    </w:p>
    <w:p w14:paraId="2C3C36DF" w14:textId="77777777" w:rsidR="00593739" w:rsidRPr="00A06119" w:rsidRDefault="00593739" w:rsidP="00593739">
      <w:pPr>
        <w:pStyle w:val="BodyText"/>
        <w:jc w:val="both"/>
        <w:rPr>
          <w:sz w:val="24"/>
          <w:lang w:val="sr-Latn-RS"/>
        </w:rPr>
      </w:pPr>
    </w:p>
    <w:p w14:paraId="1D11C4E2" w14:textId="35FEC4BD" w:rsidR="00593739" w:rsidRPr="00A06119" w:rsidRDefault="00593739" w:rsidP="00593739">
      <w:pPr>
        <w:pStyle w:val="BodyText"/>
        <w:jc w:val="both"/>
        <w:rPr>
          <w:lang w:val="sr-Latn-RS"/>
        </w:rPr>
      </w:pPr>
      <w:r w:rsidRPr="00A06119">
        <w:rPr>
          <w:sz w:val="24"/>
          <w:lang w:val="sr-Latn-RS"/>
        </w:rPr>
        <w:t xml:space="preserve"> </w:t>
      </w:r>
      <w:r w:rsidR="00A06119" w:rsidRPr="00A06119">
        <w:rPr>
          <w:sz w:val="24"/>
          <w:lang w:val="sr-Latn-RS"/>
        </w:rPr>
        <w:t xml:space="preserve">  23.06.2023. godine</w:t>
      </w:r>
    </w:p>
    <w:p w14:paraId="4DBACA99" w14:textId="77777777" w:rsidR="00593739" w:rsidRPr="000132D2" w:rsidRDefault="00593739" w:rsidP="00593739">
      <w:pPr>
        <w:pStyle w:val="BodyText"/>
        <w:spacing w:before="10"/>
        <w:jc w:val="both"/>
        <w:rPr>
          <w:b/>
          <w:sz w:val="19"/>
          <w:lang w:val="sr-Latn-RS"/>
        </w:rPr>
      </w:pPr>
    </w:p>
    <w:p w14:paraId="11FB27C7" w14:textId="77777777" w:rsidR="00593739" w:rsidRPr="000132D2" w:rsidRDefault="00593739" w:rsidP="00593739">
      <w:pPr>
        <w:tabs>
          <w:tab w:val="left" w:pos="685"/>
          <w:tab w:val="left" w:pos="686"/>
        </w:tabs>
        <w:spacing w:before="1"/>
        <w:jc w:val="both"/>
        <w:rPr>
          <w:lang w:val="sr-Latn-RS"/>
        </w:rPr>
      </w:pPr>
      <w:r>
        <w:rPr>
          <w:b/>
          <w:bCs/>
          <w:lang w:val="sr-Latn-RS"/>
        </w:rPr>
        <w:t xml:space="preserve"> 10. </w:t>
      </w:r>
      <w:r w:rsidRPr="00F77EB1">
        <w:rPr>
          <w:b/>
          <w:bCs/>
          <w:lang w:val="sr-Latn-RS"/>
        </w:rPr>
        <w:t>DATUM REVIZIJE TEKSTA</w:t>
      </w:r>
    </w:p>
    <w:p w14:paraId="12956522" w14:textId="77777777" w:rsidR="003D26FF" w:rsidRDefault="00F73BD7" w:rsidP="00F73BD7">
      <w:pPr>
        <w:pStyle w:val="Heading1"/>
        <w:tabs>
          <w:tab w:val="left" w:pos="1666"/>
        </w:tabs>
        <w:spacing w:before="70"/>
        <w:ind w:right="255"/>
        <w:jc w:val="both"/>
        <w:rPr>
          <w:b w:val="0"/>
          <w:lang w:val="sr-Latn-RS"/>
        </w:rPr>
      </w:pPr>
      <w:r>
        <w:rPr>
          <w:b w:val="0"/>
          <w:lang w:val="sr-Latn-RS"/>
        </w:rPr>
        <w:t xml:space="preserve">     </w:t>
      </w:r>
    </w:p>
    <w:p w14:paraId="14DEE59C" w14:textId="057FE8E8" w:rsidR="00F73BD7" w:rsidRPr="00F73BD7" w:rsidRDefault="00A06119" w:rsidP="00F73BD7">
      <w:pPr>
        <w:pStyle w:val="Heading1"/>
        <w:tabs>
          <w:tab w:val="left" w:pos="1666"/>
        </w:tabs>
        <w:spacing w:before="70"/>
        <w:ind w:right="255"/>
        <w:jc w:val="both"/>
        <w:rPr>
          <w:b w:val="0"/>
          <w:lang w:val="sr-Latn-RS"/>
        </w:rPr>
      </w:pPr>
      <w:r>
        <w:rPr>
          <w:b w:val="0"/>
          <w:lang w:val="sr-Latn-RS"/>
        </w:rPr>
        <w:t xml:space="preserve"> </w:t>
      </w:r>
      <w:r w:rsidR="00E4623E">
        <w:rPr>
          <w:b w:val="0"/>
          <w:lang w:val="sr-Latn-RS"/>
        </w:rPr>
        <w:t>Januar</w:t>
      </w:r>
      <w:r w:rsidR="00F73BD7" w:rsidRPr="00F73BD7">
        <w:rPr>
          <w:b w:val="0"/>
          <w:lang w:val="sr-Latn-RS"/>
        </w:rPr>
        <w:t>, 202</w:t>
      </w:r>
      <w:r w:rsidR="00E4623E">
        <w:rPr>
          <w:b w:val="0"/>
          <w:lang w:val="sr-Latn-RS"/>
        </w:rPr>
        <w:t>4</w:t>
      </w:r>
      <w:r w:rsidR="00F73BD7" w:rsidRPr="00F73BD7">
        <w:rPr>
          <w:b w:val="0"/>
          <w:lang w:val="sr-Latn-RS"/>
        </w:rPr>
        <w:t>. godine</w:t>
      </w:r>
    </w:p>
    <w:p w14:paraId="6B23B513" w14:textId="77777777" w:rsidR="00593739" w:rsidRPr="000132D2" w:rsidRDefault="00593739" w:rsidP="00593739">
      <w:pPr>
        <w:pStyle w:val="BodyText"/>
        <w:spacing w:before="66"/>
        <w:ind w:left="118" w:right="141"/>
        <w:jc w:val="both"/>
        <w:rPr>
          <w:lang w:val="sr-Latn-RS"/>
        </w:rPr>
      </w:pPr>
    </w:p>
    <w:p w14:paraId="79A17713" w14:textId="156511F2" w:rsidR="002826F6" w:rsidRPr="000132D2" w:rsidRDefault="002826F6" w:rsidP="00593739">
      <w:pPr>
        <w:spacing w:before="80"/>
        <w:ind w:left="118" w:right="1148"/>
        <w:jc w:val="both"/>
        <w:rPr>
          <w:lang w:val="sr-Latn-RS"/>
        </w:rPr>
      </w:pPr>
    </w:p>
    <w:sectPr w:rsidR="002826F6" w:rsidRPr="000132D2" w:rsidSect="00AC7849">
      <w:footerReference w:type="default" r:id="rId19"/>
      <w:pgSz w:w="11910" w:h="16850"/>
      <w:pgMar w:top="1300" w:right="1278" w:bottom="900" w:left="130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F6FD1" w14:textId="77777777" w:rsidR="00E00399" w:rsidRDefault="00E00399">
      <w:r>
        <w:separator/>
      </w:r>
    </w:p>
  </w:endnote>
  <w:endnote w:type="continuationSeparator" w:id="0">
    <w:p w14:paraId="1ECDCCAA" w14:textId="77777777" w:rsidR="00E00399" w:rsidRDefault="00E00399">
      <w:r>
        <w:continuationSeparator/>
      </w:r>
    </w:p>
  </w:endnote>
  <w:endnote w:type="continuationNotice" w:id="1">
    <w:p w14:paraId="792ECDCC" w14:textId="77777777" w:rsidR="00E00399" w:rsidRDefault="00E00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EC76" w14:textId="77777777" w:rsidR="009D4D06" w:rsidRDefault="009D4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937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60DEE" w14:textId="1A457CA2" w:rsidR="008D0A9C" w:rsidRDefault="008D0A9C" w:rsidP="00AC78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FDC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/19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5900" w14:textId="77777777" w:rsidR="009D4D06" w:rsidRDefault="009D4D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695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EC210" w14:textId="52AF6C2F" w:rsidR="008D0A9C" w:rsidRDefault="008D0A9C" w:rsidP="004305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FDC">
          <w:rPr>
            <w:noProof/>
          </w:rPr>
          <w:t>19</w:t>
        </w:r>
        <w:r>
          <w:rPr>
            <w:noProof/>
          </w:rPr>
          <w:fldChar w:fldCharType="end"/>
        </w:r>
        <w:r>
          <w:rPr>
            <w:noProof/>
          </w:rPr>
          <w:t>/19</w:t>
        </w:r>
      </w:p>
    </w:sdtContent>
  </w:sdt>
  <w:p w14:paraId="0F5EB3B7" w14:textId="7AA2D039" w:rsidR="008D0A9C" w:rsidRDefault="008D0A9C" w:rsidP="00430561">
    <w:pPr>
      <w:pStyle w:val="BodyText"/>
      <w:spacing w:line="14" w:lineRule="auto"/>
      <w:rPr>
        <w:sz w:val="20"/>
      </w:rPr>
    </w:pPr>
    <w:r w:rsidDel="00430561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FF639" w14:textId="77777777" w:rsidR="00E00399" w:rsidRDefault="00E00399">
      <w:r>
        <w:separator/>
      </w:r>
    </w:p>
  </w:footnote>
  <w:footnote w:type="continuationSeparator" w:id="0">
    <w:p w14:paraId="5C7A7F7D" w14:textId="77777777" w:rsidR="00E00399" w:rsidRDefault="00E00399">
      <w:r>
        <w:continuationSeparator/>
      </w:r>
    </w:p>
  </w:footnote>
  <w:footnote w:type="continuationNotice" w:id="1">
    <w:p w14:paraId="76C2F133" w14:textId="77777777" w:rsidR="00E00399" w:rsidRDefault="00E0039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002D0" w14:textId="77777777" w:rsidR="009D4D06" w:rsidRDefault="009D4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31B7B" w14:textId="77777777" w:rsidR="009D4D06" w:rsidRDefault="009D4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96405" w14:textId="77777777" w:rsidR="009D4D06" w:rsidRDefault="009D4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33A7"/>
    <w:multiLevelType w:val="multilevel"/>
    <w:tmpl w:val="6EC01EA8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6B37FC4"/>
    <w:multiLevelType w:val="hybridMultilevel"/>
    <w:tmpl w:val="C9E61498"/>
    <w:lvl w:ilvl="0" w:tplc="F97CB9D6">
      <w:start w:val="3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53F3609D"/>
    <w:multiLevelType w:val="hybridMultilevel"/>
    <w:tmpl w:val="473EA45C"/>
    <w:lvl w:ilvl="0" w:tplc="E5C085B4">
      <w:start w:val="1"/>
      <w:numFmt w:val="decimal"/>
      <w:lvlText w:val="%1"/>
      <w:lvlJc w:val="left"/>
      <w:pPr>
        <w:ind w:left="284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AFEB958">
      <w:numFmt w:val="bullet"/>
      <w:lvlText w:val="•"/>
      <w:lvlJc w:val="left"/>
      <w:pPr>
        <w:ind w:left="1182" w:hanging="166"/>
      </w:pPr>
      <w:rPr>
        <w:rFonts w:hint="default"/>
        <w:lang w:val="en-US" w:eastAsia="en-US" w:bidi="ar-SA"/>
      </w:rPr>
    </w:lvl>
    <w:lvl w:ilvl="2" w:tplc="D8B2CAC0">
      <w:numFmt w:val="bullet"/>
      <w:lvlText w:val="•"/>
      <w:lvlJc w:val="left"/>
      <w:pPr>
        <w:ind w:left="2085" w:hanging="166"/>
      </w:pPr>
      <w:rPr>
        <w:rFonts w:hint="default"/>
        <w:lang w:val="en-US" w:eastAsia="en-US" w:bidi="ar-SA"/>
      </w:rPr>
    </w:lvl>
    <w:lvl w:ilvl="3" w:tplc="CC84803E">
      <w:numFmt w:val="bullet"/>
      <w:lvlText w:val="•"/>
      <w:lvlJc w:val="left"/>
      <w:pPr>
        <w:ind w:left="2987" w:hanging="166"/>
      </w:pPr>
      <w:rPr>
        <w:rFonts w:hint="default"/>
        <w:lang w:val="en-US" w:eastAsia="en-US" w:bidi="ar-SA"/>
      </w:rPr>
    </w:lvl>
    <w:lvl w:ilvl="4" w:tplc="544677C4">
      <w:numFmt w:val="bullet"/>
      <w:lvlText w:val="•"/>
      <w:lvlJc w:val="left"/>
      <w:pPr>
        <w:ind w:left="3890" w:hanging="166"/>
      </w:pPr>
      <w:rPr>
        <w:rFonts w:hint="default"/>
        <w:lang w:val="en-US" w:eastAsia="en-US" w:bidi="ar-SA"/>
      </w:rPr>
    </w:lvl>
    <w:lvl w:ilvl="5" w:tplc="2B4A0396">
      <w:numFmt w:val="bullet"/>
      <w:lvlText w:val="•"/>
      <w:lvlJc w:val="left"/>
      <w:pPr>
        <w:ind w:left="4793" w:hanging="166"/>
      </w:pPr>
      <w:rPr>
        <w:rFonts w:hint="default"/>
        <w:lang w:val="en-US" w:eastAsia="en-US" w:bidi="ar-SA"/>
      </w:rPr>
    </w:lvl>
    <w:lvl w:ilvl="6" w:tplc="D25CD0D4">
      <w:numFmt w:val="bullet"/>
      <w:lvlText w:val="•"/>
      <w:lvlJc w:val="left"/>
      <w:pPr>
        <w:ind w:left="5695" w:hanging="166"/>
      </w:pPr>
      <w:rPr>
        <w:rFonts w:hint="default"/>
        <w:lang w:val="en-US" w:eastAsia="en-US" w:bidi="ar-SA"/>
      </w:rPr>
    </w:lvl>
    <w:lvl w:ilvl="7" w:tplc="CFF8E120">
      <w:numFmt w:val="bullet"/>
      <w:lvlText w:val="•"/>
      <w:lvlJc w:val="left"/>
      <w:pPr>
        <w:ind w:left="6598" w:hanging="166"/>
      </w:pPr>
      <w:rPr>
        <w:rFonts w:hint="default"/>
        <w:lang w:val="en-US" w:eastAsia="en-US" w:bidi="ar-SA"/>
      </w:rPr>
    </w:lvl>
    <w:lvl w:ilvl="8" w:tplc="47E476A6">
      <w:numFmt w:val="bullet"/>
      <w:lvlText w:val="•"/>
      <w:lvlJc w:val="left"/>
      <w:pPr>
        <w:ind w:left="7501" w:hanging="166"/>
      </w:pPr>
      <w:rPr>
        <w:rFonts w:hint="default"/>
        <w:lang w:val="en-US" w:eastAsia="en-US" w:bidi="ar-SA"/>
      </w:rPr>
    </w:lvl>
  </w:abstractNum>
  <w:abstractNum w:abstractNumId="3" w15:restartNumberingAfterBreak="0">
    <w:nsid w:val="77386C53"/>
    <w:multiLevelType w:val="hybridMultilevel"/>
    <w:tmpl w:val="EC9A7EA4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F6"/>
    <w:rsid w:val="000132D2"/>
    <w:rsid w:val="00022673"/>
    <w:rsid w:val="0003259C"/>
    <w:rsid w:val="000678C1"/>
    <w:rsid w:val="00073139"/>
    <w:rsid w:val="00077E79"/>
    <w:rsid w:val="00080E4D"/>
    <w:rsid w:val="00096852"/>
    <w:rsid w:val="000A367E"/>
    <w:rsid w:val="00105380"/>
    <w:rsid w:val="00117192"/>
    <w:rsid w:val="00125CE4"/>
    <w:rsid w:val="00127DF5"/>
    <w:rsid w:val="001345C7"/>
    <w:rsid w:val="00135FD8"/>
    <w:rsid w:val="001465EF"/>
    <w:rsid w:val="00147704"/>
    <w:rsid w:val="00150C32"/>
    <w:rsid w:val="0017544F"/>
    <w:rsid w:val="00197F74"/>
    <w:rsid w:val="001A1561"/>
    <w:rsid w:val="001A385B"/>
    <w:rsid w:val="001A69C7"/>
    <w:rsid w:val="001B5DC8"/>
    <w:rsid w:val="001C605F"/>
    <w:rsid w:val="001F3D24"/>
    <w:rsid w:val="001F54EA"/>
    <w:rsid w:val="0020681F"/>
    <w:rsid w:val="00222BD7"/>
    <w:rsid w:val="00236AEB"/>
    <w:rsid w:val="0024071C"/>
    <w:rsid w:val="00245F0B"/>
    <w:rsid w:val="00267527"/>
    <w:rsid w:val="00273EE4"/>
    <w:rsid w:val="00273F19"/>
    <w:rsid w:val="002750A1"/>
    <w:rsid w:val="002826F6"/>
    <w:rsid w:val="002971B2"/>
    <w:rsid w:val="00297827"/>
    <w:rsid w:val="002A64E8"/>
    <w:rsid w:val="002B007A"/>
    <w:rsid w:val="002B2562"/>
    <w:rsid w:val="002C699A"/>
    <w:rsid w:val="002E7ED8"/>
    <w:rsid w:val="002F5924"/>
    <w:rsid w:val="0030025F"/>
    <w:rsid w:val="00337E02"/>
    <w:rsid w:val="00357C8B"/>
    <w:rsid w:val="003739FB"/>
    <w:rsid w:val="003845AA"/>
    <w:rsid w:val="00384BBA"/>
    <w:rsid w:val="00392158"/>
    <w:rsid w:val="003A64F3"/>
    <w:rsid w:val="003B73D7"/>
    <w:rsid w:val="003D26FF"/>
    <w:rsid w:val="003D7150"/>
    <w:rsid w:val="003F6179"/>
    <w:rsid w:val="003F76AF"/>
    <w:rsid w:val="00411DAF"/>
    <w:rsid w:val="00430561"/>
    <w:rsid w:val="004422B2"/>
    <w:rsid w:val="00446491"/>
    <w:rsid w:val="00454430"/>
    <w:rsid w:val="004562A8"/>
    <w:rsid w:val="0047110C"/>
    <w:rsid w:val="00472911"/>
    <w:rsid w:val="004860B6"/>
    <w:rsid w:val="00491E4B"/>
    <w:rsid w:val="004C2D05"/>
    <w:rsid w:val="004E2952"/>
    <w:rsid w:val="004E713E"/>
    <w:rsid w:val="004F7E1A"/>
    <w:rsid w:val="00513EC0"/>
    <w:rsid w:val="00555EAE"/>
    <w:rsid w:val="005720CF"/>
    <w:rsid w:val="00573A31"/>
    <w:rsid w:val="00592337"/>
    <w:rsid w:val="00593739"/>
    <w:rsid w:val="00595F26"/>
    <w:rsid w:val="005B05A4"/>
    <w:rsid w:val="005B4481"/>
    <w:rsid w:val="005D3B3F"/>
    <w:rsid w:val="005E2027"/>
    <w:rsid w:val="00626759"/>
    <w:rsid w:val="0065461A"/>
    <w:rsid w:val="00657F9F"/>
    <w:rsid w:val="00662106"/>
    <w:rsid w:val="00664C81"/>
    <w:rsid w:val="006661F9"/>
    <w:rsid w:val="00671ABF"/>
    <w:rsid w:val="006725A3"/>
    <w:rsid w:val="00672730"/>
    <w:rsid w:val="00674751"/>
    <w:rsid w:val="0068695B"/>
    <w:rsid w:val="00690636"/>
    <w:rsid w:val="00693D3F"/>
    <w:rsid w:val="006A3714"/>
    <w:rsid w:val="006A3E37"/>
    <w:rsid w:val="006A4869"/>
    <w:rsid w:val="006A4AA3"/>
    <w:rsid w:val="006A75A5"/>
    <w:rsid w:val="006B0DF5"/>
    <w:rsid w:val="006C43D1"/>
    <w:rsid w:val="006F26F4"/>
    <w:rsid w:val="00720197"/>
    <w:rsid w:val="00757D19"/>
    <w:rsid w:val="0077431F"/>
    <w:rsid w:val="00775B08"/>
    <w:rsid w:val="007929EC"/>
    <w:rsid w:val="007A0ADC"/>
    <w:rsid w:val="007B2F32"/>
    <w:rsid w:val="007B3FDC"/>
    <w:rsid w:val="007B51AA"/>
    <w:rsid w:val="007B5487"/>
    <w:rsid w:val="00811ABC"/>
    <w:rsid w:val="00816136"/>
    <w:rsid w:val="00821F44"/>
    <w:rsid w:val="00823954"/>
    <w:rsid w:val="00841F05"/>
    <w:rsid w:val="00860D07"/>
    <w:rsid w:val="00871255"/>
    <w:rsid w:val="00876E21"/>
    <w:rsid w:val="008B051A"/>
    <w:rsid w:val="008B5C2F"/>
    <w:rsid w:val="008D089B"/>
    <w:rsid w:val="008D0A9C"/>
    <w:rsid w:val="008D62DE"/>
    <w:rsid w:val="008E1A82"/>
    <w:rsid w:val="008E6AA1"/>
    <w:rsid w:val="009016E8"/>
    <w:rsid w:val="00922998"/>
    <w:rsid w:val="00943D86"/>
    <w:rsid w:val="00947B33"/>
    <w:rsid w:val="00950FF0"/>
    <w:rsid w:val="00961D31"/>
    <w:rsid w:val="009622B8"/>
    <w:rsid w:val="00970831"/>
    <w:rsid w:val="0097188C"/>
    <w:rsid w:val="0098461B"/>
    <w:rsid w:val="009870B4"/>
    <w:rsid w:val="0099300B"/>
    <w:rsid w:val="009A0535"/>
    <w:rsid w:val="009B142B"/>
    <w:rsid w:val="009B4A78"/>
    <w:rsid w:val="009C755E"/>
    <w:rsid w:val="009D15AA"/>
    <w:rsid w:val="009D4D06"/>
    <w:rsid w:val="009D7B07"/>
    <w:rsid w:val="00A0524F"/>
    <w:rsid w:val="00A06119"/>
    <w:rsid w:val="00A0776D"/>
    <w:rsid w:val="00A27415"/>
    <w:rsid w:val="00A55058"/>
    <w:rsid w:val="00A61456"/>
    <w:rsid w:val="00A978AF"/>
    <w:rsid w:val="00AA1D9F"/>
    <w:rsid w:val="00AB287C"/>
    <w:rsid w:val="00AB582E"/>
    <w:rsid w:val="00AC7849"/>
    <w:rsid w:val="00AE2105"/>
    <w:rsid w:val="00AF5A9A"/>
    <w:rsid w:val="00B041B2"/>
    <w:rsid w:val="00B0584A"/>
    <w:rsid w:val="00B13662"/>
    <w:rsid w:val="00B20C1D"/>
    <w:rsid w:val="00B36CEC"/>
    <w:rsid w:val="00B45A11"/>
    <w:rsid w:val="00B5574C"/>
    <w:rsid w:val="00B72DDD"/>
    <w:rsid w:val="00BB3C86"/>
    <w:rsid w:val="00BC1E4F"/>
    <w:rsid w:val="00BD5051"/>
    <w:rsid w:val="00BD68C7"/>
    <w:rsid w:val="00C03919"/>
    <w:rsid w:val="00C10D8D"/>
    <w:rsid w:val="00C378AD"/>
    <w:rsid w:val="00C75DE0"/>
    <w:rsid w:val="00C82037"/>
    <w:rsid w:val="00C95F1F"/>
    <w:rsid w:val="00D070DA"/>
    <w:rsid w:val="00D1280C"/>
    <w:rsid w:val="00D36641"/>
    <w:rsid w:val="00D525AB"/>
    <w:rsid w:val="00D56033"/>
    <w:rsid w:val="00D61D2D"/>
    <w:rsid w:val="00D716B9"/>
    <w:rsid w:val="00D75D1B"/>
    <w:rsid w:val="00D760A2"/>
    <w:rsid w:val="00D965AC"/>
    <w:rsid w:val="00DA5EF0"/>
    <w:rsid w:val="00DB1F3C"/>
    <w:rsid w:val="00DC0EDA"/>
    <w:rsid w:val="00DD365D"/>
    <w:rsid w:val="00DF12BF"/>
    <w:rsid w:val="00DF7BCB"/>
    <w:rsid w:val="00E00399"/>
    <w:rsid w:val="00E06D05"/>
    <w:rsid w:val="00E33E27"/>
    <w:rsid w:val="00E34133"/>
    <w:rsid w:val="00E4623E"/>
    <w:rsid w:val="00E542D5"/>
    <w:rsid w:val="00E756F5"/>
    <w:rsid w:val="00E75CCF"/>
    <w:rsid w:val="00E96EA2"/>
    <w:rsid w:val="00EB55B8"/>
    <w:rsid w:val="00EC03D9"/>
    <w:rsid w:val="00EC5B59"/>
    <w:rsid w:val="00EE510B"/>
    <w:rsid w:val="00EE7DC5"/>
    <w:rsid w:val="00EF3455"/>
    <w:rsid w:val="00F03CA8"/>
    <w:rsid w:val="00F30DF5"/>
    <w:rsid w:val="00F57FB1"/>
    <w:rsid w:val="00F7310D"/>
    <w:rsid w:val="00F73BD7"/>
    <w:rsid w:val="00F77EB1"/>
    <w:rsid w:val="00F928E7"/>
    <w:rsid w:val="00FB1168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24F1"/>
  <w15:docId w15:val="{651668DE-3DF7-4C92-80AC-E6DF64D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85" w:hanging="56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85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nhideWhenUsed/>
    <w:rsid w:val="002C699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7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8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8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78AD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8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A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937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7D19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efaultParagraphFont"/>
    <w:rsid w:val="003739FB"/>
  </w:style>
  <w:style w:type="paragraph" w:styleId="Header">
    <w:name w:val="header"/>
    <w:basedOn w:val="Normal"/>
    <w:link w:val="HeaderChar"/>
    <w:uiPriority w:val="99"/>
    <w:unhideWhenUsed/>
    <w:rsid w:val="00876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E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6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E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cid:image005.png@01D95809.5CBF214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nezeljenadejstva@cinmed.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inmed.me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F665-4D67-4F34-B7FB-5C3BFC73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7545</Words>
  <Characters>43010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Zajmovic, Amila {MWJF~Podgorica}</dc:creator>
  <cp:lastModifiedBy>Aleksandra Ljumović</cp:lastModifiedBy>
  <cp:revision>2</cp:revision>
  <dcterms:created xsi:type="dcterms:W3CDTF">2024-01-25T10:36:00Z</dcterms:created>
  <dcterms:modified xsi:type="dcterms:W3CDTF">2024-01-25T10:36:00Z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2021-11-22T00:00:00Z</vt:filetime>
  </property>
</Properties>
</file>