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2A3B" w14:textId="77777777" w:rsidR="008F7DDB" w:rsidRPr="00291333" w:rsidRDefault="008F7DDB" w:rsidP="008F7DDB">
      <w:pPr>
        <w:spacing w:line="240" w:lineRule="auto"/>
        <w:jc w:val="center"/>
        <w:rPr>
          <w:b/>
          <w:bCs/>
          <w:iCs/>
          <w:u w:val="single"/>
          <w:lang w:val="sr-Latn-ME" w:eastAsia="sl-SI"/>
        </w:rPr>
      </w:pPr>
      <w:r w:rsidRPr="00291333">
        <w:rPr>
          <w:b/>
          <w:bCs/>
          <w:iCs/>
          <w:u w:val="single"/>
          <w:lang w:val="sr-Latn-ME" w:eastAsia="sl-SI"/>
        </w:rPr>
        <w:t>SAŽETAK KARAKTERISTIKA LIJEKA</w:t>
      </w:r>
    </w:p>
    <w:p w14:paraId="12CECAE4" w14:textId="77777777" w:rsidR="008F7DDB" w:rsidRDefault="008F7DDB" w:rsidP="008F7DDB">
      <w:pPr>
        <w:spacing w:after="40" w:line="240" w:lineRule="auto"/>
        <w:jc w:val="center"/>
        <w:rPr>
          <w:b/>
          <w:bCs/>
          <w:u w:val="single"/>
          <w:lang w:val="sr-Latn-ME" w:eastAsia="sl-SI"/>
        </w:rPr>
      </w:pPr>
    </w:p>
    <w:p w14:paraId="224A3BCF" w14:textId="77777777" w:rsidR="008F7DDB" w:rsidRPr="00291333" w:rsidRDefault="008F7DDB" w:rsidP="008F7DDB">
      <w:pPr>
        <w:spacing w:after="40" w:line="240" w:lineRule="auto"/>
        <w:jc w:val="center"/>
        <w:rPr>
          <w:b/>
          <w:bCs/>
          <w:u w:val="single"/>
          <w:lang w:val="sr-Latn-ME" w:eastAsia="sl-SI"/>
        </w:rPr>
      </w:pPr>
    </w:p>
    <w:p w14:paraId="14E549C5" w14:textId="77777777" w:rsidR="008F7DDB" w:rsidRPr="00291333" w:rsidRDefault="008F7DDB" w:rsidP="008F7DDB">
      <w:pPr>
        <w:widowControl w:val="0"/>
        <w:spacing w:line="240" w:lineRule="auto"/>
        <w:jc w:val="both"/>
        <w:rPr>
          <w:b/>
          <w:lang w:val="sr-Latn-ME"/>
        </w:rPr>
      </w:pPr>
      <w:r>
        <w:rPr>
          <w:b/>
          <w:lang w:val="sr-Latn-ME"/>
        </w:rPr>
        <w:t xml:space="preserve">1. </w:t>
      </w:r>
      <w:r w:rsidRPr="00291333">
        <w:rPr>
          <w:b/>
          <w:lang w:val="sr-Latn-ME"/>
        </w:rPr>
        <w:t>NAZIV LIJEKA</w:t>
      </w:r>
    </w:p>
    <w:p w14:paraId="3B4BCEAD" w14:textId="77777777" w:rsidR="008F7DDB" w:rsidRPr="00291333" w:rsidRDefault="008F7DDB" w:rsidP="008F7DDB">
      <w:pPr>
        <w:widowControl w:val="0"/>
        <w:spacing w:line="240" w:lineRule="auto"/>
        <w:jc w:val="both"/>
        <w:rPr>
          <w:lang w:val="sr-Latn-ME"/>
        </w:rPr>
      </w:pPr>
    </w:p>
    <w:p w14:paraId="6644A0F5" w14:textId="5A17D94A" w:rsidR="008F7DDB" w:rsidRPr="00291333" w:rsidRDefault="008F7DDB" w:rsidP="000E2080">
      <w:pPr>
        <w:widowControl w:val="0"/>
        <w:spacing w:line="240" w:lineRule="auto"/>
        <w:jc w:val="both"/>
        <w:rPr>
          <w:bCs/>
          <w:lang w:val="sr-Latn-ME" w:eastAsia="sl-SI"/>
        </w:rPr>
      </w:pPr>
      <w:r w:rsidRPr="00291333">
        <w:rPr>
          <w:bCs/>
          <w:lang w:val="sr-Latn-ME" w:eastAsia="sl-SI"/>
        </w:rPr>
        <w:t>Meaxin 100 mg film tableta</w:t>
      </w:r>
    </w:p>
    <w:p w14:paraId="71DFB63C" w14:textId="5FF7BF80" w:rsidR="008F7DDB" w:rsidRPr="00291333" w:rsidRDefault="008F7DDB" w:rsidP="000E2080">
      <w:pPr>
        <w:widowControl w:val="0"/>
        <w:spacing w:line="240" w:lineRule="auto"/>
        <w:ind w:right="-1"/>
        <w:jc w:val="both"/>
        <w:rPr>
          <w:bCs/>
          <w:lang w:val="sr-Latn-ME" w:eastAsia="sl-SI"/>
        </w:rPr>
      </w:pPr>
      <w:r w:rsidRPr="00291333">
        <w:rPr>
          <w:bCs/>
          <w:lang w:val="sr-Latn-ME" w:eastAsia="sl-SI"/>
        </w:rPr>
        <w:t>Meaxin 400 mg film tableta</w:t>
      </w:r>
    </w:p>
    <w:p w14:paraId="2E5F16D5" w14:textId="77777777" w:rsidR="008F7DDB" w:rsidRPr="00291333" w:rsidRDefault="008F7DDB" w:rsidP="000E2080">
      <w:pPr>
        <w:widowControl w:val="0"/>
        <w:spacing w:line="240" w:lineRule="auto"/>
        <w:ind w:right="-1"/>
        <w:jc w:val="both"/>
        <w:rPr>
          <w:lang w:val="sr-Latn-ME" w:eastAsia="hr-HR"/>
        </w:rPr>
      </w:pPr>
    </w:p>
    <w:p w14:paraId="10FBA6C0" w14:textId="77777777" w:rsidR="008F7DDB" w:rsidRDefault="008F7DDB" w:rsidP="000E2080">
      <w:pPr>
        <w:widowControl w:val="0"/>
        <w:spacing w:line="240" w:lineRule="auto"/>
        <w:ind w:right="-1"/>
        <w:jc w:val="both"/>
        <w:rPr>
          <w:lang w:val="sr-Latn-ME" w:eastAsia="hr-HR"/>
        </w:rPr>
      </w:pPr>
      <w:r w:rsidRPr="00291333">
        <w:rPr>
          <w:lang w:val="sr-Latn-ME" w:eastAsia="hr-HR"/>
        </w:rPr>
        <w:t>INN:</w:t>
      </w:r>
      <w:r w:rsidR="006A07A4">
        <w:rPr>
          <w:lang w:val="sr-Latn-ME" w:eastAsia="hr-HR"/>
        </w:rPr>
        <w:t xml:space="preserve"> </w:t>
      </w:r>
      <w:r w:rsidRPr="00291333">
        <w:rPr>
          <w:lang w:val="sr-Latn-ME" w:eastAsia="hr-HR"/>
        </w:rPr>
        <w:t>imatinib</w:t>
      </w:r>
    </w:p>
    <w:p w14:paraId="2138BE29" w14:textId="77777777" w:rsidR="008F7DDB" w:rsidRPr="00291333" w:rsidRDefault="008F7DDB" w:rsidP="008F7DDB">
      <w:pPr>
        <w:widowControl w:val="0"/>
        <w:spacing w:line="240" w:lineRule="auto"/>
        <w:ind w:right="-1"/>
        <w:rPr>
          <w:lang w:val="sr-Latn-ME" w:eastAsia="hr-HR"/>
        </w:rPr>
      </w:pPr>
    </w:p>
    <w:p w14:paraId="18E3FD65" w14:textId="77777777" w:rsidR="008F7DDB" w:rsidRPr="00291333" w:rsidRDefault="008F7DDB" w:rsidP="008F7DDB">
      <w:pPr>
        <w:widowControl w:val="0"/>
        <w:spacing w:line="240" w:lineRule="auto"/>
        <w:jc w:val="both"/>
        <w:rPr>
          <w:lang w:val="sr-Latn-ME"/>
        </w:rPr>
      </w:pPr>
    </w:p>
    <w:p w14:paraId="7D7CBEA4" w14:textId="77777777" w:rsidR="008F7DDB" w:rsidRPr="00291333" w:rsidRDefault="008F7DDB" w:rsidP="008F7DDB">
      <w:pPr>
        <w:widowControl w:val="0"/>
        <w:spacing w:line="240" w:lineRule="auto"/>
        <w:jc w:val="both"/>
        <w:rPr>
          <w:lang w:val="sr-Latn-ME"/>
        </w:rPr>
      </w:pPr>
      <w:r>
        <w:rPr>
          <w:b/>
          <w:lang w:val="sr-Latn-ME"/>
        </w:rPr>
        <w:t xml:space="preserve">2. </w:t>
      </w:r>
      <w:r w:rsidRPr="00291333">
        <w:rPr>
          <w:b/>
          <w:lang w:val="sr-Latn-ME"/>
        </w:rPr>
        <w:t>KVALITATIVNI I KVANTITATIVNI SASTAV</w:t>
      </w:r>
    </w:p>
    <w:p w14:paraId="35AA8733" w14:textId="77777777" w:rsidR="008F7DDB" w:rsidRPr="00291333" w:rsidRDefault="008F7DDB" w:rsidP="008F7DDB">
      <w:pPr>
        <w:widowControl w:val="0"/>
        <w:spacing w:line="240" w:lineRule="auto"/>
        <w:ind w:right="-1"/>
        <w:rPr>
          <w:lang w:val="sr-Latn-ME" w:eastAsia="hr-HR"/>
        </w:rPr>
      </w:pPr>
    </w:p>
    <w:p w14:paraId="6A117F79" w14:textId="77777777" w:rsidR="008F7DDB" w:rsidRPr="00291333" w:rsidRDefault="008F7DDB" w:rsidP="000E2080">
      <w:pPr>
        <w:widowControl w:val="0"/>
        <w:spacing w:line="240" w:lineRule="auto"/>
        <w:ind w:right="-1"/>
        <w:jc w:val="both"/>
        <w:rPr>
          <w:lang w:val="sr-Latn-ME" w:eastAsia="hr-HR"/>
        </w:rPr>
      </w:pPr>
      <w:r w:rsidRPr="00291333">
        <w:rPr>
          <w:lang w:val="sr-Latn-ME" w:eastAsia="hr-HR"/>
        </w:rPr>
        <w:t xml:space="preserve">Svaka </w:t>
      </w:r>
      <w:r w:rsidRPr="00291333">
        <w:rPr>
          <w:lang w:val="sr-Latn-ME" w:eastAsia="sl-SI"/>
        </w:rPr>
        <w:t>film tableta</w:t>
      </w:r>
      <w:r w:rsidRPr="00291333">
        <w:rPr>
          <w:lang w:val="sr-Latn-ME" w:eastAsia="hr-HR"/>
        </w:rPr>
        <w:t xml:space="preserve"> sadrži 100 mg ili 400 mg </w:t>
      </w:r>
      <w:r w:rsidRPr="00291333">
        <w:rPr>
          <w:bCs/>
          <w:lang w:val="sr-Latn-ME" w:eastAsia="sl-SI"/>
        </w:rPr>
        <w:t>imatiniba</w:t>
      </w:r>
      <w:r w:rsidRPr="00291333">
        <w:rPr>
          <w:lang w:val="sr-Latn-ME" w:eastAsia="hr-HR"/>
        </w:rPr>
        <w:t xml:space="preserve"> u obliku imatinib mesilata.</w:t>
      </w:r>
    </w:p>
    <w:p w14:paraId="3C543DE4" w14:textId="77777777" w:rsidR="008F7DDB" w:rsidRPr="00291333" w:rsidRDefault="008F7DDB" w:rsidP="008F7DDB">
      <w:pPr>
        <w:widowControl w:val="0"/>
        <w:spacing w:line="240" w:lineRule="auto"/>
        <w:ind w:right="-1"/>
        <w:rPr>
          <w:lang w:val="sr-Latn-ME" w:eastAsia="hr-HR"/>
        </w:rPr>
      </w:pPr>
    </w:p>
    <w:p w14:paraId="06D7341D" w14:textId="77777777" w:rsidR="008F7DDB" w:rsidRPr="00291333" w:rsidRDefault="008F7DDB" w:rsidP="00430D56">
      <w:pPr>
        <w:widowControl w:val="0"/>
        <w:spacing w:after="240" w:line="240" w:lineRule="auto"/>
        <w:ind w:right="-1"/>
        <w:rPr>
          <w:lang w:val="sr-Latn-ME" w:eastAsia="hr-HR"/>
        </w:rPr>
      </w:pPr>
      <w:r w:rsidRPr="00291333">
        <w:rPr>
          <w:lang w:val="sr-Latn-ME" w:eastAsia="hr-HR"/>
        </w:rPr>
        <w:t>Pomoćna supstanca: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185"/>
        <w:gridCol w:w="3185"/>
      </w:tblGrid>
      <w:tr w:rsidR="008F7DDB" w:rsidRPr="00291333" w14:paraId="1648BE0A" w14:textId="77777777" w:rsidTr="00430D56">
        <w:tc>
          <w:tcPr>
            <w:tcW w:w="966" w:type="dxa"/>
            <w:tcBorders>
              <w:top w:val="single" w:sz="4" w:space="0" w:color="auto"/>
              <w:left w:val="single" w:sz="4" w:space="0" w:color="auto"/>
              <w:bottom w:val="single" w:sz="4" w:space="0" w:color="auto"/>
              <w:right w:val="single" w:sz="4" w:space="0" w:color="auto"/>
            </w:tcBorders>
          </w:tcPr>
          <w:p w14:paraId="08F6FFAD" w14:textId="77777777" w:rsidR="008F7DDB" w:rsidRPr="00291333" w:rsidRDefault="008F7DDB" w:rsidP="0040712C">
            <w:pPr>
              <w:widowControl w:val="0"/>
              <w:spacing w:line="240" w:lineRule="auto"/>
              <w:ind w:right="-1"/>
              <w:rPr>
                <w:lang w:val="sr-Latn-ME" w:eastAsia="hr-HR"/>
              </w:rPr>
            </w:pPr>
          </w:p>
        </w:tc>
        <w:tc>
          <w:tcPr>
            <w:tcW w:w="3185" w:type="dxa"/>
            <w:tcBorders>
              <w:top w:val="single" w:sz="4" w:space="0" w:color="auto"/>
              <w:left w:val="single" w:sz="4" w:space="0" w:color="auto"/>
              <w:bottom w:val="single" w:sz="4" w:space="0" w:color="auto"/>
              <w:right w:val="single" w:sz="4" w:space="0" w:color="auto"/>
            </w:tcBorders>
            <w:hideMark/>
          </w:tcPr>
          <w:p w14:paraId="06BB39BD" w14:textId="77777777" w:rsidR="008F7DDB" w:rsidRPr="00291333" w:rsidRDefault="008F7DDB" w:rsidP="0040712C">
            <w:pPr>
              <w:widowControl w:val="0"/>
              <w:spacing w:line="240" w:lineRule="auto"/>
              <w:ind w:right="-1"/>
              <w:jc w:val="center"/>
              <w:rPr>
                <w:lang w:val="sr-Latn-ME" w:eastAsia="hr-HR"/>
              </w:rPr>
            </w:pPr>
            <w:r w:rsidRPr="00291333">
              <w:rPr>
                <w:bCs/>
                <w:lang w:val="sr-Latn-ME" w:eastAsia="sl-SI"/>
              </w:rPr>
              <w:t>100 mg film tableta</w:t>
            </w:r>
          </w:p>
        </w:tc>
        <w:tc>
          <w:tcPr>
            <w:tcW w:w="3185" w:type="dxa"/>
            <w:tcBorders>
              <w:top w:val="single" w:sz="4" w:space="0" w:color="auto"/>
              <w:left w:val="single" w:sz="4" w:space="0" w:color="auto"/>
              <w:bottom w:val="single" w:sz="4" w:space="0" w:color="auto"/>
              <w:right w:val="single" w:sz="4" w:space="0" w:color="auto"/>
            </w:tcBorders>
            <w:hideMark/>
          </w:tcPr>
          <w:p w14:paraId="57A2A960" w14:textId="77777777" w:rsidR="008F7DDB" w:rsidRPr="00291333" w:rsidRDefault="008F7DDB" w:rsidP="0040712C">
            <w:pPr>
              <w:widowControl w:val="0"/>
              <w:spacing w:line="240" w:lineRule="auto"/>
              <w:ind w:right="-1"/>
              <w:jc w:val="center"/>
              <w:rPr>
                <w:lang w:val="sr-Latn-ME" w:eastAsia="hr-HR"/>
              </w:rPr>
            </w:pPr>
            <w:r w:rsidRPr="00291333">
              <w:rPr>
                <w:bCs/>
                <w:lang w:val="sr-Latn-ME" w:eastAsia="sl-SI"/>
              </w:rPr>
              <w:t>400 mg film tableta</w:t>
            </w:r>
          </w:p>
        </w:tc>
      </w:tr>
      <w:tr w:rsidR="008F7DDB" w:rsidRPr="00291333" w14:paraId="0E91D775" w14:textId="77777777" w:rsidTr="00430D56">
        <w:tc>
          <w:tcPr>
            <w:tcW w:w="966" w:type="dxa"/>
            <w:tcBorders>
              <w:top w:val="single" w:sz="4" w:space="0" w:color="auto"/>
              <w:left w:val="single" w:sz="4" w:space="0" w:color="auto"/>
              <w:bottom w:val="single" w:sz="4" w:space="0" w:color="auto"/>
              <w:right w:val="single" w:sz="4" w:space="0" w:color="auto"/>
            </w:tcBorders>
            <w:hideMark/>
          </w:tcPr>
          <w:p w14:paraId="7FAF4A43" w14:textId="77777777" w:rsidR="008F7DDB" w:rsidRPr="00291333" w:rsidRDefault="008F7DDB" w:rsidP="0040712C">
            <w:pPr>
              <w:widowControl w:val="0"/>
              <w:spacing w:line="240" w:lineRule="auto"/>
              <w:ind w:right="-1"/>
              <w:rPr>
                <w:lang w:val="sr-Latn-ME" w:eastAsia="hr-HR"/>
              </w:rPr>
            </w:pPr>
            <w:r w:rsidRPr="00291333">
              <w:rPr>
                <w:lang w:val="sr-Latn-ME" w:eastAsia="hr-HR"/>
              </w:rPr>
              <w:t>laktoza</w:t>
            </w:r>
          </w:p>
        </w:tc>
        <w:tc>
          <w:tcPr>
            <w:tcW w:w="3185" w:type="dxa"/>
            <w:tcBorders>
              <w:top w:val="single" w:sz="4" w:space="0" w:color="auto"/>
              <w:left w:val="single" w:sz="4" w:space="0" w:color="auto"/>
              <w:bottom w:val="single" w:sz="4" w:space="0" w:color="auto"/>
              <w:right w:val="single" w:sz="4" w:space="0" w:color="auto"/>
            </w:tcBorders>
            <w:hideMark/>
          </w:tcPr>
          <w:p w14:paraId="02C0FB3B" w14:textId="77777777" w:rsidR="008F7DDB" w:rsidRPr="00291333" w:rsidRDefault="008F7DDB" w:rsidP="0040712C">
            <w:pPr>
              <w:widowControl w:val="0"/>
              <w:spacing w:line="240" w:lineRule="auto"/>
              <w:ind w:right="-1"/>
              <w:jc w:val="center"/>
              <w:rPr>
                <w:lang w:val="sr-Latn-ME" w:eastAsia="hr-HR"/>
              </w:rPr>
            </w:pPr>
            <w:r w:rsidRPr="00291333">
              <w:rPr>
                <w:lang w:val="sr-Latn-ME"/>
              </w:rPr>
              <w:t>114 mg</w:t>
            </w:r>
          </w:p>
        </w:tc>
        <w:tc>
          <w:tcPr>
            <w:tcW w:w="3185" w:type="dxa"/>
            <w:tcBorders>
              <w:top w:val="single" w:sz="4" w:space="0" w:color="auto"/>
              <w:left w:val="single" w:sz="4" w:space="0" w:color="auto"/>
              <w:bottom w:val="single" w:sz="4" w:space="0" w:color="auto"/>
              <w:right w:val="single" w:sz="4" w:space="0" w:color="auto"/>
            </w:tcBorders>
            <w:hideMark/>
          </w:tcPr>
          <w:p w14:paraId="4072C8E5" w14:textId="77777777" w:rsidR="008F7DDB" w:rsidRPr="00291333" w:rsidRDefault="008F7DDB" w:rsidP="0040712C">
            <w:pPr>
              <w:widowControl w:val="0"/>
              <w:spacing w:line="240" w:lineRule="auto"/>
              <w:ind w:right="-1"/>
              <w:jc w:val="center"/>
              <w:rPr>
                <w:lang w:val="sr-Latn-ME" w:eastAsia="hr-HR"/>
              </w:rPr>
            </w:pPr>
            <w:r w:rsidRPr="00291333">
              <w:rPr>
                <w:lang w:val="sr-Latn-ME"/>
              </w:rPr>
              <w:t>456 mg</w:t>
            </w:r>
          </w:p>
        </w:tc>
      </w:tr>
    </w:tbl>
    <w:p w14:paraId="0C035AF4" w14:textId="77777777" w:rsidR="008F7DDB" w:rsidRPr="00291333" w:rsidRDefault="008F7DDB" w:rsidP="008F7DDB">
      <w:pPr>
        <w:widowControl w:val="0"/>
        <w:spacing w:line="240" w:lineRule="auto"/>
        <w:jc w:val="both"/>
        <w:rPr>
          <w:lang w:val="sr-Latn-ME"/>
        </w:rPr>
      </w:pPr>
    </w:p>
    <w:p w14:paraId="77C50600" w14:textId="77777777" w:rsidR="008F7DDB" w:rsidRDefault="008F7DDB" w:rsidP="008F7DDB">
      <w:pPr>
        <w:widowControl w:val="0"/>
        <w:autoSpaceDE w:val="0"/>
        <w:autoSpaceDN w:val="0"/>
        <w:adjustRightInd w:val="0"/>
        <w:spacing w:line="240" w:lineRule="auto"/>
        <w:jc w:val="both"/>
        <w:rPr>
          <w:lang w:val="sr-Latn-ME"/>
        </w:rPr>
      </w:pPr>
      <w:r w:rsidRPr="00291333">
        <w:rPr>
          <w:lang w:val="sr-Latn-ME"/>
        </w:rPr>
        <w:t>Za spisak svih ekscipijenasa, pogledati dio 6.1.</w:t>
      </w:r>
    </w:p>
    <w:p w14:paraId="5C841327" w14:textId="77777777" w:rsidR="008F7DDB" w:rsidRPr="00291333" w:rsidRDefault="008F7DDB" w:rsidP="008F7DDB">
      <w:pPr>
        <w:widowControl w:val="0"/>
        <w:autoSpaceDE w:val="0"/>
        <w:autoSpaceDN w:val="0"/>
        <w:adjustRightInd w:val="0"/>
        <w:spacing w:line="240" w:lineRule="auto"/>
        <w:jc w:val="both"/>
        <w:rPr>
          <w:lang w:val="sr-Latn-ME"/>
        </w:rPr>
      </w:pPr>
    </w:p>
    <w:p w14:paraId="51DFA166" w14:textId="77777777" w:rsidR="008F7DDB" w:rsidRPr="00291333" w:rsidRDefault="008F7DDB" w:rsidP="008F7DDB">
      <w:pPr>
        <w:widowControl w:val="0"/>
        <w:spacing w:line="240" w:lineRule="auto"/>
        <w:jc w:val="both"/>
        <w:rPr>
          <w:lang w:val="sr-Latn-ME"/>
        </w:rPr>
      </w:pPr>
    </w:p>
    <w:p w14:paraId="0B3FA4EB" w14:textId="77777777" w:rsidR="008F7DDB" w:rsidRPr="00291333" w:rsidRDefault="008F7DDB" w:rsidP="008F7DDB">
      <w:pPr>
        <w:widowControl w:val="0"/>
        <w:spacing w:line="240" w:lineRule="auto"/>
        <w:jc w:val="both"/>
        <w:rPr>
          <w:b/>
          <w:caps/>
          <w:lang w:val="sr-Latn-ME"/>
        </w:rPr>
      </w:pPr>
      <w:r>
        <w:rPr>
          <w:b/>
          <w:lang w:val="sr-Latn-ME"/>
        </w:rPr>
        <w:t xml:space="preserve">3. </w:t>
      </w:r>
      <w:r w:rsidRPr="00291333">
        <w:rPr>
          <w:b/>
          <w:lang w:val="sr-Latn-ME"/>
        </w:rPr>
        <w:t>FARMACEUTSKI OBLIK</w:t>
      </w:r>
    </w:p>
    <w:p w14:paraId="23A67D33" w14:textId="77777777" w:rsidR="008F7DDB" w:rsidRPr="00291333" w:rsidRDefault="008F7DDB" w:rsidP="008F7DDB">
      <w:pPr>
        <w:widowControl w:val="0"/>
        <w:spacing w:line="240" w:lineRule="auto"/>
        <w:jc w:val="both"/>
        <w:rPr>
          <w:lang w:val="sr-Latn-ME"/>
        </w:rPr>
      </w:pPr>
    </w:p>
    <w:p w14:paraId="451DDF59" w14:textId="77777777" w:rsidR="008F7DDB" w:rsidRPr="00291333" w:rsidRDefault="008F7DDB" w:rsidP="00430D56">
      <w:pPr>
        <w:widowControl w:val="0"/>
        <w:spacing w:line="240" w:lineRule="auto"/>
        <w:ind w:right="-1"/>
        <w:jc w:val="both"/>
        <w:rPr>
          <w:lang w:val="sr-Latn-ME" w:eastAsia="sl-SI"/>
        </w:rPr>
      </w:pPr>
      <w:r w:rsidRPr="00291333">
        <w:rPr>
          <w:lang w:val="sr-Latn-ME" w:eastAsia="sl-SI"/>
        </w:rPr>
        <w:t>Film tableta.</w:t>
      </w:r>
    </w:p>
    <w:p w14:paraId="260E40A9" w14:textId="77777777" w:rsidR="008F7DDB" w:rsidRPr="00291333" w:rsidRDefault="008F7DDB" w:rsidP="00430D56">
      <w:pPr>
        <w:widowControl w:val="0"/>
        <w:spacing w:line="240" w:lineRule="auto"/>
        <w:ind w:right="-1"/>
        <w:jc w:val="both"/>
        <w:rPr>
          <w:lang w:val="sr-Latn-ME" w:eastAsia="hr-HR"/>
        </w:rPr>
      </w:pPr>
    </w:p>
    <w:p w14:paraId="0BD35962" w14:textId="77777777" w:rsidR="008F7DDB" w:rsidRPr="00291333" w:rsidRDefault="008F7DDB" w:rsidP="00430D56">
      <w:pPr>
        <w:spacing w:line="240" w:lineRule="auto"/>
        <w:jc w:val="both"/>
        <w:textAlignment w:val="top"/>
        <w:rPr>
          <w:lang w:val="sr-Latn-ME" w:eastAsia="hr-HR"/>
        </w:rPr>
      </w:pPr>
      <w:r w:rsidRPr="00291333">
        <w:rPr>
          <w:bCs/>
          <w:lang w:val="sr-Latn-ME" w:eastAsia="sl-SI"/>
        </w:rPr>
        <w:t>100 mg film tablete:</w:t>
      </w:r>
      <w:r w:rsidRPr="00291333">
        <w:rPr>
          <w:noProof/>
          <w:lang w:val="sr-Latn-ME"/>
        </w:rPr>
        <w:t xml:space="preserve"> </w:t>
      </w:r>
      <w:r w:rsidRPr="00291333">
        <w:rPr>
          <w:lang w:val="sr-Latn-ME" w:eastAsia="hr-HR"/>
        </w:rPr>
        <w:t>narandžasto smeđe, okrugle (promjera 11 mm), blago bikonveksne film tablete sa zakošenim ivicama i sa podionom crtom na jednoj strani. Tableta se može podijeliti na jednake doze.</w:t>
      </w:r>
    </w:p>
    <w:p w14:paraId="4618AABD" w14:textId="77777777" w:rsidR="008F7DDB" w:rsidRPr="00291333" w:rsidRDefault="008F7DDB" w:rsidP="00430D56">
      <w:pPr>
        <w:spacing w:line="240" w:lineRule="auto"/>
        <w:jc w:val="both"/>
        <w:textAlignment w:val="top"/>
        <w:rPr>
          <w:lang w:val="sr-Latn-ME" w:eastAsia="hr-HR"/>
        </w:rPr>
      </w:pPr>
    </w:p>
    <w:p w14:paraId="3B5AFFF5" w14:textId="77777777" w:rsidR="008F7DDB" w:rsidRDefault="008F7DDB" w:rsidP="00430D56">
      <w:pPr>
        <w:widowControl w:val="0"/>
        <w:spacing w:line="240" w:lineRule="auto"/>
        <w:jc w:val="both"/>
        <w:rPr>
          <w:lang w:val="sr-Latn-ME" w:eastAsia="hr-HR"/>
        </w:rPr>
      </w:pPr>
      <w:r w:rsidRPr="00291333">
        <w:rPr>
          <w:bCs/>
          <w:lang w:val="sr-Latn-ME" w:eastAsia="sl-SI"/>
        </w:rPr>
        <w:t>400 mg film tablete</w:t>
      </w:r>
      <w:r w:rsidRPr="00291333">
        <w:rPr>
          <w:noProof/>
          <w:lang w:val="sr-Latn-ME"/>
        </w:rPr>
        <w:t xml:space="preserve">: </w:t>
      </w:r>
      <w:r w:rsidRPr="00291333">
        <w:rPr>
          <w:lang w:val="sr-Latn-ME" w:eastAsia="hr-HR"/>
        </w:rPr>
        <w:t>narandžasto smeđe, ovalne (dimenzija 22 mm x 9 mm), bikonveksne film tablete.</w:t>
      </w:r>
    </w:p>
    <w:p w14:paraId="2D1A380A" w14:textId="77777777" w:rsidR="008F7DDB" w:rsidRPr="00291333" w:rsidRDefault="008F7DDB" w:rsidP="008F7DDB">
      <w:pPr>
        <w:widowControl w:val="0"/>
        <w:spacing w:line="240" w:lineRule="auto"/>
        <w:jc w:val="both"/>
        <w:rPr>
          <w:lang w:val="sr-Latn-ME" w:eastAsia="hr-HR"/>
        </w:rPr>
      </w:pPr>
      <w:bookmarkStart w:id="0" w:name="_GoBack"/>
      <w:bookmarkEnd w:id="0"/>
    </w:p>
    <w:p w14:paraId="61E4AFE6" w14:textId="77777777" w:rsidR="008F7DDB" w:rsidRPr="00291333" w:rsidRDefault="008F7DDB" w:rsidP="008F7DDB">
      <w:pPr>
        <w:widowControl w:val="0"/>
        <w:spacing w:line="240" w:lineRule="auto"/>
        <w:jc w:val="both"/>
        <w:rPr>
          <w:lang w:val="sr-Latn-ME"/>
        </w:rPr>
      </w:pPr>
    </w:p>
    <w:p w14:paraId="1D3CE359" w14:textId="77777777" w:rsidR="008F7DDB" w:rsidRPr="00291333" w:rsidRDefault="008F7DDB" w:rsidP="008F7DDB">
      <w:pPr>
        <w:widowControl w:val="0"/>
        <w:spacing w:line="240" w:lineRule="auto"/>
        <w:jc w:val="both"/>
        <w:rPr>
          <w:caps/>
          <w:lang w:val="sr-Latn-ME" w:eastAsia="sl-SI"/>
        </w:rPr>
      </w:pPr>
      <w:r>
        <w:rPr>
          <w:b/>
          <w:caps/>
          <w:lang w:val="sr-Latn-ME" w:eastAsia="sl-SI"/>
        </w:rPr>
        <w:t xml:space="preserve">4. </w:t>
      </w:r>
      <w:r w:rsidRPr="00291333">
        <w:rPr>
          <w:b/>
          <w:caps/>
          <w:lang w:val="sr-Latn-ME" w:eastAsia="sl-SI"/>
        </w:rPr>
        <w:t>KLINIČKI PODACI</w:t>
      </w:r>
    </w:p>
    <w:p w14:paraId="43EA8A2D" w14:textId="77777777" w:rsidR="008F7DDB" w:rsidRPr="00291333" w:rsidRDefault="008F7DDB" w:rsidP="008F7DDB">
      <w:pPr>
        <w:widowControl w:val="0"/>
        <w:spacing w:line="240" w:lineRule="auto"/>
        <w:jc w:val="both"/>
        <w:rPr>
          <w:lang w:val="sr-Latn-ME"/>
        </w:rPr>
      </w:pPr>
    </w:p>
    <w:p w14:paraId="17C3A6B5" w14:textId="77777777" w:rsidR="008F7DDB" w:rsidRPr="00291333" w:rsidRDefault="008F7DDB" w:rsidP="008F7DDB">
      <w:pPr>
        <w:widowControl w:val="0"/>
        <w:spacing w:line="240" w:lineRule="auto"/>
        <w:jc w:val="both"/>
        <w:outlineLvl w:val="0"/>
        <w:rPr>
          <w:b/>
          <w:lang w:val="sr-Latn-ME" w:eastAsia="sl-SI"/>
        </w:rPr>
      </w:pPr>
      <w:r w:rsidRPr="00291333">
        <w:rPr>
          <w:b/>
          <w:lang w:val="sr-Latn-ME" w:eastAsia="sl-SI"/>
        </w:rPr>
        <w:t>4.1</w:t>
      </w:r>
      <w:r w:rsidRPr="00291333">
        <w:rPr>
          <w:b/>
          <w:lang w:val="sr-Latn-ME" w:eastAsia="sl-SI"/>
        </w:rPr>
        <w:tab/>
        <w:t>Terapijske indikacije</w:t>
      </w:r>
    </w:p>
    <w:p w14:paraId="47DF36BC" w14:textId="77777777" w:rsidR="008F7DDB" w:rsidRPr="00291333" w:rsidRDefault="008F7DDB" w:rsidP="008F7DDB">
      <w:pPr>
        <w:widowControl w:val="0"/>
        <w:spacing w:line="240" w:lineRule="auto"/>
        <w:jc w:val="both"/>
        <w:outlineLvl w:val="0"/>
        <w:rPr>
          <w:b/>
          <w:lang w:val="sr-Latn-ME" w:eastAsia="sl-SI"/>
        </w:rPr>
      </w:pPr>
    </w:p>
    <w:p w14:paraId="5943A0FD" w14:textId="77777777" w:rsidR="008F7DDB" w:rsidRDefault="008F7DDB" w:rsidP="008F7DDB">
      <w:pPr>
        <w:widowControl w:val="0"/>
        <w:spacing w:line="240" w:lineRule="auto"/>
        <w:ind w:right="-1"/>
        <w:rPr>
          <w:bCs/>
          <w:lang w:val="sr-Latn-ME" w:eastAsia="hr-HR"/>
        </w:rPr>
      </w:pPr>
      <w:r w:rsidRPr="00291333">
        <w:rPr>
          <w:bCs/>
          <w:lang w:val="sr-Latn-ME" w:eastAsia="sl-SI"/>
        </w:rPr>
        <w:t xml:space="preserve">Lijek Meaxin </w:t>
      </w:r>
      <w:r w:rsidRPr="00291333">
        <w:rPr>
          <w:bCs/>
          <w:lang w:val="sr-Latn-ME" w:eastAsia="hr-HR"/>
        </w:rPr>
        <w:t>je indikovan u terapiji:</w:t>
      </w:r>
    </w:p>
    <w:p w14:paraId="1283E9D2" w14:textId="77777777" w:rsidR="008F7DDB" w:rsidRPr="00291333" w:rsidRDefault="008F7DDB" w:rsidP="008F7DDB">
      <w:pPr>
        <w:widowControl w:val="0"/>
        <w:spacing w:line="240" w:lineRule="auto"/>
        <w:ind w:right="-1"/>
        <w:rPr>
          <w:bCs/>
          <w:lang w:val="sr-Latn-ME" w:eastAsia="hr-HR"/>
        </w:rPr>
      </w:pPr>
    </w:p>
    <w:p w14:paraId="69ADE3F2"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odraslih i pedijatrijskih pacijenata sa novodijagnostikovanom Filadelfija hromozom (bcr-abl) pozitivnom (Ph+) hroničnom mijeloidnom leukemijom (CML, engl. </w:t>
      </w:r>
      <w:r w:rsidRPr="00291333">
        <w:rPr>
          <w:i/>
          <w:lang w:val="sr-Latn-ME" w:eastAsia="sl-SI"/>
        </w:rPr>
        <w:t>chronic myeloid leukaemia</w:t>
      </w:r>
      <w:r w:rsidRPr="00291333">
        <w:rPr>
          <w:lang w:val="sr-Latn-ME" w:eastAsia="sl-SI"/>
        </w:rPr>
        <w:t>) za koju se transplantacija koštane srži ne smatra prvom linijom terapije.</w:t>
      </w:r>
    </w:p>
    <w:p w14:paraId="4F0E9FC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odraslih i pedijatrijskih pacijenata sa Ph+ CML u hroničnoj fazi nakon neuspjeha interferon-alfa terapije, ili u ubrzanoj fazi ili blastnoj krizi. </w:t>
      </w:r>
    </w:p>
    <w:p w14:paraId="7F140EC5"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odraslih i pedijatrijskih pacijenata sa novodijagnostikovanom Filadelfija hromozom pozitivnom akutnom limfoblastnom leukemijom (Ph+ ALL, engl</w:t>
      </w:r>
      <w:r w:rsidRPr="00291333">
        <w:rPr>
          <w:i/>
          <w:lang w:val="sr-Latn-ME" w:eastAsia="sl-SI"/>
        </w:rPr>
        <w:t>. acute lymphoblastic leukaemia</w:t>
      </w:r>
      <w:r w:rsidRPr="00291333">
        <w:rPr>
          <w:lang w:val="sr-Latn-ME" w:eastAsia="sl-SI"/>
        </w:rPr>
        <w:t>) zajedno sa hemioterapijom.</w:t>
      </w:r>
    </w:p>
    <w:p w14:paraId="3F87A356"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odraslih pacijenata sa relapsnom ili refraktarnom Ph+ALL kao monoterapija.</w:t>
      </w:r>
    </w:p>
    <w:p w14:paraId="5191F92D" w14:textId="77777777" w:rsidR="008F7DDB" w:rsidRDefault="008F7DDB" w:rsidP="008F7DDB">
      <w:pPr>
        <w:widowControl w:val="0"/>
        <w:spacing w:line="240" w:lineRule="auto"/>
        <w:ind w:right="-1"/>
        <w:jc w:val="both"/>
        <w:rPr>
          <w:lang w:val="sr-Latn-ME" w:eastAsia="sl-SI"/>
        </w:rPr>
      </w:pPr>
      <w:r w:rsidRPr="00291333">
        <w:rPr>
          <w:lang w:val="sr-Latn-ME" w:eastAsia="sl-SI"/>
        </w:rPr>
        <w:sym w:font="Symbol" w:char="F0B7"/>
      </w:r>
      <w:r>
        <w:rPr>
          <w:lang w:val="sr-Latn-ME" w:eastAsia="sl-SI"/>
        </w:rPr>
        <w:t xml:space="preserve"> </w:t>
      </w:r>
      <w:r w:rsidRPr="00291333">
        <w:rPr>
          <w:lang w:val="sr-Latn-ME" w:eastAsia="sl-SI"/>
        </w:rPr>
        <w:t xml:space="preserve">odraslih pacijenata sa mijelodisplastičnom/mijeloproliferativnom bolešću (MDS/MPD, engl. myelodisplastic/myeloproliferative diseases) povezanom sa rearanžiranjem gena za receptore za trombocitni faktor rasta (PDGFR, engl. </w:t>
      </w:r>
      <w:r w:rsidRPr="00291333">
        <w:rPr>
          <w:i/>
          <w:lang w:val="sr-Latn-ME" w:eastAsia="sl-SI"/>
        </w:rPr>
        <w:t>platelet derived growth factor receptor</w:t>
      </w:r>
      <w:r w:rsidRPr="00291333">
        <w:rPr>
          <w:lang w:val="sr-Latn-ME" w:eastAsia="sl-SI"/>
        </w:rPr>
        <w:t>).</w:t>
      </w:r>
    </w:p>
    <w:p w14:paraId="68111281"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odraslih pacijenata sa uznapredovalim hipereozinofilnim sindromom (HES) i/ili hroničnom eozinofilnom leukemijom (CEL, engl. </w:t>
      </w:r>
      <w:r w:rsidRPr="00291333">
        <w:rPr>
          <w:i/>
          <w:lang w:val="sr-Latn-ME" w:eastAsia="sl-SI"/>
        </w:rPr>
        <w:t>chronic eosinophilic leukaemia</w:t>
      </w:r>
      <w:r w:rsidRPr="00291333">
        <w:rPr>
          <w:lang w:val="sr-Latn-ME" w:eastAsia="sl-SI"/>
        </w:rPr>
        <w:t xml:space="preserve">) sa rearanžmanom FIP1L1- PDGFRα. </w:t>
      </w:r>
    </w:p>
    <w:p w14:paraId="71FFD2ED" w14:textId="77777777" w:rsidR="008F7DDB" w:rsidRPr="00291333" w:rsidRDefault="008F7DDB" w:rsidP="008F7DDB">
      <w:pPr>
        <w:widowControl w:val="0"/>
        <w:spacing w:line="240" w:lineRule="auto"/>
        <w:ind w:right="-1"/>
        <w:rPr>
          <w:lang w:val="sr-Latn-ME" w:eastAsia="sl-SI"/>
        </w:rPr>
      </w:pPr>
    </w:p>
    <w:p w14:paraId="7E4BB5CC" w14:textId="77777777" w:rsidR="008F7DDB" w:rsidRPr="00291333" w:rsidRDefault="008F7DDB" w:rsidP="008F7DDB">
      <w:pPr>
        <w:widowControl w:val="0"/>
        <w:spacing w:line="240" w:lineRule="auto"/>
        <w:ind w:right="-1"/>
        <w:rPr>
          <w:bCs/>
          <w:lang w:val="sr-Latn-ME" w:eastAsia="hr-HR"/>
        </w:rPr>
      </w:pPr>
      <w:r w:rsidRPr="00291333">
        <w:rPr>
          <w:lang w:val="sr-Latn-ME" w:eastAsia="sl-SI"/>
        </w:rPr>
        <w:t>Efekat lijeka Meaxin na ishod transplantacije koštane srži nije utvrđen.</w:t>
      </w:r>
    </w:p>
    <w:p w14:paraId="398A3BEF" w14:textId="77777777" w:rsidR="008F7DDB" w:rsidRPr="00291333" w:rsidRDefault="008F7DDB" w:rsidP="008F7DDB">
      <w:pPr>
        <w:widowControl w:val="0"/>
        <w:spacing w:line="240" w:lineRule="auto"/>
        <w:ind w:right="-1"/>
        <w:rPr>
          <w:bCs/>
          <w:lang w:val="sr-Latn-ME" w:eastAsia="hr-HR"/>
        </w:rPr>
      </w:pPr>
    </w:p>
    <w:p w14:paraId="072A1E2A" w14:textId="77777777" w:rsidR="008F7DDB" w:rsidRPr="00291333" w:rsidRDefault="008F7DDB" w:rsidP="008F7DDB">
      <w:pPr>
        <w:widowControl w:val="0"/>
        <w:spacing w:line="240" w:lineRule="auto"/>
        <w:ind w:right="-1"/>
        <w:rPr>
          <w:bCs/>
          <w:lang w:val="sr-Latn-ME" w:eastAsia="hr-HR"/>
        </w:rPr>
      </w:pPr>
      <w:r w:rsidRPr="00291333">
        <w:rPr>
          <w:bCs/>
          <w:lang w:val="sr-Latn-ME" w:eastAsia="sl-SI"/>
        </w:rPr>
        <w:t xml:space="preserve">Lijek Meaxin </w:t>
      </w:r>
      <w:r w:rsidRPr="00291333">
        <w:rPr>
          <w:bCs/>
          <w:lang w:val="sr-Latn-ME" w:eastAsia="hr-HR"/>
        </w:rPr>
        <w:t>je takođe indikovan u:</w:t>
      </w:r>
    </w:p>
    <w:p w14:paraId="75D3D8A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terapiji odraslih pacijenata sa Kit (CD117) pozitivnim neresektabilnim i/ili metastatskim malignim gastrointestinalnim stromalnim tumorima (GIST, engl. </w:t>
      </w:r>
      <w:r w:rsidRPr="00291333">
        <w:rPr>
          <w:i/>
          <w:lang w:val="sr-Latn-ME" w:eastAsia="sl-SI"/>
        </w:rPr>
        <w:t>gastrointestinal stromal tumors</w:t>
      </w:r>
      <w:r w:rsidRPr="00291333">
        <w:rPr>
          <w:lang w:val="sr-Latn-ME" w:eastAsia="sl-SI"/>
        </w:rPr>
        <w:t xml:space="preserve">). </w:t>
      </w:r>
    </w:p>
    <w:p w14:paraId="5B2C06C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sym w:font="Symbol" w:char="F0B7"/>
      </w:r>
      <w:r w:rsidRPr="00291333">
        <w:rPr>
          <w:lang w:val="sr-Latn-ME" w:eastAsia="sl-SI"/>
        </w:rPr>
        <w:t xml:space="preserve"> adjuvantnoj terapiji odraslih pacijenata koji su pod značajnim rizikom od relapsa nakon resekcije Kit (CD117) pozitivnog gastrointestinalnog stromalnog tumora (GIST). Pacijenti koji imaju nizak ili veoma nizak rizik od rekurencije ne treba da primaju adjuvantnu terapiju.</w:t>
      </w:r>
    </w:p>
    <w:p w14:paraId="430D5829" w14:textId="77777777" w:rsidR="008F7DDB" w:rsidRPr="00291333" w:rsidRDefault="008F7DDB" w:rsidP="008F7DDB">
      <w:pPr>
        <w:widowControl w:val="0"/>
        <w:spacing w:line="240" w:lineRule="auto"/>
        <w:ind w:right="-1"/>
        <w:jc w:val="both"/>
        <w:rPr>
          <w:bCs/>
          <w:lang w:val="sr-Latn-ME" w:eastAsia="hr-HR"/>
        </w:rPr>
      </w:pPr>
      <w:r w:rsidRPr="00291333">
        <w:rPr>
          <w:lang w:val="sr-Latn-ME" w:eastAsia="sl-SI"/>
        </w:rPr>
        <w:t xml:space="preserve"> </w:t>
      </w:r>
      <w:r w:rsidRPr="00291333">
        <w:rPr>
          <w:lang w:val="sr-Latn-ME" w:eastAsia="sl-SI"/>
        </w:rPr>
        <w:sym w:font="Symbol" w:char="F0B7"/>
      </w:r>
      <w:r w:rsidRPr="00291333">
        <w:rPr>
          <w:lang w:val="sr-Latn-ME" w:eastAsia="sl-SI"/>
        </w:rPr>
        <w:t xml:space="preserve"> terapiji odraslih pacijenata sa neresektabilnim dermatofibrosarkomom protuberans (DFSP, engl. </w:t>
      </w:r>
      <w:r w:rsidRPr="00291333">
        <w:rPr>
          <w:i/>
          <w:lang w:val="sr-Latn-ME" w:eastAsia="sl-SI"/>
        </w:rPr>
        <w:t>dermatofibrosarcoma protuberans</w:t>
      </w:r>
      <w:r w:rsidRPr="00291333">
        <w:rPr>
          <w:lang w:val="sr-Latn-ME" w:eastAsia="sl-SI"/>
        </w:rPr>
        <w:t>) i odraslih pacijenata sa rekurentnim i/ili metastatskim DFSP kod kojih nije moguća operacija.</w:t>
      </w:r>
    </w:p>
    <w:p w14:paraId="71FC027F" w14:textId="77777777" w:rsidR="008F7DDB" w:rsidRPr="00291333" w:rsidRDefault="008F7DDB" w:rsidP="008F7DDB">
      <w:pPr>
        <w:widowControl w:val="0"/>
        <w:spacing w:line="240" w:lineRule="auto"/>
        <w:ind w:right="-1"/>
        <w:rPr>
          <w:bCs/>
          <w:lang w:val="sr-Latn-ME" w:eastAsia="hr-HR"/>
        </w:rPr>
      </w:pPr>
    </w:p>
    <w:p w14:paraId="6BF8A7A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Kod odraslih i pedijatrijskih pacijenata, efikasnost lijeka Meaxin se zasniva na sveukupnoj hematološkoj i citogenetskoj stopi odgovora i preživljavanju bez progresije bolesti u CML, na hematološkoj i citogenetskoj stopi odgovora kod Ph-+ALL, MDS/MPD, na hematološkoj stopi odgovora kod HES/CEL i na objektivnoj stopi odgovora kod odraslih pacijenata sa neresektabilnim i/ili metastatskim GIST i DFSP i preživljavanju bez ponovnog javljanja bolesti kod adjuvantnog GIST. Iskustvo u primjeni lijeka Meaxin kod pacijenata sa MDS/MPD udruženim sa rearanžiranjem gena za PDGFR je veoma ograničeno (vidjeti odjeljak 5.1). Izuzev kod novodijagnostikovane hronične faze CML, ne postoje kontrolisane studije koje pokazuju kliničku korist ili povećano preživljavanje kod ovih bolesti.</w:t>
      </w:r>
    </w:p>
    <w:p w14:paraId="3D450365" w14:textId="77777777" w:rsidR="008F7DDB" w:rsidRPr="00291333" w:rsidRDefault="008F7DDB" w:rsidP="008F7DDB">
      <w:pPr>
        <w:widowControl w:val="0"/>
        <w:spacing w:line="240" w:lineRule="auto"/>
        <w:jc w:val="both"/>
        <w:rPr>
          <w:lang w:val="sr-Latn-ME"/>
        </w:rPr>
      </w:pPr>
    </w:p>
    <w:p w14:paraId="1B9FFD0E" w14:textId="77777777" w:rsidR="008F7DDB" w:rsidRPr="00291333" w:rsidRDefault="008F7DDB" w:rsidP="008F7DDB">
      <w:pPr>
        <w:widowControl w:val="0"/>
        <w:numPr>
          <w:ilvl w:val="1"/>
          <w:numId w:val="2"/>
        </w:numPr>
        <w:tabs>
          <w:tab w:val="clear" w:pos="570"/>
          <w:tab w:val="left" w:pos="567"/>
          <w:tab w:val="num" w:pos="712"/>
        </w:tabs>
        <w:spacing w:line="240" w:lineRule="auto"/>
        <w:jc w:val="both"/>
        <w:outlineLvl w:val="0"/>
        <w:rPr>
          <w:b/>
          <w:lang w:val="sr-Latn-ME" w:eastAsia="sl-SI"/>
        </w:rPr>
      </w:pPr>
      <w:r w:rsidRPr="00291333">
        <w:rPr>
          <w:b/>
          <w:lang w:val="sr-Latn-ME" w:eastAsia="sl-SI"/>
        </w:rPr>
        <w:t>Doziranje i način primjene</w:t>
      </w:r>
    </w:p>
    <w:p w14:paraId="63BBC0E0" w14:textId="77777777" w:rsidR="008F7DDB" w:rsidRPr="00291333" w:rsidRDefault="008F7DDB" w:rsidP="008F7DDB">
      <w:pPr>
        <w:widowControl w:val="0"/>
        <w:spacing w:line="240" w:lineRule="auto"/>
        <w:jc w:val="both"/>
        <w:outlineLvl w:val="0"/>
        <w:rPr>
          <w:b/>
          <w:lang w:val="sr-Latn-ME" w:eastAsia="sl-SI"/>
        </w:rPr>
      </w:pPr>
    </w:p>
    <w:p w14:paraId="34E33375" w14:textId="77777777" w:rsidR="008F7DDB" w:rsidRDefault="008F7DDB" w:rsidP="008F7DDB">
      <w:pPr>
        <w:widowControl w:val="0"/>
        <w:spacing w:line="240" w:lineRule="auto"/>
        <w:jc w:val="both"/>
        <w:rPr>
          <w:iCs/>
          <w:u w:val="single"/>
          <w:lang w:val="sr-Latn-ME"/>
        </w:rPr>
      </w:pPr>
      <w:r w:rsidRPr="00291333">
        <w:rPr>
          <w:iCs/>
          <w:u w:val="single"/>
          <w:lang w:val="sr-Latn-ME"/>
        </w:rPr>
        <w:t>Doziranje</w:t>
      </w:r>
    </w:p>
    <w:p w14:paraId="0B39E06E" w14:textId="77777777" w:rsidR="008F7DDB" w:rsidRPr="00291333" w:rsidRDefault="008F7DDB" w:rsidP="008F7DDB">
      <w:pPr>
        <w:widowControl w:val="0"/>
        <w:spacing w:line="240" w:lineRule="auto"/>
        <w:jc w:val="both"/>
        <w:rPr>
          <w:iCs/>
          <w:u w:val="single"/>
          <w:lang w:val="sr-Latn-ME"/>
        </w:rPr>
      </w:pPr>
    </w:p>
    <w:p w14:paraId="4663960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Terapiju treba da započne ljekar koji ima iskustva u liječenju pacijenata sa hematološkim malignitetima i malignim sarkomima, na odgovarajući način.</w:t>
      </w:r>
    </w:p>
    <w:p w14:paraId="757F81FA" w14:textId="77777777" w:rsidR="008F7DDB" w:rsidRPr="00291333" w:rsidRDefault="008F7DDB" w:rsidP="008F7DDB">
      <w:pPr>
        <w:widowControl w:val="0"/>
        <w:spacing w:line="240" w:lineRule="auto"/>
        <w:ind w:right="-1"/>
        <w:jc w:val="both"/>
        <w:rPr>
          <w:lang w:val="sr-Latn-ME" w:eastAsia="sl-SI"/>
        </w:rPr>
      </w:pPr>
    </w:p>
    <w:p w14:paraId="37AA423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Za doze različite od 400 mg i 800 mg (pogledajte niže navedenu preporuku doziranja), dostupna je film tableta od 100 mg.</w:t>
      </w:r>
    </w:p>
    <w:p w14:paraId="19BA1AB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Za doze od 400 mg i više (pogledajte niže navedenu preporuku doziranja), dostupna je film tableta od 400 mg koja se ne može prepoloviti.</w:t>
      </w:r>
    </w:p>
    <w:p w14:paraId="139F617B" w14:textId="77777777" w:rsidR="008F7DDB" w:rsidRPr="00291333" w:rsidRDefault="008F7DDB" w:rsidP="008F7DDB">
      <w:pPr>
        <w:widowControl w:val="0"/>
        <w:spacing w:line="240" w:lineRule="auto"/>
        <w:ind w:right="-1"/>
        <w:jc w:val="both"/>
        <w:rPr>
          <w:lang w:val="sr-Latn-ME" w:eastAsia="sl-SI"/>
        </w:rPr>
      </w:pPr>
    </w:p>
    <w:p w14:paraId="646B6959"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Propisanu dozu treba primjenjivati oralno, uz obrok i sa velikom čašom vode, kako bi se smanjio rizik od iritacije gastrointestinalnog trakta. Doze od 400 mg ili 600 mg primjenjuju se jednom dnevno, dok dnevnu dozu od 800 mg treba primijeniti podijeljeno u dvije doze od po 400 mg, ujutro i uveče. </w:t>
      </w:r>
    </w:p>
    <w:p w14:paraId="07B567FB" w14:textId="77777777" w:rsidR="008F7DDB" w:rsidRPr="00291333" w:rsidRDefault="008F7DDB" w:rsidP="008F7DDB">
      <w:pPr>
        <w:widowControl w:val="0"/>
        <w:spacing w:line="240" w:lineRule="auto"/>
        <w:ind w:right="-1"/>
        <w:jc w:val="both"/>
        <w:rPr>
          <w:lang w:val="sr-Latn-ME" w:eastAsia="sl-SI"/>
        </w:rPr>
      </w:pPr>
    </w:p>
    <w:p w14:paraId="5562CA32" w14:textId="77777777" w:rsidR="008F7DDB" w:rsidRDefault="008F7DDB" w:rsidP="008F7DDB">
      <w:pPr>
        <w:widowControl w:val="0"/>
        <w:spacing w:line="240" w:lineRule="auto"/>
        <w:ind w:right="-1"/>
        <w:jc w:val="both"/>
        <w:rPr>
          <w:lang w:val="sr-Latn-ME" w:eastAsia="sl-SI"/>
        </w:rPr>
      </w:pPr>
      <w:r w:rsidRPr="00291333">
        <w:rPr>
          <w:lang w:val="sr-Latn-ME" w:eastAsia="sl-SI"/>
        </w:rPr>
        <w:t>Za pacijente (djecu) koji ne mogu da gutaju film tablete, sadržaj tablete može se rastvoriti u čaši obične vode ili soka od jabuke. Potreban broj film tableta treba staviti u odgovarajuću zapreminu napitka (oko 50 ml za film tabletu od 100 mg te 200 ml za film tabletu od 400 mg) i promiješati kašičicom. Suspenzija se mora primijeniti odmah nakon potpunog raspada film tablete(a).</w:t>
      </w:r>
    </w:p>
    <w:p w14:paraId="49F3BAFA" w14:textId="77777777" w:rsidR="008F7DDB" w:rsidRPr="00291333" w:rsidRDefault="008F7DDB" w:rsidP="008F7DDB">
      <w:pPr>
        <w:widowControl w:val="0"/>
        <w:spacing w:line="240" w:lineRule="auto"/>
        <w:ind w:right="-1"/>
        <w:jc w:val="both"/>
        <w:rPr>
          <w:u w:val="single"/>
          <w:lang w:val="sr-Latn-ME"/>
        </w:rPr>
      </w:pPr>
    </w:p>
    <w:p w14:paraId="2658E85B" w14:textId="77777777" w:rsidR="008F7DDB" w:rsidRPr="00291333" w:rsidRDefault="008F7DDB" w:rsidP="008F7DDB">
      <w:pPr>
        <w:widowControl w:val="0"/>
        <w:autoSpaceDE w:val="0"/>
        <w:autoSpaceDN w:val="0"/>
        <w:adjustRightInd w:val="0"/>
        <w:spacing w:line="240" w:lineRule="auto"/>
        <w:ind w:right="-1"/>
        <w:rPr>
          <w:lang w:val="sr-Latn-ME" w:eastAsia="sl-SI"/>
        </w:rPr>
      </w:pPr>
      <w:r w:rsidRPr="00291333">
        <w:rPr>
          <w:u w:val="single"/>
          <w:lang w:val="sr-Latn-ME" w:eastAsia="sl-SI"/>
        </w:rPr>
        <w:t>Doziranje za CML kod odraslih pacijenata</w:t>
      </w:r>
    </w:p>
    <w:p w14:paraId="3BD6B53D"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36F3B842"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Preporučena doza lijeka Meaxin iznosi 400 mg/dan za odrasle pacijente u hroničnoj fazi CML. Hronična faza CML se definiše kada su zadovoljeni svi navedeni kriterijumi: blastociti &lt; 15% u krvi i koštanoj srži, bazofili u perifernoj krvi &lt; 20% , trombociti &gt; 100 x 10</w:t>
      </w:r>
      <w:r w:rsidRPr="00291333">
        <w:rPr>
          <w:vertAlign w:val="superscript"/>
          <w:lang w:val="sr-Latn-ME" w:eastAsia="sl-SI"/>
        </w:rPr>
        <w:t>9</w:t>
      </w:r>
      <w:r w:rsidRPr="00291333">
        <w:rPr>
          <w:lang w:val="sr-Latn-ME" w:eastAsia="sl-SI"/>
        </w:rPr>
        <w:t xml:space="preserve"> /L. </w:t>
      </w:r>
    </w:p>
    <w:p w14:paraId="3EF08050"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Za odrasle pacijente u ubrzanoj fazi bolesti, preporučena doza lijeka Meaxin je 600 mg/dan. Ubrzana faza se definiše prisustvom bilo kog od navedenih kriterijuma: blastociti ≥ 15% , ali &lt; 30% u krvi ili koštanoj srži,  blastociti plus promijelociti ≥ 30% u krvi ili koštanoj srži (pod uslovom da blastocita ima  &lt; 30%), bazofili u perifernoj krvi  ≥ 20%, trombociti &lt; 100 x 10</w:t>
      </w:r>
      <w:r w:rsidRPr="00291333">
        <w:rPr>
          <w:vertAlign w:val="superscript"/>
          <w:lang w:val="sr-Latn-ME" w:eastAsia="sl-SI"/>
        </w:rPr>
        <w:t>9</w:t>
      </w:r>
      <w:r w:rsidRPr="00291333">
        <w:rPr>
          <w:lang w:val="sr-Latn-ME" w:eastAsia="sl-SI"/>
        </w:rPr>
        <w:t>/l bez obzira na terapiju.</w:t>
      </w:r>
    </w:p>
    <w:p w14:paraId="2B7749B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Za pacijente u blastnoj krizi preporučena doza lijeka Meaxin iznosi 600 mg/dan. Blastna kriza se definiše kao prisustvo ≥ 30% blastocita u krvi ili koštanoj srži ili ekstramedularna bolest osim hepatosplenomegalije.</w:t>
      </w:r>
    </w:p>
    <w:p w14:paraId="1A53C45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1AA0867E"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Trajanje terapije: U kliničkim studijama, terapija lijekom koji sadrži imatinib se nastavlja do progresije bolesti.</w:t>
      </w:r>
    </w:p>
    <w:p w14:paraId="1B54426D"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Nije ispitivan efekat prekidanja terapije poslije postizanja kompletnog citogenetskog odgovora.</w:t>
      </w:r>
    </w:p>
    <w:p w14:paraId="0A852159"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305D0D5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Povećanje doze sa 400 mg na 600 mg ili na 800 mg kod pacijenata čija je bolest u hroničnoj fazi, ili sa 600 mg na maksimalnih 800 mg/dan (primijenjeno dva puta dnevno po 400 mg) može se razmotriti kod pacijenata u ubrzanoj fazi ili u blastnoj krizi u odsustvu teških neželjenih reakcija na lijek i teške, za leukemiju nevezane, neutropenije ili trombocitopenije u sledećim okolnostima: progresija bolesti (u bilo kom trenutku); neuspjeh u postizanju zadovoljavajućeg hematološkog odgovora poslije najmanje 3 mjeseca terapije; neuspjeh u postizanju citogenetskog odgovora poslije 12 mjeseci terapije; ili gubitak prethodno postignutog hematološkog i/ili citogenetskog odgovora. Pacijente treba pažljivo pratiti nakon povećanja doze s obzirom na potencijal za povećanu incidencu neželjenih reakcija pri primjeni viših doza.</w:t>
      </w:r>
    </w:p>
    <w:p w14:paraId="7CD5199E" w14:textId="77777777" w:rsidR="008F7DDB" w:rsidRPr="00291333" w:rsidRDefault="008F7DDB" w:rsidP="008F7DDB">
      <w:pPr>
        <w:widowControl w:val="0"/>
        <w:autoSpaceDE w:val="0"/>
        <w:autoSpaceDN w:val="0"/>
        <w:adjustRightInd w:val="0"/>
        <w:spacing w:line="240" w:lineRule="auto"/>
        <w:ind w:right="-1"/>
        <w:rPr>
          <w:u w:val="single"/>
          <w:lang w:val="sr-Latn-ME" w:eastAsia="sl-SI"/>
        </w:rPr>
      </w:pPr>
    </w:p>
    <w:p w14:paraId="1644B4E4" w14:textId="77777777" w:rsidR="008F7DDB" w:rsidRDefault="008F7DDB" w:rsidP="008F7DDB">
      <w:pPr>
        <w:widowControl w:val="0"/>
        <w:autoSpaceDE w:val="0"/>
        <w:autoSpaceDN w:val="0"/>
        <w:adjustRightInd w:val="0"/>
        <w:spacing w:line="240" w:lineRule="auto"/>
        <w:ind w:right="-1"/>
        <w:jc w:val="both"/>
        <w:rPr>
          <w:u w:val="single"/>
          <w:lang w:val="sr-Latn-ME" w:eastAsia="sl-SI"/>
        </w:rPr>
      </w:pPr>
      <w:r w:rsidRPr="00291333">
        <w:rPr>
          <w:u w:val="single"/>
          <w:lang w:val="sr-Latn-ME" w:eastAsia="sl-SI"/>
        </w:rPr>
        <w:t>Doziranje za CML kod djece</w:t>
      </w:r>
    </w:p>
    <w:p w14:paraId="64DC5748"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p>
    <w:p w14:paraId="740D57C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Doziranje kod djece treba da bude zasnovano na tjelesnoj površini (mg/m2 ). Doza od 340 mg/m</w:t>
      </w:r>
      <w:r w:rsidRPr="00291333">
        <w:rPr>
          <w:vertAlign w:val="superscript"/>
          <w:lang w:val="sr-Latn-ME" w:eastAsia="sl-SI"/>
        </w:rPr>
        <w:t>2</w:t>
      </w:r>
      <w:r w:rsidRPr="00291333">
        <w:rPr>
          <w:lang w:val="sr-Latn-ME" w:eastAsia="sl-SI"/>
        </w:rPr>
        <w:t xml:space="preserve"> dnevno se preporučuje za djecu sa hroničnom fazom CML i uznapredovalom fazom CML (a da se ne pređe ukupna doza od 800 mg). Lijek se može dati u vidu jedne dnevne doze ili se alternativno dnevna doza može podijeliti u dva davanja – jedno ujutro, a drugo uveče. Preporučena doza je za sada zasnovana na malom broju pedijatrijskih pacijenata (vidjeti odjeljke 5.1 i 5.2). </w:t>
      </w:r>
    </w:p>
    <w:p w14:paraId="3EEE038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C092FF9"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Ne postoje iskustva sa primjenom lijeka kod djece mlađe od 2 godine. </w:t>
      </w:r>
    </w:p>
    <w:p w14:paraId="17824192"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7B1A36E8"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r w:rsidRPr="00291333">
        <w:rPr>
          <w:lang w:val="sr-Latn-ME" w:eastAsia="sl-SI"/>
        </w:rPr>
        <w:t>Povećanje doze sa 340 mg/m</w:t>
      </w:r>
      <w:r w:rsidRPr="00291333">
        <w:rPr>
          <w:vertAlign w:val="superscript"/>
          <w:lang w:val="sr-Latn-ME" w:eastAsia="sl-SI"/>
        </w:rPr>
        <w:t>2</w:t>
      </w:r>
      <w:r w:rsidRPr="00291333">
        <w:rPr>
          <w:lang w:val="sr-Latn-ME" w:eastAsia="sl-SI"/>
        </w:rPr>
        <w:t xml:space="preserve"> dnevno na 570 mg/m</w:t>
      </w:r>
      <w:r w:rsidRPr="00291333">
        <w:rPr>
          <w:vertAlign w:val="superscript"/>
          <w:lang w:val="sr-Latn-ME" w:eastAsia="sl-SI"/>
        </w:rPr>
        <w:t>2</w:t>
      </w:r>
      <w:r w:rsidRPr="00291333">
        <w:rPr>
          <w:lang w:val="sr-Latn-ME" w:eastAsia="sl-SI"/>
        </w:rPr>
        <w:t xml:space="preserve"> dnevno (a da se ne prekorači ukupna doza od 800 mg) može se razmotriti kod djece kod kojih nema teških neželjenih reakcija na lijek, i teške, sa leukemijom nepovezane, neutropenije ili trombocitopenije u sledećim okolnostima: progresija bolesti (u bilo kom trenutku); neuspjeh u postizanju zadovoljavajućeg hematološkog odgovora poslije najmanje 3 mjeseca terapije; neuspjeh u postizanju citogenetskog odgovora poslije 12 mjeseci terapije; ili gubitak prethodno postignutog hematološkog i/ili citogenetskog odgovora. Pacijente treba pažljivo pratiti nakon povećavanja doze s obzirom na potencijal za povećanu incidencu neželjenih reakcija pri višim dozama.</w:t>
      </w:r>
    </w:p>
    <w:p w14:paraId="37B95D50" w14:textId="77777777" w:rsidR="008F7DDB" w:rsidRPr="00291333" w:rsidRDefault="008F7DDB" w:rsidP="008F7DDB">
      <w:pPr>
        <w:widowControl w:val="0"/>
        <w:spacing w:line="240" w:lineRule="auto"/>
        <w:ind w:right="-1"/>
        <w:jc w:val="both"/>
        <w:rPr>
          <w:lang w:val="sr-Latn-ME" w:eastAsia="sl-SI"/>
        </w:rPr>
      </w:pPr>
    </w:p>
    <w:p w14:paraId="5D3DA9CA" w14:textId="77777777" w:rsidR="008F7DDB" w:rsidRDefault="008F7DDB" w:rsidP="008F7DDB">
      <w:pPr>
        <w:widowControl w:val="0"/>
        <w:spacing w:line="240" w:lineRule="auto"/>
        <w:ind w:right="-1"/>
        <w:jc w:val="both"/>
        <w:rPr>
          <w:u w:val="single"/>
          <w:lang w:val="sr-Latn-ME" w:eastAsia="sl-SI"/>
        </w:rPr>
      </w:pPr>
      <w:r w:rsidRPr="00291333">
        <w:rPr>
          <w:u w:val="single"/>
          <w:lang w:val="sr-Latn-ME"/>
        </w:rPr>
        <w:t xml:space="preserve">Doziranje za Ph+ ALL </w:t>
      </w:r>
      <w:r w:rsidRPr="00291333">
        <w:rPr>
          <w:u w:val="single"/>
          <w:lang w:val="sr-Latn-ME" w:eastAsia="sl-SI"/>
        </w:rPr>
        <w:t>kod odraslih pacijenata</w:t>
      </w:r>
    </w:p>
    <w:p w14:paraId="21A7A185" w14:textId="77777777" w:rsidR="008F7DDB" w:rsidRPr="00291333" w:rsidRDefault="008F7DDB" w:rsidP="008F7DDB">
      <w:pPr>
        <w:widowControl w:val="0"/>
        <w:spacing w:line="240" w:lineRule="auto"/>
        <w:ind w:right="-1"/>
        <w:jc w:val="both"/>
        <w:rPr>
          <w:u w:val="single"/>
          <w:lang w:val="sr-Latn-ME" w:eastAsia="sl-SI"/>
        </w:rPr>
      </w:pPr>
    </w:p>
    <w:p w14:paraId="36EC3DD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Preporučena doza lijeka Meaxin kod odraslih pacijenata sa Ph+ALL iznosi 600 mg/dan. Hematološki eksperti u liječenju ove bolesti treba da vrše nadzor nad terapijom kroz sve faze liječenja. </w:t>
      </w:r>
    </w:p>
    <w:p w14:paraId="200C2DE1" w14:textId="77777777" w:rsidR="008F7DDB" w:rsidRPr="00291333" w:rsidRDefault="008F7DDB" w:rsidP="008F7DDB">
      <w:pPr>
        <w:widowControl w:val="0"/>
        <w:spacing w:line="240" w:lineRule="auto"/>
        <w:ind w:right="-1"/>
        <w:jc w:val="both"/>
        <w:rPr>
          <w:lang w:val="sr-Latn-ME" w:eastAsia="sl-SI"/>
        </w:rPr>
      </w:pPr>
    </w:p>
    <w:p w14:paraId="0E48D80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Raspored terapije: Na osnovu postojećih podataka, pokazano je da je lijek Meaxin efikasan i bezbjedan kada se primjenjuje u dozi od 600 mg/dan u kombinaciji sa hemioterapijom u fazi indukcije, fazi konsolidacije i fazi održavanja hemioterapije (vidjeti odjeljak 5.1) kod odraslih pacijenata sa novodijagnostikovanom Ph+ ALL. Trajanje terapije lijekom Meaxin može da varira u zavisnosti od odabranog programa liječenja, ali uglavnom, duža izloženost lijeku Meaxin dala je bolje rezultate. </w:t>
      </w:r>
    </w:p>
    <w:p w14:paraId="1B932183" w14:textId="77777777" w:rsidR="008F7DDB" w:rsidRPr="00291333" w:rsidRDefault="008F7DDB" w:rsidP="008F7DDB">
      <w:pPr>
        <w:widowControl w:val="0"/>
        <w:spacing w:line="240" w:lineRule="auto"/>
        <w:ind w:right="-1"/>
        <w:rPr>
          <w:lang w:val="sr-Latn-ME" w:eastAsia="sl-SI"/>
        </w:rPr>
      </w:pPr>
    </w:p>
    <w:p w14:paraId="76796A31"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Kod odraslih pacijenata sa relapsnom ili refraktarnom Ph+ALL, monoterapija lijekom Meaxin primijenjenim u dozi od 600 mg/dan je bezbjedna, efikasna i može se davati sve do pojave progresije bolesti.</w:t>
      </w:r>
    </w:p>
    <w:p w14:paraId="2AEBBE35" w14:textId="77777777" w:rsidR="008F7DDB" w:rsidRPr="00291333" w:rsidRDefault="008F7DDB" w:rsidP="008F7DDB">
      <w:pPr>
        <w:widowControl w:val="0"/>
        <w:spacing w:line="240" w:lineRule="auto"/>
        <w:ind w:right="-1"/>
        <w:jc w:val="both"/>
        <w:rPr>
          <w:u w:val="single"/>
          <w:lang w:val="sr-Latn-ME" w:eastAsia="sl-SI"/>
        </w:rPr>
      </w:pPr>
    </w:p>
    <w:p w14:paraId="30ECBA04"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Doziranje za Ph+ ALL kod djece </w:t>
      </w:r>
    </w:p>
    <w:p w14:paraId="04A8FF3A" w14:textId="77777777" w:rsidR="008F7DDB" w:rsidRPr="00291333" w:rsidRDefault="008F7DDB" w:rsidP="008F7DDB">
      <w:pPr>
        <w:widowControl w:val="0"/>
        <w:spacing w:line="240" w:lineRule="auto"/>
        <w:ind w:right="-1"/>
        <w:jc w:val="both"/>
        <w:rPr>
          <w:lang w:val="sr-Latn-ME"/>
        </w:rPr>
      </w:pPr>
      <w:r w:rsidRPr="00291333">
        <w:rPr>
          <w:lang w:val="sr-Latn-ME" w:eastAsia="sl-SI"/>
        </w:rPr>
        <w:t>Doziranje kod djece treba da bude zasnovano na tjelesnoj površini (mg/m</w:t>
      </w:r>
      <w:r w:rsidRPr="00291333">
        <w:rPr>
          <w:vertAlign w:val="superscript"/>
          <w:lang w:val="sr-Latn-ME" w:eastAsia="sl-SI"/>
        </w:rPr>
        <w:t>2</w:t>
      </w:r>
      <w:r w:rsidRPr="00291333">
        <w:rPr>
          <w:lang w:val="sr-Latn-ME" w:eastAsia="sl-SI"/>
        </w:rPr>
        <w:t xml:space="preserve"> ). Kod djece sa Ph+ ALL, preporučuje se primjena dnevne doze od 340 mg/m2 (pri tome se ne smije preći ukupna doza od 600 mg).</w:t>
      </w:r>
    </w:p>
    <w:p w14:paraId="62540A64" w14:textId="77777777" w:rsidR="008F7DDB" w:rsidRPr="00291333" w:rsidRDefault="008F7DDB" w:rsidP="008F7DDB">
      <w:pPr>
        <w:widowControl w:val="0"/>
        <w:spacing w:line="240" w:lineRule="auto"/>
        <w:ind w:right="-1"/>
        <w:jc w:val="both"/>
        <w:rPr>
          <w:u w:val="single"/>
          <w:lang w:val="sr-Latn-ME"/>
        </w:rPr>
      </w:pPr>
    </w:p>
    <w:p w14:paraId="4D1F929E"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Doziranje za MDS/MPD</w:t>
      </w:r>
    </w:p>
    <w:p w14:paraId="4F488DA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Preporučena doza lijeka Meaxin je 400 mg/dan za odrasle pacijente sa MDS/MPD. </w:t>
      </w:r>
    </w:p>
    <w:p w14:paraId="2D6EA90B" w14:textId="77777777" w:rsidR="008F7DDB" w:rsidRPr="00291333" w:rsidRDefault="008F7DDB" w:rsidP="008F7DDB">
      <w:pPr>
        <w:widowControl w:val="0"/>
        <w:spacing w:line="240" w:lineRule="auto"/>
        <w:ind w:right="-1"/>
        <w:jc w:val="both"/>
        <w:rPr>
          <w:lang w:val="sr-Latn-ME" w:eastAsia="sl-SI"/>
        </w:rPr>
      </w:pPr>
    </w:p>
    <w:p w14:paraId="0957C405"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Trajanje terapije: u jedinom do danas sprovedenom kliničkom ispitivanju, terapija imatinibom  je nastavljena sve do progresije bolesti (vidjeti odjeljak 5.1). U vrijeme analize, medijana dužine trajanja terapije iznosila je 47 mjeseci (24 dana - 60 mjeseci).</w:t>
      </w:r>
    </w:p>
    <w:p w14:paraId="0707B010" w14:textId="77777777" w:rsidR="008F7DDB" w:rsidRPr="00291333" w:rsidRDefault="008F7DDB" w:rsidP="008F7DDB">
      <w:pPr>
        <w:widowControl w:val="0"/>
        <w:spacing w:line="240" w:lineRule="auto"/>
        <w:ind w:right="-1"/>
        <w:jc w:val="both"/>
        <w:rPr>
          <w:lang w:val="sr-Latn-ME" w:eastAsia="sl-SI"/>
        </w:rPr>
      </w:pPr>
    </w:p>
    <w:p w14:paraId="4CFA0AC9"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Doziranje za HES/CEL </w:t>
      </w:r>
    </w:p>
    <w:p w14:paraId="2F7CAAF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lastRenderedPageBreak/>
        <w:t xml:space="preserve">Preporučena doza lijeka Meaxin je 100 mg/dan za odrasle pacijente sa HES/CEL. </w:t>
      </w:r>
    </w:p>
    <w:p w14:paraId="5CB7BFCA" w14:textId="77777777" w:rsidR="008F7DDB" w:rsidRPr="00291333" w:rsidRDefault="008F7DDB" w:rsidP="008F7DDB">
      <w:pPr>
        <w:widowControl w:val="0"/>
        <w:spacing w:line="240" w:lineRule="auto"/>
        <w:ind w:right="-1"/>
        <w:jc w:val="both"/>
        <w:rPr>
          <w:lang w:val="sr-Latn-ME" w:eastAsia="sl-SI"/>
        </w:rPr>
      </w:pPr>
    </w:p>
    <w:p w14:paraId="10457E1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Povećanje doze sa 100 mg na 400 mg može se razmotriti, u odsustvu neželjenih dejstava, ako procjene pokažu nezadovoljavajući odgovor na terapiju. </w:t>
      </w:r>
    </w:p>
    <w:p w14:paraId="55037D7E" w14:textId="77777777" w:rsidR="008F7DDB" w:rsidRPr="00291333" w:rsidRDefault="008F7DDB" w:rsidP="008F7DDB">
      <w:pPr>
        <w:widowControl w:val="0"/>
        <w:spacing w:line="240" w:lineRule="auto"/>
        <w:ind w:right="-1"/>
        <w:jc w:val="both"/>
        <w:rPr>
          <w:lang w:val="sr-Latn-ME" w:eastAsia="sl-SI"/>
        </w:rPr>
      </w:pPr>
    </w:p>
    <w:p w14:paraId="01F220A5"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Terapiju treba nastaviti sve dok pacijent ima koristi od nje.</w:t>
      </w:r>
    </w:p>
    <w:p w14:paraId="40DB1390" w14:textId="77777777" w:rsidR="008F7DDB" w:rsidRPr="00291333" w:rsidRDefault="008F7DDB" w:rsidP="008F7DDB">
      <w:pPr>
        <w:widowControl w:val="0"/>
        <w:spacing w:line="240" w:lineRule="auto"/>
        <w:ind w:right="-1"/>
        <w:jc w:val="both"/>
        <w:rPr>
          <w:lang w:val="sr-Latn-ME" w:eastAsia="sl-SI"/>
        </w:rPr>
      </w:pPr>
    </w:p>
    <w:p w14:paraId="2F8A48F1"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Doziranje za GIST</w:t>
      </w:r>
    </w:p>
    <w:p w14:paraId="671D16EC"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Preporučena doza lijeka Meaxin iznosi 400 mg/dan kod pacijenata sa neresektabilnim i/ili metastatskim malignim GIST-om. </w:t>
      </w:r>
    </w:p>
    <w:p w14:paraId="62053F9D" w14:textId="77777777" w:rsidR="008F7DDB" w:rsidRPr="00291333" w:rsidRDefault="008F7DDB" w:rsidP="008F7DDB">
      <w:pPr>
        <w:widowControl w:val="0"/>
        <w:spacing w:line="240" w:lineRule="auto"/>
        <w:ind w:right="-1"/>
        <w:jc w:val="both"/>
        <w:rPr>
          <w:lang w:val="sr-Latn-ME" w:eastAsia="sl-SI"/>
        </w:rPr>
      </w:pPr>
    </w:p>
    <w:p w14:paraId="7E6648BE"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Postoje ograničeni podaci o efektu povećanja doze sa 400 mg na 600 mg ili 800 mg kod pacijenata kod kojih se javlja progresija pri nižim dozama (vidjeti odjeljak 5.1). </w:t>
      </w:r>
    </w:p>
    <w:p w14:paraId="350191A4" w14:textId="77777777" w:rsidR="008F7DDB" w:rsidRPr="00291333" w:rsidRDefault="008F7DDB" w:rsidP="008F7DDB">
      <w:pPr>
        <w:widowControl w:val="0"/>
        <w:spacing w:line="240" w:lineRule="auto"/>
        <w:ind w:right="-1"/>
        <w:jc w:val="both"/>
        <w:rPr>
          <w:lang w:val="sr-Latn-ME" w:eastAsia="sl-SI"/>
        </w:rPr>
      </w:pPr>
    </w:p>
    <w:p w14:paraId="183D1AB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Trajanje terapije: U kliničkim ispitivanjima kod pacijenata sa GIST-om, terapija imatinibom je nastavljena do progresije bolesti. U vrijeme analize, medijana dužine trajanja terapije bila je 7 mjeseci (7 dana do 13 mjeseci). Efekat prekidanja terapije nakon postizanja terapijskog odgovora nije ispitivan. </w:t>
      </w:r>
    </w:p>
    <w:p w14:paraId="7B36CC06" w14:textId="77777777" w:rsidR="008F7DDB" w:rsidRPr="00291333" w:rsidRDefault="008F7DDB" w:rsidP="008F7DDB">
      <w:pPr>
        <w:widowControl w:val="0"/>
        <w:spacing w:line="240" w:lineRule="auto"/>
        <w:ind w:right="-1"/>
        <w:jc w:val="both"/>
        <w:rPr>
          <w:lang w:val="sr-Latn-ME" w:eastAsia="sl-SI"/>
        </w:rPr>
      </w:pPr>
    </w:p>
    <w:p w14:paraId="003DF174" w14:textId="77777777" w:rsidR="008F7DDB" w:rsidRPr="00901BE9" w:rsidRDefault="008F7DDB" w:rsidP="008F7DDB">
      <w:pPr>
        <w:widowControl w:val="0"/>
        <w:spacing w:line="240" w:lineRule="auto"/>
        <w:ind w:right="-1"/>
        <w:jc w:val="both"/>
        <w:rPr>
          <w:lang w:val="sr-Latn-ME" w:eastAsia="sl-SI"/>
        </w:rPr>
      </w:pPr>
      <w:r w:rsidRPr="00291333">
        <w:rPr>
          <w:lang w:val="sr-Latn-ME" w:eastAsia="sl-SI"/>
        </w:rPr>
        <w:t>Preporučena doza lijeka Meaxin je 400 mg/dan kod adjuvantne terapije odraslih pacijenata nakon resekcije GIST-a. Optimalno trajanje terapije još uvijek nije utvrđeno. Dužina terapije u kliničkoj studiji koja podržava ovu indikaciju je bila 36 mjeseci (vidjeti odjeljak 5.1)</w:t>
      </w:r>
      <w:r>
        <w:rPr>
          <w:lang w:val="sr-Latn-ME" w:eastAsia="sl-SI"/>
        </w:rPr>
        <w:t>.</w:t>
      </w:r>
    </w:p>
    <w:p w14:paraId="63649893" w14:textId="77777777" w:rsidR="008F7DDB" w:rsidRPr="00291333" w:rsidRDefault="008F7DDB" w:rsidP="008F7DDB">
      <w:pPr>
        <w:widowControl w:val="0"/>
        <w:spacing w:line="240" w:lineRule="auto"/>
        <w:ind w:right="-1"/>
        <w:jc w:val="both"/>
        <w:rPr>
          <w:u w:val="single"/>
          <w:lang w:val="sr-Latn-ME"/>
        </w:rPr>
      </w:pPr>
    </w:p>
    <w:p w14:paraId="253E2A67"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Doziranje za DFSP </w:t>
      </w:r>
    </w:p>
    <w:p w14:paraId="5CED81F7" w14:textId="77777777" w:rsidR="008F7DDB" w:rsidRDefault="008F7DDB" w:rsidP="008F7DDB">
      <w:pPr>
        <w:widowControl w:val="0"/>
        <w:spacing w:line="240" w:lineRule="auto"/>
        <w:ind w:right="-1"/>
        <w:jc w:val="both"/>
        <w:rPr>
          <w:lang w:val="sr-Latn-ME" w:eastAsia="sl-SI"/>
        </w:rPr>
      </w:pPr>
      <w:r w:rsidRPr="00291333">
        <w:rPr>
          <w:lang w:val="sr-Latn-ME" w:eastAsia="sl-SI"/>
        </w:rPr>
        <w:t xml:space="preserve">Preporučena doza lijeka Meaxin je 800 mg/dan kod odraslih pacijenata sa DFSP. </w:t>
      </w:r>
    </w:p>
    <w:p w14:paraId="1E9FC4B0" w14:textId="77777777" w:rsidR="008F7DDB" w:rsidRPr="00291333" w:rsidRDefault="008F7DDB" w:rsidP="008F7DDB">
      <w:pPr>
        <w:widowControl w:val="0"/>
        <w:spacing w:line="240" w:lineRule="auto"/>
        <w:ind w:right="-1"/>
        <w:jc w:val="both"/>
        <w:rPr>
          <w:lang w:val="sr-Latn-ME" w:eastAsia="sl-SI"/>
        </w:rPr>
      </w:pPr>
    </w:p>
    <w:p w14:paraId="72495340" w14:textId="77777777" w:rsidR="008F7DDB" w:rsidRPr="00291333" w:rsidRDefault="008F7DDB" w:rsidP="008F7DDB">
      <w:pPr>
        <w:widowControl w:val="0"/>
        <w:spacing w:line="240" w:lineRule="auto"/>
        <w:ind w:right="-1"/>
        <w:jc w:val="both"/>
        <w:rPr>
          <w:lang w:val="sr-Latn-ME" w:eastAsia="sl-SI"/>
        </w:rPr>
      </w:pPr>
      <w:r w:rsidRPr="00291333">
        <w:rPr>
          <w:u w:val="single"/>
          <w:lang w:val="sr-Latn-ME" w:eastAsia="sl-SI"/>
        </w:rPr>
        <w:t>Prilagođavanje doze kod neželjenih reakcija</w:t>
      </w:r>
      <w:r w:rsidRPr="00291333">
        <w:rPr>
          <w:lang w:val="sr-Latn-ME" w:eastAsia="sl-SI"/>
        </w:rPr>
        <w:t xml:space="preserve"> </w:t>
      </w:r>
    </w:p>
    <w:p w14:paraId="020BAAC0" w14:textId="77777777" w:rsidR="008F7DDB" w:rsidRPr="00291333" w:rsidRDefault="008F7DDB" w:rsidP="008F7DDB">
      <w:pPr>
        <w:widowControl w:val="0"/>
        <w:spacing w:line="240" w:lineRule="auto"/>
        <w:ind w:right="-1"/>
        <w:jc w:val="both"/>
        <w:rPr>
          <w:lang w:val="sr-Latn-ME" w:eastAsia="sl-SI"/>
        </w:rPr>
      </w:pPr>
    </w:p>
    <w:p w14:paraId="14A23BD4" w14:textId="77777777" w:rsidR="008F7DDB" w:rsidRPr="00291333" w:rsidRDefault="008F7DDB" w:rsidP="008F7DDB">
      <w:pPr>
        <w:widowControl w:val="0"/>
        <w:spacing w:line="240" w:lineRule="auto"/>
        <w:ind w:right="-1"/>
        <w:jc w:val="both"/>
        <w:rPr>
          <w:i/>
          <w:lang w:val="sr-Latn-ME" w:eastAsia="sl-SI"/>
        </w:rPr>
      </w:pPr>
      <w:r w:rsidRPr="00291333">
        <w:rPr>
          <w:i/>
          <w:lang w:val="sr-Latn-ME" w:eastAsia="sl-SI"/>
        </w:rPr>
        <w:t>Nehematološke neželjene reakcije</w:t>
      </w:r>
    </w:p>
    <w:p w14:paraId="2EDDF0B6"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Ako se razvije teška nehematološka reakcija kod primjene lijeka Meaxin, terapija se mora prekinuti dok se taj događaj ne razriješi. Nakon toga, terapija se može nastaviti, ukoliko je potrebno, u zavisnosti od početne težine neželjenog događaja. </w:t>
      </w:r>
    </w:p>
    <w:p w14:paraId="1368458B" w14:textId="77777777" w:rsidR="008F7DDB" w:rsidRPr="00291333" w:rsidRDefault="008F7DDB" w:rsidP="008F7DDB">
      <w:pPr>
        <w:widowControl w:val="0"/>
        <w:spacing w:line="240" w:lineRule="auto"/>
        <w:ind w:right="-1"/>
        <w:rPr>
          <w:lang w:val="sr-Latn-ME" w:eastAsia="sl-SI"/>
        </w:rPr>
      </w:pPr>
    </w:p>
    <w:p w14:paraId="2240ADA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Ukoliko dođe do povećanja nivoa bilirubina &gt;3 puta iznad utvrđene gornje granice normalnih vrijednosti (IULN, engl. </w:t>
      </w:r>
      <w:r w:rsidRPr="00291333">
        <w:rPr>
          <w:i/>
          <w:lang w:val="sr-Latn-ME" w:eastAsia="sl-SI"/>
        </w:rPr>
        <w:t>institutional upper limit normal</w:t>
      </w:r>
      <w:r w:rsidRPr="00291333">
        <w:rPr>
          <w:lang w:val="sr-Latn-ME" w:eastAsia="sl-SI"/>
        </w:rPr>
        <w:t>) ili vrijednosti transaminaza jetre &gt;5 x IULN, treba prekinuti primjenu lijeka Meaxin dok se nivoi bilirubina ne vrate na vrijednost ispod 1,5 x IULN vrijednosti, a vrijednosti transaminaza na vrijednost ispod 2,5 x IULN vrijednosti. Tada se liječenje imatinibom može nastaviti uz sniženu dnevnu dozu. Dozu kod odraslih treba smanjiti sa 400 mg na 300 mg ili sa 600 mg na 400 mg, ili s 800 mg na 600 mg, a kod djece sa 340 na 260 mg/m</w:t>
      </w:r>
      <w:r w:rsidRPr="00291333">
        <w:rPr>
          <w:vertAlign w:val="superscript"/>
          <w:lang w:val="sr-Latn-ME" w:eastAsia="sl-SI"/>
        </w:rPr>
        <w:t>2</w:t>
      </w:r>
      <w:r w:rsidRPr="00291333">
        <w:rPr>
          <w:lang w:val="sr-Latn-ME" w:eastAsia="sl-SI"/>
        </w:rPr>
        <w:t>/dan.</w:t>
      </w:r>
    </w:p>
    <w:p w14:paraId="2652B670"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E2DA733" w14:textId="77777777" w:rsidR="008F7DDB" w:rsidRPr="00291333"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 xml:space="preserve">Hematološke neželjene reakcije </w:t>
      </w:r>
    </w:p>
    <w:p w14:paraId="4874386D"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U slučaju teške neutropenije i trombocitopenije preporučuje se smanjivanje doze ili prekid terapije kako je naznačeno u tabeli koja slijedi. </w:t>
      </w:r>
    </w:p>
    <w:p w14:paraId="2DA592D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Prilagođavanje doze kod neutropenije i trombocitopenije:</w:t>
      </w:r>
    </w:p>
    <w:p w14:paraId="43FE91B4" w14:textId="77777777" w:rsidR="008F7DDB" w:rsidRPr="00291333" w:rsidRDefault="008F7DDB" w:rsidP="008F7DDB">
      <w:pPr>
        <w:widowControl w:val="0"/>
        <w:spacing w:line="240" w:lineRule="auto"/>
        <w:ind w:right="-1"/>
        <w:rPr>
          <w:lang w:val="sr-Latn-ME"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4531"/>
      </w:tblGrid>
      <w:tr w:rsidR="008F7DDB" w:rsidRPr="0040712C" w14:paraId="669E85E7"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18287332"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HES/CEL (početna doza 100 mg) </w:t>
            </w:r>
          </w:p>
        </w:tc>
        <w:tc>
          <w:tcPr>
            <w:tcW w:w="1250" w:type="pct"/>
            <w:tcBorders>
              <w:top w:val="single" w:sz="4" w:space="0" w:color="auto"/>
              <w:left w:val="single" w:sz="4" w:space="0" w:color="auto"/>
              <w:bottom w:val="single" w:sz="4" w:space="0" w:color="auto"/>
              <w:right w:val="single" w:sz="4" w:space="0" w:color="auto"/>
            </w:tcBorders>
            <w:hideMark/>
          </w:tcPr>
          <w:p w14:paraId="62D7FF9B" w14:textId="77777777" w:rsidR="008F7DDB" w:rsidRPr="00291333" w:rsidRDefault="008F7DDB" w:rsidP="0040712C">
            <w:pPr>
              <w:widowControl w:val="0"/>
              <w:spacing w:line="240" w:lineRule="auto"/>
              <w:ind w:right="-1"/>
              <w:rPr>
                <w:lang w:val="sr-Latn-ME" w:eastAsia="sl-SI"/>
              </w:rPr>
            </w:pPr>
            <w:r w:rsidRPr="00291333">
              <w:rPr>
                <w:lang w:val="sr-Latn-ME" w:eastAsia="sl-SI"/>
              </w:rPr>
              <w:t>ANC &lt; 1,0 x 10</w:t>
            </w:r>
            <w:r w:rsidRPr="00291333">
              <w:rPr>
                <w:vertAlign w:val="superscript"/>
                <w:lang w:val="sr-Latn-ME" w:eastAsia="sl-SI"/>
              </w:rPr>
              <w:t>9</w:t>
            </w:r>
            <w:r w:rsidRPr="00291333">
              <w:rPr>
                <w:lang w:val="sr-Latn-ME" w:eastAsia="sl-SI"/>
              </w:rPr>
              <w:t>/l</w:t>
            </w:r>
          </w:p>
          <w:p w14:paraId="1375D13A"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50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29E85179" w14:textId="77777777" w:rsidR="008F7DDB" w:rsidRPr="00291333" w:rsidRDefault="008F7DDB" w:rsidP="0040712C">
            <w:pPr>
              <w:widowControl w:val="0"/>
              <w:spacing w:line="240" w:lineRule="auto"/>
              <w:ind w:right="-1"/>
              <w:rPr>
                <w:lang w:val="sr-Latn-ME" w:eastAsia="sl-SI"/>
              </w:rPr>
            </w:pPr>
            <w:r w:rsidRPr="00291333">
              <w:rPr>
                <w:lang w:val="sr-Latn-ME" w:eastAsia="sl-SI"/>
              </w:rPr>
              <w:t>1. Prekinite primjenu imatiniba sve dok ANC ne bude ≥1,5 x 10</w:t>
            </w:r>
            <w:r w:rsidRPr="00291333">
              <w:rPr>
                <w:vertAlign w:val="superscript"/>
                <w:lang w:val="sr-Latn-ME" w:eastAsia="sl-SI"/>
              </w:rPr>
              <w:t>9</w:t>
            </w:r>
            <w:r w:rsidRPr="00291333">
              <w:rPr>
                <w:lang w:val="sr-Latn-ME" w:eastAsia="sl-SI"/>
              </w:rPr>
              <w:t>/l, a trombociti ≥75 x 10</w:t>
            </w:r>
            <w:r w:rsidRPr="00291333">
              <w:rPr>
                <w:vertAlign w:val="superscript"/>
                <w:lang w:val="sr-Latn-ME" w:eastAsia="sl-SI"/>
              </w:rPr>
              <w:t>9</w:t>
            </w:r>
            <w:r w:rsidRPr="00291333">
              <w:rPr>
                <w:lang w:val="sr-Latn-ME" w:eastAsia="sl-SI"/>
              </w:rPr>
              <w:t>/l.</w:t>
            </w:r>
          </w:p>
          <w:p w14:paraId="508A59A9"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2. Ponovno uvedite liječenje imatinibom prethodnom dozom (tj. doza prije pojave teške neželjene reakcije). </w:t>
            </w:r>
          </w:p>
        </w:tc>
      </w:tr>
      <w:tr w:rsidR="008F7DDB" w:rsidRPr="0040712C" w14:paraId="4724596E"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6A83E321"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Hronična faza CML, MDS/MPD i GIST (početna doza 400 mg) HES/CEL (pri dozi od 400 mg) </w:t>
            </w:r>
          </w:p>
        </w:tc>
        <w:tc>
          <w:tcPr>
            <w:tcW w:w="1250" w:type="pct"/>
            <w:tcBorders>
              <w:top w:val="single" w:sz="4" w:space="0" w:color="auto"/>
              <w:left w:val="single" w:sz="4" w:space="0" w:color="auto"/>
              <w:bottom w:val="single" w:sz="4" w:space="0" w:color="auto"/>
              <w:right w:val="single" w:sz="4" w:space="0" w:color="auto"/>
            </w:tcBorders>
            <w:hideMark/>
          </w:tcPr>
          <w:p w14:paraId="60AD5EA0" w14:textId="77777777" w:rsidR="008F7DDB" w:rsidRPr="00291333" w:rsidRDefault="008F7DDB" w:rsidP="0040712C">
            <w:pPr>
              <w:widowControl w:val="0"/>
              <w:spacing w:line="240" w:lineRule="auto"/>
              <w:ind w:right="-1"/>
              <w:rPr>
                <w:lang w:val="sr-Latn-ME" w:eastAsia="sl-SI"/>
              </w:rPr>
            </w:pPr>
            <w:r w:rsidRPr="00291333">
              <w:rPr>
                <w:lang w:val="sr-Latn-ME" w:eastAsia="sl-SI"/>
              </w:rPr>
              <w:t>ANC &lt; 1,0 x 10</w:t>
            </w:r>
            <w:r w:rsidRPr="00291333">
              <w:rPr>
                <w:vertAlign w:val="superscript"/>
                <w:lang w:val="sr-Latn-ME" w:eastAsia="sl-SI"/>
              </w:rPr>
              <w:t>9</w:t>
            </w:r>
            <w:r w:rsidRPr="00291333">
              <w:rPr>
                <w:lang w:val="sr-Latn-ME" w:eastAsia="sl-SI"/>
              </w:rPr>
              <w:t>/l</w:t>
            </w:r>
          </w:p>
          <w:p w14:paraId="761400B4"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50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786BFEC3" w14:textId="77777777" w:rsidR="008F7DDB" w:rsidRPr="00291333" w:rsidRDefault="008F7DDB" w:rsidP="0040712C">
            <w:pPr>
              <w:widowControl w:val="0"/>
              <w:spacing w:line="240" w:lineRule="auto"/>
              <w:ind w:right="-1"/>
              <w:rPr>
                <w:lang w:val="sr-Latn-ME" w:eastAsia="sl-SI"/>
              </w:rPr>
            </w:pPr>
            <w:r w:rsidRPr="00291333">
              <w:rPr>
                <w:lang w:val="sr-Latn-ME" w:eastAsia="sl-SI"/>
              </w:rPr>
              <w:t>1. Prekinite primjenu imatiniba sve dok ANC ne bude ≥1,5 x 10</w:t>
            </w:r>
            <w:r w:rsidRPr="00291333">
              <w:rPr>
                <w:vertAlign w:val="superscript"/>
                <w:lang w:val="sr-Latn-ME" w:eastAsia="sl-SI"/>
              </w:rPr>
              <w:t>9</w:t>
            </w:r>
            <w:r w:rsidRPr="00291333">
              <w:rPr>
                <w:lang w:val="sr-Latn-ME" w:eastAsia="sl-SI"/>
              </w:rPr>
              <w:t>/l, a trombociti ≥75 x 10</w:t>
            </w:r>
            <w:r w:rsidRPr="00291333">
              <w:rPr>
                <w:vertAlign w:val="superscript"/>
                <w:lang w:val="sr-Latn-ME" w:eastAsia="sl-SI"/>
              </w:rPr>
              <w:t>9</w:t>
            </w:r>
            <w:r w:rsidRPr="00291333">
              <w:rPr>
                <w:lang w:val="sr-Latn-ME" w:eastAsia="sl-SI"/>
              </w:rPr>
              <w:t>/l.</w:t>
            </w:r>
          </w:p>
          <w:p w14:paraId="621964F7" w14:textId="77777777" w:rsidR="008F7DDB" w:rsidRPr="00291333" w:rsidRDefault="008F7DDB" w:rsidP="0040712C">
            <w:pPr>
              <w:widowControl w:val="0"/>
              <w:spacing w:line="240" w:lineRule="auto"/>
              <w:ind w:right="-1"/>
              <w:rPr>
                <w:lang w:val="sr-Latn-ME" w:eastAsia="sl-SI"/>
              </w:rPr>
            </w:pPr>
            <w:r w:rsidRPr="00291333">
              <w:rPr>
                <w:lang w:val="sr-Latn-ME" w:eastAsia="sl-SI"/>
              </w:rPr>
              <w:t>2. Ponovno uvedite liječenje imatinibom prethodnom dozom (tj. doza prije pojave teške neželjene reakcije).</w:t>
            </w:r>
          </w:p>
          <w:p w14:paraId="034347C1" w14:textId="77777777" w:rsidR="008F7DDB" w:rsidRPr="00291333" w:rsidRDefault="008F7DDB" w:rsidP="0040712C">
            <w:pPr>
              <w:widowControl w:val="0"/>
              <w:spacing w:line="240" w:lineRule="auto"/>
              <w:ind w:right="-1"/>
              <w:rPr>
                <w:lang w:val="sr-Latn-ME" w:eastAsia="sl-SI"/>
              </w:rPr>
            </w:pPr>
            <w:r w:rsidRPr="00291333">
              <w:rPr>
                <w:lang w:val="sr-Latn-ME" w:eastAsia="sl-SI"/>
              </w:rPr>
              <w:t>3. U slučaju rekurentne ANC &lt; 1,0 x 10</w:t>
            </w:r>
            <w:r w:rsidRPr="00291333">
              <w:rPr>
                <w:vertAlign w:val="superscript"/>
                <w:lang w:val="sr-Latn-ME" w:eastAsia="sl-SI"/>
              </w:rPr>
              <w:t>9</w:t>
            </w:r>
            <w:r w:rsidRPr="00291333">
              <w:rPr>
                <w:lang w:val="sr-Latn-ME" w:eastAsia="sl-SI"/>
              </w:rPr>
              <w:t>/l i/ili trombociti &lt; 50 x 10</w:t>
            </w:r>
            <w:r w:rsidRPr="00291333">
              <w:rPr>
                <w:vertAlign w:val="superscript"/>
                <w:lang w:val="sr-Latn-ME" w:eastAsia="sl-SI"/>
              </w:rPr>
              <w:t>9</w:t>
            </w:r>
            <w:r w:rsidRPr="00291333">
              <w:rPr>
                <w:lang w:val="sr-Latn-ME" w:eastAsia="sl-SI"/>
              </w:rPr>
              <w:t xml:space="preserve">/l, ponovite 1. korak te ponovno uvedite imatinib u smanjenoj dozi od </w:t>
            </w:r>
            <w:r w:rsidRPr="00291333">
              <w:rPr>
                <w:lang w:val="sr-Latn-ME" w:eastAsia="sl-SI"/>
              </w:rPr>
              <w:lastRenderedPageBreak/>
              <w:t xml:space="preserve">300 mg. </w:t>
            </w:r>
          </w:p>
        </w:tc>
      </w:tr>
      <w:tr w:rsidR="008F7DDB" w:rsidRPr="0040712C" w14:paraId="0C2BF4FB"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5887B225" w14:textId="77777777" w:rsidR="008F7DDB" w:rsidRPr="00291333" w:rsidRDefault="008F7DDB" w:rsidP="0040712C">
            <w:pPr>
              <w:widowControl w:val="0"/>
              <w:spacing w:line="240" w:lineRule="auto"/>
              <w:ind w:right="-1"/>
              <w:rPr>
                <w:lang w:val="sr-Latn-ME" w:eastAsia="sl-SI"/>
              </w:rPr>
            </w:pPr>
            <w:r w:rsidRPr="00291333">
              <w:rPr>
                <w:lang w:val="sr-Latn-ME" w:eastAsia="sl-SI"/>
              </w:rPr>
              <w:lastRenderedPageBreak/>
              <w:t>Pedijatrijska hronična faza CML</w:t>
            </w:r>
          </w:p>
          <w:p w14:paraId="68CA1679" w14:textId="77777777" w:rsidR="008F7DDB" w:rsidRPr="00291333" w:rsidRDefault="008F7DDB" w:rsidP="0040712C">
            <w:pPr>
              <w:widowControl w:val="0"/>
              <w:spacing w:line="240" w:lineRule="auto"/>
              <w:ind w:right="-1"/>
              <w:rPr>
                <w:lang w:val="sr-Latn-ME" w:eastAsia="sl-SI"/>
              </w:rPr>
            </w:pPr>
            <w:r w:rsidRPr="00291333">
              <w:rPr>
                <w:lang w:val="sr-Latn-ME" w:eastAsia="sl-SI"/>
              </w:rPr>
              <w:t>(pri dozi od 340 mg/m</w:t>
            </w:r>
            <w:r w:rsidRPr="00291333">
              <w:rPr>
                <w:vertAlign w:val="superscript"/>
                <w:lang w:val="sr-Latn-ME" w:eastAsia="sl-SI"/>
              </w:rPr>
              <w:t>2</w:t>
            </w:r>
            <w:r w:rsidRPr="00291333">
              <w:rPr>
                <w:lang w:val="sr-Latn-ME" w:eastAsia="sl-SI"/>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2BCD026A" w14:textId="77777777" w:rsidR="008F7DDB" w:rsidRPr="00291333" w:rsidRDefault="008F7DDB" w:rsidP="0040712C">
            <w:pPr>
              <w:widowControl w:val="0"/>
              <w:spacing w:line="240" w:lineRule="auto"/>
              <w:ind w:right="-1"/>
              <w:rPr>
                <w:lang w:val="sr-Latn-ME" w:eastAsia="sl-SI"/>
              </w:rPr>
            </w:pPr>
            <w:r w:rsidRPr="00291333">
              <w:rPr>
                <w:lang w:val="sr-Latn-ME" w:eastAsia="sl-SI"/>
              </w:rPr>
              <w:t>ANC &lt; 1,0 x 10</w:t>
            </w:r>
            <w:r w:rsidRPr="00291333">
              <w:rPr>
                <w:vertAlign w:val="superscript"/>
                <w:lang w:val="sr-Latn-ME" w:eastAsia="sl-SI"/>
              </w:rPr>
              <w:t>9</w:t>
            </w:r>
            <w:r w:rsidRPr="00291333">
              <w:rPr>
                <w:lang w:val="sr-Latn-ME" w:eastAsia="sl-SI"/>
              </w:rPr>
              <w:t>/l</w:t>
            </w:r>
          </w:p>
          <w:p w14:paraId="72E269E8"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50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7305DB78" w14:textId="77777777" w:rsidR="008F7DDB" w:rsidRPr="00291333" w:rsidRDefault="008F7DDB" w:rsidP="0040712C">
            <w:pPr>
              <w:widowControl w:val="0"/>
              <w:spacing w:line="240" w:lineRule="auto"/>
              <w:ind w:right="-1"/>
              <w:rPr>
                <w:lang w:val="sr-Latn-ME" w:eastAsia="sl-SI"/>
              </w:rPr>
            </w:pPr>
            <w:r w:rsidRPr="00291333">
              <w:rPr>
                <w:lang w:val="sr-Latn-ME" w:eastAsia="sl-SI"/>
              </w:rPr>
              <w:t>1. Prekinite primjenu imatiniba sve dok ANC ne bude ≥1,5 x 10</w:t>
            </w:r>
            <w:r w:rsidRPr="00291333">
              <w:rPr>
                <w:vertAlign w:val="superscript"/>
                <w:lang w:val="sr-Latn-ME" w:eastAsia="sl-SI"/>
              </w:rPr>
              <w:t>9</w:t>
            </w:r>
            <w:r w:rsidRPr="00291333">
              <w:rPr>
                <w:lang w:val="sr-Latn-ME" w:eastAsia="sl-SI"/>
              </w:rPr>
              <w:t>/l, a trombociti ≥75 x 10</w:t>
            </w:r>
            <w:r w:rsidRPr="00291333">
              <w:rPr>
                <w:vertAlign w:val="superscript"/>
                <w:lang w:val="sr-Latn-ME" w:eastAsia="sl-SI"/>
              </w:rPr>
              <w:t>9</w:t>
            </w:r>
            <w:r w:rsidRPr="00291333">
              <w:rPr>
                <w:lang w:val="sr-Latn-ME" w:eastAsia="sl-SI"/>
              </w:rPr>
              <w:t>/l.</w:t>
            </w:r>
          </w:p>
          <w:p w14:paraId="42C183E7" w14:textId="77777777" w:rsidR="008F7DDB" w:rsidRPr="00291333" w:rsidRDefault="008F7DDB" w:rsidP="0040712C">
            <w:pPr>
              <w:widowControl w:val="0"/>
              <w:spacing w:line="240" w:lineRule="auto"/>
              <w:ind w:right="-1"/>
              <w:rPr>
                <w:lang w:val="sr-Latn-ME" w:eastAsia="sl-SI"/>
              </w:rPr>
            </w:pPr>
            <w:r w:rsidRPr="00291333">
              <w:rPr>
                <w:lang w:val="sr-Latn-ME" w:eastAsia="sl-SI"/>
              </w:rPr>
              <w:t>2. Ponovno uvedite liječenje imatinibom prethodnom dozom (tj. doza prije pojave teške neželjene reakcije).</w:t>
            </w:r>
          </w:p>
          <w:p w14:paraId="14EE11C2" w14:textId="77777777" w:rsidR="008F7DDB" w:rsidRPr="00291333" w:rsidRDefault="008F7DDB" w:rsidP="0040712C">
            <w:pPr>
              <w:widowControl w:val="0"/>
              <w:spacing w:line="240" w:lineRule="auto"/>
              <w:ind w:right="-1"/>
              <w:rPr>
                <w:lang w:val="sr-Latn-ME" w:eastAsia="sl-SI"/>
              </w:rPr>
            </w:pPr>
            <w:r w:rsidRPr="00291333">
              <w:rPr>
                <w:lang w:val="sr-Latn-ME" w:eastAsia="sl-SI"/>
              </w:rPr>
              <w:t>3. U slučaju da ANC opet bude &lt; 1.0 x10</w:t>
            </w:r>
            <w:r w:rsidRPr="00291333">
              <w:rPr>
                <w:vertAlign w:val="superscript"/>
                <w:lang w:val="sr-Latn-ME" w:eastAsia="sl-SI"/>
              </w:rPr>
              <w:t>9</w:t>
            </w:r>
            <w:r w:rsidRPr="00291333">
              <w:rPr>
                <w:lang w:val="sr-Latn-ME" w:eastAsia="sl-SI"/>
              </w:rPr>
              <w:t>/l i/ili trombociti &lt; 50 x10</w:t>
            </w:r>
            <w:r w:rsidRPr="00291333">
              <w:rPr>
                <w:vertAlign w:val="superscript"/>
                <w:lang w:val="sr-Latn-ME" w:eastAsia="sl-SI"/>
              </w:rPr>
              <w:t>9</w:t>
            </w:r>
            <w:r w:rsidRPr="00291333">
              <w:rPr>
                <w:lang w:val="sr-Latn-ME" w:eastAsia="sl-SI"/>
              </w:rPr>
              <w:t>/l, ponovite 1. korak te ponovno uvedite imatinib u smanjenoj dozi od 260 mg/m</w:t>
            </w:r>
            <w:r w:rsidRPr="00291333">
              <w:rPr>
                <w:vertAlign w:val="superscript"/>
                <w:lang w:val="sr-Latn-ME" w:eastAsia="sl-SI"/>
              </w:rPr>
              <w:t>2</w:t>
            </w:r>
            <w:r w:rsidRPr="00291333">
              <w:rPr>
                <w:lang w:val="sr-Latn-ME" w:eastAsia="sl-SI"/>
              </w:rPr>
              <w:t xml:space="preserve">. </w:t>
            </w:r>
          </w:p>
        </w:tc>
      </w:tr>
      <w:tr w:rsidR="008F7DDB" w:rsidRPr="00C86919" w14:paraId="3888D35A"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0D61E8D3"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Ubrzana faza CML i blastna kriza CML te kod Ph+ ALL (početna doza je 600 mg) </w:t>
            </w:r>
          </w:p>
        </w:tc>
        <w:tc>
          <w:tcPr>
            <w:tcW w:w="1250" w:type="pct"/>
            <w:tcBorders>
              <w:top w:val="single" w:sz="4" w:space="0" w:color="auto"/>
              <w:left w:val="single" w:sz="4" w:space="0" w:color="auto"/>
              <w:bottom w:val="single" w:sz="4" w:space="0" w:color="auto"/>
              <w:right w:val="single" w:sz="4" w:space="0" w:color="auto"/>
            </w:tcBorders>
            <w:hideMark/>
          </w:tcPr>
          <w:p w14:paraId="002D9D81" w14:textId="77777777" w:rsidR="008F7DDB" w:rsidRPr="00291333" w:rsidRDefault="008F7DDB" w:rsidP="0040712C">
            <w:pPr>
              <w:widowControl w:val="0"/>
              <w:spacing w:line="240" w:lineRule="auto"/>
              <w:ind w:right="-1"/>
              <w:rPr>
                <w:lang w:val="sr-Latn-ME" w:eastAsia="sl-SI"/>
              </w:rPr>
            </w:pPr>
            <w:r w:rsidRPr="00291333">
              <w:rPr>
                <w:vertAlign w:val="superscript"/>
                <w:lang w:val="sr-Latn-ME" w:eastAsia="sl-SI"/>
              </w:rPr>
              <w:t>a</w:t>
            </w:r>
            <w:r w:rsidRPr="00291333">
              <w:rPr>
                <w:lang w:val="sr-Latn-ME" w:eastAsia="sl-SI"/>
              </w:rPr>
              <w:t>ANC &lt; 0,5 x 10</w:t>
            </w:r>
            <w:r w:rsidRPr="00291333">
              <w:rPr>
                <w:vertAlign w:val="superscript"/>
                <w:lang w:val="sr-Latn-ME" w:eastAsia="sl-SI"/>
              </w:rPr>
              <w:t>9</w:t>
            </w:r>
            <w:r w:rsidRPr="00291333">
              <w:rPr>
                <w:lang w:val="sr-Latn-ME" w:eastAsia="sl-SI"/>
              </w:rPr>
              <w:t>/l</w:t>
            </w:r>
          </w:p>
          <w:p w14:paraId="71000FD6"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10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2A6C8ADE" w14:textId="77777777" w:rsidR="008F7DDB" w:rsidRPr="00291333" w:rsidRDefault="008F7DDB" w:rsidP="0040712C">
            <w:pPr>
              <w:widowControl w:val="0"/>
              <w:spacing w:line="240" w:lineRule="auto"/>
              <w:ind w:right="-1"/>
              <w:rPr>
                <w:lang w:val="sr-Latn-ME" w:eastAsia="sl-SI"/>
              </w:rPr>
            </w:pPr>
            <w:r w:rsidRPr="00291333">
              <w:rPr>
                <w:lang w:val="sr-Latn-ME" w:eastAsia="sl-SI"/>
              </w:rPr>
              <w:t>1. Provjerite da li je citopenija povezana sa leukemijom (aspiratom ili biopsijom koštane srži).</w:t>
            </w:r>
          </w:p>
          <w:p w14:paraId="21182DC2" w14:textId="77777777" w:rsidR="008F7DDB" w:rsidRPr="00291333" w:rsidRDefault="008F7DDB" w:rsidP="0040712C">
            <w:pPr>
              <w:widowControl w:val="0"/>
              <w:spacing w:line="240" w:lineRule="auto"/>
              <w:ind w:right="-1"/>
              <w:rPr>
                <w:lang w:val="sr-Latn-ME" w:eastAsia="sl-SI"/>
              </w:rPr>
            </w:pPr>
            <w:r w:rsidRPr="00291333">
              <w:rPr>
                <w:lang w:val="sr-Latn-ME" w:eastAsia="sl-SI"/>
              </w:rPr>
              <w:t>2. Ako citopenija nije povezana s leukemijom, smanjite dozu imatiniba na 400 mg.</w:t>
            </w:r>
          </w:p>
          <w:p w14:paraId="37A02D6A" w14:textId="77777777" w:rsidR="008F7DDB" w:rsidRPr="00291333" w:rsidRDefault="008F7DDB" w:rsidP="0040712C">
            <w:pPr>
              <w:widowControl w:val="0"/>
              <w:spacing w:line="240" w:lineRule="auto"/>
              <w:ind w:right="-1"/>
              <w:rPr>
                <w:lang w:val="sr-Latn-ME" w:eastAsia="sl-SI"/>
              </w:rPr>
            </w:pPr>
            <w:r w:rsidRPr="00291333">
              <w:rPr>
                <w:lang w:val="sr-Latn-ME" w:eastAsia="sl-SI"/>
              </w:rPr>
              <w:t>3. Ako citopenija perzistira 2 sedmice, dodatno smanjite na 300 mg.</w:t>
            </w:r>
          </w:p>
          <w:p w14:paraId="16FB0F5B" w14:textId="77777777" w:rsidR="008F7DDB" w:rsidRPr="00291333" w:rsidRDefault="008F7DDB" w:rsidP="0040712C">
            <w:pPr>
              <w:widowControl w:val="0"/>
              <w:spacing w:line="240" w:lineRule="auto"/>
              <w:ind w:right="-1"/>
              <w:rPr>
                <w:lang w:val="sr-Latn-ME" w:eastAsia="sl-SI"/>
              </w:rPr>
            </w:pPr>
            <w:r w:rsidRPr="00291333">
              <w:rPr>
                <w:lang w:val="sr-Latn-ME" w:eastAsia="sl-SI"/>
              </w:rPr>
              <w:t>4. Ako citopenija perzistira 4 sedmice te i dalje nije povezana s leukemijom, prekinite primjenu imatiniba sve dok ANC ne bude ≥1 x 10</w:t>
            </w:r>
            <w:r w:rsidRPr="00291333">
              <w:rPr>
                <w:vertAlign w:val="superscript"/>
                <w:lang w:val="sr-Latn-ME" w:eastAsia="sl-SI"/>
              </w:rPr>
              <w:t>9</w:t>
            </w:r>
            <w:r w:rsidRPr="00291333">
              <w:rPr>
                <w:lang w:val="sr-Latn-ME" w:eastAsia="sl-SI"/>
              </w:rPr>
              <w:t>/l, a trombociti ≥20 x 10</w:t>
            </w:r>
            <w:r w:rsidRPr="00291333">
              <w:rPr>
                <w:vertAlign w:val="superscript"/>
                <w:lang w:val="sr-Latn-ME" w:eastAsia="sl-SI"/>
              </w:rPr>
              <w:t>9</w:t>
            </w:r>
            <w:r w:rsidRPr="00291333">
              <w:rPr>
                <w:lang w:val="sr-Latn-ME" w:eastAsia="sl-SI"/>
              </w:rPr>
              <w:t xml:space="preserve">/l i tek potom nastavite liječenje u dozi od 300 mg. </w:t>
            </w:r>
          </w:p>
        </w:tc>
      </w:tr>
      <w:tr w:rsidR="008F7DDB" w:rsidRPr="00C86919" w14:paraId="08BD0B45"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7420ED7F" w14:textId="77777777" w:rsidR="008F7DDB" w:rsidRPr="00291333" w:rsidRDefault="008F7DDB" w:rsidP="0040712C">
            <w:pPr>
              <w:widowControl w:val="0"/>
              <w:spacing w:line="240" w:lineRule="auto"/>
              <w:ind w:right="-1"/>
              <w:rPr>
                <w:lang w:val="sr-Latn-ME" w:eastAsia="sl-SI"/>
              </w:rPr>
            </w:pPr>
            <w:r w:rsidRPr="00291333">
              <w:rPr>
                <w:lang w:val="sr-Latn-ME" w:eastAsia="sl-SI"/>
              </w:rPr>
              <w:t>Pedijatrijska ubrzana faza CML i blastna kriza (početna doza 340 mg/m</w:t>
            </w:r>
            <w:r w:rsidRPr="00291333">
              <w:rPr>
                <w:vertAlign w:val="superscript"/>
                <w:lang w:val="sr-Latn-ME" w:eastAsia="sl-SI"/>
              </w:rPr>
              <w:t>2</w:t>
            </w:r>
            <w:r w:rsidRPr="00291333">
              <w:rPr>
                <w:lang w:val="sr-Latn-ME" w:eastAsia="sl-SI"/>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2E441E1E" w14:textId="77777777" w:rsidR="008F7DDB" w:rsidRPr="00291333" w:rsidRDefault="008F7DDB" w:rsidP="0040712C">
            <w:pPr>
              <w:widowControl w:val="0"/>
              <w:spacing w:line="240" w:lineRule="auto"/>
              <w:ind w:right="-1"/>
              <w:rPr>
                <w:lang w:val="sr-Latn-ME" w:eastAsia="sl-SI"/>
              </w:rPr>
            </w:pPr>
            <w:r w:rsidRPr="00291333">
              <w:rPr>
                <w:vertAlign w:val="superscript"/>
                <w:lang w:val="sr-Latn-ME" w:eastAsia="sl-SI"/>
              </w:rPr>
              <w:t>a</w:t>
            </w:r>
            <w:r w:rsidRPr="00291333">
              <w:rPr>
                <w:lang w:val="sr-Latn-ME" w:eastAsia="sl-SI"/>
              </w:rPr>
              <w:t>ANC &lt; 0,5 x 10</w:t>
            </w:r>
            <w:r w:rsidRPr="00291333">
              <w:rPr>
                <w:vertAlign w:val="superscript"/>
                <w:lang w:val="sr-Latn-ME" w:eastAsia="sl-SI"/>
              </w:rPr>
              <w:t>9</w:t>
            </w:r>
            <w:r w:rsidRPr="00291333">
              <w:rPr>
                <w:lang w:val="sr-Latn-ME" w:eastAsia="sl-SI"/>
              </w:rPr>
              <w:t>/l</w:t>
            </w:r>
          </w:p>
          <w:p w14:paraId="06443DD8"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10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03052BE3" w14:textId="77777777" w:rsidR="008F7DDB" w:rsidRPr="00291333" w:rsidRDefault="008F7DDB" w:rsidP="0040712C">
            <w:pPr>
              <w:widowControl w:val="0"/>
              <w:spacing w:line="240" w:lineRule="auto"/>
              <w:ind w:right="-1"/>
              <w:rPr>
                <w:lang w:val="sr-Latn-ME" w:eastAsia="sl-SI"/>
              </w:rPr>
            </w:pPr>
            <w:r w:rsidRPr="00291333">
              <w:rPr>
                <w:lang w:val="sr-Latn-ME" w:eastAsia="sl-SI"/>
              </w:rPr>
              <w:t>1. Provjerite da li je citopenija povezana sa leukemijom (aspiratom ili biopsijom koštane srži).</w:t>
            </w:r>
          </w:p>
          <w:p w14:paraId="78716194" w14:textId="77777777" w:rsidR="008F7DDB" w:rsidRPr="00291333" w:rsidRDefault="008F7DDB" w:rsidP="0040712C">
            <w:pPr>
              <w:widowControl w:val="0"/>
              <w:spacing w:line="240" w:lineRule="auto"/>
              <w:ind w:right="-1"/>
              <w:rPr>
                <w:lang w:val="sr-Latn-ME" w:eastAsia="sl-SI"/>
              </w:rPr>
            </w:pPr>
            <w:r w:rsidRPr="00291333">
              <w:rPr>
                <w:lang w:val="sr-Latn-ME" w:eastAsia="sl-SI"/>
              </w:rPr>
              <w:t>2. Ako citopenija nije povezana s leukemijom, smanjite dozu imatiniba na 260 mg/m</w:t>
            </w:r>
            <w:r w:rsidRPr="00291333">
              <w:rPr>
                <w:vertAlign w:val="superscript"/>
                <w:lang w:val="sr-Latn-ME" w:eastAsia="sl-SI"/>
              </w:rPr>
              <w:t>2</w:t>
            </w:r>
            <w:r w:rsidRPr="00291333">
              <w:rPr>
                <w:lang w:val="sr-Latn-ME" w:eastAsia="sl-SI"/>
              </w:rPr>
              <w:t>.</w:t>
            </w:r>
          </w:p>
          <w:p w14:paraId="30B95ADD" w14:textId="77777777" w:rsidR="008F7DDB" w:rsidRPr="00291333" w:rsidRDefault="008F7DDB" w:rsidP="0040712C">
            <w:pPr>
              <w:widowControl w:val="0"/>
              <w:spacing w:line="240" w:lineRule="auto"/>
              <w:ind w:right="-1"/>
              <w:rPr>
                <w:lang w:val="sr-Latn-ME" w:eastAsia="sl-SI"/>
              </w:rPr>
            </w:pPr>
            <w:r w:rsidRPr="00291333">
              <w:rPr>
                <w:lang w:val="sr-Latn-ME" w:eastAsia="sl-SI"/>
              </w:rPr>
              <w:t>3. Ako citopenija perzistira 2 sedmice, dodatno smanjite na 200 mg/m</w:t>
            </w:r>
            <w:r w:rsidRPr="00291333">
              <w:rPr>
                <w:vertAlign w:val="superscript"/>
                <w:lang w:val="sr-Latn-ME" w:eastAsia="sl-SI"/>
              </w:rPr>
              <w:t>2</w:t>
            </w:r>
            <w:r w:rsidRPr="00291333">
              <w:rPr>
                <w:lang w:val="sr-Latn-ME" w:eastAsia="sl-SI"/>
              </w:rPr>
              <w:t>.</w:t>
            </w:r>
          </w:p>
          <w:p w14:paraId="51DF90A6" w14:textId="77777777" w:rsidR="008F7DDB" w:rsidRPr="00291333" w:rsidRDefault="008F7DDB" w:rsidP="0040712C">
            <w:pPr>
              <w:widowControl w:val="0"/>
              <w:spacing w:line="240" w:lineRule="auto"/>
              <w:ind w:right="-1"/>
              <w:rPr>
                <w:lang w:val="sr-Latn-ME" w:eastAsia="sl-SI"/>
              </w:rPr>
            </w:pPr>
            <w:r w:rsidRPr="00291333">
              <w:rPr>
                <w:lang w:val="sr-Latn-ME" w:eastAsia="sl-SI"/>
              </w:rPr>
              <w:t>4. Ako citopenija perzistira 4 sedmice te i dalje nije povezana s leukemijom, prekinite primjenu imatiniba sve dok ANC ne bude ≥1 x 10</w:t>
            </w:r>
            <w:r w:rsidRPr="00291333">
              <w:rPr>
                <w:vertAlign w:val="superscript"/>
                <w:lang w:val="sr-Latn-ME" w:eastAsia="sl-SI"/>
              </w:rPr>
              <w:t>9</w:t>
            </w:r>
            <w:r w:rsidRPr="00291333">
              <w:rPr>
                <w:lang w:val="sr-Latn-ME" w:eastAsia="sl-SI"/>
              </w:rPr>
              <w:t>/l, a trombociti ≥20 x 10</w:t>
            </w:r>
            <w:r w:rsidRPr="00291333">
              <w:rPr>
                <w:vertAlign w:val="superscript"/>
                <w:lang w:val="sr-Latn-ME" w:eastAsia="sl-SI"/>
              </w:rPr>
              <w:t>9</w:t>
            </w:r>
            <w:r w:rsidRPr="00291333">
              <w:rPr>
                <w:lang w:val="sr-Latn-ME" w:eastAsia="sl-SI"/>
              </w:rPr>
              <w:t>/l, i tek potom nastavite  liječenje u dozi od 200 mg/m</w:t>
            </w:r>
            <w:r w:rsidRPr="00291333">
              <w:rPr>
                <w:vertAlign w:val="superscript"/>
                <w:lang w:val="sr-Latn-ME" w:eastAsia="sl-SI"/>
              </w:rPr>
              <w:t>2</w:t>
            </w:r>
            <w:r w:rsidRPr="00291333">
              <w:rPr>
                <w:lang w:val="sr-Latn-ME" w:eastAsia="sl-SI"/>
              </w:rPr>
              <w:t xml:space="preserve">. </w:t>
            </w:r>
          </w:p>
        </w:tc>
      </w:tr>
      <w:tr w:rsidR="008F7DDB" w:rsidRPr="0040712C" w14:paraId="63647511" w14:textId="77777777" w:rsidTr="0040712C">
        <w:tc>
          <w:tcPr>
            <w:tcW w:w="1250" w:type="pct"/>
            <w:tcBorders>
              <w:top w:val="single" w:sz="4" w:space="0" w:color="auto"/>
              <w:left w:val="single" w:sz="4" w:space="0" w:color="auto"/>
              <w:bottom w:val="single" w:sz="4" w:space="0" w:color="auto"/>
              <w:right w:val="single" w:sz="4" w:space="0" w:color="auto"/>
            </w:tcBorders>
            <w:hideMark/>
          </w:tcPr>
          <w:p w14:paraId="57661D2C" w14:textId="77777777" w:rsidR="008F7DDB" w:rsidRPr="00291333" w:rsidRDefault="008F7DDB" w:rsidP="0040712C">
            <w:pPr>
              <w:widowControl w:val="0"/>
              <w:spacing w:line="240" w:lineRule="auto"/>
              <w:ind w:right="-1"/>
              <w:rPr>
                <w:lang w:val="sr-Latn-ME" w:eastAsia="sl-SI"/>
              </w:rPr>
            </w:pPr>
            <w:r w:rsidRPr="00291333">
              <w:rPr>
                <w:lang w:val="sr-Latn-ME" w:eastAsia="sl-SI"/>
              </w:rPr>
              <w:t>DFSP</w:t>
            </w:r>
          </w:p>
          <w:p w14:paraId="037A094A"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(pri dozi od 800 mg) </w:t>
            </w:r>
          </w:p>
        </w:tc>
        <w:tc>
          <w:tcPr>
            <w:tcW w:w="1250" w:type="pct"/>
            <w:tcBorders>
              <w:top w:val="single" w:sz="4" w:space="0" w:color="auto"/>
              <w:left w:val="single" w:sz="4" w:space="0" w:color="auto"/>
              <w:bottom w:val="single" w:sz="4" w:space="0" w:color="auto"/>
              <w:right w:val="single" w:sz="4" w:space="0" w:color="auto"/>
            </w:tcBorders>
            <w:hideMark/>
          </w:tcPr>
          <w:p w14:paraId="7BC3095C" w14:textId="77777777" w:rsidR="008F7DDB" w:rsidRPr="00291333" w:rsidRDefault="008F7DDB" w:rsidP="0040712C">
            <w:pPr>
              <w:widowControl w:val="0"/>
              <w:spacing w:line="240" w:lineRule="auto"/>
              <w:ind w:right="-1"/>
              <w:rPr>
                <w:lang w:val="sr-Latn-ME" w:eastAsia="sl-SI"/>
              </w:rPr>
            </w:pPr>
            <w:r w:rsidRPr="00291333">
              <w:rPr>
                <w:lang w:val="sr-Latn-ME" w:eastAsia="sl-SI"/>
              </w:rPr>
              <w:t>ANC &lt; 1.0 x 10</w:t>
            </w:r>
            <w:r w:rsidRPr="00291333">
              <w:rPr>
                <w:vertAlign w:val="superscript"/>
                <w:lang w:val="sr-Latn-ME" w:eastAsia="sl-SI"/>
              </w:rPr>
              <w:t>9</w:t>
            </w:r>
            <w:r w:rsidRPr="00291333">
              <w:rPr>
                <w:lang w:val="sr-Latn-ME" w:eastAsia="sl-SI"/>
              </w:rPr>
              <w:t>/l</w:t>
            </w:r>
          </w:p>
          <w:p w14:paraId="044B1872" w14:textId="77777777" w:rsidR="008F7DDB" w:rsidRPr="00291333" w:rsidRDefault="008F7DDB" w:rsidP="0040712C">
            <w:pPr>
              <w:widowControl w:val="0"/>
              <w:spacing w:line="240" w:lineRule="auto"/>
              <w:ind w:right="-1"/>
              <w:rPr>
                <w:lang w:val="sr-Latn-ME" w:eastAsia="sl-SI"/>
              </w:rPr>
            </w:pPr>
            <w:r w:rsidRPr="00291333">
              <w:rPr>
                <w:lang w:val="sr-Latn-ME" w:eastAsia="sl-SI"/>
              </w:rPr>
              <w:t>i/ili trombociti &lt; 50 x 10</w:t>
            </w:r>
            <w:r w:rsidRPr="00291333">
              <w:rPr>
                <w:vertAlign w:val="superscript"/>
                <w:lang w:val="sr-Latn-ME" w:eastAsia="sl-SI"/>
              </w:rPr>
              <w:t>9</w:t>
            </w:r>
            <w:r w:rsidRPr="00291333">
              <w:rPr>
                <w:lang w:val="sr-Latn-ME" w:eastAsia="sl-SI"/>
              </w:rPr>
              <w:t xml:space="preserve">/l </w:t>
            </w:r>
          </w:p>
        </w:tc>
        <w:tc>
          <w:tcPr>
            <w:tcW w:w="2500" w:type="pct"/>
            <w:tcBorders>
              <w:top w:val="single" w:sz="4" w:space="0" w:color="auto"/>
              <w:left w:val="single" w:sz="4" w:space="0" w:color="auto"/>
              <w:bottom w:val="single" w:sz="4" w:space="0" w:color="auto"/>
              <w:right w:val="single" w:sz="4" w:space="0" w:color="auto"/>
            </w:tcBorders>
            <w:hideMark/>
          </w:tcPr>
          <w:p w14:paraId="4FF57101" w14:textId="77777777" w:rsidR="008F7DDB" w:rsidRPr="00291333" w:rsidRDefault="008F7DDB" w:rsidP="0040712C">
            <w:pPr>
              <w:widowControl w:val="0"/>
              <w:spacing w:line="240" w:lineRule="auto"/>
              <w:ind w:right="-1"/>
              <w:rPr>
                <w:lang w:val="sr-Latn-ME" w:eastAsia="sl-SI"/>
              </w:rPr>
            </w:pPr>
            <w:r w:rsidRPr="00291333">
              <w:rPr>
                <w:lang w:val="sr-Latn-ME" w:eastAsia="sl-SI"/>
              </w:rPr>
              <w:t>1. Prekinite primjenu imatiniba sve dok ANC ne bude ≥1.5 x 10</w:t>
            </w:r>
            <w:r w:rsidRPr="00291333">
              <w:rPr>
                <w:vertAlign w:val="superscript"/>
                <w:lang w:val="sr-Latn-ME" w:eastAsia="sl-SI"/>
              </w:rPr>
              <w:t>9</w:t>
            </w:r>
            <w:r w:rsidRPr="00291333">
              <w:rPr>
                <w:lang w:val="sr-Latn-ME" w:eastAsia="sl-SI"/>
              </w:rPr>
              <w:t>/l, a trombociti ≥75 x 10</w:t>
            </w:r>
            <w:r w:rsidRPr="00291333">
              <w:rPr>
                <w:vertAlign w:val="superscript"/>
                <w:lang w:val="sr-Latn-ME" w:eastAsia="sl-SI"/>
              </w:rPr>
              <w:t>9</w:t>
            </w:r>
            <w:r w:rsidRPr="00291333">
              <w:rPr>
                <w:lang w:val="sr-Latn-ME" w:eastAsia="sl-SI"/>
              </w:rPr>
              <w:t>/l.</w:t>
            </w:r>
          </w:p>
          <w:p w14:paraId="15FD17EC" w14:textId="77777777" w:rsidR="008F7DDB" w:rsidRPr="00291333" w:rsidRDefault="008F7DDB" w:rsidP="0040712C">
            <w:pPr>
              <w:widowControl w:val="0"/>
              <w:spacing w:line="240" w:lineRule="auto"/>
              <w:ind w:right="-1"/>
              <w:rPr>
                <w:lang w:val="sr-Latn-ME" w:eastAsia="sl-SI"/>
              </w:rPr>
            </w:pPr>
            <w:r w:rsidRPr="00291333">
              <w:rPr>
                <w:lang w:val="sr-Latn-ME" w:eastAsia="sl-SI"/>
              </w:rPr>
              <w:t>2. Ponovno uvedite liječenje imatinibom u dozi od 600 mg.</w:t>
            </w:r>
          </w:p>
          <w:p w14:paraId="298B6312" w14:textId="77777777" w:rsidR="008F7DDB" w:rsidRPr="00291333" w:rsidRDefault="008F7DDB" w:rsidP="0040712C">
            <w:pPr>
              <w:widowControl w:val="0"/>
              <w:spacing w:line="240" w:lineRule="auto"/>
              <w:ind w:right="-1"/>
              <w:rPr>
                <w:lang w:val="sr-Latn-ME" w:eastAsia="sl-SI"/>
              </w:rPr>
            </w:pPr>
            <w:r w:rsidRPr="00291333">
              <w:rPr>
                <w:lang w:val="sr-Latn-ME" w:eastAsia="sl-SI"/>
              </w:rPr>
              <w:t>3. U slučaju da ANC opet bude &lt; 1.0 x 10</w:t>
            </w:r>
            <w:r w:rsidRPr="00291333">
              <w:rPr>
                <w:vertAlign w:val="superscript"/>
                <w:lang w:val="sr-Latn-ME" w:eastAsia="sl-SI"/>
              </w:rPr>
              <w:t>9</w:t>
            </w:r>
            <w:r w:rsidRPr="00291333">
              <w:rPr>
                <w:lang w:val="sr-Latn-ME" w:eastAsia="sl-SI"/>
              </w:rPr>
              <w:t>/l i/ili trombociti &lt; 50 x 10</w:t>
            </w:r>
            <w:r w:rsidRPr="00291333">
              <w:rPr>
                <w:vertAlign w:val="superscript"/>
                <w:lang w:val="sr-Latn-ME" w:eastAsia="sl-SI"/>
              </w:rPr>
              <w:t>9</w:t>
            </w:r>
            <w:r w:rsidRPr="00291333">
              <w:rPr>
                <w:lang w:val="sr-Latn-ME" w:eastAsia="sl-SI"/>
              </w:rPr>
              <w:t xml:space="preserve">/l, ponovite 1. korak te ponovno uvedite imatinib u smanjenoj dozi od 400 mg. </w:t>
            </w:r>
          </w:p>
        </w:tc>
      </w:tr>
      <w:tr w:rsidR="008F7DDB" w:rsidRPr="0040712C" w14:paraId="2CCABDC5" w14:textId="77777777" w:rsidTr="0040712C">
        <w:tc>
          <w:tcPr>
            <w:tcW w:w="5000" w:type="pct"/>
            <w:gridSpan w:val="3"/>
            <w:tcBorders>
              <w:top w:val="single" w:sz="4" w:space="0" w:color="auto"/>
              <w:left w:val="single" w:sz="4" w:space="0" w:color="auto"/>
              <w:bottom w:val="single" w:sz="4" w:space="0" w:color="auto"/>
              <w:right w:val="single" w:sz="4" w:space="0" w:color="auto"/>
            </w:tcBorders>
            <w:hideMark/>
          </w:tcPr>
          <w:p w14:paraId="1FEBEA9D"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ANC = apsolutni broj neutrofila </w:t>
            </w:r>
            <w:r w:rsidRPr="00291333">
              <w:rPr>
                <w:i/>
                <w:lang w:val="sr-Latn-ME" w:eastAsia="sl-SI"/>
              </w:rPr>
              <w:t>(engl. absolute neutrophil count</w:t>
            </w:r>
            <w:r w:rsidRPr="00291333">
              <w:rPr>
                <w:lang w:val="sr-Latn-ME" w:eastAsia="sl-SI"/>
              </w:rPr>
              <w:t>)</w:t>
            </w:r>
          </w:p>
          <w:p w14:paraId="38944FEB" w14:textId="77777777" w:rsidR="008F7DDB" w:rsidRPr="00291333" w:rsidRDefault="008F7DDB" w:rsidP="0040712C">
            <w:pPr>
              <w:widowControl w:val="0"/>
              <w:spacing w:line="240" w:lineRule="auto"/>
              <w:ind w:right="-1"/>
              <w:rPr>
                <w:lang w:val="sr-Latn-ME" w:eastAsia="sl-SI"/>
              </w:rPr>
            </w:pPr>
            <w:r w:rsidRPr="00291333">
              <w:rPr>
                <w:vertAlign w:val="superscript"/>
                <w:lang w:val="sr-Latn-ME" w:eastAsia="sl-SI"/>
              </w:rPr>
              <w:t xml:space="preserve">a </w:t>
            </w:r>
            <w:r w:rsidRPr="00291333">
              <w:rPr>
                <w:lang w:val="sr-Latn-ME" w:eastAsia="sl-SI"/>
              </w:rPr>
              <w:t>nastupa nakon najmanje jednog mjeseca liječenja</w:t>
            </w:r>
          </w:p>
        </w:tc>
      </w:tr>
    </w:tbl>
    <w:p w14:paraId="78DEE868" w14:textId="77777777" w:rsidR="008F7DDB" w:rsidRPr="00291333" w:rsidRDefault="008F7DDB" w:rsidP="008F7DDB">
      <w:pPr>
        <w:widowControl w:val="0"/>
        <w:spacing w:line="240" w:lineRule="auto"/>
        <w:ind w:right="-1"/>
        <w:rPr>
          <w:lang w:val="sr-Latn-ME" w:eastAsia="sl-SI"/>
        </w:rPr>
      </w:pPr>
    </w:p>
    <w:p w14:paraId="1A86E6AE" w14:textId="77777777" w:rsidR="008F7DDB" w:rsidRPr="00291333" w:rsidRDefault="008F7DDB" w:rsidP="008F7DDB">
      <w:pPr>
        <w:widowControl w:val="0"/>
        <w:spacing w:line="240" w:lineRule="auto"/>
        <w:ind w:right="-1"/>
        <w:jc w:val="both"/>
        <w:rPr>
          <w:i/>
          <w:lang w:val="sr-Latn-ME" w:eastAsia="hr-HR"/>
        </w:rPr>
      </w:pPr>
      <w:r w:rsidRPr="00291333">
        <w:rPr>
          <w:i/>
          <w:lang w:val="sr-Latn-ME" w:eastAsia="hr-HR"/>
        </w:rPr>
        <w:t>Dodatni podaci o posebnim populacijama:</w:t>
      </w:r>
    </w:p>
    <w:p w14:paraId="444C4F4B" w14:textId="77777777" w:rsidR="008F7DDB" w:rsidRPr="00291333" w:rsidRDefault="008F7DDB" w:rsidP="008F7DDB">
      <w:pPr>
        <w:widowControl w:val="0"/>
        <w:spacing w:line="240" w:lineRule="auto"/>
        <w:ind w:right="-1"/>
        <w:jc w:val="both"/>
        <w:rPr>
          <w:i/>
          <w:lang w:val="sr-Latn-ME" w:eastAsia="hr-HR"/>
        </w:rPr>
      </w:pPr>
    </w:p>
    <w:p w14:paraId="3E8ABEEC" w14:textId="77777777" w:rsidR="008F7DDB" w:rsidRPr="00291333" w:rsidRDefault="008F7DDB" w:rsidP="008F7DDB">
      <w:pPr>
        <w:widowControl w:val="0"/>
        <w:spacing w:line="240" w:lineRule="auto"/>
        <w:ind w:right="-1"/>
        <w:jc w:val="both"/>
        <w:rPr>
          <w:lang w:val="sr-Latn-ME" w:eastAsia="sl-SI"/>
        </w:rPr>
      </w:pPr>
      <w:r w:rsidRPr="00291333">
        <w:rPr>
          <w:i/>
          <w:lang w:val="sr-Latn-ME" w:eastAsia="sl-SI"/>
        </w:rPr>
        <w:t>Pedijatrijska primjena</w:t>
      </w:r>
      <w:r w:rsidRPr="00291333">
        <w:rPr>
          <w:lang w:val="sr-Latn-ME" w:eastAsia="sl-SI"/>
        </w:rPr>
        <w:t xml:space="preserve">: Nema iskustava sa primjenom imatiniba kod djece sa CML-om mlađe od 2 godine i kod djece sa Ph+ ALL mlađe od 1 godine (vidjeti odjeljak 5.1). Postoji veoma ograničeno iskustvo kod djece sa MDS/MPD, DFSP, GIST i HES/CEL. </w:t>
      </w:r>
    </w:p>
    <w:p w14:paraId="6BCB32EE" w14:textId="77777777" w:rsidR="008F7DDB" w:rsidRPr="00291333" w:rsidRDefault="008F7DDB" w:rsidP="008F7DDB">
      <w:pPr>
        <w:widowControl w:val="0"/>
        <w:spacing w:line="240" w:lineRule="auto"/>
        <w:ind w:right="-1"/>
        <w:jc w:val="both"/>
        <w:rPr>
          <w:lang w:val="sr-Latn-ME" w:eastAsia="sl-SI"/>
        </w:rPr>
      </w:pPr>
    </w:p>
    <w:p w14:paraId="6D6DD47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Bezbjednost i efikasnost imatiniba kod djece mlađe od 18 godina sa MDS/MPD, DFSP, GIST i HES/CEL nisu ustanovljene u kliničkim ispitivanjima. Postojeći publikovani podaci prikazani su u odjeljku 5.1, ali se ne mogu dati nikakve preporuke u pogledu doziranja.</w:t>
      </w:r>
    </w:p>
    <w:p w14:paraId="297BAFD2" w14:textId="77777777" w:rsidR="008F7DDB" w:rsidRPr="00291333" w:rsidRDefault="008F7DDB" w:rsidP="008F7DDB">
      <w:pPr>
        <w:widowControl w:val="0"/>
        <w:spacing w:line="240" w:lineRule="auto"/>
        <w:ind w:right="-1"/>
        <w:jc w:val="both"/>
        <w:rPr>
          <w:lang w:val="sr-Latn-ME" w:eastAsia="sl-SI"/>
        </w:rPr>
      </w:pPr>
    </w:p>
    <w:p w14:paraId="0914CAC2" w14:textId="77777777" w:rsidR="008F7DDB" w:rsidRPr="00291333" w:rsidRDefault="008F7DDB" w:rsidP="008F7DDB">
      <w:pPr>
        <w:widowControl w:val="0"/>
        <w:spacing w:line="240" w:lineRule="auto"/>
        <w:ind w:right="-1"/>
        <w:jc w:val="both"/>
        <w:rPr>
          <w:i/>
          <w:lang w:val="sr-Latn-ME" w:eastAsia="sl-SI"/>
        </w:rPr>
      </w:pPr>
      <w:r w:rsidRPr="00291333">
        <w:rPr>
          <w:i/>
          <w:lang w:val="sr-Latn-ME" w:eastAsia="sl-SI"/>
        </w:rPr>
        <w:t>Insuficijencija jetre:</w:t>
      </w:r>
    </w:p>
    <w:p w14:paraId="7DB3222E" w14:textId="77777777" w:rsidR="008F7DDB" w:rsidRPr="00291333" w:rsidRDefault="008F7DDB" w:rsidP="008F7DDB">
      <w:pPr>
        <w:widowControl w:val="0"/>
        <w:spacing w:line="240" w:lineRule="auto"/>
        <w:ind w:right="-1"/>
        <w:jc w:val="both"/>
        <w:rPr>
          <w:i/>
          <w:lang w:val="sr-Latn-ME" w:eastAsia="hr-HR"/>
        </w:rPr>
      </w:pPr>
      <w:r w:rsidRPr="00291333">
        <w:rPr>
          <w:lang w:val="sr-Latn-ME" w:eastAsia="sl-SI"/>
        </w:rPr>
        <w:t xml:space="preserve">Imatinib se uglavnom metaboliše preko jetre. Pacijentima sa blagom, umjerenom ili teškom </w:t>
      </w:r>
      <w:r w:rsidRPr="00291333">
        <w:rPr>
          <w:lang w:val="sr-Latn-ME" w:eastAsia="sl-SI"/>
        </w:rPr>
        <w:lastRenderedPageBreak/>
        <w:t>disfunkcijom jetre treba dati minimalnu preporučenu dozu od 400 mg dnevno. Doza se može redukovati ako se lijek ne podnosi (vidjeti odjeljke 4.4, 4.8 i 5.2).</w:t>
      </w:r>
    </w:p>
    <w:p w14:paraId="5C33374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tbl>
      <w:tblPr>
        <w:tblW w:w="0" w:type="auto"/>
        <w:tblLayout w:type="fixed"/>
        <w:tblLook w:val="04A0" w:firstRow="1" w:lastRow="0" w:firstColumn="1" w:lastColumn="0" w:noHBand="0" w:noVBand="1"/>
      </w:tblPr>
      <w:tblGrid>
        <w:gridCol w:w="3798"/>
        <w:gridCol w:w="4913"/>
        <w:gridCol w:w="500"/>
      </w:tblGrid>
      <w:tr w:rsidR="008F7DDB" w:rsidRPr="00291333" w14:paraId="25F1524E" w14:textId="77777777" w:rsidTr="0040712C">
        <w:trPr>
          <w:gridAfter w:val="1"/>
          <w:wAfter w:w="500" w:type="dxa"/>
          <w:trHeight w:val="94"/>
        </w:trPr>
        <w:tc>
          <w:tcPr>
            <w:tcW w:w="3798" w:type="dxa"/>
          </w:tcPr>
          <w:p w14:paraId="33DC35F2" w14:textId="77777777" w:rsidR="008F7DDB" w:rsidRPr="00291333" w:rsidRDefault="008F7DDB" w:rsidP="0040712C">
            <w:pPr>
              <w:widowControl w:val="0"/>
              <w:autoSpaceDE w:val="0"/>
              <w:autoSpaceDN w:val="0"/>
              <w:adjustRightInd w:val="0"/>
              <w:spacing w:line="240" w:lineRule="auto"/>
              <w:ind w:right="-1"/>
              <w:jc w:val="both"/>
              <w:rPr>
                <w:lang w:val="sr-Latn-ME" w:eastAsia="sl-SI"/>
              </w:rPr>
            </w:pPr>
            <w:r w:rsidRPr="00291333">
              <w:rPr>
                <w:lang w:val="sr-Latn-ME" w:eastAsia="sl-SI"/>
              </w:rPr>
              <w:t>Klasifikacija poremećaja funkcije jetre:</w:t>
            </w:r>
          </w:p>
          <w:p w14:paraId="220E63A0" w14:textId="77777777" w:rsidR="008F7DDB" w:rsidRPr="00291333" w:rsidRDefault="008F7DDB" w:rsidP="0040712C">
            <w:pPr>
              <w:widowControl w:val="0"/>
              <w:autoSpaceDE w:val="0"/>
              <w:autoSpaceDN w:val="0"/>
              <w:adjustRightInd w:val="0"/>
              <w:spacing w:line="240" w:lineRule="auto"/>
              <w:ind w:right="-1"/>
              <w:jc w:val="both"/>
              <w:rPr>
                <w:lang w:val="sr-Latn-ME" w:eastAsia="sl-SI"/>
              </w:rPr>
            </w:pPr>
          </w:p>
        </w:tc>
        <w:tc>
          <w:tcPr>
            <w:tcW w:w="4913" w:type="dxa"/>
          </w:tcPr>
          <w:p w14:paraId="1D10BB62" w14:textId="77777777" w:rsidR="008F7DDB" w:rsidRPr="00291333" w:rsidRDefault="008F7DDB" w:rsidP="0040712C">
            <w:pPr>
              <w:widowControl w:val="0"/>
              <w:autoSpaceDE w:val="0"/>
              <w:autoSpaceDN w:val="0"/>
              <w:adjustRightInd w:val="0"/>
              <w:spacing w:line="240" w:lineRule="auto"/>
              <w:ind w:right="-1"/>
              <w:jc w:val="both"/>
              <w:rPr>
                <w:lang w:val="sr-Latn-ME" w:eastAsia="sl-SI"/>
              </w:rPr>
            </w:pPr>
          </w:p>
        </w:tc>
      </w:tr>
      <w:tr w:rsidR="008F7DDB" w:rsidRPr="00291333" w14:paraId="3C646699" w14:textId="77777777" w:rsidTr="0040712C">
        <w:tc>
          <w:tcPr>
            <w:tcW w:w="3798" w:type="dxa"/>
            <w:tcBorders>
              <w:top w:val="single" w:sz="4" w:space="0" w:color="auto"/>
              <w:left w:val="single" w:sz="4" w:space="0" w:color="auto"/>
              <w:bottom w:val="single" w:sz="4" w:space="0" w:color="auto"/>
              <w:right w:val="single" w:sz="4" w:space="0" w:color="auto"/>
            </w:tcBorders>
            <w:hideMark/>
          </w:tcPr>
          <w:p w14:paraId="35EF3A8D" w14:textId="77777777" w:rsidR="008F7DDB" w:rsidRPr="00291333" w:rsidRDefault="008F7DDB" w:rsidP="0040712C">
            <w:pPr>
              <w:widowControl w:val="0"/>
              <w:spacing w:line="240" w:lineRule="auto"/>
              <w:ind w:right="-1"/>
              <w:rPr>
                <w:lang w:val="sr-Latn-ME" w:eastAsia="sl-SI"/>
              </w:rPr>
            </w:pPr>
            <w:r w:rsidRPr="00291333">
              <w:rPr>
                <w:lang w:val="sr-Latn-ME" w:eastAsia="sl-SI"/>
              </w:rPr>
              <w:t>Poremećaj funkcije jetre</w:t>
            </w:r>
          </w:p>
        </w:tc>
        <w:tc>
          <w:tcPr>
            <w:tcW w:w="5413" w:type="dxa"/>
            <w:gridSpan w:val="2"/>
            <w:tcBorders>
              <w:top w:val="single" w:sz="4" w:space="0" w:color="auto"/>
              <w:left w:val="single" w:sz="4" w:space="0" w:color="auto"/>
              <w:bottom w:val="single" w:sz="4" w:space="0" w:color="auto"/>
              <w:right w:val="single" w:sz="4" w:space="0" w:color="auto"/>
            </w:tcBorders>
            <w:hideMark/>
          </w:tcPr>
          <w:p w14:paraId="35A60040" w14:textId="77777777" w:rsidR="008F7DDB" w:rsidRPr="00291333" w:rsidRDefault="008F7DDB" w:rsidP="0040712C">
            <w:pPr>
              <w:widowControl w:val="0"/>
              <w:spacing w:line="240" w:lineRule="auto"/>
              <w:ind w:right="-1"/>
              <w:rPr>
                <w:lang w:val="sr-Latn-ME" w:eastAsia="sl-SI"/>
              </w:rPr>
            </w:pPr>
            <w:r w:rsidRPr="00291333">
              <w:rPr>
                <w:lang w:val="sr-Latn-ME" w:eastAsia="sl-SI"/>
              </w:rPr>
              <w:t>Testovi funkcije jetre</w:t>
            </w:r>
          </w:p>
        </w:tc>
      </w:tr>
      <w:tr w:rsidR="008F7DDB" w:rsidRPr="0040712C" w14:paraId="0E41FBC4" w14:textId="77777777" w:rsidTr="0040712C">
        <w:tc>
          <w:tcPr>
            <w:tcW w:w="3798" w:type="dxa"/>
            <w:tcBorders>
              <w:top w:val="single" w:sz="4" w:space="0" w:color="auto"/>
              <w:left w:val="single" w:sz="4" w:space="0" w:color="auto"/>
              <w:bottom w:val="single" w:sz="4" w:space="0" w:color="auto"/>
              <w:right w:val="single" w:sz="4" w:space="0" w:color="auto"/>
            </w:tcBorders>
            <w:hideMark/>
          </w:tcPr>
          <w:p w14:paraId="72C0E321" w14:textId="77777777" w:rsidR="008F7DDB" w:rsidRPr="00291333" w:rsidRDefault="008F7DDB" w:rsidP="0040712C">
            <w:pPr>
              <w:widowControl w:val="0"/>
              <w:spacing w:line="240" w:lineRule="auto"/>
              <w:ind w:right="-1"/>
              <w:rPr>
                <w:iCs/>
                <w:u w:val="single"/>
                <w:lang w:val="sr-Latn-ME"/>
              </w:rPr>
            </w:pPr>
            <w:r w:rsidRPr="00291333">
              <w:rPr>
                <w:lang w:val="sr-Latn-ME" w:eastAsia="sl-SI"/>
              </w:rPr>
              <w:t>Blagi</w:t>
            </w:r>
          </w:p>
        </w:tc>
        <w:tc>
          <w:tcPr>
            <w:tcW w:w="5413" w:type="dxa"/>
            <w:gridSpan w:val="2"/>
            <w:tcBorders>
              <w:top w:val="single" w:sz="4" w:space="0" w:color="auto"/>
              <w:left w:val="single" w:sz="4" w:space="0" w:color="auto"/>
              <w:bottom w:val="single" w:sz="4" w:space="0" w:color="auto"/>
              <w:right w:val="single" w:sz="4" w:space="0" w:color="auto"/>
            </w:tcBorders>
            <w:hideMark/>
          </w:tcPr>
          <w:p w14:paraId="6CD66A3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Ukupni bilirubin: = 1,5 ULN</w:t>
            </w:r>
          </w:p>
          <w:p w14:paraId="78B68CBC" w14:textId="77777777" w:rsidR="008F7DDB" w:rsidRPr="00291333" w:rsidRDefault="008F7DDB" w:rsidP="0040712C">
            <w:pPr>
              <w:widowControl w:val="0"/>
              <w:spacing w:line="240" w:lineRule="auto"/>
              <w:ind w:right="-1"/>
              <w:rPr>
                <w:iCs/>
                <w:u w:val="single"/>
                <w:lang w:val="sr-Latn-ME"/>
              </w:rPr>
            </w:pPr>
            <w:r w:rsidRPr="00291333">
              <w:rPr>
                <w:lang w:val="sr-Latn-ME" w:eastAsia="sl-SI"/>
              </w:rPr>
              <w:t>AST: &gt;ULN (može biti normalan ili &lt;ULN ako je ukupni bilirubin &gt;ULN)</w:t>
            </w:r>
          </w:p>
        </w:tc>
      </w:tr>
      <w:tr w:rsidR="008F7DDB" w:rsidRPr="0040712C" w14:paraId="42260AAC" w14:textId="77777777" w:rsidTr="0040712C">
        <w:tc>
          <w:tcPr>
            <w:tcW w:w="3798" w:type="dxa"/>
            <w:tcBorders>
              <w:top w:val="single" w:sz="4" w:space="0" w:color="auto"/>
              <w:left w:val="single" w:sz="4" w:space="0" w:color="auto"/>
              <w:bottom w:val="single" w:sz="4" w:space="0" w:color="auto"/>
              <w:right w:val="single" w:sz="4" w:space="0" w:color="auto"/>
            </w:tcBorders>
            <w:hideMark/>
          </w:tcPr>
          <w:p w14:paraId="14643E3C" w14:textId="77777777" w:rsidR="008F7DDB" w:rsidRPr="00291333" w:rsidRDefault="008F7DDB" w:rsidP="0040712C">
            <w:pPr>
              <w:widowControl w:val="0"/>
              <w:spacing w:line="240" w:lineRule="auto"/>
              <w:ind w:right="-1"/>
              <w:rPr>
                <w:iCs/>
                <w:u w:val="single"/>
                <w:lang w:val="sr-Latn-ME"/>
              </w:rPr>
            </w:pPr>
            <w:r w:rsidRPr="00291333">
              <w:rPr>
                <w:lang w:val="sr-Latn-ME" w:eastAsia="sl-SI"/>
              </w:rPr>
              <w:t>Umjereni</w:t>
            </w:r>
          </w:p>
        </w:tc>
        <w:tc>
          <w:tcPr>
            <w:tcW w:w="5413" w:type="dxa"/>
            <w:gridSpan w:val="2"/>
            <w:tcBorders>
              <w:top w:val="single" w:sz="4" w:space="0" w:color="auto"/>
              <w:left w:val="single" w:sz="4" w:space="0" w:color="auto"/>
              <w:bottom w:val="single" w:sz="4" w:space="0" w:color="auto"/>
              <w:right w:val="single" w:sz="4" w:space="0" w:color="auto"/>
            </w:tcBorders>
            <w:hideMark/>
          </w:tcPr>
          <w:p w14:paraId="64B447D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Ukupni bilirubin: &gt;1,5–3,0 ULN</w:t>
            </w:r>
          </w:p>
          <w:p w14:paraId="73348D85" w14:textId="77777777" w:rsidR="008F7DDB" w:rsidRPr="00291333" w:rsidRDefault="008F7DDB" w:rsidP="0040712C">
            <w:pPr>
              <w:widowControl w:val="0"/>
              <w:spacing w:line="240" w:lineRule="auto"/>
              <w:ind w:right="-1"/>
              <w:rPr>
                <w:iCs/>
                <w:u w:val="single"/>
                <w:lang w:val="sr-Latn-ME"/>
              </w:rPr>
            </w:pPr>
            <w:r w:rsidRPr="00291333">
              <w:rPr>
                <w:lang w:val="sr-Latn-ME" w:eastAsia="sl-SI"/>
              </w:rPr>
              <w:t>AST: bilo koja vrijednost</w:t>
            </w:r>
          </w:p>
        </w:tc>
      </w:tr>
      <w:tr w:rsidR="008F7DDB" w:rsidRPr="0040712C" w14:paraId="3535D09F" w14:textId="77777777" w:rsidTr="0040712C">
        <w:tc>
          <w:tcPr>
            <w:tcW w:w="3798" w:type="dxa"/>
            <w:tcBorders>
              <w:top w:val="single" w:sz="4" w:space="0" w:color="auto"/>
              <w:left w:val="single" w:sz="4" w:space="0" w:color="auto"/>
              <w:bottom w:val="single" w:sz="4" w:space="0" w:color="auto"/>
              <w:right w:val="single" w:sz="4" w:space="0" w:color="auto"/>
            </w:tcBorders>
            <w:hideMark/>
          </w:tcPr>
          <w:p w14:paraId="48743CEE" w14:textId="77777777" w:rsidR="008F7DDB" w:rsidRPr="00291333" w:rsidRDefault="008F7DDB" w:rsidP="0040712C">
            <w:pPr>
              <w:widowControl w:val="0"/>
              <w:spacing w:line="240" w:lineRule="auto"/>
              <w:ind w:right="-1"/>
              <w:rPr>
                <w:iCs/>
                <w:u w:val="single"/>
                <w:lang w:val="sr-Latn-ME"/>
              </w:rPr>
            </w:pPr>
            <w:r w:rsidRPr="00291333">
              <w:rPr>
                <w:lang w:val="sr-Latn-ME" w:eastAsia="sl-SI"/>
              </w:rPr>
              <w:t>Teški</w:t>
            </w:r>
          </w:p>
        </w:tc>
        <w:tc>
          <w:tcPr>
            <w:tcW w:w="5413" w:type="dxa"/>
            <w:gridSpan w:val="2"/>
            <w:tcBorders>
              <w:top w:val="single" w:sz="4" w:space="0" w:color="auto"/>
              <w:left w:val="single" w:sz="4" w:space="0" w:color="auto"/>
              <w:bottom w:val="single" w:sz="4" w:space="0" w:color="auto"/>
              <w:right w:val="single" w:sz="4" w:space="0" w:color="auto"/>
            </w:tcBorders>
            <w:hideMark/>
          </w:tcPr>
          <w:p w14:paraId="2E52452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Ukupni bilirubin: &gt;3–10 ULN</w:t>
            </w:r>
          </w:p>
          <w:p w14:paraId="25331EEA" w14:textId="77777777" w:rsidR="008F7DDB" w:rsidRPr="00291333" w:rsidRDefault="008F7DDB" w:rsidP="0040712C">
            <w:pPr>
              <w:widowControl w:val="0"/>
              <w:spacing w:line="240" w:lineRule="auto"/>
              <w:ind w:right="-1"/>
              <w:rPr>
                <w:iCs/>
                <w:u w:val="single"/>
                <w:lang w:val="sr-Latn-ME"/>
              </w:rPr>
            </w:pPr>
            <w:r w:rsidRPr="00291333">
              <w:rPr>
                <w:lang w:val="sr-Latn-ME" w:eastAsia="sl-SI"/>
              </w:rPr>
              <w:t>AST: bilo koja vrijednost</w:t>
            </w:r>
          </w:p>
        </w:tc>
      </w:tr>
    </w:tbl>
    <w:p w14:paraId="6C9146E4" w14:textId="77777777" w:rsidR="008F7DDB" w:rsidRPr="00291333" w:rsidRDefault="008F7DDB" w:rsidP="008F7DDB">
      <w:pPr>
        <w:widowControl w:val="0"/>
        <w:autoSpaceDE w:val="0"/>
        <w:autoSpaceDN w:val="0"/>
        <w:adjustRightInd w:val="0"/>
        <w:spacing w:line="240" w:lineRule="auto"/>
        <w:ind w:right="-1"/>
        <w:rPr>
          <w:lang w:val="sr-Latn-ME" w:eastAsia="sl-SI"/>
        </w:rPr>
      </w:pPr>
      <w:r w:rsidRPr="00291333">
        <w:rPr>
          <w:lang w:val="sr-Latn-ME" w:eastAsia="sl-SI"/>
        </w:rPr>
        <w:t>ULN = institucionalna gornja granica normale</w:t>
      </w:r>
    </w:p>
    <w:p w14:paraId="1C597E95" w14:textId="77777777" w:rsidR="008F7DDB" w:rsidRPr="00291333" w:rsidRDefault="008F7DDB" w:rsidP="008F7DDB">
      <w:pPr>
        <w:widowControl w:val="0"/>
        <w:spacing w:line="240" w:lineRule="auto"/>
        <w:ind w:right="-1"/>
        <w:rPr>
          <w:lang w:val="sr-Latn-ME" w:eastAsia="sl-SI"/>
        </w:rPr>
      </w:pPr>
      <w:r w:rsidRPr="00291333">
        <w:rPr>
          <w:lang w:val="sr-Latn-ME" w:eastAsia="sl-SI"/>
        </w:rPr>
        <w:t>AST = aspartat aminotransferaza</w:t>
      </w:r>
    </w:p>
    <w:p w14:paraId="3059E762" w14:textId="77777777" w:rsidR="008F7DDB" w:rsidRPr="00291333" w:rsidRDefault="008F7DDB" w:rsidP="008F7DDB">
      <w:pPr>
        <w:widowControl w:val="0"/>
        <w:spacing w:line="240" w:lineRule="auto"/>
        <w:ind w:right="-1"/>
        <w:rPr>
          <w:lang w:val="sr-Latn-ME" w:eastAsia="sl-SI"/>
        </w:rPr>
      </w:pPr>
    </w:p>
    <w:p w14:paraId="040E587F" w14:textId="77777777" w:rsidR="008F7DDB" w:rsidRPr="00291333" w:rsidRDefault="008F7DDB" w:rsidP="008F7DDB">
      <w:pPr>
        <w:widowControl w:val="0"/>
        <w:spacing w:line="240" w:lineRule="auto"/>
        <w:ind w:right="-1"/>
        <w:jc w:val="both"/>
        <w:rPr>
          <w:lang w:val="sr-Latn-ME" w:eastAsia="sl-SI"/>
        </w:rPr>
      </w:pPr>
      <w:r w:rsidRPr="00291333">
        <w:rPr>
          <w:i/>
          <w:lang w:val="sr-Latn-ME" w:eastAsia="sl-SI"/>
        </w:rPr>
        <w:t>Insuficijencija bubrega</w:t>
      </w:r>
      <w:r w:rsidRPr="00291333">
        <w:rPr>
          <w:lang w:val="sr-Latn-ME" w:eastAsia="sl-SI"/>
        </w:rPr>
        <w:t>:</w:t>
      </w:r>
    </w:p>
    <w:p w14:paraId="3565B4F6"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Pacijentima sa poremećajem funkcije bubrega ili na dijalizi treba dati minimalnu preporučenu dozu od 400 mg dnevno kao početnu dozu. Međutim, kod ovih pacijenata se preporučuje oprez. Doza se može smanjiti u slučaju lošeg podnošenja lijeka. Ako se podnosi, doza se može povećati usled nedovoljne efikasnosti (vidjeti odjeljke 4.4 i 5.2). </w:t>
      </w:r>
    </w:p>
    <w:p w14:paraId="19DC1D62" w14:textId="77777777" w:rsidR="008F7DDB" w:rsidRPr="00291333" w:rsidRDefault="008F7DDB" w:rsidP="008F7DDB">
      <w:pPr>
        <w:widowControl w:val="0"/>
        <w:spacing w:line="240" w:lineRule="auto"/>
        <w:ind w:right="-1"/>
        <w:jc w:val="both"/>
        <w:rPr>
          <w:lang w:val="sr-Latn-ME" w:eastAsia="sl-SI"/>
        </w:rPr>
      </w:pPr>
    </w:p>
    <w:p w14:paraId="2C5FEE2D" w14:textId="77777777" w:rsidR="008F7DDB" w:rsidRPr="00291333" w:rsidRDefault="008F7DDB" w:rsidP="008F7DDB">
      <w:pPr>
        <w:widowControl w:val="0"/>
        <w:spacing w:line="240" w:lineRule="auto"/>
        <w:ind w:right="-1"/>
        <w:jc w:val="both"/>
        <w:rPr>
          <w:i/>
          <w:lang w:val="sr-Latn-ME" w:eastAsia="sl-SI"/>
        </w:rPr>
      </w:pPr>
      <w:r w:rsidRPr="00291333">
        <w:rPr>
          <w:i/>
          <w:lang w:val="sr-Latn-ME" w:eastAsia="sl-SI"/>
        </w:rPr>
        <w:t>Starije osobe:</w:t>
      </w:r>
    </w:p>
    <w:p w14:paraId="7741095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Farmakokinetika imatiniba nije posebno izučavana kod starijih osoba. Nisu zapažene značajne farmakokinetičke razlike vezane za godine kod odraslih pacijenata u kliničkim ispitivanjima koja su uključivala preko 20% pacijenata od 65 godina i starijih. Nije neophodna posebna preporuka za doziranje kod starijih osoba.</w:t>
      </w:r>
    </w:p>
    <w:p w14:paraId="150F4185" w14:textId="77777777" w:rsidR="008F7DDB" w:rsidRDefault="008F7DDB" w:rsidP="008F7DDB">
      <w:pPr>
        <w:widowControl w:val="0"/>
        <w:spacing w:line="240" w:lineRule="auto"/>
        <w:jc w:val="both"/>
        <w:rPr>
          <w:lang w:val="sr-Latn-ME"/>
        </w:rPr>
      </w:pPr>
    </w:p>
    <w:p w14:paraId="05513DBF" w14:textId="77777777" w:rsidR="008F7DDB" w:rsidRPr="00291333" w:rsidRDefault="008F7DDB" w:rsidP="008F7DDB">
      <w:pPr>
        <w:widowControl w:val="0"/>
        <w:spacing w:line="240" w:lineRule="auto"/>
        <w:jc w:val="both"/>
        <w:rPr>
          <w:lang w:val="sr-Latn-ME" w:eastAsia="sl-SI"/>
        </w:rPr>
      </w:pPr>
      <w:r w:rsidRPr="00291333">
        <w:rPr>
          <w:b/>
          <w:lang w:val="sr-Latn-ME" w:eastAsia="sl-SI"/>
        </w:rPr>
        <w:t>4.3</w:t>
      </w:r>
      <w:r w:rsidRPr="00291333">
        <w:rPr>
          <w:b/>
          <w:lang w:val="sr-Latn-ME" w:eastAsia="sl-SI"/>
        </w:rPr>
        <w:tab/>
        <w:t>Kontraindikacije</w:t>
      </w:r>
    </w:p>
    <w:p w14:paraId="18BA853B" w14:textId="77777777" w:rsidR="008F7DDB" w:rsidRPr="00291333" w:rsidRDefault="008F7DDB" w:rsidP="008F7DDB">
      <w:pPr>
        <w:keepNext/>
        <w:keepLines/>
        <w:widowControl w:val="0"/>
        <w:spacing w:line="240" w:lineRule="auto"/>
        <w:jc w:val="both"/>
        <w:rPr>
          <w:lang w:val="sr-Latn-ME" w:eastAsia="hr-HR"/>
        </w:rPr>
      </w:pPr>
    </w:p>
    <w:p w14:paraId="4695EECB" w14:textId="77777777" w:rsidR="008F7DDB" w:rsidRPr="00291333" w:rsidRDefault="008F7DDB" w:rsidP="008F7DDB">
      <w:pPr>
        <w:keepNext/>
        <w:keepLines/>
        <w:widowControl w:val="0"/>
        <w:spacing w:line="240" w:lineRule="auto"/>
        <w:jc w:val="both"/>
        <w:rPr>
          <w:lang w:val="sr-Latn-ME"/>
        </w:rPr>
      </w:pPr>
      <w:r w:rsidRPr="00291333">
        <w:rPr>
          <w:lang w:val="sr-Latn-ME" w:eastAsia="hr-HR"/>
        </w:rPr>
        <w:t xml:space="preserve">Preosjetljivost na aktivnu supstancu ili na bilo koju pomoćnu supstancu  </w:t>
      </w:r>
      <w:r w:rsidRPr="00291333">
        <w:rPr>
          <w:lang w:val="sr-Latn-ME" w:eastAsia="sl-SI"/>
        </w:rPr>
        <w:t>navedenu u odjeljku</w:t>
      </w:r>
      <w:r w:rsidRPr="00291333">
        <w:rPr>
          <w:lang w:val="sr-Latn-ME"/>
        </w:rPr>
        <w:t xml:space="preserve"> 6.1.</w:t>
      </w:r>
    </w:p>
    <w:p w14:paraId="00F6AABB" w14:textId="77777777" w:rsidR="008F7DDB" w:rsidRPr="00291333" w:rsidRDefault="008F7DDB" w:rsidP="008F7DDB">
      <w:pPr>
        <w:widowControl w:val="0"/>
        <w:spacing w:line="240" w:lineRule="auto"/>
        <w:jc w:val="both"/>
        <w:rPr>
          <w:lang w:val="sr-Latn-ME"/>
        </w:rPr>
      </w:pPr>
    </w:p>
    <w:p w14:paraId="12007844" w14:textId="77777777" w:rsidR="008F7DDB" w:rsidRPr="00291333" w:rsidRDefault="008F7DDB" w:rsidP="008F7DDB">
      <w:pPr>
        <w:widowControl w:val="0"/>
        <w:spacing w:line="240" w:lineRule="auto"/>
        <w:jc w:val="both"/>
        <w:rPr>
          <w:b/>
          <w:lang w:val="sr-Latn-ME" w:eastAsia="sl-SI"/>
        </w:rPr>
      </w:pPr>
      <w:r w:rsidRPr="00291333">
        <w:rPr>
          <w:b/>
          <w:lang w:val="sr-Latn-ME" w:eastAsia="sl-SI"/>
        </w:rPr>
        <w:t>4.4</w:t>
      </w:r>
      <w:r w:rsidRPr="00291333">
        <w:rPr>
          <w:b/>
          <w:lang w:val="sr-Latn-ME" w:eastAsia="sl-SI"/>
        </w:rPr>
        <w:tab/>
        <w:t>Posebna upozorenja i mjere opreza pri upotrebi lijeka</w:t>
      </w:r>
    </w:p>
    <w:p w14:paraId="37128240" w14:textId="77777777" w:rsidR="008F7DDB" w:rsidRPr="00291333" w:rsidRDefault="008F7DDB" w:rsidP="008F7DDB">
      <w:pPr>
        <w:widowControl w:val="0"/>
        <w:spacing w:line="240" w:lineRule="auto"/>
        <w:jc w:val="both"/>
        <w:rPr>
          <w:b/>
          <w:lang w:val="sr-Latn-ME" w:eastAsia="sl-SI"/>
        </w:rPr>
      </w:pPr>
    </w:p>
    <w:p w14:paraId="5C1BA36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Kad se lijek Meaxin daje istovremeno sa drugim ljekovima, postoji mogućnost za interakcije ljekova. Potrebna je opreznost kada se lijek Meaxin uzima sa inhibitorima proteaze, azolnim antimikoticima, određenim makrolidima (vidjeti odjeljak 4.5), CYP3A4 supstratima – uske terapijske širine (kao što su npr. ciklosporin, pimozid, takrolimus, sirolimus, ergotamin, diergotamin, fentanil, alfentanil, terfenadin, bortezomib, docetaksel, hinidin) ili varfarinom i drugim kumarinskim derivatima (vidjeti odjeljak 4.5). </w:t>
      </w:r>
    </w:p>
    <w:p w14:paraId="2B58C052" w14:textId="77777777" w:rsidR="008F7DDB" w:rsidRPr="00291333" w:rsidRDefault="008F7DDB" w:rsidP="008F7DDB">
      <w:pPr>
        <w:widowControl w:val="0"/>
        <w:spacing w:line="240" w:lineRule="auto"/>
        <w:ind w:right="-1"/>
        <w:jc w:val="both"/>
        <w:rPr>
          <w:lang w:val="sr-Latn-ME" w:eastAsia="sl-SI"/>
        </w:rPr>
      </w:pPr>
    </w:p>
    <w:p w14:paraId="06D6E71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Istovremena primjena imatiniba i ljekova koji indukuju CYP3A4 (npr. deksametazon, fenitoin, karbamazepin, rifampicin, fenobarbital ili </w:t>
      </w:r>
      <w:r w:rsidRPr="00291333">
        <w:rPr>
          <w:i/>
          <w:lang w:val="sr-Latn-ME" w:eastAsia="sl-SI"/>
        </w:rPr>
        <w:t>Hypericum perforatum</w:t>
      </w:r>
      <w:r w:rsidRPr="00291333">
        <w:rPr>
          <w:lang w:val="sr-Latn-ME" w:eastAsia="sl-SI"/>
        </w:rPr>
        <w:t xml:space="preserve">, poznat i kao kantarion) mogu značajno da smanje izloženost lijeku Meaxin, potencijalno povećavajući rizik od neuspjeha terapije. Stoga treba izbjegavati istovremenu primjenu snažnih induktora CYP3A4 i imatiniba (vidjeti odjeljak 4.5). </w:t>
      </w:r>
    </w:p>
    <w:p w14:paraId="7D6BA335" w14:textId="77777777" w:rsidR="008F7DDB" w:rsidRPr="00291333" w:rsidRDefault="008F7DDB" w:rsidP="008F7DDB">
      <w:pPr>
        <w:widowControl w:val="0"/>
        <w:spacing w:line="240" w:lineRule="auto"/>
        <w:ind w:right="-1"/>
        <w:jc w:val="both"/>
        <w:rPr>
          <w:lang w:val="sr-Latn-ME" w:eastAsia="sl-SI"/>
        </w:rPr>
      </w:pPr>
    </w:p>
    <w:p w14:paraId="25612A42"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 xml:space="preserve">Hipotireoidizam </w:t>
      </w:r>
    </w:p>
    <w:p w14:paraId="1B9EDF26" w14:textId="77777777" w:rsidR="008F7DDB" w:rsidRPr="00291333" w:rsidRDefault="008F7DDB" w:rsidP="008F7DDB">
      <w:pPr>
        <w:widowControl w:val="0"/>
        <w:spacing w:line="240" w:lineRule="auto"/>
        <w:ind w:right="-1"/>
        <w:jc w:val="both"/>
        <w:rPr>
          <w:u w:val="single"/>
          <w:lang w:val="sr-Latn-ME" w:eastAsia="sl-SI"/>
        </w:rPr>
      </w:pPr>
    </w:p>
    <w:p w14:paraId="38E37EFC" w14:textId="77777777" w:rsidR="008F7DDB" w:rsidRDefault="008F7DDB" w:rsidP="008F7DDB">
      <w:pPr>
        <w:widowControl w:val="0"/>
        <w:spacing w:line="240" w:lineRule="auto"/>
        <w:ind w:right="-1"/>
        <w:jc w:val="both"/>
        <w:rPr>
          <w:lang w:val="sr-Latn-ME" w:eastAsia="sl-SI"/>
        </w:rPr>
      </w:pPr>
      <w:r w:rsidRPr="00291333">
        <w:rPr>
          <w:lang w:val="sr-Latn-ME" w:eastAsia="sl-SI"/>
        </w:rPr>
        <w:t xml:space="preserve">Kod pacijenata kod kojih je obavljena tireoidektomija i koji su na supstitucionoj terapiji levotiroksinom zabilježeni su klinički slučajevi hipotireoidizma tokom terapije lijekom Meaxin (vidjeti odjeljak 4.5). Nivoe tireostimulirajućeg hormona (TSH) kod ovih pacijenata treba pažljivo pratiti. </w:t>
      </w:r>
    </w:p>
    <w:p w14:paraId="0A8B5CA5" w14:textId="77777777" w:rsidR="008F7DDB" w:rsidRDefault="008F7DDB" w:rsidP="008F7DDB">
      <w:pPr>
        <w:widowControl w:val="0"/>
        <w:spacing w:line="240" w:lineRule="auto"/>
        <w:ind w:right="-1"/>
        <w:jc w:val="both"/>
        <w:rPr>
          <w:lang w:val="sr-Latn-ME" w:eastAsia="sl-SI"/>
        </w:rPr>
      </w:pPr>
    </w:p>
    <w:p w14:paraId="1F6DEA47" w14:textId="77777777" w:rsidR="008F7DDB" w:rsidRPr="009C1D8F" w:rsidRDefault="008F7DDB" w:rsidP="008F7DDB">
      <w:pPr>
        <w:widowControl w:val="0"/>
        <w:spacing w:line="240" w:lineRule="auto"/>
        <w:ind w:right="-1"/>
        <w:jc w:val="both"/>
        <w:rPr>
          <w:lang w:val="sr-Latn-ME" w:eastAsia="sl-SI"/>
        </w:rPr>
      </w:pPr>
      <w:r w:rsidRPr="00291333">
        <w:rPr>
          <w:u w:val="single"/>
          <w:lang w:val="sr-Latn-ME" w:eastAsia="sl-SI"/>
        </w:rPr>
        <w:t xml:space="preserve">Hepatotoksičnost </w:t>
      </w:r>
    </w:p>
    <w:p w14:paraId="56C17272"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Metabolizam lijeka Meaxin se odvija uglavnom u jetri, a samo 13% izlučivanja ide preko bubrega. Kod pacijenata sa disfunkcijom jetre (blagom, umjerenom ili teškom), perifernu krvnu sliku i enzime jetre treba pažljivo pratiti (vidjeti odjeljke 4.2, 4.8 i 5.2). Potrebno je imati na umu da pacijenti koji imaju GIST mogu da imaju metastaze u jetri koje mogu da dovedu do oštećenja funkcije jetre. </w:t>
      </w:r>
    </w:p>
    <w:p w14:paraId="56505249" w14:textId="77777777" w:rsidR="008F7DDB" w:rsidRPr="00291333" w:rsidRDefault="008F7DDB" w:rsidP="008F7DDB">
      <w:pPr>
        <w:widowControl w:val="0"/>
        <w:spacing w:line="240" w:lineRule="auto"/>
        <w:ind w:right="-1"/>
        <w:jc w:val="both"/>
        <w:rPr>
          <w:lang w:val="sr-Latn-ME" w:eastAsia="sl-SI"/>
        </w:rPr>
      </w:pPr>
    </w:p>
    <w:p w14:paraId="6271905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Slučajevi oštećenja jetre, uključujući insuficijeniciju i nekrozu jetre, uočeni su kod primjene imatiniba. Kad se imatinib kombinuje sa hemioterapijskim režimima visokih doza, uočava se povećanje broja ozbiljnih hepatičkih reakcija. U slučajevima kada se imatinib kombinuje sa hemioterapijskim režimima, za koje je poznato da su povezani sa disfunkcijom jetre, funkciju jetre treba pažljivo pratiti (vidjeti odjeljke 4.5 i 4.8). </w:t>
      </w:r>
    </w:p>
    <w:p w14:paraId="39BA2614" w14:textId="77777777" w:rsidR="008F7DDB" w:rsidRPr="00291333" w:rsidRDefault="008F7DDB" w:rsidP="008F7DDB">
      <w:pPr>
        <w:widowControl w:val="0"/>
        <w:spacing w:line="240" w:lineRule="auto"/>
        <w:ind w:right="-1"/>
        <w:jc w:val="both"/>
        <w:rPr>
          <w:u w:val="single"/>
          <w:lang w:val="sr-Latn-ME" w:eastAsia="sl-SI"/>
        </w:rPr>
      </w:pPr>
    </w:p>
    <w:p w14:paraId="35539F03"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Retencija tečnosti </w:t>
      </w:r>
    </w:p>
    <w:p w14:paraId="64081672"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Pojave teške retencije tečnosti (pleuralna efuzija, edem, plućni edem, ascites, površinski edem) zabilježeni su kod približno 2,5% novodijagnostikovanih pacijenata sa CML-om koji uzimaju imatinib. Stoga se posebno preporučuje da se tim pacijentima redovno mjeri tjelesna težina. </w:t>
      </w:r>
    </w:p>
    <w:p w14:paraId="255203E2" w14:textId="77777777" w:rsidR="008F7DDB" w:rsidRPr="00291333" w:rsidRDefault="008F7DDB" w:rsidP="008F7DDB">
      <w:pPr>
        <w:widowControl w:val="0"/>
        <w:spacing w:line="240" w:lineRule="auto"/>
        <w:ind w:right="-1"/>
        <w:jc w:val="both"/>
        <w:rPr>
          <w:b/>
          <w:lang w:val="sr-Latn-ME" w:eastAsia="sl-SI"/>
        </w:rPr>
      </w:pPr>
      <w:r w:rsidRPr="00291333">
        <w:rPr>
          <w:lang w:val="sr-Latn-ME" w:eastAsia="sl-SI"/>
        </w:rPr>
        <w:t>Neočekivan i nagli porast tjelesne težine treba pažljivo istražiti i, po potrebi, preduzeti odgovarajuće suportivne i terapijske mjere. U kliničkim ispitivanjima, došlo je do povećanja incidence ovih događaja kod starijih pacijenata i onih sa prethodnom istorijom srčane bolesti. Stoga treba biti posebno oprezan kod pacijenata sa srčanom disfunkcijom.</w:t>
      </w:r>
    </w:p>
    <w:p w14:paraId="566BC13A" w14:textId="77777777" w:rsidR="008F7DDB" w:rsidRPr="00291333" w:rsidRDefault="008F7DDB" w:rsidP="008F7DDB">
      <w:pPr>
        <w:widowControl w:val="0"/>
        <w:spacing w:line="240" w:lineRule="auto"/>
        <w:ind w:right="-1"/>
        <w:jc w:val="both"/>
        <w:rPr>
          <w:iCs/>
          <w:lang w:val="sr-Latn-ME" w:eastAsia="sl-SI"/>
        </w:rPr>
      </w:pPr>
    </w:p>
    <w:p w14:paraId="7EE0BCE3"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Pacijenti sa srčanom bolešću </w:t>
      </w:r>
    </w:p>
    <w:p w14:paraId="0EBB431C"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Pacijente sa oboljenjem srca, faktorima rizika za srčanu insuficijenciju ili sa bubrežnom insuficijencijom u anamnezi treba pažljivo pratiti, a sve pacijente sa znacima ili simptomima konzistentnim sa srčanom ili bubrežnom insuficijencijom treba procjenjivati i liječiti.</w:t>
      </w:r>
    </w:p>
    <w:p w14:paraId="410A395A" w14:textId="77777777" w:rsidR="008F7DDB" w:rsidRPr="00291333" w:rsidRDefault="008F7DDB" w:rsidP="008F7DDB">
      <w:pPr>
        <w:widowControl w:val="0"/>
        <w:spacing w:line="240" w:lineRule="auto"/>
        <w:ind w:right="-1"/>
        <w:jc w:val="both"/>
        <w:rPr>
          <w:lang w:val="sr-Latn-ME" w:eastAsia="sl-SI"/>
        </w:rPr>
      </w:pPr>
    </w:p>
    <w:p w14:paraId="404703A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Kod pacijenata koji boluju od hipereozinofilnog sindroma (HES) sa okultnom infiltracijom HES ćelija unutar miokarda, izolovani slučajevi kardiogenog šoka/disfunkcije lijeve komore su bili povezani sa degranulacijom HES ćelija nakon uvođenja imatiniba u terapiju. Zabilježeno je da je ovo stanje bilo reverzibilno primjenom sistemskih steroida, cirkulacijskih suportivnih mjera i uz privremen prestanak primjene imatiniba. Povremeno je dolazilo do srčanih neželjenih događaja prilikom primjene imatiniba, i zbog toga treba imati na umu obavljanje pažljive procjene odnosa korist/rizik terapije imatinibom u populaciji HES/CEL prije započinjanja terapije.</w:t>
      </w:r>
    </w:p>
    <w:p w14:paraId="7F648604" w14:textId="77777777" w:rsidR="008F7DDB" w:rsidRPr="00291333" w:rsidRDefault="008F7DDB" w:rsidP="008F7DDB">
      <w:pPr>
        <w:widowControl w:val="0"/>
        <w:spacing w:line="240" w:lineRule="auto"/>
        <w:ind w:right="-1"/>
        <w:jc w:val="both"/>
        <w:rPr>
          <w:lang w:val="sr-Latn-ME" w:eastAsia="sl-SI"/>
        </w:rPr>
      </w:pPr>
    </w:p>
    <w:p w14:paraId="4E7651EC"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Mijelodisplastične/mijeloproliferativne bolesti sa rearanžmanom PDGFR gena mogu biti udružene sa visokim koncentracijama eozinofila. Prije nego što se primijeni imatinib treba razmotriti procjenu kardiologa, rezultate ehokardiograma i određivanje serumskog troponina kod pacijenata sa HES/CEL, kao i kod pacijenata sa MDS/MPD udruženim sa visokim nivoima eozinofila. Ako bilo koji od ovih pokazatelja nije u granicama normalnih vrijednosti, prilikom započinjanja terapije treba razmotriti kontrolni pregled kod specijaliste kardiologije i profilaktičku primjenu sistemskih steroida (1-2 mg/kg) tokom jedne do dvije nedjelje, istovremeno uz imatinib. </w:t>
      </w:r>
    </w:p>
    <w:p w14:paraId="2C3197FD" w14:textId="77777777" w:rsidR="008F7DDB" w:rsidRPr="00291333" w:rsidRDefault="008F7DDB" w:rsidP="008F7DDB">
      <w:pPr>
        <w:widowControl w:val="0"/>
        <w:spacing w:line="240" w:lineRule="auto"/>
        <w:ind w:right="-1"/>
        <w:jc w:val="both"/>
        <w:rPr>
          <w:lang w:val="sr-Latn-ME" w:eastAsia="sl-SI"/>
        </w:rPr>
      </w:pPr>
    </w:p>
    <w:p w14:paraId="05A082CE"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 xml:space="preserve">Gastrointestinalne hemoragije </w:t>
      </w:r>
    </w:p>
    <w:p w14:paraId="79C6CDA8" w14:textId="77777777" w:rsidR="008F7DDB" w:rsidRPr="00291333" w:rsidRDefault="008F7DDB" w:rsidP="008F7DDB">
      <w:pPr>
        <w:widowControl w:val="0"/>
        <w:spacing w:line="240" w:lineRule="auto"/>
        <w:ind w:right="-1"/>
        <w:jc w:val="both"/>
        <w:rPr>
          <w:u w:val="single"/>
          <w:lang w:val="sr-Latn-ME" w:eastAsia="sl-SI"/>
        </w:rPr>
      </w:pPr>
    </w:p>
    <w:p w14:paraId="5ACCA86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U kliničkoj studiji u kojoj su učestvovali pacijenti sa neresektabilnim i/ili metastatskim GIST-om, prijavljene su i gastrointestinalne i intratumorske hemoragije (vidjeti odjeljak 4.8). Na osnovu raspoloživih podataka, nisu identifikovani predisponirajući faktori (npr. veličina tumora, lokacija tumora, poremećaji koagulacije) zbog kojih bi pacijenti sa GIST-om bili izloženi većem riziku od bilo kog tipa hemoragija. Pošto su povećana vaskularnost i sklonost krvarenju karakteristika i dio kliničkog toka GIST-a, treba primijeniti standardnu praksu i procedure za praćenje i liječenje hemoragije kod svih pacijenata. </w:t>
      </w:r>
    </w:p>
    <w:p w14:paraId="786579B7" w14:textId="77777777" w:rsidR="008F7DDB" w:rsidRPr="00291333" w:rsidRDefault="008F7DDB" w:rsidP="008F7DDB">
      <w:pPr>
        <w:widowControl w:val="0"/>
        <w:spacing w:line="240" w:lineRule="auto"/>
        <w:ind w:right="-1"/>
        <w:jc w:val="both"/>
        <w:rPr>
          <w:lang w:val="sr-Latn-ME" w:eastAsia="sl-SI"/>
        </w:rPr>
      </w:pPr>
    </w:p>
    <w:p w14:paraId="67FB5CCF"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Dodatno, kod pacijenata sa CML, ALL i drugim bolestima, tokom postmarketinškog praćenja  prijavljena je i gastrična antralna vaskularna ektazija (GAVE), rijedak uzročnik gastrointestinalnog krvarenja (vidjeti odjeljak 4.8). Ukoliko je potrebno, može se razmotriti prekid terapije imatinibom. </w:t>
      </w:r>
    </w:p>
    <w:p w14:paraId="312470CE" w14:textId="77777777" w:rsidR="008F7DDB" w:rsidRPr="00291333" w:rsidRDefault="008F7DDB" w:rsidP="008F7DDB">
      <w:pPr>
        <w:widowControl w:val="0"/>
        <w:spacing w:line="240" w:lineRule="auto"/>
        <w:ind w:right="-1"/>
        <w:rPr>
          <w:u w:val="single"/>
          <w:lang w:val="sr-Latn-ME" w:eastAsia="sl-SI"/>
        </w:rPr>
      </w:pPr>
    </w:p>
    <w:p w14:paraId="5E084F1F"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Sindrom lize tumora</w:t>
      </w:r>
    </w:p>
    <w:p w14:paraId="7FD0529E"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Zbog mogućeg nastanka sindroma lize tumora (TLS, engl. </w:t>
      </w:r>
      <w:r w:rsidRPr="00291333">
        <w:rPr>
          <w:i/>
          <w:lang w:val="sr-Latn-ME" w:eastAsia="sl-SI"/>
        </w:rPr>
        <w:t>tumor lysis syndrome</w:t>
      </w:r>
      <w:r w:rsidRPr="00291333">
        <w:rPr>
          <w:lang w:val="sr-Latn-ME" w:eastAsia="sl-SI"/>
        </w:rPr>
        <w:t>), preporučuje se korekcija klinički značajne dehidratacije i liječenje visokih nivoa mokraćne kiseline prije započinjanja terapije imatinibom (vidjeti odjeljak 4.8).</w:t>
      </w:r>
    </w:p>
    <w:p w14:paraId="75FE68FD" w14:textId="77777777" w:rsidR="008F7DDB" w:rsidRPr="00291333" w:rsidRDefault="008F7DDB" w:rsidP="008F7DDB">
      <w:pPr>
        <w:widowControl w:val="0"/>
        <w:spacing w:line="240" w:lineRule="auto"/>
        <w:ind w:right="-1"/>
        <w:jc w:val="both"/>
        <w:rPr>
          <w:lang w:val="sr-Latn-ME" w:eastAsia="sl-SI"/>
        </w:rPr>
      </w:pPr>
    </w:p>
    <w:p w14:paraId="3C0E99D6"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Reaktivacija hepatitisa B </w:t>
      </w:r>
    </w:p>
    <w:p w14:paraId="17307E3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lastRenderedPageBreak/>
        <w:t xml:space="preserve">Kod pacijenata koji su hronični nosioci virusa hepatitisa B pojavila se ponovna aktivacija tog virusa nakon što su primili inhibitore BCR-ABL tirozin kinaze. U nekim slučajevima je došlo do akutne insuficijencije jetre ili fulminantnog hepatitisa što je dovelo do transplantacije jetre ili smrtnog ishoda. </w:t>
      </w:r>
    </w:p>
    <w:p w14:paraId="3A65A9F1" w14:textId="77777777" w:rsidR="008F7DDB" w:rsidRPr="00291333" w:rsidRDefault="008F7DDB" w:rsidP="008F7DDB">
      <w:pPr>
        <w:widowControl w:val="0"/>
        <w:spacing w:line="240" w:lineRule="auto"/>
        <w:ind w:right="-1"/>
        <w:jc w:val="both"/>
        <w:rPr>
          <w:lang w:val="sr-Latn-ME" w:eastAsia="sl-SI"/>
        </w:rPr>
      </w:pPr>
    </w:p>
    <w:p w14:paraId="6935465C" w14:textId="77777777" w:rsidR="008F7DDB" w:rsidRPr="00291333" w:rsidRDefault="008F7DDB" w:rsidP="008F7DDB">
      <w:pPr>
        <w:widowControl w:val="0"/>
        <w:spacing w:line="240" w:lineRule="auto"/>
        <w:ind w:right="-1"/>
        <w:jc w:val="both"/>
        <w:rPr>
          <w:iCs/>
          <w:lang w:val="sr-Latn-ME" w:eastAsia="sl-SI"/>
        </w:rPr>
      </w:pPr>
      <w:r w:rsidRPr="00291333">
        <w:rPr>
          <w:lang w:val="sr-Latn-ME" w:eastAsia="sl-SI"/>
        </w:rPr>
        <w:t>Potrebno je testirati pacijente na infekciju HBV-om prije početka liječenja imatinibom. Prije početka liječenja pacijenata sa pozitivnim serološkim nalazima na hepatitis B (uključujući i one sa aktivnom bolešću) i pacijenata za koje se pokaže da su pozitivni na HBV tokom liječenja, potrebno je posavjetovati se sa stručnjacima za bolesti jetre i liječenje hepatitisa B. Nosioce virusa HBV kojima je potrebno liječenje imatinibom, potrebno je pažljivo pratiti zbog znakova i simptoma aktivne infekcije HBV-om tokom terapije i nekoliko mjeseci nakon završetka terapije (vidjeti odjeljak 4.8).</w:t>
      </w:r>
    </w:p>
    <w:p w14:paraId="3BD92006" w14:textId="77777777" w:rsidR="008F7DDB" w:rsidRPr="00291333" w:rsidRDefault="008F7DDB" w:rsidP="008F7DDB">
      <w:pPr>
        <w:widowControl w:val="0"/>
        <w:spacing w:line="240" w:lineRule="auto"/>
        <w:ind w:right="-1"/>
        <w:jc w:val="both"/>
        <w:rPr>
          <w:iCs/>
          <w:lang w:val="sr-Latn-ME" w:eastAsia="sl-SI"/>
        </w:rPr>
      </w:pPr>
    </w:p>
    <w:p w14:paraId="13AE4F8A"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Fototoksičnost</w:t>
      </w:r>
    </w:p>
    <w:p w14:paraId="212E0DF1"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Izlaganje direktnoj sunčevoj svjetlosti je potrebno izbjegavati ili smanjiti na najmanju moguću mjeru zbog rizika od fototoksičnosti povezanog sa liječenjem imatinibom. Pacijente je potrebno uputiti da primjenjuju mjere kao što su zaštitna odjeća i sredstva za sunčanje sa visokim faktorom zaštite od sunca (SPF). </w:t>
      </w:r>
    </w:p>
    <w:p w14:paraId="7ED9A1DA" w14:textId="77777777" w:rsidR="008F7DDB" w:rsidRPr="00291333" w:rsidRDefault="008F7DDB" w:rsidP="008F7DDB">
      <w:pPr>
        <w:widowControl w:val="0"/>
        <w:spacing w:line="240" w:lineRule="auto"/>
        <w:ind w:right="-1"/>
        <w:jc w:val="both"/>
        <w:rPr>
          <w:lang w:val="sr-Latn-ME" w:eastAsia="sl-SI"/>
        </w:rPr>
      </w:pPr>
    </w:p>
    <w:p w14:paraId="7E231716" w14:textId="77777777" w:rsidR="008F7DDB" w:rsidRPr="00291333" w:rsidRDefault="008F7DDB" w:rsidP="008F7DDB">
      <w:pPr>
        <w:spacing w:line="240" w:lineRule="auto"/>
        <w:jc w:val="both"/>
        <w:rPr>
          <w:u w:val="single"/>
          <w:lang w:val="sr-Latn-ME" w:eastAsia="sr-Latn-RS"/>
        </w:rPr>
      </w:pPr>
      <w:r w:rsidRPr="00291333">
        <w:rPr>
          <w:u w:val="single"/>
          <w:lang w:val="sr-Latn-ME" w:eastAsia="sr-Latn-RS"/>
        </w:rPr>
        <w:t>Trombotska mikroangiopatija</w:t>
      </w:r>
    </w:p>
    <w:p w14:paraId="2339A09A" w14:textId="77777777" w:rsidR="008F7DDB" w:rsidRPr="00291333" w:rsidRDefault="008F7DDB" w:rsidP="008F7DDB">
      <w:pPr>
        <w:spacing w:line="240" w:lineRule="auto"/>
        <w:jc w:val="both"/>
        <w:rPr>
          <w:lang w:val="sr-Latn-ME" w:eastAsia="sr-Latn-RS"/>
        </w:rPr>
      </w:pPr>
      <w:r w:rsidRPr="00291333">
        <w:rPr>
          <w:lang w:val="sr-Latn-ME" w:eastAsia="sr-Latn-RS"/>
        </w:rPr>
        <w:t>BCR-ABL inhibitori tirozin kinaze (TKI) povezani su sa trombotskom mikroangiopatijom (TMA), uključujući pojedinačne izvještaje o slučaju imatiniba (vidjeti odjeljak 4.8). Ako se laboratorijski ili klinički nalazi povezani s TMA pojave kod pacijenta koji prima lijek  Meaxin, liječenje treba prekinuti i detaljnu procjenu TMA, uključujući aktivnost ADAMTS13 i određivanje antitijela ADAMTS13, treba dovršiti. Ako se vrijednost anti-ADAMTS13-antitijela poveća zajedno s niskom aktivnošću ADAMTS13, liječenje Meaxinom ne bi trebalo nastaviti.</w:t>
      </w:r>
    </w:p>
    <w:p w14:paraId="74D3064A" w14:textId="77777777" w:rsidR="008F7DDB" w:rsidRPr="00291333" w:rsidRDefault="008F7DDB" w:rsidP="008F7DDB">
      <w:pPr>
        <w:widowControl w:val="0"/>
        <w:spacing w:line="240" w:lineRule="auto"/>
        <w:ind w:right="-1"/>
        <w:rPr>
          <w:lang w:val="sr-Latn-ME" w:eastAsia="sl-SI"/>
        </w:rPr>
      </w:pPr>
    </w:p>
    <w:p w14:paraId="5EA5369F"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Laboratorijski testovi </w:t>
      </w:r>
    </w:p>
    <w:p w14:paraId="032D67C7" w14:textId="77777777" w:rsidR="008F7DDB" w:rsidRDefault="008F7DDB" w:rsidP="008F7DDB">
      <w:pPr>
        <w:widowControl w:val="0"/>
        <w:spacing w:line="240" w:lineRule="auto"/>
        <w:ind w:right="-1"/>
        <w:jc w:val="both"/>
        <w:rPr>
          <w:lang w:val="sr-Latn-ME" w:eastAsia="sl-SI"/>
        </w:rPr>
      </w:pPr>
      <w:r w:rsidRPr="00291333">
        <w:rPr>
          <w:lang w:val="sr-Latn-ME" w:eastAsia="sl-SI"/>
        </w:rPr>
        <w:t>Treba redovno kontrolisati kompletnu krvnu sliku tokom terapije imatinibom. Terapija pacijenata sa CML lijekom koji sadrži imatinib povezivana je sa neutropenijom ili trombocitopenijom. Međutim, pojava ovih citopenija se vjerovatno vezuje za stadijum bolesti koji se liječi i češće su kod pacijenata sa fazom akceleracije CML ili blastnom krizom u poređenju sa pacijentima u hroničnoj fazi CML. Terapija imatinibom može se prekinuti ili doza redukovati, kao što je preporučeno u odjeljku 4.2.</w:t>
      </w:r>
    </w:p>
    <w:p w14:paraId="7FF2F3FD"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Kod pacijenata koji uzimaju imatinib treba redovno pratiti funkciju jetre (transaminaze, bilirubin, alkalnu fosfatazu). </w:t>
      </w:r>
    </w:p>
    <w:p w14:paraId="268721AE" w14:textId="77777777" w:rsidR="008F7DDB" w:rsidRPr="00291333" w:rsidRDefault="008F7DDB" w:rsidP="008F7DDB">
      <w:pPr>
        <w:widowControl w:val="0"/>
        <w:spacing w:line="240" w:lineRule="auto"/>
        <w:ind w:right="-1"/>
        <w:jc w:val="both"/>
        <w:rPr>
          <w:lang w:val="sr-Latn-ME" w:eastAsia="sl-SI"/>
        </w:rPr>
      </w:pPr>
    </w:p>
    <w:p w14:paraId="2923E8D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Kod pacijenata sa oštećenom funkcijom bubrega, izgleda da je izloženost imatiniba u plazmi viša nego kod pacijenata sa normalnom funkcijom bubrega, vjerovatno zbog povišenog nivoa alfa-kiselog glikoproteina u plazmi (AGP), proteina koji vezuje imatinib, kod ovih pacijenata. Pacijenti sa oštećenjem bubrežne funkcije treba da prime minimalnu početnu dozu. Pacijente sa ozbiljnim oštećenjem bubrežne funkcije treba oprezno liječiti. Doza se može smanjiti ukoliko se ne podnosi (vidjeti odjeljke 4.2 i 5.2). </w:t>
      </w:r>
    </w:p>
    <w:p w14:paraId="61A8C876" w14:textId="77777777" w:rsidR="008F7DDB" w:rsidRPr="00291333" w:rsidRDefault="008F7DDB" w:rsidP="008F7DDB">
      <w:pPr>
        <w:widowControl w:val="0"/>
        <w:spacing w:line="240" w:lineRule="auto"/>
        <w:ind w:right="-1"/>
        <w:jc w:val="both"/>
        <w:rPr>
          <w:lang w:val="sr-Latn-ME" w:eastAsia="sl-SI"/>
        </w:rPr>
      </w:pPr>
    </w:p>
    <w:p w14:paraId="231F4BD5"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Dugotrajno liječenje imatinibom može biti povezano sa klinički značajnim padom funkcije bubrega. Zbog toga, funkciju bubrega treba ispitati prije početka terapije imatinibom i pažljivo pratiti tokom terapije, uz posebnu pažnju na one pacijente koji pokazuju faktore rizika za bubrežnu disfunkciju. Ako se uoči bubrežna disfunkcija, potrebno je uvesti odgovarajući nadzor i liječenje u skladu sa standardnim smjernicama liječenja.</w:t>
      </w:r>
    </w:p>
    <w:p w14:paraId="02ACF29D" w14:textId="77777777" w:rsidR="008F7DDB" w:rsidRPr="00291333" w:rsidRDefault="008F7DDB" w:rsidP="008F7DDB">
      <w:pPr>
        <w:widowControl w:val="0"/>
        <w:spacing w:line="240" w:lineRule="auto"/>
        <w:ind w:right="-1"/>
        <w:jc w:val="both"/>
        <w:rPr>
          <w:lang w:val="sr-Latn-ME" w:eastAsia="sl-SI"/>
        </w:rPr>
      </w:pPr>
    </w:p>
    <w:p w14:paraId="3FE42868" w14:textId="77777777" w:rsidR="008F7DDB" w:rsidRDefault="008F7DDB" w:rsidP="008F7DDB">
      <w:pPr>
        <w:widowControl w:val="0"/>
        <w:spacing w:line="240" w:lineRule="auto"/>
        <w:ind w:right="-1"/>
        <w:jc w:val="both"/>
        <w:rPr>
          <w:i/>
          <w:u w:val="single"/>
          <w:lang w:val="sr-Latn-ME" w:eastAsia="sl-SI"/>
        </w:rPr>
      </w:pPr>
      <w:r w:rsidRPr="00291333">
        <w:rPr>
          <w:i/>
          <w:u w:val="single"/>
          <w:lang w:val="sr-Latn-ME" w:eastAsia="sl-SI"/>
        </w:rPr>
        <w:t>Pedijatrijska populacija</w:t>
      </w:r>
    </w:p>
    <w:p w14:paraId="2EEF008A" w14:textId="77777777" w:rsidR="008F7DDB" w:rsidRPr="00291333" w:rsidRDefault="008F7DDB" w:rsidP="008F7DDB">
      <w:pPr>
        <w:widowControl w:val="0"/>
        <w:spacing w:line="240" w:lineRule="auto"/>
        <w:ind w:right="-1"/>
        <w:jc w:val="both"/>
        <w:rPr>
          <w:i/>
          <w:u w:val="single"/>
          <w:lang w:val="sr-Latn-ME" w:eastAsia="sl-SI"/>
        </w:rPr>
      </w:pPr>
    </w:p>
    <w:p w14:paraId="21F4880D"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Prijavljivani su slučajevi usporenog rasta koji se javlja kod djece i mladih u periodu preadolescencije, a koji primaju imatinib. U observacionoj studiji kod CML u pedijatrijskoj populaciji, kod dvije male podgrupe djece, nezavisno od pubertalnog statusa i pola, zabilježen je statistički značajan pad (ali neizvjesnog kliničkog značaja) sa visokim vrijednostima standardne devijacije, nakon 12 i 24 mjeseca od liječenja imatinibom.</w:t>
      </w:r>
    </w:p>
    <w:p w14:paraId="3D140D0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Preporučuje se pažljivo praćenje rasta djece koja su na terapiji imatinibom (vidjeti odjeljak 4.8).</w:t>
      </w:r>
    </w:p>
    <w:p w14:paraId="45438E45" w14:textId="77777777" w:rsidR="008F7DDB" w:rsidRPr="00291333" w:rsidRDefault="008F7DDB" w:rsidP="008F7DDB">
      <w:pPr>
        <w:widowControl w:val="0"/>
        <w:spacing w:line="240" w:lineRule="auto"/>
        <w:ind w:right="-1"/>
        <w:jc w:val="both"/>
        <w:rPr>
          <w:lang w:val="sr-Latn-ME" w:eastAsia="sl-SI"/>
        </w:rPr>
      </w:pPr>
    </w:p>
    <w:p w14:paraId="4BB5BBAA" w14:textId="77777777" w:rsidR="008F7DDB" w:rsidRPr="00291333" w:rsidRDefault="008F7DDB" w:rsidP="008F7DDB">
      <w:pPr>
        <w:widowControl w:val="0"/>
        <w:spacing w:line="240" w:lineRule="auto"/>
        <w:jc w:val="both"/>
        <w:rPr>
          <w:iCs/>
          <w:lang w:val="sr-Latn-ME" w:eastAsia="sl-SI"/>
        </w:rPr>
      </w:pPr>
      <w:r w:rsidRPr="00291333">
        <w:rPr>
          <w:i/>
          <w:iCs/>
          <w:lang w:val="sr-Latn-ME" w:eastAsia="sl-SI"/>
        </w:rPr>
        <w:t>Posebna upozorenja o pomoćnim supstancama</w:t>
      </w:r>
    </w:p>
    <w:p w14:paraId="15ED575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lastRenderedPageBreak/>
        <w:t xml:space="preserve">Lijek Meaxin sadrži laktozu. Pacijenti sa rijetkim nasljednim poremećajem nepodnošenja galaktoze, </w:t>
      </w:r>
      <w:r w:rsidR="00B94E35" w:rsidRPr="002312EC">
        <w:rPr>
          <w:szCs w:val="22"/>
          <w:lang w:val="sr-Latn-ME"/>
        </w:rPr>
        <w:t>potpun</w:t>
      </w:r>
      <w:r w:rsidR="00B94E35">
        <w:rPr>
          <w:szCs w:val="22"/>
          <w:lang w:val="sr-Latn-ME"/>
        </w:rPr>
        <w:t>i</w:t>
      </w:r>
      <w:r w:rsidR="00B94E35" w:rsidRPr="002312EC">
        <w:rPr>
          <w:szCs w:val="22"/>
          <w:lang w:val="sr-Latn-ME"/>
        </w:rPr>
        <w:t xml:space="preserve">m </w:t>
      </w:r>
      <w:r w:rsidRPr="00291333">
        <w:rPr>
          <w:lang w:val="sr-Latn-ME" w:eastAsia="sl-SI"/>
        </w:rPr>
        <w:t>nedostatkom laktaze ili glukoza -</w:t>
      </w:r>
      <w:r w:rsidR="00860820">
        <w:rPr>
          <w:lang w:val="sr-Latn-ME" w:eastAsia="sl-SI"/>
        </w:rPr>
        <w:t xml:space="preserve"> </w:t>
      </w:r>
      <w:r w:rsidRPr="00291333">
        <w:rPr>
          <w:lang w:val="sr-Latn-ME" w:eastAsia="sl-SI"/>
        </w:rPr>
        <w:t>galaktoza malapsorpcijom ne smiju uzimati ovaj lijek.</w:t>
      </w:r>
    </w:p>
    <w:p w14:paraId="4D3CF56E" w14:textId="77777777" w:rsidR="008F7DDB" w:rsidRPr="00291333" w:rsidRDefault="008F7DDB" w:rsidP="008F7DDB">
      <w:pPr>
        <w:widowControl w:val="0"/>
        <w:spacing w:line="240" w:lineRule="auto"/>
        <w:jc w:val="both"/>
        <w:rPr>
          <w:lang w:val="sr-Latn-ME"/>
        </w:rPr>
      </w:pPr>
    </w:p>
    <w:p w14:paraId="36A05FB8" w14:textId="77777777" w:rsidR="008F7DDB" w:rsidRPr="00291333" w:rsidRDefault="008F7DDB" w:rsidP="008F7DDB">
      <w:pPr>
        <w:widowControl w:val="0"/>
        <w:spacing w:line="240" w:lineRule="auto"/>
        <w:jc w:val="both"/>
        <w:outlineLvl w:val="0"/>
        <w:rPr>
          <w:b/>
          <w:lang w:val="sr-Latn-ME" w:eastAsia="sl-SI"/>
        </w:rPr>
      </w:pPr>
      <w:r w:rsidRPr="00291333">
        <w:rPr>
          <w:b/>
          <w:lang w:val="sr-Latn-ME" w:eastAsia="sl-SI"/>
        </w:rPr>
        <w:t>4.5</w:t>
      </w:r>
      <w:r w:rsidRPr="00291333">
        <w:rPr>
          <w:b/>
          <w:lang w:val="sr-Latn-ME" w:eastAsia="sl-SI"/>
        </w:rPr>
        <w:tab/>
        <w:t>Interakcije sa drugim ljekovima i druge vrste interakcija</w:t>
      </w:r>
    </w:p>
    <w:p w14:paraId="4184D8C1" w14:textId="77777777" w:rsidR="008F7DDB" w:rsidRPr="00291333" w:rsidRDefault="008F7DDB" w:rsidP="008F7DDB">
      <w:pPr>
        <w:widowControl w:val="0"/>
        <w:spacing w:line="240" w:lineRule="auto"/>
        <w:jc w:val="both"/>
        <w:outlineLvl w:val="0"/>
        <w:rPr>
          <w:lang w:val="sr-Latn-ME" w:eastAsia="sl-SI"/>
        </w:rPr>
      </w:pPr>
    </w:p>
    <w:p w14:paraId="207C45D2"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 xml:space="preserve">Aktivne supstance koje mogu </w:t>
      </w:r>
      <w:r w:rsidRPr="00291333">
        <w:rPr>
          <w:b/>
          <w:u w:val="single"/>
          <w:lang w:val="sr-Latn-ME" w:eastAsia="sl-SI"/>
        </w:rPr>
        <w:t>povećati</w:t>
      </w:r>
      <w:r w:rsidRPr="00291333">
        <w:rPr>
          <w:u w:val="single"/>
          <w:lang w:val="sr-Latn-ME" w:eastAsia="sl-SI"/>
        </w:rPr>
        <w:t xml:space="preserve"> koncentraciju imatiniba u plazmi:</w:t>
      </w:r>
    </w:p>
    <w:p w14:paraId="5A8F5DBB" w14:textId="77777777" w:rsidR="008F7DDB" w:rsidRPr="00291333" w:rsidRDefault="008F7DDB" w:rsidP="008F7DDB">
      <w:pPr>
        <w:widowControl w:val="0"/>
        <w:spacing w:line="240" w:lineRule="auto"/>
        <w:ind w:right="-1"/>
        <w:jc w:val="both"/>
        <w:rPr>
          <w:u w:val="single"/>
          <w:lang w:val="sr-Latn-ME" w:eastAsia="sl-SI"/>
        </w:rPr>
      </w:pPr>
    </w:p>
    <w:p w14:paraId="490BC3F9"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Supstance koje inhibiraju aktivnost citohrom P450 izoenzima CYP3A4 (npr. inhibitori proteaze kao što su indinavir, lopinavir/ritonavir, ritonavir, sakvinavir, telaprevir, nelfinavir, boceprevir, azolni antimikotici uključujući ketokonazol, itrakonazol, posakonazol, vorikonazol; određeni makrolidi kao što su eritromicin, klaritromicin i telitromicin) mogu da smanje metabolizam i povećaju koncentracije imatiniba. Došlo je do značajnog povećanja izloženosti imatinibu (srednja Cmax imatiniba je porasla za 26%, a PIK imatiniba je porastao za 40%) kod zdravih ispitanika kada se davao istovremeno sa pojedinačnom dozom ketokonazola (inhibitor CYP3A4). Treba biti oprezan kada se imatinib primjenjuje sa inhibitorima grupe CYP3A4. </w:t>
      </w:r>
    </w:p>
    <w:p w14:paraId="6369F6A8" w14:textId="77777777" w:rsidR="008F7DDB" w:rsidRPr="00291333" w:rsidRDefault="008F7DDB" w:rsidP="008F7DDB">
      <w:pPr>
        <w:widowControl w:val="0"/>
        <w:spacing w:line="240" w:lineRule="auto"/>
        <w:ind w:right="-1"/>
        <w:rPr>
          <w:lang w:val="sr-Latn-ME" w:eastAsia="sl-SI"/>
        </w:rPr>
      </w:pPr>
    </w:p>
    <w:p w14:paraId="732864A5"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 xml:space="preserve">Aktivne supstance koje mogu </w:t>
      </w:r>
      <w:r w:rsidRPr="00291333">
        <w:rPr>
          <w:b/>
          <w:u w:val="single"/>
          <w:lang w:val="sr-Latn-ME" w:eastAsia="sl-SI"/>
        </w:rPr>
        <w:t>smanjiti</w:t>
      </w:r>
      <w:r w:rsidRPr="00291333">
        <w:rPr>
          <w:u w:val="single"/>
          <w:lang w:val="sr-Latn-ME" w:eastAsia="sl-SI"/>
        </w:rPr>
        <w:t xml:space="preserve"> koncentraciju imatiniba u plazmi: </w:t>
      </w:r>
    </w:p>
    <w:p w14:paraId="6FA9F112" w14:textId="77777777" w:rsidR="008F7DDB" w:rsidRPr="00291333" w:rsidRDefault="008F7DDB" w:rsidP="008F7DDB">
      <w:pPr>
        <w:widowControl w:val="0"/>
        <w:spacing w:line="240" w:lineRule="auto"/>
        <w:ind w:right="-1"/>
        <w:jc w:val="both"/>
        <w:rPr>
          <w:u w:val="single"/>
          <w:lang w:val="sr-Latn-ME" w:eastAsia="sl-SI"/>
        </w:rPr>
      </w:pPr>
    </w:p>
    <w:p w14:paraId="6592255D" w14:textId="77777777" w:rsidR="008F7DDB" w:rsidRPr="00291333" w:rsidRDefault="008F7DDB" w:rsidP="008F7DDB">
      <w:pPr>
        <w:widowControl w:val="0"/>
        <w:spacing w:line="240" w:lineRule="auto"/>
        <w:ind w:right="-1"/>
        <w:jc w:val="both"/>
        <w:rPr>
          <w:b/>
          <w:lang w:val="sr-Latn-ME" w:eastAsia="sl-SI"/>
        </w:rPr>
      </w:pPr>
      <w:r w:rsidRPr="00291333">
        <w:rPr>
          <w:lang w:val="sr-Latn-ME" w:eastAsia="sl-SI"/>
        </w:rPr>
        <w:t xml:space="preserve">Supstance koje su induktori aktivnosti CYP3A4 (npr. deksametazon, fenitoin, karbamazepin, rifampicin, fenobarbital, fosfenitoin, primidon ili Hypericum perforatum, poznat i kao kantarion) mogu značajno da smanje izloženost imatinibu, potencijalno povećavajući rizik od terapijskog neuspjeha. Prethodna terapija višestrukim dozama rifampicina od 600 mg praćenim pojedinačnom dozom imatiniba od 400 mg rezultovala je sniženjem Cmax i PIK(0-∞) za najmanje 54%, odnosno 74%, od vrijednosti bez terapije rifampicinom. Slični rezultati zapaženi su kod pacijenata sa malignim gliomima liječenih imatinibom dok su uzimali antiepileptike koji indukuju enzime (EIAEDs, engl. </w:t>
      </w:r>
      <w:r w:rsidRPr="00291333">
        <w:rPr>
          <w:i/>
          <w:lang w:val="sr-Latn-ME" w:eastAsia="sl-SI"/>
        </w:rPr>
        <w:t>enzyme-inducing anti-epileptic drugs</w:t>
      </w:r>
      <w:r w:rsidRPr="00291333">
        <w:rPr>
          <w:lang w:val="sr-Latn-ME" w:eastAsia="sl-SI"/>
        </w:rPr>
        <w:t>), kao što su karbamazepin, okskarbamazepin i fenitoin. PIK imatiniba u plazmi se smanjio za 73% u poređenju sa pacijentima koji nisu bili na terapiji EIAEDs. Treba izbjegavati istovremenu primjenu rifampicina ili drugih snažnih induktora CYP3A4 i imatiniba.</w:t>
      </w:r>
    </w:p>
    <w:p w14:paraId="32B05B4B" w14:textId="77777777" w:rsidR="008F7DDB" w:rsidRPr="00291333" w:rsidRDefault="008F7DDB" w:rsidP="008F7DDB">
      <w:pPr>
        <w:widowControl w:val="0"/>
        <w:spacing w:line="240" w:lineRule="auto"/>
        <w:ind w:right="-1"/>
        <w:jc w:val="both"/>
        <w:rPr>
          <w:lang w:val="sr-Latn-ME" w:eastAsia="sl-SI"/>
        </w:rPr>
      </w:pPr>
    </w:p>
    <w:p w14:paraId="32AB2569" w14:textId="77777777" w:rsidR="008F7DDB" w:rsidRPr="00291333" w:rsidRDefault="008F7DDB" w:rsidP="008F7DDB">
      <w:pPr>
        <w:widowControl w:val="0"/>
        <w:spacing w:line="240" w:lineRule="auto"/>
        <w:ind w:right="-1"/>
        <w:jc w:val="both"/>
        <w:rPr>
          <w:b/>
          <w:lang w:val="sr-Latn-ME" w:eastAsia="sl-SI"/>
        </w:rPr>
      </w:pPr>
      <w:r w:rsidRPr="00291333">
        <w:rPr>
          <w:b/>
          <w:lang w:val="sr-Latn-ME" w:eastAsia="sl-SI"/>
        </w:rPr>
        <w:t>Aktivne supstance čija se koncentracija u plazmi može mijenjati pod uticajem imatiniba</w:t>
      </w:r>
    </w:p>
    <w:p w14:paraId="6AC70CD3"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Imatinib povećava srednju Cmax i PIK simvastatina (supstrata CYP3A4) 2 puta i 3,5-puta, ukazujući na inhibiciju CYP3A4 imatinibom. Stoga se preporučuje oprez pri primjeni imatiniba sa supstratima CYP3A4 koji imaju malu terapijsku širinu (npr. ciklosporin, pimozid, takrolimus, sirolimus, ergotamin, diergotamin, fentanil, alfentanil, terfenadin, bortezomib, docetaksel i hinidin). Imatinib može da poveća koncentracije drugih ljekova u plazmi, koji se metabolišu preko CYP3A4 (npr. triazolobenzodiazepini, dihidropiridinski blokatori kalcijumskih kanala, određeni inhibitori HMG-CoA reduktaze, tj. statini, itd.). </w:t>
      </w:r>
    </w:p>
    <w:p w14:paraId="7143F921" w14:textId="77777777" w:rsidR="008F7DDB" w:rsidRPr="00291333" w:rsidRDefault="008F7DDB" w:rsidP="008F7DDB">
      <w:pPr>
        <w:widowControl w:val="0"/>
        <w:spacing w:line="240" w:lineRule="auto"/>
        <w:ind w:right="-1"/>
        <w:jc w:val="both"/>
        <w:rPr>
          <w:lang w:val="sr-Latn-ME" w:eastAsia="sl-SI"/>
        </w:rPr>
      </w:pPr>
    </w:p>
    <w:p w14:paraId="57B9583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Zbog poznatog rizika od krvarenja kada se varfarin primjenjuje zajedno sa imatinibom (npr. hemoragije), pacijenti kojima su potrebni antikoagulansi treba da primaju niskomolekularni ili standardni heparin umjesto kumarinskih derivata kao što je varfarin. </w:t>
      </w:r>
    </w:p>
    <w:p w14:paraId="7C79AE69" w14:textId="77777777" w:rsidR="008F7DDB" w:rsidRPr="00291333" w:rsidRDefault="008F7DDB" w:rsidP="008F7DDB">
      <w:pPr>
        <w:widowControl w:val="0"/>
        <w:spacing w:line="240" w:lineRule="auto"/>
        <w:ind w:right="-1"/>
        <w:jc w:val="both"/>
        <w:rPr>
          <w:lang w:val="sr-Latn-ME" w:eastAsia="sl-SI"/>
        </w:rPr>
      </w:pPr>
    </w:p>
    <w:p w14:paraId="6324E515"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Imatinib </w:t>
      </w:r>
      <w:r w:rsidRPr="00291333">
        <w:rPr>
          <w:i/>
          <w:lang w:val="sr-Latn-ME" w:eastAsia="sl-SI"/>
        </w:rPr>
        <w:t>in vitro</w:t>
      </w:r>
      <w:r w:rsidRPr="00291333">
        <w:rPr>
          <w:lang w:val="sr-Latn-ME" w:eastAsia="sl-SI"/>
        </w:rPr>
        <w:t xml:space="preserve"> inhibira aktivnost izoenzima CYP2D6 citohroma P450 u koncentracijama sličnim onima koje utiču na aktivnost CYP3A4. Imatinib od 400 mg primijenjen dva puta dnevno ima inhibitorni efekat na CYP2D6 - posredovani metabolizam metoprolola, gdje su Cmax i PIK metoprolola povećani za približno 23% (90%CI [1,16 - 1,30]). Izgleda da nije potrebno prilagođavanje doze kada se imatinib daje istovremeno sa supstratima CYP2D6, međutim, treba biti oprezan kod supstrata CYP2D6 sa malom terapijskom širinom, kao što je metoprolol. Kod pacijenata na terapiji metoprololom potrebno je razmotriti kliničko praćenje. </w:t>
      </w:r>
    </w:p>
    <w:p w14:paraId="1975490C" w14:textId="77777777" w:rsidR="008F7DDB" w:rsidRPr="00291333" w:rsidRDefault="008F7DDB" w:rsidP="008F7DDB">
      <w:pPr>
        <w:widowControl w:val="0"/>
        <w:spacing w:line="240" w:lineRule="auto"/>
        <w:ind w:right="-1"/>
        <w:jc w:val="both"/>
        <w:rPr>
          <w:lang w:val="sr-Latn-ME" w:eastAsia="sl-SI"/>
        </w:rPr>
      </w:pPr>
    </w:p>
    <w:p w14:paraId="438012D9"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Imatinib </w:t>
      </w:r>
      <w:r w:rsidRPr="00291333">
        <w:rPr>
          <w:i/>
          <w:lang w:val="sr-Latn-ME" w:eastAsia="sl-SI"/>
        </w:rPr>
        <w:t>in vitro</w:t>
      </w:r>
      <w:r w:rsidRPr="00291333">
        <w:rPr>
          <w:lang w:val="sr-Latn-ME" w:eastAsia="sl-SI"/>
        </w:rPr>
        <w:t xml:space="preserve"> inhibira O-glukuronidaciju paracetamola sa Ki vrijednošću od 58,5 mikromol/L. Ova inhibicija nije zabilježena </w:t>
      </w:r>
      <w:r w:rsidRPr="00291333">
        <w:rPr>
          <w:i/>
          <w:lang w:val="sr-Latn-ME" w:eastAsia="sl-SI"/>
        </w:rPr>
        <w:t>in vivo</w:t>
      </w:r>
      <w:r w:rsidRPr="00291333">
        <w:rPr>
          <w:lang w:val="sr-Latn-ME" w:eastAsia="sl-SI"/>
        </w:rPr>
        <w:t xml:space="preserve"> nakon primjene 400 mg imatiniba i 1000 mg paracetamola. Više doze imatiniba i paracetamola nisu ispitivane. </w:t>
      </w:r>
    </w:p>
    <w:p w14:paraId="235FDF3B" w14:textId="77777777" w:rsidR="008F7DDB" w:rsidRPr="00291333" w:rsidRDefault="008F7DDB" w:rsidP="008F7DDB">
      <w:pPr>
        <w:widowControl w:val="0"/>
        <w:spacing w:line="240" w:lineRule="auto"/>
        <w:ind w:right="-1"/>
        <w:jc w:val="both"/>
        <w:rPr>
          <w:lang w:val="sr-Latn-ME" w:eastAsia="sl-SI"/>
        </w:rPr>
      </w:pPr>
    </w:p>
    <w:p w14:paraId="3003B07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Stoga treba biti oprezan kada se istovremeno daju visoke doze imatiniba i paracetamola. </w:t>
      </w:r>
    </w:p>
    <w:p w14:paraId="189519B3" w14:textId="77777777" w:rsidR="008F7DDB" w:rsidRPr="00291333" w:rsidRDefault="008F7DDB" w:rsidP="008F7DDB">
      <w:pPr>
        <w:widowControl w:val="0"/>
        <w:spacing w:line="240" w:lineRule="auto"/>
        <w:ind w:right="-1"/>
        <w:jc w:val="both"/>
        <w:rPr>
          <w:lang w:val="sr-Latn-ME" w:eastAsia="sl-SI"/>
        </w:rPr>
      </w:pPr>
    </w:p>
    <w:p w14:paraId="2B07AD6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Ako se tireoidektomisanim pacijentima koji primaju levotiroksin, istovremeno daje imatinib, izloženost </w:t>
      </w:r>
      <w:r w:rsidRPr="00291333">
        <w:rPr>
          <w:lang w:val="sr-Latn-ME" w:eastAsia="sl-SI"/>
        </w:rPr>
        <w:lastRenderedPageBreak/>
        <w:t>levotiroksinu u plazmi može biti smanjena (vidjeti odjeljak 4.4). Stoga se preporučuje oprez. Međutim, mehanizam uočene interakcije je za sada nepoznat.</w:t>
      </w:r>
    </w:p>
    <w:p w14:paraId="609476A0" w14:textId="77777777" w:rsidR="008F7DDB" w:rsidRPr="00291333" w:rsidRDefault="008F7DDB" w:rsidP="008F7DDB">
      <w:pPr>
        <w:widowControl w:val="0"/>
        <w:spacing w:line="240" w:lineRule="auto"/>
        <w:ind w:right="-1"/>
        <w:jc w:val="both"/>
        <w:rPr>
          <w:lang w:val="sr-Latn-ME" w:eastAsia="sl-SI"/>
        </w:rPr>
      </w:pPr>
    </w:p>
    <w:p w14:paraId="3A97BE07" w14:textId="77777777" w:rsidR="008F7DDB" w:rsidRPr="00291333" w:rsidRDefault="008F7DDB" w:rsidP="008F7DDB">
      <w:pPr>
        <w:widowControl w:val="0"/>
        <w:spacing w:line="240" w:lineRule="auto"/>
        <w:ind w:right="-1"/>
        <w:jc w:val="both"/>
        <w:rPr>
          <w:u w:val="single"/>
          <w:lang w:val="sr-Latn-ME" w:eastAsia="sl-SI"/>
        </w:rPr>
      </w:pPr>
      <w:r w:rsidRPr="00291333">
        <w:rPr>
          <w:lang w:val="sr-Latn-ME" w:eastAsia="sl-SI"/>
        </w:rPr>
        <w:t>Kod pacijenata sa Ph+ ALL, postoji kliničko iskustvo sa istovremenom primjenom imatiniba sa hemioterapijom (vidjeti odjeljak 5.1), ali interakcije između imatiniba i ljekova iz protokola hemioterapije nisu dobro utvrđene. Neželjene reakcije imatiniba, tj. hepatotoksičnost, mijelosupresija ili druge, mogu se pojačati i bilo je izvještaja da istovremena primjena sa L-asparaginazom može da se poveže sa povećanom hepatotoksičnošću (vidjeti odjeljak 4.8). Stoga primjena imatiniba u kombinaciji zahtijeva posebnu opreznost.</w:t>
      </w:r>
    </w:p>
    <w:p w14:paraId="6A61ED94" w14:textId="77777777" w:rsidR="008F7DDB" w:rsidRPr="00291333" w:rsidRDefault="008F7DDB" w:rsidP="008F7DDB">
      <w:pPr>
        <w:widowControl w:val="0"/>
        <w:spacing w:line="240" w:lineRule="auto"/>
        <w:jc w:val="both"/>
        <w:rPr>
          <w:lang w:val="sr-Latn-ME"/>
        </w:rPr>
      </w:pPr>
    </w:p>
    <w:p w14:paraId="49E43B34" w14:textId="77777777" w:rsidR="008F7DDB" w:rsidRPr="00291333" w:rsidRDefault="008F7DDB" w:rsidP="008F7DDB">
      <w:pPr>
        <w:widowControl w:val="0"/>
        <w:spacing w:line="240" w:lineRule="auto"/>
        <w:jc w:val="both"/>
        <w:outlineLvl w:val="0"/>
        <w:rPr>
          <w:b/>
          <w:bCs/>
          <w:lang w:val="sr-Latn-ME" w:eastAsia="sl-SI"/>
        </w:rPr>
      </w:pPr>
      <w:r w:rsidRPr="00291333">
        <w:rPr>
          <w:b/>
          <w:lang w:val="sr-Latn-ME" w:eastAsia="sl-SI"/>
        </w:rPr>
        <w:t>4.6</w:t>
      </w:r>
      <w:r w:rsidRPr="00291333">
        <w:rPr>
          <w:b/>
          <w:lang w:val="sr-Latn-ME" w:eastAsia="sl-SI"/>
        </w:rPr>
        <w:tab/>
      </w:r>
      <w:r w:rsidRPr="00291333">
        <w:rPr>
          <w:b/>
          <w:bCs/>
          <w:lang w:val="sr-Latn-ME" w:eastAsia="sl-SI"/>
        </w:rPr>
        <w:t>Plodnost, trudnoća i dojenje</w:t>
      </w:r>
    </w:p>
    <w:p w14:paraId="53C01E12" w14:textId="77777777" w:rsidR="008F7DDB" w:rsidRPr="00291333" w:rsidRDefault="008F7DDB" w:rsidP="008F7DDB">
      <w:pPr>
        <w:widowControl w:val="0"/>
        <w:spacing w:line="240" w:lineRule="auto"/>
        <w:jc w:val="both"/>
        <w:outlineLvl w:val="0"/>
        <w:rPr>
          <w:b/>
          <w:bCs/>
          <w:lang w:val="sr-Latn-ME" w:eastAsia="sl-SI"/>
        </w:rPr>
      </w:pPr>
    </w:p>
    <w:p w14:paraId="0C4E6CC3" w14:textId="77777777" w:rsidR="008F7DDB" w:rsidRDefault="008F7DDB" w:rsidP="008F7DDB">
      <w:pPr>
        <w:widowControl w:val="0"/>
        <w:spacing w:line="240" w:lineRule="auto"/>
        <w:ind w:right="-1"/>
        <w:jc w:val="both"/>
        <w:rPr>
          <w:i/>
          <w:u w:val="single"/>
          <w:lang w:val="sr-Latn-ME" w:eastAsia="sl-SI"/>
        </w:rPr>
      </w:pPr>
      <w:r w:rsidRPr="00291333">
        <w:rPr>
          <w:i/>
          <w:u w:val="single"/>
          <w:lang w:val="sr-Latn-ME" w:eastAsia="sl-SI"/>
        </w:rPr>
        <w:t>Žene u reproduktivnom periodu</w:t>
      </w:r>
    </w:p>
    <w:p w14:paraId="37AF2E9C" w14:textId="77777777" w:rsidR="008F7DDB" w:rsidRDefault="008F7DDB" w:rsidP="008F7DDB">
      <w:pPr>
        <w:widowControl w:val="0"/>
        <w:spacing w:line="240" w:lineRule="auto"/>
        <w:ind w:right="-1"/>
        <w:jc w:val="both"/>
        <w:rPr>
          <w:lang w:val="sr-Latn-ME" w:eastAsia="sl-SI"/>
        </w:rPr>
      </w:pPr>
      <w:r w:rsidRPr="00291333">
        <w:rPr>
          <w:lang w:val="sr-Latn-ME" w:eastAsia="sl-SI"/>
        </w:rPr>
        <w:t>Ženama koje su u reproduktivnom periodu mora se savjetovati da primjenjuju efikasnu kontracepciju tokom liječenja</w:t>
      </w:r>
      <w:r>
        <w:rPr>
          <w:lang w:val="sr-Latn-ME" w:eastAsia="sl-SI"/>
        </w:rPr>
        <w:t xml:space="preserve"> </w:t>
      </w:r>
      <w:r w:rsidRPr="008A0650">
        <w:rPr>
          <w:lang w:val="sr-Latn-ME" w:eastAsia="sl-SI"/>
        </w:rPr>
        <w:t>i u periodu od najmanje 15 dana nakon prestanka liječenja imatinibom</w:t>
      </w:r>
      <w:r w:rsidRPr="00291333">
        <w:rPr>
          <w:lang w:val="sr-Latn-ME" w:eastAsia="sl-SI"/>
        </w:rPr>
        <w:t xml:space="preserve">. </w:t>
      </w:r>
    </w:p>
    <w:p w14:paraId="569BF23C" w14:textId="77777777" w:rsidR="008F7DDB" w:rsidRPr="00291333" w:rsidRDefault="008F7DDB" w:rsidP="008F7DDB">
      <w:pPr>
        <w:widowControl w:val="0"/>
        <w:spacing w:line="240" w:lineRule="auto"/>
        <w:ind w:right="-1"/>
        <w:jc w:val="both"/>
        <w:rPr>
          <w:lang w:val="sr-Latn-ME" w:eastAsia="sl-SI"/>
        </w:rPr>
      </w:pPr>
    </w:p>
    <w:p w14:paraId="37A8C04A" w14:textId="77777777" w:rsidR="008F7DDB" w:rsidRPr="00291333" w:rsidRDefault="008F7DDB" w:rsidP="008F7DDB">
      <w:pPr>
        <w:widowControl w:val="0"/>
        <w:spacing w:line="240" w:lineRule="auto"/>
        <w:ind w:right="-1"/>
        <w:jc w:val="both"/>
        <w:rPr>
          <w:i/>
          <w:u w:val="single"/>
          <w:lang w:val="sr-Latn-ME" w:eastAsia="sl-SI"/>
        </w:rPr>
      </w:pPr>
      <w:r w:rsidRPr="00291333">
        <w:rPr>
          <w:i/>
          <w:u w:val="single"/>
          <w:lang w:val="sr-Latn-ME" w:eastAsia="sl-SI"/>
        </w:rPr>
        <w:t xml:space="preserve">Trudnoća </w:t>
      </w:r>
    </w:p>
    <w:p w14:paraId="5FE59E37"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Postoje ograničeni podaci o primjeni imatiniba kod trudnica. Postoje izvještaji u okviru postmarketinškog praćenja lijeka o spontanim pobačajima i kongenitalnim anomalijama kod novorođenčadi kada su majke liječene imatinibom. Studije na životinjama su, međutim, pokazale reproduktivnu toksičnost (vidjeti odjeljak 5.3), a potencijalni rizik za fetus je nepoznat. Imatinib ne treba primjenjivati tokom trudnoće osim ako nije zaista neophodno. Ako se primjenjuje tokom trudnoće, pacijentkinju treba obavijestiti o potencijalnom riziku za fetus. </w:t>
      </w:r>
    </w:p>
    <w:p w14:paraId="06F37AD3" w14:textId="77777777" w:rsidR="008F7DDB" w:rsidRPr="00291333" w:rsidRDefault="008F7DDB" w:rsidP="008F7DDB">
      <w:pPr>
        <w:widowControl w:val="0"/>
        <w:spacing w:line="240" w:lineRule="auto"/>
        <w:ind w:right="-1"/>
        <w:jc w:val="both"/>
        <w:rPr>
          <w:lang w:val="sr-Latn-ME" w:eastAsia="sl-SI"/>
        </w:rPr>
      </w:pPr>
    </w:p>
    <w:p w14:paraId="45BBB822" w14:textId="77777777" w:rsidR="008F7DDB" w:rsidRPr="00291333" w:rsidRDefault="008F7DDB" w:rsidP="008F7DDB">
      <w:pPr>
        <w:widowControl w:val="0"/>
        <w:spacing w:line="240" w:lineRule="auto"/>
        <w:ind w:right="-1"/>
        <w:jc w:val="both"/>
        <w:rPr>
          <w:i/>
          <w:u w:val="single"/>
          <w:lang w:val="sr-Latn-ME" w:eastAsia="sl-SI"/>
        </w:rPr>
      </w:pPr>
      <w:r w:rsidRPr="00291333">
        <w:rPr>
          <w:i/>
          <w:u w:val="single"/>
          <w:lang w:val="sr-Latn-ME" w:eastAsia="sl-SI"/>
        </w:rPr>
        <w:t xml:space="preserve">Dojenje </w:t>
      </w:r>
    </w:p>
    <w:p w14:paraId="4D93D521"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Postoje ograničeni podaci o distribuciji imatiniba u humano mlijeko. U studijama izvedenim na dvije dojilje ustanovljeno je da se i imatinib i njegovi aktivni metaboliti mogu naći u humanom mlijeku. Odnos koncentracije lijeka u mlijeku i plazmi ispitivan kod jedne pacijentkinje bio je 0,5 za imatinib i 0,9 za metabolite, što ukazuje na veću distribuciju metabolita u mlijeko. Uzimajući u obzir kombinovanu koncentraciju imatiniba i metabolita i maksimalni dnevni unos mlijeka odojčadi, očekuje se niska ukupna izloženost (~ 10% terapijske doze). Ipak, s obzirom na to da efekti izloženosti niskim dozama imatiniba kod odojčadi nisu poznati, žene </w:t>
      </w:r>
      <w:r w:rsidRPr="008A0650">
        <w:rPr>
          <w:lang w:val="sr-Latn-ME" w:eastAsia="sl-SI"/>
        </w:rPr>
        <w:t>ne smiju dojiti tokom liječenja i u periodu od najmanje 15 dana nakon prestanka liječenja imatinibom</w:t>
      </w:r>
      <w:r w:rsidRPr="00291333">
        <w:rPr>
          <w:lang w:val="sr-Latn-ME" w:eastAsia="sl-SI"/>
        </w:rPr>
        <w:t>.</w:t>
      </w:r>
    </w:p>
    <w:p w14:paraId="3B643897" w14:textId="77777777" w:rsidR="008F7DDB" w:rsidRPr="00291333" w:rsidRDefault="008F7DDB" w:rsidP="008F7DDB">
      <w:pPr>
        <w:widowControl w:val="0"/>
        <w:spacing w:line="240" w:lineRule="auto"/>
        <w:ind w:right="-1"/>
        <w:jc w:val="both"/>
        <w:rPr>
          <w:lang w:val="sr-Latn-ME" w:eastAsia="sl-SI"/>
        </w:rPr>
      </w:pPr>
    </w:p>
    <w:p w14:paraId="0EDBDE63" w14:textId="77777777" w:rsidR="008F7DDB" w:rsidRPr="00291333" w:rsidRDefault="008F7DDB" w:rsidP="008F7DDB">
      <w:pPr>
        <w:widowControl w:val="0"/>
        <w:spacing w:line="240" w:lineRule="auto"/>
        <w:ind w:right="-1"/>
        <w:jc w:val="both"/>
        <w:rPr>
          <w:i/>
          <w:u w:val="single"/>
          <w:lang w:val="sr-Latn-ME" w:eastAsia="sl-SI"/>
        </w:rPr>
      </w:pPr>
      <w:r w:rsidRPr="00291333">
        <w:rPr>
          <w:i/>
          <w:u w:val="single"/>
          <w:lang w:val="sr-Latn-ME" w:eastAsia="sl-SI"/>
        </w:rPr>
        <w:t>Plodnost</w:t>
      </w:r>
    </w:p>
    <w:p w14:paraId="23EF342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U pretkliničkim studijama, fertilitet mužjaka i ženki pacova nije bio ugrožen</w:t>
      </w:r>
      <w:r>
        <w:rPr>
          <w:lang w:val="sr-Latn-ME" w:eastAsia="sl-SI"/>
        </w:rPr>
        <w:t xml:space="preserve"> </w:t>
      </w:r>
      <w:r w:rsidRPr="008A0650">
        <w:rPr>
          <w:lang w:val="sr-Latn-ME" w:eastAsia="sl-SI"/>
        </w:rPr>
        <w:t>iako su zabilježeni uticaji na reproduktivne parametre</w:t>
      </w:r>
      <w:r w:rsidRPr="00291333">
        <w:rPr>
          <w:lang w:val="sr-Latn-ME" w:eastAsia="sl-SI"/>
        </w:rPr>
        <w:t xml:space="preserve"> (vidjeti odjeljak 5.3). Nisu sprovedena ispitivanja na pacijentima koji primaju imatinib i njegovom uticaju na plodnost i gametogenezu.</w:t>
      </w:r>
    </w:p>
    <w:p w14:paraId="2AB0EB94" w14:textId="77777777" w:rsidR="008F7DDB" w:rsidRPr="00291333" w:rsidRDefault="008F7DDB" w:rsidP="008F7DDB">
      <w:pPr>
        <w:widowControl w:val="0"/>
        <w:spacing w:line="240" w:lineRule="auto"/>
        <w:ind w:right="-1"/>
        <w:jc w:val="both"/>
        <w:rPr>
          <w:b/>
          <w:lang w:val="sr-Latn-ME" w:eastAsia="sl-SI"/>
        </w:rPr>
      </w:pPr>
      <w:r w:rsidRPr="00291333">
        <w:rPr>
          <w:lang w:val="sr-Latn-ME" w:eastAsia="sl-SI"/>
        </w:rPr>
        <w:t>Pacijenti koji su zabrinuti u vezi sa uticajem imatiniba na fertilitet, treba da se konsultuju sa svojim ljekarom.</w:t>
      </w:r>
    </w:p>
    <w:p w14:paraId="604A48B5" w14:textId="77777777" w:rsidR="008F7DDB" w:rsidRPr="00291333" w:rsidRDefault="008F7DDB" w:rsidP="008F7DDB">
      <w:pPr>
        <w:spacing w:line="240" w:lineRule="auto"/>
        <w:jc w:val="both"/>
        <w:rPr>
          <w:u w:val="single"/>
          <w:lang w:val="sr-Latn-ME" w:eastAsia="sl-SI"/>
        </w:rPr>
      </w:pPr>
    </w:p>
    <w:p w14:paraId="1CD42D95" w14:textId="77777777" w:rsidR="008F7DDB" w:rsidRPr="00291333" w:rsidRDefault="008F7DDB" w:rsidP="008F7DDB">
      <w:pPr>
        <w:widowControl w:val="0"/>
        <w:spacing w:line="240" w:lineRule="auto"/>
        <w:jc w:val="both"/>
        <w:outlineLvl w:val="0"/>
        <w:rPr>
          <w:b/>
          <w:bCs/>
          <w:lang w:val="sr-Latn-ME" w:eastAsia="sl-SI"/>
        </w:rPr>
      </w:pPr>
      <w:r w:rsidRPr="00291333">
        <w:rPr>
          <w:b/>
          <w:lang w:val="sr-Latn-ME" w:eastAsia="sl-SI"/>
        </w:rPr>
        <w:t>4.7</w:t>
      </w:r>
      <w:r w:rsidRPr="00291333">
        <w:rPr>
          <w:b/>
          <w:lang w:val="sr-Latn-ME" w:eastAsia="sl-SI"/>
        </w:rPr>
        <w:tab/>
      </w:r>
      <w:r w:rsidRPr="00291333">
        <w:rPr>
          <w:b/>
          <w:bCs/>
          <w:lang w:val="sr-Latn-ME" w:eastAsia="sl-SI"/>
        </w:rPr>
        <w:t xml:space="preserve">Uticaj na sposobnost upravljanja vozilima i rukovanje mašinama </w:t>
      </w:r>
    </w:p>
    <w:p w14:paraId="12E58134" w14:textId="77777777" w:rsidR="008F7DDB" w:rsidRPr="00291333" w:rsidRDefault="008F7DDB" w:rsidP="008F7DDB">
      <w:pPr>
        <w:widowControl w:val="0"/>
        <w:spacing w:line="240" w:lineRule="auto"/>
        <w:jc w:val="both"/>
        <w:outlineLvl w:val="0"/>
        <w:rPr>
          <w:lang w:val="sr-Latn-ME" w:eastAsia="sl-SI"/>
        </w:rPr>
      </w:pPr>
    </w:p>
    <w:p w14:paraId="099A53BA" w14:textId="77777777" w:rsidR="008F7DDB" w:rsidRPr="00291333" w:rsidRDefault="008F7DDB" w:rsidP="008F7DDB">
      <w:pPr>
        <w:keepNext/>
        <w:keepLines/>
        <w:widowControl w:val="0"/>
        <w:spacing w:line="240" w:lineRule="auto"/>
        <w:jc w:val="both"/>
        <w:rPr>
          <w:lang w:val="sr-Latn-ME" w:eastAsia="sl-SI"/>
        </w:rPr>
      </w:pPr>
      <w:r w:rsidRPr="00291333">
        <w:rPr>
          <w:lang w:val="sr-Latn-ME" w:eastAsia="sl-SI"/>
        </w:rPr>
        <w:t>Pacijente treba posavjetovati da mogu da osjete neželjena dejstva poput vrtoglavice, zamagljenog vida ili pospanosti tokom terapije imatinibom. Zbog toga se preporučuje oprez prilikom upravljanja vozilima i rukovanja mašinama.</w:t>
      </w:r>
    </w:p>
    <w:p w14:paraId="008AC404" w14:textId="77777777" w:rsidR="008F7DDB" w:rsidRPr="00291333" w:rsidRDefault="008F7DDB" w:rsidP="008F7DDB">
      <w:pPr>
        <w:widowControl w:val="0"/>
        <w:spacing w:line="240" w:lineRule="auto"/>
        <w:jc w:val="both"/>
        <w:rPr>
          <w:lang w:val="sr-Latn-ME"/>
        </w:rPr>
      </w:pPr>
    </w:p>
    <w:p w14:paraId="668E7ED4" w14:textId="77777777" w:rsidR="008F7DDB" w:rsidRPr="00291333" w:rsidRDefault="008F7DDB" w:rsidP="008F7DDB">
      <w:pPr>
        <w:widowControl w:val="0"/>
        <w:numPr>
          <w:ilvl w:val="1"/>
          <w:numId w:val="1"/>
        </w:numPr>
        <w:spacing w:line="240" w:lineRule="auto"/>
        <w:jc w:val="both"/>
        <w:outlineLvl w:val="0"/>
        <w:rPr>
          <w:b/>
          <w:lang w:val="sr-Latn-ME" w:eastAsia="sl-SI"/>
        </w:rPr>
      </w:pPr>
      <w:r w:rsidRPr="00291333">
        <w:rPr>
          <w:b/>
          <w:lang w:val="sr-Latn-ME" w:eastAsia="sl-SI"/>
        </w:rPr>
        <w:t>Neželjena dejstva</w:t>
      </w:r>
    </w:p>
    <w:p w14:paraId="03A47FC2" w14:textId="77777777" w:rsidR="008F7DDB" w:rsidRPr="00291333" w:rsidRDefault="008F7DDB" w:rsidP="008F7DDB">
      <w:pPr>
        <w:widowControl w:val="0"/>
        <w:autoSpaceDE w:val="0"/>
        <w:autoSpaceDN w:val="0"/>
        <w:adjustRightInd w:val="0"/>
        <w:spacing w:line="240" w:lineRule="auto"/>
        <w:jc w:val="both"/>
        <w:rPr>
          <w:color w:val="000000"/>
          <w:lang w:val="sr-Latn-ME" w:eastAsia="sl-SI"/>
        </w:rPr>
      </w:pPr>
    </w:p>
    <w:p w14:paraId="58C5F444"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Pacijenti u odmaklim stadijumima maligniteta mogu da imaju brojna medicinska stanja koja mogu djelovati zbunjujuće, što otežava procjenu uzroka neželjenih reakcija, usled različitih simptoma vezanih za postojeću bolest, njenu progresiju i istovremenu primjenu brojnih drugih ljekova. </w:t>
      </w:r>
    </w:p>
    <w:p w14:paraId="3D38B6C9" w14:textId="77777777" w:rsidR="008F7DDB" w:rsidRPr="00291333" w:rsidRDefault="008F7DDB" w:rsidP="008F7DDB">
      <w:pPr>
        <w:widowControl w:val="0"/>
        <w:spacing w:line="240" w:lineRule="auto"/>
        <w:ind w:right="-1"/>
        <w:jc w:val="both"/>
        <w:rPr>
          <w:lang w:val="sr-Latn-ME" w:eastAsia="sl-SI"/>
        </w:rPr>
      </w:pPr>
    </w:p>
    <w:p w14:paraId="43C90DF1"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U kliničkim ispitivanjima kod CML, prekidanje terapije usled neželjenih reakcija zapaženo je kod 2,4% novodijagnostikovanih pacijenata, 4% pacijenata u kasnoj hroničnoj fazi nakon neuspjeha interferonske terapije, 4% pacijenata u ubrzanoj fazi nakon neuspjeha interferonske terapije i 5% pacijenata u blastnoj krizi poslije neuspjeha interferonske terapije. U studiji kod GIST, primjena ispitivanog lijeka je </w:t>
      </w:r>
      <w:r w:rsidRPr="00291333">
        <w:rPr>
          <w:lang w:val="sr-Latn-ME" w:eastAsia="sl-SI"/>
        </w:rPr>
        <w:lastRenderedPageBreak/>
        <w:t>prekinuta usled neželjenih reakcija povezanih sa njegovom primjenom kod 4% pacijenata.</w:t>
      </w:r>
    </w:p>
    <w:p w14:paraId="1328B6FD" w14:textId="77777777" w:rsidR="008F7DDB" w:rsidRPr="00291333" w:rsidRDefault="008F7DDB" w:rsidP="008F7DDB">
      <w:pPr>
        <w:widowControl w:val="0"/>
        <w:spacing w:line="240" w:lineRule="auto"/>
        <w:ind w:right="-1"/>
        <w:jc w:val="both"/>
        <w:rPr>
          <w:lang w:val="sr-Latn-ME" w:eastAsia="sl-SI"/>
        </w:rPr>
      </w:pPr>
    </w:p>
    <w:p w14:paraId="1C00B29F" w14:textId="77777777" w:rsidR="008F7DDB" w:rsidRDefault="008F7DDB" w:rsidP="008F7DDB">
      <w:pPr>
        <w:widowControl w:val="0"/>
        <w:spacing w:line="240" w:lineRule="auto"/>
        <w:ind w:right="-1"/>
        <w:jc w:val="both"/>
        <w:rPr>
          <w:lang w:val="sr-Latn-ME" w:eastAsia="sl-SI"/>
        </w:rPr>
      </w:pPr>
      <w:r w:rsidRPr="00291333">
        <w:rPr>
          <w:lang w:val="sr-Latn-ME" w:eastAsia="sl-SI"/>
        </w:rPr>
        <w:t>Neželjene reakcije bile su slične kod svih indikacija, uz dva izuzetka. Mijelosupresija je češće primijećena kod pacijenata sa CML-om nego kod pacijenata sa GIST-om, gdje uzrok vjerovatno leži u osnovnoj bolesti. U studiji neresektabilnog i/ili metastatskog GIST, 7 (5%) pacijenata doživjelo je krvarenje iz GI trakta CTC stepena 3/4 (3 pacijenta), intratumorska krvarenja (3 pacijenta) ili oba (1 pacijent). GI tumorska mjesta su mogla biti izvor GI krvarenja (vidjeti odjeljak 4.4). GI i tumorska krvarenja mogu biti teška i ponekad fatalna.</w:t>
      </w:r>
    </w:p>
    <w:p w14:paraId="61D145C4" w14:textId="77777777" w:rsidR="008F7DDB" w:rsidRDefault="008F7DDB" w:rsidP="008F7DDB">
      <w:pPr>
        <w:widowControl w:val="0"/>
        <w:spacing w:line="240" w:lineRule="auto"/>
        <w:ind w:right="-1"/>
        <w:jc w:val="both"/>
        <w:rPr>
          <w:lang w:val="sr-Latn-ME" w:eastAsia="sl-SI"/>
        </w:rPr>
      </w:pPr>
    </w:p>
    <w:p w14:paraId="346E5F66"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Najčešće zabilježene (≥10%) neželjene reakcije koje su povezane sa primjenom lijeka u obje situacije bile su blaga mučnina, povraćanje, dijareja, abdominalni bol, zamor, mialgija, grčevi mišića i osip. Površinski edemi bili su čest nalaz u svim ispitivanjima, a prvenstveno su opisivani kao periorbitalni ili edemi donjih udova. Međutim, ovi edemi su rijetko bili teški i mogli su se regulisati diureticima, drugim suportivnom mjerama, ili smanjivanjem doze imatiniba.</w:t>
      </w:r>
    </w:p>
    <w:p w14:paraId="094E94D0"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Ako se imatinib kombinuje sa visokodoznom hemioterapijom kod Ph+ ALL pacijenata, zapažena je prolazna hepatotoksičnost u obliku povećanja vrijednosti transaminaza i hiperbilirubinemije. Uzimajući u obzir ograničenost baze podataka o bezbjednosti primjene lijeka, do sada prijavljeni neželjeni događaji kod djece odgovaraju poznatom bezbjednosnom profilu kod odraslih pacijenata oboljelih od Ph+ ALL. Baza podataka o bezbjednosti primjene lijeka kod djece sa Ph+ ALL je veoma ograničena, iako nema prijavljenih novih pitanja o bezbjednosti. </w:t>
      </w:r>
    </w:p>
    <w:p w14:paraId="26AFB15A" w14:textId="77777777" w:rsidR="008F7DDB" w:rsidRPr="00291333" w:rsidRDefault="008F7DDB" w:rsidP="008F7DDB">
      <w:pPr>
        <w:widowControl w:val="0"/>
        <w:spacing w:line="240" w:lineRule="auto"/>
        <w:ind w:right="-1"/>
        <w:jc w:val="both"/>
        <w:rPr>
          <w:lang w:val="sr-Latn-ME" w:eastAsia="sl-SI"/>
        </w:rPr>
      </w:pPr>
    </w:p>
    <w:p w14:paraId="3D338F9B" w14:textId="77777777" w:rsidR="008F7DDB" w:rsidRPr="00291333" w:rsidRDefault="008F7DDB" w:rsidP="008F7DDB">
      <w:pPr>
        <w:widowControl w:val="0"/>
        <w:spacing w:line="240" w:lineRule="auto"/>
        <w:ind w:right="-1"/>
        <w:jc w:val="both"/>
        <w:rPr>
          <w:b/>
          <w:lang w:val="sr-Latn-ME" w:eastAsia="sl-SI"/>
        </w:rPr>
      </w:pPr>
      <w:r w:rsidRPr="00291333">
        <w:rPr>
          <w:lang w:val="sr-Latn-ME" w:eastAsia="sl-SI"/>
        </w:rPr>
        <w:t>Različite neželjene reakcije poput pleuralne efuzije, ascitesa, plućnog edema i rapidnog dobijanja na težini sa ili bez površinskog edema mogu se zajednički opisati kao „retencija tečnosti”. Ove reakcije mogu se obično kontrolisati privremenim ukidanjem terapije imatinibom, diureticima i drugim odgovarajućim suportivnim mjerama. Međutim, neke od ovih reakcija mogu biti ozbiljne ili opasne po život i nekoliko pacijenata sa blastnom krizom je umrlo sa kompleksnom kliničkom slikom pleuralne efuzije, kongestivne srčane insuficijencije i bubrežne insuficijencije. Nije bilo posebnih nalaza sa aspekta bezbjednosti u kliničkim ispitivanjima sprovedenim u pedijatrijskoj populaciji.</w:t>
      </w:r>
    </w:p>
    <w:p w14:paraId="7E18F2D7" w14:textId="77777777" w:rsidR="008F7DDB" w:rsidRPr="00291333" w:rsidRDefault="008F7DDB" w:rsidP="008F7DDB">
      <w:pPr>
        <w:widowControl w:val="0"/>
        <w:spacing w:line="240" w:lineRule="auto"/>
        <w:ind w:right="-1"/>
        <w:jc w:val="both"/>
        <w:rPr>
          <w:lang w:val="sr-Latn-ME" w:eastAsia="sl-SI"/>
        </w:rPr>
      </w:pPr>
    </w:p>
    <w:p w14:paraId="1E291187" w14:textId="77777777" w:rsidR="008F7DDB" w:rsidRPr="00291333" w:rsidRDefault="008F7DDB" w:rsidP="008F7DDB">
      <w:pPr>
        <w:widowControl w:val="0"/>
        <w:spacing w:line="240" w:lineRule="auto"/>
        <w:ind w:right="-1"/>
        <w:jc w:val="both"/>
        <w:rPr>
          <w:lang w:val="sr-Latn-ME" w:eastAsia="sl-SI"/>
        </w:rPr>
      </w:pPr>
      <w:r w:rsidRPr="00291333">
        <w:rPr>
          <w:b/>
          <w:lang w:val="sr-Latn-ME" w:eastAsia="sl-SI"/>
        </w:rPr>
        <w:t>Neželjene reakcije</w:t>
      </w:r>
      <w:r w:rsidRPr="00291333">
        <w:rPr>
          <w:lang w:val="sr-Latn-ME" w:eastAsia="sl-SI"/>
        </w:rPr>
        <w:t xml:space="preserve"> </w:t>
      </w:r>
    </w:p>
    <w:p w14:paraId="28921F6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Neželjene reakcije zabilježene u više nego jednom izolovanom slučaju, navedene su ispod, prema klasi sistema organa i prema učestalosti. Kategorije učestalosti su definisane kao: </w:t>
      </w:r>
    </w:p>
    <w:p w14:paraId="08CC0844"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eastAsia="sl-SI"/>
        </w:rPr>
      </w:pPr>
      <w:r w:rsidRPr="00291333">
        <w:rPr>
          <w:lang w:val="sr-Latn-ME" w:eastAsia="sl-SI"/>
        </w:rPr>
        <w:t>V</w:t>
      </w:r>
      <w:r w:rsidRPr="00291333">
        <w:rPr>
          <w:lang w:val="sr-Latn-ME"/>
        </w:rPr>
        <w:t>eoma često (≥ 1/10)</w:t>
      </w:r>
      <w:r w:rsidRPr="00291333">
        <w:rPr>
          <w:lang w:val="sr-Latn-ME" w:eastAsia="sl-SI"/>
        </w:rPr>
        <w:t>,</w:t>
      </w:r>
    </w:p>
    <w:p w14:paraId="1665DB9E"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eastAsia="sl-SI"/>
        </w:rPr>
      </w:pPr>
      <w:r w:rsidRPr="00291333">
        <w:rPr>
          <w:lang w:val="sr-Latn-ME"/>
        </w:rPr>
        <w:t>Često (≥ 1/100 i &lt; 1/10)</w:t>
      </w:r>
      <w:r w:rsidRPr="00291333">
        <w:rPr>
          <w:lang w:val="sr-Latn-ME" w:eastAsia="sl-SI"/>
        </w:rPr>
        <w:t>,</w:t>
      </w:r>
    </w:p>
    <w:p w14:paraId="5CA6F7BD"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eastAsia="sl-SI"/>
        </w:rPr>
      </w:pPr>
      <w:r w:rsidRPr="00291333">
        <w:rPr>
          <w:lang w:val="sr-Latn-ME" w:eastAsia="sl-SI"/>
        </w:rPr>
        <w:t>Povremeno</w:t>
      </w:r>
      <w:r w:rsidRPr="00291333">
        <w:rPr>
          <w:lang w:val="sr-Latn-ME"/>
        </w:rPr>
        <w:t xml:space="preserve"> (≥ 1/1000 i &lt; 1/100)</w:t>
      </w:r>
      <w:r w:rsidRPr="00291333">
        <w:rPr>
          <w:lang w:val="sr-Latn-ME" w:eastAsia="sl-SI"/>
        </w:rPr>
        <w:t>,</w:t>
      </w:r>
    </w:p>
    <w:p w14:paraId="0C7B0879"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eastAsia="sl-SI"/>
        </w:rPr>
      </w:pPr>
      <w:r w:rsidRPr="00291333">
        <w:rPr>
          <w:lang w:val="sr-Latn-ME" w:eastAsia="sl-SI"/>
        </w:rPr>
        <w:t>R</w:t>
      </w:r>
      <w:r w:rsidRPr="00291333">
        <w:rPr>
          <w:lang w:val="sr-Latn-ME"/>
        </w:rPr>
        <w:t>ijetko (≥ 1/10000 i &lt; 1/1000)</w:t>
      </w:r>
      <w:r w:rsidRPr="00291333">
        <w:rPr>
          <w:lang w:val="sr-Latn-ME" w:eastAsia="sl-SI"/>
        </w:rPr>
        <w:t>,</w:t>
      </w:r>
    </w:p>
    <w:p w14:paraId="6700B244"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rPr>
      </w:pPr>
      <w:r w:rsidRPr="00291333">
        <w:rPr>
          <w:lang w:val="sr-Latn-ME"/>
        </w:rPr>
        <w:t>Veoma rijetko (&lt; 1/10000),</w:t>
      </w:r>
    </w:p>
    <w:p w14:paraId="20C3D045" w14:textId="77777777" w:rsidR="008F7DDB" w:rsidRPr="00291333" w:rsidRDefault="008F7DDB" w:rsidP="00890487">
      <w:pPr>
        <w:widowControl w:val="0"/>
        <w:numPr>
          <w:ilvl w:val="0"/>
          <w:numId w:val="3"/>
        </w:numPr>
        <w:tabs>
          <w:tab w:val="clear" w:pos="567"/>
        </w:tabs>
        <w:spacing w:line="240" w:lineRule="auto"/>
        <w:ind w:right="-1"/>
        <w:contextualSpacing/>
        <w:jc w:val="both"/>
        <w:rPr>
          <w:lang w:val="sr-Latn-ME" w:eastAsia="sl-SI"/>
        </w:rPr>
      </w:pPr>
      <w:r w:rsidRPr="00291333">
        <w:rPr>
          <w:lang w:val="sr-Latn-ME"/>
        </w:rPr>
        <w:t>Nepoznato (ne može se procijeniti iz dostupnih podataka).</w:t>
      </w:r>
    </w:p>
    <w:p w14:paraId="13199A52" w14:textId="77777777" w:rsidR="008F7DDB" w:rsidRPr="00291333" w:rsidRDefault="008F7DDB" w:rsidP="008F7DDB">
      <w:pPr>
        <w:widowControl w:val="0"/>
        <w:spacing w:line="240" w:lineRule="auto"/>
        <w:ind w:right="-1"/>
        <w:jc w:val="both"/>
        <w:rPr>
          <w:lang w:val="sr-Latn-ME" w:eastAsia="sl-SI"/>
        </w:rPr>
      </w:pPr>
    </w:p>
    <w:p w14:paraId="5841F88E"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Unutar svake grupe učestalosti, neželjena dejstva predstavljena su redom prema učestalosti, počevši od najčešćih. </w:t>
      </w:r>
    </w:p>
    <w:p w14:paraId="75E94556" w14:textId="77777777" w:rsidR="008F7DDB" w:rsidRPr="00291333" w:rsidRDefault="008F7DDB" w:rsidP="008F7DDB">
      <w:pPr>
        <w:widowControl w:val="0"/>
        <w:spacing w:line="240" w:lineRule="auto"/>
        <w:ind w:right="-1"/>
        <w:jc w:val="both"/>
        <w:rPr>
          <w:lang w:val="sr-Latn-ME" w:eastAsia="sl-SI"/>
        </w:rPr>
      </w:pPr>
    </w:p>
    <w:p w14:paraId="1115E7B6"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Neželjene reakcije i učestalosti njihovog ispoljavanja prikazane su u Tabeli 1.</w:t>
      </w:r>
    </w:p>
    <w:p w14:paraId="1066E126" w14:textId="77777777" w:rsidR="008F7DDB" w:rsidRPr="00291333" w:rsidRDefault="008F7DDB" w:rsidP="008F7DDB">
      <w:pPr>
        <w:widowControl w:val="0"/>
        <w:spacing w:line="240" w:lineRule="auto"/>
        <w:ind w:right="-1"/>
        <w:rPr>
          <w:b/>
          <w:bCs/>
          <w:lang w:val="sr-Latn-ME" w:eastAsia="sl-SI"/>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4885"/>
        <w:gridCol w:w="57"/>
      </w:tblGrid>
      <w:tr w:rsidR="008F7DDB" w:rsidRPr="00291333" w14:paraId="6223393F"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55D832D7"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Infekcije i infestacije</w:t>
            </w:r>
          </w:p>
        </w:tc>
      </w:tr>
      <w:tr w:rsidR="008F7DDB" w:rsidRPr="0040712C" w14:paraId="116D301B" w14:textId="77777777" w:rsidTr="0040712C">
        <w:trPr>
          <w:gridAfter w:val="1"/>
          <w:wAfter w:w="57" w:type="dxa"/>
          <w:trHeight w:val="381"/>
        </w:trPr>
        <w:tc>
          <w:tcPr>
            <w:tcW w:w="4608" w:type="dxa"/>
            <w:tcBorders>
              <w:top w:val="single" w:sz="4" w:space="0" w:color="auto"/>
              <w:left w:val="single" w:sz="4" w:space="0" w:color="auto"/>
              <w:bottom w:val="single" w:sz="4" w:space="0" w:color="auto"/>
              <w:right w:val="single" w:sz="4" w:space="0" w:color="auto"/>
            </w:tcBorders>
            <w:hideMark/>
          </w:tcPr>
          <w:p w14:paraId="7C58093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586763D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Herpes zoster, herpes simplex, nazofaringitis, pneumonija</w:t>
            </w:r>
            <w:r w:rsidRPr="00291333">
              <w:rPr>
                <w:vertAlign w:val="superscript"/>
                <w:lang w:val="sr-Latn-ME" w:eastAsia="sl-SI"/>
              </w:rPr>
              <w:t>1</w:t>
            </w:r>
            <w:r w:rsidRPr="00291333">
              <w:rPr>
                <w:lang w:val="sr-Latn-ME" w:eastAsia="sl-SI"/>
              </w:rPr>
              <w:t xml:space="preserve"> , sinuzitis, celulitis, infekcija gornjeg respiratornog trakta, influenca, infekcija urinarnog trakta, gastroenteritis, sepsa</w:t>
            </w:r>
          </w:p>
        </w:tc>
      </w:tr>
      <w:tr w:rsidR="008F7DDB" w:rsidRPr="00291333" w14:paraId="1313CD86"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24DB33D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08612D4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Gljivična infekcija </w:t>
            </w:r>
          </w:p>
        </w:tc>
      </w:tr>
      <w:tr w:rsidR="008F7DDB" w:rsidRPr="00291333" w14:paraId="5FFC48E1"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79C04C64"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Nepoznato</w:t>
            </w:r>
          </w:p>
        </w:tc>
        <w:tc>
          <w:tcPr>
            <w:tcW w:w="4885" w:type="dxa"/>
            <w:tcBorders>
              <w:top w:val="single" w:sz="4" w:space="0" w:color="auto"/>
              <w:left w:val="single" w:sz="4" w:space="0" w:color="auto"/>
              <w:bottom w:val="single" w:sz="4" w:space="0" w:color="auto"/>
              <w:right w:val="single" w:sz="4" w:space="0" w:color="auto"/>
            </w:tcBorders>
          </w:tcPr>
          <w:p w14:paraId="613F99C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Reaktivacija hepatitisa B*</w:t>
            </w:r>
          </w:p>
        </w:tc>
      </w:tr>
      <w:tr w:rsidR="008F7DDB" w:rsidRPr="0040712C" w14:paraId="3BBEC9B4"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6C84BFCB"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lang w:val="sr-Latn-ME" w:eastAsia="sl-SI"/>
              </w:rPr>
              <w:t>Neoplazme – benigne, maligne i neodređene (uključujući ciste i polipe)</w:t>
            </w:r>
          </w:p>
        </w:tc>
      </w:tr>
      <w:tr w:rsidR="008F7DDB" w:rsidRPr="00291333" w14:paraId="10469A0C"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214CDB1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1C7D5C3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Sindrom lize tumora</w:t>
            </w:r>
          </w:p>
        </w:tc>
      </w:tr>
      <w:tr w:rsidR="008F7DDB" w:rsidRPr="00291333" w14:paraId="52936625"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7F907474"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885" w:type="dxa"/>
            <w:tcBorders>
              <w:top w:val="single" w:sz="4" w:space="0" w:color="auto"/>
              <w:left w:val="single" w:sz="4" w:space="0" w:color="auto"/>
              <w:bottom w:val="single" w:sz="4" w:space="0" w:color="auto"/>
              <w:right w:val="single" w:sz="4" w:space="0" w:color="auto"/>
            </w:tcBorders>
          </w:tcPr>
          <w:p w14:paraId="63D08BE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Krvarenje tumora/nekroza tumora*</w:t>
            </w:r>
          </w:p>
        </w:tc>
      </w:tr>
      <w:tr w:rsidR="008F7DDB" w:rsidRPr="00291333" w14:paraId="2869F620"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7BC27BBE" w14:textId="77777777" w:rsidR="008F7DDB" w:rsidRPr="00291333" w:rsidRDefault="008F7DDB" w:rsidP="0040712C">
            <w:pPr>
              <w:widowControl w:val="0"/>
              <w:autoSpaceDE w:val="0"/>
              <w:autoSpaceDN w:val="0"/>
              <w:adjustRightInd w:val="0"/>
              <w:spacing w:line="240" w:lineRule="auto"/>
              <w:ind w:right="-1"/>
              <w:rPr>
                <w:b/>
                <w:i/>
                <w:iCs/>
                <w:lang w:val="sr-Latn-ME" w:eastAsia="sl-SI"/>
              </w:rPr>
            </w:pPr>
            <w:r w:rsidRPr="00291333">
              <w:rPr>
                <w:b/>
                <w:lang w:val="sr-Latn-ME" w:eastAsia="sl-SI"/>
              </w:rPr>
              <w:t>Poremećaji imunog sistema</w:t>
            </w:r>
          </w:p>
        </w:tc>
        <w:tc>
          <w:tcPr>
            <w:tcW w:w="4885" w:type="dxa"/>
            <w:tcBorders>
              <w:top w:val="single" w:sz="4" w:space="0" w:color="auto"/>
              <w:left w:val="single" w:sz="4" w:space="0" w:color="auto"/>
              <w:bottom w:val="single" w:sz="4" w:space="0" w:color="auto"/>
              <w:right w:val="single" w:sz="4" w:space="0" w:color="auto"/>
            </w:tcBorders>
          </w:tcPr>
          <w:p w14:paraId="6F123436" w14:textId="77777777" w:rsidR="008F7DDB" w:rsidRPr="00291333" w:rsidRDefault="008F7DDB" w:rsidP="0040712C">
            <w:pPr>
              <w:widowControl w:val="0"/>
              <w:autoSpaceDE w:val="0"/>
              <w:autoSpaceDN w:val="0"/>
              <w:adjustRightInd w:val="0"/>
              <w:spacing w:line="240" w:lineRule="auto"/>
              <w:ind w:right="-1"/>
              <w:rPr>
                <w:lang w:val="sr-Latn-ME" w:eastAsia="sl-SI"/>
              </w:rPr>
            </w:pPr>
          </w:p>
        </w:tc>
      </w:tr>
      <w:tr w:rsidR="008F7DDB" w:rsidRPr="00291333" w14:paraId="46AFD12F"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041402DE"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lang w:val="sr-Latn-ME" w:eastAsia="sl-SI"/>
              </w:rPr>
              <w:t xml:space="preserve">Nepoznato: </w:t>
            </w:r>
          </w:p>
        </w:tc>
        <w:tc>
          <w:tcPr>
            <w:tcW w:w="4885" w:type="dxa"/>
            <w:tcBorders>
              <w:top w:val="single" w:sz="4" w:space="0" w:color="auto"/>
              <w:left w:val="single" w:sz="4" w:space="0" w:color="auto"/>
              <w:bottom w:val="single" w:sz="4" w:space="0" w:color="auto"/>
              <w:right w:val="single" w:sz="4" w:space="0" w:color="auto"/>
            </w:tcBorders>
          </w:tcPr>
          <w:p w14:paraId="0EBEBEF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Anafilaktički šok*</w:t>
            </w:r>
          </w:p>
        </w:tc>
      </w:tr>
      <w:tr w:rsidR="008F7DDB" w:rsidRPr="0040712C" w14:paraId="1F6948E7"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61F8C34D"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krvi i limfnog sistema</w:t>
            </w:r>
          </w:p>
        </w:tc>
      </w:tr>
      <w:tr w:rsidR="008F7DDB" w:rsidRPr="00291333" w14:paraId="4EA8C7C8"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251E76E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lastRenderedPageBreak/>
              <w:t xml:space="preserve">Veoma često: </w:t>
            </w:r>
          </w:p>
        </w:tc>
        <w:tc>
          <w:tcPr>
            <w:tcW w:w="4885" w:type="dxa"/>
            <w:tcBorders>
              <w:top w:val="single" w:sz="4" w:space="0" w:color="auto"/>
              <w:left w:val="single" w:sz="4" w:space="0" w:color="auto"/>
              <w:bottom w:val="single" w:sz="4" w:space="0" w:color="auto"/>
              <w:right w:val="single" w:sz="4" w:space="0" w:color="auto"/>
            </w:tcBorders>
            <w:hideMark/>
          </w:tcPr>
          <w:p w14:paraId="1CC50DA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Neutropenija, trombocitopenija, anemija</w:t>
            </w:r>
          </w:p>
        </w:tc>
      </w:tr>
      <w:tr w:rsidR="008F7DDB" w:rsidRPr="00291333" w14:paraId="6E2FE398"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3C052BE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885" w:type="dxa"/>
            <w:tcBorders>
              <w:top w:val="single" w:sz="4" w:space="0" w:color="auto"/>
              <w:left w:val="single" w:sz="4" w:space="0" w:color="auto"/>
              <w:bottom w:val="single" w:sz="4" w:space="0" w:color="auto"/>
              <w:right w:val="single" w:sz="4" w:space="0" w:color="auto"/>
            </w:tcBorders>
            <w:hideMark/>
          </w:tcPr>
          <w:p w14:paraId="2D7149F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Pancitopenija, febrilna neutropenija</w:t>
            </w:r>
          </w:p>
        </w:tc>
      </w:tr>
      <w:tr w:rsidR="008F7DDB" w:rsidRPr="00C86919" w14:paraId="47C5B59E"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hideMark/>
          </w:tcPr>
          <w:p w14:paraId="3E3B2E0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7F61033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Trombocitemija, limfopenija, depresija koštane srži, eozinofilija, limfadenopatija</w:t>
            </w:r>
          </w:p>
        </w:tc>
      </w:tr>
      <w:tr w:rsidR="008F7DDB" w:rsidRPr="00291333" w14:paraId="4285A643"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06D5377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3CBD3AC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Hemolitička anemija</w:t>
            </w:r>
            <w:r w:rsidRPr="00291333">
              <w:rPr>
                <w:bCs/>
                <w:lang w:val="sr-Latn-ME" w:eastAsia="sl-SI"/>
              </w:rPr>
              <w:t>, trombotska mikroangiopatija</w:t>
            </w:r>
          </w:p>
        </w:tc>
      </w:tr>
      <w:tr w:rsidR="008F7DDB" w:rsidRPr="00291333" w14:paraId="15E860D9"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1C481F60"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metabolizma i ishrane</w:t>
            </w:r>
          </w:p>
        </w:tc>
      </w:tr>
      <w:tr w:rsidR="008F7DDB" w:rsidRPr="00291333" w14:paraId="70829EA2"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0ED8167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885" w:type="dxa"/>
            <w:tcBorders>
              <w:top w:val="single" w:sz="4" w:space="0" w:color="auto"/>
              <w:left w:val="single" w:sz="4" w:space="0" w:color="auto"/>
              <w:bottom w:val="single" w:sz="4" w:space="0" w:color="auto"/>
              <w:right w:val="single" w:sz="4" w:space="0" w:color="auto"/>
            </w:tcBorders>
            <w:hideMark/>
          </w:tcPr>
          <w:p w14:paraId="12E1839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Anoreksija</w:t>
            </w:r>
          </w:p>
        </w:tc>
      </w:tr>
      <w:tr w:rsidR="008F7DDB" w:rsidRPr="00C86919" w14:paraId="4FFCD15A" w14:textId="77777777" w:rsidTr="0040712C">
        <w:trPr>
          <w:gridAfter w:val="1"/>
          <w:wAfter w:w="57" w:type="dxa"/>
          <w:trHeight w:val="359"/>
        </w:trPr>
        <w:tc>
          <w:tcPr>
            <w:tcW w:w="4608" w:type="dxa"/>
            <w:tcBorders>
              <w:top w:val="single" w:sz="4" w:space="0" w:color="auto"/>
              <w:left w:val="single" w:sz="4" w:space="0" w:color="auto"/>
              <w:bottom w:val="single" w:sz="4" w:space="0" w:color="auto"/>
              <w:right w:val="single" w:sz="4" w:space="0" w:color="auto"/>
            </w:tcBorders>
            <w:hideMark/>
          </w:tcPr>
          <w:p w14:paraId="5E0C981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2432E80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Hipokalemija, povećan apetit, hipofosfatemija, smanjen apetit, dehidratacija, giht, hiperurikemija, hiperkalcemija, hiperglikemija, hiponatremija</w:t>
            </w:r>
          </w:p>
        </w:tc>
      </w:tr>
      <w:tr w:rsidR="008F7DDB" w:rsidRPr="00291333" w14:paraId="427A1C88"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30F83DF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3E6EFA0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Hiperkalemija, hipomagneziemija</w:t>
            </w:r>
          </w:p>
        </w:tc>
      </w:tr>
      <w:tr w:rsidR="008F7DDB" w:rsidRPr="00291333" w14:paraId="21514F3E"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61A56645"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Psihijatrijski poremećaji</w:t>
            </w:r>
          </w:p>
        </w:tc>
      </w:tr>
      <w:tr w:rsidR="008F7DDB" w:rsidRPr="00291333" w14:paraId="7E1D0255"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4759BFC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885" w:type="dxa"/>
            <w:tcBorders>
              <w:top w:val="single" w:sz="4" w:space="0" w:color="auto"/>
              <w:left w:val="single" w:sz="4" w:space="0" w:color="auto"/>
              <w:bottom w:val="single" w:sz="4" w:space="0" w:color="auto"/>
              <w:right w:val="single" w:sz="4" w:space="0" w:color="auto"/>
            </w:tcBorders>
            <w:hideMark/>
          </w:tcPr>
          <w:p w14:paraId="591E653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Nesanica</w:t>
            </w:r>
          </w:p>
        </w:tc>
      </w:tr>
      <w:tr w:rsidR="008F7DDB" w:rsidRPr="00291333" w14:paraId="4E152E72"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39EF688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308A8B77" w14:textId="77777777" w:rsidR="008F7DDB" w:rsidRPr="00291333" w:rsidRDefault="008F7DDB" w:rsidP="0040712C">
            <w:pPr>
              <w:widowControl w:val="0"/>
              <w:tabs>
                <w:tab w:val="left" w:pos="3795"/>
              </w:tabs>
              <w:autoSpaceDE w:val="0"/>
              <w:autoSpaceDN w:val="0"/>
              <w:adjustRightInd w:val="0"/>
              <w:spacing w:line="240" w:lineRule="auto"/>
              <w:ind w:right="-1"/>
              <w:rPr>
                <w:lang w:val="sr-Latn-ME" w:eastAsia="sl-SI"/>
              </w:rPr>
            </w:pPr>
            <w:r w:rsidRPr="00291333">
              <w:rPr>
                <w:lang w:val="sr-Latn-ME" w:eastAsia="sl-SI"/>
              </w:rPr>
              <w:t>Depresija, smanjeni libido, anksioznost</w:t>
            </w:r>
          </w:p>
        </w:tc>
      </w:tr>
      <w:tr w:rsidR="008F7DDB" w:rsidRPr="00291333" w14:paraId="49E8C2F7"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1DA3999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2847147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Stanje konfuzije </w:t>
            </w:r>
          </w:p>
        </w:tc>
      </w:tr>
      <w:tr w:rsidR="008F7DDB" w:rsidRPr="00291333" w14:paraId="01082234"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018C5E3E"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nervnog sistema</w:t>
            </w:r>
          </w:p>
        </w:tc>
      </w:tr>
      <w:tr w:rsidR="008F7DDB" w:rsidRPr="00291333" w14:paraId="16078FE2" w14:textId="77777777" w:rsidTr="0040712C">
        <w:trPr>
          <w:gridAfter w:val="1"/>
          <w:wAfter w:w="57" w:type="dxa"/>
          <w:trHeight w:val="122"/>
        </w:trPr>
        <w:tc>
          <w:tcPr>
            <w:tcW w:w="4608" w:type="dxa"/>
            <w:tcBorders>
              <w:top w:val="single" w:sz="4" w:space="0" w:color="auto"/>
              <w:left w:val="single" w:sz="4" w:space="0" w:color="auto"/>
              <w:bottom w:val="single" w:sz="4" w:space="0" w:color="auto"/>
              <w:right w:val="single" w:sz="4" w:space="0" w:color="auto"/>
            </w:tcBorders>
            <w:hideMark/>
          </w:tcPr>
          <w:p w14:paraId="3014E8C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Veoma često: </w:t>
            </w:r>
          </w:p>
        </w:tc>
        <w:tc>
          <w:tcPr>
            <w:tcW w:w="4885" w:type="dxa"/>
            <w:tcBorders>
              <w:top w:val="single" w:sz="4" w:space="0" w:color="auto"/>
              <w:left w:val="single" w:sz="4" w:space="0" w:color="auto"/>
              <w:bottom w:val="single" w:sz="4" w:space="0" w:color="auto"/>
              <w:right w:val="single" w:sz="4" w:space="0" w:color="auto"/>
            </w:tcBorders>
            <w:hideMark/>
          </w:tcPr>
          <w:p w14:paraId="2D32EF0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Glavobolja</w:t>
            </w:r>
            <w:r w:rsidRPr="00291333">
              <w:rPr>
                <w:vertAlign w:val="superscript"/>
                <w:lang w:val="sr-Latn-ME" w:eastAsia="sl-SI"/>
              </w:rPr>
              <w:t xml:space="preserve">2 </w:t>
            </w:r>
          </w:p>
        </w:tc>
      </w:tr>
      <w:tr w:rsidR="008F7DDB" w:rsidRPr="0040712C" w14:paraId="11D97D79"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3B2787C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885" w:type="dxa"/>
            <w:tcBorders>
              <w:top w:val="single" w:sz="4" w:space="0" w:color="auto"/>
              <w:left w:val="single" w:sz="4" w:space="0" w:color="auto"/>
              <w:bottom w:val="single" w:sz="4" w:space="0" w:color="auto"/>
              <w:right w:val="single" w:sz="4" w:space="0" w:color="auto"/>
            </w:tcBorders>
            <w:hideMark/>
          </w:tcPr>
          <w:p w14:paraId="76901DF0" w14:textId="77777777" w:rsidR="008F7DDB" w:rsidRPr="00291333" w:rsidRDefault="008F7DDB" w:rsidP="0040712C">
            <w:pPr>
              <w:widowControl w:val="0"/>
              <w:autoSpaceDE w:val="0"/>
              <w:autoSpaceDN w:val="0"/>
              <w:adjustRightInd w:val="0"/>
              <w:spacing w:line="240" w:lineRule="auto"/>
              <w:ind w:right="-164"/>
              <w:rPr>
                <w:lang w:val="sr-Latn-ME" w:eastAsia="sl-SI"/>
              </w:rPr>
            </w:pPr>
            <w:r w:rsidRPr="00291333">
              <w:rPr>
                <w:lang w:val="sr-Latn-ME" w:eastAsia="sl-SI"/>
              </w:rPr>
              <w:t>Vrtoglavica, parestezija, poremećaj ukusa, hipoestezija</w:t>
            </w:r>
          </w:p>
        </w:tc>
      </w:tr>
      <w:tr w:rsidR="008F7DDB" w:rsidRPr="0040712C" w14:paraId="1D86A5A6"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hideMark/>
          </w:tcPr>
          <w:p w14:paraId="5FAF330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5F460DA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Migrena, pospanost, sinkopa, periferna neuropatija, poremećaj pamćenja, ishijalgija, sindrom nemirnih nogu, tremor, cerebralno krvarenje </w:t>
            </w:r>
          </w:p>
        </w:tc>
      </w:tr>
      <w:tr w:rsidR="008F7DDB" w:rsidRPr="0040712C" w14:paraId="462C8BFD"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518D8CF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3E65103B" w14:textId="77777777" w:rsidR="008F7DDB" w:rsidRPr="00291333" w:rsidRDefault="008F7DDB" w:rsidP="0040712C">
            <w:pPr>
              <w:widowControl w:val="0"/>
              <w:autoSpaceDE w:val="0"/>
              <w:autoSpaceDN w:val="0"/>
              <w:adjustRightInd w:val="0"/>
              <w:spacing w:line="240" w:lineRule="auto"/>
              <w:ind w:right="-74"/>
              <w:rPr>
                <w:lang w:val="sr-Latn-ME" w:eastAsia="sl-SI"/>
              </w:rPr>
            </w:pPr>
            <w:r w:rsidRPr="00291333">
              <w:rPr>
                <w:lang w:val="sr-Latn-ME" w:eastAsia="sl-SI"/>
              </w:rPr>
              <w:t>Povišen intrakranijalni pritisak, konvulzije, optički neuritis</w:t>
            </w:r>
          </w:p>
        </w:tc>
      </w:tr>
      <w:tr w:rsidR="008F7DDB" w:rsidRPr="00291333" w14:paraId="265D3EF7"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3603399C"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885" w:type="dxa"/>
            <w:tcBorders>
              <w:top w:val="single" w:sz="4" w:space="0" w:color="auto"/>
              <w:left w:val="single" w:sz="4" w:space="0" w:color="auto"/>
              <w:bottom w:val="single" w:sz="4" w:space="0" w:color="auto"/>
              <w:right w:val="single" w:sz="4" w:space="0" w:color="auto"/>
            </w:tcBorders>
          </w:tcPr>
          <w:p w14:paraId="34C5E13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Cerebralni edem*</w:t>
            </w:r>
          </w:p>
        </w:tc>
      </w:tr>
      <w:tr w:rsidR="008F7DDB" w:rsidRPr="00291333" w14:paraId="18326A6F"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6245509C"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oka</w:t>
            </w:r>
          </w:p>
        </w:tc>
      </w:tr>
      <w:tr w:rsidR="008F7DDB" w:rsidRPr="00C86919" w14:paraId="24557E8A"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hideMark/>
          </w:tcPr>
          <w:p w14:paraId="6129DE2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885" w:type="dxa"/>
            <w:tcBorders>
              <w:top w:val="single" w:sz="4" w:space="0" w:color="auto"/>
              <w:left w:val="single" w:sz="4" w:space="0" w:color="auto"/>
              <w:bottom w:val="single" w:sz="4" w:space="0" w:color="auto"/>
              <w:right w:val="single" w:sz="4" w:space="0" w:color="auto"/>
            </w:tcBorders>
            <w:hideMark/>
          </w:tcPr>
          <w:p w14:paraId="1E3CFA2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Edem kapaka, pojačano suzenje, konjunktivalno krvarenje, konjunktivitis, suvo oko, zamagljen vid</w:t>
            </w:r>
          </w:p>
        </w:tc>
      </w:tr>
      <w:tr w:rsidR="008F7DDB" w:rsidRPr="0040712C" w14:paraId="4FDD80D6"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hideMark/>
          </w:tcPr>
          <w:p w14:paraId="7EE43BD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14D87A6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Iritacija oka, bol u oku, orbitalni edem, krvarenje sklere, retinalna hemoragija, blefaritis, makularni edem</w:t>
            </w:r>
          </w:p>
        </w:tc>
      </w:tr>
      <w:tr w:rsidR="008F7DDB" w:rsidRPr="00291333" w14:paraId="478DC13E"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7FA4786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63AB8EA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Katarakta, glaukom, edem papile</w:t>
            </w:r>
          </w:p>
        </w:tc>
      </w:tr>
      <w:tr w:rsidR="008F7DDB" w:rsidRPr="00291333" w14:paraId="1B75FB27"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tcPr>
          <w:p w14:paraId="243B300E"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885" w:type="dxa"/>
            <w:tcBorders>
              <w:top w:val="single" w:sz="4" w:space="0" w:color="auto"/>
              <w:left w:val="single" w:sz="4" w:space="0" w:color="auto"/>
              <w:bottom w:val="single" w:sz="4" w:space="0" w:color="auto"/>
              <w:right w:val="single" w:sz="4" w:space="0" w:color="auto"/>
            </w:tcBorders>
          </w:tcPr>
          <w:p w14:paraId="0DAF5C5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Hemoragije u staklastom tijelu*</w:t>
            </w:r>
          </w:p>
        </w:tc>
      </w:tr>
      <w:tr w:rsidR="008F7DDB" w:rsidRPr="00291333" w14:paraId="22FEC063"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1830CB95"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uha i labirinta</w:t>
            </w:r>
          </w:p>
        </w:tc>
      </w:tr>
      <w:tr w:rsidR="008F7DDB" w:rsidRPr="00291333" w14:paraId="745333CC" w14:textId="77777777" w:rsidTr="0040712C">
        <w:trPr>
          <w:gridAfter w:val="1"/>
          <w:wAfter w:w="57" w:type="dxa"/>
          <w:trHeight w:val="100"/>
        </w:trPr>
        <w:tc>
          <w:tcPr>
            <w:tcW w:w="4608" w:type="dxa"/>
            <w:tcBorders>
              <w:top w:val="single" w:sz="4" w:space="0" w:color="auto"/>
              <w:left w:val="single" w:sz="4" w:space="0" w:color="auto"/>
              <w:bottom w:val="single" w:sz="4" w:space="0" w:color="auto"/>
              <w:right w:val="single" w:sz="4" w:space="0" w:color="auto"/>
            </w:tcBorders>
            <w:hideMark/>
          </w:tcPr>
          <w:p w14:paraId="222764B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5C4F96A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Vertigo, tinitus, gubitak sluha</w:t>
            </w:r>
          </w:p>
        </w:tc>
      </w:tr>
      <w:tr w:rsidR="008F7DDB" w:rsidRPr="00291333" w14:paraId="3C45F544" w14:textId="77777777" w:rsidTr="0040712C">
        <w:trPr>
          <w:gridAfter w:val="1"/>
          <w:wAfter w:w="57" w:type="dxa"/>
          <w:trHeight w:val="98"/>
        </w:trPr>
        <w:tc>
          <w:tcPr>
            <w:tcW w:w="9493" w:type="dxa"/>
            <w:gridSpan w:val="2"/>
            <w:tcBorders>
              <w:top w:val="single" w:sz="4" w:space="0" w:color="auto"/>
              <w:left w:val="single" w:sz="4" w:space="0" w:color="auto"/>
              <w:bottom w:val="single" w:sz="4" w:space="0" w:color="auto"/>
              <w:right w:val="single" w:sz="4" w:space="0" w:color="auto"/>
            </w:tcBorders>
            <w:hideMark/>
          </w:tcPr>
          <w:p w14:paraId="36F6FC9D"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Kardiološki poremećaji</w:t>
            </w:r>
          </w:p>
        </w:tc>
      </w:tr>
      <w:tr w:rsidR="008F7DDB" w:rsidRPr="00C86919" w14:paraId="529CF2AF" w14:textId="77777777" w:rsidTr="0040712C">
        <w:trPr>
          <w:gridAfter w:val="1"/>
          <w:wAfter w:w="57" w:type="dxa"/>
          <w:trHeight w:val="122"/>
        </w:trPr>
        <w:tc>
          <w:tcPr>
            <w:tcW w:w="4608" w:type="dxa"/>
            <w:tcBorders>
              <w:top w:val="single" w:sz="4" w:space="0" w:color="auto"/>
              <w:left w:val="single" w:sz="4" w:space="0" w:color="auto"/>
              <w:bottom w:val="single" w:sz="4" w:space="0" w:color="auto"/>
              <w:right w:val="single" w:sz="4" w:space="0" w:color="auto"/>
            </w:tcBorders>
            <w:hideMark/>
          </w:tcPr>
          <w:p w14:paraId="62DF108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885" w:type="dxa"/>
            <w:tcBorders>
              <w:top w:val="single" w:sz="4" w:space="0" w:color="auto"/>
              <w:left w:val="single" w:sz="4" w:space="0" w:color="auto"/>
              <w:bottom w:val="single" w:sz="4" w:space="0" w:color="auto"/>
              <w:right w:val="single" w:sz="4" w:space="0" w:color="auto"/>
            </w:tcBorders>
            <w:hideMark/>
          </w:tcPr>
          <w:p w14:paraId="228B3C8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Palpitacije, tahikardija, kongestivna srčana insuficijencija</w:t>
            </w:r>
            <w:r w:rsidRPr="00291333">
              <w:rPr>
                <w:vertAlign w:val="superscript"/>
                <w:lang w:val="sr-Latn-ME" w:eastAsia="sl-SI"/>
              </w:rPr>
              <w:t>3</w:t>
            </w:r>
            <w:r w:rsidRPr="00291333">
              <w:rPr>
                <w:lang w:val="sr-Latn-ME" w:eastAsia="sl-SI"/>
              </w:rPr>
              <w:t xml:space="preserve"> , plućni edem</w:t>
            </w:r>
          </w:p>
        </w:tc>
      </w:tr>
      <w:tr w:rsidR="008F7DDB" w:rsidRPr="00C86919" w14:paraId="48913B6B"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hideMark/>
          </w:tcPr>
          <w:p w14:paraId="6A170AE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885" w:type="dxa"/>
            <w:tcBorders>
              <w:top w:val="single" w:sz="4" w:space="0" w:color="auto"/>
              <w:left w:val="single" w:sz="4" w:space="0" w:color="auto"/>
              <w:bottom w:val="single" w:sz="4" w:space="0" w:color="auto"/>
              <w:right w:val="single" w:sz="4" w:space="0" w:color="auto"/>
            </w:tcBorders>
            <w:hideMark/>
          </w:tcPr>
          <w:p w14:paraId="110A05E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Aritmija, atrijalna fibrilacija, srčani zastoj, infarkt miokarda, angina pektoris, perikardna efuzija</w:t>
            </w:r>
          </w:p>
        </w:tc>
      </w:tr>
      <w:tr w:rsidR="008F7DDB" w:rsidRPr="00291333" w14:paraId="06B1734D" w14:textId="77777777" w:rsidTr="0040712C">
        <w:trPr>
          <w:gridAfter w:val="1"/>
          <w:wAfter w:w="57" w:type="dxa"/>
          <w:trHeight w:val="230"/>
        </w:trPr>
        <w:tc>
          <w:tcPr>
            <w:tcW w:w="4608" w:type="dxa"/>
            <w:tcBorders>
              <w:top w:val="single" w:sz="4" w:space="0" w:color="auto"/>
              <w:left w:val="single" w:sz="4" w:space="0" w:color="auto"/>
              <w:bottom w:val="single" w:sz="4" w:space="0" w:color="auto"/>
              <w:right w:val="single" w:sz="4" w:space="0" w:color="auto"/>
            </w:tcBorders>
          </w:tcPr>
          <w:p w14:paraId="06A1632C"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885" w:type="dxa"/>
            <w:tcBorders>
              <w:top w:val="single" w:sz="4" w:space="0" w:color="auto"/>
              <w:left w:val="single" w:sz="4" w:space="0" w:color="auto"/>
              <w:bottom w:val="single" w:sz="4" w:space="0" w:color="auto"/>
              <w:right w:val="single" w:sz="4" w:space="0" w:color="auto"/>
            </w:tcBorders>
          </w:tcPr>
          <w:p w14:paraId="786646A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Perikarditis*, srčana tamponada*</w:t>
            </w:r>
          </w:p>
        </w:tc>
      </w:tr>
      <w:tr w:rsidR="008F7DDB" w:rsidRPr="00291333" w14:paraId="1C120301" w14:textId="77777777" w:rsidTr="0040712C">
        <w:trPr>
          <w:trHeight w:val="121"/>
        </w:trPr>
        <w:tc>
          <w:tcPr>
            <w:tcW w:w="9550" w:type="dxa"/>
            <w:gridSpan w:val="3"/>
            <w:tcBorders>
              <w:top w:val="single" w:sz="4" w:space="0" w:color="auto"/>
              <w:left w:val="single" w:sz="4" w:space="0" w:color="auto"/>
              <w:bottom w:val="single" w:sz="4" w:space="0" w:color="auto"/>
              <w:right w:val="single" w:sz="4" w:space="0" w:color="auto"/>
            </w:tcBorders>
            <w:hideMark/>
          </w:tcPr>
          <w:p w14:paraId="60A1038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bCs/>
                <w:lang w:val="sr-Latn-ME" w:eastAsia="sl-SI"/>
              </w:rPr>
              <w:t>Vaskularni poremećaji</w:t>
            </w:r>
            <w:r w:rsidRPr="00291333">
              <w:rPr>
                <w:b/>
                <w:bCs/>
                <w:vertAlign w:val="superscript"/>
                <w:lang w:val="sr-Latn-ME" w:eastAsia="sl-SI"/>
              </w:rPr>
              <w:t>4</w:t>
            </w:r>
            <w:r w:rsidRPr="00291333">
              <w:rPr>
                <w:b/>
                <w:bCs/>
                <w:lang w:val="sr-Latn-ME" w:eastAsia="sl-SI"/>
              </w:rPr>
              <w:t xml:space="preserve"> </w:t>
            </w:r>
          </w:p>
        </w:tc>
      </w:tr>
      <w:tr w:rsidR="008F7DDB" w:rsidRPr="00291333" w14:paraId="0CE91D29"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7A09FB7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6C01676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Crvenilo, krvarenje </w:t>
            </w:r>
          </w:p>
        </w:tc>
      </w:tr>
      <w:tr w:rsidR="008F7DDB" w:rsidRPr="0040712C" w14:paraId="058F56A8"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661064A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1DF2C57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Hipertenzija, hematom, subduralni hematom, periferna hladnoća, hipotenzija, Raynaudov fenomen</w:t>
            </w:r>
          </w:p>
        </w:tc>
      </w:tr>
      <w:tr w:rsidR="008F7DDB" w:rsidRPr="00291333" w14:paraId="212D5DD7" w14:textId="77777777" w:rsidTr="0040712C">
        <w:trPr>
          <w:trHeight w:val="230"/>
        </w:trPr>
        <w:tc>
          <w:tcPr>
            <w:tcW w:w="4608" w:type="dxa"/>
            <w:tcBorders>
              <w:top w:val="single" w:sz="4" w:space="0" w:color="auto"/>
              <w:left w:val="single" w:sz="4" w:space="0" w:color="auto"/>
              <w:bottom w:val="single" w:sz="4" w:space="0" w:color="auto"/>
              <w:right w:val="nil"/>
            </w:tcBorders>
          </w:tcPr>
          <w:p w14:paraId="66FC2360"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942" w:type="dxa"/>
            <w:gridSpan w:val="2"/>
            <w:tcBorders>
              <w:top w:val="single" w:sz="4" w:space="0" w:color="auto"/>
              <w:left w:val="nil"/>
              <w:bottom w:val="single" w:sz="4" w:space="0" w:color="auto"/>
              <w:right w:val="single" w:sz="4" w:space="0" w:color="auto"/>
            </w:tcBorders>
          </w:tcPr>
          <w:p w14:paraId="71E60A7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Tromboza/embolija*</w:t>
            </w:r>
          </w:p>
        </w:tc>
      </w:tr>
      <w:tr w:rsidR="008F7DDB" w:rsidRPr="0040712C" w14:paraId="148BF38F"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6475C178"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lang w:val="sr-Latn-ME" w:eastAsia="sl-SI"/>
              </w:rPr>
              <w:t>Respiratorni, torakalni i medijastinalni poremećaji</w:t>
            </w:r>
          </w:p>
        </w:tc>
      </w:tr>
      <w:tr w:rsidR="008F7DDB" w:rsidRPr="00291333" w14:paraId="494562CF"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580B7C0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4BA30D6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Dispneja, epistaksa, kašalj</w:t>
            </w:r>
          </w:p>
        </w:tc>
      </w:tr>
      <w:tr w:rsidR="008F7DDB" w:rsidRPr="0040712C" w14:paraId="005A2768" w14:textId="77777777" w:rsidTr="0040712C">
        <w:trPr>
          <w:trHeight w:val="122"/>
        </w:trPr>
        <w:tc>
          <w:tcPr>
            <w:tcW w:w="4608" w:type="dxa"/>
            <w:tcBorders>
              <w:top w:val="single" w:sz="4" w:space="0" w:color="auto"/>
              <w:left w:val="single" w:sz="4" w:space="0" w:color="auto"/>
              <w:bottom w:val="single" w:sz="4" w:space="0" w:color="auto"/>
              <w:right w:val="single" w:sz="4" w:space="0" w:color="auto"/>
            </w:tcBorders>
            <w:hideMark/>
          </w:tcPr>
          <w:p w14:paraId="05EC82D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5D64D55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Pleuralna efuzija</w:t>
            </w:r>
            <w:r w:rsidRPr="00291333">
              <w:rPr>
                <w:vertAlign w:val="superscript"/>
                <w:lang w:val="sr-Latn-ME" w:eastAsia="sl-SI"/>
              </w:rPr>
              <w:t>5</w:t>
            </w:r>
            <w:r w:rsidRPr="00291333">
              <w:rPr>
                <w:lang w:val="sr-Latn-ME" w:eastAsia="sl-SI"/>
              </w:rPr>
              <w:t xml:space="preserve"> , faringolaringealni bol, faringitis</w:t>
            </w:r>
          </w:p>
        </w:tc>
      </w:tr>
      <w:tr w:rsidR="008F7DDB" w:rsidRPr="0040712C" w14:paraId="5D4BA664"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1DA6735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15A45B3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Pleuritični bol, plućna fibroza, plućna hipertenzija, plućna hemoragija</w:t>
            </w:r>
          </w:p>
        </w:tc>
      </w:tr>
      <w:tr w:rsidR="008F7DDB" w:rsidRPr="00291333" w14:paraId="69231228"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tcPr>
          <w:p w14:paraId="3A3B35A0"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942" w:type="dxa"/>
            <w:gridSpan w:val="2"/>
            <w:tcBorders>
              <w:top w:val="single" w:sz="4" w:space="0" w:color="auto"/>
              <w:left w:val="single" w:sz="4" w:space="0" w:color="auto"/>
              <w:bottom w:val="single" w:sz="4" w:space="0" w:color="auto"/>
              <w:right w:val="single" w:sz="4" w:space="0" w:color="auto"/>
            </w:tcBorders>
          </w:tcPr>
          <w:p w14:paraId="0C85192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Akutna respiratorna insuficijencija</w:t>
            </w:r>
            <w:r w:rsidRPr="00291333">
              <w:rPr>
                <w:vertAlign w:val="superscript"/>
                <w:lang w:val="sr-Latn-ME" w:eastAsia="sl-SI"/>
              </w:rPr>
              <w:t>11</w:t>
            </w:r>
            <w:r w:rsidRPr="00291333">
              <w:rPr>
                <w:lang w:val="sr-Latn-ME" w:eastAsia="sl-SI"/>
              </w:rPr>
              <w:t xml:space="preserve"> *, intersticijumska bolest pluća*</w:t>
            </w:r>
          </w:p>
        </w:tc>
      </w:tr>
      <w:tr w:rsidR="008F7DDB" w:rsidRPr="00291333" w14:paraId="216E27C8"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017C87B0"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lang w:val="sr-Latn-ME" w:eastAsia="sl-SI"/>
              </w:rPr>
              <w:t>Gastrointestinalni poremećaji</w:t>
            </w:r>
          </w:p>
        </w:tc>
      </w:tr>
      <w:tr w:rsidR="008F7DDB" w:rsidRPr="0040712C" w14:paraId="2C71092B" w14:textId="77777777" w:rsidTr="0040712C">
        <w:trPr>
          <w:trHeight w:val="122"/>
        </w:trPr>
        <w:tc>
          <w:tcPr>
            <w:tcW w:w="4608" w:type="dxa"/>
            <w:tcBorders>
              <w:top w:val="single" w:sz="4" w:space="0" w:color="auto"/>
              <w:left w:val="single" w:sz="4" w:space="0" w:color="auto"/>
              <w:bottom w:val="single" w:sz="4" w:space="0" w:color="auto"/>
              <w:right w:val="single" w:sz="4" w:space="0" w:color="auto"/>
            </w:tcBorders>
            <w:hideMark/>
          </w:tcPr>
          <w:p w14:paraId="19F8EA0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Veoma 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7D366FE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Mučnina, proliv, povraćanje, dispepsija, bol u </w:t>
            </w:r>
            <w:r w:rsidRPr="00291333">
              <w:rPr>
                <w:lang w:val="sr-Latn-ME" w:eastAsia="sl-SI"/>
              </w:rPr>
              <w:lastRenderedPageBreak/>
              <w:t>abdomenu</w:t>
            </w:r>
            <w:r w:rsidRPr="00291333">
              <w:rPr>
                <w:vertAlign w:val="superscript"/>
                <w:lang w:val="sr-Latn-ME" w:eastAsia="sl-SI"/>
              </w:rPr>
              <w:t>6</w:t>
            </w:r>
            <w:r w:rsidRPr="00291333">
              <w:rPr>
                <w:lang w:val="sr-Latn-ME" w:eastAsia="sl-SI"/>
              </w:rPr>
              <w:t xml:space="preserve"> </w:t>
            </w:r>
          </w:p>
        </w:tc>
      </w:tr>
      <w:tr w:rsidR="008F7DDB" w:rsidRPr="0040712C" w14:paraId="6558B5E1"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077970B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lastRenderedPageBreak/>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58E5075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flatulencija, distenzija abdomena, gastroezofagealni refluks, konstipacija, suva usta, gastritis</w:t>
            </w:r>
          </w:p>
        </w:tc>
      </w:tr>
      <w:tr w:rsidR="008F7DDB" w:rsidRPr="0040712C" w14:paraId="4BD289EA" w14:textId="77777777" w:rsidTr="0040712C">
        <w:trPr>
          <w:trHeight w:val="252"/>
        </w:trPr>
        <w:tc>
          <w:tcPr>
            <w:tcW w:w="4608" w:type="dxa"/>
            <w:tcBorders>
              <w:top w:val="single" w:sz="4" w:space="0" w:color="auto"/>
              <w:left w:val="single" w:sz="4" w:space="0" w:color="auto"/>
              <w:bottom w:val="single" w:sz="4" w:space="0" w:color="auto"/>
              <w:right w:val="single" w:sz="4" w:space="0" w:color="auto"/>
            </w:tcBorders>
            <w:hideMark/>
          </w:tcPr>
          <w:p w14:paraId="174667E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030E049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Stomatitis, afte u ustima, gastrointestinalno krvarenje</w:t>
            </w:r>
            <w:r w:rsidRPr="00291333">
              <w:rPr>
                <w:vertAlign w:val="superscript"/>
                <w:lang w:val="sr-Latn-ME" w:eastAsia="sl-SI"/>
              </w:rPr>
              <w:t>7</w:t>
            </w:r>
            <w:r w:rsidRPr="00291333">
              <w:rPr>
                <w:lang w:val="sr-Latn-ME" w:eastAsia="sl-SI"/>
              </w:rPr>
              <w:t>, podrigivanje, melena, ezofagitis, ascites, čir na želucu, hematemeza, heilitis, disfagija, pankreatitis</w:t>
            </w:r>
          </w:p>
        </w:tc>
      </w:tr>
      <w:tr w:rsidR="008F7DDB" w:rsidRPr="00291333" w14:paraId="5FFE0CA7"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6701C24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498720B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Kolitis, ileus, inflamatorna bolest crijeva</w:t>
            </w:r>
          </w:p>
        </w:tc>
      </w:tr>
      <w:tr w:rsidR="008F7DDB" w:rsidRPr="0040712C" w14:paraId="1AB3AE2B"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tcPr>
          <w:p w14:paraId="30384127"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 xml:space="preserve">Nepoznato: </w:t>
            </w:r>
          </w:p>
        </w:tc>
        <w:tc>
          <w:tcPr>
            <w:tcW w:w="4942" w:type="dxa"/>
            <w:gridSpan w:val="2"/>
            <w:tcBorders>
              <w:top w:val="single" w:sz="4" w:space="0" w:color="auto"/>
              <w:left w:val="single" w:sz="4" w:space="0" w:color="auto"/>
              <w:bottom w:val="single" w:sz="4" w:space="0" w:color="auto"/>
              <w:right w:val="single" w:sz="4" w:space="0" w:color="auto"/>
            </w:tcBorders>
          </w:tcPr>
          <w:p w14:paraId="792850E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Ileus/intestinalna opstrukcija*, gastrointestinalna perforacija*, divertikulitis*, gastrična antralna vaskularna ektazija (GAVE)*</w:t>
            </w:r>
          </w:p>
        </w:tc>
      </w:tr>
      <w:tr w:rsidR="008F7DDB" w:rsidRPr="00291333" w14:paraId="3ACD0B94"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7A2D66C8"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lang w:val="sr-Latn-ME" w:eastAsia="sl-SI"/>
              </w:rPr>
              <w:t>Hepatobilijarni poremećaji</w:t>
            </w:r>
          </w:p>
        </w:tc>
      </w:tr>
      <w:tr w:rsidR="008F7DDB" w:rsidRPr="00291333" w14:paraId="4D32CE74"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67420F9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6C5D2A7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Povišeni jetreni enzimi</w:t>
            </w:r>
          </w:p>
        </w:tc>
      </w:tr>
      <w:tr w:rsidR="008F7DDB" w:rsidRPr="00291333" w14:paraId="28E5AD2A"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31270D0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422BE46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Hiperbilirubinemija, hepatitis, žutica</w:t>
            </w:r>
          </w:p>
        </w:tc>
      </w:tr>
      <w:tr w:rsidR="008F7DDB" w:rsidRPr="00291333" w14:paraId="58F8AE8D" w14:textId="77777777" w:rsidTr="0040712C">
        <w:trPr>
          <w:trHeight w:val="122"/>
        </w:trPr>
        <w:tc>
          <w:tcPr>
            <w:tcW w:w="4608" w:type="dxa"/>
            <w:tcBorders>
              <w:top w:val="single" w:sz="4" w:space="0" w:color="auto"/>
              <w:left w:val="single" w:sz="4" w:space="0" w:color="auto"/>
              <w:bottom w:val="single" w:sz="4" w:space="0" w:color="auto"/>
              <w:right w:val="single" w:sz="4" w:space="0" w:color="auto"/>
            </w:tcBorders>
            <w:hideMark/>
          </w:tcPr>
          <w:p w14:paraId="0E31002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08DE734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Insuficijencija jetre</w:t>
            </w:r>
            <w:r w:rsidRPr="00291333">
              <w:rPr>
                <w:vertAlign w:val="superscript"/>
                <w:lang w:val="sr-Latn-ME" w:eastAsia="sl-SI"/>
              </w:rPr>
              <w:t>8</w:t>
            </w:r>
            <w:r w:rsidRPr="00291333">
              <w:rPr>
                <w:lang w:val="sr-Latn-ME" w:eastAsia="sl-SI"/>
              </w:rPr>
              <w:t>, nekroza jetre</w:t>
            </w:r>
          </w:p>
        </w:tc>
      </w:tr>
      <w:tr w:rsidR="008F7DDB" w:rsidRPr="0040712C" w14:paraId="47268712"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574D2F90"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kože i potkožnog tkiva</w:t>
            </w:r>
          </w:p>
        </w:tc>
      </w:tr>
      <w:tr w:rsidR="008F7DDB" w:rsidRPr="0040712C" w14:paraId="1A85F962"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2C189CA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Veoma 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473D6CD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Periorbitalni edem, dermatitis/ekcem/osip</w:t>
            </w:r>
          </w:p>
        </w:tc>
      </w:tr>
      <w:tr w:rsidR="008F7DDB" w:rsidRPr="00C86919" w14:paraId="102FA142"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20BCE6B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09EACFB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Svrab, otok lica, suva koža, eritem, alopecija, noćno znojenje, reakcija fotosenzitivnosti</w:t>
            </w:r>
          </w:p>
        </w:tc>
      </w:tr>
      <w:tr w:rsidR="008F7DDB" w:rsidRPr="00C86919" w14:paraId="725BA646" w14:textId="77777777" w:rsidTr="0040712C">
        <w:trPr>
          <w:trHeight w:val="489"/>
        </w:trPr>
        <w:tc>
          <w:tcPr>
            <w:tcW w:w="4608" w:type="dxa"/>
            <w:tcBorders>
              <w:top w:val="single" w:sz="4" w:space="0" w:color="auto"/>
              <w:left w:val="single" w:sz="4" w:space="0" w:color="auto"/>
              <w:bottom w:val="single" w:sz="4" w:space="0" w:color="auto"/>
              <w:right w:val="single" w:sz="4" w:space="0" w:color="auto"/>
            </w:tcBorders>
            <w:hideMark/>
          </w:tcPr>
          <w:p w14:paraId="0E4A2B8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4E74CFFB" w14:textId="77777777" w:rsidR="008F7DDB" w:rsidRPr="00291333" w:rsidRDefault="008F7DDB" w:rsidP="00B7430D">
            <w:pPr>
              <w:widowControl w:val="0"/>
              <w:autoSpaceDE w:val="0"/>
              <w:autoSpaceDN w:val="0"/>
              <w:adjustRightInd w:val="0"/>
              <w:spacing w:line="240" w:lineRule="auto"/>
              <w:ind w:right="-1"/>
              <w:rPr>
                <w:lang w:val="sr-Latn-ME" w:eastAsia="sl-SI"/>
              </w:rPr>
            </w:pPr>
            <w:r w:rsidRPr="00291333">
              <w:rPr>
                <w:lang w:val="sr-Latn-ME" w:eastAsia="sl-SI"/>
              </w:rPr>
              <w:t>Pustularni osip, kontuzije, pojačano znojenje, urtikarija, ekhimoza, povećana sklonost modricama, hipotrihoza, hipopigmentacija kože, eksfolijativni dermatitis, onihoklazija, folikulitis, petehije, psorijaza, purpura, hiperpigmentacija kože, bulozne erupcije</w:t>
            </w:r>
            <w:r w:rsidR="00B659D9" w:rsidRPr="00C86919">
              <w:rPr>
                <w:bCs/>
                <w:szCs w:val="22"/>
                <w:lang w:val="sr-Latn-ME"/>
              </w:rPr>
              <w:t xml:space="preserve">, </w:t>
            </w:r>
            <w:r w:rsidR="00B7430D">
              <w:rPr>
                <w:bCs/>
                <w:szCs w:val="22"/>
              </w:rPr>
              <w:t>panikulitis</w:t>
            </w:r>
          </w:p>
        </w:tc>
      </w:tr>
      <w:tr w:rsidR="008F7DDB" w:rsidRPr="00C86919" w14:paraId="74D69393" w14:textId="77777777" w:rsidTr="0040712C">
        <w:trPr>
          <w:trHeight w:val="489"/>
        </w:trPr>
        <w:tc>
          <w:tcPr>
            <w:tcW w:w="4608" w:type="dxa"/>
            <w:tcBorders>
              <w:top w:val="single" w:sz="4" w:space="0" w:color="auto"/>
              <w:left w:val="single" w:sz="4" w:space="0" w:color="auto"/>
              <w:bottom w:val="single" w:sz="4" w:space="0" w:color="auto"/>
              <w:right w:val="single" w:sz="4" w:space="0" w:color="auto"/>
            </w:tcBorders>
            <w:hideMark/>
          </w:tcPr>
          <w:p w14:paraId="4106C051"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3B0CCB0D" w14:textId="77777777" w:rsidR="008F7DDB" w:rsidRPr="0040712C" w:rsidRDefault="008F7DDB" w:rsidP="0034207E">
            <w:pPr>
              <w:widowControl w:val="0"/>
              <w:autoSpaceDE w:val="0"/>
              <w:autoSpaceDN w:val="0"/>
              <w:adjustRightInd w:val="0"/>
              <w:spacing w:line="240" w:lineRule="auto"/>
              <w:ind w:right="-1"/>
              <w:rPr>
                <w:lang w:val="sr-Latn-ME" w:eastAsia="sl-SI"/>
              </w:rPr>
            </w:pPr>
            <w:r w:rsidRPr="00291333">
              <w:rPr>
                <w:lang w:val="sr-Latn-ME" w:eastAsia="sl-SI"/>
              </w:rPr>
              <w:t>Akutna febrilna neutrofilna dermatoza (Sweet-ov sindrom), obezbojenje nokta, angioneurotski edem, vezikularni osip, multiformni eritem, leukocitoklastni vaskulitis, Stevens-Johnson-ov sindrom, akutni generalizovani pustulozni egzantem (AGPE)</w:t>
            </w:r>
            <w:r w:rsidR="0040712C" w:rsidRPr="00C86919">
              <w:rPr>
                <w:bCs/>
                <w:szCs w:val="22"/>
                <w:lang w:val="sr-Latn-ME"/>
              </w:rPr>
              <w:t xml:space="preserve"> , </w:t>
            </w:r>
            <w:r w:rsidR="0040712C">
              <w:rPr>
                <w:bCs/>
                <w:szCs w:val="22"/>
              </w:rPr>
              <w:t>pem</w:t>
            </w:r>
            <w:r w:rsidR="0034207E">
              <w:rPr>
                <w:bCs/>
                <w:szCs w:val="22"/>
              </w:rPr>
              <w:t>f</w:t>
            </w:r>
            <w:r w:rsidR="0040712C">
              <w:rPr>
                <w:bCs/>
                <w:szCs w:val="22"/>
              </w:rPr>
              <w:t>igus</w:t>
            </w:r>
            <w:r w:rsidR="0040712C" w:rsidRPr="00C86919">
              <w:rPr>
                <w:bCs/>
                <w:szCs w:val="22"/>
                <w:lang w:val="sr-Latn-ME"/>
              </w:rPr>
              <w:t>*</w:t>
            </w:r>
          </w:p>
        </w:tc>
      </w:tr>
      <w:tr w:rsidR="008F7DDB" w:rsidRPr="00C86919" w14:paraId="63FEDAFA" w14:textId="77777777" w:rsidTr="0040712C">
        <w:trPr>
          <w:trHeight w:val="489"/>
        </w:trPr>
        <w:tc>
          <w:tcPr>
            <w:tcW w:w="4608" w:type="dxa"/>
            <w:tcBorders>
              <w:top w:val="single" w:sz="4" w:space="0" w:color="auto"/>
              <w:left w:val="single" w:sz="4" w:space="0" w:color="auto"/>
              <w:bottom w:val="single" w:sz="4" w:space="0" w:color="auto"/>
              <w:right w:val="single" w:sz="4" w:space="0" w:color="auto"/>
            </w:tcBorders>
          </w:tcPr>
          <w:p w14:paraId="66E87725"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Nepoznato:</w:t>
            </w:r>
          </w:p>
        </w:tc>
        <w:tc>
          <w:tcPr>
            <w:tcW w:w="4942" w:type="dxa"/>
            <w:gridSpan w:val="2"/>
            <w:tcBorders>
              <w:top w:val="single" w:sz="4" w:space="0" w:color="auto"/>
              <w:left w:val="single" w:sz="4" w:space="0" w:color="auto"/>
              <w:bottom w:val="single" w:sz="4" w:space="0" w:color="auto"/>
              <w:right w:val="single" w:sz="4" w:space="0" w:color="auto"/>
            </w:tcBorders>
          </w:tcPr>
          <w:p w14:paraId="7F2FB34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Sindrom palmoplantarne eritrodizestezije*, lihenoidna keratoza*, </w:t>
            </w:r>
            <w:r w:rsidRPr="00291333">
              <w:rPr>
                <w:i/>
                <w:lang w:val="sr-Latn-ME" w:eastAsia="sl-SI"/>
              </w:rPr>
              <w:t>lichen planus</w:t>
            </w:r>
            <w:r w:rsidRPr="00291333">
              <w:rPr>
                <w:lang w:val="sr-Latn-ME" w:eastAsia="sl-SI"/>
              </w:rPr>
              <w:t>*, toksična epidermalna nekroliza*, osip uzrokovan lijekom sa eozinofilijom i sistemskim simptomima (DRESS)*, pseudoporfirija*</w:t>
            </w:r>
          </w:p>
        </w:tc>
      </w:tr>
      <w:tr w:rsidR="008F7DDB" w:rsidRPr="0040712C" w14:paraId="48633082"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43239DA2"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mišićno-koštanog sistema i vezivnog tkiva</w:t>
            </w:r>
          </w:p>
        </w:tc>
      </w:tr>
      <w:tr w:rsidR="008F7DDB" w:rsidRPr="00C86919" w14:paraId="0DB2D683"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2048D13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Veoma 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248E99E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Spazam mišića i grčevi, mišićno-koštana bol uključujući mijalgiju</w:t>
            </w:r>
            <w:r w:rsidRPr="00291333">
              <w:rPr>
                <w:vertAlign w:val="superscript"/>
                <w:lang w:val="sr-Latn-ME" w:eastAsia="sl-SI"/>
              </w:rPr>
              <w:t>9</w:t>
            </w:r>
            <w:r w:rsidRPr="00291333">
              <w:rPr>
                <w:lang w:val="sr-Latn-ME" w:eastAsia="sl-SI"/>
              </w:rPr>
              <w:t>, artralgiju, bol u kostima</w:t>
            </w:r>
            <w:r w:rsidRPr="00291333">
              <w:rPr>
                <w:vertAlign w:val="superscript"/>
                <w:lang w:val="sr-Latn-ME" w:eastAsia="sl-SI"/>
              </w:rPr>
              <w:t>10</w:t>
            </w:r>
            <w:r w:rsidRPr="00291333">
              <w:rPr>
                <w:lang w:val="sr-Latn-ME" w:eastAsia="sl-SI"/>
              </w:rPr>
              <w:t xml:space="preserve"> </w:t>
            </w:r>
          </w:p>
        </w:tc>
      </w:tr>
      <w:tr w:rsidR="008F7DDB" w:rsidRPr="00291333" w14:paraId="44B73896"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20DC1DC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376F525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Oticanje zglobova</w:t>
            </w:r>
          </w:p>
        </w:tc>
      </w:tr>
      <w:tr w:rsidR="008F7DDB" w:rsidRPr="0040712C" w14:paraId="1EC7775E"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4402AFE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36240458" w14:textId="77777777" w:rsidR="008F7DDB" w:rsidRPr="0040712C"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Ukočenost zglobova i mišića</w:t>
            </w:r>
            <w:r w:rsidR="0040712C" w:rsidRPr="0040712C">
              <w:rPr>
                <w:bCs/>
                <w:szCs w:val="22"/>
                <w:lang w:eastAsia="sl-SI"/>
              </w:rPr>
              <w:t xml:space="preserve">, </w:t>
            </w:r>
            <w:r w:rsidR="0034207E" w:rsidRPr="0034207E">
              <w:rPr>
                <w:bCs/>
                <w:szCs w:val="22"/>
                <w:lang w:eastAsia="sl-SI"/>
              </w:rPr>
              <w:t>osteonekroza</w:t>
            </w:r>
            <w:r w:rsidR="0040712C" w:rsidRPr="0040712C">
              <w:rPr>
                <w:bCs/>
                <w:szCs w:val="22"/>
                <w:lang w:eastAsia="sl-SI"/>
              </w:rPr>
              <w:t>*</w:t>
            </w:r>
          </w:p>
        </w:tc>
      </w:tr>
      <w:tr w:rsidR="008F7DDB" w:rsidRPr="0040712C" w14:paraId="14567735"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653B0AF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252194C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Slabost mišića, artritis, rabdomioliza/miopatija</w:t>
            </w:r>
          </w:p>
        </w:tc>
      </w:tr>
      <w:tr w:rsidR="008F7DDB" w:rsidRPr="0040712C" w14:paraId="3B18F42D"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tcPr>
          <w:p w14:paraId="5427F3F6"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Nepoznato:</w:t>
            </w:r>
          </w:p>
        </w:tc>
        <w:tc>
          <w:tcPr>
            <w:tcW w:w="4942" w:type="dxa"/>
            <w:gridSpan w:val="2"/>
            <w:tcBorders>
              <w:top w:val="single" w:sz="4" w:space="0" w:color="auto"/>
              <w:left w:val="single" w:sz="4" w:space="0" w:color="auto"/>
              <w:bottom w:val="single" w:sz="4" w:space="0" w:color="auto"/>
              <w:right w:val="single" w:sz="4" w:space="0" w:color="auto"/>
            </w:tcBorders>
          </w:tcPr>
          <w:p w14:paraId="1BC6F7B1" w14:textId="77777777" w:rsidR="008F7DDB" w:rsidRPr="00291333" w:rsidRDefault="0040712C" w:rsidP="0040712C">
            <w:pPr>
              <w:widowControl w:val="0"/>
              <w:autoSpaceDE w:val="0"/>
              <w:autoSpaceDN w:val="0"/>
              <w:adjustRightInd w:val="0"/>
              <w:spacing w:line="240" w:lineRule="auto"/>
              <w:ind w:right="-1"/>
              <w:rPr>
                <w:lang w:val="sr-Latn-ME" w:eastAsia="sl-SI"/>
              </w:rPr>
            </w:pPr>
            <w:r>
              <w:rPr>
                <w:lang w:val="sr-Latn-ME" w:eastAsia="sl-SI"/>
              </w:rPr>
              <w:t>Z</w:t>
            </w:r>
            <w:r w:rsidR="008F7DDB" w:rsidRPr="00291333">
              <w:rPr>
                <w:lang w:val="sr-Latn-ME" w:eastAsia="sl-SI"/>
              </w:rPr>
              <w:t>astoj u rastu kod djece*</w:t>
            </w:r>
          </w:p>
        </w:tc>
      </w:tr>
      <w:tr w:rsidR="008F7DDB" w:rsidRPr="0040712C" w14:paraId="3A6958FF"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475C4900"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bubrega i urinarnog sistema</w:t>
            </w:r>
          </w:p>
        </w:tc>
      </w:tr>
      <w:tr w:rsidR="008F7DDB" w:rsidRPr="00C86919" w14:paraId="0A489E10"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7687F9D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59897B3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Bubrežna bol, hematurija, akutna insuficijencija bubrega, povećana učestalost mokrenja</w:t>
            </w:r>
          </w:p>
        </w:tc>
      </w:tr>
      <w:tr w:rsidR="008F7DDB" w:rsidRPr="00291333" w14:paraId="19D8BF66" w14:textId="77777777" w:rsidTr="0040712C">
        <w:trPr>
          <w:trHeight w:val="100"/>
        </w:trPr>
        <w:tc>
          <w:tcPr>
            <w:tcW w:w="4608" w:type="dxa"/>
          </w:tcPr>
          <w:p w14:paraId="1EE47E51"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bCs/>
                <w:i/>
                <w:iCs/>
                <w:lang w:val="sr-Latn-ME" w:eastAsia="sl-SI"/>
              </w:rPr>
              <w:t>Nepoznato:</w:t>
            </w:r>
          </w:p>
        </w:tc>
        <w:tc>
          <w:tcPr>
            <w:tcW w:w="4942" w:type="dxa"/>
            <w:gridSpan w:val="2"/>
          </w:tcPr>
          <w:p w14:paraId="3ECEAD3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Hronična bubrežna insuficijencija</w:t>
            </w:r>
          </w:p>
        </w:tc>
      </w:tr>
      <w:tr w:rsidR="008F7DDB" w:rsidRPr="0040712C" w14:paraId="702C1050"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2B337569"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Poremećaji reproduktivnog sistema i dojki</w:t>
            </w:r>
          </w:p>
        </w:tc>
      </w:tr>
      <w:tr w:rsidR="008F7DDB" w:rsidRPr="00C86919" w14:paraId="152D8C59" w14:textId="77777777" w:rsidTr="0040712C">
        <w:trPr>
          <w:trHeight w:val="230"/>
        </w:trPr>
        <w:tc>
          <w:tcPr>
            <w:tcW w:w="4608" w:type="dxa"/>
            <w:tcBorders>
              <w:top w:val="single" w:sz="4" w:space="0" w:color="auto"/>
              <w:left w:val="single" w:sz="4" w:space="0" w:color="auto"/>
              <w:bottom w:val="single" w:sz="4" w:space="0" w:color="auto"/>
              <w:right w:val="single" w:sz="4" w:space="0" w:color="auto"/>
            </w:tcBorders>
            <w:hideMark/>
          </w:tcPr>
          <w:p w14:paraId="657ABEB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Povremeno: </w:t>
            </w:r>
          </w:p>
        </w:tc>
        <w:tc>
          <w:tcPr>
            <w:tcW w:w="4942" w:type="dxa"/>
            <w:gridSpan w:val="2"/>
            <w:tcBorders>
              <w:top w:val="single" w:sz="4" w:space="0" w:color="auto"/>
              <w:left w:val="single" w:sz="4" w:space="0" w:color="auto"/>
              <w:bottom w:val="single" w:sz="4" w:space="0" w:color="auto"/>
              <w:right w:val="single" w:sz="4" w:space="0" w:color="auto"/>
            </w:tcBorders>
            <w:hideMark/>
          </w:tcPr>
          <w:p w14:paraId="30F3D48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Ginekomastija, erektilna disfunkcija, menoragija, neuredna menstruacija, poremećaj seksualne funkcije, bol u bradavicama dojki, povećanje dojki, edem skrotuma</w:t>
            </w:r>
          </w:p>
        </w:tc>
      </w:tr>
      <w:tr w:rsidR="008F7DDB" w:rsidRPr="0040712C" w14:paraId="7024107A"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0F6E007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Rijetko: </w:t>
            </w:r>
          </w:p>
        </w:tc>
        <w:tc>
          <w:tcPr>
            <w:tcW w:w="4942" w:type="dxa"/>
            <w:gridSpan w:val="2"/>
            <w:tcBorders>
              <w:top w:val="single" w:sz="4" w:space="0" w:color="auto"/>
              <w:left w:val="single" w:sz="4" w:space="0" w:color="auto"/>
              <w:bottom w:val="single" w:sz="4" w:space="0" w:color="auto"/>
              <w:right w:val="single" w:sz="4" w:space="0" w:color="auto"/>
            </w:tcBorders>
            <w:hideMark/>
          </w:tcPr>
          <w:p w14:paraId="0A1559D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Hemoragična cista žutog tijela/hemoragična cista jajnika</w:t>
            </w:r>
          </w:p>
        </w:tc>
      </w:tr>
      <w:tr w:rsidR="008F7DDB" w:rsidRPr="0040712C" w14:paraId="318EB50F"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3298F8D4"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Opšti poremećaji i reakcije na mjestu primjene</w:t>
            </w:r>
          </w:p>
        </w:tc>
      </w:tr>
      <w:tr w:rsidR="008F7DDB" w:rsidRPr="00291333" w14:paraId="782B6102"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4AC4C45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 xml:space="preserve">Veoma 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79ACE07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Retencija tečnosti i edem, zamor</w:t>
            </w:r>
          </w:p>
        </w:tc>
      </w:tr>
      <w:tr w:rsidR="008F7DDB" w:rsidRPr="00291333" w14:paraId="712CAFCB"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333583A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lastRenderedPageBreak/>
              <w:t xml:space="preserve">Često: </w:t>
            </w:r>
          </w:p>
        </w:tc>
        <w:tc>
          <w:tcPr>
            <w:tcW w:w="4942" w:type="dxa"/>
            <w:gridSpan w:val="2"/>
            <w:tcBorders>
              <w:top w:val="single" w:sz="4" w:space="0" w:color="auto"/>
              <w:left w:val="single" w:sz="4" w:space="0" w:color="auto"/>
              <w:bottom w:val="single" w:sz="4" w:space="0" w:color="auto"/>
              <w:right w:val="single" w:sz="4" w:space="0" w:color="auto"/>
            </w:tcBorders>
            <w:hideMark/>
          </w:tcPr>
          <w:p w14:paraId="2707CC1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Slabost, pireksija, anasarka, drhtavica, ukočenost</w:t>
            </w:r>
          </w:p>
        </w:tc>
      </w:tr>
      <w:tr w:rsidR="008F7DDB" w:rsidRPr="00291333" w14:paraId="0A113171"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5A60F61B"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Povremeno:</w:t>
            </w:r>
          </w:p>
        </w:tc>
        <w:tc>
          <w:tcPr>
            <w:tcW w:w="4942" w:type="dxa"/>
            <w:gridSpan w:val="2"/>
            <w:tcBorders>
              <w:top w:val="single" w:sz="4" w:space="0" w:color="auto"/>
              <w:left w:val="single" w:sz="4" w:space="0" w:color="auto"/>
              <w:bottom w:val="single" w:sz="4" w:space="0" w:color="auto"/>
              <w:right w:val="single" w:sz="4" w:space="0" w:color="auto"/>
            </w:tcBorders>
            <w:hideMark/>
          </w:tcPr>
          <w:p w14:paraId="54CE514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Bol u grudima, slabost</w:t>
            </w:r>
          </w:p>
        </w:tc>
      </w:tr>
      <w:tr w:rsidR="008F7DDB" w:rsidRPr="00291333" w14:paraId="052142C0" w14:textId="77777777" w:rsidTr="0040712C">
        <w:trPr>
          <w:trHeight w:val="98"/>
        </w:trPr>
        <w:tc>
          <w:tcPr>
            <w:tcW w:w="9550" w:type="dxa"/>
            <w:gridSpan w:val="3"/>
            <w:tcBorders>
              <w:top w:val="single" w:sz="4" w:space="0" w:color="auto"/>
              <w:left w:val="single" w:sz="4" w:space="0" w:color="auto"/>
              <w:bottom w:val="single" w:sz="4" w:space="0" w:color="auto"/>
              <w:right w:val="single" w:sz="4" w:space="0" w:color="auto"/>
            </w:tcBorders>
            <w:hideMark/>
          </w:tcPr>
          <w:p w14:paraId="50A2804F"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Ispitivanja</w:t>
            </w:r>
          </w:p>
        </w:tc>
      </w:tr>
      <w:tr w:rsidR="008F7DDB" w:rsidRPr="00291333" w14:paraId="78ED1F91"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680A706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Veoma često:</w:t>
            </w:r>
          </w:p>
        </w:tc>
        <w:tc>
          <w:tcPr>
            <w:tcW w:w="4942" w:type="dxa"/>
            <w:gridSpan w:val="2"/>
            <w:tcBorders>
              <w:top w:val="single" w:sz="4" w:space="0" w:color="auto"/>
              <w:left w:val="single" w:sz="4" w:space="0" w:color="auto"/>
              <w:bottom w:val="single" w:sz="4" w:space="0" w:color="auto"/>
              <w:right w:val="single" w:sz="4" w:space="0" w:color="auto"/>
            </w:tcBorders>
            <w:hideMark/>
          </w:tcPr>
          <w:p w14:paraId="73860EA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Povećana tjelesna težina</w:t>
            </w:r>
          </w:p>
        </w:tc>
      </w:tr>
      <w:tr w:rsidR="008F7DDB" w:rsidRPr="00291333" w14:paraId="162E9505"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3BE0E41A"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i/>
                <w:iCs/>
                <w:lang w:val="sr-Latn-ME" w:eastAsia="sl-SI"/>
              </w:rPr>
              <w:t>Često:</w:t>
            </w:r>
          </w:p>
        </w:tc>
        <w:tc>
          <w:tcPr>
            <w:tcW w:w="4942" w:type="dxa"/>
            <w:gridSpan w:val="2"/>
            <w:tcBorders>
              <w:top w:val="single" w:sz="4" w:space="0" w:color="auto"/>
              <w:left w:val="single" w:sz="4" w:space="0" w:color="auto"/>
              <w:bottom w:val="single" w:sz="4" w:space="0" w:color="auto"/>
              <w:right w:val="single" w:sz="4" w:space="0" w:color="auto"/>
            </w:tcBorders>
            <w:hideMark/>
          </w:tcPr>
          <w:p w14:paraId="3D9B9EF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Smanjena tjelesna težina</w:t>
            </w:r>
          </w:p>
        </w:tc>
      </w:tr>
      <w:tr w:rsidR="008F7DDB" w:rsidRPr="00C86919" w14:paraId="743D29DB"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14179D23"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Povremeno:</w:t>
            </w:r>
          </w:p>
        </w:tc>
        <w:tc>
          <w:tcPr>
            <w:tcW w:w="4942" w:type="dxa"/>
            <w:gridSpan w:val="2"/>
            <w:tcBorders>
              <w:top w:val="single" w:sz="4" w:space="0" w:color="auto"/>
              <w:left w:val="single" w:sz="4" w:space="0" w:color="auto"/>
              <w:bottom w:val="single" w:sz="4" w:space="0" w:color="auto"/>
              <w:right w:val="single" w:sz="4" w:space="0" w:color="auto"/>
            </w:tcBorders>
            <w:hideMark/>
          </w:tcPr>
          <w:p w14:paraId="68F403A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Povišen kreatinin u krvi, povišena kreatin-fosfokinaza u krvi, povišena laktat-dehidrogenaza u krvi, povišena alkalna fosfataza u krvi</w:t>
            </w:r>
          </w:p>
        </w:tc>
      </w:tr>
      <w:tr w:rsidR="008F7DDB" w:rsidRPr="00291333" w14:paraId="7D39E923" w14:textId="77777777" w:rsidTr="0040712C">
        <w:trPr>
          <w:trHeight w:val="100"/>
        </w:trPr>
        <w:tc>
          <w:tcPr>
            <w:tcW w:w="4608" w:type="dxa"/>
            <w:tcBorders>
              <w:top w:val="single" w:sz="4" w:space="0" w:color="auto"/>
              <w:left w:val="single" w:sz="4" w:space="0" w:color="auto"/>
              <w:bottom w:val="single" w:sz="4" w:space="0" w:color="auto"/>
              <w:right w:val="single" w:sz="4" w:space="0" w:color="auto"/>
            </w:tcBorders>
            <w:hideMark/>
          </w:tcPr>
          <w:p w14:paraId="697BB0FD" w14:textId="77777777" w:rsidR="008F7DDB" w:rsidRPr="00291333" w:rsidRDefault="008F7DDB" w:rsidP="0040712C">
            <w:pPr>
              <w:widowControl w:val="0"/>
              <w:autoSpaceDE w:val="0"/>
              <w:autoSpaceDN w:val="0"/>
              <w:adjustRightInd w:val="0"/>
              <w:spacing w:line="240" w:lineRule="auto"/>
              <w:ind w:right="-1"/>
              <w:rPr>
                <w:i/>
                <w:iCs/>
                <w:lang w:val="sr-Latn-ME" w:eastAsia="sl-SI"/>
              </w:rPr>
            </w:pPr>
            <w:r w:rsidRPr="00291333">
              <w:rPr>
                <w:i/>
                <w:iCs/>
                <w:lang w:val="sr-Latn-ME" w:eastAsia="sl-SI"/>
              </w:rPr>
              <w:t>Rijetko:</w:t>
            </w:r>
          </w:p>
        </w:tc>
        <w:tc>
          <w:tcPr>
            <w:tcW w:w="4942" w:type="dxa"/>
            <w:gridSpan w:val="2"/>
            <w:tcBorders>
              <w:top w:val="single" w:sz="4" w:space="0" w:color="auto"/>
              <w:left w:val="single" w:sz="4" w:space="0" w:color="auto"/>
              <w:bottom w:val="single" w:sz="4" w:space="0" w:color="auto"/>
              <w:right w:val="single" w:sz="4" w:space="0" w:color="auto"/>
            </w:tcBorders>
            <w:hideMark/>
          </w:tcPr>
          <w:p w14:paraId="4941D29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Povišena amilaza u krvi</w:t>
            </w:r>
          </w:p>
        </w:tc>
      </w:tr>
    </w:tbl>
    <w:p w14:paraId="31B1D994" w14:textId="77777777" w:rsidR="008F7DDB" w:rsidRPr="00291333" w:rsidRDefault="008F7DDB" w:rsidP="008F7DDB">
      <w:pPr>
        <w:widowControl w:val="0"/>
        <w:rPr>
          <w:iCs/>
          <w:lang w:val="sr-Latn-ME"/>
        </w:rPr>
      </w:pPr>
    </w:p>
    <w:p w14:paraId="0EF4D1F8" w14:textId="77777777" w:rsidR="008F7DDB" w:rsidRPr="00291333" w:rsidRDefault="008F7DDB" w:rsidP="00B659D9">
      <w:pPr>
        <w:widowControl w:val="0"/>
        <w:tabs>
          <w:tab w:val="clear" w:pos="567"/>
        </w:tabs>
        <w:ind w:left="270" w:hanging="270"/>
        <w:jc w:val="both"/>
        <w:rPr>
          <w:lang w:val="sr-Latn-ME" w:eastAsia="sl-SI"/>
        </w:rPr>
      </w:pPr>
      <w:r w:rsidRPr="00291333">
        <w:rPr>
          <w:lang w:val="sr-Latn-ME" w:eastAsia="sl-SI"/>
        </w:rPr>
        <w:t>* Ovi tipovi reakcija su prijavljeni uglavnom u postmarketinškom iskustvu sa imatinibom. Ovo uključuje spontane prijave slučajeva kao i teška neželjena dejstva iz tekućih ispitivanja, programa proširenog pristupa, kliničkih farmakoloških studija i istraživačkih studija u neodobrenim indikacijama. Budući da su ove reakcije prijavljene od strane populacije nepoznate veličine, nije uvijek moguće pouzdano procijeniti njihovu učestalost ili utvrditi uzročnu povezanost sa izloženošću imatinibu.</w:t>
      </w:r>
    </w:p>
    <w:p w14:paraId="6127CA58"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 xml:space="preserve">1 </w:t>
      </w:r>
      <w:r w:rsidR="00B659D9">
        <w:rPr>
          <w:vertAlign w:val="superscript"/>
          <w:lang w:val="sr-Latn-ME" w:eastAsia="sl-SI"/>
        </w:rPr>
        <w:tab/>
      </w:r>
      <w:r w:rsidRPr="00291333">
        <w:rPr>
          <w:lang w:val="sr-Latn-ME" w:eastAsia="sl-SI"/>
        </w:rPr>
        <w:t xml:space="preserve">Pneumonija je najčešće prijavljivana kod pacijenata sa transformisanom CML i pacijenata sa GIST-om. </w:t>
      </w:r>
    </w:p>
    <w:p w14:paraId="4E8A7519"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2</w:t>
      </w:r>
      <w:r w:rsidRPr="00291333">
        <w:rPr>
          <w:lang w:val="sr-Latn-ME" w:eastAsia="sl-SI"/>
        </w:rPr>
        <w:t xml:space="preserve"> </w:t>
      </w:r>
      <w:r w:rsidR="00B659D9">
        <w:rPr>
          <w:lang w:val="sr-Latn-ME" w:eastAsia="sl-SI"/>
        </w:rPr>
        <w:tab/>
      </w:r>
      <w:r w:rsidRPr="00291333">
        <w:rPr>
          <w:lang w:val="sr-Latn-ME" w:eastAsia="sl-SI"/>
        </w:rPr>
        <w:t xml:space="preserve">Glavobolja je bila najčešća kod pacijenata sa GIST-om. </w:t>
      </w:r>
    </w:p>
    <w:p w14:paraId="30BB25D6"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3</w:t>
      </w:r>
      <w:r w:rsidRPr="00291333">
        <w:rPr>
          <w:lang w:val="sr-Latn-ME" w:eastAsia="sl-SI"/>
        </w:rPr>
        <w:t xml:space="preserve"> </w:t>
      </w:r>
      <w:r w:rsidR="00B659D9">
        <w:rPr>
          <w:lang w:val="sr-Latn-ME" w:eastAsia="sl-SI"/>
        </w:rPr>
        <w:tab/>
      </w:r>
      <w:r w:rsidRPr="00291333">
        <w:rPr>
          <w:lang w:val="sr-Latn-ME" w:eastAsia="sl-SI"/>
        </w:rPr>
        <w:t>Po principu pacijent-godina, srčani događaji, uključujući kongestivnu srčanu insuficijenciju su bili češći kod pacijenata sa transformisanom CML nego kod onih sa hroničnom CML</w:t>
      </w:r>
    </w:p>
    <w:p w14:paraId="16A74FD9" w14:textId="77777777" w:rsidR="008F7DDB"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4</w:t>
      </w:r>
      <w:r w:rsidRPr="00291333">
        <w:rPr>
          <w:lang w:val="sr-Latn-ME" w:eastAsia="sl-SI"/>
        </w:rPr>
        <w:t xml:space="preserve"> </w:t>
      </w:r>
      <w:r w:rsidR="00B659D9">
        <w:rPr>
          <w:lang w:val="sr-Latn-ME" w:eastAsia="sl-SI"/>
        </w:rPr>
        <w:tab/>
      </w:r>
      <w:r w:rsidRPr="00291333">
        <w:rPr>
          <w:lang w:val="sr-Latn-ME" w:eastAsia="sl-SI"/>
        </w:rPr>
        <w:t xml:space="preserve">Crvenilo se najčešće javljalo kod pacijenata sa GIST-om, a krvarenje (hematom, hemoragija) najčešće kod pacijenata sa GIST i transformisanom CML (CML-AP i CML-BC). </w:t>
      </w:r>
    </w:p>
    <w:p w14:paraId="2BAEE7CA"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5</w:t>
      </w:r>
      <w:r w:rsidRPr="00291333">
        <w:rPr>
          <w:lang w:val="sr-Latn-ME" w:eastAsia="sl-SI"/>
        </w:rPr>
        <w:t xml:space="preserve"> </w:t>
      </w:r>
      <w:r w:rsidR="00B659D9">
        <w:rPr>
          <w:lang w:val="sr-Latn-ME" w:eastAsia="sl-SI"/>
        </w:rPr>
        <w:tab/>
      </w:r>
      <w:r w:rsidRPr="00291333">
        <w:rPr>
          <w:lang w:val="sr-Latn-ME" w:eastAsia="sl-SI"/>
        </w:rPr>
        <w:t>Pleuralna efuzija bila je češća kod pacijenata sa GIST-om i pacijenata sa transformisanom CML (CML-AP i CML-BC) nego kod pacijenata sa hroničnom CML.</w:t>
      </w:r>
    </w:p>
    <w:p w14:paraId="6FFEED72"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6+7</w:t>
      </w:r>
      <w:r w:rsidRPr="00291333">
        <w:rPr>
          <w:lang w:val="sr-Latn-ME" w:eastAsia="sl-SI"/>
        </w:rPr>
        <w:t xml:space="preserve"> Bol u abdomenu i gastrointestinalna hemoragija bili su najčeši kod pacijenata sa GIST-om. </w:t>
      </w:r>
    </w:p>
    <w:p w14:paraId="21E8300B"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8</w:t>
      </w:r>
      <w:r w:rsidRPr="00291333">
        <w:rPr>
          <w:lang w:val="sr-Latn-ME" w:eastAsia="sl-SI"/>
        </w:rPr>
        <w:t xml:space="preserve"> </w:t>
      </w:r>
      <w:r w:rsidR="00B659D9">
        <w:rPr>
          <w:lang w:val="sr-Latn-ME" w:eastAsia="sl-SI"/>
        </w:rPr>
        <w:tab/>
      </w:r>
      <w:r w:rsidRPr="00291333">
        <w:rPr>
          <w:lang w:val="sr-Latn-ME" w:eastAsia="sl-SI"/>
        </w:rPr>
        <w:t>Prijavljeni su i neki fatalni slučajevi nekroze i insuficijencije jetre.</w:t>
      </w:r>
    </w:p>
    <w:p w14:paraId="6387D2C3"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 xml:space="preserve"> 9</w:t>
      </w:r>
      <w:r w:rsidRPr="00291333">
        <w:rPr>
          <w:lang w:val="sr-Latn-ME" w:eastAsia="sl-SI"/>
        </w:rPr>
        <w:t xml:space="preserve"> Mišićno-skeletni bol u toku liječenja imatinibom ili nakon prekida terapije uočen je u postmarketinškom praćenju lijeka. </w:t>
      </w:r>
    </w:p>
    <w:p w14:paraId="6CAD6897" w14:textId="77777777" w:rsidR="008F7DDB" w:rsidRPr="00291333" w:rsidRDefault="008F7DDB" w:rsidP="00B659D9">
      <w:pPr>
        <w:widowControl w:val="0"/>
        <w:tabs>
          <w:tab w:val="clear" w:pos="567"/>
        </w:tabs>
        <w:autoSpaceDE w:val="0"/>
        <w:autoSpaceDN w:val="0"/>
        <w:adjustRightInd w:val="0"/>
        <w:spacing w:line="240" w:lineRule="auto"/>
        <w:ind w:left="270" w:right="-1" w:hanging="270"/>
        <w:jc w:val="both"/>
        <w:rPr>
          <w:lang w:val="sr-Latn-ME" w:eastAsia="sl-SI"/>
        </w:rPr>
      </w:pPr>
      <w:r w:rsidRPr="00291333">
        <w:rPr>
          <w:vertAlign w:val="superscript"/>
          <w:lang w:val="sr-Latn-ME" w:eastAsia="sl-SI"/>
        </w:rPr>
        <w:t>10</w:t>
      </w:r>
      <w:r w:rsidRPr="00291333">
        <w:rPr>
          <w:lang w:val="sr-Latn-ME" w:eastAsia="sl-SI"/>
        </w:rPr>
        <w:t xml:space="preserve"> </w:t>
      </w:r>
      <w:r w:rsidR="00B659D9">
        <w:rPr>
          <w:lang w:val="sr-Latn-ME" w:eastAsia="sl-SI"/>
        </w:rPr>
        <w:tab/>
      </w:r>
      <w:r w:rsidRPr="00291333">
        <w:rPr>
          <w:lang w:val="sr-Latn-ME" w:eastAsia="sl-SI"/>
        </w:rPr>
        <w:t xml:space="preserve">Mišićno-skeletni bol i srodni događaji bili su češće zapaženi kod pacijenata sa CML-om nego kod onih sa GIST-om. </w:t>
      </w:r>
    </w:p>
    <w:p w14:paraId="53925C52" w14:textId="77777777" w:rsidR="00B659D9" w:rsidRPr="00C86919" w:rsidRDefault="008F7DDB" w:rsidP="00B659D9">
      <w:pPr>
        <w:widowControl w:val="0"/>
        <w:tabs>
          <w:tab w:val="clear" w:pos="567"/>
        </w:tabs>
        <w:autoSpaceDE w:val="0"/>
        <w:autoSpaceDN w:val="0"/>
        <w:adjustRightInd w:val="0"/>
        <w:ind w:left="270" w:hanging="270"/>
        <w:rPr>
          <w:color w:val="000000"/>
          <w:szCs w:val="22"/>
          <w:lang w:val="sr-Latn-ME"/>
        </w:rPr>
      </w:pPr>
      <w:r w:rsidRPr="00291333">
        <w:rPr>
          <w:vertAlign w:val="superscript"/>
          <w:lang w:val="sr-Latn-ME" w:eastAsia="sl-SI"/>
        </w:rPr>
        <w:t xml:space="preserve">11 </w:t>
      </w:r>
      <w:r w:rsidR="00B659D9">
        <w:rPr>
          <w:vertAlign w:val="superscript"/>
          <w:lang w:val="sr-Latn-ME" w:eastAsia="sl-SI"/>
        </w:rPr>
        <w:tab/>
      </w:r>
      <w:r w:rsidRPr="00291333">
        <w:rPr>
          <w:lang w:val="sr-Latn-ME" w:eastAsia="sl-SI"/>
        </w:rPr>
        <w:t>Prijavljeni su fatalni slučajevi kod pacijenata sa uznapredovalom bolešću, teškom infekcijom, teškom neutropenijom i drugim teškim udruženim stanjima.</w:t>
      </w:r>
      <w:r w:rsidR="00B659D9" w:rsidRPr="00C86919">
        <w:rPr>
          <w:color w:val="000000"/>
          <w:szCs w:val="22"/>
          <w:lang w:val="sr-Latn-ME"/>
        </w:rPr>
        <w:t xml:space="preserve"> </w:t>
      </w:r>
    </w:p>
    <w:p w14:paraId="30EC8C2F" w14:textId="77777777" w:rsidR="008F7DDB" w:rsidRPr="00291333" w:rsidRDefault="00B659D9" w:rsidP="00B659D9">
      <w:pPr>
        <w:widowControl w:val="0"/>
        <w:tabs>
          <w:tab w:val="clear" w:pos="567"/>
        </w:tabs>
        <w:autoSpaceDE w:val="0"/>
        <w:autoSpaceDN w:val="0"/>
        <w:adjustRightInd w:val="0"/>
        <w:spacing w:line="240" w:lineRule="auto"/>
        <w:ind w:left="270" w:right="-1" w:hanging="270"/>
        <w:jc w:val="both"/>
        <w:rPr>
          <w:lang w:val="sr-Latn-ME" w:eastAsia="sl-SI"/>
        </w:rPr>
      </w:pPr>
      <w:r w:rsidRPr="00A12C41">
        <w:rPr>
          <w:color w:val="000000"/>
          <w:szCs w:val="22"/>
          <w:vertAlign w:val="superscript"/>
        </w:rPr>
        <w:t>12</w:t>
      </w:r>
      <w:r>
        <w:rPr>
          <w:color w:val="000000"/>
          <w:szCs w:val="22"/>
        </w:rPr>
        <w:tab/>
      </w:r>
      <w:r w:rsidR="0034207E" w:rsidRPr="0034207E">
        <w:rPr>
          <w:color w:val="000000"/>
          <w:szCs w:val="22"/>
        </w:rPr>
        <w:t>Uključujući nodozni eritem</w:t>
      </w:r>
    </w:p>
    <w:p w14:paraId="7DCAAB1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63132850"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r w:rsidRPr="00291333">
        <w:rPr>
          <w:u w:val="single"/>
          <w:lang w:val="sr-Latn-ME" w:eastAsia="sl-SI"/>
        </w:rPr>
        <w:t xml:space="preserve">Poremećaji u laboratorijskim testovima </w:t>
      </w:r>
    </w:p>
    <w:p w14:paraId="70FE687D" w14:textId="77777777" w:rsidR="008F7DDB" w:rsidRPr="00291333"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Hematologija</w:t>
      </w:r>
    </w:p>
    <w:p w14:paraId="6AFB8509"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 Kod CML, citopenija, a posebno neutropenija i trombocitopenija, bile su stalno prisutan nalaz u svim ispitivanjima, sa nagovještajem veće učestalosti pri višim dozama ≥ 750 mg (faza I studije). Međutim, pojava citopenija takođe jasno zavisi od stadijuma bolesti, a učestalost neutropenija gradusa 3 ili 4 (ANC &lt; 1,0 × 10</w:t>
      </w:r>
      <w:r w:rsidRPr="00291333">
        <w:rPr>
          <w:vertAlign w:val="superscript"/>
          <w:lang w:val="sr-Latn-ME" w:eastAsia="sl-SI"/>
        </w:rPr>
        <w:t>9</w:t>
      </w:r>
      <w:r w:rsidRPr="00291333">
        <w:rPr>
          <w:lang w:val="sr-Latn-ME" w:eastAsia="sl-SI"/>
        </w:rPr>
        <w:t xml:space="preserve"> /L) i trombocitopenija (broj trombocita &lt; 50 x 10</w:t>
      </w:r>
      <w:r w:rsidRPr="00291333">
        <w:rPr>
          <w:vertAlign w:val="superscript"/>
          <w:lang w:val="sr-Latn-ME" w:eastAsia="sl-SI"/>
        </w:rPr>
        <w:t>9</w:t>
      </w:r>
      <w:r w:rsidRPr="00291333">
        <w:rPr>
          <w:lang w:val="sr-Latn-ME" w:eastAsia="sl-SI"/>
        </w:rPr>
        <w:t>/l) bila između 4 i 6 puta veća u blastičnoj krizi i ubrzanoj fazi (59-64% i 44-63% za neutropeniju odnosno trombocitopeniju) u poređenju sa novodijagnostikovanim pacijentima u hroničnoj fazi CML (16,7% neutropenija i 8,9% trombocitopenija). Kod novodijagnostikovane CML u hroničnoj fazi,, neutropenija gradusa 4 (ANC &lt; 0,5 x 10</w:t>
      </w:r>
      <w:r w:rsidRPr="00291333">
        <w:rPr>
          <w:vertAlign w:val="superscript"/>
          <w:lang w:val="sr-Latn-ME" w:eastAsia="sl-SI"/>
        </w:rPr>
        <w:t>9</w:t>
      </w:r>
      <w:r w:rsidRPr="00291333">
        <w:rPr>
          <w:lang w:val="sr-Latn-ME" w:eastAsia="sl-SI"/>
        </w:rPr>
        <w:t>/l) i trombocitopenija (broj trombocita &lt; 10 x 10</w:t>
      </w:r>
      <w:r w:rsidRPr="00291333">
        <w:rPr>
          <w:vertAlign w:val="superscript"/>
          <w:lang w:val="sr-Latn-ME" w:eastAsia="sl-SI"/>
        </w:rPr>
        <w:t>9</w:t>
      </w:r>
      <w:r w:rsidRPr="00291333">
        <w:rPr>
          <w:lang w:val="sr-Latn-ME" w:eastAsia="sl-SI"/>
        </w:rPr>
        <w:t>/l) zapažene su u 3,6% odnosno &lt; 1% pacijenata. Medijana trajanja neutropenijskih i trombocitopenijskih epizoda obično se kreće između 2 i 3 nedjelje, odnosno, od 3 do 4 nedjelje. Ovi događaji mogu se obično kontrolisati ili smanjivanjem doze ili prekidanjem terapije imatinibom, ali u rijetkim slučajevima dolazi do trajnog prekida terapije. Kod pedijatrijskih pacijenata sa CML najčešće zapažene toksičnosti bile su citopenije gradusa 3 ili 4 uključujući neutropeniju, trombocitopeniju i anemiju. Ovo se obično javlja u toku prvih nekoliko mjeseci terapije.</w:t>
      </w:r>
    </w:p>
    <w:p w14:paraId="4E2B8D66"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77DC67E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U studiji pacijenata sa neresektabilnim i/ili metastatskim GIST-om, anemija gradusa 3 i 4 prijavljena je kod 5,4%, odnosno 0,7% pacijenata i moguća je povezanost sa gastrointestinalnim ili intratumorskim krvarenjem, bar kod nekoliko pacijenata. Neutropenija gradusa 3 i 4 viđena je kod 7,5%, odnosno 2,7% pacijenata, a trombocitopenija gradusa 3 kod 0,7% pacijenata. Ni kod jednog pacijenta se nije razvila trombocitopenija gradusa 4. Smanjenje broja leukocita (WBC) i neutrofila javljalo se uglavnom tokom </w:t>
      </w:r>
      <w:r w:rsidRPr="00291333">
        <w:rPr>
          <w:lang w:val="sr-Latn-ME" w:eastAsia="sl-SI"/>
        </w:rPr>
        <w:lastRenderedPageBreak/>
        <w:t>prvih šest nedjelja terapije, nakon čega su se vrijednosti relativno stabilizovale.</w:t>
      </w:r>
    </w:p>
    <w:p w14:paraId="5D8A1D2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168DF355" w14:textId="77777777" w:rsidR="008F7DDB" w:rsidRPr="00291333"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Biohemijske analize</w:t>
      </w:r>
    </w:p>
    <w:p w14:paraId="5EBCCF4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Kod pacijenata sa CML izraženo povišenje transaminaza (&lt;5%) ili bilirubina (&lt;1%) obično je regulisano smanjenjem doze ili prekidanjem primjene lijeka (medijana trajanja ovih epizoda bila je približno jedna nedjelja). Trajni prekid terapije zbog poremećaja u testovima funkcije jetre zabilježen je kod manje od 1% pacijenata sa CML. Kod pacijenata sa GIST-om (studija B2222), zapažene su povišene vrijednosti ALT (alanin aminotransferaze) gradusa 3 ili 4 kod 6,8% pacijenata, a povišene AST (aspartat aminotransferaze) gradusa 3 ili 4 kod 4,8% pacijenata. Povećanje bilirubina bilo je manje od 3%.</w:t>
      </w:r>
    </w:p>
    <w:p w14:paraId="0C67E67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0901A573"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Bilo je slučajeva citolitičkog i holestaznog hepatitisa i insuficijencije jetre; kod nekih od njih ishod je bio fatalan, uključujući jednog pacijenta sa visokom dozom paracetamola.</w:t>
      </w:r>
    </w:p>
    <w:p w14:paraId="1F34D910"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977FBB3"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r w:rsidRPr="00291333">
        <w:rPr>
          <w:u w:val="single"/>
          <w:lang w:val="sr-Latn-ME" w:eastAsia="sl-SI"/>
        </w:rPr>
        <w:t xml:space="preserve">Opis odabranih neželjenih reakcija </w:t>
      </w:r>
    </w:p>
    <w:p w14:paraId="1AFFE768"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p>
    <w:p w14:paraId="665D5167" w14:textId="77777777" w:rsidR="008F7DDB"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Reaktivacija hepatitisa B</w:t>
      </w:r>
    </w:p>
    <w:p w14:paraId="2508C758" w14:textId="77777777" w:rsidR="008F7DDB" w:rsidRDefault="008F7DDB" w:rsidP="008F7DDB">
      <w:pPr>
        <w:widowControl w:val="0"/>
        <w:autoSpaceDE w:val="0"/>
        <w:autoSpaceDN w:val="0"/>
        <w:adjustRightInd w:val="0"/>
        <w:spacing w:line="240" w:lineRule="auto"/>
        <w:ind w:right="-1"/>
        <w:jc w:val="both"/>
        <w:rPr>
          <w:i/>
          <w:lang w:val="sr-Latn-ME" w:eastAsia="sl-SI"/>
        </w:rPr>
      </w:pPr>
    </w:p>
    <w:p w14:paraId="5CD43629"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r w:rsidRPr="00291333">
        <w:rPr>
          <w:lang w:val="sr-Latn-ME" w:eastAsia="sl-SI"/>
        </w:rPr>
        <w:t>Zabilježena je ponovna aktivacija hepatitisa B povezana sa inhibitorima BCR-ABL tirozin kinaze. U nekim slučajevima je došlo do akutne insuficijencije jetre ili fulminantnog hepatitisa, što je dovelo do transplantacije jetre ili smrtnog ishoda (vidjeti odjeljak 4.4).</w:t>
      </w:r>
    </w:p>
    <w:p w14:paraId="542EAFC4" w14:textId="77777777" w:rsidR="008F7DDB" w:rsidRPr="00291333" w:rsidRDefault="008F7DDB" w:rsidP="008F7DDB">
      <w:pPr>
        <w:widowControl w:val="0"/>
        <w:autoSpaceDE w:val="0"/>
        <w:autoSpaceDN w:val="0"/>
        <w:adjustRightInd w:val="0"/>
        <w:spacing w:line="240" w:lineRule="auto"/>
        <w:jc w:val="both"/>
        <w:rPr>
          <w:u w:val="single"/>
          <w:lang w:val="sr-Latn-ME" w:eastAsia="sl-SI"/>
        </w:rPr>
      </w:pPr>
    </w:p>
    <w:p w14:paraId="1E19C91F" w14:textId="77777777" w:rsidR="008F7DDB" w:rsidRPr="00291333" w:rsidRDefault="008F7DDB" w:rsidP="008F7DDB">
      <w:pPr>
        <w:spacing w:after="200" w:line="276" w:lineRule="auto"/>
        <w:jc w:val="both"/>
        <w:rPr>
          <w:rFonts w:eastAsia="Calibri"/>
          <w:u w:val="single"/>
          <w:lang w:val="sr-Latn-ME" w:eastAsia="sl-SI"/>
        </w:rPr>
      </w:pPr>
      <w:r w:rsidRPr="00291333">
        <w:rPr>
          <w:rFonts w:eastAsia="Calibri"/>
          <w:u w:val="single"/>
          <w:lang w:val="sr-Latn-ME" w:eastAsia="sl-SI"/>
        </w:rPr>
        <w:t>Prijavljivanje sumnji na neželjena dejstva</w:t>
      </w:r>
    </w:p>
    <w:p w14:paraId="5E4578B6" w14:textId="77777777" w:rsidR="008F7DDB" w:rsidRPr="00FD71A2" w:rsidRDefault="008F7DDB" w:rsidP="008F7DDB">
      <w:pPr>
        <w:spacing w:after="200" w:line="240" w:lineRule="auto"/>
        <w:jc w:val="both"/>
        <w:rPr>
          <w:rFonts w:eastAsia="Calibri"/>
          <w:lang w:val="sr-Latn-RS"/>
        </w:rPr>
      </w:pPr>
      <w:r w:rsidRPr="00FD71A2">
        <w:rPr>
          <w:rFonts w:eastAsia="Calibri"/>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A34BEC7" w14:textId="77777777" w:rsidR="008F7DDB" w:rsidRPr="00FD71A2" w:rsidRDefault="008F7DDB" w:rsidP="008F7DDB">
      <w:pPr>
        <w:spacing w:line="240" w:lineRule="auto"/>
        <w:jc w:val="both"/>
        <w:rPr>
          <w:rFonts w:eastAsia="Calibri"/>
          <w:lang w:val="sr-Latn-RS"/>
        </w:rPr>
      </w:pPr>
      <w:r w:rsidRPr="00FD71A2">
        <w:rPr>
          <w:rFonts w:eastAsia="Calibri"/>
          <w:lang w:val="sr-Latn-RS"/>
        </w:rPr>
        <w:t xml:space="preserve">Institut za ljekove i medicinska sredstva </w:t>
      </w:r>
    </w:p>
    <w:p w14:paraId="448797E8" w14:textId="77777777" w:rsidR="008F7DDB" w:rsidRPr="00FD71A2" w:rsidRDefault="008F7DDB" w:rsidP="008F7DDB">
      <w:pPr>
        <w:spacing w:line="240" w:lineRule="auto"/>
        <w:jc w:val="both"/>
        <w:rPr>
          <w:rFonts w:eastAsia="Calibri"/>
          <w:lang w:val="sr-Latn-RS"/>
        </w:rPr>
      </w:pPr>
      <w:r w:rsidRPr="00FD71A2">
        <w:rPr>
          <w:rFonts w:eastAsia="Calibri"/>
          <w:lang w:val="sr-Latn-RS"/>
        </w:rPr>
        <w:t>Odjeljenje za farmakovigilancu</w:t>
      </w:r>
    </w:p>
    <w:p w14:paraId="20DB814A" w14:textId="77777777" w:rsidR="008F7DDB" w:rsidRPr="00FD71A2" w:rsidRDefault="008F7DDB" w:rsidP="008F7DDB">
      <w:pPr>
        <w:spacing w:line="240" w:lineRule="auto"/>
        <w:jc w:val="both"/>
        <w:rPr>
          <w:rFonts w:eastAsia="Calibri"/>
          <w:lang w:val="sr-Latn-RS"/>
        </w:rPr>
      </w:pPr>
      <w:r w:rsidRPr="00FD71A2">
        <w:rPr>
          <w:rFonts w:eastAsia="Calibri"/>
          <w:lang w:val="sr-Latn-RS"/>
        </w:rPr>
        <w:t>Bulevar Ivana Crnojevića 64a, 81000 Podgorica</w:t>
      </w:r>
    </w:p>
    <w:p w14:paraId="1FFBBDD7" w14:textId="77777777" w:rsidR="008F7DDB" w:rsidRPr="00FD71A2" w:rsidRDefault="008F7DDB" w:rsidP="008F7DDB">
      <w:pPr>
        <w:spacing w:line="240" w:lineRule="auto"/>
        <w:rPr>
          <w:rFonts w:eastAsia="Calibri"/>
          <w:lang w:val="sr-Latn-RS"/>
        </w:rPr>
      </w:pPr>
    </w:p>
    <w:p w14:paraId="17AE9F4C" w14:textId="77777777" w:rsidR="008F7DDB" w:rsidRPr="00FD71A2" w:rsidRDefault="008F7DDB" w:rsidP="008F7DDB">
      <w:pPr>
        <w:spacing w:line="240" w:lineRule="auto"/>
        <w:jc w:val="both"/>
        <w:rPr>
          <w:rFonts w:eastAsia="Calibri"/>
          <w:lang w:val="sr-Latn-RS"/>
        </w:rPr>
      </w:pPr>
      <w:r w:rsidRPr="00FD71A2">
        <w:rPr>
          <w:rFonts w:eastAsia="Calibri"/>
          <w:lang w:val="sr-Latn-RS"/>
        </w:rPr>
        <w:t>tel: +382 (0) 20 310 280</w:t>
      </w:r>
    </w:p>
    <w:p w14:paraId="2121F74F" w14:textId="77777777" w:rsidR="008F7DDB" w:rsidRPr="00FD71A2" w:rsidRDefault="008F7DDB" w:rsidP="008F7DDB">
      <w:pPr>
        <w:spacing w:line="240" w:lineRule="auto"/>
        <w:jc w:val="both"/>
        <w:rPr>
          <w:rFonts w:eastAsia="Calibri"/>
          <w:lang w:val="sr-Latn-RS"/>
        </w:rPr>
      </w:pPr>
      <w:r w:rsidRPr="00FD71A2">
        <w:rPr>
          <w:rFonts w:eastAsia="Calibri"/>
          <w:lang w:val="sr-Latn-RS"/>
        </w:rPr>
        <w:t>fax: +382 (0) 20 310 581</w:t>
      </w:r>
    </w:p>
    <w:p w14:paraId="2F195D3A" w14:textId="77777777" w:rsidR="008F7DDB" w:rsidRPr="00FD71A2" w:rsidRDefault="009F6B75" w:rsidP="008F7DDB">
      <w:pPr>
        <w:spacing w:line="240" w:lineRule="auto"/>
        <w:jc w:val="both"/>
        <w:rPr>
          <w:rFonts w:eastAsia="Calibri"/>
          <w:lang w:val="sr-Latn-RS"/>
        </w:rPr>
      </w:pPr>
      <w:hyperlink r:id="rId7" w:history="1">
        <w:r w:rsidR="008F7DDB" w:rsidRPr="008F7DDB">
          <w:rPr>
            <w:rFonts w:eastAsia="Calibri"/>
            <w:color w:val="0563C1"/>
            <w:u w:val="single"/>
            <w:lang w:val="sr-Latn-RS"/>
          </w:rPr>
          <w:t>www.cinmed.me</w:t>
        </w:r>
      </w:hyperlink>
    </w:p>
    <w:p w14:paraId="7B1A5781" w14:textId="77777777" w:rsidR="008F7DDB" w:rsidRPr="00FD71A2" w:rsidRDefault="009F6B75" w:rsidP="008F7DDB">
      <w:pPr>
        <w:spacing w:line="240" w:lineRule="auto"/>
        <w:jc w:val="both"/>
        <w:rPr>
          <w:rFonts w:eastAsia="Calibri"/>
          <w:color w:val="0000FF"/>
          <w:u w:val="single"/>
          <w:lang w:val="sr-Latn-RS"/>
        </w:rPr>
      </w:pPr>
      <w:hyperlink r:id="rId8" w:history="1">
        <w:r w:rsidR="008F7DDB" w:rsidRPr="008F7DDB">
          <w:rPr>
            <w:rFonts w:eastAsia="Calibri"/>
            <w:color w:val="0563C1"/>
            <w:u w:val="single"/>
            <w:lang w:val="sr-Latn-RS"/>
          </w:rPr>
          <w:t>nezeljenadejstva@cinmed.me</w:t>
        </w:r>
      </w:hyperlink>
    </w:p>
    <w:p w14:paraId="3C9BDD1C" w14:textId="77777777" w:rsidR="008F7DDB" w:rsidRDefault="008F7DDB" w:rsidP="008F7DDB">
      <w:pPr>
        <w:spacing w:line="240" w:lineRule="auto"/>
        <w:jc w:val="both"/>
        <w:rPr>
          <w:rFonts w:eastAsia="Calibri"/>
          <w:lang w:val="sr-Latn-RS"/>
        </w:rPr>
      </w:pPr>
      <w:r w:rsidRPr="00FD71A2">
        <w:rPr>
          <w:rFonts w:eastAsia="Calibri"/>
          <w:lang w:val="sr-Latn-RS"/>
        </w:rPr>
        <w:t>putem IS zdravstvene zaštite</w:t>
      </w:r>
    </w:p>
    <w:p w14:paraId="427E4EB8" w14:textId="77777777" w:rsidR="003161E8" w:rsidRPr="003161E8" w:rsidRDefault="003161E8" w:rsidP="003161E8">
      <w:pPr>
        <w:tabs>
          <w:tab w:val="clear" w:pos="567"/>
        </w:tabs>
        <w:spacing w:line="240" w:lineRule="auto"/>
        <w:jc w:val="both"/>
        <w:rPr>
          <w:rFonts w:eastAsia="Calibri"/>
          <w:szCs w:val="22"/>
          <w:lang w:val="sr-Latn-RS"/>
        </w:rPr>
      </w:pPr>
      <w:r w:rsidRPr="003161E8">
        <w:rPr>
          <w:rFonts w:eastAsia="Calibri"/>
          <w:szCs w:val="22"/>
          <w:lang w:val="sr-Latn-RS"/>
        </w:rPr>
        <w:t>QR kod za online prijavu sumnje na neželjeno dejstvo lijeka:</w:t>
      </w:r>
    </w:p>
    <w:p w14:paraId="029EB0A1" w14:textId="77777777" w:rsidR="003161E8" w:rsidRPr="003161E8" w:rsidRDefault="003161E8" w:rsidP="003161E8">
      <w:pPr>
        <w:tabs>
          <w:tab w:val="clear" w:pos="567"/>
        </w:tabs>
        <w:spacing w:line="240" w:lineRule="auto"/>
        <w:jc w:val="both"/>
        <w:rPr>
          <w:rFonts w:eastAsia="Calibri"/>
          <w:szCs w:val="22"/>
          <w:lang w:val="sr-Latn-RS"/>
        </w:rPr>
      </w:pPr>
    </w:p>
    <w:p w14:paraId="1CEAC46B" w14:textId="77777777" w:rsidR="003161E8" w:rsidRPr="003161E8" w:rsidRDefault="00A63101" w:rsidP="003161E8">
      <w:pPr>
        <w:tabs>
          <w:tab w:val="clear" w:pos="567"/>
        </w:tabs>
        <w:spacing w:line="240" w:lineRule="auto"/>
        <w:rPr>
          <w:rFonts w:eastAsia="Calibri"/>
          <w:szCs w:val="22"/>
          <w:lang w:val="sr-Latn-RS"/>
        </w:rPr>
      </w:pPr>
      <w:r>
        <w:rPr>
          <w:noProof/>
          <w:sz w:val="24"/>
          <w:szCs w:val="24"/>
          <w:lang w:val="en-US"/>
        </w:rPr>
        <w:drawing>
          <wp:inline distT="0" distB="0" distL="0" distR="0" wp14:anchorId="3589FB8D" wp14:editId="098413BD">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57DEBA0" w14:textId="77777777" w:rsidR="008F7DDB" w:rsidRDefault="008F7DDB" w:rsidP="008F7DDB">
      <w:pPr>
        <w:spacing w:line="240" w:lineRule="auto"/>
        <w:jc w:val="both"/>
        <w:rPr>
          <w:rFonts w:eastAsia="Calibri"/>
          <w:lang w:val="sr-Latn-RS"/>
        </w:rPr>
      </w:pPr>
    </w:p>
    <w:p w14:paraId="7AC55727" w14:textId="77777777" w:rsidR="008F7DDB" w:rsidRPr="00FD71A2" w:rsidRDefault="008F7DDB" w:rsidP="008F7DDB">
      <w:pPr>
        <w:spacing w:line="240" w:lineRule="auto"/>
        <w:jc w:val="both"/>
        <w:rPr>
          <w:rFonts w:eastAsia="Calibri"/>
          <w:lang w:val="sr-Latn-RS"/>
        </w:rPr>
      </w:pPr>
    </w:p>
    <w:p w14:paraId="7FAD6116" w14:textId="77777777" w:rsidR="008F7DDB" w:rsidRPr="00291333" w:rsidRDefault="008F7DDB" w:rsidP="0040712C">
      <w:pPr>
        <w:keepNext/>
        <w:widowControl w:val="0"/>
        <w:spacing w:line="240" w:lineRule="auto"/>
        <w:jc w:val="both"/>
        <w:outlineLvl w:val="0"/>
        <w:rPr>
          <w:lang w:val="sr-Latn-ME" w:eastAsia="sl-SI"/>
        </w:rPr>
      </w:pPr>
      <w:r w:rsidRPr="00291333">
        <w:rPr>
          <w:b/>
          <w:lang w:val="sr-Latn-ME" w:eastAsia="sl-SI"/>
        </w:rPr>
        <w:t>4.9</w:t>
      </w:r>
      <w:r w:rsidRPr="00291333">
        <w:rPr>
          <w:b/>
          <w:lang w:val="sr-Latn-ME" w:eastAsia="sl-SI"/>
        </w:rPr>
        <w:tab/>
        <w:t>Predoziranje</w:t>
      </w:r>
    </w:p>
    <w:p w14:paraId="397274D1" w14:textId="77777777" w:rsidR="008F7DDB" w:rsidRPr="00291333" w:rsidRDefault="008F7DDB" w:rsidP="0040712C">
      <w:pPr>
        <w:keepNext/>
        <w:widowControl w:val="0"/>
        <w:spacing w:line="240" w:lineRule="auto"/>
        <w:jc w:val="both"/>
        <w:rPr>
          <w:lang w:val="sr-Latn-ME"/>
        </w:rPr>
      </w:pPr>
    </w:p>
    <w:p w14:paraId="76F83816" w14:textId="77777777" w:rsidR="008F7DDB" w:rsidRPr="00291333" w:rsidRDefault="008F7DDB" w:rsidP="0040712C">
      <w:pPr>
        <w:keepNext/>
        <w:widowControl w:val="0"/>
        <w:autoSpaceDE w:val="0"/>
        <w:autoSpaceDN w:val="0"/>
        <w:adjustRightInd w:val="0"/>
        <w:spacing w:line="240" w:lineRule="auto"/>
        <w:ind w:right="-1"/>
        <w:jc w:val="both"/>
        <w:rPr>
          <w:lang w:val="sr-Latn-ME" w:eastAsia="sl-SI"/>
        </w:rPr>
      </w:pPr>
      <w:r w:rsidRPr="00291333">
        <w:rPr>
          <w:lang w:val="sr-Latn-ME" w:eastAsia="sl-SI"/>
        </w:rPr>
        <w:t xml:space="preserve">Iskustvo sa dozama većim od preporučenih terapijskih doza je ograničeno. Izolovani slučajevi predoziranja imatinibom su spontano prijavljivani ili su objavljeni u literaturi. U slučaju predoziranja, pacijenta bi trebalo posmatrati i primijeniti adekvatnu simptomatsku terapiju. Prijavljeni ishod u ovim slučajevima je bio ,,poboljšanje’’ ili ,,oporavak’’. Događaji koji su prijavljivani kod različitih opsega doza su sljedeći: </w:t>
      </w:r>
    </w:p>
    <w:p w14:paraId="2B8C8CBE"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A002C77" w14:textId="77777777" w:rsidR="008F7DDB" w:rsidRPr="00291333"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Populacija odraslih osoba</w:t>
      </w:r>
    </w:p>
    <w:p w14:paraId="03B6AA19"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1200 do 1600 mg (trajanje varira od 1 do 10 dana): mučnina, povraćanje, dijareja, osip, eritem, otok, oticanje, umor, mišićni spazam, trombocitopenija, pancitopenija, abdominalni bol, glavobolja, smanjen </w:t>
      </w:r>
      <w:r w:rsidRPr="00291333">
        <w:rPr>
          <w:lang w:val="sr-Latn-ME" w:eastAsia="sl-SI"/>
        </w:rPr>
        <w:lastRenderedPageBreak/>
        <w:t>apetit.</w:t>
      </w:r>
    </w:p>
    <w:p w14:paraId="11A844E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 1800 do 3200 mg (najviše 3200 mg dnevno tokom 6 dana): slabost, mialgija, povišene vrijednosti kreatin fosfokinaze, povišene vrijednosti bilirubina, gastrointestinalni bol. </w:t>
      </w:r>
    </w:p>
    <w:p w14:paraId="7F67C76D"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6400 mg (pojedinačna doza): u literaturi je objavljen jedan slučaj pacijenta koji je imao mučninu, povraćanje, abdominalni bol, pireksiju, oticanje lica, smanjen broj neutrofila, povišenu vrijednost transaminaza. </w:t>
      </w:r>
    </w:p>
    <w:p w14:paraId="4B5A905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8 do 10 g (pojedinačna doza): prijavljivani su povraćanje i gastrointestinalni bol. </w:t>
      </w:r>
    </w:p>
    <w:p w14:paraId="6C5F46A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1E2706C2" w14:textId="77777777" w:rsidR="008F7DDB" w:rsidRPr="00291333" w:rsidRDefault="008F7DDB" w:rsidP="008F7DDB">
      <w:pPr>
        <w:widowControl w:val="0"/>
        <w:autoSpaceDE w:val="0"/>
        <w:autoSpaceDN w:val="0"/>
        <w:adjustRightInd w:val="0"/>
        <w:spacing w:line="240" w:lineRule="auto"/>
        <w:ind w:right="-1"/>
        <w:jc w:val="both"/>
        <w:rPr>
          <w:i/>
          <w:lang w:val="sr-Latn-ME" w:eastAsia="sl-SI"/>
        </w:rPr>
      </w:pPr>
      <w:r w:rsidRPr="00291333">
        <w:rPr>
          <w:i/>
          <w:lang w:val="sr-Latn-ME" w:eastAsia="sl-SI"/>
        </w:rPr>
        <w:t xml:space="preserve">Pedijatrijska populacija </w:t>
      </w:r>
    </w:p>
    <w:p w14:paraId="5A3B0509"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Kod jednog trogodišnjeg dječaka koji je bio izložen pojedinačnoj dozi od 400 mg javilo se povraćanje, dijareja i anoreksija, dok je kod drugog trogodišnjeg dječaka koji je bio izložen pojedinačnoj dozi od 980 mg došlo do smanjenja broja leukocita i dijareje. </w:t>
      </w:r>
    </w:p>
    <w:p w14:paraId="253D0BD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31FB8A86"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U slučaju predoziranja, pacijenta bi trebalo posmatrati i dati mu adekvatnu suportivnu terapiju.</w:t>
      </w:r>
    </w:p>
    <w:p w14:paraId="19FE0D99" w14:textId="77777777" w:rsidR="008F7DDB" w:rsidRDefault="008F7DDB" w:rsidP="008F7DDB">
      <w:pPr>
        <w:widowControl w:val="0"/>
        <w:spacing w:line="240" w:lineRule="auto"/>
        <w:rPr>
          <w:lang w:val="sr-Latn-ME"/>
        </w:rPr>
      </w:pPr>
    </w:p>
    <w:p w14:paraId="425C7508" w14:textId="77777777" w:rsidR="008F7DDB" w:rsidRPr="00291333" w:rsidRDefault="008F7DDB" w:rsidP="008F7DDB">
      <w:pPr>
        <w:widowControl w:val="0"/>
        <w:spacing w:line="240" w:lineRule="auto"/>
        <w:rPr>
          <w:lang w:val="sr-Latn-ME"/>
        </w:rPr>
      </w:pPr>
    </w:p>
    <w:p w14:paraId="70029490" w14:textId="77777777" w:rsidR="008F7DDB" w:rsidRDefault="008F7DDB" w:rsidP="008F7DDB">
      <w:pPr>
        <w:widowControl w:val="0"/>
        <w:spacing w:line="240" w:lineRule="auto"/>
        <w:rPr>
          <w:b/>
          <w:bCs/>
          <w:lang w:val="sr-Latn-ME" w:eastAsia="sl-SI"/>
        </w:rPr>
      </w:pPr>
      <w:r w:rsidRPr="00291333">
        <w:rPr>
          <w:b/>
          <w:lang w:val="sr-Latn-ME" w:eastAsia="sl-SI"/>
        </w:rPr>
        <w:t>5.</w:t>
      </w:r>
      <w:r w:rsidRPr="00291333">
        <w:rPr>
          <w:b/>
          <w:lang w:val="sr-Latn-ME" w:eastAsia="sl-SI"/>
        </w:rPr>
        <w:tab/>
      </w:r>
      <w:r w:rsidRPr="00291333">
        <w:rPr>
          <w:b/>
          <w:bCs/>
          <w:lang w:val="sr-Latn-ME" w:eastAsia="sl-SI"/>
        </w:rPr>
        <w:t>FARMAKOLOŠKI PODACI</w:t>
      </w:r>
    </w:p>
    <w:p w14:paraId="2E0A3E4B" w14:textId="77777777" w:rsidR="008F7DDB" w:rsidRPr="00291333" w:rsidRDefault="008F7DDB" w:rsidP="008F7DDB">
      <w:pPr>
        <w:widowControl w:val="0"/>
        <w:spacing w:line="240" w:lineRule="auto"/>
        <w:rPr>
          <w:lang w:val="sr-Latn-ME"/>
        </w:rPr>
      </w:pPr>
    </w:p>
    <w:p w14:paraId="5A047EF6" w14:textId="77777777" w:rsidR="008F7DDB" w:rsidRPr="00291333" w:rsidRDefault="008F7DDB" w:rsidP="008F7DDB">
      <w:pPr>
        <w:widowControl w:val="0"/>
        <w:spacing w:line="240" w:lineRule="auto"/>
        <w:outlineLvl w:val="0"/>
        <w:rPr>
          <w:lang w:val="sr-Latn-ME" w:eastAsia="sl-SI"/>
        </w:rPr>
      </w:pPr>
      <w:r w:rsidRPr="00291333">
        <w:rPr>
          <w:b/>
          <w:lang w:val="sr-Latn-ME" w:eastAsia="sl-SI"/>
        </w:rPr>
        <w:t>5.1</w:t>
      </w:r>
      <w:r w:rsidRPr="00291333">
        <w:rPr>
          <w:b/>
          <w:lang w:val="sr-Latn-ME" w:eastAsia="sl-SI"/>
        </w:rPr>
        <w:tab/>
      </w:r>
      <w:r w:rsidRPr="00291333">
        <w:rPr>
          <w:b/>
          <w:bCs/>
          <w:lang w:val="sr-Latn-ME" w:eastAsia="sl-SI"/>
        </w:rPr>
        <w:t>Farmakodinamski podaci</w:t>
      </w:r>
    </w:p>
    <w:p w14:paraId="79879AA6" w14:textId="77777777" w:rsidR="008F7DDB" w:rsidRPr="00291333" w:rsidRDefault="008F7DDB" w:rsidP="008F7DDB">
      <w:pPr>
        <w:widowControl w:val="0"/>
        <w:spacing w:line="240" w:lineRule="auto"/>
        <w:rPr>
          <w:lang w:val="sr-Latn-ME"/>
        </w:rPr>
      </w:pPr>
    </w:p>
    <w:p w14:paraId="6244D919"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Farmakoterapijska grupa: </w:t>
      </w:r>
      <w:r w:rsidRPr="00AB4CBF">
        <w:rPr>
          <w:lang w:val="sr-Latn-ME" w:eastAsia="sl-SI"/>
        </w:rPr>
        <w:t xml:space="preserve">Antineoplastici, inhibitori BCR-ABL </w:t>
      </w:r>
      <w:r w:rsidRPr="00291333">
        <w:rPr>
          <w:lang w:val="sr-Latn-ME" w:eastAsia="sl-SI"/>
        </w:rPr>
        <w:t>tirozin kinaze</w:t>
      </w:r>
    </w:p>
    <w:p w14:paraId="06498B99"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ATC šifra: </w:t>
      </w:r>
      <w:r w:rsidRPr="0032359B">
        <w:rPr>
          <w:lang w:val="sr-Latn-ME" w:eastAsia="sl-SI"/>
        </w:rPr>
        <w:t>L01EA01</w:t>
      </w:r>
    </w:p>
    <w:p w14:paraId="4E7D1531" w14:textId="77777777" w:rsidR="008F7DDB" w:rsidRPr="00291333" w:rsidRDefault="008F7DDB" w:rsidP="008F7DDB">
      <w:pPr>
        <w:widowControl w:val="0"/>
        <w:spacing w:line="240" w:lineRule="auto"/>
        <w:ind w:right="-1"/>
        <w:jc w:val="both"/>
        <w:rPr>
          <w:lang w:val="sr-Latn-ME" w:eastAsia="sl-SI"/>
        </w:rPr>
      </w:pPr>
    </w:p>
    <w:p w14:paraId="2FA2E3E0"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Mehanizam dejstva</w:t>
      </w:r>
    </w:p>
    <w:p w14:paraId="170CD182" w14:textId="77777777" w:rsidR="008F7DDB" w:rsidRPr="00291333" w:rsidRDefault="008F7DDB" w:rsidP="008F7DDB">
      <w:pPr>
        <w:widowControl w:val="0"/>
        <w:spacing w:line="240" w:lineRule="auto"/>
        <w:ind w:right="-1"/>
        <w:jc w:val="both"/>
        <w:rPr>
          <w:u w:val="single"/>
          <w:lang w:val="sr-Latn-ME" w:eastAsia="sl-SI"/>
        </w:rPr>
      </w:pPr>
    </w:p>
    <w:p w14:paraId="61CE267E"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Imatinib je mali molekul inhibitor protein-tirozin kinaze koji snažno inhibira aktivnost Bcr-Abl tirozin kinaze (TK), kao i neke receptore tirozin-kinaza: Kit, receptor faktora matičnih ćelija (SCF, engl. </w:t>
      </w:r>
      <w:r w:rsidRPr="00291333">
        <w:rPr>
          <w:i/>
          <w:lang w:val="sr-Latn-ME" w:eastAsia="sl-SI"/>
        </w:rPr>
        <w:t>stem cell factor</w:t>
      </w:r>
      <w:r w:rsidRPr="00291333">
        <w:rPr>
          <w:lang w:val="sr-Latn-ME" w:eastAsia="sl-SI"/>
        </w:rPr>
        <w:t xml:space="preserve">) kodiran c-Kit proto-onkogenom, diskoidin domen receptore (DDR1 i DDR2, engl. discoidin domain receptors), receptore za faktor stimulacije kolonija (CSF-1R, engl. colony stimulating factor receptor) i receptore za trombocitni faktor rasta alfa i beta (PDGFR-alfa i PDGFR-beta). Imatinib može da inhibira i celularne događaje do kojih dolazi aktivacijom ovih receptorskih kinaza. </w:t>
      </w:r>
    </w:p>
    <w:p w14:paraId="3CA78771" w14:textId="77777777" w:rsidR="008F7DDB" w:rsidRPr="00291333" w:rsidRDefault="008F7DDB" w:rsidP="008F7DDB">
      <w:pPr>
        <w:widowControl w:val="0"/>
        <w:spacing w:line="240" w:lineRule="auto"/>
        <w:ind w:right="-1"/>
        <w:jc w:val="both"/>
        <w:rPr>
          <w:u w:val="single"/>
          <w:lang w:val="sr-Latn-ME" w:eastAsia="sl-SI"/>
        </w:rPr>
      </w:pPr>
    </w:p>
    <w:p w14:paraId="0203C176" w14:textId="77777777" w:rsidR="008F7DDB" w:rsidRDefault="008F7DDB" w:rsidP="008F7DDB">
      <w:pPr>
        <w:widowControl w:val="0"/>
        <w:spacing w:line="240" w:lineRule="auto"/>
        <w:ind w:right="-1"/>
        <w:jc w:val="both"/>
        <w:rPr>
          <w:u w:val="single"/>
          <w:lang w:val="sr-Latn-ME" w:eastAsia="sl-SI"/>
        </w:rPr>
      </w:pPr>
      <w:r w:rsidRPr="00291333">
        <w:rPr>
          <w:u w:val="single"/>
          <w:lang w:val="sr-Latn-ME" w:eastAsia="sl-SI"/>
        </w:rPr>
        <w:t>Farmakodinamski efekti</w:t>
      </w:r>
    </w:p>
    <w:p w14:paraId="65218350" w14:textId="77777777" w:rsidR="008F7DDB" w:rsidRDefault="008F7DDB" w:rsidP="008F7DDB">
      <w:pPr>
        <w:widowControl w:val="0"/>
        <w:spacing w:line="240" w:lineRule="auto"/>
        <w:ind w:right="-1"/>
        <w:jc w:val="both"/>
        <w:rPr>
          <w:u w:val="single"/>
          <w:lang w:val="sr-Latn-ME" w:eastAsia="sl-SI"/>
        </w:rPr>
      </w:pPr>
    </w:p>
    <w:p w14:paraId="51B77DCA"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Imatinib je inhibitor protein-tirozin kinaze koji snažno inhibira Bcr-Abl tirozin kinazu u </w:t>
      </w:r>
      <w:r w:rsidRPr="00291333">
        <w:rPr>
          <w:i/>
          <w:lang w:val="sr-Latn-ME" w:eastAsia="sl-SI"/>
        </w:rPr>
        <w:t>in vitro</w:t>
      </w:r>
      <w:r w:rsidRPr="00291333">
        <w:rPr>
          <w:lang w:val="sr-Latn-ME" w:eastAsia="sl-SI"/>
        </w:rPr>
        <w:t xml:space="preserve">, celularnim i </w:t>
      </w:r>
      <w:r w:rsidRPr="00291333">
        <w:rPr>
          <w:i/>
          <w:lang w:val="sr-Latn-ME" w:eastAsia="sl-SI"/>
        </w:rPr>
        <w:t>in vivo</w:t>
      </w:r>
      <w:r w:rsidRPr="00291333">
        <w:rPr>
          <w:lang w:val="sr-Latn-ME" w:eastAsia="sl-SI"/>
        </w:rPr>
        <w:t xml:space="preserve"> uslovima. Ovo jedinjenje selektivno inhibira proliferaciju i indukuje apoptozu kod Bcr-Abl pozitivnih ćelijskih linija, kao i kod svježih leukemijskih ćelija kod pacijenata sa Filadelfija hromozom pozitivnom CML i akutnom limfoblastnom leukemijom (ALL). </w:t>
      </w:r>
    </w:p>
    <w:p w14:paraId="0761842E" w14:textId="77777777" w:rsidR="008F7DDB" w:rsidRPr="00291333" w:rsidRDefault="008F7DDB" w:rsidP="008F7DDB">
      <w:pPr>
        <w:widowControl w:val="0"/>
        <w:spacing w:line="240" w:lineRule="auto"/>
        <w:ind w:right="-1"/>
        <w:jc w:val="both"/>
        <w:rPr>
          <w:lang w:val="sr-Latn-ME" w:eastAsia="sl-SI"/>
        </w:rPr>
      </w:pPr>
      <w:r w:rsidRPr="00291333">
        <w:rPr>
          <w:i/>
          <w:lang w:val="sr-Latn-ME" w:eastAsia="sl-SI"/>
        </w:rPr>
        <w:t>In vivo</w:t>
      </w:r>
      <w:r w:rsidRPr="00291333">
        <w:rPr>
          <w:lang w:val="sr-Latn-ME" w:eastAsia="sl-SI"/>
        </w:rPr>
        <w:t xml:space="preserve"> jedinjenje kao pojedinačni lijek pokazuje antitumorsku aktivnost na životinjskim modelima korišćenjem Bcr-Abl pozitivnih tumorskih ćelija. </w:t>
      </w:r>
    </w:p>
    <w:p w14:paraId="43188B5D" w14:textId="77777777" w:rsidR="008F7DDB" w:rsidRPr="00291333" w:rsidRDefault="008F7DDB" w:rsidP="008F7DDB">
      <w:pPr>
        <w:widowControl w:val="0"/>
        <w:spacing w:line="240" w:lineRule="auto"/>
        <w:ind w:right="-1"/>
        <w:jc w:val="both"/>
        <w:rPr>
          <w:lang w:val="sr-Latn-ME" w:eastAsia="sl-SI"/>
        </w:rPr>
      </w:pPr>
    </w:p>
    <w:p w14:paraId="1FA74089" w14:textId="77777777" w:rsidR="008F7DDB" w:rsidRPr="00291333" w:rsidRDefault="008F7DDB" w:rsidP="008F7DDB">
      <w:pPr>
        <w:widowControl w:val="0"/>
        <w:spacing w:line="240" w:lineRule="auto"/>
        <w:ind w:right="-1"/>
        <w:jc w:val="both"/>
        <w:rPr>
          <w:lang w:val="sr-Latn-ME"/>
        </w:rPr>
      </w:pPr>
      <w:r w:rsidRPr="00291333">
        <w:rPr>
          <w:lang w:val="sr-Latn-ME" w:eastAsia="sl-SI"/>
        </w:rPr>
        <w:t xml:space="preserve">Imatinib je takođe i inhibitor receptorskih tirozin kinaza za trombocitni faktor rasta (PDGF), PDGF-R, i faktor matičnih ćelija (SCF), c-Kit, a inhibira PDGF- i SCF-posredovane ćelijske događaje. </w:t>
      </w:r>
      <w:r w:rsidRPr="00291333">
        <w:rPr>
          <w:i/>
          <w:lang w:val="sr-Latn-ME" w:eastAsia="sl-SI"/>
        </w:rPr>
        <w:t>In vitro</w:t>
      </w:r>
      <w:r w:rsidRPr="00291333">
        <w:rPr>
          <w:lang w:val="sr-Latn-ME" w:eastAsia="sl-SI"/>
        </w:rPr>
        <w:t>, imatinib inhibira proliferaciju i indukuje apoptozu u ćelijama gastrointestinalnog stromalnog tumora (GIST), koje ispoljavaju aktivirajuću kit mutaciju. Konstitutivna aktivacija PDGF receptora ili Abl protein tirozin kinaza, kao posljedica fuzije sa raznim partnerskim proteinima ili konstitutivna produkcija PDGF uključena je u patogenezu MDS/MPD, HES/CEL i DFSP. Imatinib inhibira signalizaciju i proliferaciju ćelija izazvanu nepravilno regulisanom aktivnošću PDGFR i Abl kinaze.</w:t>
      </w:r>
    </w:p>
    <w:p w14:paraId="6E6381C3" w14:textId="77777777" w:rsidR="008F7DDB" w:rsidRPr="00291333" w:rsidRDefault="008F7DDB" w:rsidP="008F7DDB">
      <w:pPr>
        <w:widowControl w:val="0"/>
        <w:spacing w:line="240" w:lineRule="auto"/>
        <w:ind w:right="-1"/>
        <w:jc w:val="both"/>
        <w:rPr>
          <w:u w:val="single"/>
          <w:lang w:val="sr-Latn-ME"/>
        </w:rPr>
      </w:pPr>
    </w:p>
    <w:p w14:paraId="7A76064E" w14:textId="77777777" w:rsidR="008F7DDB" w:rsidRPr="00291333" w:rsidRDefault="008F7DDB" w:rsidP="008F7DDB">
      <w:pPr>
        <w:widowControl w:val="0"/>
        <w:spacing w:line="240" w:lineRule="auto"/>
        <w:ind w:right="-1"/>
        <w:jc w:val="both"/>
        <w:rPr>
          <w:u w:val="single"/>
          <w:lang w:val="sr-Latn-ME" w:eastAsia="sl-SI"/>
        </w:rPr>
      </w:pPr>
      <w:r w:rsidRPr="00291333">
        <w:rPr>
          <w:u w:val="single"/>
          <w:lang w:val="sr-Latn-ME" w:eastAsia="sl-SI"/>
        </w:rPr>
        <w:t xml:space="preserve">Kliničke studije kod pacijenata sa hroničnom mijeloidnom leukemijom (CML) </w:t>
      </w:r>
    </w:p>
    <w:p w14:paraId="1CDCD0E7"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Efikasnost imatiniba zasnovana je na ukupnoj hematološkoj i citogenetskoj stopi odgovora i preživljavanju bez progresije bolesti. Izuzev kod novodijagnostikovane hronične faze CML, nije bilo kontrolisanih kliničkih ispitivanja koja bi pokazala kliničku korist, kao što je poboljšanje simptoma vezanih za bolest ili povećano preživljavanje. </w:t>
      </w:r>
    </w:p>
    <w:p w14:paraId="5E46FD6A" w14:textId="77777777" w:rsidR="008F7DDB" w:rsidRPr="00291333" w:rsidRDefault="008F7DDB" w:rsidP="008F7DDB">
      <w:pPr>
        <w:widowControl w:val="0"/>
        <w:spacing w:line="240" w:lineRule="auto"/>
        <w:ind w:right="-1"/>
        <w:jc w:val="both"/>
        <w:rPr>
          <w:lang w:val="sr-Latn-ME" w:eastAsia="sl-SI"/>
        </w:rPr>
      </w:pPr>
    </w:p>
    <w:p w14:paraId="6474C0FE"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Tri velike, međunarodne, otvorene studije faze II bez kontrolne grupe sprovedene su kod pacijenata sa Filadelfija hromozom pozitivnom (Ph+) CML u odmakloj, blastnoj ili ubrzanoj fazi, drugim Ph+ </w:t>
      </w:r>
      <w:r w:rsidRPr="00291333">
        <w:rPr>
          <w:lang w:val="sr-Latn-ME" w:eastAsia="sl-SI"/>
        </w:rPr>
        <w:lastRenderedPageBreak/>
        <w:t xml:space="preserve">leukemijama ili kod pacijenata sa CML-om u hroničnoj fazi, ali sa prethodno neuspješnom terapijom interferonom-alfa (IFN). Jedna velika, otvorena, multicentrična, međunarodna randomizovana studija faze III sprovedena ja kod pacijenata sa novodijagnostikovanom Ph+ CML. Dodatno, djeca su liječena u dvije studije faze I i jednoj studiji faze II. </w:t>
      </w:r>
    </w:p>
    <w:p w14:paraId="6E1CC948" w14:textId="77777777" w:rsidR="008F7DDB" w:rsidRDefault="008F7DDB" w:rsidP="008F7DDB">
      <w:pPr>
        <w:widowControl w:val="0"/>
        <w:spacing w:line="240" w:lineRule="auto"/>
        <w:ind w:right="-1"/>
        <w:jc w:val="both"/>
        <w:rPr>
          <w:lang w:val="sr-Latn-ME" w:eastAsia="sl-SI"/>
        </w:rPr>
      </w:pPr>
    </w:p>
    <w:p w14:paraId="6162B668"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 xml:space="preserve">U svim kliničkim studijama 38-40% pacijenata imalo je ≥ 60 godina starosti, a 10-12% pacijenata imalo je ≥70 godina starosti. </w:t>
      </w:r>
    </w:p>
    <w:p w14:paraId="22FC9950" w14:textId="77777777" w:rsidR="008F7DDB" w:rsidRPr="00291333" w:rsidRDefault="008F7DDB" w:rsidP="008F7DDB">
      <w:pPr>
        <w:widowControl w:val="0"/>
        <w:spacing w:line="240" w:lineRule="auto"/>
        <w:ind w:right="-1"/>
        <w:jc w:val="both"/>
        <w:rPr>
          <w:lang w:val="sr-Latn-ME" w:eastAsia="sl-SI"/>
        </w:rPr>
      </w:pPr>
      <w:r w:rsidRPr="00291333">
        <w:rPr>
          <w:i/>
          <w:lang w:val="sr-Latn-ME" w:eastAsia="sl-SI"/>
        </w:rPr>
        <w:t>Hronična faza, novodijagnostikovana:</w:t>
      </w:r>
      <w:r w:rsidRPr="00291333">
        <w:rPr>
          <w:lang w:val="sr-Latn-ME" w:eastAsia="sl-SI"/>
        </w:rPr>
        <w:t xml:space="preserve"> U ovoj studiji faze III kod odraslih pacijenata upoređivana je monoterapija imatinibom sa kombinovanom terapijom interferon-alfa (IFN) plus citarabin (Ara-C). Pacijentima koji su pokazali odsustvo odgovora (odsustvo kompletnog hematološkog odgovora (CHR) nakon 6 mjeseci, povećanje broja leukocita (WBC), odsustvo glavnog citogenetskog odgovora (MCyR) nakon 24 mjeseca, gubitak odgovora (gubitak CHR-a ili MCyR-a) ili su teško podnosili terapiju, dozvoljeno je da pređu u alternativnu terapijsku grupu. </w:t>
      </w:r>
    </w:p>
    <w:p w14:paraId="4F924A42"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U grupi koja je uzimala imatinib, pacijenti su liječeni dozom od 400 mg dnevno. U IFN grupi, pacijenti su liječeni ciljnom dozom IFN od 5 Mi.j./m2 /dan supkutano u kombinaciji sa supkutanim Ara-C 20 mg/m</w:t>
      </w:r>
      <w:r w:rsidRPr="00291333">
        <w:rPr>
          <w:vertAlign w:val="superscript"/>
          <w:lang w:val="sr-Latn-ME" w:eastAsia="sl-SI"/>
        </w:rPr>
        <w:t>2</w:t>
      </w:r>
      <w:r w:rsidRPr="00291333">
        <w:rPr>
          <w:lang w:val="sr-Latn-ME" w:eastAsia="sl-SI"/>
        </w:rPr>
        <w:t xml:space="preserve"> /dan tokom 10 dana/mjesec. </w:t>
      </w:r>
    </w:p>
    <w:p w14:paraId="3A37A8A8" w14:textId="77777777" w:rsidR="008F7DDB" w:rsidRPr="00291333" w:rsidRDefault="008F7DDB" w:rsidP="008F7DDB">
      <w:pPr>
        <w:widowControl w:val="0"/>
        <w:spacing w:line="240" w:lineRule="auto"/>
        <w:ind w:right="-1"/>
        <w:jc w:val="both"/>
        <w:rPr>
          <w:lang w:val="sr-Latn-ME" w:eastAsia="sl-SI"/>
        </w:rPr>
      </w:pPr>
    </w:p>
    <w:p w14:paraId="044E1757" w14:textId="77777777" w:rsidR="008F7DDB" w:rsidRDefault="008F7DDB" w:rsidP="008F7DDB">
      <w:pPr>
        <w:widowControl w:val="0"/>
        <w:spacing w:line="240" w:lineRule="auto"/>
        <w:ind w:right="-1"/>
        <w:jc w:val="both"/>
        <w:rPr>
          <w:lang w:val="sr-Latn-ME" w:eastAsia="sl-SI"/>
        </w:rPr>
      </w:pPr>
      <w:r w:rsidRPr="00291333">
        <w:rPr>
          <w:lang w:val="sr-Latn-ME" w:eastAsia="sl-SI"/>
        </w:rPr>
        <w:t xml:space="preserve">Ukupno 1106 pacijenata je bilo randomizovano, 553 u svakoj grupi. Karakteristike pacijenata na početku studije bile su dobro izbalansirane između dvije grupe. Medijana starosti bila je 51 godina (raspon 18-70 godina), pri čemu je 21,9% pacijenata imalo ≥60 godina starosti. Bilo je 59% muškaraca i 41% žena; 89,9% pacijenata bijele rase, a 4,7% crne rase. </w:t>
      </w:r>
    </w:p>
    <w:p w14:paraId="42E22412" w14:textId="77777777" w:rsidR="008F7DDB" w:rsidRPr="00291333" w:rsidRDefault="008F7DDB" w:rsidP="008F7DDB">
      <w:pPr>
        <w:widowControl w:val="0"/>
        <w:spacing w:line="240" w:lineRule="auto"/>
        <w:ind w:right="-1"/>
        <w:jc w:val="both"/>
        <w:rPr>
          <w:lang w:val="sr-Latn-ME" w:eastAsia="sl-SI"/>
        </w:rPr>
      </w:pPr>
    </w:p>
    <w:p w14:paraId="788E9A9B" w14:textId="77777777" w:rsidR="008F7DDB" w:rsidRPr="00291333" w:rsidRDefault="008F7DDB" w:rsidP="008F7DDB">
      <w:pPr>
        <w:widowControl w:val="0"/>
        <w:spacing w:line="240" w:lineRule="auto"/>
        <w:ind w:right="-1"/>
        <w:jc w:val="both"/>
        <w:rPr>
          <w:lang w:val="sr-Latn-ME" w:eastAsia="sl-SI"/>
        </w:rPr>
      </w:pPr>
      <w:r w:rsidRPr="00291333">
        <w:rPr>
          <w:lang w:val="sr-Latn-ME" w:eastAsia="sl-SI"/>
        </w:rPr>
        <w:t>Sedam godina pošto je bio uključen poslednji pacijent, medijana vremena trajanja terapije prve linije bila je 82 mjeseca u grupi sa imatinibom i 8 mjeseci u IFN grupi. Medijana vremena trajanja terapije kada je imatinib korišćen kao druga linija terapije bila je 64 mjeseca. Ukupno gledajući, kod pacijenata koji su primali imatinib kao prvu terapijsku liniju, prosječna dnevna doza iznosila je 406±76 mg. Primarni parametar praćenja efikasnosti u studiji je bilo preživljavanje bez progresije bolesti.</w:t>
      </w:r>
    </w:p>
    <w:p w14:paraId="11CE24DF" w14:textId="77777777" w:rsidR="008F7DDB" w:rsidRPr="00291333" w:rsidRDefault="008F7DDB" w:rsidP="008F7DDB">
      <w:pPr>
        <w:widowControl w:val="0"/>
        <w:spacing w:line="240" w:lineRule="auto"/>
        <w:ind w:right="-1"/>
        <w:jc w:val="both"/>
        <w:rPr>
          <w:lang w:val="sr-Latn-ME"/>
        </w:rPr>
      </w:pPr>
      <w:r w:rsidRPr="00291333">
        <w:rPr>
          <w:lang w:val="sr-Latn-ME" w:eastAsia="sl-SI"/>
        </w:rPr>
        <w:t>Progresija je definisana kao bilo koji od sledećih događaja: progresija u ubrzanu fazu ili blastnu krizu; smrt; gubitak CHR ili MCyR; ili, kod pacijenata koji nisu postigli CHR, povećanje broja leukocita uprkos odgovarajućim terapijskim mjerama. Veliki citogenetski odgovor, hematološki odgovor, molekularni odgovor (procjena minimalne rezidualne bolesti), vrijeme do ubrzane faze ili blastne krize i preživljavanje su glavni sekundarni parametri praćenja ishoda. Podaci o odgovoru na terapiju prikazani su u Tabeli 2.</w:t>
      </w:r>
    </w:p>
    <w:p w14:paraId="2C693C88"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5C43E5C0" w14:textId="77777777" w:rsidR="008F7DDB" w:rsidRPr="00291333" w:rsidRDefault="008F7DDB" w:rsidP="008F7DDB">
      <w:pPr>
        <w:widowControl w:val="0"/>
        <w:autoSpaceDE w:val="0"/>
        <w:autoSpaceDN w:val="0"/>
        <w:adjustRightInd w:val="0"/>
        <w:spacing w:line="240" w:lineRule="auto"/>
        <w:ind w:right="-1"/>
        <w:rPr>
          <w:b/>
          <w:lang w:val="sr-Latn-ME" w:eastAsia="sl-SI"/>
        </w:rPr>
      </w:pPr>
      <w:r w:rsidRPr="00291333">
        <w:rPr>
          <w:b/>
          <w:lang w:val="sr-Latn-ME" w:eastAsia="sl-SI"/>
        </w:rPr>
        <w:t>Tabela 2. Odgovor u studiji na pacijentima sa novodijagnostikovanom CML-om (podaci za 84 mjeseca)</w:t>
      </w:r>
    </w:p>
    <w:p w14:paraId="33D1E75E" w14:textId="77777777" w:rsidR="008F7DDB" w:rsidRPr="00291333" w:rsidRDefault="008F7DDB" w:rsidP="008F7DDB">
      <w:pPr>
        <w:widowControl w:val="0"/>
        <w:autoSpaceDE w:val="0"/>
        <w:autoSpaceDN w:val="0"/>
        <w:adjustRightInd w:val="0"/>
        <w:spacing w:line="240" w:lineRule="auto"/>
        <w:ind w:right="-1"/>
        <w:rPr>
          <w:b/>
          <w:bCs/>
          <w:lang w:val="sr-Latn-ME"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33"/>
        <w:gridCol w:w="27"/>
        <w:gridCol w:w="2906"/>
        <w:gridCol w:w="54"/>
        <w:gridCol w:w="2881"/>
      </w:tblGrid>
      <w:tr w:rsidR="008F7DDB" w:rsidRPr="00291333" w14:paraId="3EEC1B26" w14:textId="77777777" w:rsidTr="0040712C">
        <w:trPr>
          <w:trHeight w:val="98"/>
        </w:trPr>
        <w:tc>
          <w:tcPr>
            <w:tcW w:w="2960" w:type="dxa"/>
            <w:gridSpan w:val="2"/>
            <w:tcBorders>
              <w:top w:val="single" w:sz="4" w:space="0" w:color="auto"/>
              <w:left w:val="single" w:sz="4" w:space="0" w:color="auto"/>
              <w:bottom w:val="nil"/>
              <w:right w:val="nil"/>
            </w:tcBorders>
          </w:tcPr>
          <w:p w14:paraId="16A5DB37" w14:textId="77777777" w:rsidR="008F7DDB" w:rsidRPr="00291333" w:rsidRDefault="008F7DDB" w:rsidP="0040712C">
            <w:pPr>
              <w:widowControl w:val="0"/>
              <w:autoSpaceDE w:val="0"/>
              <w:autoSpaceDN w:val="0"/>
              <w:adjustRightInd w:val="0"/>
              <w:spacing w:line="240" w:lineRule="auto"/>
              <w:ind w:right="-1"/>
              <w:rPr>
                <w:lang w:val="sr-Latn-ME" w:eastAsia="sl-SI"/>
              </w:rPr>
            </w:pPr>
          </w:p>
        </w:tc>
        <w:tc>
          <w:tcPr>
            <w:tcW w:w="2960" w:type="dxa"/>
            <w:gridSpan w:val="2"/>
            <w:tcBorders>
              <w:top w:val="single" w:sz="4" w:space="0" w:color="auto"/>
              <w:left w:val="nil"/>
              <w:bottom w:val="nil"/>
              <w:right w:val="nil"/>
            </w:tcBorders>
            <w:hideMark/>
          </w:tcPr>
          <w:p w14:paraId="73D78D3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b/>
                <w:bCs/>
                <w:lang w:val="sr-Latn-ME" w:eastAsia="sl-SI"/>
              </w:rPr>
              <w:t>Imatinib</w:t>
            </w:r>
          </w:p>
        </w:tc>
        <w:tc>
          <w:tcPr>
            <w:tcW w:w="2881" w:type="dxa"/>
            <w:tcBorders>
              <w:top w:val="single" w:sz="4" w:space="0" w:color="auto"/>
              <w:left w:val="nil"/>
              <w:bottom w:val="nil"/>
              <w:right w:val="single" w:sz="4" w:space="0" w:color="auto"/>
            </w:tcBorders>
            <w:hideMark/>
          </w:tcPr>
          <w:p w14:paraId="2F50843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b/>
                <w:bCs/>
                <w:lang w:val="sr-Latn-ME" w:eastAsia="sl-SI"/>
              </w:rPr>
              <w:t>IFN+Ara-C</w:t>
            </w:r>
          </w:p>
        </w:tc>
      </w:tr>
      <w:tr w:rsidR="008F7DDB" w:rsidRPr="00291333" w14:paraId="48CE54EF" w14:textId="77777777" w:rsidTr="0040712C">
        <w:trPr>
          <w:trHeight w:val="102"/>
        </w:trPr>
        <w:tc>
          <w:tcPr>
            <w:tcW w:w="2933" w:type="dxa"/>
            <w:tcBorders>
              <w:top w:val="nil"/>
              <w:left w:val="single" w:sz="4" w:space="0" w:color="auto"/>
              <w:bottom w:val="single" w:sz="4" w:space="0" w:color="auto"/>
              <w:right w:val="nil"/>
            </w:tcBorders>
            <w:hideMark/>
          </w:tcPr>
          <w:p w14:paraId="02DA685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bCs/>
                <w:lang w:val="sr-Latn-ME" w:eastAsia="sl-SI"/>
              </w:rPr>
              <w:t xml:space="preserve">(Najbolje stope odgovora) </w:t>
            </w:r>
          </w:p>
        </w:tc>
        <w:tc>
          <w:tcPr>
            <w:tcW w:w="2987" w:type="dxa"/>
            <w:gridSpan w:val="3"/>
            <w:tcBorders>
              <w:top w:val="nil"/>
              <w:left w:val="nil"/>
              <w:bottom w:val="single" w:sz="4" w:space="0" w:color="auto"/>
              <w:right w:val="nil"/>
            </w:tcBorders>
            <w:hideMark/>
          </w:tcPr>
          <w:p w14:paraId="0FE245F3"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n=553</w:t>
            </w:r>
          </w:p>
        </w:tc>
        <w:tc>
          <w:tcPr>
            <w:tcW w:w="2881" w:type="dxa"/>
            <w:tcBorders>
              <w:top w:val="nil"/>
              <w:left w:val="nil"/>
              <w:bottom w:val="single" w:sz="4" w:space="0" w:color="auto"/>
              <w:right w:val="single" w:sz="4" w:space="0" w:color="auto"/>
            </w:tcBorders>
            <w:hideMark/>
          </w:tcPr>
          <w:p w14:paraId="76A23B6A"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n=553</w:t>
            </w:r>
          </w:p>
        </w:tc>
      </w:tr>
      <w:tr w:rsidR="008F7DDB" w:rsidRPr="00291333" w14:paraId="5CC99BD0" w14:textId="77777777" w:rsidTr="0040712C">
        <w:trPr>
          <w:trHeight w:val="98"/>
        </w:trPr>
        <w:tc>
          <w:tcPr>
            <w:tcW w:w="8801" w:type="dxa"/>
            <w:gridSpan w:val="5"/>
            <w:tcBorders>
              <w:top w:val="single" w:sz="4" w:space="0" w:color="auto"/>
              <w:left w:val="single" w:sz="4" w:space="0" w:color="auto"/>
              <w:bottom w:val="nil"/>
              <w:right w:val="single" w:sz="4" w:space="0" w:color="auto"/>
            </w:tcBorders>
            <w:hideMark/>
          </w:tcPr>
          <w:p w14:paraId="2E9D1F61"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Hematološki odgovor</w:t>
            </w:r>
          </w:p>
        </w:tc>
      </w:tr>
      <w:tr w:rsidR="008F7DDB" w:rsidRPr="00291333" w14:paraId="2333AF7A" w14:textId="77777777" w:rsidTr="0040712C">
        <w:trPr>
          <w:trHeight w:val="100"/>
        </w:trPr>
        <w:tc>
          <w:tcPr>
            <w:tcW w:w="2933" w:type="dxa"/>
            <w:tcBorders>
              <w:top w:val="nil"/>
              <w:left w:val="single" w:sz="4" w:space="0" w:color="auto"/>
              <w:bottom w:val="nil"/>
              <w:right w:val="nil"/>
            </w:tcBorders>
            <w:hideMark/>
          </w:tcPr>
          <w:p w14:paraId="3D6B50A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CHR stopa n (%) </w:t>
            </w:r>
          </w:p>
        </w:tc>
        <w:tc>
          <w:tcPr>
            <w:tcW w:w="2933" w:type="dxa"/>
            <w:gridSpan w:val="2"/>
            <w:tcBorders>
              <w:top w:val="nil"/>
              <w:left w:val="nil"/>
              <w:bottom w:val="nil"/>
              <w:right w:val="nil"/>
            </w:tcBorders>
            <w:hideMark/>
          </w:tcPr>
          <w:p w14:paraId="59020B8E"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534 (96,6%)*</w:t>
            </w:r>
          </w:p>
        </w:tc>
        <w:tc>
          <w:tcPr>
            <w:tcW w:w="2935" w:type="dxa"/>
            <w:gridSpan w:val="2"/>
            <w:tcBorders>
              <w:top w:val="nil"/>
              <w:left w:val="nil"/>
              <w:bottom w:val="nil"/>
              <w:right w:val="single" w:sz="4" w:space="0" w:color="auto"/>
            </w:tcBorders>
            <w:hideMark/>
          </w:tcPr>
          <w:p w14:paraId="3E822E36"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313 (56,6%)*</w:t>
            </w:r>
          </w:p>
        </w:tc>
      </w:tr>
      <w:tr w:rsidR="008F7DDB" w:rsidRPr="00291333" w14:paraId="2C6EBF2F" w14:textId="77777777" w:rsidTr="0040712C">
        <w:trPr>
          <w:trHeight w:val="100"/>
        </w:trPr>
        <w:tc>
          <w:tcPr>
            <w:tcW w:w="2933" w:type="dxa"/>
            <w:tcBorders>
              <w:top w:val="nil"/>
              <w:left w:val="single" w:sz="4" w:space="0" w:color="auto"/>
              <w:bottom w:val="nil"/>
              <w:right w:val="nil"/>
            </w:tcBorders>
          </w:tcPr>
          <w:p w14:paraId="10DF9757"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[95% CI]</w:t>
            </w:r>
          </w:p>
          <w:p w14:paraId="6CBDAB09" w14:textId="77777777" w:rsidR="008F7DDB" w:rsidRPr="00291333" w:rsidRDefault="008F7DDB" w:rsidP="0040712C">
            <w:pPr>
              <w:widowControl w:val="0"/>
              <w:autoSpaceDE w:val="0"/>
              <w:autoSpaceDN w:val="0"/>
              <w:adjustRightInd w:val="0"/>
              <w:spacing w:line="240" w:lineRule="auto"/>
              <w:ind w:right="-1"/>
              <w:rPr>
                <w:lang w:val="sr-Latn-ME" w:eastAsia="sl-SI"/>
              </w:rPr>
            </w:pPr>
          </w:p>
        </w:tc>
        <w:tc>
          <w:tcPr>
            <w:tcW w:w="2933" w:type="dxa"/>
            <w:gridSpan w:val="2"/>
            <w:tcBorders>
              <w:top w:val="nil"/>
              <w:left w:val="nil"/>
              <w:bottom w:val="nil"/>
              <w:right w:val="nil"/>
            </w:tcBorders>
            <w:hideMark/>
          </w:tcPr>
          <w:p w14:paraId="43576E9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[94,7%, 97,9%]</w:t>
            </w:r>
          </w:p>
        </w:tc>
        <w:tc>
          <w:tcPr>
            <w:tcW w:w="2935" w:type="dxa"/>
            <w:gridSpan w:val="2"/>
            <w:tcBorders>
              <w:top w:val="nil"/>
              <w:left w:val="nil"/>
              <w:bottom w:val="nil"/>
              <w:right w:val="single" w:sz="4" w:space="0" w:color="auto"/>
            </w:tcBorders>
            <w:hideMark/>
          </w:tcPr>
          <w:p w14:paraId="0C3A1CC7"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[52,4%, 60,8%]</w:t>
            </w:r>
          </w:p>
        </w:tc>
      </w:tr>
      <w:tr w:rsidR="008F7DDB" w:rsidRPr="00291333" w14:paraId="08339BFB" w14:textId="77777777" w:rsidTr="0040712C">
        <w:trPr>
          <w:trHeight w:val="98"/>
        </w:trPr>
        <w:tc>
          <w:tcPr>
            <w:tcW w:w="8801" w:type="dxa"/>
            <w:gridSpan w:val="5"/>
            <w:tcBorders>
              <w:top w:val="nil"/>
              <w:left w:val="single" w:sz="4" w:space="0" w:color="auto"/>
              <w:bottom w:val="nil"/>
              <w:right w:val="single" w:sz="4" w:space="0" w:color="auto"/>
            </w:tcBorders>
            <w:hideMark/>
          </w:tcPr>
          <w:p w14:paraId="2FA92D17" w14:textId="77777777" w:rsidR="008F7DDB" w:rsidRPr="00291333" w:rsidRDefault="008F7DDB" w:rsidP="0040712C">
            <w:pPr>
              <w:widowControl w:val="0"/>
              <w:autoSpaceDE w:val="0"/>
              <w:autoSpaceDN w:val="0"/>
              <w:adjustRightInd w:val="0"/>
              <w:spacing w:line="240" w:lineRule="auto"/>
              <w:ind w:right="-1"/>
              <w:rPr>
                <w:b/>
                <w:bCs/>
                <w:lang w:val="sr-Latn-ME" w:eastAsia="sl-SI"/>
              </w:rPr>
            </w:pPr>
            <w:r w:rsidRPr="00291333">
              <w:rPr>
                <w:b/>
                <w:bCs/>
                <w:lang w:val="sr-Latn-ME" w:eastAsia="sl-SI"/>
              </w:rPr>
              <w:t>Citogenetski odgovor</w:t>
            </w:r>
          </w:p>
        </w:tc>
      </w:tr>
      <w:tr w:rsidR="008F7DDB" w:rsidRPr="00291333" w14:paraId="59EDD021" w14:textId="77777777" w:rsidTr="0040712C">
        <w:trPr>
          <w:trHeight w:val="100"/>
        </w:trPr>
        <w:tc>
          <w:tcPr>
            <w:tcW w:w="2933" w:type="dxa"/>
            <w:tcBorders>
              <w:top w:val="nil"/>
              <w:left w:val="single" w:sz="4" w:space="0" w:color="auto"/>
              <w:bottom w:val="nil"/>
              <w:right w:val="nil"/>
            </w:tcBorders>
            <w:hideMark/>
          </w:tcPr>
          <w:p w14:paraId="3EF3B0B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Glavni odgovor n (%) </w:t>
            </w:r>
          </w:p>
        </w:tc>
        <w:tc>
          <w:tcPr>
            <w:tcW w:w="2933" w:type="dxa"/>
            <w:gridSpan w:val="2"/>
            <w:tcBorders>
              <w:top w:val="nil"/>
              <w:left w:val="nil"/>
              <w:bottom w:val="nil"/>
              <w:right w:val="nil"/>
            </w:tcBorders>
            <w:hideMark/>
          </w:tcPr>
          <w:p w14:paraId="25D04A9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490 (88,6%)*</w:t>
            </w:r>
          </w:p>
        </w:tc>
        <w:tc>
          <w:tcPr>
            <w:tcW w:w="2935" w:type="dxa"/>
            <w:gridSpan w:val="2"/>
            <w:tcBorders>
              <w:top w:val="nil"/>
              <w:left w:val="nil"/>
              <w:bottom w:val="nil"/>
              <w:right w:val="single" w:sz="4" w:space="0" w:color="auto"/>
            </w:tcBorders>
            <w:hideMark/>
          </w:tcPr>
          <w:p w14:paraId="42C9FCA3"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129 (23,3%)*</w:t>
            </w:r>
          </w:p>
        </w:tc>
      </w:tr>
      <w:tr w:rsidR="008F7DDB" w:rsidRPr="00291333" w14:paraId="71A76FCF" w14:textId="77777777" w:rsidTr="0040712C">
        <w:trPr>
          <w:trHeight w:val="100"/>
        </w:trPr>
        <w:tc>
          <w:tcPr>
            <w:tcW w:w="2933" w:type="dxa"/>
            <w:tcBorders>
              <w:top w:val="nil"/>
              <w:left w:val="single" w:sz="4" w:space="0" w:color="auto"/>
              <w:bottom w:val="nil"/>
              <w:right w:val="nil"/>
            </w:tcBorders>
            <w:hideMark/>
          </w:tcPr>
          <w:p w14:paraId="135676C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[95% CI] </w:t>
            </w:r>
          </w:p>
        </w:tc>
        <w:tc>
          <w:tcPr>
            <w:tcW w:w="2933" w:type="dxa"/>
            <w:gridSpan w:val="2"/>
            <w:tcBorders>
              <w:top w:val="nil"/>
              <w:left w:val="nil"/>
              <w:bottom w:val="nil"/>
              <w:right w:val="nil"/>
            </w:tcBorders>
            <w:hideMark/>
          </w:tcPr>
          <w:p w14:paraId="7718772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[85,7%, 91,1%]</w:t>
            </w:r>
          </w:p>
        </w:tc>
        <w:tc>
          <w:tcPr>
            <w:tcW w:w="2935" w:type="dxa"/>
            <w:gridSpan w:val="2"/>
            <w:tcBorders>
              <w:top w:val="nil"/>
              <w:left w:val="nil"/>
              <w:bottom w:val="nil"/>
              <w:right w:val="single" w:sz="4" w:space="0" w:color="auto"/>
            </w:tcBorders>
            <w:hideMark/>
          </w:tcPr>
          <w:p w14:paraId="009F12F8"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[19,9%, 27,1%]</w:t>
            </w:r>
          </w:p>
        </w:tc>
      </w:tr>
      <w:tr w:rsidR="008F7DDB" w:rsidRPr="00291333" w14:paraId="5F63D8A5" w14:textId="77777777" w:rsidTr="0040712C">
        <w:trPr>
          <w:trHeight w:val="100"/>
        </w:trPr>
        <w:tc>
          <w:tcPr>
            <w:tcW w:w="2933" w:type="dxa"/>
            <w:tcBorders>
              <w:top w:val="nil"/>
              <w:left w:val="single" w:sz="4" w:space="0" w:color="auto"/>
              <w:bottom w:val="nil"/>
              <w:right w:val="nil"/>
            </w:tcBorders>
            <w:hideMark/>
          </w:tcPr>
          <w:p w14:paraId="3F794F7D"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Potpuni citogenetski odgovor n (%) </w:t>
            </w:r>
          </w:p>
        </w:tc>
        <w:tc>
          <w:tcPr>
            <w:tcW w:w="2933" w:type="dxa"/>
            <w:gridSpan w:val="2"/>
            <w:tcBorders>
              <w:top w:val="nil"/>
              <w:left w:val="nil"/>
              <w:bottom w:val="nil"/>
              <w:right w:val="nil"/>
            </w:tcBorders>
            <w:hideMark/>
          </w:tcPr>
          <w:p w14:paraId="2BEB340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456 (82,5%)*</w:t>
            </w:r>
          </w:p>
        </w:tc>
        <w:tc>
          <w:tcPr>
            <w:tcW w:w="2935" w:type="dxa"/>
            <w:gridSpan w:val="2"/>
            <w:tcBorders>
              <w:top w:val="nil"/>
              <w:left w:val="nil"/>
              <w:bottom w:val="nil"/>
              <w:right w:val="single" w:sz="4" w:space="0" w:color="auto"/>
            </w:tcBorders>
            <w:hideMark/>
          </w:tcPr>
          <w:p w14:paraId="793773D6"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64 (11,6%)*</w:t>
            </w:r>
          </w:p>
        </w:tc>
      </w:tr>
      <w:tr w:rsidR="008F7DDB" w:rsidRPr="00291333" w14:paraId="5D2ABCFE" w14:textId="77777777" w:rsidTr="0040712C">
        <w:trPr>
          <w:trHeight w:val="100"/>
        </w:trPr>
        <w:tc>
          <w:tcPr>
            <w:tcW w:w="2933" w:type="dxa"/>
            <w:tcBorders>
              <w:top w:val="nil"/>
              <w:left w:val="single" w:sz="4" w:space="0" w:color="auto"/>
              <w:bottom w:val="nil"/>
              <w:right w:val="nil"/>
            </w:tcBorders>
            <w:hideMark/>
          </w:tcPr>
          <w:p w14:paraId="147B0E2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Parcijalnii citogenetski odgovor n (%)</w:t>
            </w:r>
          </w:p>
        </w:tc>
        <w:tc>
          <w:tcPr>
            <w:tcW w:w="2933" w:type="dxa"/>
            <w:gridSpan w:val="2"/>
            <w:tcBorders>
              <w:top w:val="nil"/>
              <w:left w:val="nil"/>
              <w:bottom w:val="nil"/>
              <w:right w:val="nil"/>
            </w:tcBorders>
            <w:hideMark/>
          </w:tcPr>
          <w:p w14:paraId="4FDBC530"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34 (6,1%)</w:t>
            </w:r>
          </w:p>
        </w:tc>
        <w:tc>
          <w:tcPr>
            <w:tcW w:w="2935" w:type="dxa"/>
            <w:gridSpan w:val="2"/>
            <w:tcBorders>
              <w:top w:val="nil"/>
              <w:left w:val="nil"/>
              <w:bottom w:val="nil"/>
              <w:right w:val="single" w:sz="4" w:space="0" w:color="auto"/>
            </w:tcBorders>
            <w:hideMark/>
          </w:tcPr>
          <w:p w14:paraId="3D28B168"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65 (11,8%)</w:t>
            </w:r>
          </w:p>
        </w:tc>
      </w:tr>
      <w:tr w:rsidR="008F7DDB" w:rsidRPr="00291333" w14:paraId="06A51A2C" w14:textId="77777777" w:rsidTr="0040712C">
        <w:trPr>
          <w:trHeight w:val="100"/>
        </w:trPr>
        <w:tc>
          <w:tcPr>
            <w:tcW w:w="8801" w:type="dxa"/>
            <w:gridSpan w:val="5"/>
            <w:tcBorders>
              <w:top w:val="nil"/>
              <w:left w:val="single" w:sz="4" w:space="0" w:color="auto"/>
              <w:bottom w:val="nil"/>
              <w:right w:val="single" w:sz="4" w:space="0" w:color="auto"/>
            </w:tcBorders>
            <w:hideMark/>
          </w:tcPr>
          <w:p w14:paraId="4BA150C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bCs/>
                <w:lang w:val="sr-Latn-ME" w:eastAsia="sl-SI"/>
              </w:rPr>
              <w:t>Molekularni odgovor **</w:t>
            </w:r>
          </w:p>
        </w:tc>
      </w:tr>
      <w:tr w:rsidR="008F7DDB" w:rsidRPr="00291333" w14:paraId="1843648C" w14:textId="77777777" w:rsidTr="0040712C">
        <w:trPr>
          <w:trHeight w:val="100"/>
        </w:trPr>
        <w:tc>
          <w:tcPr>
            <w:tcW w:w="2933" w:type="dxa"/>
            <w:tcBorders>
              <w:top w:val="nil"/>
              <w:left w:val="single" w:sz="4" w:space="0" w:color="auto"/>
              <w:bottom w:val="nil"/>
              <w:right w:val="nil"/>
            </w:tcBorders>
            <w:hideMark/>
          </w:tcPr>
          <w:p w14:paraId="06E9B3B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Veliki odgovor nakon 12 mjeseci (%) </w:t>
            </w:r>
          </w:p>
        </w:tc>
        <w:tc>
          <w:tcPr>
            <w:tcW w:w="2933" w:type="dxa"/>
            <w:gridSpan w:val="2"/>
            <w:tcBorders>
              <w:top w:val="nil"/>
              <w:left w:val="nil"/>
              <w:bottom w:val="nil"/>
              <w:right w:val="nil"/>
            </w:tcBorders>
            <w:hideMark/>
          </w:tcPr>
          <w:p w14:paraId="4EA07A5A"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153/305=50,2%</w:t>
            </w:r>
          </w:p>
        </w:tc>
        <w:tc>
          <w:tcPr>
            <w:tcW w:w="2935" w:type="dxa"/>
            <w:gridSpan w:val="2"/>
            <w:tcBorders>
              <w:top w:val="nil"/>
              <w:left w:val="nil"/>
              <w:bottom w:val="nil"/>
              <w:right w:val="single" w:sz="4" w:space="0" w:color="auto"/>
            </w:tcBorders>
            <w:hideMark/>
          </w:tcPr>
          <w:p w14:paraId="7D82A6BC"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8/83=9,6%</w:t>
            </w:r>
          </w:p>
        </w:tc>
      </w:tr>
      <w:tr w:rsidR="008F7DDB" w:rsidRPr="00291333" w14:paraId="163CB23B" w14:textId="77777777" w:rsidTr="0040712C">
        <w:trPr>
          <w:trHeight w:val="100"/>
        </w:trPr>
        <w:tc>
          <w:tcPr>
            <w:tcW w:w="2933" w:type="dxa"/>
            <w:tcBorders>
              <w:top w:val="nil"/>
              <w:left w:val="single" w:sz="4" w:space="0" w:color="auto"/>
              <w:bottom w:val="nil"/>
              <w:right w:val="nil"/>
            </w:tcBorders>
            <w:hideMark/>
          </w:tcPr>
          <w:p w14:paraId="6C751836"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Veliki odgovor nakon 24 mjeseca (%) </w:t>
            </w:r>
          </w:p>
        </w:tc>
        <w:tc>
          <w:tcPr>
            <w:tcW w:w="2933" w:type="dxa"/>
            <w:gridSpan w:val="2"/>
            <w:tcBorders>
              <w:top w:val="nil"/>
              <w:left w:val="nil"/>
              <w:bottom w:val="nil"/>
              <w:right w:val="nil"/>
            </w:tcBorders>
            <w:hideMark/>
          </w:tcPr>
          <w:p w14:paraId="632EC926"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73/104=70,2%</w:t>
            </w:r>
          </w:p>
        </w:tc>
        <w:tc>
          <w:tcPr>
            <w:tcW w:w="2935" w:type="dxa"/>
            <w:gridSpan w:val="2"/>
            <w:tcBorders>
              <w:top w:val="nil"/>
              <w:left w:val="nil"/>
              <w:bottom w:val="nil"/>
              <w:right w:val="single" w:sz="4" w:space="0" w:color="auto"/>
            </w:tcBorders>
            <w:hideMark/>
          </w:tcPr>
          <w:p w14:paraId="14E7A8A0"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3/12=25%</w:t>
            </w:r>
          </w:p>
        </w:tc>
      </w:tr>
      <w:tr w:rsidR="008F7DDB" w:rsidRPr="00291333" w14:paraId="7AEFABD1" w14:textId="77777777" w:rsidTr="0040712C">
        <w:trPr>
          <w:trHeight w:val="100"/>
        </w:trPr>
        <w:tc>
          <w:tcPr>
            <w:tcW w:w="2933" w:type="dxa"/>
            <w:tcBorders>
              <w:top w:val="nil"/>
              <w:left w:val="single" w:sz="4" w:space="0" w:color="auto"/>
              <w:bottom w:val="single" w:sz="4" w:space="0" w:color="auto"/>
              <w:right w:val="nil"/>
            </w:tcBorders>
            <w:hideMark/>
          </w:tcPr>
          <w:p w14:paraId="318E4C7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Veliki odgovor nakon 84 mjeseca (%) </w:t>
            </w:r>
          </w:p>
        </w:tc>
        <w:tc>
          <w:tcPr>
            <w:tcW w:w="2933" w:type="dxa"/>
            <w:gridSpan w:val="2"/>
            <w:tcBorders>
              <w:top w:val="nil"/>
              <w:left w:val="nil"/>
              <w:bottom w:val="single" w:sz="4" w:space="0" w:color="auto"/>
              <w:right w:val="nil"/>
            </w:tcBorders>
            <w:hideMark/>
          </w:tcPr>
          <w:p w14:paraId="3B1737B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102/116=87,9%</w:t>
            </w:r>
          </w:p>
        </w:tc>
        <w:tc>
          <w:tcPr>
            <w:tcW w:w="2935" w:type="dxa"/>
            <w:gridSpan w:val="2"/>
            <w:tcBorders>
              <w:top w:val="nil"/>
              <w:left w:val="nil"/>
              <w:bottom w:val="single" w:sz="4" w:space="0" w:color="auto"/>
              <w:right w:val="single" w:sz="4" w:space="0" w:color="auto"/>
            </w:tcBorders>
            <w:hideMark/>
          </w:tcPr>
          <w:p w14:paraId="04C0FE7D"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3/4=75%</w:t>
            </w:r>
          </w:p>
        </w:tc>
      </w:tr>
      <w:tr w:rsidR="008F7DDB" w:rsidRPr="00C86919" w14:paraId="02E9983E" w14:textId="77777777" w:rsidTr="0040712C">
        <w:trPr>
          <w:trHeight w:val="785"/>
        </w:trPr>
        <w:tc>
          <w:tcPr>
            <w:tcW w:w="8801" w:type="dxa"/>
            <w:gridSpan w:val="5"/>
            <w:tcBorders>
              <w:top w:val="single" w:sz="4" w:space="0" w:color="auto"/>
              <w:left w:val="single" w:sz="4" w:space="0" w:color="auto"/>
              <w:bottom w:val="single" w:sz="4" w:space="0" w:color="auto"/>
              <w:right w:val="single" w:sz="4" w:space="0" w:color="auto"/>
            </w:tcBorders>
            <w:hideMark/>
          </w:tcPr>
          <w:p w14:paraId="579F69C9" w14:textId="77777777" w:rsidR="008F7DDB" w:rsidRPr="00291333" w:rsidRDefault="008F7DDB" w:rsidP="0040712C">
            <w:pPr>
              <w:widowControl w:val="0"/>
              <w:autoSpaceDE w:val="0"/>
              <w:autoSpaceDN w:val="0"/>
              <w:adjustRightInd w:val="0"/>
              <w:spacing w:line="240" w:lineRule="auto"/>
              <w:ind w:right="-1"/>
              <w:rPr>
                <w:lang w:val="sr-Latn-ME" w:eastAsia="sl-SI"/>
              </w:rPr>
            </w:pPr>
          </w:p>
          <w:p w14:paraId="19AA1D6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*p&lt; 0,001, Fischer-ov egzaktni test </w:t>
            </w:r>
          </w:p>
          <w:p w14:paraId="2E37135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**procenti molekularnog odgovora zasnovani na dostupnim uzorcima </w:t>
            </w:r>
          </w:p>
          <w:p w14:paraId="11EEEF4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lang w:val="sr-Latn-ME" w:eastAsia="sl-SI"/>
              </w:rPr>
              <w:t>Kriterijumi hematološkog odgovora</w:t>
            </w:r>
            <w:r w:rsidRPr="00291333">
              <w:rPr>
                <w:lang w:val="sr-Latn-ME" w:eastAsia="sl-SI"/>
              </w:rPr>
              <w:t xml:space="preserve"> </w:t>
            </w:r>
            <w:r w:rsidRPr="00291333">
              <w:rPr>
                <w:b/>
                <w:lang w:val="sr-Latn-ME" w:eastAsia="sl-SI"/>
              </w:rPr>
              <w:t>(svi odgovori treba da budu potvrđeni nakon ≥ 4 nedjelje</w:t>
            </w:r>
            <w:r w:rsidRPr="00291333">
              <w:rPr>
                <w:lang w:val="sr-Latn-ME" w:eastAsia="sl-SI"/>
              </w:rPr>
              <w:t>): WBC &lt; 10 x 10</w:t>
            </w:r>
            <w:r w:rsidRPr="00291333">
              <w:rPr>
                <w:vertAlign w:val="superscript"/>
                <w:lang w:val="sr-Latn-ME" w:eastAsia="sl-SI"/>
              </w:rPr>
              <w:t>9</w:t>
            </w:r>
            <w:r w:rsidRPr="00291333">
              <w:rPr>
                <w:lang w:val="sr-Latn-ME" w:eastAsia="sl-SI"/>
              </w:rPr>
              <w:t xml:space="preserve"> /L, trombociti &lt; 450 x 10</w:t>
            </w:r>
            <w:r w:rsidRPr="00291333">
              <w:rPr>
                <w:vertAlign w:val="superscript"/>
                <w:lang w:val="sr-Latn-ME" w:eastAsia="sl-SI"/>
              </w:rPr>
              <w:t>9</w:t>
            </w:r>
            <w:r w:rsidRPr="00291333">
              <w:rPr>
                <w:lang w:val="sr-Latn-ME" w:eastAsia="sl-SI"/>
              </w:rPr>
              <w:t xml:space="preserve"> /L, mijelociti+metamijelociti  &lt; 5% u krvi, nema blasta i promijelocita u krvi, bazofili &lt; 20%, nema ekstramedularne zahvaćenosti.</w:t>
            </w:r>
          </w:p>
          <w:p w14:paraId="165DCFA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 </w:t>
            </w:r>
            <w:r w:rsidRPr="00291333">
              <w:rPr>
                <w:b/>
                <w:lang w:val="sr-Latn-ME" w:eastAsia="sl-SI"/>
              </w:rPr>
              <w:t>Kriterijumi citogenetskog odgovora:</w:t>
            </w:r>
            <w:r w:rsidRPr="00291333">
              <w:rPr>
                <w:lang w:val="sr-Latn-ME" w:eastAsia="sl-SI"/>
              </w:rPr>
              <w:t xml:space="preserve"> kompletan (0% Ph+ metafaze), parcijalan (1-35%), manji (36-65%) ili minimalan (66-95%). Veliki odgovor (0-35%) kombinuje i kompletan i parcijalan odgovor. </w:t>
            </w:r>
          </w:p>
          <w:p w14:paraId="27F5271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lang w:val="sr-Latn-ME" w:eastAsia="sl-SI"/>
              </w:rPr>
              <w:t>Kriterijumi velikog molekularnog odgovora</w:t>
            </w:r>
            <w:r w:rsidRPr="00291333">
              <w:rPr>
                <w:lang w:val="sr-Latn-ME" w:eastAsia="sl-SI"/>
              </w:rPr>
              <w:t>: u perifernoj krvi redukcija od ≥ 3 logaritma u količini BcrAbl kopija (kvantitativno određivanje reverzne transkriptaze u stvarnom vremenu PCR metodom) u odnosu na standardizovane početne vrijednosti.</w:t>
            </w:r>
          </w:p>
        </w:tc>
      </w:tr>
    </w:tbl>
    <w:p w14:paraId="568231CD" w14:textId="77777777" w:rsidR="008F7DDB" w:rsidRDefault="008F7DDB" w:rsidP="008F7DDB">
      <w:pPr>
        <w:widowControl w:val="0"/>
        <w:autoSpaceDE w:val="0"/>
        <w:autoSpaceDN w:val="0"/>
        <w:adjustRightInd w:val="0"/>
        <w:spacing w:line="240" w:lineRule="auto"/>
        <w:ind w:right="-1"/>
        <w:jc w:val="both"/>
        <w:rPr>
          <w:lang w:val="sr-Latn-ME" w:eastAsia="sl-SI"/>
        </w:rPr>
      </w:pPr>
    </w:p>
    <w:p w14:paraId="5BBD76EA"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Stope kompletnog hematološkog odgovora, velikog citogenetskog odgovora i kompletnog citogenetskog odgovora na terapiju prve linije procijenjivane su korišćenjem Kaplan-Meier-ovog pristupa, za koji su oni koji nisu odgovorili na terapiju bili isključeni nakon datuma posljednjeg pregleda. Koristeći ovaj pristup, ispitivana kumulativna stopa odgovora na terapiju prve linije imatinibom poboljšana je od 12. do 84. mjeseca terapije na sledeći način: kompletan hematološki odogovor (CHR) od 96,4% do 98,4%, i kompletan citogenetski odgovor (CCyR) od 69,5% do 87,2%. </w:t>
      </w:r>
    </w:p>
    <w:p w14:paraId="0E87E00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0DA9368C"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Tokom sedmogodišnjeg praćenja, bilo je 93 (16,8%) događaja koji su ukazivali na progresiju bolesti u grupi koja je primala imatinib: 37 (6,7%) uključujući progresiju u ubrzanu fazu/blastnu krizu, 31 (5,6%) gubitak MCyR, 15 (2,7%) gubitak CHR ili povećanje broja leukocita, i 10 (1,8%) smrtnih slučajeva nevezanih za CML. Nasuprot tome, bilo je 165 (29,8%) događaja u grupi na IFN+Ara-C, od kojih se 130 dogodilo tokom terapije prvom linijom terapije sa IFN+Ara-C. </w:t>
      </w:r>
    </w:p>
    <w:p w14:paraId="2F9E4478" w14:textId="77777777" w:rsidR="008F7DDB" w:rsidRDefault="008F7DDB" w:rsidP="008F7DDB">
      <w:pPr>
        <w:widowControl w:val="0"/>
        <w:autoSpaceDE w:val="0"/>
        <w:autoSpaceDN w:val="0"/>
        <w:adjustRightInd w:val="0"/>
        <w:spacing w:line="240" w:lineRule="auto"/>
        <w:ind w:right="-1"/>
        <w:jc w:val="both"/>
        <w:rPr>
          <w:lang w:val="sr-Latn-ME" w:eastAsia="sl-SI"/>
        </w:rPr>
      </w:pPr>
    </w:p>
    <w:p w14:paraId="65B57E7E"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7EC28BE0"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Procijenjena stopa pacijenata bez progresije u ubrzanu fazu ili blastnu krizu nakon 84 mjeseca bila je značajno veća u grupi koja je primala imatinib u poređenju sa grupom koja je primala IFN (92,5% u odnosu na 85,1%, p&lt;0,001). Godišnja stopa progresije u ubrzanu fazu ili blastnu krizu opadala je sa vremenom tokom terapije i bila je manja od 1% godišnje u četvrtoj i petoj godini. Procijenjena stopa preživljavanja bez progresije bolesti nakon 84 mjeseci bila je 81,2% u grupi koja je primala imatinib, i 60,6% u kontrolnoj grupi (p&lt;0,001%).Godišnje stope progresije bilo kog tipa kod imatiniba su se takođe smanjivale tokom vremena.</w:t>
      </w:r>
    </w:p>
    <w:p w14:paraId="087D03FE"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3F0EE53D" w14:textId="77777777" w:rsidR="008F7DDB"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Ukupno 71 (12,8%) pacijenata je umrlo u grupi koja je primala imatinib i 85 (15,4%) u grupi na terapiji IFN+Ara-C. Nakon 84 mjeseca procijenjeno ukupno preživljavanje bilo je 86,4% (83, 90) u randomizovanoj grupi koja je primala imatinib u odnosu na 83,3% (80, 87) u grupi IFN+Ara-C (p=0,073, log-rank test). Ovaj parametar – vrijeme do događaja je pod snažnim uticajem visoke stope prelaska iz grupe IFN+Ara-C na imatinib. Efekat liječenja imatinibom na preživljavanje u hroničnoj fazi, novodijagnostikovane CML je dalje ispitivan u retrospektivnoj analizi gore navedenih podataka za imatinib uz primarne podatake iz faze III druge studije u kojoj je primjenjivan IFN+Ara-C (n=325) u identičnom režimu. U ovoj retrospektivnoj analizi, dokazana je superiornost imatiniba u odnosu na IFN+Ara-C u ukupnom preživljavanju (p&lt;0,001); tokom 42 mjeseca, umrlo je 47 (8,5%) pacijenata iz grupe koje je primala imatinib i 63 (19,4%) pacijenata iz IFN+Ara-C grupe.</w:t>
      </w:r>
    </w:p>
    <w:p w14:paraId="397D375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Stepen citogenetskog odgovora i molekularnog odgovora imao je jasan efekat na dugoročni ishod kod pacijenata koji su primali imatinib. Dok je procijenjenih 96% (93%) pacijenata sa CCyR (PCyR) nakon 12 mjeseci bilo bez progresije u ubrzanu fazu/blastnu krizu nakon 84 mjeseca, samo 81% pacijenata bez MCyR nakon 12 mjeseci je bilo bez progresije u uznapredovalu CML nakon 84 mjeseci (p&lt;0,001 ukupno, p=0,25 između CCyR-a i PCyR-a). Kod pacijenata sa redukcijom Bcr-Abl kopija za najmanje 3 logaritma nakon 12 mjeseci, vjerovatnoća da ne dođe do progresije u ubrzanu fazu/blastnu krizu bila je 99% nakon 84 mjeseca. Slični nalazi su dobijeni i u 18-mjesečnoj landmark analizi.</w:t>
      </w:r>
    </w:p>
    <w:p w14:paraId="13BFF652"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 </w:t>
      </w:r>
    </w:p>
    <w:p w14:paraId="46595DBD" w14:textId="77777777" w:rsidR="008F7DDB"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U ovoj studiji, dozvoljeno je povećavanje doze imatiniba sa 400 mg dnevno na 600 mg dnevno, potom sa 600 mg dnevno na 800 mg dnevno. Nakon 42 mjeseca praćenja, 11 pacijenata doživjelo je potvrđen gubitak (unutar 4 nedjelje) svog citogenetskog odgovora. Od ovih 11 pacijenata, kod 4 pacijenta doza je povećana na 800 mg/dan, od toga je kod 2 uspostavljen citogenetski odgovor (jedan parcijalan i jedan </w:t>
      </w:r>
      <w:r w:rsidRPr="00291333">
        <w:rPr>
          <w:lang w:val="sr-Latn-ME" w:eastAsia="sl-SI"/>
        </w:rPr>
        <w:lastRenderedPageBreak/>
        <w:t>kompletan, a drugi od ova dva je postigao i molekularni odgovor). Od preostalih 7 pacijenata kojima nije povećavana doza, samo jedan je ponovo uspostavio kompletan citogenetski odgovor. Procenat pojedinih neželjenih reakcija bio je veći kod 40 pacijenata kod kojih je doza povećana na 800 mg dnevno u poređenju sa populacijom pacijenata prije povećanja doze (n=551). Češće neželjene reakcije su bile gastrointestinalne hemoragije, konjunktivitis i povišene vrijednosti transaminaza ili bilirubina. Druge neželjene reakcije su prijavljivane sa nižom ili jednakom učestalošću.</w:t>
      </w:r>
    </w:p>
    <w:p w14:paraId="6D6DED1B"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2D2E0FA8"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Hronična faza, neuspjeh interferona:</w:t>
      </w:r>
      <w:r w:rsidRPr="00291333">
        <w:rPr>
          <w:lang w:val="sr-Latn-ME" w:eastAsia="sl-SI"/>
        </w:rPr>
        <w:t xml:space="preserve"> 532 odrasla pacijenta liječena su početnom dozom od 400 mg. Pacijenti su bili raspoređeni u tri glavne kategorije: hematološki neuspjeh (29%), citogenetski neuspjeh (35%), ili nepodnošenje interferona (36%). Pacijenti su prethodno primali IFN, medijana trajanja liječenja iznosila je 14 mjeseci u dozama ≥ 25 × 10</w:t>
      </w:r>
      <w:r w:rsidRPr="00291333">
        <w:rPr>
          <w:vertAlign w:val="superscript"/>
          <w:lang w:val="sr-Latn-ME" w:eastAsia="sl-SI"/>
        </w:rPr>
        <w:t>6</w:t>
      </w:r>
      <w:r w:rsidRPr="00291333">
        <w:rPr>
          <w:lang w:val="sr-Latn-ME" w:eastAsia="sl-SI"/>
        </w:rPr>
        <w:t xml:space="preserve"> i.j./nedeljno i svi su bili u kasnoj hroničnoj fazi, sa medijanom vremena od postavljanja dijagnoze od 32 mjeseca. Primarna varijabla efikasnosti u studiji bila je stopa velikog citogenetskog odgovora (kompletan plus parcijalni odgovor, 0 do 35% Ph+ metafaza u koštanoj srži). </w:t>
      </w:r>
    </w:p>
    <w:p w14:paraId="5B1B7AC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841B022"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U ovom ispitivanju 65% pacijenata postiglo je veliki citogenetski odgovor koji je bio kompletan kod 53% (potvrđeno 43%) pacijenata (Tabela 3). Kompletan hematološki odgovor postignut je kod 95% pacijenata. </w:t>
      </w:r>
    </w:p>
    <w:p w14:paraId="1B0ED6A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234D976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Ubrzana faza:</w:t>
      </w:r>
      <w:r w:rsidRPr="00291333">
        <w:rPr>
          <w:lang w:val="sr-Latn-ME" w:eastAsia="sl-SI"/>
        </w:rPr>
        <w:t xml:space="preserve"> 235 odraslih pacijenata sa ubrzanom fazom bolesti je uključeno u ispitivanje. Prvih 77 pacijenata započelo je sa 400 mg. Protokol je zatim dopunjen da bi se omogućila primjena većih doza pa je ostalih 158 pacijenata započelo liječenje sa dozom od 600 mg. </w:t>
      </w:r>
    </w:p>
    <w:p w14:paraId="72B59F2E" w14:textId="77777777" w:rsidR="008F7DDB" w:rsidRDefault="008F7DDB" w:rsidP="008F7DDB">
      <w:pPr>
        <w:widowControl w:val="0"/>
        <w:autoSpaceDE w:val="0"/>
        <w:autoSpaceDN w:val="0"/>
        <w:adjustRightInd w:val="0"/>
        <w:spacing w:line="240" w:lineRule="auto"/>
        <w:ind w:right="-1"/>
        <w:jc w:val="both"/>
        <w:rPr>
          <w:lang w:val="sr-Latn-ME" w:eastAsia="sl-SI"/>
        </w:rPr>
      </w:pPr>
    </w:p>
    <w:p w14:paraId="3CA8AF5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2E5B210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Primarna varijabla efikasnosti je bila stopa hematološkog odgovora, zabilježena ili kao kompletni hematološki odgovor, bez dokaza o leukemiji (tj. klirens blastocita iz koštane srži i krvi, ali bez potpunog oporavka periferne krvi kao što je slučaj kod kompletnog odgovora), ili kao povratak u hroničnu fazu CML. Potvrđen hematološki odgovor je bio postignut kod 71,5% pacijenata (Tabela 3). </w:t>
      </w:r>
    </w:p>
    <w:p w14:paraId="790ED88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9952B0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Značajno je to što je 27,7% pacijenata takođe postiglo veliki citogenetski odgovor, koji je bio kompletan kod 20,4% (potvrđeno 16%) pacijenata. Za pacijente liječene dozom od 600 mg, trenutna procjena za medijanu vremena preživljavanja bez progresije bolesti i ukupnog preživljavanja bila je 22,9 odnosno 42,5 mjeseci.</w:t>
      </w:r>
    </w:p>
    <w:p w14:paraId="7AA074BF"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78ABAEFB" w14:textId="77777777" w:rsidR="008F7DDB"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Mijeloidna blastna kriza</w:t>
      </w:r>
      <w:r w:rsidRPr="00291333">
        <w:rPr>
          <w:lang w:val="sr-Latn-ME" w:eastAsia="sl-SI"/>
        </w:rPr>
        <w:t xml:space="preserve">: 260 pacijenata sa mijeloidnom blastnom krizom je uključeno u ispitivanje. Od toga je 95 (37%) prethodno primilo hemioterapiju za liječenje ili ubrzane faze ili blastne krize („prethodno liječeni pacijenti”), a 165 (63%) nije prethodno primalo („neliječeni pacijenti”). Prvih 37 pacijenata započelo je terapiju sa 400 mg, protokol je naknadno izmijenjen da bi se omogućila primjena većih doza, tako da je preostalih 223 pacijenata započelo liječenje sa dozom od 600 mg. </w:t>
      </w:r>
    </w:p>
    <w:p w14:paraId="6D64CD1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Primarna varijabla efikasnosti je bila stopa hematološkog odgovora, zabilježena ili kao kompletan hematološki odgovor, bez dokaza o leukemiji, ili kao povratak u hroničnu fazu CML korišćenjem istih kriterijuma kao za studiju u ubrzanoj fazi. U ovoj studiji, 31% pacijenata postiglo je hematološki odgovor (36% od prethodno neliječenih pacijenata, a 22% od prethodno liječenih). Stopa odgovora bila je takođe veća kod pacijenata liječenih dozom od 600 mg (33%) u poređenju sa pacijentima liječenim dozom od 400 mg (16%, p=0,0220). Trenutna procjena medijane vremena preživljavanja prethodno neliječenih i liječenih pacijenata bila je 7,7 odnosno 4,7 mjeseci.</w:t>
      </w:r>
    </w:p>
    <w:p w14:paraId="4F1CD993"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20D3BDBD"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Limfoidna blastna kriza:</w:t>
      </w:r>
      <w:r w:rsidRPr="00291333">
        <w:rPr>
          <w:lang w:val="sr-Latn-ME" w:eastAsia="sl-SI"/>
        </w:rPr>
        <w:t xml:space="preserve"> ograničen broj pacijenata bio je uključen u studije faze I (n=10). Stopa hematološkog odgovora bila je 70% sa trajanjem od 2 do 3 mjeseca.</w:t>
      </w:r>
    </w:p>
    <w:p w14:paraId="7622AD42"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2B5DC69F" w14:textId="77777777" w:rsidR="008F7DDB" w:rsidRPr="00291333" w:rsidRDefault="008F7DDB" w:rsidP="008F7DDB">
      <w:pPr>
        <w:widowControl w:val="0"/>
        <w:autoSpaceDE w:val="0"/>
        <w:autoSpaceDN w:val="0"/>
        <w:adjustRightInd w:val="0"/>
        <w:spacing w:line="240" w:lineRule="auto"/>
        <w:ind w:right="-1"/>
        <w:rPr>
          <w:b/>
          <w:lang w:val="sr-Latn-ME" w:eastAsia="sl-SI"/>
        </w:rPr>
      </w:pPr>
      <w:r w:rsidRPr="00291333">
        <w:rPr>
          <w:b/>
          <w:lang w:val="sr-Latn-ME" w:eastAsia="sl-SI"/>
        </w:rPr>
        <w:t>Tabela 3. Odgovor na terapiju u studijama na odraslim pacijentima sa CML</w:t>
      </w:r>
    </w:p>
    <w:p w14:paraId="47998F2A" w14:textId="77777777" w:rsidR="008F7DDB" w:rsidRPr="00291333" w:rsidRDefault="008F7DDB" w:rsidP="008F7DDB">
      <w:pPr>
        <w:widowControl w:val="0"/>
        <w:autoSpaceDE w:val="0"/>
        <w:autoSpaceDN w:val="0"/>
        <w:adjustRightInd w:val="0"/>
        <w:spacing w:line="240" w:lineRule="auto"/>
        <w:ind w:right="-1"/>
        <w:rPr>
          <w:b/>
          <w:lang w:val="sr-Latn-ME" w:eastAsia="sl-SI"/>
        </w:rPr>
      </w:pPr>
    </w:p>
    <w:tbl>
      <w:tblPr>
        <w:tblW w:w="0" w:type="auto"/>
        <w:tblLook w:val="04A0" w:firstRow="1" w:lastRow="0" w:firstColumn="1" w:lastColumn="0" w:noHBand="0" w:noVBand="1"/>
      </w:tblPr>
      <w:tblGrid>
        <w:gridCol w:w="2644"/>
        <w:gridCol w:w="2494"/>
        <w:gridCol w:w="1692"/>
        <w:gridCol w:w="2231"/>
      </w:tblGrid>
      <w:tr w:rsidR="008F7DDB" w:rsidRPr="0040712C" w14:paraId="451A2807" w14:textId="77777777" w:rsidTr="0040712C">
        <w:trPr>
          <w:trHeight w:val="1162"/>
        </w:trPr>
        <w:tc>
          <w:tcPr>
            <w:tcW w:w="0" w:type="auto"/>
            <w:tcBorders>
              <w:top w:val="single" w:sz="4" w:space="0" w:color="auto"/>
              <w:left w:val="single" w:sz="4" w:space="0" w:color="auto"/>
              <w:bottom w:val="single" w:sz="4" w:space="0" w:color="auto"/>
              <w:right w:val="single" w:sz="4" w:space="0" w:color="auto"/>
            </w:tcBorders>
          </w:tcPr>
          <w:p w14:paraId="69160A15" w14:textId="77777777" w:rsidR="008F7DDB" w:rsidRPr="00291333" w:rsidRDefault="008F7DDB" w:rsidP="0040712C">
            <w:pPr>
              <w:widowControl w:val="0"/>
              <w:autoSpaceDE w:val="0"/>
              <w:autoSpaceDN w:val="0"/>
              <w:adjustRightInd w:val="0"/>
              <w:spacing w:line="240" w:lineRule="auto"/>
              <w:ind w:right="-1"/>
              <w:rPr>
                <w:lang w:val="sr-Latn-ME" w:eastAsia="sl-SI"/>
              </w:rPr>
            </w:pPr>
          </w:p>
        </w:tc>
        <w:tc>
          <w:tcPr>
            <w:tcW w:w="0" w:type="auto"/>
            <w:tcBorders>
              <w:top w:val="single" w:sz="4" w:space="0" w:color="auto"/>
              <w:left w:val="single" w:sz="4" w:space="0" w:color="auto"/>
              <w:bottom w:val="single" w:sz="4" w:space="0" w:color="auto"/>
              <w:right w:val="single" w:sz="4" w:space="0" w:color="auto"/>
            </w:tcBorders>
            <w:hideMark/>
          </w:tcPr>
          <w:p w14:paraId="0D8DC0F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 xml:space="preserve">Studija 0110 37-mjesečni podaci </w:t>
            </w:r>
          </w:p>
          <w:p w14:paraId="122F93F4"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Hronična faza, neuspjeh IFN (n=532)</w:t>
            </w:r>
          </w:p>
        </w:tc>
        <w:tc>
          <w:tcPr>
            <w:tcW w:w="0" w:type="auto"/>
            <w:tcBorders>
              <w:top w:val="single" w:sz="4" w:space="0" w:color="auto"/>
              <w:left w:val="single" w:sz="4" w:space="0" w:color="auto"/>
              <w:bottom w:val="single" w:sz="4" w:space="0" w:color="auto"/>
              <w:right w:val="single" w:sz="4" w:space="0" w:color="auto"/>
            </w:tcBorders>
            <w:hideMark/>
          </w:tcPr>
          <w:p w14:paraId="464BA62C"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 xml:space="preserve">Studija 0109 </w:t>
            </w:r>
          </w:p>
          <w:p w14:paraId="5F32B81B"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 xml:space="preserve">40,5- mjesečni podaci </w:t>
            </w:r>
          </w:p>
          <w:p w14:paraId="37CDC0A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Ubrzana faza (n=235)</w:t>
            </w:r>
          </w:p>
        </w:tc>
        <w:tc>
          <w:tcPr>
            <w:tcW w:w="0" w:type="auto"/>
            <w:tcBorders>
              <w:top w:val="single" w:sz="4" w:space="0" w:color="auto"/>
              <w:left w:val="single" w:sz="4" w:space="0" w:color="auto"/>
              <w:bottom w:val="single" w:sz="4" w:space="0" w:color="auto"/>
              <w:right w:val="single" w:sz="4" w:space="0" w:color="auto"/>
            </w:tcBorders>
            <w:hideMark/>
          </w:tcPr>
          <w:p w14:paraId="6B6455CD"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 xml:space="preserve">Studija 0102 38-mjesečni podaci </w:t>
            </w:r>
          </w:p>
          <w:p w14:paraId="033C8DD7"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Mijeloidna blastna kriza (n=260)</w:t>
            </w:r>
          </w:p>
        </w:tc>
      </w:tr>
      <w:tr w:rsidR="008F7DDB" w:rsidRPr="00291333" w14:paraId="692F64D5" w14:textId="77777777" w:rsidTr="0040712C">
        <w:trPr>
          <w:trHeight w:val="107"/>
        </w:trPr>
        <w:tc>
          <w:tcPr>
            <w:tcW w:w="0" w:type="auto"/>
            <w:gridSpan w:val="4"/>
            <w:tcBorders>
              <w:top w:val="single" w:sz="4" w:space="0" w:color="auto"/>
              <w:left w:val="single" w:sz="4" w:space="0" w:color="auto"/>
              <w:bottom w:val="single" w:sz="4" w:space="0" w:color="auto"/>
              <w:right w:val="single" w:sz="4" w:space="0" w:color="auto"/>
            </w:tcBorders>
            <w:hideMark/>
          </w:tcPr>
          <w:p w14:paraId="177E73DB"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lastRenderedPageBreak/>
              <w:t xml:space="preserve">                                                            % pacijenata (CI</w:t>
            </w:r>
            <w:r w:rsidRPr="00291333">
              <w:rPr>
                <w:vertAlign w:val="subscript"/>
                <w:lang w:val="sr-Latn-ME" w:eastAsia="sl-SI"/>
              </w:rPr>
              <w:t>95%</w:t>
            </w:r>
            <w:r w:rsidRPr="00291333">
              <w:rPr>
                <w:lang w:val="sr-Latn-ME" w:eastAsia="sl-SI"/>
              </w:rPr>
              <w:t>)</w:t>
            </w:r>
          </w:p>
        </w:tc>
      </w:tr>
      <w:tr w:rsidR="008F7DDB" w:rsidRPr="00291333" w14:paraId="64EA5E0A" w14:textId="77777777" w:rsidTr="0040712C">
        <w:trPr>
          <w:trHeight w:val="1184"/>
        </w:trPr>
        <w:tc>
          <w:tcPr>
            <w:tcW w:w="0" w:type="auto"/>
            <w:tcBorders>
              <w:top w:val="single" w:sz="4" w:space="0" w:color="auto"/>
              <w:left w:val="single" w:sz="4" w:space="0" w:color="auto"/>
              <w:bottom w:val="nil"/>
              <w:right w:val="single" w:sz="4" w:space="0" w:color="auto"/>
            </w:tcBorders>
            <w:hideMark/>
          </w:tcPr>
          <w:p w14:paraId="5A3C3C22"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Hematološki odgovor</w:t>
            </w:r>
            <w:r w:rsidRPr="00291333">
              <w:rPr>
                <w:vertAlign w:val="superscript"/>
                <w:lang w:val="sr-Latn-ME" w:eastAsia="sl-SI"/>
              </w:rPr>
              <w:t>1</w:t>
            </w:r>
          </w:p>
          <w:p w14:paraId="53DBCEC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 Kompletan hematološki odgovor (CHR) </w:t>
            </w:r>
          </w:p>
          <w:p w14:paraId="329772E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Nema dokaza leukemije (NEL) </w:t>
            </w:r>
          </w:p>
          <w:p w14:paraId="771F782E"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Povratak na hroničnu fazu (RTC)</w:t>
            </w:r>
          </w:p>
        </w:tc>
        <w:tc>
          <w:tcPr>
            <w:tcW w:w="0" w:type="auto"/>
            <w:tcBorders>
              <w:top w:val="single" w:sz="4" w:space="0" w:color="auto"/>
              <w:left w:val="single" w:sz="4" w:space="0" w:color="auto"/>
              <w:bottom w:val="nil"/>
              <w:right w:val="single" w:sz="4" w:space="0" w:color="auto"/>
            </w:tcBorders>
          </w:tcPr>
          <w:p w14:paraId="0D52775F"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95% (92,3–96,3)</w:t>
            </w:r>
          </w:p>
          <w:p w14:paraId="2FBA3853"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160FA69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95%</w:t>
            </w:r>
          </w:p>
          <w:p w14:paraId="7175B70E"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4BFC7EA2"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nije primjenljivo</w:t>
            </w:r>
          </w:p>
          <w:p w14:paraId="3092F21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105DD25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nije primjenljivo</w:t>
            </w:r>
          </w:p>
        </w:tc>
        <w:tc>
          <w:tcPr>
            <w:tcW w:w="0" w:type="auto"/>
            <w:tcBorders>
              <w:top w:val="single" w:sz="4" w:space="0" w:color="auto"/>
              <w:left w:val="single" w:sz="4" w:space="0" w:color="auto"/>
              <w:bottom w:val="nil"/>
              <w:right w:val="single" w:sz="4" w:space="0" w:color="auto"/>
            </w:tcBorders>
          </w:tcPr>
          <w:p w14:paraId="7A5A3A39" w14:textId="77777777" w:rsidR="008F7DDB" w:rsidRPr="00291333" w:rsidRDefault="008F7DDB" w:rsidP="0040712C">
            <w:pPr>
              <w:widowControl w:val="0"/>
              <w:autoSpaceDE w:val="0"/>
              <w:autoSpaceDN w:val="0"/>
              <w:adjustRightInd w:val="0"/>
              <w:spacing w:line="240" w:lineRule="auto"/>
              <w:ind w:right="-75"/>
              <w:jc w:val="center"/>
              <w:rPr>
                <w:lang w:val="sr-Latn-ME" w:eastAsia="sl-SI"/>
              </w:rPr>
            </w:pPr>
            <w:r w:rsidRPr="00291333">
              <w:rPr>
                <w:lang w:val="sr-Latn-ME" w:eastAsia="sl-SI"/>
              </w:rPr>
              <w:t>71% (65,3–77,2)</w:t>
            </w:r>
          </w:p>
          <w:p w14:paraId="7278A3E0"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1933BC4B"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42%</w:t>
            </w:r>
          </w:p>
          <w:p w14:paraId="70CB3CB8"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3FE556E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12%</w:t>
            </w:r>
          </w:p>
          <w:p w14:paraId="5C42CF47"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0A16B2F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17%</w:t>
            </w:r>
          </w:p>
        </w:tc>
        <w:tc>
          <w:tcPr>
            <w:tcW w:w="0" w:type="auto"/>
            <w:tcBorders>
              <w:top w:val="single" w:sz="4" w:space="0" w:color="auto"/>
              <w:left w:val="single" w:sz="4" w:space="0" w:color="auto"/>
              <w:bottom w:val="single" w:sz="4" w:space="0" w:color="auto"/>
              <w:right w:val="single" w:sz="4" w:space="0" w:color="auto"/>
            </w:tcBorders>
          </w:tcPr>
          <w:p w14:paraId="23DC2484"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31% (25,2–36,8)</w:t>
            </w:r>
          </w:p>
          <w:p w14:paraId="4F71A8AE"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5660F50D"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8%</w:t>
            </w:r>
          </w:p>
          <w:p w14:paraId="60A5C565"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52928D14"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5%</w:t>
            </w:r>
          </w:p>
          <w:p w14:paraId="5B3B2CDA"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p>
          <w:p w14:paraId="08349951"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18%</w:t>
            </w:r>
          </w:p>
        </w:tc>
      </w:tr>
      <w:tr w:rsidR="008F7DDB" w:rsidRPr="00291333" w14:paraId="531A58E2" w14:textId="77777777" w:rsidTr="0040712C">
        <w:trPr>
          <w:trHeight w:val="988"/>
        </w:trPr>
        <w:tc>
          <w:tcPr>
            <w:tcW w:w="0" w:type="auto"/>
            <w:tcBorders>
              <w:top w:val="single" w:sz="4" w:space="0" w:color="auto"/>
              <w:left w:val="single" w:sz="4" w:space="0" w:color="auto"/>
              <w:bottom w:val="nil"/>
              <w:right w:val="single" w:sz="4" w:space="0" w:color="auto"/>
            </w:tcBorders>
            <w:hideMark/>
          </w:tcPr>
          <w:p w14:paraId="0E268685"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Veliki citogenetski odgovor </w:t>
            </w:r>
            <w:r w:rsidRPr="00291333">
              <w:rPr>
                <w:vertAlign w:val="superscript"/>
                <w:lang w:val="sr-Latn-ME" w:eastAsia="sl-SI"/>
              </w:rPr>
              <w:t>2</w:t>
            </w:r>
          </w:p>
          <w:p w14:paraId="77034A78"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Kompletan</w:t>
            </w:r>
          </w:p>
          <w:p w14:paraId="544CD999"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(Potvrđen</w:t>
            </w:r>
            <w:r w:rsidRPr="00291333">
              <w:rPr>
                <w:vertAlign w:val="superscript"/>
                <w:lang w:val="sr-Latn-ME" w:eastAsia="sl-SI"/>
              </w:rPr>
              <w:t>3</w:t>
            </w:r>
            <w:r w:rsidRPr="00291333">
              <w:rPr>
                <w:lang w:val="sr-Latn-ME" w:eastAsia="sl-SI"/>
              </w:rPr>
              <w:t>) [95% CI]</w:t>
            </w:r>
            <w:r>
              <w:rPr>
                <w:lang w:val="sr-Latn-ME" w:eastAsia="sl-SI"/>
              </w:rPr>
              <w:t xml:space="preserve"> </w:t>
            </w:r>
            <w:r w:rsidRPr="00291333">
              <w:rPr>
                <w:lang w:val="sr-Latn-ME" w:eastAsia="sl-SI"/>
              </w:rPr>
              <w:t>Parcijalan</w:t>
            </w:r>
          </w:p>
        </w:tc>
        <w:tc>
          <w:tcPr>
            <w:tcW w:w="0" w:type="auto"/>
            <w:tcBorders>
              <w:top w:val="single" w:sz="4" w:space="0" w:color="auto"/>
              <w:left w:val="single" w:sz="4" w:space="0" w:color="auto"/>
              <w:bottom w:val="nil"/>
              <w:right w:val="single" w:sz="4" w:space="0" w:color="auto"/>
            </w:tcBorders>
            <w:hideMark/>
          </w:tcPr>
          <w:p w14:paraId="2344B41A"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65% (61,2–69,5)</w:t>
            </w:r>
          </w:p>
          <w:p w14:paraId="1DBE040B"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53%</w:t>
            </w:r>
          </w:p>
          <w:p w14:paraId="1DADCF1F"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(43%) [38,6–47,2]</w:t>
            </w:r>
          </w:p>
          <w:p w14:paraId="2FEFA9C9"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12%</w:t>
            </w:r>
          </w:p>
        </w:tc>
        <w:tc>
          <w:tcPr>
            <w:tcW w:w="0" w:type="auto"/>
            <w:tcBorders>
              <w:top w:val="single" w:sz="4" w:space="0" w:color="auto"/>
              <w:left w:val="single" w:sz="4" w:space="0" w:color="auto"/>
              <w:bottom w:val="nil"/>
              <w:right w:val="single" w:sz="4" w:space="0" w:color="auto"/>
            </w:tcBorders>
            <w:hideMark/>
          </w:tcPr>
          <w:p w14:paraId="18514F7A" w14:textId="77777777" w:rsidR="008F7DDB" w:rsidRPr="00291333" w:rsidRDefault="008F7DDB" w:rsidP="0040712C">
            <w:pPr>
              <w:widowControl w:val="0"/>
              <w:autoSpaceDE w:val="0"/>
              <w:autoSpaceDN w:val="0"/>
              <w:adjustRightInd w:val="0"/>
              <w:spacing w:line="240" w:lineRule="auto"/>
              <w:ind w:right="-75"/>
              <w:jc w:val="center"/>
              <w:rPr>
                <w:lang w:val="sr-Latn-ME" w:eastAsia="sl-SI"/>
              </w:rPr>
            </w:pPr>
            <w:r w:rsidRPr="00291333">
              <w:rPr>
                <w:lang w:val="sr-Latn-ME" w:eastAsia="sl-SI"/>
              </w:rPr>
              <w:t>28% (22,0–33,9)</w:t>
            </w:r>
          </w:p>
          <w:p w14:paraId="0262AB6E"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20%</w:t>
            </w:r>
          </w:p>
          <w:p w14:paraId="1E573F9A" w14:textId="77777777" w:rsidR="008F7DDB" w:rsidRPr="00291333" w:rsidRDefault="008F7DDB" w:rsidP="0040712C">
            <w:pPr>
              <w:widowControl w:val="0"/>
              <w:autoSpaceDE w:val="0"/>
              <w:autoSpaceDN w:val="0"/>
              <w:adjustRightInd w:val="0"/>
              <w:spacing w:line="240" w:lineRule="auto"/>
              <w:ind w:right="-150"/>
              <w:jc w:val="center"/>
              <w:rPr>
                <w:lang w:val="sr-Latn-ME" w:eastAsia="sl-SI"/>
              </w:rPr>
            </w:pPr>
            <w:r w:rsidRPr="00291333">
              <w:rPr>
                <w:lang w:val="sr-Latn-ME" w:eastAsia="sl-SI"/>
              </w:rPr>
              <w:t>(16%) [11,3–21,0]</w:t>
            </w:r>
          </w:p>
          <w:p w14:paraId="142FC9F9"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7%</w:t>
            </w:r>
          </w:p>
        </w:tc>
        <w:tc>
          <w:tcPr>
            <w:tcW w:w="0" w:type="auto"/>
            <w:tcBorders>
              <w:top w:val="single" w:sz="4" w:space="0" w:color="auto"/>
              <w:left w:val="single" w:sz="4" w:space="0" w:color="auto"/>
              <w:bottom w:val="nil"/>
              <w:right w:val="single" w:sz="4" w:space="0" w:color="auto"/>
            </w:tcBorders>
            <w:hideMark/>
          </w:tcPr>
          <w:p w14:paraId="08640377"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15% (11,2–20,4)</w:t>
            </w:r>
          </w:p>
          <w:p w14:paraId="7FE5B3EF"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7%</w:t>
            </w:r>
          </w:p>
          <w:p w14:paraId="2A34D182"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(2%) [0,6–4,4]</w:t>
            </w:r>
          </w:p>
          <w:p w14:paraId="47564177" w14:textId="77777777" w:rsidR="008F7DDB" w:rsidRPr="00291333" w:rsidRDefault="008F7DDB" w:rsidP="0040712C">
            <w:pPr>
              <w:widowControl w:val="0"/>
              <w:autoSpaceDE w:val="0"/>
              <w:autoSpaceDN w:val="0"/>
              <w:adjustRightInd w:val="0"/>
              <w:spacing w:line="240" w:lineRule="auto"/>
              <w:ind w:right="-1"/>
              <w:jc w:val="center"/>
              <w:rPr>
                <w:lang w:val="sr-Latn-ME" w:eastAsia="sl-SI"/>
              </w:rPr>
            </w:pPr>
            <w:r w:rsidRPr="00291333">
              <w:rPr>
                <w:lang w:val="sr-Latn-ME" w:eastAsia="sl-SI"/>
              </w:rPr>
              <w:t>8%</w:t>
            </w:r>
          </w:p>
        </w:tc>
      </w:tr>
      <w:tr w:rsidR="008F7DDB" w:rsidRPr="00C86919" w14:paraId="29AD0A98" w14:textId="77777777" w:rsidTr="0040712C">
        <w:trPr>
          <w:trHeight w:val="638"/>
        </w:trPr>
        <w:tc>
          <w:tcPr>
            <w:tcW w:w="0" w:type="auto"/>
            <w:gridSpan w:val="4"/>
            <w:tcBorders>
              <w:top w:val="single" w:sz="4" w:space="0" w:color="auto"/>
              <w:left w:val="single" w:sz="4" w:space="0" w:color="auto"/>
              <w:bottom w:val="single" w:sz="4" w:space="0" w:color="auto"/>
              <w:right w:val="single" w:sz="4" w:space="0" w:color="auto"/>
            </w:tcBorders>
            <w:hideMark/>
          </w:tcPr>
          <w:p w14:paraId="34D0AA19" w14:textId="77777777" w:rsidR="008F7DDB" w:rsidRPr="00291333" w:rsidRDefault="008F7DDB" w:rsidP="0040712C">
            <w:pPr>
              <w:widowControl w:val="0"/>
              <w:autoSpaceDE w:val="0"/>
              <w:autoSpaceDN w:val="0"/>
              <w:adjustRightInd w:val="0"/>
              <w:spacing w:line="240" w:lineRule="auto"/>
              <w:ind w:right="-1"/>
              <w:rPr>
                <w:b/>
                <w:bCs/>
                <w:vertAlign w:val="superscript"/>
                <w:lang w:val="sr-Latn-ME" w:eastAsia="sl-SI"/>
              </w:rPr>
            </w:pPr>
          </w:p>
          <w:p w14:paraId="441A4C4F"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vertAlign w:val="superscript"/>
                <w:lang w:val="sr-Latn-ME" w:eastAsia="sl-SI"/>
              </w:rPr>
              <w:t>1</w:t>
            </w:r>
            <w:r w:rsidRPr="00291333">
              <w:rPr>
                <w:lang w:val="sr-Latn-ME" w:eastAsia="sl-SI"/>
              </w:rPr>
              <w:t xml:space="preserve"> </w:t>
            </w:r>
            <w:r w:rsidRPr="00291333">
              <w:rPr>
                <w:b/>
                <w:lang w:val="sr-Latn-ME" w:eastAsia="sl-SI"/>
              </w:rPr>
              <w:t>Kriterijumi hematološkog odgovora (svi odgovori treba da budu potvrđeni posle ≥ 4 nedjelje):</w:t>
            </w:r>
            <w:r w:rsidRPr="00291333">
              <w:rPr>
                <w:lang w:val="sr-Latn-ME" w:eastAsia="sl-SI"/>
              </w:rPr>
              <w:t xml:space="preserve"> </w:t>
            </w:r>
          </w:p>
          <w:p w14:paraId="3FEE5AA0" w14:textId="77777777" w:rsidR="008F7DDB"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CHR: Studija 0110 [WBC &lt; 10 × 109 /L, trombociti &lt; 450 × 10</w:t>
            </w:r>
            <w:r w:rsidRPr="00291333">
              <w:rPr>
                <w:vertAlign w:val="superscript"/>
                <w:lang w:val="sr-Latn-ME" w:eastAsia="sl-SI"/>
              </w:rPr>
              <w:t>9</w:t>
            </w:r>
            <w:r w:rsidRPr="00291333">
              <w:rPr>
                <w:lang w:val="sr-Latn-ME" w:eastAsia="sl-SI"/>
              </w:rPr>
              <w:t xml:space="preserve"> /L, mijelocit+metamijelocit &lt; 5% u krvi, bez blastocita i promijelocita u krvi, bazofili &lt; 20%, bez ekstramedularne aktivnosti] i u studijama 0102 i 0109 [ANC ≥ 1,5 × 10</w:t>
            </w:r>
            <w:r w:rsidRPr="00291333">
              <w:rPr>
                <w:vertAlign w:val="superscript"/>
                <w:lang w:val="sr-Latn-ME" w:eastAsia="sl-SI"/>
              </w:rPr>
              <w:t>9</w:t>
            </w:r>
            <w:r w:rsidRPr="00291333">
              <w:rPr>
                <w:lang w:val="sr-Latn-ME" w:eastAsia="sl-SI"/>
              </w:rPr>
              <w:t xml:space="preserve"> /L, trombociti ≥ 100 × 10</w:t>
            </w:r>
            <w:r w:rsidRPr="00291333">
              <w:rPr>
                <w:vertAlign w:val="superscript"/>
                <w:lang w:val="sr-Latn-ME" w:eastAsia="sl-SI"/>
              </w:rPr>
              <w:t>9</w:t>
            </w:r>
            <w:r w:rsidRPr="00291333">
              <w:rPr>
                <w:lang w:val="sr-Latn-ME" w:eastAsia="sl-SI"/>
              </w:rPr>
              <w:t xml:space="preserve"> /L, nema blastocita u krvi, BM blastocit &lt; 5% i nema ekstramedularne bolesti]</w:t>
            </w:r>
          </w:p>
          <w:p w14:paraId="3617837E" w14:textId="77777777" w:rsidR="008F7DDB" w:rsidRPr="00291333" w:rsidRDefault="008F7DDB" w:rsidP="0040712C">
            <w:pPr>
              <w:widowControl w:val="0"/>
              <w:autoSpaceDE w:val="0"/>
              <w:autoSpaceDN w:val="0"/>
              <w:adjustRightInd w:val="0"/>
              <w:spacing w:line="240" w:lineRule="auto"/>
              <w:ind w:right="-1"/>
              <w:rPr>
                <w:lang w:val="sr-Latn-ME" w:eastAsia="sl-SI"/>
              </w:rPr>
            </w:pPr>
          </w:p>
          <w:p w14:paraId="3F1C4AAC"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NEL (</w:t>
            </w:r>
            <w:r w:rsidRPr="00291333">
              <w:rPr>
                <w:i/>
                <w:lang w:val="sr-Latn-ME" w:eastAsia="sl-SI"/>
              </w:rPr>
              <w:t>engl. no evidence of leukaemia</w:t>
            </w:r>
            <w:r w:rsidRPr="00291333">
              <w:rPr>
                <w:lang w:val="sr-Latn-ME" w:eastAsia="sl-SI"/>
              </w:rPr>
              <w:t>): Isti kriterijumi kao za CHR, ali ANC ≥ 1 × 10</w:t>
            </w:r>
            <w:r w:rsidRPr="00291333">
              <w:rPr>
                <w:vertAlign w:val="superscript"/>
                <w:lang w:val="sr-Latn-ME" w:eastAsia="sl-SI"/>
              </w:rPr>
              <w:t>9</w:t>
            </w:r>
            <w:r w:rsidRPr="00291333">
              <w:rPr>
                <w:lang w:val="sr-Latn-ME" w:eastAsia="sl-SI"/>
              </w:rPr>
              <w:t xml:space="preserve"> /L, a trombociti ≥ 20 × x 10</w:t>
            </w:r>
            <w:r w:rsidRPr="00291333">
              <w:rPr>
                <w:vertAlign w:val="superscript"/>
                <w:lang w:val="sr-Latn-ME" w:eastAsia="sl-SI"/>
              </w:rPr>
              <w:t>9</w:t>
            </w:r>
            <w:r w:rsidRPr="00291333">
              <w:rPr>
                <w:lang w:val="sr-Latn-ME" w:eastAsia="sl-SI"/>
              </w:rPr>
              <w:t xml:space="preserve">/l (samo za 0102 i 0109) </w:t>
            </w:r>
          </w:p>
          <w:p w14:paraId="3B69706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RTC (</w:t>
            </w:r>
            <w:r w:rsidRPr="00291333">
              <w:rPr>
                <w:i/>
                <w:lang w:val="sr-Latn-ME" w:eastAsia="sl-SI"/>
              </w:rPr>
              <w:t>engl. return to chronic phase</w:t>
            </w:r>
            <w:r w:rsidRPr="00291333">
              <w:rPr>
                <w:lang w:val="sr-Latn-ME" w:eastAsia="sl-SI"/>
              </w:rPr>
              <w:t xml:space="preserve">) &lt; 15% blastocita BM i PB, &lt; 30% blastocita+promijelocita u BM i PB, &lt; 20% bazofila u PB, bez ekstramedularne bolesti osim u slezini i jetri (samo za 0102 i 0109). </w:t>
            </w:r>
          </w:p>
          <w:p w14:paraId="570A7ABB"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BM (</w:t>
            </w:r>
            <w:r w:rsidRPr="00291333">
              <w:rPr>
                <w:i/>
                <w:lang w:val="sr-Latn-ME" w:eastAsia="sl-SI"/>
              </w:rPr>
              <w:t>engl. bone marrow</w:t>
            </w:r>
            <w:r w:rsidRPr="00291333">
              <w:rPr>
                <w:lang w:val="sr-Latn-ME" w:eastAsia="sl-SI"/>
              </w:rPr>
              <w:t>) = koštana srž, PB (</w:t>
            </w:r>
            <w:r w:rsidRPr="00291333">
              <w:rPr>
                <w:i/>
                <w:lang w:val="sr-Latn-ME" w:eastAsia="sl-SI"/>
              </w:rPr>
              <w:t>engl. peripheral blood</w:t>
            </w:r>
            <w:r w:rsidRPr="00291333">
              <w:rPr>
                <w:lang w:val="sr-Latn-ME" w:eastAsia="sl-SI"/>
              </w:rPr>
              <w:t>) = periferna krv</w:t>
            </w:r>
          </w:p>
          <w:p w14:paraId="48134B2C" w14:textId="77777777" w:rsidR="008F7DDB" w:rsidRPr="00291333" w:rsidRDefault="008F7DDB" w:rsidP="0040712C">
            <w:pPr>
              <w:widowControl w:val="0"/>
              <w:autoSpaceDE w:val="0"/>
              <w:autoSpaceDN w:val="0"/>
              <w:adjustRightInd w:val="0"/>
              <w:spacing w:line="240" w:lineRule="auto"/>
              <w:ind w:right="-1"/>
              <w:rPr>
                <w:lang w:val="sr-Latn-ME" w:eastAsia="sl-SI"/>
              </w:rPr>
            </w:pPr>
          </w:p>
          <w:p w14:paraId="2737BEC3"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b/>
                <w:vertAlign w:val="superscript"/>
                <w:lang w:val="sr-Latn-ME" w:eastAsia="sl-SI"/>
              </w:rPr>
              <w:t>2</w:t>
            </w:r>
            <w:r w:rsidRPr="00291333">
              <w:rPr>
                <w:b/>
                <w:lang w:val="sr-Latn-ME" w:eastAsia="sl-SI"/>
              </w:rPr>
              <w:t>Kriterijumi citogenetskog odgovora</w:t>
            </w:r>
            <w:r w:rsidRPr="00291333">
              <w:rPr>
                <w:lang w:val="sr-Latn-ME" w:eastAsia="sl-SI"/>
              </w:rPr>
              <w:t xml:space="preserve">: Veliki odgovor obuhvata i kompletan i parcijalan odgovor: kompletan (0% Ph+ metafaze), parcijalan (1-35%) </w:t>
            </w:r>
          </w:p>
          <w:p w14:paraId="209E0846" w14:textId="77777777" w:rsidR="008F7DDB" w:rsidRPr="00291333" w:rsidRDefault="008F7DDB" w:rsidP="0040712C">
            <w:pPr>
              <w:widowControl w:val="0"/>
              <w:autoSpaceDE w:val="0"/>
              <w:autoSpaceDN w:val="0"/>
              <w:adjustRightInd w:val="0"/>
              <w:spacing w:line="240" w:lineRule="auto"/>
              <w:ind w:right="-1"/>
              <w:rPr>
                <w:lang w:val="sr-Latn-ME" w:eastAsia="sl-SI"/>
              </w:rPr>
            </w:pPr>
          </w:p>
          <w:p w14:paraId="69B01934"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vertAlign w:val="superscript"/>
                <w:lang w:val="sr-Latn-ME" w:eastAsia="sl-SI"/>
              </w:rPr>
              <w:t>3</w:t>
            </w:r>
            <w:r w:rsidRPr="00291333">
              <w:rPr>
                <w:lang w:val="sr-Latn-ME" w:eastAsia="sl-SI"/>
              </w:rPr>
              <w:t xml:space="preserve"> Kompletan citogenetski odgovor potvrđen drugom citogenetskom evaluacijom koštane srži koja je sprovedena bar jedan mjesec nakon početnog ispitivanja koštane srži.</w:t>
            </w:r>
          </w:p>
          <w:p w14:paraId="23C3CD70" w14:textId="77777777" w:rsidR="008F7DDB" w:rsidRPr="00291333" w:rsidRDefault="008F7DDB" w:rsidP="0040712C">
            <w:pPr>
              <w:widowControl w:val="0"/>
              <w:autoSpaceDE w:val="0"/>
              <w:autoSpaceDN w:val="0"/>
              <w:adjustRightInd w:val="0"/>
              <w:spacing w:line="240" w:lineRule="auto"/>
              <w:ind w:right="-1"/>
              <w:rPr>
                <w:lang w:val="sr-Latn-ME" w:eastAsia="sl-SI"/>
              </w:rPr>
            </w:pPr>
            <w:r w:rsidRPr="00291333">
              <w:rPr>
                <w:lang w:val="sr-Latn-ME" w:eastAsia="sl-SI"/>
              </w:rPr>
              <w:t xml:space="preserve"> </w:t>
            </w:r>
          </w:p>
        </w:tc>
      </w:tr>
    </w:tbl>
    <w:p w14:paraId="6E7C38F1" w14:textId="77777777" w:rsidR="008F7DDB" w:rsidRPr="00291333" w:rsidRDefault="008F7DDB" w:rsidP="008F7DDB">
      <w:pPr>
        <w:widowControl w:val="0"/>
        <w:spacing w:line="240" w:lineRule="auto"/>
        <w:ind w:right="-1"/>
        <w:rPr>
          <w:lang w:val="sr-Latn-ME"/>
        </w:rPr>
      </w:pPr>
    </w:p>
    <w:p w14:paraId="2EA15995"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Pedijatrijski pacijenti</w:t>
      </w:r>
      <w:r w:rsidRPr="00291333">
        <w:rPr>
          <w:lang w:val="sr-Latn-ME" w:eastAsia="sl-SI"/>
        </w:rPr>
        <w:t xml:space="preserve">: Ukupno 26 pedijatrijskih pacijenata uzrasta &lt; 18 godina sa ili hroničnom fazom CML (n=11) ili CML u blastnoj krizi ili Ph+ akutnim leukemijama (n=15) uključeno je u studiju faze I sa povećavanjem doza. To je bila populacija pacijenata, koja je ranije intenzivno liječena, pošto je 46% prethodno imalo transplantaciju koštane srži (BMT, engl. </w:t>
      </w:r>
      <w:r w:rsidRPr="00291333">
        <w:rPr>
          <w:i/>
          <w:lang w:val="sr-Latn-ME" w:eastAsia="sl-SI"/>
        </w:rPr>
        <w:t>bone marrow transplant</w:t>
      </w:r>
      <w:r w:rsidRPr="00291333">
        <w:rPr>
          <w:lang w:val="sr-Latn-ME" w:eastAsia="sl-SI"/>
        </w:rPr>
        <w:t>), a 73% je primilo hemioterapiju koja se sastojala od više ljekova. Pacijenti su liječeni dozama imatiniba od 260 mg/m</w:t>
      </w:r>
      <w:r w:rsidRPr="00291333">
        <w:rPr>
          <w:vertAlign w:val="superscript"/>
          <w:lang w:val="sr-Latn-ME" w:eastAsia="sl-SI"/>
        </w:rPr>
        <w:t>2</w:t>
      </w:r>
      <w:r w:rsidRPr="00291333">
        <w:rPr>
          <w:lang w:val="sr-Latn-ME" w:eastAsia="sl-SI"/>
        </w:rPr>
        <w:t xml:space="preserve"> /dan (n=5), 340 mg/m</w:t>
      </w:r>
      <w:r w:rsidRPr="00291333">
        <w:rPr>
          <w:vertAlign w:val="superscript"/>
          <w:lang w:val="sr-Latn-ME" w:eastAsia="sl-SI"/>
        </w:rPr>
        <w:t>2</w:t>
      </w:r>
      <w:r w:rsidRPr="00291333">
        <w:rPr>
          <w:lang w:val="sr-Latn-ME" w:eastAsia="sl-SI"/>
        </w:rPr>
        <w:t xml:space="preserve"> /dan (n=9), 440 mg/m</w:t>
      </w:r>
      <w:r w:rsidRPr="00291333">
        <w:rPr>
          <w:vertAlign w:val="superscript"/>
          <w:lang w:val="sr-Latn-ME" w:eastAsia="sl-SI"/>
        </w:rPr>
        <w:t>2</w:t>
      </w:r>
      <w:r w:rsidRPr="00291333">
        <w:rPr>
          <w:lang w:val="sr-Latn-ME" w:eastAsia="sl-SI"/>
        </w:rPr>
        <w:t xml:space="preserve"> /dan (n=7) i 570 mg/m</w:t>
      </w:r>
      <w:r w:rsidRPr="00291333">
        <w:rPr>
          <w:vertAlign w:val="superscript"/>
          <w:lang w:val="sr-Latn-ME" w:eastAsia="sl-SI"/>
        </w:rPr>
        <w:t>2</w:t>
      </w:r>
      <w:r w:rsidRPr="00291333">
        <w:rPr>
          <w:lang w:val="sr-Latn-ME" w:eastAsia="sl-SI"/>
        </w:rPr>
        <w:t xml:space="preserve"> /dan (n=5). Od 9 pacijenata sa hroničnom fazom CML i dostupnim citogenetskim podacima, 4 (44%) je postiglo kompletan, a 3 (33%) parcijalan citogenetski odgovor, sa stopom velikog citogenetskog odgovora (MCyR) od 77%.</w:t>
      </w:r>
    </w:p>
    <w:p w14:paraId="7EF66F7C"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4F1FD76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Ukupno 51 pedijatrijski pacijent sa novodijagnostikovanom i neliječenom CML-om u hroničnoj fazi je uključen u otvoreno, multicentrično, ispitivanje u fazi II, jedne grupe pacijenata. Pacijenti su liječeni imatinibom u dozi od 340 mg/m</w:t>
      </w:r>
      <w:r w:rsidRPr="00291333">
        <w:rPr>
          <w:vertAlign w:val="superscript"/>
          <w:lang w:val="sr-Latn-ME" w:eastAsia="sl-SI"/>
        </w:rPr>
        <w:t>2</w:t>
      </w:r>
      <w:r w:rsidRPr="00291333">
        <w:rPr>
          <w:lang w:val="sr-Latn-ME" w:eastAsia="sl-SI"/>
        </w:rPr>
        <w:t xml:space="preserve"> /dan, bez prekidanja u odsustvu toksičnosti koja bi ograničavala dozu. Terapija imatinibom je dovela do brzog odgovora kod pedijatrijskih pacijenata sa novodijagnostikovanom CML sa kompletnim hematološkim odgovorom (CHR) od 78% nakon 8 nedjelja terapije. Visok stepen CHR je praćen razvojem kompletnog citogenetskog odgovora (CCyR) od 65% što je uporedivo sa rezultatima dobijenim kod odraslih pacijenta. Dodatno, parcijalan citogenetski odgovor (PCyR) je uočen kod 16% pacijenata, a veliki citogenetski odgovor (MCyR) kod 81% pacijenata. Kod većine pacijenata koji su postigli kompletan citogenetski odgovor, CCyR se razvio između 3. i 10. mjeseca liječenja sa medijanom vremena do odgovora od 5,6 mjeseci, što je zasnovano na Kaplan-Meier-ovoj procjeni.</w:t>
      </w:r>
    </w:p>
    <w:p w14:paraId="1396EE2C"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203BD578" w14:textId="77777777" w:rsidR="008F7DDB" w:rsidRPr="00291333" w:rsidRDefault="008F7DDB" w:rsidP="008F7DDB">
      <w:pPr>
        <w:widowControl w:val="0"/>
        <w:autoSpaceDE w:val="0"/>
        <w:autoSpaceDN w:val="0"/>
        <w:adjustRightInd w:val="0"/>
        <w:spacing w:line="240" w:lineRule="auto"/>
        <w:ind w:right="-1"/>
        <w:jc w:val="both"/>
        <w:rPr>
          <w:i/>
          <w:iCs/>
          <w:lang w:val="sr-Latn-ME" w:eastAsia="sl-SI"/>
        </w:rPr>
      </w:pPr>
      <w:r w:rsidRPr="00291333">
        <w:rPr>
          <w:lang w:val="sr-Latn-ME" w:eastAsia="sl-SI"/>
        </w:rPr>
        <w:t xml:space="preserve">Evropska agencija za ljekove je izuzela od obaveze podnošenja rezultata ispitivanja sa imatinibom u </w:t>
      </w:r>
      <w:r w:rsidRPr="00291333">
        <w:rPr>
          <w:lang w:val="sr-Latn-ME" w:eastAsia="sl-SI"/>
        </w:rPr>
        <w:lastRenderedPageBreak/>
        <w:t>svim podgrupama pedijatrijskih pacijenata sa Filadelfija hromozom (bcr-abl translokacija) – pozitivnom hroničnom mijeloidnom leukemijom (vidjeti odjeljak 4.2 za informacije o upotrebi u pedijatrijskoj populaciji).</w:t>
      </w:r>
    </w:p>
    <w:p w14:paraId="32791B03" w14:textId="77777777" w:rsidR="008F7DDB" w:rsidRPr="00291333" w:rsidRDefault="008F7DDB" w:rsidP="008F7DDB">
      <w:pPr>
        <w:widowControl w:val="0"/>
        <w:autoSpaceDE w:val="0"/>
        <w:autoSpaceDN w:val="0"/>
        <w:adjustRightInd w:val="0"/>
        <w:spacing w:line="240" w:lineRule="auto"/>
        <w:ind w:right="-1"/>
        <w:rPr>
          <w:lang w:val="sr-Latn-ME" w:eastAsia="sl-SI"/>
        </w:rPr>
      </w:pPr>
    </w:p>
    <w:p w14:paraId="6B0E0154" w14:textId="77777777" w:rsidR="008F7DDB" w:rsidRPr="00291333" w:rsidRDefault="008F7DDB" w:rsidP="008F7DDB">
      <w:pPr>
        <w:widowControl w:val="0"/>
        <w:autoSpaceDE w:val="0"/>
        <w:autoSpaceDN w:val="0"/>
        <w:adjustRightInd w:val="0"/>
        <w:spacing w:line="240" w:lineRule="auto"/>
        <w:ind w:right="-1"/>
        <w:jc w:val="both"/>
        <w:rPr>
          <w:u w:val="single"/>
          <w:lang w:val="sr-Latn-ME" w:eastAsia="sl-SI"/>
        </w:rPr>
      </w:pPr>
      <w:r w:rsidRPr="00291333">
        <w:rPr>
          <w:u w:val="single"/>
          <w:lang w:val="sr-Latn-ME" w:eastAsia="sl-SI"/>
        </w:rPr>
        <w:t>Kliničke studije kod pacijenata sa Ph+ ALL</w:t>
      </w:r>
    </w:p>
    <w:p w14:paraId="1355D90C"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i/>
          <w:lang w:val="sr-Latn-ME" w:eastAsia="sl-SI"/>
        </w:rPr>
        <w:t>Novodijagnostikovana Ph+ ALL:</w:t>
      </w:r>
      <w:r w:rsidRPr="00291333">
        <w:rPr>
          <w:lang w:val="sr-Latn-ME" w:eastAsia="sl-SI"/>
        </w:rPr>
        <w:t xml:space="preserve"> u kontrolisanom ispitivanju (ADE10) primjene imatiniba u odnosu na indukciju hemioterapije kod 55 novodijagnostikovanih pacijenata, starosti 55 godina i više, imatinib primijenjen kao pojedinačni lijek indukovao je značajno veći udio kompletnog hematološkog odgovora nego hemioterapija (96,3% u odnosu na 50%; p=0,0001). Kada je data spasonosna terapija imatinibom pacijentima koji nisu reagovali ili su loše reagovali na hemioterapiju, to je rezultovalo tako da je 9 pacijenata (81,8%) od 11 postiglo kompletan hematološki odgovor. Ovaj klinički efekat bio je udružen sa većom redukcijom bcr-abl transkripta kod pacijenata liječenih imatinibom nego kod grupe na hemioterapiji nakon 2 nedjelje liječenja (p=0,02). Svi pacijenti su primili imatinib i konsolidacijsku hemioterapiju (vidjeti Tabelu 4) nakon indukcije, a nivoi bcr-abl transkripta bili su identični kod obje grupe nakon 8 nedjelja. Kao što je očekivano na osnovu dizajna ispitivanja, nisu uočene razlike u trajanju remisije, preživljavanju bez bolesti i ukupnom preživljavanju, mada su pacijenti sa kompletnim molekularnim odgovorom i minimalnom rezidualnom bolešću imali bolji ishod u smislu trajanja remisije (p=0,01) i preživljavanja bez bolesti (p=0,02).</w:t>
      </w:r>
    </w:p>
    <w:p w14:paraId="5F7459A1"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0D9F5F24"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 xml:space="preserve">Rezultati uočeni kod populacije od 211 novodijagnostikovanih pacijenata sa Ph+ ALL u 4 nekontrolisane kliničke studije (AAU02, ADE04, AJP01 i AUS01) su konzistentni sa rezultatima prethodno opisanim. Imatinib u kombinaciji sa indukcijom hemioterapije (vidjeti Tabelu 4) dovodio je do stope kompletnog hematološkog odgovora od 93% (147 od 158 procijenjivih pacijenata) i stope velikog citogenetskog odgovora sa udjelom od 90% (19 od 21 procjenjivog pacijenta). Kompletan molekulski odgovor bio je sa udjelom 48% (49 od 102 procenjiva pacijenta). Preživljavanje bez bolesti (engl. </w:t>
      </w:r>
      <w:r w:rsidRPr="00291333">
        <w:rPr>
          <w:i/>
          <w:lang w:val="sr-Latn-ME" w:eastAsia="sl-SI"/>
        </w:rPr>
        <w:t>disease-free survival,</w:t>
      </w:r>
      <w:r w:rsidRPr="00291333">
        <w:rPr>
          <w:lang w:val="sr-Latn-ME" w:eastAsia="sl-SI"/>
        </w:rPr>
        <w:t xml:space="preserve"> DFS) i ukupno preživljavanje (engl. </w:t>
      </w:r>
      <w:r w:rsidRPr="00291333">
        <w:rPr>
          <w:i/>
          <w:lang w:val="sr-Latn-ME" w:eastAsia="sl-SI"/>
        </w:rPr>
        <w:t>overall survival</w:t>
      </w:r>
      <w:r w:rsidRPr="00291333">
        <w:rPr>
          <w:lang w:val="sr-Latn-ME" w:eastAsia="sl-SI"/>
        </w:rPr>
        <w:t>, OS) konstantno su prelazili 1 godinu i bili superiorniji u odnosu na istorijsku kontrolu (DFS p&lt;0,001; OS p&lt;0,0001) u dva klinička ispitivanja (AJP01 i AUS01).</w:t>
      </w:r>
    </w:p>
    <w:p w14:paraId="36119FE7" w14:textId="77777777" w:rsidR="008F7DDB" w:rsidRPr="00291333" w:rsidRDefault="008F7DDB" w:rsidP="008F7DDB">
      <w:pPr>
        <w:widowControl w:val="0"/>
        <w:spacing w:line="240" w:lineRule="auto"/>
        <w:ind w:right="-1"/>
        <w:rPr>
          <w:lang w:val="sr-Latn-ME"/>
        </w:rPr>
      </w:pPr>
    </w:p>
    <w:p w14:paraId="5D3020C1" w14:textId="77777777" w:rsidR="008F7DDB" w:rsidRPr="00291333" w:rsidRDefault="008F7DDB" w:rsidP="008F7DDB">
      <w:pPr>
        <w:widowControl w:val="0"/>
        <w:spacing w:line="240" w:lineRule="auto"/>
        <w:ind w:right="-1"/>
        <w:rPr>
          <w:b/>
          <w:lang w:val="sr-Latn-ME" w:eastAsia="sl-SI"/>
        </w:rPr>
      </w:pPr>
      <w:r w:rsidRPr="00291333">
        <w:rPr>
          <w:b/>
          <w:lang w:val="sr-Latn-ME" w:eastAsia="sl-SI"/>
        </w:rPr>
        <w:t>Tabela 4. Režim hemioterapije primijenjen u kombinaciji sa imatinibom</w:t>
      </w:r>
    </w:p>
    <w:p w14:paraId="1A658307" w14:textId="77777777" w:rsidR="008F7DDB" w:rsidRPr="00291333" w:rsidRDefault="008F7DDB" w:rsidP="008F7DDB">
      <w:pPr>
        <w:widowControl w:val="0"/>
        <w:spacing w:line="240" w:lineRule="auto"/>
        <w:ind w:right="-1"/>
        <w:rPr>
          <w:b/>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890"/>
      </w:tblGrid>
      <w:tr w:rsidR="008F7DDB" w:rsidRPr="00291333" w14:paraId="0994680B"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43606122" w14:textId="77777777" w:rsidR="008F7DDB" w:rsidRPr="00291333" w:rsidRDefault="008F7DDB" w:rsidP="0040712C">
            <w:pPr>
              <w:widowControl w:val="0"/>
              <w:spacing w:line="240" w:lineRule="auto"/>
              <w:ind w:right="-1"/>
              <w:rPr>
                <w:lang w:val="sr-Latn-ME" w:eastAsia="sl-SI"/>
              </w:rPr>
            </w:pPr>
            <w:r w:rsidRPr="00291333">
              <w:rPr>
                <w:b/>
                <w:bCs/>
                <w:lang w:val="sr-Latn-ME" w:eastAsia="sl-SI"/>
              </w:rPr>
              <w:t>Studija ADE10</w:t>
            </w:r>
          </w:p>
        </w:tc>
        <w:tc>
          <w:tcPr>
            <w:tcW w:w="3250" w:type="pct"/>
            <w:tcBorders>
              <w:top w:val="single" w:sz="4" w:space="0" w:color="auto"/>
              <w:left w:val="single" w:sz="4" w:space="0" w:color="auto"/>
              <w:bottom w:val="single" w:sz="4" w:space="0" w:color="auto"/>
              <w:right w:val="single" w:sz="4" w:space="0" w:color="auto"/>
            </w:tcBorders>
            <w:hideMark/>
          </w:tcPr>
          <w:p w14:paraId="637B3B07" w14:textId="77777777" w:rsidR="008F7DDB" w:rsidRPr="00291333" w:rsidRDefault="008F7DDB" w:rsidP="0040712C">
            <w:pPr>
              <w:widowControl w:val="0"/>
              <w:spacing w:line="240" w:lineRule="auto"/>
              <w:ind w:right="-1"/>
              <w:rPr>
                <w:lang w:val="sr-Latn-ME" w:eastAsia="sl-SI"/>
              </w:rPr>
            </w:pPr>
            <w:r w:rsidRPr="00291333">
              <w:rPr>
                <w:lang w:val="sr-Latn-ME" w:eastAsia="sl-SI"/>
              </w:rPr>
              <w:t> </w:t>
            </w:r>
          </w:p>
        </w:tc>
      </w:tr>
      <w:tr w:rsidR="008F7DDB" w:rsidRPr="00291333" w14:paraId="00760C70"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1D682213" w14:textId="77777777" w:rsidR="008F7DDB" w:rsidRPr="00291333" w:rsidRDefault="008F7DDB" w:rsidP="0040712C">
            <w:pPr>
              <w:widowControl w:val="0"/>
              <w:spacing w:line="240" w:lineRule="auto"/>
              <w:ind w:right="-1"/>
              <w:rPr>
                <w:lang w:val="sr-Latn-ME" w:eastAsia="sl-SI"/>
              </w:rPr>
            </w:pPr>
            <w:r w:rsidRPr="00291333">
              <w:rPr>
                <w:lang w:val="sr-Latn-ME" w:eastAsia="sl-SI"/>
              </w:rPr>
              <w:t>Prethodna faza</w:t>
            </w:r>
          </w:p>
        </w:tc>
        <w:tc>
          <w:tcPr>
            <w:tcW w:w="3250" w:type="pct"/>
            <w:tcBorders>
              <w:top w:val="single" w:sz="4" w:space="0" w:color="auto"/>
              <w:left w:val="single" w:sz="4" w:space="0" w:color="auto"/>
              <w:bottom w:val="single" w:sz="4" w:space="0" w:color="auto"/>
              <w:right w:val="single" w:sz="4" w:space="0" w:color="auto"/>
            </w:tcBorders>
            <w:hideMark/>
          </w:tcPr>
          <w:p w14:paraId="3EEFEF98" w14:textId="77777777" w:rsidR="008F7DDB" w:rsidRPr="00291333" w:rsidRDefault="008F7DDB" w:rsidP="0040712C">
            <w:pPr>
              <w:widowControl w:val="0"/>
              <w:spacing w:line="240" w:lineRule="auto"/>
              <w:ind w:right="-1"/>
              <w:rPr>
                <w:lang w:val="sr-Latn-ME" w:eastAsia="sl-SI"/>
              </w:rPr>
            </w:pPr>
            <w:r w:rsidRPr="00291333">
              <w:rPr>
                <w:lang w:val="sr-Latn-ME" w:eastAsia="sl-SI"/>
              </w:rPr>
              <w:t>DEX 10 mg/m</w:t>
            </w:r>
            <w:r w:rsidRPr="00291333">
              <w:rPr>
                <w:vertAlign w:val="superscript"/>
                <w:lang w:val="sr-Latn-ME" w:eastAsia="sl-SI"/>
              </w:rPr>
              <w:t>2</w:t>
            </w:r>
            <w:r w:rsidRPr="00291333">
              <w:rPr>
                <w:lang w:val="sr-Latn-ME" w:eastAsia="sl-SI"/>
              </w:rPr>
              <w:t xml:space="preserve"> oralno, dani 1-5; </w:t>
            </w:r>
          </w:p>
          <w:p w14:paraId="15C77902" w14:textId="77777777" w:rsidR="008F7DDB" w:rsidRPr="00291333" w:rsidRDefault="008F7DDB" w:rsidP="0040712C">
            <w:pPr>
              <w:widowControl w:val="0"/>
              <w:spacing w:line="240" w:lineRule="auto"/>
              <w:ind w:right="-1"/>
              <w:rPr>
                <w:lang w:val="sr-Latn-ME" w:eastAsia="sl-SI"/>
              </w:rPr>
            </w:pPr>
            <w:r w:rsidRPr="00291333">
              <w:rPr>
                <w:lang w:val="sr-Latn-ME" w:eastAsia="sl-SI"/>
              </w:rPr>
              <w:t>CP 200 mg/m</w:t>
            </w:r>
            <w:r w:rsidRPr="00291333">
              <w:rPr>
                <w:vertAlign w:val="superscript"/>
                <w:lang w:val="sr-Latn-ME" w:eastAsia="sl-SI"/>
              </w:rPr>
              <w:t>2</w:t>
            </w:r>
            <w:r w:rsidRPr="00291333">
              <w:rPr>
                <w:lang w:val="sr-Latn-ME" w:eastAsia="sl-SI"/>
              </w:rPr>
              <w:t xml:space="preserve"> i.v., dani 3, 4, 5; </w:t>
            </w:r>
          </w:p>
          <w:p w14:paraId="2079EC96"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MTX 12 mg intratekalno, dan 1 </w:t>
            </w:r>
          </w:p>
        </w:tc>
      </w:tr>
      <w:tr w:rsidR="008F7DDB" w:rsidRPr="0040712C" w14:paraId="511B56D5"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4BC7E546"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Indukcija remisije </w:t>
            </w:r>
          </w:p>
        </w:tc>
        <w:tc>
          <w:tcPr>
            <w:tcW w:w="3250" w:type="pct"/>
            <w:tcBorders>
              <w:top w:val="single" w:sz="4" w:space="0" w:color="auto"/>
              <w:left w:val="single" w:sz="4" w:space="0" w:color="auto"/>
              <w:bottom w:val="single" w:sz="4" w:space="0" w:color="auto"/>
              <w:right w:val="single" w:sz="4" w:space="0" w:color="auto"/>
            </w:tcBorders>
            <w:hideMark/>
          </w:tcPr>
          <w:p w14:paraId="4EB39E4C" w14:textId="77777777" w:rsidR="008F7DDB" w:rsidRPr="00291333" w:rsidRDefault="008F7DDB" w:rsidP="0040712C">
            <w:pPr>
              <w:widowControl w:val="0"/>
              <w:spacing w:line="240" w:lineRule="auto"/>
              <w:ind w:right="-1"/>
              <w:rPr>
                <w:lang w:val="sr-Latn-ME" w:eastAsia="sl-SI"/>
              </w:rPr>
            </w:pPr>
            <w:r w:rsidRPr="00291333">
              <w:rPr>
                <w:lang w:val="sr-Latn-ME" w:eastAsia="sl-SI"/>
              </w:rPr>
              <w:t>DEX 10 mg/m</w:t>
            </w:r>
            <w:r w:rsidRPr="00291333">
              <w:rPr>
                <w:vertAlign w:val="superscript"/>
                <w:lang w:val="sr-Latn-ME" w:eastAsia="sl-SI"/>
              </w:rPr>
              <w:t>2</w:t>
            </w:r>
            <w:r w:rsidRPr="00291333">
              <w:rPr>
                <w:lang w:val="sr-Latn-ME" w:eastAsia="sl-SI"/>
              </w:rPr>
              <w:t xml:space="preserve"> oralno, dani 6-7, 13-16; </w:t>
            </w:r>
          </w:p>
          <w:p w14:paraId="5BCCB62E"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VCR 1 mg i.v., dani 7, 14; </w:t>
            </w:r>
          </w:p>
          <w:p w14:paraId="5775E41E" w14:textId="77777777" w:rsidR="008F7DDB" w:rsidRPr="00291333" w:rsidRDefault="008F7DDB" w:rsidP="0040712C">
            <w:pPr>
              <w:widowControl w:val="0"/>
              <w:spacing w:line="240" w:lineRule="auto"/>
              <w:ind w:right="-1"/>
              <w:rPr>
                <w:lang w:val="sr-Latn-ME" w:eastAsia="sl-SI"/>
              </w:rPr>
            </w:pPr>
            <w:r w:rsidRPr="00291333">
              <w:rPr>
                <w:lang w:val="sr-Latn-ME" w:eastAsia="sl-SI"/>
              </w:rPr>
              <w:t>IDA 8 mg/m</w:t>
            </w:r>
            <w:r w:rsidRPr="00291333">
              <w:rPr>
                <w:vertAlign w:val="superscript"/>
                <w:lang w:val="sr-Latn-ME" w:eastAsia="sl-SI"/>
              </w:rPr>
              <w:t>2</w:t>
            </w:r>
            <w:r w:rsidRPr="00291333">
              <w:rPr>
                <w:lang w:val="sr-Latn-ME" w:eastAsia="sl-SI"/>
              </w:rPr>
              <w:t xml:space="preserve"> i.v. (0,5 h), dani 7, 8, 14, 15; </w:t>
            </w:r>
          </w:p>
          <w:p w14:paraId="60BD31D5" w14:textId="77777777" w:rsidR="008F7DDB" w:rsidRPr="00291333" w:rsidRDefault="008F7DDB" w:rsidP="0040712C">
            <w:pPr>
              <w:widowControl w:val="0"/>
              <w:spacing w:line="240" w:lineRule="auto"/>
              <w:ind w:right="-1"/>
              <w:rPr>
                <w:lang w:val="sr-Latn-ME" w:eastAsia="sl-SI"/>
              </w:rPr>
            </w:pPr>
            <w:r w:rsidRPr="00291333">
              <w:rPr>
                <w:lang w:val="sr-Latn-ME" w:eastAsia="sl-SI"/>
              </w:rPr>
              <w:t>CP 500 mg/m</w:t>
            </w:r>
            <w:r w:rsidRPr="00291333">
              <w:rPr>
                <w:vertAlign w:val="superscript"/>
                <w:lang w:val="sr-Latn-ME" w:eastAsia="sl-SI"/>
              </w:rPr>
              <w:t>2</w:t>
            </w:r>
            <w:r w:rsidRPr="00291333">
              <w:rPr>
                <w:lang w:val="sr-Latn-ME" w:eastAsia="sl-SI"/>
              </w:rPr>
              <w:t xml:space="preserve"> i.v.(1 h) dan 1; </w:t>
            </w:r>
          </w:p>
          <w:p w14:paraId="552D9789" w14:textId="77777777" w:rsidR="008F7DDB" w:rsidRPr="00291333" w:rsidRDefault="008F7DDB" w:rsidP="0040712C">
            <w:pPr>
              <w:widowControl w:val="0"/>
              <w:spacing w:line="240" w:lineRule="auto"/>
              <w:ind w:right="-1"/>
              <w:rPr>
                <w:lang w:val="sr-Latn-ME" w:eastAsia="sl-SI"/>
              </w:rPr>
            </w:pPr>
            <w:r w:rsidRPr="00291333">
              <w:rPr>
                <w:lang w:val="sr-Latn-ME" w:eastAsia="sl-SI"/>
              </w:rPr>
              <w:t>Ara-C 60 mg/m</w:t>
            </w:r>
            <w:r w:rsidRPr="00291333">
              <w:rPr>
                <w:vertAlign w:val="superscript"/>
                <w:lang w:val="sr-Latn-ME" w:eastAsia="sl-SI"/>
              </w:rPr>
              <w:t>2</w:t>
            </w:r>
            <w:r w:rsidRPr="00291333">
              <w:rPr>
                <w:lang w:val="sr-Latn-ME" w:eastAsia="sl-SI"/>
              </w:rPr>
              <w:t xml:space="preserve"> i.v., dani 22-25, 29-32 </w:t>
            </w:r>
          </w:p>
        </w:tc>
      </w:tr>
      <w:tr w:rsidR="008F7DDB" w:rsidRPr="00291333" w14:paraId="5E5A0134"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20DF1115" w14:textId="77777777" w:rsidR="008F7DDB" w:rsidRPr="00291333" w:rsidRDefault="008F7DDB" w:rsidP="0040712C">
            <w:pPr>
              <w:widowControl w:val="0"/>
              <w:spacing w:line="240" w:lineRule="auto"/>
              <w:ind w:right="-1"/>
              <w:rPr>
                <w:lang w:val="sr-Latn-ME" w:eastAsia="sl-SI"/>
              </w:rPr>
            </w:pPr>
            <w:r w:rsidRPr="00291333">
              <w:rPr>
                <w:lang w:val="sr-Latn-ME" w:eastAsia="sl-SI"/>
              </w:rPr>
              <w:t>Terapija konsolidacije I, III, V</w:t>
            </w:r>
          </w:p>
        </w:tc>
        <w:tc>
          <w:tcPr>
            <w:tcW w:w="3250" w:type="pct"/>
            <w:tcBorders>
              <w:top w:val="single" w:sz="4" w:space="0" w:color="auto"/>
              <w:left w:val="single" w:sz="4" w:space="0" w:color="auto"/>
              <w:bottom w:val="single" w:sz="4" w:space="0" w:color="auto"/>
              <w:right w:val="single" w:sz="4" w:space="0" w:color="auto"/>
            </w:tcBorders>
            <w:hideMark/>
          </w:tcPr>
          <w:p w14:paraId="289F1518" w14:textId="77777777" w:rsidR="008F7DDB" w:rsidRPr="00291333" w:rsidRDefault="008F7DDB" w:rsidP="0040712C">
            <w:pPr>
              <w:widowControl w:val="0"/>
              <w:spacing w:line="240" w:lineRule="auto"/>
              <w:ind w:right="-1"/>
              <w:rPr>
                <w:lang w:val="sr-Latn-ME" w:eastAsia="sl-SI"/>
              </w:rPr>
            </w:pPr>
            <w:r w:rsidRPr="00291333">
              <w:rPr>
                <w:lang w:val="sr-Latn-ME" w:eastAsia="sl-SI"/>
              </w:rPr>
              <w:t>MTX 500 mg/m</w:t>
            </w:r>
            <w:r w:rsidRPr="00291333">
              <w:rPr>
                <w:vertAlign w:val="superscript"/>
                <w:lang w:val="sr-Latn-ME" w:eastAsia="sl-SI"/>
              </w:rPr>
              <w:t>2</w:t>
            </w:r>
            <w:r w:rsidRPr="00291333">
              <w:rPr>
                <w:lang w:val="sr-Latn-ME" w:eastAsia="sl-SI"/>
              </w:rPr>
              <w:t xml:space="preserve"> i.v. (24 h), dani 1, 15; </w:t>
            </w:r>
          </w:p>
          <w:p w14:paraId="79F8F19D" w14:textId="77777777" w:rsidR="008F7DDB" w:rsidRPr="00291333" w:rsidRDefault="008F7DDB" w:rsidP="0040712C">
            <w:pPr>
              <w:widowControl w:val="0"/>
              <w:spacing w:line="240" w:lineRule="auto"/>
              <w:ind w:right="-1"/>
              <w:rPr>
                <w:lang w:val="sr-Latn-ME" w:eastAsia="sl-SI"/>
              </w:rPr>
            </w:pPr>
            <w:r w:rsidRPr="00291333">
              <w:rPr>
                <w:lang w:val="sr-Latn-ME" w:eastAsia="sl-SI"/>
              </w:rPr>
              <w:t>6-MP 25 mg/m</w:t>
            </w:r>
            <w:r w:rsidRPr="00291333">
              <w:rPr>
                <w:vertAlign w:val="superscript"/>
                <w:lang w:val="sr-Latn-ME" w:eastAsia="sl-SI"/>
              </w:rPr>
              <w:t>2</w:t>
            </w:r>
            <w:r w:rsidRPr="00291333">
              <w:rPr>
                <w:lang w:val="sr-Latn-ME" w:eastAsia="sl-SI"/>
              </w:rPr>
              <w:t xml:space="preserve"> oralno, dani 1-20 </w:t>
            </w:r>
          </w:p>
        </w:tc>
      </w:tr>
      <w:tr w:rsidR="008F7DDB" w:rsidRPr="0040712C" w14:paraId="33D9FFFA"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3DED1AC2" w14:textId="77777777" w:rsidR="008F7DDB" w:rsidRPr="00291333" w:rsidRDefault="008F7DDB" w:rsidP="0040712C">
            <w:pPr>
              <w:widowControl w:val="0"/>
              <w:spacing w:line="240" w:lineRule="auto"/>
              <w:ind w:right="-1"/>
              <w:rPr>
                <w:lang w:val="sr-Latn-ME" w:eastAsia="sl-SI"/>
              </w:rPr>
            </w:pPr>
            <w:r w:rsidRPr="00291333">
              <w:rPr>
                <w:lang w:val="sr-Latn-ME" w:eastAsia="sl-SI"/>
              </w:rPr>
              <w:t>Terapija konsolidacije II, IV</w:t>
            </w:r>
          </w:p>
        </w:tc>
        <w:tc>
          <w:tcPr>
            <w:tcW w:w="3250" w:type="pct"/>
            <w:tcBorders>
              <w:top w:val="single" w:sz="4" w:space="0" w:color="auto"/>
              <w:left w:val="single" w:sz="4" w:space="0" w:color="auto"/>
              <w:bottom w:val="single" w:sz="4" w:space="0" w:color="auto"/>
              <w:right w:val="single" w:sz="4" w:space="0" w:color="auto"/>
            </w:tcBorders>
            <w:hideMark/>
          </w:tcPr>
          <w:p w14:paraId="4C284969" w14:textId="77777777" w:rsidR="008F7DDB" w:rsidRPr="00291333" w:rsidRDefault="008F7DDB" w:rsidP="0040712C">
            <w:pPr>
              <w:widowControl w:val="0"/>
              <w:spacing w:line="240" w:lineRule="auto"/>
              <w:ind w:right="-1"/>
              <w:rPr>
                <w:lang w:val="sr-Latn-ME" w:eastAsia="sl-SI"/>
              </w:rPr>
            </w:pPr>
            <w:r w:rsidRPr="00291333">
              <w:rPr>
                <w:lang w:val="sr-Latn-ME" w:eastAsia="sl-SI"/>
              </w:rPr>
              <w:t>Ara-C 75 mg/m</w:t>
            </w:r>
            <w:r w:rsidRPr="00291333">
              <w:rPr>
                <w:vertAlign w:val="superscript"/>
                <w:lang w:val="sr-Latn-ME" w:eastAsia="sl-SI"/>
              </w:rPr>
              <w:t>2</w:t>
            </w:r>
            <w:r w:rsidRPr="00291333">
              <w:rPr>
                <w:lang w:val="sr-Latn-ME" w:eastAsia="sl-SI"/>
              </w:rPr>
              <w:t xml:space="preserve"> i.v. (1 h), dani 1-5; </w:t>
            </w:r>
          </w:p>
          <w:p w14:paraId="40951F2E" w14:textId="77777777" w:rsidR="008F7DDB" w:rsidRPr="00291333" w:rsidRDefault="008F7DDB" w:rsidP="0040712C">
            <w:pPr>
              <w:widowControl w:val="0"/>
              <w:spacing w:line="240" w:lineRule="auto"/>
              <w:ind w:right="-1"/>
              <w:rPr>
                <w:lang w:val="sr-Latn-ME" w:eastAsia="sl-SI"/>
              </w:rPr>
            </w:pPr>
            <w:r w:rsidRPr="00291333">
              <w:rPr>
                <w:lang w:val="sr-Latn-ME" w:eastAsia="sl-SI"/>
              </w:rPr>
              <w:t>VM26 60 mg/m</w:t>
            </w:r>
            <w:r w:rsidRPr="00291333">
              <w:rPr>
                <w:vertAlign w:val="superscript"/>
                <w:lang w:val="sr-Latn-ME" w:eastAsia="sl-SI"/>
              </w:rPr>
              <w:t>2</w:t>
            </w:r>
            <w:r w:rsidRPr="00291333">
              <w:rPr>
                <w:lang w:val="sr-Latn-ME" w:eastAsia="sl-SI"/>
              </w:rPr>
              <w:t xml:space="preserve"> i.v. (1 h), dani 1-5 </w:t>
            </w:r>
          </w:p>
        </w:tc>
      </w:tr>
      <w:tr w:rsidR="008F7DDB" w:rsidRPr="00291333" w14:paraId="5C912DE0"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4D3DF29C" w14:textId="77777777" w:rsidR="008F7DDB" w:rsidRPr="00291333" w:rsidRDefault="008F7DDB" w:rsidP="0040712C">
            <w:pPr>
              <w:widowControl w:val="0"/>
              <w:spacing w:line="240" w:lineRule="auto"/>
              <w:ind w:right="-1"/>
              <w:rPr>
                <w:lang w:val="sr-Latn-ME" w:eastAsia="sl-SI"/>
              </w:rPr>
            </w:pPr>
            <w:r w:rsidRPr="00291333">
              <w:rPr>
                <w:b/>
                <w:bCs/>
                <w:lang w:val="sr-Latn-ME" w:eastAsia="sl-SI"/>
              </w:rPr>
              <w:t>Studija AAU02</w:t>
            </w:r>
          </w:p>
        </w:tc>
      </w:tr>
      <w:tr w:rsidR="008F7DDB" w:rsidRPr="00291333" w14:paraId="174EEAB5"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4899D719" w14:textId="77777777" w:rsidR="008F7DDB" w:rsidRPr="00291333" w:rsidRDefault="008F7DDB" w:rsidP="0040712C">
            <w:pPr>
              <w:widowControl w:val="0"/>
              <w:spacing w:line="240" w:lineRule="auto"/>
              <w:ind w:right="-1"/>
              <w:rPr>
                <w:lang w:val="sr-Latn-ME" w:eastAsia="sl-SI"/>
              </w:rPr>
            </w:pPr>
            <w:r w:rsidRPr="00291333">
              <w:rPr>
                <w:lang w:val="sr-Latn-ME" w:eastAsia="sl-SI"/>
              </w:rPr>
              <w:t>Indukcijska terapija (</w:t>
            </w:r>
            <w:r w:rsidRPr="00291333">
              <w:rPr>
                <w:i/>
                <w:iCs/>
                <w:lang w:val="sr-Latn-ME" w:eastAsia="sl-SI"/>
              </w:rPr>
              <w:t>de novo</w:t>
            </w:r>
            <w:r w:rsidRPr="00291333">
              <w:rPr>
                <w:lang w:val="sr-Latn-ME" w:eastAsia="sl-SI"/>
              </w:rPr>
              <w:t xml:space="preserve"> Ph+ ALL) </w:t>
            </w:r>
          </w:p>
        </w:tc>
        <w:tc>
          <w:tcPr>
            <w:tcW w:w="3250" w:type="pct"/>
            <w:tcBorders>
              <w:top w:val="single" w:sz="4" w:space="0" w:color="auto"/>
              <w:left w:val="single" w:sz="4" w:space="0" w:color="auto"/>
              <w:bottom w:val="single" w:sz="4" w:space="0" w:color="auto"/>
              <w:right w:val="single" w:sz="4" w:space="0" w:color="auto"/>
            </w:tcBorders>
            <w:hideMark/>
          </w:tcPr>
          <w:p w14:paraId="50DDA310" w14:textId="77777777" w:rsidR="008F7DDB" w:rsidRPr="00291333" w:rsidRDefault="008F7DDB" w:rsidP="0040712C">
            <w:pPr>
              <w:widowControl w:val="0"/>
              <w:spacing w:line="240" w:lineRule="auto"/>
              <w:ind w:right="-1"/>
              <w:rPr>
                <w:lang w:val="sr-Latn-ME" w:eastAsia="sl-SI"/>
              </w:rPr>
            </w:pPr>
            <w:r w:rsidRPr="00291333">
              <w:rPr>
                <w:lang w:val="sr-Latn-ME" w:eastAsia="sl-SI"/>
              </w:rPr>
              <w:t>Daunorubicin 30 mg/m</w:t>
            </w:r>
            <w:r w:rsidRPr="00291333">
              <w:rPr>
                <w:vertAlign w:val="superscript"/>
                <w:lang w:val="sr-Latn-ME" w:eastAsia="sl-SI"/>
              </w:rPr>
              <w:t>2</w:t>
            </w:r>
            <w:r w:rsidRPr="00291333">
              <w:rPr>
                <w:lang w:val="sr-Latn-ME" w:eastAsia="sl-SI"/>
              </w:rPr>
              <w:t xml:space="preserve"> i.v., dani 1-3, 15-16; </w:t>
            </w:r>
          </w:p>
          <w:p w14:paraId="61C57381"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VCR 2 mg ukupna doza i.v., dani 1, 8, 15, 22; </w:t>
            </w:r>
          </w:p>
          <w:p w14:paraId="6EECFBC5" w14:textId="77777777" w:rsidR="008F7DDB" w:rsidRPr="00291333" w:rsidRDefault="008F7DDB" w:rsidP="0040712C">
            <w:pPr>
              <w:widowControl w:val="0"/>
              <w:spacing w:line="240" w:lineRule="auto"/>
              <w:ind w:right="-1"/>
              <w:rPr>
                <w:lang w:val="sr-Latn-ME" w:eastAsia="sl-SI"/>
              </w:rPr>
            </w:pPr>
            <w:r w:rsidRPr="00291333">
              <w:rPr>
                <w:lang w:val="sr-Latn-ME" w:eastAsia="sl-SI"/>
              </w:rPr>
              <w:t>CP 750 mg/m</w:t>
            </w:r>
            <w:r w:rsidRPr="00291333">
              <w:rPr>
                <w:vertAlign w:val="superscript"/>
                <w:lang w:val="sr-Latn-ME" w:eastAsia="sl-SI"/>
              </w:rPr>
              <w:t>2</w:t>
            </w:r>
            <w:r w:rsidRPr="00291333">
              <w:rPr>
                <w:lang w:val="sr-Latn-ME" w:eastAsia="sl-SI"/>
              </w:rPr>
              <w:t xml:space="preserve"> i.v., dani 1, 8; </w:t>
            </w:r>
          </w:p>
          <w:p w14:paraId="1483A197" w14:textId="77777777" w:rsidR="008F7DDB" w:rsidRPr="00291333" w:rsidRDefault="008F7DDB" w:rsidP="0040712C">
            <w:pPr>
              <w:widowControl w:val="0"/>
              <w:spacing w:line="240" w:lineRule="auto"/>
              <w:ind w:right="-1"/>
              <w:rPr>
                <w:lang w:val="sr-Latn-ME" w:eastAsia="sl-SI"/>
              </w:rPr>
            </w:pPr>
            <w:r w:rsidRPr="00291333">
              <w:rPr>
                <w:lang w:val="sr-Latn-ME" w:eastAsia="sl-SI"/>
              </w:rPr>
              <w:t>prednizon 60 mg/m</w:t>
            </w:r>
            <w:r w:rsidRPr="00291333">
              <w:rPr>
                <w:vertAlign w:val="superscript"/>
                <w:lang w:val="sr-Latn-ME" w:eastAsia="sl-SI"/>
              </w:rPr>
              <w:t>2</w:t>
            </w:r>
            <w:r w:rsidRPr="00291333">
              <w:rPr>
                <w:lang w:val="sr-Latn-ME" w:eastAsia="sl-SI"/>
              </w:rPr>
              <w:t xml:space="preserve"> oralno, dani 1-7, 15-21; </w:t>
            </w:r>
          </w:p>
          <w:p w14:paraId="18DADC6C" w14:textId="77777777" w:rsidR="008F7DDB" w:rsidRPr="00291333" w:rsidRDefault="008F7DDB" w:rsidP="0040712C">
            <w:pPr>
              <w:widowControl w:val="0"/>
              <w:spacing w:line="240" w:lineRule="auto"/>
              <w:ind w:right="-1"/>
              <w:rPr>
                <w:lang w:val="sr-Latn-ME" w:eastAsia="sl-SI"/>
              </w:rPr>
            </w:pPr>
            <w:r w:rsidRPr="00291333">
              <w:rPr>
                <w:lang w:val="sr-Latn-ME" w:eastAsia="sl-SI"/>
              </w:rPr>
              <w:t>IDA 9 mg/m</w:t>
            </w:r>
            <w:r w:rsidRPr="00291333">
              <w:rPr>
                <w:vertAlign w:val="superscript"/>
                <w:lang w:val="sr-Latn-ME" w:eastAsia="sl-SI"/>
              </w:rPr>
              <w:t>2</w:t>
            </w:r>
            <w:r w:rsidRPr="00291333">
              <w:rPr>
                <w:lang w:val="sr-Latn-ME" w:eastAsia="sl-SI"/>
              </w:rPr>
              <w:t xml:space="preserve"> oralno, dani 1-28; </w:t>
            </w:r>
          </w:p>
          <w:p w14:paraId="1F46E86A"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MTX 15 mg intratekalno, dani 1, 8, 15, 22; </w:t>
            </w:r>
          </w:p>
          <w:p w14:paraId="7E4EE16D"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Ara-C 40 mg intratekalno, dani 1, 8, 15, 22; </w:t>
            </w:r>
          </w:p>
          <w:p w14:paraId="332B1845"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metilprednizolon 40 mg intratekalno, dani 1, 8, 15, 22 </w:t>
            </w:r>
          </w:p>
        </w:tc>
      </w:tr>
      <w:tr w:rsidR="008F7DDB" w:rsidRPr="0040712C" w14:paraId="7A3E4A9B"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498EDAD9" w14:textId="77777777" w:rsidR="008F7DDB" w:rsidRPr="00291333" w:rsidRDefault="008F7DDB" w:rsidP="0040712C">
            <w:pPr>
              <w:widowControl w:val="0"/>
              <w:spacing w:line="240" w:lineRule="auto"/>
              <w:ind w:right="-1"/>
              <w:rPr>
                <w:lang w:val="sr-Latn-ME" w:eastAsia="sl-SI"/>
              </w:rPr>
            </w:pPr>
            <w:r w:rsidRPr="00291333">
              <w:rPr>
                <w:lang w:val="sr-Latn-ME" w:eastAsia="sl-SI"/>
              </w:rPr>
              <w:t>Konsolidacija (</w:t>
            </w:r>
            <w:r w:rsidRPr="00291333">
              <w:rPr>
                <w:i/>
                <w:iCs/>
                <w:lang w:val="sr-Latn-ME" w:eastAsia="sl-SI"/>
              </w:rPr>
              <w:t>de novo</w:t>
            </w:r>
            <w:r w:rsidRPr="00291333">
              <w:rPr>
                <w:lang w:val="sr-Latn-ME" w:eastAsia="sl-SI"/>
              </w:rPr>
              <w:t xml:space="preserve"> Ph+ ALL) </w:t>
            </w:r>
          </w:p>
        </w:tc>
        <w:tc>
          <w:tcPr>
            <w:tcW w:w="3250" w:type="pct"/>
            <w:tcBorders>
              <w:top w:val="single" w:sz="4" w:space="0" w:color="auto"/>
              <w:left w:val="single" w:sz="4" w:space="0" w:color="auto"/>
              <w:bottom w:val="single" w:sz="4" w:space="0" w:color="auto"/>
              <w:right w:val="single" w:sz="4" w:space="0" w:color="auto"/>
            </w:tcBorders>
            <w:hideMark/>
          </w:tcPr>
          <w:p w14:paraId="086EA069" w14:textId="77777777" w:rsidR="008F7DDB" w:rsidRPr="00291333" w:rsidRDefault="008F7DDB" w:rsidP="0040712C">
            <w:pPr>
              <w:widowControl w:val="0"/>
              <w:spacing w:line="240" w:lineRule="auto"/>
              <w:ind w:right="-1"/>
              <w:rPr>
                <w:lang w:val="sr-Latn-ME" w:eastAsia="sl-SI"/>
              </w:rPr>
            </w:pPr>
            <w:r w:rsidRPr="00291333">
              <w:rPr>
                <w:lang w:val="sr-Latn-ME" w:eastAsia="sl-SI"/>
              </w:rPr>
              <w:t>Ara-C 1000 mg/m</w:t>
            </w:r>
            <w:r w:rsidRPr="00291333">
              <w:rPr>
                <w:vertAlign w:val="superscript"/>
                <w:lang w:val="sr-Latn-ME" w:eastAsia="sl-SI"/>
              </w:rPr>
              <w:t>2</w:t>
            </w:r>
            <w:r w:rsidRPr="00291333">
              <w:rPr>
                <w:lang w:val="sr-Latn-ME" w:eastAsia="sl-SI"/>
              </w:rPr>
              <w:t xml:space="preserve">/12 h i.v.(3 h), dani 1-4; </w:t>
            </w:r>
          </w:p>
          <w:p w14:paraId="170C8D00" w14:textId="77777777" w:rsidR="008F7DDB" w:rsidRPr="00291333" w:rsidRDefault="008F7DDB" w:rsidP="0040712C">
            <w:pPr>
              <w:widowControl w:val="0"/>
              <w:spacing w:line="240" w:lineRule="auto"/>
              <w:ind w:right="-1"/>
              <w:rPr>
                <w:lang w:val="sr-Latn-ME" w:eastAsia="sl-SI"/>
              </w:rPr>
            </w:pPr>
            <w:r w:rsidRPr="00291333">
              <w:rPr>
                <w:lang w:val="sr-Latn-ME" w:eastAsia="sl-SI"/>
              </w:rPr>
              <w:t>mitoksantron 10 mg/m</w:t>
            </w:r>
            <w:r w:rsidRPr="00291333">
              <w:rPr>
                <w:vertAlign w:val="superscript"/>
                <w:lang w:val="sr-Latn-ME" w:eastAsia="sl-SI"/>
              </w:rPr>
              <w:t>2</w:t>
            </w:r>
            <w:r w:rsidRPr="00291333">
              <w:rPr>
                <w:lang w:val="sr-Latn-ME" w:eastAsia="sl-SI"/>
              </w:rPr>
              <w:t xml:space="preserve"> i.v., dani 3-5; </w:t>
            </w:r>
          </w:p>
          <w:p w14:paraId="5789FCF5"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MTX 15 mg intratekalno, dan 1; </w:t>
            </w:r>
          </w:p>
          <w:p w14:paraId="63BA398A"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metilprednizolon 40 mg intratekalno, dan 1 </w:t>
            </w:r>
          </w:p>
        </w:tc>
      </w:tr>
      <w:tr w:rsidR="008F7DDB" w:rsidRPr="00291333" w14:paraId="048C897B"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42C11697" w14:textId="77777777" w:rsidR="008F7DDB" w:rsidRPr="00291333" w:rsidRDefault="008F7DDB" w:rsidP="0040712C">
            <w:pPr>
              <w:widowControl w:val="0"/>
              <w:spacing w:line="240" w:lineRule="auto"/>
              <w:ind w:right="-1"/>
              <w:rPr>
                <w:lang w:val="sr-Latn-ME" w:eastAsia="sl-SI"/>
              </w:rPr>
            </w:pPr>
            <w:r w:rsidRPr="00291333">
              <w:rPr>
                <w:b/>
                <w:bCs/>
                <w:lang w:val="sr-Latn-ME" w:eastAsia="sl-SI"/>
              </w:rPr>
              <w:lastRenderedPageBreak/>
              <w:t>Studija ADE04</w:t>
            </w:r>
          </w:p>
        </w:tc>
      </w:tr>
      <w:tr w:rsidR="008F7DDB" w:rsidRPr="00291333" w14:paraId="5080F4D6"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1E82F95F" w14:textId="77777777" w:rsidR="008F7DDB" w:rsidRPr="00291333" w:rsidRDefault="008F7DDB" w:rsidP="0040712C">
            <w:pPr>
              <w:widowControl w:val="0"/>
              <w:spacing w:line="240" w:lineRule="auto"/>
              <w:ind w:right="-1"/>
              <w:rPr>
                <w:lang w:val="sr-Latn-ME" w:eastAsia="sl-SI"/>
              </w:rPr>
            </w:pPr>
            <w:r w:rsidRPr="00291333">
              <w:rPr>
                <w:lang w:val="sr-Latn-ME" w:eastAsia="sl-SI"/>
              </w:rPr>
              <w:t>Prethodna faza</w:t>
            </w:r>
          </w:p>
        </w:tc>
        <w:tc>
          <w:tcPr>
            <w:tcW w:w="3250" w:type="pct"/>
            <w:tcBorders>
              <w:top w:val="single" w:sz="4" w:space="0" w:color="auto"/>
              <w:left w:val="single" w:sz="4" w:space="0" w:color="auto"/>
              <w:bottom w:val="single" w:sz="4" w:space="0" w:color="auto"/>
              <w:right w:val="single" w:sz="4" w:space="0" w:color="auto"/>
            </w:tcBorders>
            <w:hideMark/>
          </w:tcPr>
          <w:p w14:paraId="21A56224" w14:textId="77777777" w:rsidR="008F7DDB" w:rsidRPr="00291333" w:rsidRDefault="008F7DDB" w:rsidP="0040712C">
            <w:pPr>
              <w:widowControl w:val="0"/>
              <w:spacing w:line="240" w:lineRule="auto"/>
              <w:ind w:right="-1"/>
              <w:rPr>
                <w:lang w:val="sr-Latn-ME" w:eastAsia="sl-SI"/>
              </w:rPr>
            </w:pPr>
            <w:r w:rsidRPr="00291333">
              <w:rPr>
                <w:lang w:val="sr-Latn-ME" w:eastAsia="sl-SI"/>
              </w:rPr>
              <w:t>DEX 10 mg/m</w:t>
            </w:r>
            <w:r w:rsidRPr="00291333">
              <w:rPr>
                <w:vertAlign w:val="superscript"/>
                <w:lang w:val="sr-Latn-ME" w:eastAsia="sl-SI"/>
              </w:rPr>
              <w:t>2</w:t>
            </w:r>
            <w:r w:rsidRPr="00291333">
              <w:rPr>
                <w:lang w:val="sr-Latn-ME" w:eastAsia="sl-SI"/>
              </w:rPr>
              <w:t xml:space="preserve"> oralno, dani 1-5; </w:t>
            </w:r>
          </w:p>
          <w:p w14:paraId="60B2D47F" w14:textId="77777777" w:rsidR="008F7DDB" w:rsidRPr="00291333" w:rsidRDefault="008F7DDB" w:rsidP="0040712C">
            <w:pPr>
              <w:widowControl w:val="0"/>
              <w:spacing w:line="240" w:lineRule="auto"/>
              <w:ind w:right="-1"/>
              <w:rPr>
                <w:lang w:val="sr-Latn-ME" w:eastAsia="sl-SI"/>
              </w:rPr>
            </w:pPr>
            <w:r w:rsidRPr="00291333">
              <w:rPr>
                <w:lang w:val="sr-Latn-ME" w:eastAsia="sl-SI"/>
              </w:rPr>
              <w:t>CP 200 mg/m</w:t>
            </w:r>
            <w:r w:rsidRPr="00291333">
              <w:rPr>
                <w:vertAlign w:val="superscript"/>
                <w:lang w:val="sr-Latn-ME" w:eastAsia="sl-SI"/>
              </w:rPr>
              <w:t>2</w:t>
            </w:r>
            <w:r w:rsidRPr="00291333">
              <w:rPr>
                <w:lang w:val="sr-Latn-ME" w:eastAsia="sl-SI"/>
              </w:rPr>
              <w:t xml:space="preserve"> i.v., dani 3-5; </w:t>
            </w:r>
          </w:p>
          <w:p w14:paraId="478EE8AC"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MTX 15 mg intratekalno, dan 1 </w:t>
            </w:r>
          </w:p>
        </w:tc>
      </w:tr>
      <w:tr w:rsidR="008F7DDB" w:rsidRPr="00291333" w14:paraId="456FA338"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7E3D9439"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Indukcijska terapija I </w:t>
            </w:r>
          </w:p>
        </w:tc>
        <w:tc>
          <w:tcPr>
            <w:tcW w:w="3250" w:type="pct"/>
            <w:tcBorders>
              <w:top w:val="single" w:sz="4" w:space="0" w:color="auto"/>
              <w:left w:val="single" w:sz="4" w:space="0" w:color="auto"/>
              <w:bottom w:val="single" w:sz="4" w:space="0" w:color="auto"/>
              <w:right w:val="single" w:sz="4" w:space="0" w:color="auto"/>
            </w:tcBorders>
            <w:hideMark/>
          </w:tcPr>
          <w:p w14:paraId="1B6C50C9" w14:textId="77777777" w:rsidR="008F7DDB" w:rsidRPr="00291333" w:rsidRDefault="008F7DDB" w:rsidP="0040712C">
            <w:pPr>
              <w:widowControl w:val="0"/>
              <w:spacing w:line="240" w:lineRule="auto"/>
              <w:ind w:right="-1"/>
              <w:rPr>
                <w:lang w:val="sr-Latn-ME" w:eastAsia="sl-SI"/>
              </w:rPr>
            </w:pPr>
            <w:r w:rsidRPr="00291333">
              <w:rPr>
                <w:lang w:val="sr-Latn-ME" w:eastAsia="sl-SI"/>
              </w:rPr>
              <w:t>DEX 10 mg/m</w:t>
            </w:r>
            <w:r w:rsidRPr="00291333">
              <w:rPr>
                <w:vertAlign w:val="superscript"/>
                <w:lang w:val="sr-Latn-ME" w:eastAsia="sl-SI"/>
              </w:rPr>
              <w:t>2</w:t>
            </w:r>
            <w:r w:rsidRPr="00291333">
              <w:rPr>
                <w:lang w:val="sr-Latn-ME" w:eastAsia="sl-SI"/>
              </w:rPr>
              <w:t xml:space="preserve"> oralno, dani 1-5; </w:t>
            </w:r>
          </w:p>
          <w:p w14:paraId="2563EF16"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VCR 2 mg i.v., dani 6, 13, 20; </w:t>
            </w:r>
          </w:p>
          <w:p w14:paraId="05D7DE16" w14:textId="77777777" w:rsidR="008F7DDB" w:rsidRPr="00291333" w:rsidRDefault="008F7DDB" w:rsidP="0040712C">
            <w:pPr>
              <w:widowControl w:val="0"/>
              <w:spacing w:line="240" w:lineRule="auto"/>
              <w:ind w:right="-1"/>
              <w:rPr>
                <w:lang w:val="sr-Latn-ME" w:eastAsia="sl-SI"/>
              </w:rPr>
            </w:pPr>
            <w:r w:rsidRPr="00291333">
              <w:rPr>
                <w:lang w:val="sr-Latn-ME" w:eastAsia="sl-SI"/>
              </w:rPr>
              <w:t>daunorubicin 45 mg/m</w:t>
            </w:r>
            <w:r w:rsidRPr="00291333">
              <w:rPr>
                <w:vertAlign w:val="superscript"/>
                <w:lang w:val="sr-Latn-ME" w:eastAsia="sl-SI"/>
              </w:rPr>
              <w:t>2</w:t>
            </w:r>
            <w:r w:rsidRPr="00291333">
              <w:rPr>
                <w:lang w:val="sr-Latn-ME" w:eastAsia="sl-SI"/>
              </w:rPr>
              <w:t xml:space="preserve"> i.v., dani 6-7, 13-14 </w:t>
            </w:r>
          </w:p>
        </w:tc>
      </w:tr>
      <w:tr w:rsidR="008F7DDB" w:rsidRPr="0040712C" w14:paraId="16D06DE8"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66D58225"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Indukcijska terapija II </w:t>
            </w:r>
          </w:p>
        </w:tc>
        <w:tc>
          <w:tcPr>
            <w:tcW w:w="3250" w:type="pct"/>
            <w:tcBorders>
              <w:top w:val="single" w:sz="4" w:space="0" w:color="auto"/>
              <w:left w:val="single" w:sz="4" w:space="0" w:color="auto"/>
              <w:bottom w:val="single" w:sz="4" w:space="0" w:color="auto"/>
              <w:right w:val="single" w:sz="4" w:space="0" w:color="auto"/>
            </w:tcBorders>
            <w:hideMark/>
          </w:tcPr>
          <w:p w14:paraId="27EEA760" w14:textId="77777777" w:rsidR="008F7DDB" w:rsidRPr="00291333" w:rsidRDefault="008F7DDB" w:rsidP="0040712C">
            <w:pPr>
              <w:widowControl w:val="0"/>
              <w:spacing w:line="240" w:lineRule="auto"/>
              <w:ind w:right="-1"/>
              <w:rPr>
                <w:lang w:val="sr-Latn-ME" w:eastAsia="sl-SI"/>
              </w:rPr>
            </w:pPr>
            <w:r w:rsidRPr="00291333">
              <w:rPr>
                <w:lang w:val="sr-Latn-ME" w:eastAsia="sl-SI"/>
              </w:rPr>
              <w:t>CP 1 g/m</w:t>
            </w:r>
            <w:r w:rsidRPr="00291333">
              <w:rPr>
                <w:vertAlign w:val="superscript"/>
                <w:lang w:val="sr-Latn-ME" w:eastAsia="sl-SI"/>
              </w:rPr>
              <w:t>2</w:t>
            </w:r>
            <w:r w:rsidRPr="00291333">
              <w:rPr>
                <w:lang w:val="sr-Latn-ME" w:eastAsia="sl-SI"/>
              </w:rPr>
              <w:t xml:space="preserve"> i.v. (1 h), dani 26, 46; </w:t>
            </w:r>
          </w:p>
          <w:p w14:paraId="0997D0DD" w14:textId="77777777" w:rsidR="008F7DDB" w:rsidRPr="00291333" w:rsidRDefault="008F7DDB" w:rsidP="0040712C">
            <w:pPr>
              <w:widowControl w:val="0"/>
              <w:spacing w:line="240" w:lineRule="auto"/>
              <w:ind w:right="-1"/>
              <w:rPr>
                <w:lang w:val="sr-Latn-ME" w:eastAsia="sl-SI"/>
              </w:rPr>
            </w:pPr>
            <w:r w:rsidRPr="00291333">
              <w:rPr>
                <w:lang w:val="sr-Latn-ME" w:eastAsia="sl-SI"/>
              </w:rPr>
              <w:t>Ara-C 75 mg/m</w:t>
            </w:r>
            <w:r w:rsidRPr="00291333">
              <w:rPr>
                <w:vertAlign w:val="superscript"/>
                <w:lang w:val="sr-Latn-ME" w:eastAsia="sl-SI"/>
              </w:rPr>
              <w:t>2</w:t>
            </w:r>
            <w:r w:rsidRPr="00291333">
              <w:rPr>
                <w:lang w:val="sr-Latn-ME" w:eastAsia="sl-SI"/>
              </w:rPr>
              <w:t xml:space="preserve"> i.v. (1 h), dani 28-31, 35-38, 42-45; </w:t>
            </w:r>
          </w:p>
          <w:p w14:paraId="20347099" w14:textId="77777777" w:rsidR="008F7DDB" w:rsidRPr="00291333" w:rsidRDefault="008F7DDB" w:rsidP="0040712C">
            <w:pPr>
              <w:widowControl w:val="0"/>
              <w:spacing w:line="240" w:lineRule="auto"/>
              <w:ind w:right="-1"/>
              <w:rPr>
                <w:lang w:val="sr-Latn-ME" w:eastAsia="sl-SI"/>
              </w:rPr>
            </w:pPr>
            <w:r w:rsidRPr="00291333">
              <w:rPr>
                <w:lang w:val="sr-Latn-ME" w:eastAsia="sl-SI"/>
              </w:rPr>
              <w:t>6-MP 60 mg/m</w:t>
            </w:r>
            <w:r w:rsidRPr="00291333">
              <w:rPr>
                <w:vertAlign w:val="superscript"/>
                <w:lang w:val="sr-Latn-ME" w:eastAsia="sl-SI"/>
              </w:rPr>
              <w:t>2</w:t>
            </w:r>
            <w:r w:rsidRPr="00291333">
              <w:rPr>
                <w:lang w:val="sr-Latn-ME" w:eastAsia="sl-SI"/>
              </w:rPr>
              <w:t xml:space="preserve"> oralno, dani 26-46 </w:t>
            </w:r>
          </w:p>
        </w:tc>
      </w:tr>
      <w:tr w:rsidR="008F7DDB" w:rsidRPr="0040712C" w14:paraId="54D6C024"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55152C54" w14:textId="77777777" w:rsidR="008F7DDB" w:rsidRPr="00291333" w:rsidRDefault="008F7DDB" w:rsidP="0040712C">
            <w:pPr>
              <w:widowControl w:val="0"/>
              <w:spacing w:line="240" w:lineRule="auto"/>
              <w:ind w:right="-1"/>
              <w:rPr>
                <w:lang w:val="sr-Latn-ME" w:eastAsia="sl-SI"/>
              </w:rPr>
            </w:pPr>
            <w:r w:rsidRPr="00291333">
              <w:rPr>
                <w:lang w:val="sr-Latn-ME" w:eastAsia="sl-SI"/>
              </w:rPr>
              <w:t>Terapija konsolidacije</w:t>
            </w:r>
          </w:p>
        </w:tc>
        <w:tc>
          <w:tcPr>
            <w:tcW w:w="3250" w:type="pct"/>
            <w:tcBorders>
              <w:top w:val="single" w:sz="4" w:space="0" w:color="auto"/>
              <w:left w:val="single" w:sz="4" w:space="0" w:color="auto"/>
              <w:bottom w:val="single" w:sz="4" w:space="0" w:color="auto"/>
              <w:right w:val="single" w:sz="4" w:space="0" w:color="auto"/>
            </w:tcBorders>
            <w:hideMark/>
          </w:tcPr>
          <w:p w14:paraId="2852848F" w14:textId="77777777" w:rsidR="008F7DDB" w:rsidRPr="00291333" w:rsidRDefault="008F7DDB" w:rsidP="0040712C">
            <w:pPr>
              <w:widowControl w:val="0"/>
              <w:spacing w:line="240" w:lineRule="auto"/>
              <w:ind w:right="-1"/>
              <w:rPr>
                <w:lang w:val="sr-Latn-ME" w:eastAsia="sl-SI"/>
              </w:rPr>
            </w:pPr>
            <w:r w:rsidRPr="00291333">
              <w:rPr>
                <w:lang w:val="sr-Latn-ME" w:eastAsia="sl-SI"/>
              </w:rPr>
              <w:t>DEX 10 mg/m</w:t>
            </w:r>
            <w:r w:rsidRPr="00291333">
              <w:rPr>
                <w:vertAlign w:val="superscript"/>
                <w:lang w:val="sr-Latn-ME" w:eastAsia="sl-SI"/>
              </w:rPr>
              <w:t xml:space="preserve">2 </w:t>
            </w:r>
            <w:r w:rsidRPr="00291333">
              <w:rPr>
                <w:lang w:val="sr-Latn-ME" w:eastAsia="sl-SI"/>
              </w:rPr>
              <w:t xml:space="preserve">oralno, dani 1-5; </w:t>
            </w:r>
          </w:p>
          <w:p w14:paraId="00B426F6" w14:textId="77777777" w:rsidR="008F7DDB" w:rsidRPr="00291333" w:rsidRDefault="008F7DDB" w:rsidP="0040712C">
            <w:pPr>
              <w:widowControl w:val="0"/>
              <w:spacing w:line="240" w:lineRule="auto"/>
              <w:ind w:right="-1"/>
              <w:rPr>
                <w:lang w:val="sr-Latn-ME" w:eastAsia="sl-SI"/>
              </w:rPr>
            </w:pPr>
            <w:r w:rsidRPr="00291333">
              <w:rPr>
                <w:lang w:val="sr-Latn-ME" w:eastAsia="sl-SI"/>
              </w:rPr>
              <w:t>vindezin 3 mg/m</w:t>
            </w:r>
            <w:r w:rsidRPr="00291333">
              <w:rPr>
                <w:vertAlign w:val="superscript"/>
                <w:lang w:val="sr-Latn-ME" w:eastAsia="sl-SI"/>
              </w:rPr>
              <w:t>2</w:t>
            </w:r>
            <w:r w:rsidRPr="00291333">
              <w:rPr>
                <w:lang w:val="sr-Latn-ME" w:eastAsia="sl-SI"/>
              </w:rPr>
              <w:t xml:space="preserve"> i.v., dan 1; </w:t>
            </w:r>
          </w:p>
          <w:p w14:paraId="1A476A03" w14:textId="77777777" w:rsidR="008F7DDB" w:rsidRPr="00291333" w:rsidRDefault="008F7DDB" w:rsidP="0040712C">
            <w:pPr>
              <w:widowControl w:val="0"/>
              <w:spacing w:line="240" w:lineRule="auto"/>
              <w:ind w:right="-1"/>
              <w:rPr>
                <w:lang w:val="sr-Latn-ME" w:eastAsia="sl-SI"/>
              </w:rPr>
            </w:pPr>
            <w:r w:rsidRPr="00291333">
              <w:rPr>
                <w:lang w:val="sr-Latn-ME" w:eastAsia="sl-SI"/>
              </w:rPr>
              <w:t>MTX 1,5 g/m</w:t>
            </w:r>
            <w:r w:rsidRPr="00291333">
              <w:rPr>
                <w:vertAlign w:val="superscript"/>
                <w:lang w:val="sr-Latn-ME" w:eastAsia="sl-SI"/>
              </w:rPr>
              <w:t>2</w:t>
            </w:r>
            <w:r w:rsidRPr="00291333">
              <w:rPr>
                <w:lang w:val="sr-Latn-ME" w:eastAsia="sl-SI"/>
              </w:rPr>
              <w:t xml:space="preserve"> i.v. (24 h), dan 1; </w:t>
            </w:r>
          </w:p>
          <w:p w14:paraId="40BAA2DF" w14:textId="77777777" w:rsidR="008F7DDB" w:rsidRPr="00291333" w:rsidRDefault="008F7DDB" w:rsidP="0040712C">
            <w:pPr>
              <w:widowControl w:val="0"/>
              <w:spacing w:line="240" w:lineRule="auto"/>
              <w:ind w:right="-1"/>
              <w:rPr>
                <w:lang w:val="sr-Latn-ME" w:eastAsia="sl-SI"/>
              </w:rPr>
            </w:pPr>
            <w:r w:rsidRPr="00291333">
              <w:rPr>
                <w:lang w:val="sr-Latn-ME" w:eastAsia="sl-SI"/>
              </w:rPr>
              <w:t>etopozid 250 mg/m</w:t>
            </w:r>
            <w:r w:rsidRPr="00291333">
              <w:rPr>
                <w:vertAlign w:val="superscript"/>
                <w:lang w:val="sr-Latn-ME" w:eastAsia="sl-SI"/>
              </w:rPr>
              <w:t>2</w:t>
            </w:r>
            <w:r w:rsidRPr="00291333">
              <w:rPr>
                <w:lang w:val="sr-Latn-ME" w:eastAsia="sl-SI"/>
              </w:rPr>
              <w:t xml:space="preserve"> i.v. (1 h) dani 4-5; </w:t>
            </w:r>
          </w:p>
          <w:p w14:paraId="530729AD" w14:textId="77777777" w:rsidR="008F7DDB" w:rsidRPr="00291333" w:rsidRDefault="008F7DDB" w:rsidP="0040712C">
            <w:pPr>
              <w:widowControl w:val="0"/>
              <w:spacing w:line="240" w:lineRule="auto"/>
              <w:ind w:right="-1"/>
              <w:rPr>
                <w:lang w:val="sr-Latn-ME" w:eastAsia="sl-SI"/>
              </w:rPr>
            </w:pPr>
            <w:r w:rsidRPr="00291333">
              <w:rPr>
                <w:lang w:val="sr-Latn-ME" w:eastAsia="sl-SI"/>
              </w:rPr>
              <w:t>Ara-C 2x 2 g/m</w:t>
            </w:r>
            <w:r w:rsidRPr="00291333">
              <w:rPr>
                <w:vertAlign w:val="superscript"/>
                <w:lang w:val="sr-Latn-ME" w:eastAsia="sl-SI"/>
              </w:rPr>
              <w:t>2</w:t>
            </w:r>
            <w:r w:rsidRPr="00291333">
              <w:rPr>
                <w:lang w:val="sr-Latn-ME" w:eastAsia="sl-SI"/>
              </w:rPr>
              <w:t xml:space="preserve"> i.v. (3 h, svakih 12 h), dan 5 </w:t>
            </w:r>
          </w:p>
        </w:tc>
      </w:tr>
      <w:tr w:rsidR="008F7DDB" w:rsidRPr="00291333" w14:paraId="10893637"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4D960D4E" w14:textId="77777777" w:rsidR="008F7DDB" w:rsidRPr="00291333" w:rsidRDefault="008F7DDB" w:rsidP="0040712C">
            <w:pPr>
              <w:widowControl w:val="0"/>
              <w:spacing w:line="240" w:lineRule="auto"/>
              <w:ind w:right="-1"/>
              <w:rPr>
                <w:lang w:val="sr-Latn-ME" w:eastAsia="sl-SI"/>
              </w:rPr>
            </w:pPr>
            <w:r w:rsidRPr="00291333">
              <w:rPr>
                <w:b/>
                <w:bCs/>
                <w:lang w:val="sr-Latn-ME" w:eastAsia="sl-SI"/>
              </w:rPr>
              <w:t>Studija AJP01</w:t>
            </w:r>
          </w:p>
        </w:tc>
      </w:tr>
      <w:tr w:rsidR="008F7DDB" w:rsidRPr="0040712C" w14:paraId="652A4CEB"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7AF19D64"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Indukcijska terapija </w:t>
            </w:r>
          </w:p>
        </w:tc>
        <w:tc>
          <w:tcPr>
            <w:tcW w:w="3250" w:type="pct"/>
            <w:tcBorders>
              <w:top w:val="single" w:sz="4" w:space="0" w:color="auto"/>
              <w:left w:val="single" w:sz="4" w:space="0" w:color="auto"/>
              <w:bottom w:val="single" w:sz="4" w:space="0" w:color="auto"/>
              <w:right w:val="single" w:sz="4" w:space="0" w:color="auto"/>
            </w:tcBorders>
            <w:hideMark/>
          </w:tcPr>
          <w:p w14:paraId="222FF520" w14:textId="77777777" w:rsidR="008F7DDB" w:rsidRPr="00291333" w:rsidRDefault="008F7DDB" w:rsidP="0040712C">
            <w:pPr>
              <w:widowControl w:val="0"/>
              <w:spacing w:line="240" w:lineRule="auto"/>
              <w:ind w:right="-1"/>
              <w:rPr>
                <w:lang w:val="sr-Latn-ME" w:eastAsia="sl-SI"/>
              </w:rPr>
            </w:pPr>
            <w:r w:rsidRPr="00291333">
              <w:rPr>
                <w:lang w:val="sr-Latn-ME" w:eastAsia="sl-SI"/>
              </w:rPr>
              <w:t>CP 1,2 g/m</w:t>
            </w:r>
            <w:r w:rsidRPr="00291333">
              <w:rPr>
                <w:vertAlign w:val="superscript"/>
                <w:lang w:val="sr-Latn-ME" w:eastAsia="sl-SI"/>
              </w:rPr>
              <w:t>2</w:t>
            </w:r>
            <w:r w:rsidRPr="00291333">
              <w:rPr>
                <w:lang w:val="sr-Latn-ME" w:eastAsia="sl-SI"/>
              </w:rPr>
              <w:t xml:space="preserve"> i.v. (3 h), dan 1; </w:t>
            </w:r>
          </w:p>
          <w:p w14:paraId="24DB8067" w14:textId="77777777" w:rsidR="008F7DDB" w:rsidRPr="00291333" w:rsidRDefault="008F7DDB" w:rsidP="0040712C">
            <w:pPr>
              <w:widowControl w:val="0"/>
              <w:spacing w:line="240" w:lineRule="auto"/>
              <w:ind w:right="-1"/>
              <w:rPr>
                <w:lang w:val="sr-Latn-ME" w:eastAsia="sl-SI"/>
              </w:rPr>
            </w:pPr>
            <w:r w:rsidRPr="00291333">
              <w:rPr>
                <w:lang w:val="sr-Latn-ME" w:eastAsia="sl-SI"/>
              </w:rPr>
              <w:t>daunorubicin 60 mg/m</w:t>
            </w:r>
            <w:r w:rsidRPr="00291333">
              <w:rPr>
                <w:vertAlign w:val="superscript"/>
                <w:lang w:val="sr-Latn-ME" w:eastAsia="sl-SI"/>
              </w:rPr>
              <w:t>2</w:t>
            </w:r>
            <w:r w:rsidRPr="00291333">
              <w:rPr>
                <w:lang w:val="sr-Latn-ME" w:eastAsia="sl-SI"/>
              </w:rPr>
              <w:t xml:space="preserve"> i.v. (1 h), dani 1-3; </w:t>
            </w:r>
          </w:p>
          <w:p w14:paraId="13D9B69A" w14:textId="77777777" w:rsidR="008F7DDB" w:rsidRPr="00291333" w:rsidRDefault="008F7DDB" w:rsidP="0040712C">
            <w:pPr>
              <w:widowControl w:val="0"/>
              <w:spacing w:line="240" w:lineRule="auto"/>
              <w:ind w:right="-1"/>
              <w:rPr>
                <w:lang w:val="sr-Latn-ME" w:eastAsia="sl-SI"/>
              </w:rPr>
            </w:pPr>
            <w:r w:rsidRPr="00291333">
              <w:rPr>
                <w:lang w:val="sr-Latn-ME" w:eastAsia="sl-SI"/>
              </w:rPr>
              <w:t>vinkristin 1,3 mg/m</w:t>
            </w:r>
            <w:r w:rsidRPr="00291333">
              <w:rPr>
                <w:vertAlign w:val="superscript"/>
                <w:lang w:val="sr-Latn-ME" w:eastAsia="sl-SI"/>
              </w:rPr>
              <w:t>2</w:t>
            </w:r>
            <w:r w:rsidRPr="00291333">
              <w:rPr>
                <w:lang w:val="sr-Latn-ME" w:eastAsia="sl-SI"/>
              </w:rPr>
              <w:t xml:space="preserve"> i.v., dani 1, 8, 15, 21; </w:t>
            </w:r>
          </w:p>
          <w:p w14:paraId="223EFADA" w14:textId="77777777" w:rsidR="008F7DDB" w:rsidRPr="00291333" w:rsidRDefault="008F7DDB" w:rsidP="0040712C">
            <w:pPr>
              <w:widowControl w:val="0"/>
              <w:spacing w:line="240" w:lineRule="auto"/>
              <w:ind w:right="-1"/>
              <w:rPr>
                <w:lang w:val="sr-Latn-ME" w:eastAsia="sl-SI"/>
              </w:rPr>
            </w:pPr>
            <w:r w:rsidRPr="00291333">
              <w:rPr>
                <w:lang w:val="sr-Latn-ME" w:eastAsia="sl-SI"/>
              </w:rPr>
              <w:t>prednizolon 60 mg/m</w:t>
            </w:r>
            <w:r w:rsidRPr="00291333">
              <w:rPr>
                <w:vertAlign w:val="superscript"/>
                <w:lang w:val="sr-Latn-ME" w:eastAsia="sl-SI"/>
              </w:rPr>
              <w:t>2</w:t>
            </w:r>
            <w:r w:rsidRPr="00291333">
              <w:rPr>
                <w:lang w:val="sr-Latn-ME" w:eastAsia="sl-SI"/>
              </w:rPr>
              <w:t xml:space="preserve">/dan oralno </w:t>
            </w:r>
          </w:p>
        </w:tc>
      </w:tr>
      <w:tr w:rsidR="008F7DDB" w:rsidRPr="00C86919" w14:paraId="4F2CAB67"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22D5B767"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Konsolidaciona terapija </w:t>
            </w:r>
          </w:p>
        </w:tc>
        <w:tc>
          <w:tcPr>
            <w:tcW w:w="3250" w:type="pct"/>
            <w:tcBorders>
              <w:top w:val="single" w:sz="4" w:space="0" w:color="auto"/>
              <w:left w:val="single" w:sz="4" w:space="0" w:color="auto"/>
              <w:bottom w:val="single" w:sz="4" w:space="0" w:color="auto"/>
              <w:right w:val="single" w:sz="4" w:space="0" w:color="auto"/>
            </w:tcBorders>
            <w:hideMark/>
          </w:tcPr>
          <w:p w14:paraId="7BE9B0B3" w14:textId="77777777" w:rsidR="008F7DDB" w:rsidRPr="00291333" w:rsidRDefault="008F7DDB" w:rsidP="0040712C">
            <w:pPr>
              <w:widowControl w:val="0"/>
              <w:spacing w:line="240" w:lineRule="auto"/>
              <w:ind w:right="-1"/>
              <w:rPr>
                <w:lang w:val="sr-Latn-ME" w:eastAsia="sl-SI"/>
              </w:rPr>
            </w:pPr>
            <w:r w:rsidRPr="00291333">
              <w:rPr>
                <w:lang w:val="sr-Latn-ME" w:eastAsia="sl-SI"/>
              </w:rPr>
              <w:t>Naizmenični hemioterapijski ciklusi: visoka doza hemioterapije pomoću MTX 1 g/m</w:t>
            </w:r>
            <w:r w:rsidRPr="00291333">
              <w:rPr>
                <w:vertAlign w:val="superscript"/>
                <w:lang w:val="sr-Latn-ME" w:eastAsia="sl-SI"/>
              </w:rPr>
              <w:t>2</w:t>
            </w:r>
            <w:r w:rsidRPr="00291333">
              <w:rPr>
                <w:lang w:val="sr-Latn-ME" w:eastAsia="sl-SI"/>
              </w:rPr>
              <w:t xml:space="preserve"> i.v. (24 h), dan 1, i Ara-C 2 g/m</w:t>
            </w:r>
            <w:r w:rsidRPr="00291333">
              <w:rPr>
                <w:vertAlign w:val="superscript"/>
                <w:lang w:val="sr-Latn-ME" w:eastAsia="sl-SI"/>
              </w:rPr>
              <w:t>2</w:t>
            </w:r>
            <w:r w:rsidRPr="00291333">
              <w:rPr>
                <w:lang w:val="sr-Latn-ME" w:eastAsia="sl-SI"/>
              </w:rPr>
              <w:t xml:space="preserve"> i.v. (svakih 12 h), dani 2-3, kroz 4 ciklusa </w:t>
            </w:r>
          </w:p>
        </w:tc>
      </w:tr>
      <w:tr w:rsidR="008F7DDB" w:rsidRPr="00291333" w14:paraId="1ACD37BB"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7FB8694D"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Održavanje </w:t>
            </w:r>
          </w:p>
        </w:tc>
        <w:tc>
          <w:tcPr>
            <w:tcW w:w="3250" w:type="pct"/>
            <w:tcBorders>
              <w:top w:val="single" w:sz="4" w:space="0" w:color="auto"/>
              <w:left w:val="single" w:sz="4" w:space="0" w:color="auto"/>
              <w:bottom w:val="single" w:sz="4" w:space="0" w:color="auto"/>
              <w:right w:val="single" w:sz="4" w:space="0" w:color="auto"/>
            </w:tcBorders>
            <w:hideMark/>
          </w:tcPr>
          <w:p w14:paraId="60ACBBD6" w14:textId="77777777" w:rsidR="008F7DDB" w:rsidRPr="00291333" w:rsidRDefault="008F7DDB" w:rsidP="0040712C">
            <w:pPr>
              <w:widowControl w:val="0"/>
              <w:spacing w:line="240" w:lineRule="auto"/>
              <w:ind w:right="-1"/>
              <w:rPr>
                <w:lang w:val="sr-Latn-ME" w:eastAsia="sl-SI"/>
              </w:rPr>
            </w:pPr>
            <w:r w:rsidRPr="00291333">
              <w:rPr>
                <w:lang w:val="sr-Latn-ME" w:eastAsia="sl-SI"/>
              </w:rPr>
              <w:t>VCR 1,3 g/m</w:t>
            </w:r>
            <w:r w:rsidRPr="00291333">
              <w:rPr>
                <w:vertAlign w:val="superscript"/>
                <w:lang w:val="sr-Latn-ME" w:eastAsia="sl-SI"/>
              </w:rPr>
              <w:t>2</w:t>
            </w:r>
            <w:r w:rsidRPr="00291333">
              <w:rPr>
                <w:lang w:val="sr-Latn-ME" w:eastAsia="sl-SI"/>
              </w:rPr>
              <w:t xml:space="preserve"> i.v., dan 1; </w:t>
            </w:r>
          </w:p>
          <w:p w14:paraId="5DAEED29" w14:textId="77777777" w:rsidR="008F7DDB" w:rsidRPr="00291333" w:rsidRDefault="008F7DDB" w:rsidP="0040712C">
            <w:pPr>
              <w:widowControl w:val="0"/>
              <w:spacing w:line="240" w:lineRule="auto"/>
              <w:ind w:right="-1"/>
              <w:rPr>
                <w:lang w:val="sr-Latn-ME" w:eastAsia="sl-SI"/>
              </w:rPr>
            </w:pPr>
            <w:r w:rsidRPr="00291333">
              <w:rPr>
                <w:lang w:val="sr-Latn-ME" w:eastAsia="sl-SI"/>
              </w:rPr>
              <w:t>prednizolon 60 mg/m</w:t>
            </w:r>
            <w:r w:rsidRPr="00291333">
              <w:rPr>
                <w:vertAlign w:val="superscript"/>
                <w:lang w:val="sr-Latn-ME" w:eastAsia="sl-SI"/>
              </w:rPr>
              <w:t>2</w:t>
            </w:r>
            <w:r w:rsidRPr="00291333">
              <w:rPr>
                <w:lang w:val="sr-Latn-ME" w:eastAsia="sl-SI"/>
              </w:rPr>
              <w:t xml:space="preserve"> oralno, dani 1-5 </w:t>
            </w:r>
          </w:p>
        </w:tc>
      </w:tr>
      <w:tr w:rsidR="008F7DDB" w:rsidRPr="00291333" w14:paraId="1C189ACD"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4DDFC1BF" w14:textId="77777777" w:rsidR="008F7DDB" w:rsidRPr="00291333" w:rsidRDefault="008F7DDB" w:rsidP="0040712C">
            <w:pPr>
              <w:widowControl w:val="0"/>
              <w:spacing w:line="240" w:lineRule="auto"/>
              <w:ind w:right="-1"/>
              <w:rPr>
                <w:lang w:val="sr-Latn-ME" w:eastAsia="sl-SI"/>
              </w:rPr>
            </w:pPr>
            <w:r w:rsidRPr="00291333">
              <w:rPr>
                <w:b/>
                <w:bCs/>
                <w:lang w:val="sr-Latn-ME" w:eastAsia="sl-SI"/>
              </w:rPr>
              <w:t>Studija AUS01</w:t>
            </w:r>
          </w:p>
        </w:tc>
      </w:tr>
      <w:tr w:rsidR="008F7DDB" w:rsidRPr="0040712C" w14:paraId="60C865EC"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76F758DA"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Indukcijsko-konsolidacijska terapija </w:t>
            </w:r>
          </w:p>
        </w:tc>
        <w:tc>
          <w:tcPr>
            <w:tcW w:w="3250" w:type="pct"/>
            <w:tcBorders>
              <w:top w:val="single" w:sz="4" w:space="0" w:color="auto"/>
              <w:left w:val="single" w:sz="4" w:space="0" w:color="auto"/>
              <w:bottom w:val="single" w:sz="4" w:space="0" w:color="auto"/>
              <w:right w:val="single" w:sz="4" w:space="0" w:color="auto"/>
            </w:tcBorders>
            <w:hideMark/>
          </w:tcPr>
          <w:p w14:paraId="0A188DBF" w14:textId="77777777" w:rsidR="008F7DDB" w:rsidRPr="00291333" w:rsidRDefault="008F7DDB" w:rsidP="0040712C">
            <w:pPr>
              <w:widowControl w:val="0"/>
              <w:spacing w:line="240" w:lineRule="auto"/>
              <w:ind w:right="-1"/>
              <w:rPr>
                <w:lang w:val="sr-Latn-ME" w:eastAsia="sl-SI"/>
              </w:rPr>
            </w:pPr>
            <w:r w:rsidRPr="00291333">
              <w:rPr>
                <w:lang w:val="sr-Latn-ME" w:eastAsia="sl-SI"/>
              </w:rPr>
              <w:t>Hiper-CVAD režim: CP 300 mg/m</w:t>
            </w:r>
            <w:r w:rsidRPr="00291333">
              <w:rPr>
                <w:vertAlign w:val="superscript"/>
                <w:lang w:val="sr-Latn-ME" w:eastAsia="sl-SI"/>
              </w:rPr>
              <w:t>2</w:t>
            </w:r>
            <w:r w:rsidRPr="00291333">
              <w:rPr>
                <w:lang w:val="sr-Latn-ME" w:eastAsia="sl-SI"/>
              </w:rPr>
              <w:t xml:space="preserve"> i.v. (3 h, svakih 12 h), dani 1-3; vinkristin 2 mg i.v., dani 4, 11; </w:t>
            </w:r>
          </w:p>
          <w:p w14:paraId="6B029740" w14:textId="77777777" w:rsidR="008F7DDB" w:rsidRPr="00291333" w:rsidRDefault="008F7DDB" w:rsidP="0040712C">
            <w:pPr>
              <w:widowControl w:val="0"/>
              <w:spacing w:line="240" w:lineRule="auto"/>
              <w:ind w:right="-1"/>
              <w:rPr>
                <w:lang w:val="sr-Latn-ME" w:eastAsia="sl-SI"/>
              </w:rPr>
            </w:pPr>
            <w:r w:rsidRPr="00291333">
              <w:rPr>
                <w:lang w:val="sr-Latn-ME" w:eastAsia="sl-SI"/>
              </w:rPr>
              <w:t>doksorubicin 50 mg/m</w:t>
            </w:r>
            <w:r w:rsidRPr="00291333">
              <w:rPr>
                <w:vertAlign w:val="superscript"/>
                <w:lang w:val="sr-Latn-ME" w:eastAsia="sl-SI"/>
              </w:rPr>
              <w:t>2</w:t>
            </w:r>
            <w:r w:rsidRPr="00291333">
              <w:rPr>
                <w:lang w:val="sr-Latn-ME" w:eastAsia="sl-SI"/>
              </w:rPr>
              <w:t xml:space="preserve"> i.v. (24 h), dan 4; </w:t>
            </w:r>
          </w:p>
          <w:p w14:paraId="5D715B4C" w14:textId="77777777" w:rsidR="008F7DDB" w:rsidRPr="00291333" w:rsidRDefault="008F7DDB" w:rsidP="0040712C">
            <w:pPr>
              <w:widowControl w:val="0"/>
              <w:spacing w:line="240" w:lineRule="auto"/>
              <w:ind w:right="-1"/>
              <w:rPr>
                <w:lang w:val="sr-Latn-ME" w:eastAsia="sl-SI"/>
              </w:rPr>
            </w:pPr>
            <w:r w:rsidRPr="00291333">
              <w:rPr>
                <w:lang w:val="sr-Latn-ME" w:eastAsia="sl-SI"/>
              </w:rPr>
              <w:t>DEX 40 mg/dan na dane 1-4 i 11-14, naizmjenično s MTX 1 g/m</w:t>
            </w:r>
            <w:r w:rsidRPr="00291333">
              <w:rPr>
                <w:vertAlign w:val="superscript"/>
                <w:lang w:val="sr-Latn-ME" w:eastAsia="sl-SI"/>
              </w:rPr>
              <w:t>2</w:t>
            </w:r>
            <w:r w:rsidRPr="00291333">
              <w:rPr>
                <w:lang w:val="sr-Latn-ME" w:eastAsia="sl-SI"/>
              </w:rPr>
              <w:t xml:space="preserve"> i.v. (24 h), dan 1, Ara-C 1 g/m</w:t>
            </w:r>
            <w:r w:rsidRPr="00291333">
              <w:rPr>
                <w:vertAlign w:val="superscript"/>
                <w:lang w:val="sr-Latn-ME" w:eastAsia="sl-SI"/>
              </w:rPr>
              <w:t>2</w:t>
            </w:r>
            <w:r w:rsidRPr="00291333">
              <w:rPr>
                <w:lang w:val="sr-Latn-ME" w:eastAsia="sl-SI"/>
              </w:rPr>
              <w:t xml:space="preserve"> i.v. (2 h, svakih 12 h), dani 2-3 (ukupno 8 ciklusa) </w:t>
            </w:r>
          </w:p>
        </w:tc>
      </w:tr>
      <w:tr w:rsidR="008F7DDB" w:rsidRPr="0040712C" w14:paraId="181B1E20" w14:textId="77777777" w:rsidTr="0040712C">
        <w:tc>
          <w:tcPr>
            <w:tcW w:w="1750" w:type="pct"/>
            <w:tcBorders>
              <w:top w:val="single" w:sz="4" w:space="0" w:color="auto"/>
              <w:left w:val="single" w:sz="4" w:space="0" w:color="auto"/>
              <w:bottom w:val="single" w:sz="4" w:space="0" w:color="auto"/>
              <w:right w:val="single" w:sz="4" w:space="0" w:color="auto"/>
            </w:tcBorders>
            <w:hideMark/>
          </w:tcPr>
          <w:p w14:paraId="02FAFD7C"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Održavanje </w:t>
            </w:r>
          </w:p>
        </w:tc>
        <w:tc>
          <w:tcPr>
            <w:tcW w:w="3250" w:type="pct"/>
            <w:tcBorders>
              <w:top w:val="single" w:sz="4" w:space="0" w:color="auto"/>
              <w:left w:val="single" w:sz="4" w:space="0" w:color="auto"/>
              <w:bottom w:val="single" w:sz="4" w:space="0" w:color="auto"/>
              <w:right w:val="single" w:sz="4" w:space="0" w:color="auto"/>
            </w:tcBorders>
            <w:hideMark/>
          </w:tcPr>
          <w:p w14:paraId="71DB1CFD"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VCR 2 mg i.v. mjesečno tokom 13 mjeseci; </w:t>
            </w:r>
          </w:p>
          <w:p w14:paraId="7DF416C9" w14:textId="77777777" w:rsidR="008F7DDB" w:rsidRPr="00291333" w:rsidRDefault="008F7DDB" w:rsidP="0040712C">
            <w:pPr>
              <w:widowControl w:val="0"/>
              <w:spacing w:line="240" w:lineRule="auto"/>
              <w:ind w:right="-1"/>
              <w:rPr>
                <w:lang w:val="sr-Latn-ME" w:eastAsia="sl-SI"/>
              </w:rPr>
            </w:pPr>
            <w:r w:rsidRPr="00291333">
              <w:rPr>
                <w:lang w:val="sr-Latn-ME" w:eastAsia="sl-SI"/>
              </w:rPr>
              <w:t xml:space="preserve">prednizolon 200 mg oralno, 5 dana mjesečno tokom 13 mjeseci </w:t>
            </w:r>
          </w:p>
        </w:tc>
      </w:tr>
      <w:tr w:rsidR="008F7DDB" w:rsidRPr="0040712C" w14:paraId="5D886A2F"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635F63E6" w14:textId="77777777" w:rsidR="008F7DDB" w:rsidRPr="00291333" w:rsidRDefault="008F7DDB" w:rsidP="0040712C">
            <w:pPr>
              <w:widowControl w:val="0"/>
              <w:spacing w:line="240" w:lineRule="auto"/>
              <w:ind w:right="-1"/>
              <w:rPr>
                <w:lang w:val="sr-Latn-ME" w:eastAsia="sl-SI"/>
              </w:rPr>
            </w:pPr>
            <w:r w:rsidRPr="00291333">
              <w:rPr>
                <w:lang w:val="sr-Latn-ME" w:eastAsia="sl-SI"/>
              </w:rPr>
              <w:t>Svi terapijski režimi uključuju davanje steroida za CNS profilaksu</w:t>
            </w:r>
          </w:p>
        </w:tc>
      </w:tr>
      <w:tr w:rsidR="008F7DDB" w:rsidRPr="0040712C" w14:paraId="25AF81DE" w14:textId="77777777" w:rsidTr="0040712C">
        <w:tc>
          <w:tcPr>
            <w:tcW w:w="5000" w:type="pct"/>
            <w:gridSpan w:val="2"/>
            <w:tcBorders>
              <w:top w:val="single" w:sz="4" w:space="0" w:color="auto"/>
              <w:left w:val="single" w:sz="4" w:space="0" w:color="auto"/>
              <w:bottom w:val="single" w:sz="4" w:space="0" w:color="auto"/>
              <w:right w:val="single" w:sz="4" w:space="0" w:color="auto"/>
            </w:tcBorders>
            <w:hideMark/>
          </w:tcPr>
          <w:p w14:paraId="555E8209" w14:textId="77777777" w:rsidR="008F7DDB" w:rsidRPr="00291333" w:rsidRDefault="008F7DDB" w:rsidP="0040712C">
            <w:pPr>
              <w:widowControl w:val="0"/>
              <w:spacing w:line="240" w:lineRule="auto"/>
              <w:ind w:right="-1"/>
              <w:rPr>
                <w:lang w:val="sr-Latn-ME" w:eastAsia="sl-SI"/>
              </w:rPr>
            </w:pPr>
            <w:r w:rsidRPr="00291333">
              <w:rPr>
                <w:lang w:val="sr-Latn-ME" w:eastAsia="sl-SI"/>
              </w:rPr>
              <w:t>Ara-C: citozin arabinozid; CP: ciklofosfamid; DEX: deksametazon; MTX: metotreksat; 6-MP: 6- merkaptopurin VM26: tenipozid; VCR: vinkristin; IDA: idarubicin; i.v.: intravenski</w:t>
            </w:r>
          </w:p>
        </w:tc>
      </w:tr>
    </w:tbl>
    <w:p w14:paraId="5915D905" w14:textId="77777777" w:rsidR="008F7DDB" w:rsidRPr="00291333" w:rsidRDefault="008F7DDB" w:rsidP="008F7DDB">
      <w:pPr>
        <w:widowControl w:val="0"/>
        <w:spacing w:line="240" w:lineRule="auto"/>
        <w:ind w:right="-1"/>
        <w:rPr>
          <w:lang w:val="sr-Latn-ME"/>
        </w:rPr>
      </w:pPr>
    </w:p>
    <w:p w14:paraId="36337793" w14:textId="77777777" w:rsidR="008F7DDB" w:rsidRPr="00291333" w:rsidRDefault="008F7DDB" w:rsidP="008F7DDB">
      <w:pPr>
        <w:widowControl w:val="0"/>
        <w:spacing w:before="32" w:line="240" w:lineRule="auto"/>
        <w:ind w:right="-20"/>
        <w:jc w:val="both"/>
        <w:rPr>
          <w:i/>
          <w:lang w:val="sr-Latn-ME"/>
        </w:rPr>
      </w:pPr>
      <w:r w:rsidRPr="00291333">
        <w:rPr>
          <w:i/>
          <w:u w:val="single"/>
          <w:lang w:val="sr-Latn-ME" w:eastAsia="sl-SI"/>
        </w:rPr>
        <w:t>Pedijatrijski pacijenti:</w:t>
      </w:r>
      <w:r w:rsidRPr="00291333">
        <w:rPr>
          <w:lang w:val="sr-Latn-ME" w:eastAsia="sl-SI"/>
        </w:rPr>
        <w:t xml:space="preserve"> U studiji I2301 ukupno 93 djece, adolescenata i mladih odraslih pacijenata (uzrasta od 1 do 22 godine) sa Ph+ ALL bilo je uključeno u jedno otvoreno, multicentrično, sekvencijalno kohortno nerandomizovano ispitivanje faze III i liječeno imatinibom (primjenom doze od 340 mg/m</w:t>
      </w:r>
      <w:r w:rsidRPr="00291333">
        <w:rPr>
          <w:vertAlign w:val="superscript"/>
          <w:lang w:val="sr-Latn-ME" w:eastAsia="sl-SI"/>
        </w:rPr>
        <w:t xml:space="preserve">2 </w:t>
      </w:r>
      <w:r w:rsidRPr="00291333">
        <w:rPr>
          <w:lang w:val="sr-Latn-ME" w:eastAsia="sl-SI"/>
        </w:rPr>
        <w:t xml:space="preserve">/dan) zajedno sa intenzivnom hemioterapijom nakon indukcione terapije. Imatinib je povremeno primjenjivan u kohortama 1-5, pri čemu je terapija ranije počinjala i trajala sve duže od jedne do druge kohorte; pri čemu je kohorta 1 primala najmanju jačinu, a kohorta 5 najveću jačinu imatiniba (najduže trajanje u danima sa stalnim dnevnim doziranjem imatinibom za vrijeme prvog ciklusa hemioterpije). Kontinuirana svakodnevna izloženost imatinibu u ranoj fazi liječenja u kombinaciji sa hemioterapijom dovela je kod pacijenata iz kohorte 5 (n=50) do poboljšavanja četvorogodišnjeg preživljavanja bez događaja (engl. </w:t>
      </w:r>
      <w:r w:rsidRPr="00291333">
        <w:rPr>
          <w:i/>
          <w:lang w:val="sr-Latn-ME" w:eastAsia="sl-SI"/>
        </w:rPr>
        <w:t>event-free survival,</w:t>
      </w:r>
      <w:r w:rsidRPr="00291333">
        <w:rPr>
          <w:lang w:val="sr-Latn-ME" w:eastAsia="sl-SI"/>
        </w:rPr>
        <w:t xml:space="preserve"> EFS) u odnosu na ranije kontrolne kohorte (n=120) koje su primale standardnu hemioterapiju bez imatiniba (69,6% u odnosu na 31,6%). Procijenjeno 4-godišnje ukupno preživljavanje (OS) pacijenata iz kohorte 5 bilo je 83,6%, u poređenju sa 44,8% u ranijoj kontrolnoj kohorti. Od 50 pacijenata u kohorti 5, 20 pacijenata (40%) bilo je sa transplantiranim hematopoeznim matičnim ćelijama.</w:t>
      </w:r>
    </w:p>
    <w:p w14:paraId="6F7F0550" w14:textId="77777777" w:rsidR="008F7DDB" w:rsidRPr="00291333" w:rsidRDefault="008F7DDB" w:rsidP="008F7DDB">
      <w:pPr>
        <w:widowControl w:val="0"/>
        <w:spacing w:before="32" w:line="240" w:lineRule="auto"/>
        <w:ind w:right="-20"/>
        <w:jc w:val="both"/>
        <w:rPr>
          <w:lang w:val="sr-Latn-ME"/>
        </w:rPr>
      </w:pPr>
    </w:p>
    <w:p w14:paraId="76FBAFC4" w14:textId="77777777" w:rsidR="008F7DDB" w:rsidRPr="00291333" w:rsidRDefault="008F7DDB" w:rsidP="008F7DDB">
      <w:pPr>
        <w:widowControl w:val="0"/>
        <w:spacing w:before="19" w:line="240" w:lineRule="exact"/>
        <w:rPr>
          <w:b/>
          <w:lang w:val="sr-Latn-ME" w:eastAsia="sl-SI"/>
        </w:rPr>
      </w:pPr>
      <w:r w:rsidRPr="00291333">
        <w:rPr>
          <w:b/>
          <w:lang w:val="sr-Latn-ME" w:eastAsia="sl-SI"/>
        </w:rPr>
        <w:t>Tabela 5. Režim hemioterapije primijenjen u kombinaciji sa imatinibom u studiji I2301</w:t>
      </w:r>
    </w:p>
    <w:p w14:paraId="3092ED03" w14:textId="77777777" w:rsidR="008F7DDB" w:rsidRPr="00291333" w:rsidRDefault="008F7DDB" w:rsidP="008F7DDB">
      <w:pPr>
        <w:widowControl w:val="0"/>
        <w:spacing w:before="19" w:line="240" w:lineRule="exact"/>
        <w:rPr>
          <w:b/>
          <w:lang w:val="sr-Latn-ME" w:eastAsia="sl-SI"/>
        </w:rPr>
      </w:pPr>
    </w:p>
    <w:tbl>
      <w:tblPr>
        <w:tblW w:w="9639" w:type="dxa"/>
        <w:tblInd w:w="-5" w:type="dxa"/>
        <w:tblCellMar>
          <w:top w:w="48" w:type="dxa"/>
          <w:left w:w="110" w:type="dxa"/>
          <w:right w:w="50" w:type="dxa"/>
        </w:tblCellMar>
        <w:tblLook w:val="04A0" w:firstRow="1" w:lastRow="0" w:firstColumn="1" w:lastColumn="0" w:noHBand="0" w:noVBand="1"/>
      </w:tblPr>
      <w:tblGrid>
        <w:gridCol w:w="4824"/>
        <w:gridCol w:w="4815"/>
      </w:tblGrid>
      <w:tr w:rsidR="008F7DDB" w:rsidRPr="0040712C" w14:paraId="08CFD507" w14:textId="77777777" w:rsidTr="0040712C">
        <w:trPr>
          <w:trHeight w:val="2794"/>
        </w:trPr>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0F9B5AD8" w14:textId="77777777" w:rsidR="008F7DDB" w:rsidRPr="00291333" w:rsidRDefault="008F7DDB" w:rsidP="0040712C">
            <w:pPr>
              <w:rPr>
                <w:lang w:val="sr-Latn-ME" w:eastAsia="sl-SI"/>
              </w:rPr>
            </w:pPr>
            <w:r w:rsidRPr="00291333">
              <w:rPr>
                <w:lang w:val="sr-Latn-ME" w:eastAsia="sl-SI"/>
              </w:rPr>
              <w:lastRenderedPageBreak/>
              <w:t xml:space="preserve">Konsolidacioni blok 1 (3 nedjelje)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55F8C046" w14:textId="77777777" w:rsidR="008F7DDB" w:rsidRPr="00291333" w:rsidRDefault="008F7DDB" w:rsidP="0040712C">
            <w:pPr>
              <w:rPr>
                <w:lang w:val="sr-Latn-ME" w:eastAsia="sl-SI"/>
              </w:rPr>
            </w:pPr>
            <w:r w:rsidRPr="00291333">
              <w:rPr>
                <w:lang w:val="sr-Latn-ME" w:eastAsia="sl-SI"/>
              </w:rPr>
              <w:t>VP-16 (100 mg/m</w:t>
            </w:r>
            <w:r w:rsidRPr="00291333">
              <w:rPr>
                <w:vertAlign w:val="superscript"/>
                <w:lang w:val="sr-Latn-ME" w:eastAsia="sl-SI"/>
              </w:rPr>
              <w:t>2</w:t>
            </w:r>
            <w:r w:rsidRPr="00291333">
              <w:rPr>
                <w:lang w:val="sr-Latn-ME" w:eastAsia="sl-SI"/>
              </w:rPr>
              <w:t xml:space="preserve">/dan, i.v.): dani 1-5 </w:t>
            </w:r>
          </w:p>
          <w:p w14:paraId="42F512EC" w14:textId="77777777" w:rsidR="008F7DDB" w:rsidRPr="00291333" w:rsidRDefault="008F7DDB" w:rsidP="0040712C">
            <w:pPr>
              <w:spacing w:after="45"/>
              <w:rPr>
                <w:lang w:val="sr-Latn-ME" w:eastAsia="sl-SI"/>
              </w:rPr>
            </w:pPr>
            <w:r w:rsidRPr="00291333">
              <w:rPr>
                <w:lang w:val="sr-Latn-ME" w:eastAsia="sl-SI"/>
              </w:rPr>
              <w:t>Ifosfamid (1,8 g/m</w:t>
            </w:r>
            <w:r w:rsidRPr="00291333">
              <w:rPr>
                <w:vertAlign w:val="superscript"/>
                <w:lang w:val="sr-Latn-ME" w:eastAsia="sl-SI"/>
              </w:rPr>
              <w:t>2</w:t>
            </w:r>
            <w:r w:rsidRPr="00291333">
              <w:rPr>
                <w:lang w:val="sr-Latn-ME" w:eastAsia="sl-SI"/>
              </w:rPr>
              <w:t xml:space="preserve">/dan, i.v.): dani 1-5 </w:t>
            </w:r>
          </w:p>
          <w:p w14:paraId="4EE3CB3D" w14:textId="77777777" w:rsidR="008F7DDB" w:rsidRPr="00291333" w:rsidRDefault="008F7DDB" w:rsidP="0040712C">
            <w:pPr>
              <w:spacing w:line="240" w:lineRule="auto"/>
              <w:rPr>
                <w:lang w:val="sr-Latn-ME" w:eastAsia="sl-SI"/>
              </w:rPr>
            </w:pPr>
            <w:r w:rsidRPr="00291333">
              <w:rPr>
                <w:lang w:val="sr-Latn-ME" w:eastAsia="sl-SI"/>
              </w:rPr>
              <w:t>MESNA (360 mg/m</w:t>
            </w:r>
            <w:r w:rsidRPr="00291333">
              <w:rPr>
                <w:vertAlign w:val="superscript"/>
                <w:lang w:val="sr-Latn-ME" w:eastAsia="sl-SI"/>
              </w:rPr>
              <w:t>2</w:t>
            </w:r>
            <w:r w:rsidRPr="00291333">
              <w:rPr>
                <w:lang w:val="sr-Latn-ME" w:eastAsia="sl-SI"/>
              </w:rPr>
              <w:t xml:space="preserve">/doza svaka 3h, x 8 doza dnevno, i.v.): dani 1-5 </w:t>
            </w:r>
          </w:p>
          <w:p w14:paraId="13F8C565" w14:textId="77777777" w:rsidR="008F7DDB" w:rsidRPr="00291333" w:rsidRDefault="008F7DDB" w:rsidP="0040712C">
            <w:pPr>
              <w:spacing w:after="5" w:line="234" w:lineRule="auto"/>
              <w:rPr>
                <w:lang w:val="sr-Latn-ME" w:eastAsia="sl-SI"/>
              </w:rPr>
            </w:pPr>
            <w:r w:rsidRPr="00291333">
              <w:rPr>
                <w:lang w:val="sr-Latn-ME" w:eastAsia="sl-SI"/>
              </w:rPr>
              <w:t xml:space="preserve">G-CSF (5 mikrogram/kg, s.c.): dan 6-15 ili dok ANC ne bude &gt;1500 nakon najniže izmjerene vrijednosti </w:t>
            </w:r>
          </w:p>
          <w:p w14:paraId="49B96C30" w14:textId="77777777" w:rsidR="008F7DDB" w:rsidRPr="00291333" w:rsidRDefault="008F7DDB" w:rsidP="0040712C">
            <w:pPr>
              <w:spacing w:after="5"/>
              <w:rPr>
                <w:lang w:val="sr-Latn-ME" w:eastAsia="sl-SI"/>
              </w:rPr>
            </w:pPr>
            <w:r w:rsidRPr="00291333">
              <w:rPr>
                <w:lang w:val="sr-Latn-ME" w:eastAsia="sl-SI"/>
              </w:rPr>
              <w:t xml:space="preserve">(nadir) </w:t>
            </w:r>
          </w:p>
          <w:p w14:paraId="697845A0" w14:textId="77777777" w:rsidR="008F7DDB" w:rsidRPr="00291333" w:rsidRDefault="008F7DDB" w:rsidP="0040712C">
            <w:pPr>
              <w:spacing w:line="244" w:lineRule="auto"/>
              <w:rPr>
                <w:lang w:val="sr-Latn-ME" w:eastAsia="sl-SI"/>
              </w:rPr>
            </w:pPr>
            <w:r w:rsidRPr="00291333">
              <w:rPr>
                <w:lang w:val="sr-Latn-ME" w:eastAsia="sl-SI"/>
              </w:rPr>
              <w:t xml:space="preserve">i.t. metotreksat (u skladu sa godinama): SAMO 1. dan </w:t>
            </w:r>
          </w:p>
          <w:p w14:paraId="4614034F" w14:textId="77777777" w:rsidR="008F7DDB" w:rsidRPr="00291333" w:rsidRDefault="008F7DDB" w:rsidP="0040712C">
            <w:pPr>
              <w:rPr>
                <w:lang w:val="sr-Latn-ME" w:eastAsia="sl-SI"/>
              </w:rPr>
            </w:pPr>
            <w:r w:rsidRPr="00291333">
              <w:rPr>
                <w:lang w:val="sr-Latn-ME" w:eastAsia="sl-SI"/>
              </w:rPr>
              <w:t>Trostruka IT terapija (u skladu sa godinama): dana 8, 15</w:t>
            </w:r>
          </w:p>
        </w:tc>
      </w:tr>
      <w:tr w:rsidR="008F7DDB" w:rsidRPr="00C86919" w14:paraId="0786C087" w14:textId="77777777" w:rsidTr="0040712C">
        <w:trPr>
          <w:trHeight w:val="2285"/>
        </w:trPr>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282C3387" w14:textId="77777777" w:rsidR="008F7DDB" w:rsidRPr="00291333" w:rsidRDefault="008F7DDB" w:rsidP="0040712C">
            <w:pPr>
              <w:rPr>
                <w:lang w:val="sr-Latn-ME" w:eastAsia="sl-SI"/>
              </w:rPr>
            </w:pPr>
            <w:r w:rsidRPr="00291333">
              <w:rPr>
                <w:lang w:val="sr-Latn-ME" w:eastAsia="sl-SI"/>
              </w:rPr>
              <w:t xml:space="preserve">Konsolidacioni blok 2 (3 nedjelje)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42C18E8B" w14:textId="77777777" w:rsidR="008F7DDB" w:rsidRPr="00291333" w:rsidRDefault="008F7DDB" w:rsidP="0040712C">
            <w:pPr>
              <w:spacing w:after="24"/>
              <w:rPr>
                <w:lang w:val="sr-Latn-ME" w:eastAsia="sl-SI"/>
              </w:rPr>
            </w:pPr>
            <w:r w:rsidRPr="00291333">
              <w:rPr>
                <w:lang w:val="sr-Latn-ME" w:eastAsia="sl-SI"/>
              </w:rPr>
              <w:t>Metotreksat (5 g/m</w:t>
            </w:r>
            <w:r w:rsidRPr="00291333">
              <w:rPr>
                <w:vertAlign w:val="superscript"/>
                <w:lang w:val="sr-Latn-ME" w:eastAsia="sl-SI"/>
              </w:rPr>
              <w:t xml:space="preserve">2 </w:t>
            </w:r>
            <w:r w:rsidRPr="00291333">
              <w:rPr>
                <w:lang w:val="sr-Latn-ME" w:eastAsia="sl-SI"/>
              </w:rPr>
              <w:t xml:space="preserve">tokom 24 sata, i.v.): dan 1 </w:t>
            </w:r>
          </w:p>
          <w:p w14:paraId="168655CC" w14:textId="77777777" w:rsidR="008F7DDB" w:rsidRPr="00291333" w:rsidRDefault="008F7DDB" w:rsidP="0040712C">
            <w:pPr>
              <w:spacing w:line="311" w:lineRule="auto"/>
              <w:rPr>
                <w:lang w:val="sr-Latn-ME" w:eastAsia="sl-SI"/>
              </w:rPr>
            </w:pPr>
            <w:r w:rsidRPr="00291333">
              <w:rPr>
                <w:lang w:val="sr-Latn-ME" w:eastAsia="sl-SI"/>
              </w:rPr>
              <w:t>Leukovorin (75 mg/m</w:t>
            </w:r>
            <w:r w:rsidRPr="00291333">
              <w:rPr>
                <w:vertAlign w:val="superscript"/>
                <w:lang w:val="sr-Latn-ME" w:eastAsia="sl-SI"/>
              </w:rPr>
              <w:t xml:space="preserve">2 </w:t>
            </w:r>
            <w:r w:rsidRPr="00291333">
              <w:rPr>
                <w:lang w:val="sr-Latn-ME" w:eastAsia="sl-SI"/>
              </w:rPr>
              <w:t>u 36. satu, i.v.; 15 mg/m</w:t>
            </w:r>
            <w:r w:rsidRPr="00291333">
              <w:rPr>
                <w:vertAlign w:val="superscript"/>
                <w:lang w:val="sr-Latn-ME" w:eastAsia="sl-SI"/>
              </w:rPr>
              <w:t xml:space="preserve">2 </w:t>
            </w:r>
            <w:r w:rsidRPr="00291333">
              <w:rPr>
                <w:lang w:val="sr-Latn-ME" w:eastAsia="sl-SI"/>
              </w:rPr>
              <w:t xml:space="preserve">i.v. ili p.o. svakih 6h x 6 doza) iii: dana 2 i 3 </w:t>
            </w:r>
          </w:p>
          <w:p w14:paraId="3A962AC8" w14:textId="77777777" w:rsidR="008F7DDB" w:rsidRPr="00291333" w:rsidRDefault="008F7DDB" w:rsidP="0040712C">
            <w:pPr>
              <w:spacing w:after="1" w:line="263" w:lineRule="auto"/>
              <w:ind w:right="56"/>
              <w:rPr>
                <w:lang w:val="sr-Latn-ME" w:eastAsia="sl-SI"/>
              </w:rPr>
            </w:pPr>
            <w:r w:rsidRPr="00291333">
              <w:rPr>
                <w:lang w:val="sr-Latn-ME" w:eastAsia="sl-SI"/>
              </w:rPr>
              <w:t>Trostruka i.t. terapija (u skladu sa godinama): dan 1 ARA-C (3 g/m</w:t>
            </w:r>
            <w:r w:rsidRPr="00291333">
              <w:rPr>
                <w:vertAlign w:val="superscript"/>
                <w:lang w:val="sr-Latn-ME" w:eastAsia="sl-SI"/>
              </w:rPr>
              <w:t>2</w:t>
            </w:r>
            <w:r w:rsidRPr="00291333">
              <w:rPr>
                <w:lang w:val="sr-Latn-ME" w:eastAsia="sl-SI"/>
              </w:rPr>
              <w:t xml:space="preserve">/doza na svakih 12 h x 4, i.v.): dani 2 i 3 </w:t>
            </w:r>
          </w:p>
          <w:p w14:paraId="2DF412EC" w14:textId="77777777" w:rsidR="008F7DDB" w:rsidRPr="00291333" w:rsidRDefault="008F7DDB" w:rsidP="0040712C">
            <w:pPr>
              <w:ind w:right="55"/>
              <w:rPr>
                <w:lang w:val="sr-Latn-ME" w:eastAsia="sl-SI"/>
              </w:rPr>
            </w:pPr>
            <w:r w:rsidRPr="00291333">
              <w:rPr>
                <w:lang w:val="sr-Latn-ME" w:eastAsia="sl-SI"/>
              </w:rPr>
              <w:t>G-CFS (5 mikrograma/kg, s.c.): dani 4-13 ili dok ANC ne bude &gt;1500 nakon najniže izmjerene vrijednosti (nadir)</w:t>
            </w:r>
          </w:p>
        </w:tc>
      </w:tr>
    </w:tbl>
    <w:p w14:paraId="5794B7E2" w14:textId="77777777" w:rsidR="008F7DDB" w:rsidRPr="00291333" w:rsidRDefault="008F7DDB" w:rsidP="008F7DDB">
      <w:pPr>
        <w:spacing w:line="240" w:lineRule="auto"/>
        <w:rPr>
          <w:vanish/>
          <w:lang w:val="sr-Latn-ME" w:eastAsia="sl-SI"/>
        </w:rPr>
      </w:pPr>
    </w:p>
    <w:tbl>
      <w:tblPr>
        <w:tblW w:w="9639" w:type="dxa"/>
        <w:tblInd w:w="-5" w:type="dxa"/>
        <w:tblCellMar>
          <w:top w:w="48" w:type="dxa"/>
          <w:left w:w="110" w:type="dxa"/>
          <w:right w:w="50" w:type="dxa"/>
        </w:tblCellMar>
        <w:tblLook w:val="04A0" w:firstRow="1" w:lastRow="0" w:firstColumn="1" w:lastColumn="0" w:noHBand="0" w:noVBand="1"/>
      </w:tblPr>
      <w:tblGrid>
        <w:gridCol w:w="4923"/>
        <w:gridCol w:w="4716"/>
      </w:tblGrid>
      <w:tr w:rsidR="008F7DDB" w:rsidRPr="0040712C" w14:paraId="5670EE00" w14:textId="77777777" w:rsidTr="0040712C">
        <w:trPr>
          <w:trHeight w:val="2342"/>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7F5F45D2" w14:textId="77777777" w:rsidR="008F7DDB" w:rsidRPr="00291333" w:rsidRDefault="008F7DDB" w:rsidP="0040712C">
            <w:pPr>
              <w:rPr>
                <w:lang w:val="sr-Latn-ME" w:eastAsia="sl-SI"/>
              </w:rPr>
            </w:pPr>
            <w:r w:rsidRPr="00291333">
              <w:rPr>
                <w:lang w:val="sr-Latn-ME" w:eastAsia="sl-SI"/>
              </w:rPr>
              <w:t xml:space="preserve">Reindukcioni blok 1 (3 nedjelje)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050678A3" w14:textId="77777777" w:rsidR="008F7DDB" w:rsidRPr="00291333" w:rsidRDefault="008F7DDB" w:rsidP="0040712C">
            <w:pPr>
              <w:spacing w:after="2"/>
              <w:rPr>
                <w:lang w:val="sr-Latn-ME" w:eastAsia="sl-SI"/>
              </w:rPr>
            </w:pPr>
            <w:r w:rsidRPr="00291333">
              <w:rPr>
                <w:lang w:val="sr-Latn-ME" w:eastAsia="sl-SI"/>
              </w:rPr>
              <w:t>VCR (1,5 mg/m</w:t>
            </w:r>
            <w:r w:rsidRPr="00291333">
              <w:rPr>
                <w:vertAlign w:val="superscript"/>
                <w:lang w:val="sr-Latn-ME" w:eastAsia="sl-SI"/>
              </w:rPr>
              <w:t>2</w:t>
            </w:r>
            <w:r w:rsidRPr="00291333">
              <w:rPr>
                <w:lang w:val="sr-Latn-ME" w:eastAsia="sl-SI"/>
              </w:rPr>
              <w:t xml:space="preserve">/dan, i.v.): dani 1, 8 i 15 </w:t>
            </w:r>
          </w:p>
          <w:p w14:paraId="644EB5B1" w14:textId="77777777" w:rsidR="008F7DDB" w:rsidRPr="00291333" w:rsidRDefault="008F7DDB" w:rsidP="0040712C">
            <w:pPr>
              <w:spacing w:after="43"/>
              <w:rPr>
                <w:lang w:val="sr-Latn-ME" w:eastAsia="sl-SI"/>
              </w:rPr>
            </w:pPr>
            <w:r w:rsidRPr="00291333">
              <w:rPr>
                <w:lang w:val="sr-Latn-ME" w:eastAsia="sl-SI"/>
              </w:rPr>
              <w:t>DAUN (45 mg/m</w:t>
            </w:r>
            <w:r w:rsidRPr="00291333">
              <w:rPr>
                <w:vertAlign w:val="superscript"/>
                <w:lang w:val="sr-Latn-ME" w:eastAsia="sl-SI"/>
              </w:rPr>
              <w:t>2</w:t>
            </w:r>
            <w:r w:rsidRPr="00291333">
              <w:rPr>
                <w:lang w:val="sr-Latn-ME" w:eastAsia="sl-SI"/>
              </w:rPr>
              <w:t xml:space="preserve">/dan bolus, i.v.): dani 1 i 2 </w:t>
            </w:r>
          </w:p>
          <w:p w14:paraId="3A9D3525" w14:textId="77777777" w:rsidR="008F7DDB" w:rsidRPr="00291333" w:rsidRDefault="008F7DDB" w:rsidP="0040712C">
            <w:pPr>
              <w:rPr>
                <w:lang w:val="sr-Latn-ME" w:eastAsia="sl-SI"/>
              </w:rPr>
            </w:pPr>
            <w:r w:rsidRPr="00291333">
              <w:rPr>
                <w:lang w:val="sr-Latn-ME" w:eastAsia="sl-SI"/>
              </w:rPr>
              <w:t>CPM (250 mg/m</w:t>
            </w:r>
            <w:r w:rsidRPr="00291333">
              <w:rPr>
                <w:vertAlign w:val="superscript"/>
                <w:lang w:val="sr-Latn-ME" w:eastAsia="sl-SI"/>
              </w:rPr>
              <w:t>2</w:t>
            </w:r>
            <w:r w:rsidRPr="00291333">
              <w:rPr>
                <w:lang w:val="sr-Latn-ME" w:eastAsia="sl-SI"/>
              </w:rPr>
              <w:t xml:space="preserve">/doza na svakih 12 h x 4 doze, i.v.): </w:t>
            </w:r>
          </w:p>
          <w:p w14:paraId="3C0CB138" w14:textId="77777777" w:rsidR="008F7DDB" w:rsidRPr="00291333" w:rsidRDefault="008F7DDB" w:rsidP="0040712C">
            <w:pPr>
              <w:rPr>
                <w:lang w:val="sr-Latn-ME" w:eastAsia="sl-SI"/>
              </w:rPr>
            </w:pPr>
            <w:r w:rsidRPr="00291333">
              <w:rPr>
                <w:lang w:val="sr-Latn-ME" w:eastAsia="sl-SI"/>
              </w:rPr>
              <w:t xml:space="preserve">dani 3 i 4 </w:t>
            </w:r>
          </w:p>
          <w:p w14:paraId="4DF796F2" w14:textId="77777777" w:rsidR="008F7DDB" w:rsidRPr="00291333" w:rsidRDefault="008F7DDB" w:rsidP="0040712C">
            <w:pPr>
              <w:spacing w:after="14"/>
              <w:rPr>
                <w:lang w:val="sr-Latn-ME" w:eastAsia="sl-SI"/>
              </w:rPr>
            </w:pPr>
            <w:r w:rsidRPr="00291333">
              <w:rPr>
                <w:lang w:val="sr-Latn-ME" w:eastAsia="sl-SI"/>
              </w:rPr>
              <w:t>PEG-ASP (2500 i.j./m</w:t>
            </w:r>
            <w:r w:rsidRPr="00291333">
              <w:rPr>
                <w:vertAlign w:val="superscript"/>
                <w:lang w:val="sr-Latn-ME" w:eastAsia="sl-SI"/>
              </w:rPr>
              <w:t>2</w:t>
            </w:r>
            <w:r w:rsidRPr="00291333">
              <w:rPr>
                <w:lang w:val="sr-Latn-ME" w:eastAsia="sl-SI"/>
              </w:rPr>
              <w:t xml:space="preserve">, i.m.): dan 4 </w:t>
            </w:r>
          </w:p>
          <w:p w14:paraId="2E66A771" w14:textId="77777777" w:rsidR="008F7DDB" w:rsidRPr="00291333" w:rsidRDefault="008F7DDB" w:rsidP="0040712C">
            <w:pPr>
              <w:spacing w:after="22" w:line="239" w:lineRule="auto"/>
              <w:ind w:right="55"/>
              <w:rPr>
                <w:lang w:val="sr-Latn-ME" w:eastAsia="sl-SI"/>
              </w:rPr>
            </w:pPr>
            <w:r w:rsidRPr="00291333">
              <w:rPr>
                <w:lang w:val="sr-Latn-ME" w:eastAsia="sl-SI"/>
              </w:rPr>
              <w:t xml:space="preserve">G-CSF (5 mikrograma/kg, s.c.): dan 5-14 ili dok ANC ne bude &gt;1500 nakon najniže izmjerene vrijednosti (nadir) </w:t>
            </w:r>
          </w:p>
          <w:p w14:paraId="3332789D" w14:textId="77777777" w:rsidR="008F7DDB" w:rsidRPr="00291333" w:rsidRDefault="008F7DDB" w:rsidP="0040712C">
            <w:pPr>
              <w:spacing w:after="4" w:line="244" w:lineRule="auto"/>
              <w:rPr>
                <w:lang w:val="sr-Latn-ME" w:eastAsia="sl-SI"/>
              </w:rPr>
            </w:pPr>
            <w:r w:rsidRPr="00291333">
              <w:rPr>
                <w:lang w:val="sr-Latn-ME" w:eastAsia="sl-SI"/>
              </w:rPr>
              <w:t xml:space="preserve">Trostruka i.t. terapija (u skladu sa godinama): dani 1 i 15 </w:t>
            </w:r>
          </w:p>
          <w:p w14:paraId="3249DB5B" w14:textId="77777777" w:rsidR="008F7DDB" w:rsidRPr="00291333" w:rsidRDefault="008F7DDB" w:rsidP="0040712C">
            <w:pPr>
              <w:rPr>
                <w:lang w:val="sr-Latn-ME" w:eastAsia="sl-SI"/>
              </w:rPr>
            </w:pPr>
            <w:r w:rsidRPr="00291333">
              <w:rPr>
                <w:lang w:val="sr-Latn-ME" w:eastAsia="sl-SI"/>
              </w:rPr>
              <w:t>DEX (6 mg/m</w:t>
            </w:r>
            <w:r w:rsidRPr="00291333">
              <w:rPr>
                <w:vertAlign w:val="superscript"/>
                <w:lang w:val="sr-Latn-ME" w:eastAsia="sl-SI"/>
              </w:rPr>
              <w:t>2</w:t>
            </w:r>
            <w:r w:rsidRPr="00291333">
              <w:rPr>
                <w:lang w:val="sr-Latn-ME" w:eastAsia="sl-SI"/>
              </w:rPr>
              <w:t>/dan, p.o.): dani 1-7 i 15-21</w:t>
            </w:r>
          </w:p>
        </w:tc>
      </w:tr>
      <w:tr w:rsidR="008F7DDB" w:rsidRPr="0040712C" w14:paraId="00D4C4BA" w14:textId="77777777" w:rsidTr="0040712C">
        <w:trPr>
          <w:trHeight w:val="2773"/>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45675BD4" w14:textId="77777777" w:rsidR="008F7DDB" w:rsidRPr="00291333" w:rsidRDefault="008F7DDB" w:rsidP="0040712C">
            <w:pPr>
              <w:rPr>
                <w:lang w:val="sr-Latn-ME" w:eastAsia="sl-SI"/>
              </w:rPr>
            </w:pPr>
            <w:r w:rsidRPr="00291333">
              <w:rPr>
                <w:lang w:val="sr-Latn-ME" w:eastAsia="sl-SI"/>
              </w:rPr>
              <w:t xml:space="preserve">Blok intenzifikacije 1 (9 nedjelja)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293AA816" w14:textId="77777777" w:rsidR="008F7DDB" w:rsidRPr="00291333" w:rsidRDefault="008F7DDB" w:rsidP="0040712C">
            <w:pPr>
              <w:spacing w:line="298" w:lineRule="auto"/>
              <w:ind w:right="56"/>
              <w:rPr>
                <w:lang w:val="sr-Latn-ME" w:eastAsia="sl-SI"/>
              </w:rPr>
            </w:pPr>
            <w:r w:rsidRPr="00291333">
              <w:rPr>
                <w:lang w:val="sr-Latn-ME" w:eastAsia="sl-SI"/>
              </w:rPr>
              <w:t>Metotreksat (5 g/m</w:t>
            </w:r>
            <w:r w:rsidRPr="00291333">
              <w:rPr>
                <w:vertAlign w:val="superscript"/>
                <w:lang w:val="sr-Latn-ME" w:eastAsia="sl-SI"/>
              </w:rPr>
              <w:t xml:space="preserve">2 </w:t>
            </w:r>
            <w:r w:rsidRPr="00291333">
              <w:rPr>
                <w:lang w:val="sr-Latn-ME" w:eastAsia="sl-SI"/>
              </w:rPr>
              <w:t>tokom 24 sata, i.v.): dana 1 i 15 Leukovorin (75 mg/m</w:t>
            </w:r>
            <w:r w:rsidRPr="00291333">
              <w:rPr>
                <w:vertAlign w:val="superscript"/>
                <w:lang w:val="sr-Latn-ME" w:eastAsia="sl-SI"/>
              </w:rPr>
              <w:t xml:space="preserve">2 </w:t>
            </w:r>
            <w:r w:rsidRPr="00291333">
              <w:rPr>
                <w:lang w:val="sr-Latn-ME" w:eastAsia="sl-SI"/>
              </w:rPr>
              <w:t>sata 36, i.v.; 15 mg/m</w:t>
            </w:r>
            <w:r w:rsidRPr="00291333">
              <w:rPr>
                <w:vertAlign w:val="superscript"/>
                <w:lang w:val="sr-Latn-ME" w:eastAsia="sl-SI"/>
              </w:rPr>
              <w:t xml:space="preserve">2 </w:t>
            </w:r>
            <w:r w:rsidRPr="00291333">
              <w:rPr>
                <w:lang w:val="sr-Latn-ME" w:eastAsia="sl-SI"/>
              </w:rPr>
              <w:t xml:space="preserve">i.v. ili p.o. svakih 6h x 6 doza) iii: dani 2, 3, 16 i 17 </w:t>
            </w:r>
          </w:p>
          <w:p w14:paraId="4A4F2630" w14:textId="77777777" w:rsidR="008F7DDB" w:rsidRPr="00291333" w:rsidRDefault="008F7DDB" w:rsidP="0040712C">
            <w:pPr>
              <w:spacing w:after="9" w:line="240" w:lineRule="auto"/>
              <w:rPr>
                <w:lang w:val="sr-Latn-ME" w:eastAsia="sl-SI"/>
              </w:rPr>
            </w:pPr>
            <w:r w:rsidRPr="00291333">
              <w:rPr>
                <w:lang w:val="sr-Latn-ME" w:eastAsia="sl-SI"/>
              </w:rPr>
              <w:t xml:space="preserve">Trostruka i.t. terapija (u skladu sa godinama): dani 1 i 22 </w:t>
            </w:r>
          </w:p>
          <w:p w14:paraId="5978E33E" w14:textId="77777777" w:rsidR="008F7DDB" w:rsidRPr="00291333" w:rsidRDefault="008F7DDB" w:rsidP="0040712C">
            <w:pPr>
              <w:spacing w:after="24"/>
              <w:rPr>
                <w:lang w:val="sr-Latn-ME" w:eastAsia="sl-SI"/>
              </w:rPr>
            </w:pPr>
            <w:r w:rsidRPr="00291333">
              <w:rPr>
                <w:lang w:val="sr-Latn-ME" w:eastAsia="sl-SI"/>
              </w:rPr>
              <w:t>VP-16 (100 mg/m</w:t>
            </w:r>
            <w:r w:rsidRPr="00291333">
              <w:rPr>
                <w:vertAlign w:val="superscript"/>
                <w:lang w:val="sr-Latn-ME" w:eastAsia="sl-SI"/>
              </w:rPr>
              <w:t>2</w:t>
            </w:r>
            <w:r w:rsidRPr="00291333">
              <w:rPr>
                <w:lang w:val="sr-Latn-ME" w:eastAsia="sl-SI"/>
              </w:rPr>
              <w:t xml:space="preserve">/dan, i.v.): dani 22-26 </w:t>
            </w:r>
          </w:p>
          <w:p w14:paraId="0DB29945" w14:textId="77777777" w:rsidR="008F7DDB" w:rsidRPr="00291333" w:rsidRDefault="008F7DDB" w:rsidP="0040712C">
            <w:pPr>
              <w:spacing w:after="19"/>
              <w:rPr>
                <w:lang w:val="sr-Latn-ME" w:eastAsia="sl-SI"/>
              </w:rPr>
            </w:pPr>
            <w:r w:rsidRPr="00291333">
              <w:rPr>
                <w:lang w:val="sr-Latn-ME" w:eastAsia="sl-SI"/>
              </w:rPr>
              <w:t>CPM (300 mg/m</w:t>
            </w:r>
            <w:r w:rsidRPr="00291333">
              <w:rPr>
                <w:vertAlign w:val="superscript"/>
                <w:lang w:val="sr-Latn-ME" w:eastAsia="sl-SI"/>
              </w:rPr>
              <w:t>2</w:t>
            </w:r>
            <w:r w:rsidRPr="00291333">
              <w:rPr>
                <w:lang w:val="sr-Latn-ME" w:eastAsia="sl-SI"/>
              </w:rPr>
              <w:t xml:space="preserve">/dan, i.v.): dani 22-26 </w:t>
            </w:r>
          </w:p>
          <w:p w14:paraId="17AE9415" w14:textId="77777777" w:rsidR="008F7DDB" w:rsidRPr="00291333" w:rsidRDefault="008F7DDB" w:rsidP="0040712C">
            <w:pPr>
              <w:spacing w:after="41"/>
              <w:rPr>
                <w:lang w:val="sr-Latn-ME" w:eastAsia="sl-SI"/>
              </w:rPr>
            </w:pPr>
            <w:r w:rsidRPr="00291333">
              <w:rPr>
                <w:lang w:val="sr-Latn-ME" w:eastAsia="sl-SI"/>
              </w:rPr>
              <w:t>MESNA (150 mg/m</w:t>
            </w:r>
            <w:r w:rsidRPr="00291333">
              <w:rPr>
                <w:vertAlign w:val="superscript"/>
                <w:lang w:val="sr-Latn-ME" w:eastAsia="sl-SI"/>
              </w:rPr>
              <w:t>2</w:t>
            </w:r>
            <w:r w:rsidRPr="00291333">
              <w:rPr>
                <w:lang w:val="sr-Latn-ME" w:eastAsia="sl-SI"/>
              </w:rPr>
              <w:t xml:space="preserve">/dan, i.v.): dani 22-26 </w:t>
            </w:r>
          </w:p>
          <w:p w14:paraId="1F739CF5" w14:textId="77777777" w:rsidR="008F7DDB" w:rsidRPr="00291333" w:rsidRDefault="008F7DDB" w:rsidP="0040712C">
            <w:pPr>
              <w:spacing w:after="10" w:line="239" w:lineRule="auto"/>
              <w:ind w:right="55"/>
              <w:rPr>
                <w:lang w:val="sr-Latn-ME" w:eastAsia="sl-SI"/>
              </w:rPr>
            </w:pPr>
            <w:r w:rsidRPr="00291333">
              <w:rPr>
                <w:lang w:val="sr-Latn-ME" w:eastAsia="sl-SI"/>
              </w:rPr>
              <w:t xml:space="preserve">G-CFS (5 mikrograma/kg, s.c.): dani 27-36 ili dok ANC ne bude &gt;1500 nakon najniže izmjerene vrijednosti (nadir) </w:t>
            </w:r>
          </w:p>
          <w:p w14:paraId="315926BE" w14:textId="77777777" w:rsidR="008F7DDB" w:rsidRPr="00291333" w:rsidRDefault="008F7DDB" w:rsidP="0040712C">
            <w:pPr>
              <w:spacing w:after="40"/>
              <w:rPr>
                <w:lang w:val="sr-Latn-ME" w:eastAsia="sl-SI"/>
              </w:rPr>
            </w:pPr>
            <w:r w:rsidRPr="00291333">
              <w:rPr>
                <w:lang w:val="sr-Latn-ME" w:eastAsia="sl-SI"/>
              </w:rPr>
              <w:t>ARA-C (3 g/m</w:t>
            </w:r>
            <w:r w:rsidRPr="00291333">
              <w:rPr>
                <w:vertAlign w:val="superscript"/>
                <w:lang w:val="sr-Latn-ME" w:eastAsia="sl-SI"/>
              </w:rPr>
              <w:t xml:space="preserve">2 </w:t>
            </w:r>
            <w:r w:rsidRPr="00291333">
              <w:rPr>
                <w:lang w:val="sr-Latn-ME" w:eastAsia="sl-SI"/>
              </w:rPr>
              <w:t xml:space="preserve">svakih 12 h, i.v.): dani 43, 44 </w:t>
            </w:r>
          </w:p>
          <w:p w14:paraId="4430024B" w14:textId="77777777" w:rsidR="008F7DDB" w:rsidRPr="00291333" w:rsidRDefault="008F7DDB" w:rsidP="0040712C">
            <w:pPr>
              <w:rPr>
                <w:lang w:val="sr-Latn-ME" w:eastAsia="sl-SI"/>
              </w:rPr>
            </w:pPr>
            <w:r w:rsidRPr="00291333">
              <w:rPr>
                <w:lang w:val="sr-Latn-ME" w:eastAsia="sl-SI"/>
              </w:rPr>
              <w:t>L-ASP (6000 i.j./m</w:t>
            </w:r>
            <w:r w:rsidRPr="00291333">
              <w:rPr>
                <w:vertAlign w:val="superscript"/>
                <w:lang w:val="sr-Latn-ME" w:eastAsia="sl-SI"/>
              </w:rPr>
              <w:t xml:space="preserve">2 </w:t>
            </w:r>
            <w:r w:rsidRPr="00291333">
              <w:rPr>
                <w:lang w:val="sr-Latn-ME" w:eastAsia="sl-SI"/>
              </w:rPr>
              <w:t>, i.m.): dan 44</w:t>
            </w:r>
          </w:p>
        </w:tc>
      </w:tr>
      <w:tr w:rsidR="008F7DDB" w:rsidRPr="0040712C" w14:paraId="5A1F8DF8" w14:textId="77777777" w:rsidTr="0040712C">
        <w:trPr>
          <w:trHeight w:val="2342"/>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7D8BC000" w14:textId="77777777" w:rsidR="008F7DDB" w:rsidRPr="00291333" w:rsidRDefault="008F7DDB" w:rsidP="0040712C">
            <w:pPr>
              <w:rPr>
                <w:lang w:val="sr-Latn-ME" w:eastAsia="sl-SI"/>
              </w:rPr>
            </w:pPr>
            <w:r w:rsidRPr="00291333">
              <w:rPr>
                <w:lang w:val="sr-Latn-ME" w:eastAsia="sl-SI"/>
              </w:rPr>
              <w:lastRenderedPageBreak/>
              <w:t xml:space="preserve">Reindukcioni blok 2 (3 nedjelje)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7551B530" w14:textId="77777777" w:rsidR="008F7DDB" w:rsidRPr="00291333" w:rsidRDefault="008F7DDB" w:rsidP="0040712C">
            <w:pPr>
              <w:spacing w:after="19"/>
              <w:rPr>
                <w:lang w:val="sr-Latn-ME" w:eastAsia="sl-SI"/>
              </w:rPr>
            </w:pPr>
            <w:r w:rsidRPr="00291333">
              <w:rPr>
                <w:lang w:val="sr-Latn-ME" w:eastAsia="sl-SI"/>
              </w:rPr>
              <w:t>VCR (1,5 mg/m</w:t>
            </w:r>
            <w:r w:rsidRPr="00291333">
              <w:rPr>
                <w:vertAlign w:val="superscript"/>
                <w:lang w:val="sr-Latn-ME" w:eastAsia="sl-SI"/>
              </w:rPr>
              <w:t>2</w:t>
            </w:r>
            <w:r w:rsidRPr="00291333">
              <w:rPr>
                <w:lang w:val="sr-Latn-ME" w:eastAsia="sl-SI"/>
              </w:rPr>
              <w:t xml:space="preserve">/dan, i.v.): dani 1, 8 i 15 </w:t>
            </w:r>
          </w:p>
          <w:p w14:paraId="5AA0DB1C" w14:textId="77777777" w:rsidR="008F7DDB" w:rsidRPr="00291333" w:rsidRDefault="008F7DDB" w:rsidP="0040712C">
            <w:pPr>
              <w:spacing w:after="38"/>
              <w:rPr>
                <w:lang w:val="sr-Latn-ME" w:eastAsia="sl-SI"/>
              </w:rPr>
            </w:pPr>
            <w:r w:rsidRPr="00291333">
              <w:rPr>
                <w:lang w:val="sr-Latn-ME" w:eastAsia="sl-SI"/>
              </w:rPr>
              <w:t>DAUN (45 mg/m</w:t>
            </w:r>
            <w:r w:rsidRPr="00291333">
              <w:rPr>
                <w:vertAlign w:val="superscript"/>
                <w:lang w:val="sr-Latn-ME" w:eastAsia="sl-SI"/>
              </w:rPr>
              <w:t>2</w:t>
            </w:r>
            <w:r w:rsidRPr="00291333">
              <w:rPr>
                <w:lang w:val="sr-Latn-ME" w:eastAsia="sl-SI"/>
              </w:rPr>
              <w:t xml:space="preserve">/dan bolus, i.v.): dani 1 i 2 </w:t>
            </w:r>
          </w:p>
          <w:p w14:paraId="6802B7EE" w14:textId="77777777" w:rsidR="008F7DDB" w:rsidRPr="00291333" w:rsidRDefault="008F7DDB" w:rsidP="0040712C">
            <w:pPr>
              <w:rPr>
                <w:lang w:val="sr-Latn-ME" w:eastAsia="sl-SI"/>
              </w:rPr>
            </w:pPr>
            <w:r w:rsidRPr="00291333">
              <w:rPr>
                <w:lang w:val="sr-Latn-ME" w:eastAsia="sl-SI"/>
              </w:rPr>
              <w:t>CPM (250 mg/m</w:t>
            </w:r>
            <w:r w:rsidRPr="00291333">
              <w:rPr>
                <w:vertAlign w:val="superscript"/>
                <w:lang w:val="sr-Latn-ME" w:eastAsia="sl-SI"/>
              </w:rPr>
              <w:t>2</w:t>
            </w:r>
            <w:r w:rsidRPr="00291333">
              <w:rPr>
                <w:lang w:val="sr-Latn-ME" w:eastAsia="sl-SI"/>
              </w:rPr>
              <w:t xml:space="preserve">/doza svakih 12h x 4 doze, i.v.): </w:t>
            </w:r>
          </w:p>
          <w:p w14:paraId="4B5721D7" w14:textId="77777777" w:rsidR="008F7DDB" w:rsidRPr="00291333" w:rsidRDefault="008F7DDB" w:rsidP="0040712C">
            <w:pPr>
              <w:rPr>
                <w:lang w:val="sr-Latn-ME" w:eastAsia="sl-SI"/>
              </w:rPr>
            </w:pPr>
            <w:r w:rsidRPr="00291333">
              <w:rPr>
                <w:lang w:val="sr-Latn-ME" w:eastAsia="sl-SI"/>
              </w:rPr>
              <w:t xml:space="preserve">dana 3 i 4 </w:t>
            </w:r>
          </w:p>
          <w:p w14:paraId="68BA2306" w14:textId="77777777" w:rsidR="008F7DDB" w:rsidRPr="00291333" w:rsidRDefault="008F7DDB" w:rsidP="0040712C">
            <w:pPr>
              <w:spacing w:after="14"/>
              <w:rPr>
                <w:lang w:val="sr-Latn-ME" w:eastAsia="sl-SI"/>
              </w:rPr>
            </w:pPr>
            <w:r w:rsidRPr="00291333">
              <w:rPr>
                <w:lang w:val="sr-Latn-ME" w:eastAsia="sl-SI"/>
              </w:rPr>
              <w:t>PEG-ASP (2500 i.j./m</w:t>
            </w:r>
            <w:r w:rsidRPr="00291333">
              <w:rPr>
                <w:vertAlign w:val="superscript"/>
                <w:lang w:val="sr-Latn-ME" w:eastAsia="sl-SI"/>
              </w:rPr>
              <w:t>2</w:t>
            </w:r>
            <w:r w:rsidRPr="00291333">
              <w:rPr>
                <w:lang w:val="sr-Latn-ME" w:eastAsia="sl-SI"/>
              </w:rPr>
              <w:t xml:space="preserve">, i.m.): dan 4 </w:t>
            </w:r>
          </w:p>
          <w:p w14:paraId="47DE88ED" w14:textId="77777777" w:rsidR="008F7DDB" w:rsidRPr="00291333" w:rsidRDefault="008F7DDB" w:rsidP="0040712C">
            <w:pPr>
              <w:spacing w:line="239" w:lineRule="auto"/>
              <w:rPr>
                <w:lang w:val="sr-Latn-ME" w:eastAsia="sl-SI"/>
              </w:rPr>
            </w:pPr>
            <w:r w:rsidRPr="00291333">
              <w:rPr>
                <w:lang w:val="sr-Latn-ME" w:eastAsia="sl-SI"/>
              </w:rPr>
              <w:t xml:space="preserve">G-CSF (5mikrogram/kg, s.c.): dan 5-14 ili dok ANC ne bude &gt;1500 nakon najniže izmjerene vrijednosti </w:t>
            </w:r>
          </w:p>
          <w:p w14:paraId="3F37CD94" w14:textId="77777777" w:rsidR="008F7DDB" w:rsidRPr="00291333" w:rsidRDefault="008F7DDB" w:rsidP="0040712C">
            <w:pPr>
              <w:rPr>
                <w:lang w:val="sr-Latn-ME" w:eastAsia="sl-SI"/>
              </w:rPr>
            </w:pPr>
            <w:r w:rsidRPr="00291333">
              <w:rPr>
                <w:lang w:val="sr-Latn-ME" w:eastAsia="sl-SI"/>
              </w:rPr>
              <w:t xml:space="preserve">(nadir) </w:t>
            </w:r>
          </w:p>
          <w:p w14:paraId="5AD68CAB" w14:textId="77777777" w:rsidR="008F7DDB" w:rsidRPr="00291333" w:rsidRDefault="008F7DDB" w:rsidP="0040712C">
            <w:pPr>
              <w:spacing w:after="4" w:line="244" w:lineRule="auto"/>
              <w:rPr>
                <w:lang w:val="sr-Latn-ME" w:eastAsia="sl-SI"/>
              </w:rPr>
            </w:pPr>
            <w:r w:rsidRPr="00291333">
              <w:rPr>
                <w:lang w:val="sr-Latn-ME" w:eastAsia="sl-SI"/>
              </w:rPr>
              <w:t xml:space="preserve">Trostruka i.t. terapija (u skladu sa godinama): dani 1 i 15 </w:t>
            </w:r>
          </w:p>
          <w:p w14:paraId="73DF5728" w14:textId="77777777" w:rsidR="008F7DDB" w:rsidRPr="00291333" w:rsidRDefault="008F7DDB" w:rsidP="0040712C">
            <w:pPr>
              <w:rPr>
                <w:lang w:val="sr-Latn-ME" w:eastAsia="sl-SI"/>
              </w:rPr>
            </w:pPr>
            <w:r w:rsidRPr="00291333">
              <w:rPr>
                <w:lang w:val="sr-Latn-ME" w:eastAsia="sl-SI"/>
              </w:rPr>
              <w:t>DEX (6 mg/m</w:t>
            </w:r>
            <w:r w:rsidRPr="00291333">
              <w:rPr>
                <w:vertAlign w:val="superscript"/>
                <w:lang w:val="sr-Latn-ME" w:eastAsia="sl-SI"/>
              </w:rPr>
              <w:t>2</w:t>
            </w:r>
            <w:r w:rsidRPr="00291333">
              <w:rPr>
                <w:lang w:val="sr-Latn-ME" w:eastAsia="sl-SI"/>
              </w:rPr>
              <w:t>/dan, p.o.): dani 1-7 i 15-21</w:t>
            </w:r>
          </w:p>
        </w:tc>
      </w:tr>
      <w:tr w:rsidR="008F7DDB" w:rsidRPr="0040712C" w14:paraId="66854135" w14:textId="77777777" w:rsidTr="0040712C">
        <w:trPr>
          <w:trHeight w:val="2560"/>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0796476D" w14:textId="77777777" w:rsidR="008F7DDB" w:rsidRPr="00291333" w:rsidRDefault="008F7DDB" w:rsidP="0040712C">
            <w:pPr>
              <w:rPr>
                <w:lang w:val="sr-Latn-ME" w:eastAsia="sl-SI"/>
              </w:rPr>
            </w:pPr>
            <w:r w:rsidRPr="00291333">
              <w:rPr>
                <w:lang w:val="sr-Latn-ME" w:eastAsia="sl-SI"/>
              </w:rPr>
              <w:t xml:space="preserve">Blok intenzifikacije 2 (9 nedjelja)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2B3EDC64" w14:textId="77777777" w:rsidR="008F7DDB" w:rsidRPr="00291333" w:rsidRDefault="008F7DDB" w:rsidP="0040712C">
            <w:pPr>
              <w:spacing w:after="3" w:line="278" w:lineRule="auto"/>
              <w:ind w:right="56"/>
              <w:rPr>
                <w:lang w:val="sr-Latn-ME" w:eastAsia="sl-SI"/>
              </w:rPr>
            </w:pPr>
            <w:r w:rsidRPr="00291333">
              <w:rPr>
                <w:lang w:val="sr-Latn-ME" w:eastAsia="sl-SI"/>
              </w:rPr>
              <w:t>Metotreksat (5 g/m</w:t>
            </w:r>
            <w:r w:rsidRPr="00291333">
              <w:rPr>
                <w:vertAlign w:val="superscript"/>
                <w:lang w:val="sr-Latn-ME" w:eastAsia="sl-SI"/>
              </w:rPr>
              <w:t xml:space="preserve">2 </w:t>
            </w:r>
            <w:r w:rsidRPr="00291333">
              <w:rPr>
                <w:lang w:val="sr-Latn-ME" w:eastAsia="sl-SI"/>
              </w:rPr>
              <w:t>tokom 24 sata, i.v.): dani 1 i 15 Leukovorin (75 mg/m</w:t>
            </w:r>
            <w:r w:rsidRPr="00291333">
              <w:rPr>
                <w:vertAlign w:val="superscript"/>
                <w:lang w:val="sr-Latn-ME" w:eastAsia="sl-SI"/>
              </w:rPr>
              <w:t xml:space="preserve">2 </w:t>
            </w:r>
            <w:r w:rsidRPr="00291333">
              <w:rPr>
                <w:lang w:val="sr-Latn-ME" w:eastAsia="sl-SI"/>
              </w:rPr>
              <w:t>sata 36, i.v.; 15 mg/m</w:t>
            </w:r>
            <w:r w:rsidRPr="00291333">
              <w:rPr>
                <w:vertAlign w:val="superscript"/>
                <w:lang w:val="sr-Latn-ME" w:eastAsia="sl-SI"/>
              </w:rPr>
              <w:t xml:space="preserve">2 </w:t>
            </w:r>
            <w:r w:rsidRPr="00291333">
              <w:rPr>
                <w:lang w:val="sr-Latn-ME" w:eastAsia="sl-SI"/>
              </w:rPr>
              <w:t>i.v. ili p.o. na svakih 6h x 6 doza) iii: dani 2, 3, 16 i 17 Trostruka i.t. terapija (u skladu sa godinama): dani 1 i 22 VP-16 (100 mg/m</w:t>
            </w:r>
            <w:r w:rsidRPr="00291333">
              <w:rPr>
                <w:vertAlign w:val="superscript"/>
                <w:lang w:val="sr-Latn-ME" w:eastAsia="sl-SI"/>
              </w:rPr>
              <w:t>2</w:t>
            </w:r>
            <w:r w:rsidRPr="00291333">
              <w:rPr>
                <w:lang w:val="sr-Latn-ME" w:eastAsia="sl-SI"/>
              </w:rPr>
              <w:t>/dan, i.v.): dani 22-26 CPM (300 mg/m</w:t>
            </w:r>
            <w:r w:rsidRPr="00291333">
              <w:rPr>
                <w:vertAlign w:val="superscript"/>
                <w:lang w:val="sr-Latn-ME" w:eastAsia="sl-SI"/>
              </w:rPr>
              <w:t>2</w:t>
            </w:r>
            <w:r w:rsidRPr="00291333">
              <w:rPr>
                <w:lang w:val="sr-Latn-ME" w:eastAsia="sl-SI"/>
              </w:rPr>
              <w:t xml:space="preserve">/dan, i.v.): dani 22-26 </w:t>
            </w:r>
          </w:p>
          <w:p w14:paraId="2599C039" w14:textId="77777777" w:rsidR="008F7DDB" w:rsidRPr="00291333" w:rsidRDefault="008F7DDB" w:rsidP="0040712C">
            <w:pPr>
              <w:spacing w:after="36"/>
              <w:rPr>
                <w:lang w:val="sr-Latn-ME" w:eastAsia="sl-SI"/>
              </w:rPr>
            </w:pPr>
            <w:r w:rsidRPr="00291333">
              <w:rPr>
                <w:lang w:val="sr-Latn-ME" w:eastAsia="sl-SI"/>
              </w:rPr>
              <w:t>MESNA (150 mg/m</w:t>
            </w:r>
            <w:r w:rsidRPr="00291333">
              <w:rPr>
                <w:vertAlign w:val="superscript"/>
                <w:lang w:val="sr-Latn-ME" w:eastAsia="sl-SI"/>
              </w:rPr>
              <w:t>2</w:t>
            </w:r>
            <w:r w:rsidRPr="00291333">
              <w:rPr>
                <w:lang w:val="sr-Latn-ME" w:eastAsia="sl-SI"/>
              </w:rPr>
              <w:t xml:space="preserve">/dan, i.v.): dani 22-26 </w:t>
            </w:r>
          </w:p>
          <w:p w14:paraId="167000A9" w14:textId="77777777" w:rsidR="008F7DDB" w:rsidRPr="00291333" w:rsidRDefault="008F7DDB" w:rsidP="0040712C">
            <w:pPr>
              <w:spacing w:after="7" w:line="241" w:lineRule="auto"/>
              <w:ind w:right="55"/>
              <w:rPr>
                <w:lang w:val="sr-Latn-ME" w:eastAsia="sl-SI"/>
              </w:rPr>
            </w:pPr>
            <w:r w:rsidRPr="00291333">
              <w:rPr>
                <w:lang w:val="sr-Latn-ME" w:eastAsia="sl-SI"/>
              </w:rPr>
              <w:t xml:space="preserve">G-CFS (5 mikrograma/kg, s.c.): dani 27-36 ili dok ANC ne bude &gt;1500 nakon najniže izmjerene vrijednosti (nadir) </w:t>
            </w:r>
          </w:p>
          <w:p w14:paraId="61D5FE7A" w14:textId="77777777" w:rsidR="008F7DDB" w:rsidRPr="00291333" w:rsidRDefault="008F7DDB" w:rsidP="0040712C">
            <w:pPr>
              <w:spacing w:after="35"/>
              <w:rPr>
                <w:lang w:val="sr-Latn-ME" w:eastAsia="sl-SI"/>
              </w:rPr>
            </w:pPr>
            <w:r w:rsidRPr="00291333">
              <w:rPr>
                <w:lang w:val="sr-Latn-ME" w:eastAsia="sl-SI"/>
              </w:rPr>
              <w:t>ARA-C (3 g/m</w:t>
            </w:r>
            <w:r w:rsidRPr="00291333">
              <w:rPr>
                <w:vertAlign w:val="superscript"/>
                <w:lang w:val="sr-Latn-ME" w:eastAsia="sl-SI"/>
              </w:rPr>
              <w:t xml:space="preserve">2 </w:t>
            </w:r>
            <w:r w:rsidRPr="00291333">
              <w:rPr>
                <w:lang w:val="sr-Latn-ME" w:eastAsia="sl-SI"/>
              </w:rPr>
              <w:t xml:space="preserve">svakih 12 h, i.v.): dana 43, 44 </w:t>
            </w:r>
          </w:p>
          <w:p w14:paraId="6990792A" w14:textId="77777777" w:rsidR="008F7DDB" w:rsidRPr="00291333" w:rsidRDefault="008F7DDB" w:rsidP="0040712C">
            <w:pPr>
              <w:rPr>
                <w:lang w:val="sr-Latn-ME" w:eastAsia="sl-SI"/>
              </w:rPr>
            </w:pPr>
            <w:r w:rsidRPr="00291333">
              <w:rPr>
                <w:lang w:val="sr-Latn-ME" w:eastAsia="sl-SI"/>
              </w:rPr>
              <w:t>L-ASP (6000 i.j./m</w:t>
            </w:r>
            <w:r w:rsidRPr="00291333">
              <w:rPr>
                <w:vertAlign w:val="superscript"/>
                <w:lang w:val="sr-Latn-ME" w:eastAsia="sl-SI"/>
              </w:rPr>
              <w:t>2</w:t>
            </w:r>
            <w:r w:rsidRPr="00291333">
              <w:rPr>
                <w:lang w:val="sr-Latn-ME" w:eastAsia="sl-SI"/>
              </w:rPr>
              <w:t>, i.m.): dan 44</w:t>
            </w:r>
          </w:p>
        </w:tc>
      </w:tr>
      <w:tr w:rsidR="008F7DDB" w:rsidRPr="0040712C" w14:paraId="259CDB20" w14:textId="77777777" w:rsidTr="0040712C">
        <w:trPr>
          <w:trHeight w:val="1919"/>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21237F3F" w14:textId="77777777" w:rsidR="008F7DDB" w:rsidRPr="00291333" w:rsidRDefault="008F7DDB" w:rsidP="0040712C">
            <w:pPr>
              <w:rPr>
                <w:lang w:val="sr-Latn-ME" w:eastAsia="sl-SI"/>
              </w:rPr>
            </w:pPr>
            <w:r w:rsidRPr="00291333">
              <w:rPr>
                <w:lang w:val="sr-Latn-ME" w:eastAsia="sl-SI"/>
              </w:rPr>
              <w:t xml:space="preserve">Održavanje (8-nedjeljni ciklusi) Ciklusi 1-4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69D56A6D" w14:textId="77777777" w:rsidR="008F7DDB" w:rsidRPr="00291333" w:rsidRDefault="008F7DDB" w:rsidP="0040712C">
            <w:pPr>
              <w:spacing w:after="33"/>
              <w:rPr>
                <w:lang w:val="sr-Latn-ME" w:eastAsia="sl-SI"/>
              </w:rPr>
            </w:pPr>
            <w:r w:rsidRPr="00291333">
              <w:rPr>
                <w:lang w:val="sr-Latn-ME" w:eastAsia="sl-SI"/>
              </w:rPr>
              <w:t>MTX (5 g/m</w:t>
            </w:r>
            <w:r w:rsidRPr="00291333">
              <w:rPr>
                <w:vertAlign w:val="superscript"/>
                <w:lang w:val="sr-Latn-ME" w:eastAsia="sl-SI"/>
              </w:rPr>
              <w:t xml:space="preserve">2 </w:t>
            </w:r>
            <w:r w:rsidRPr="00291333">
              <w:rPr>
                <w:lang w:val="sr-Latn-ME" w:eastAsia="sl-SI"/>
              </w:rPr>
              <w:t xml:space="preserve">tokom 24 sata, i.v.): dan 1 </w:t>
            </w:r>
          </w:p>
          <w:p w14:paraId="3B60CFEF" w14:textId="77777777" w:rsidR="008F7DDB" w:rsidRPr="00291333" w:rsidRDefault="008F7DDB" w:rsidP="0040712C">
            <w:pPr>
              <w:spacing w:line="303" w:lineRule="auto"/>
              <w:rPr>
                <w:lang w:val="sr-Latn-ME" w:eastAsia="sl-SI"/>
              </w:rPr>
            </w:pPr>
            <w:r w:rsidRPr="00291333">
              <w:rPr>
                <w:lang w:val="sr-Latn-ME" w:eastAsia="sl-SI"/>
              </w:rPr>
              <w:t>Leukovorin (75 mg/m</w:t>
            </w:r>
            <w:r w:rsidRPr="00291333">
              <w:rPr>
                <w:vertAlign w:val="superscript"/>
                <w:lang w:val="sr-Latn-ME" w:eastAsia="sl-SI"/>
              </w:rPr>
              <w:t xml:space="preserve">2 </w:t>
            </w:r>
            <w:r w:rsidRPr="00291333">
              <w:rPr>
                <w:lang w:val="sr-Latn-ME" w:eastAsia="sl-SI"/>
              </w:rPr>
              <w:t>sata 36, i.v.; 15 mg/m</w:t>
            </w:r>
            <w:r w:rsidRPr="00291333">
              <w:rPr>
                <w:vertAlign w:val="superscript"/>
                <w:lang w:val="sr-Latn-ME" w:eastAsia="sl-SI"/>
              </w:rPr>
              <w:t xml:space="preserve">2 </w:t>
            </w:r>
            <w:r w:rsidRPr="00291333">
              <w:rPr>
                <w:lang w:val="sr-Latn-ME" w:eastAsia="sl-SI"/>
              </w:rPr>
              <w:t xml:space="preserve">i.v. ili p.o. na svakih 6h x 6 doza) iii: dani 2 i 3 </w:t>
            </w:r>
          </w:p>
          <w:p w14:paraId="0C15D2BA" w14:textId="77777777" w:rsidR="008F7DDB" w:rsidRPr="00291333" w:rsidRDefault="008F7DDB" w:rsidP="0040712C">
            <w:pPr>
              <w:spacing w:after="23" w:line="244" w:lineRule="auto"/>
              <w:rPr>
                <w:lang w:val="sr-Latn-ME" w:eastAsia="sl-SI"/>
              </w:rPr>
            </w:pPr>
            <w:r w:rsidRPr="00291333">
              <w:rPr>
                <w:lang w:val="sr-Latn-ME" w:eastAsia="sl-SI"/>
              </w:rPr>
              <w:t xml:space="preserve">Trostruka i.t. terapija (u skladu sa godinama): dani 1 i 29 </w:t>
            </w:r>
          </w:p>
          <w:p w14:paraId="3C41E750" w14:textId="77777777" w:rsidR="008F7DDB" w:rsidRPr="00291333" w:rsidRDefault="008F7DDB" w:rsidP="0040712C">
            <w:pPr>
              <w:spacing w:after="14"/>
              <w:rPr>
                <w:lang w:val="sr-Latn-ME" w:eastAsia="sl-SI"/>
              </w:rPr>
            </w:pPr>
            <w:r w:rsidRPr="00291333">
              <w:rPr>
                <w:lang w:val="sr-Latn-ME" w:eastAsia="sl-SI"/>
              </w:rPr>
              <w:t>VCR (1,5 mg/m</w:t>
            </w:r>
            <w:r w:rsidRPr="00291333">
              <w:rPr>
                <w:vertAlign w:val="superscript"/>
                <w:lang w:val="sr-Latn-ME" w:eastAsia="sl-SI"/>
              </w:rPr>
              <w:t>2</w:t>
            </w:r>
            <w:r w:rsidRPr="00291333">
              <w:rPr>
                <w:lang w:val="sr-Latn-ME" w:eastAsia="sl-SI"/>
              </w:rPr>
              <w:t>/dan, i.v.): dani 1, 29</w:t>
            </w:r>
          </w:p>
          <w:p w14:paraId="4753B550" w14:textId="77777777" w:rsidR="008F7DDB" w:rsidRPr="00291333" w:rsidRDefault="008F7DDB" w:rsidP="0040712C">
            <w:pPr>
              <w:spacing w:after="23"/>
              <w:rPr>
                <w:lang w:val="sr-Latn-ME" w:eastAsia="sl-SI"/>
              </w:rPr>
            </w:pPr>
            <w:r w:rsidRPr="00291333">
              <w:rPr>
                <w:lang w:val="sr-Latn-ME" w:eastAsia="sl-SI"/>
              </w:rPr>
              <w:t>29 DEX (6 mg/m</w:t>
            </w:r>
            <w:r w:rsidRPr="00291333">
              <w:rPr>
                <w:vertAlign w:val="superscript"/>
                <w:lang w:val="sr-Latn-ME" w:eastAsia="sl-SI"/>
              </w:rPr>
              <w:t>2</w:t>
            </w:r>
            <w:r w:rsidRPr="00291333">
              <w:rPr>
                <w:lang w:val="sr-Latn-ME" w:eastAsia="sl-SI"/>
              </w:rPr>
              <w:t xml:space="preserve">/dan, p.o.): dani 1-5 i 29-33 </w:t>
            </w:r>
          </w:p>
          <w:p w14:paraId="715FA250" w14:textId="77777777" w:rsidR="008F7DDB" w:rsidRPr="00291333" w:rsidRDefault="008F7DDB" w:rsidP="0040712C">
            <w:pPr>
              <w:spacing w:after="16"/>
              <w:rPr>
                <w:lang w:val="sr-Latn-ME" w:eastAsia="sl-SI"/>
              </w:rPr>
            </w:pPr>
            <w:r w:rsidRPr="00291333">
              <w:rPr>
                <w:lang w:val="sr-Latn-ME" w:eastAsia="sl-SI"/>
              </w:rPr>
              <w:t>6-MP (75 mg/m</w:t>
            </w:r>
            <w:r w:rsidRPr="00291333">
              <w:rPr>
                <w:vertAlign w:val="superscript"/>
                <w:lang w:val="sr-Latn-ME" w:eastAsia="sl-SI"/>
              </w:rPr>
              <w:t>2</w:t>
            </w:r>
            <w:r w:rsidRPr="00291333">
              <w:rPr>
                <w:lang w:val="sr-Latn-ME" w:eastAsia="sl-SI"/>
              </w:rPr>
              <w:t xml:space="preserve">/dan, p.o.): dani 8-28 </w:t>
            </w:r>
          </w:p>
          <w:p w14:paraId="7CE2D89C" w14:textId="77777777" w:rsidR="008F7DDB" w:rsidRPr="00291333" w:rsidRDefault="008F7DDB" w:rsidP="0040712C">
            <w:pPr>
              <w:rPr>
                <w:lang w:val="sr-Latn-ME" w:eastAsia="sl-SI"/>
              </w:rPr>
            </w:pPr>
            <w:r w:rsidRPr="00291333">
              <w:rPr>
                <w:lang w:val="sr-Latn-ME" w:eastAsia="sl-SI"/>
              </w:rPr>
              <w:t>Metotreksat (20 mg/m</w:t>
            </w:r>
            <w:r w:rsidRPr="00291333">
              <w:rPr>
                <w:vertAlign w:val="superscript"/>
                <w:lang w:val="sr-Latn-ME" w:eastAsia="sl-SI"/>
              </w:rPr>
              <w:t>2</w:t>
            </w:r>
            <w:r w:rsidRPr="00291333">
              <w:rPr>
                <w:lang w:val="sr-Latn-ME" w:eastAsia="sl-SI"/>
              </w:rPr>
              <w:t xml:space="preserve">/nedjeljno, p.o.): dani 8, 15, 22 </w:t>
            </w:r>
          </w:p>
        </w:tc>
      </w:tr>
      <w:tr w:rsidR="008F7DDB" w:rsidRPr="0040712C" w14:paraId="298EFDAA" w14:textId="77777777" w:rsidTr="0040712C">
        <w:trPr>
          <w:trHeight w:val="855"/>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0D8F173F" w14:textId="77777777" w:rsidR="008F7DDB" w:rsidRPr="00291333" w:rsidRDefault="008F7DDB" w:rsidP="0040712C">
            <w:pPr>
              <w:rPr>
                <w:lang w:val="sr-Latn-ME" w:eastAsia="sl-SI"/>
              </w:rPr>
            </w:pP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457B7D57" w14:textId="77777777" w:rsidR="008F7DDB" w:rsidRPr="00291333" w:rsidRDefault="008F7DDB" w:rsidP="0040712C">
            <w:pPr>
              <w:rPr>
                <w:lang w:val="sr-Latn-ME" w:eastAsia="sl-SI"/>
              </w:rPr>
            </w:pPr>
            <w:r w:rsidRPr="00291333">
              <w:rPr>
                <w:lang w:val="sr-Latn-ME" w:eastAsia="sl-SI"/>
              </w:rPr>
              <w:t>VP-16 (100 mg/m</w:t>
            </w:r>
            <w:r w:rsidRPr="00291333">
              <w:rPr>
                <w:vertAlign w:val="superscript"/>
                <w:lang w:val="sr-Latn-ME" w:eastAsia="sl-SI"/>
              </w:rPr>
              <w:t xml:space="preserve">2 </w:t>
            </w:r>
            <w:r w:rsidRPr="00291333">
              <w:rPr>
                <w:lang w:val="sr-Latn-ME" w:eastAsia="sl-SI"/>
              </w:rPr>
              <w:t xml:space="preserve">, i.v.): dani 29-33 </w:t>
            </w:r>
          </w:p>
          <w:p w14:paraId="2D8447F3" w14:textId="77777777" w:rsidR="008F7DDB" w:rsidRPr="00291333" w:rsidRDefault="008F7DDB" w:rsidP="0040712C">
            <w:pPr>
              <w:spacing w:after="31"/>
              <w:rPr>
                <w:lang w:val="sr-Latn-ME" w:eastAsia="sl-SI"/>
              </w:rPr>
            </w:pPr>
            <w:r w:rsidRPr="00291333">
              <w:rPr>
                <w:lang w:val="sr-Latn-ME" w:eastAsia="sl-SI"/>
              </w:rPr>
              <w:t>CPM (300 mg/m</w:t>
            </w:r>
            <w:r w:rsidRPr="00291333">
              <w:rPr>
                <w:vertAlign w:val="superscript"/>
                <w:lang w:val="sr-Latn-ME" w:eastAsia="sl-SI"/>
              </w:rPr>
              <w:t xml:space="preserve">2 </w:t>
            </w:r>
            <w:r w:rsidRPr="00291333">
              <w:rPr>
                <w:lang w:val="sr-Latn-ME" w:eastAsia="sl-SI"/>
              </w:rPr>
              <w:t xml:space="preserve">, i.v.): dani 29-33 </w:t>
            </w:r>
          </w:p>
          <w:p w14:paraId="46C90AD8" w14:textId="77777777" w:rsidR="008F7DDB" w:rsidRPr="00291333" w:rsidRDefault="008F7DDB" w:rsidP="0040712C">
            <w:pPr>
              <w:rPr>
                <w:lang w:val="sr-Latn-ME" w:eastAsia="sl-SI"/>
              </w:rPr>
            </w:pPr>
            <w:r w:rsidRPr="00291333">
              <w:rPr>
                <w:lang w:val="sr-Latn-ME" w:eastAsia="sl-SI"/>
              </w:rPr>
              <w:t xml:space="preserve">MESNA i.v.: dani 29-33 </w:t>
            </w:r>
          </w:p>
          <w:p w14:paraId="29B1EAF2" w14:textId="77777777" w:rsidR="008F7DDB" w:rsidRPr="00291333" w:rsidRDefault="008F7DDB" w:rsidP="0040712C">
            <w:pPr>
              <w:rPr>
                <w:lang w:val="sr-Latn-ME" w:eastAsia="sl-SI"/>
              </w:rPr>
            </w:pPr>
            <w:r w:rsidRPr="00291333">
              <w:rPr>
                <w:lang w:val="sr-Latn-ME" w:eastAsia="sl-SI"/>
              </w:rPr>
              <w:t>G-CFS (5 mikrogram/kg, s.c.): dani 34-43</w:t>
            </w:r>
          </w:p>
        </w:tc>
      </w:tr>
      <w:tr w:rsidR="008F7DDB" w:rsidRPr="0040712C" w14:paraId="556781E9" w14:textId="77777777" w:rsidTr="0040712C">
        <w:trPr>
          <w:trHeight w:val="2773"/>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6DA61BA0" w14:textId="77777777" w:rsidR="008F7DDB" w:rsidRPr="00291333" w:rsidRDefault="008F7DDB" w:rsidP="0040712C">
            <w:pPr>
              <w:rPr>
                <w:lang w:val="sr-Latn-ME" w:eastAsia="sl-SI"/>
              </w:rPr>
            </w:pPr>
            <w:r w:rsidRPr="00291333">
              <w:rPr>
                <w:lang w:val="sr-Latn-ME" w:eastAsia="sl-SI"/>
              </w:rPr>
              <w:t xml:space="preserve">Održavanje (8-nedjeljni ciklusi) Ciklus 5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187EC429" w14:textId="77777777" w:rsidR="008F7DDB" w:rsidRPr="00291333" w:rsidRDefault="008F7DDB" w:rsidP="0040712C">
            <w:pPr>
              <w:rPr>
                <w:lang w:val="sr-Latn-ME" w:eastAsia="sl-SI"/>
              </w:rPr>
            </w:pPr>
            <w:r w:rsidRPr="00291333">
              <w:rPr>
                <w:lang w:val="sr-Latn-ME" w:eastAsia="sl-SI"/>
              </w:rPr>
              <w:t xml:space="preserve">Kranijalno zračenje (samo blok br. 5) </w:t>
            </w:r>
          </w:p>
          <w:p w14:paraId="52381643" w14:textId="77777777" w:rsidR="008F7DDB" w:rsidRPr="00291333" w:rsidRDefault="008F7DDB" w:rsidP="0040712C">
            <w:pPr>
              <w:spacing w:line="239" w:lineRule="auto"/>
              <w:rPr>
                <w:lang w:val="sr-Latn-ME" w:eastAsia="sl-SI"/>
              </w:rPr>
            </w:pPr>
            <w:r w:rsidRPr="00291333">
              <w:rPr>
                <w:lang w:val="sr-Latn-ME" w:eastAsia="sl-SI"/>
              </w:rPr>
              <w:t>12 Gy u 8 frakcija kod svih pacijenata koji imaju CNS1 i CNS2 u trenutku dijagnoze</w:t>
            </w:r>
          </w:p>
          <w:p w14:paraId="4CBAD91D" w14:textId="77777777" w:rsidR="008F7DDB" w:rsidRPr="00291333" w:rsidRDefault="008F7DDB" w:rsidP="0040712C">
            <w:pPr>
              <w:spacing w:after="15" w:line="234" w:lineRule="auto"/>
              <w:rPr>
                <w:lang w:val="sr-Latn-ME" w:eastAsia="sl-SI"/>
              </w:rPr>
            </w:pPr>
            <w:r w:rsidRPr="00291333">
              <w:rPr>
                <w:lang w:val="sr-Latn-ME" w:eastAsia="sl-SI"/>
              </w:rPr>
              <w:t xml:space="preserve">18 Gy u 10 frakcija kod pacijenata koji su CNS3 na dijagnozi </w:t>
            </w:r>
          </w:p>
          <w:p w14:paraId="37280008" w14:textId="77777777" w:rsidR="008F7DDB" w:rsidRPr="00291333" w:rsidRDefault="008F7DDB" w:rsidP="0040712C">
            <w:pPr>
              <w:spacing w:after="24"/>
              <w:rPr>
                <w:lang w:val="sr-Latn-ME" w:eastAsia="sl-SI"/>
              </w:rPr>
            </w:pPr>
            <w:r w:rsidRPr="00291333">
              <w:rPr>
                <w:lang w:val="sr-Latn-ME" w:eastAsia="sl-SI"/>
              </w:rPr>
              <w:t>VCR (1,5 mg/m</w:t>
            </w:r>
            <w:r w:rsidRPr="00291333">
              <w:rPr>
                <w:vertAlign w:val="superscript"/>
                <w:lang w:val="sr-Latn-ME" w:eastAsia="sl-SI"/>
              </w:rPr>
              <w:t>2</w:t>
            </w:r>
            <w:r w:rsidRPr="00291333">
              <w:rPr>
                <w:lang w:val="sr-Latn-ME" w:eastAsia="sl-SI"/>
              </w:rPr>
              <w:t xml:space="preserve">/dan, i.v.): dani 1, 29 </w:t>
            </w:r>
          </w:p>
          <w:p w14:paraId="14960C39" w14:textId="77777777" w:rsidR="008F7DDB" w:rsidRPr="00291333" w:rsidRDefault="008F7DDB" w:rsidP="0040712C">
            <w:pPr>
              <w:spacing w:after="27"/>
              <w:rPr>
                <w:lang w:val="sr-Latn-ME" w:eastAsia="sl-SI"/>
              </w:rPr>
            </w:pPr>
            <w:r w:rsidRPr="00291333">
              <w:rPr>
                <w:lang w:val="sr-Latn-ME" w:eastAsia="sl-SI"/>
              </w:rPr>
              <w:t>DEX (6 mg/m</w:t>
            </w:r>
            <w:r w:rsidRPr="00291333">
              <w:rPr>
                <w:vertAlign w:val="superscript"/>
                <w:lang w:val="sr-Latn-ME" w:eastAsia="sl-SI"/>
              </w:rPr>
              <w:t>2</w:t>
            </w:r>
            <w:r w:rsidRPr="00291333">
              <w:rPr>
                <w:lang w:val="sr-Latn-ME" w:eastAsia="sl-SI"/>
              </w:rPr>
              <w:t xml:space="preserve">/dan, p.o.): dani 1-5 i 29-33 </w:t>
            </w:r>
          </w:p>
          <w:p w14:paraId="5B5FADF6" w14:textId="77777777" w:rsidR="008F7DDB" w:rsidRPr="00291333" w:rsidRDefault="008F7DDB" w:rsidP="0040712C">
            <w:pPr>
              <w:spacing w:after="21" w:line="247" w:lineRule="auto"/>
              <w:ind w:right="56"/>
              <w:rPr>
                <w:lang w:val="sr-Latn-ME" w:eastAsia="sl-SI"/>
              </w:rPr>
            </w:pPr>
            <w:r w:rsidRPr="00291333">
              <w:rPr>
                <w:lang w:val="sr-Latn-ME" w:eastAsia="sl-SI"/>
              </w:rPr>
              <w:t>6-MP (75 mg/m</w:t>
            </w:r>
            <w:r w:rsidRPr="00291333">
              <w:rPr>
                <w:vertAlign w:val="superscript"/>
                <w:lang w:val="sr-Latn-ME" w:eastAsia="sl-SI"/>
              </w:rPr>
              <w:t>2</w:t>
            </w:r>
            <w:r w:rsidRPr="00291333">
              <w:rPr>
                <w:lang w:val="sr-Latn-ME" w:eastAsia="sl-SI"/>
              </w:rPr>
              <w:t xml:space="preserve">/dan, p.o.): dani 11-56 (ne davati 6MP od dana 6 do dana 10 kranijalnog zračenja počev od dana 1 ciklusa 5. Sa primjenom 6-MP započeti 1. dana nakon završetka kranijalnog zračenja) </w:t>
            </w:r>
          </w:p>
          <w:p w14:paraId="00A1AC9C" w14:textId="77777777" w:rsidR="008F7DDB" w:rsidRPr="00291333" w:rsidRDefault="008F7DDB" w:rsidP="0040712C">
            <w:pPr>
              <w:rPr>
                <w:lang w:val="sr-Latn-ME" w:eastAsia="sl-SI"/>
              </w:rPr>
            </w:pPr>
            <w:r w:rsidRPr="00291333">
              <w:rPr>
                <w:lang w:val="sr-Latn-ME" w:eastAsia="sl-SI"/>
              </w:rPr>
              <w:t>Metotreksat (20 mg/m</w:t>
            </w:r>
            <w:r w:rsidRPr="00291333">
              <w:rPr>
                <w:vertAlign w:val="superscript"/>
                <w:lang w:val="sr-Latn-ME" w:eastAsia="sl-SI"/>
              </w:rPr>
              <w:t>2</w:t>
            </w:r>
            <w:r w:rsidRPr="00291333">
              <w:rPr>
                <w:lang w:val="sr-Latn-ME" w:eastAsia="sl-SI"/>
              </w:rPr>
              <w:t>/nedjeljno, p.o.): dani 8, 15, 22, 29, 36, 43, 50</w:t>
            </w:r>
          </w:p>
        </w:tc>
      </w:tr>
      <w:tr w:rsidR="008F7DDB" w:rsidRPr="0040712C" w14:paraId="70871610" w14:textId="77777777" w:rsidTr="0040712C">
        <w:trPr>
          <w:trHeight w:val="1068"/>
        </w:trPr>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7EEFAC0C" w14:textId="77777777" w:rsidR="008F7DDB" w:rsidRPr="00291333" w:rsidRDefault="008F7DDB" w:rsidP="0040712C">
            <w:pPr>
              <w:rPr>
                <w:lang w:val="sr-Latn-ME" w:eastAsia="sl-SI"/>
              </w:rPr>
            </w:pPr>
            <w:r w:rsidRPr="00291333">
              <w:rPr>
                <w:lang w:val="sr-Latn-ME" w:eastAsia="sl-SI"/>
              </w:rPr>
              <w:lastRenderedPageBreak/>
              <w:t xml:space="preserve">Održavanje (8-nedjeljni ciklusi) Ciklusi 6-12 </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4BA83CF3" w14:textId="77777777" w:rsidR="008F7DDB" w:rsidRPr="00291333" w:rsidRDefault="008F7DDB" w:rsidP="0040712C">
            <w:pPr>
              <w:spacing w:after="2"/>
              <w:rPr>
                <w:lang w:val="sr-Latn-ME" w:eastAsia="sl-SI"/>
              </w:rPr>
            </w:pPr>
            <w:r w:rsidRPr="00291333">
              <w:rPr>
                <w:lang w:val="sr-Latn-ME" w:eastAsia="sl-SI"/>
              </w:rPr>
              <w:t>VCR (1,5 mg/m</w:t>
            </w:r>
            <w:r w:rsidRPr="00291333">
              <w:rPr>
                <w:vertAlign w:val="superscript"/>
                <w:lang w:val="sr-Latn-ME" w:eastAsia="sl-SI"/>
              </w:rPr>
              <w:t>2</w:t>
            </w:r>
            <w:r w:rsidRPr="00291333">
              <w:rPr>
                <w:lang w:val="sr-Latn-ME" w:eastAsia="sl-SI"/>
              </w:rPr>
              <w:t xml:space="preserve">/dan, i.v.): dani 1, 29 </w:t>
            </w:r>
          </w:p>
          <w:p w14:paraId="10370208" w14:textId="77777777" w:rsidR="008F7DDB" w:rsidRPr="00291333" w:rsidRDefault="008F7DDB" w:rsidP="0040712C">
            <w:pPr>
              <w:spacing w:after="32"/>
              <w:rPr>
                <w:lang w:val="sr-Latn-ME" w:eastAsia="sl-SI"/>
              </w:rPr>
            </w:pPr>
            <w:r w:rsidRPr="00291333">
              <w:rPr>
                <w:lang w:val="sr-Latn-ME" w:eastAsia="sl-SI"/>
              </w:rPr>
              <w:t>DEX (6 mg/m</w:t>
            </w:r>
            <w:r w:rsidRPr="00291333">
              <w:rPr>
                <w:vertAlign w:val="superscript"/>
                <w:lang w:val="sr-Latn-ME" w:eastAsia="sl-SI"/>
              </w:rPr>
              <w:t>2</w:t>
            </w:r>
            <w:r w:rsidRPr="00291333">
              <w:rPr>
                <w:lang w:val="sr-Latn-ME" w:eastAsia="sl-SI"/>
              </w:rPr>
              <w:t xml:space="preserve">/dan, p.o.): dani 1-5 i 29-33 </w:t>
            </w:r>
          </w:p>
          <w:p w14:paraId="2955B8E3" w14:textId="77777777" w:rsidR="008F7DDB" w:rsidRPr="00291333" w:rsidRDefault="008F7DDB" w:rsidP="0040712C">
            <w:pPr>
              <w:spacing w:after="16"/>
              <w:rPr>
                <w:lang w:val="sr-Latn-ME" w:eastAsia="sl-SI"/>
              </w:rPr>
            </w:pPr>
            <w:r w:rsidRPr="00291333">
              <w:rPr>
                <w:lang w:val="sr-Latn-ME" w:eastAsia="sl-SI"/>
              </w:rPr>
              <w:t>6-MP (75 mg/m</w:t>
            </w:r>
            <w:r w:rsidRPr="00291333">
              <w:rPr>
                <w:vertAlign w:val="superscript"/>
                <w:lang w:val="sr-Latn-ME" w:eastAsia="sl-SI"/>
              </w:rPr>
              <w:t>2</w:t>
            </w:r>
            <w:r w:rsidRPr="00291333">
              <w:rPr>
                <w:lang w:val="sr-Latn-ME" w:eastAsia="sl-SI"/>
              </w:rPr>
              <w:t xml:space="preserve">/dan, p.o.): dani 11-56 </w:t>
            </w:r>
          </w:p>
          <w:p w14:paraId="58A296FC" w14:textId="77777777" w:rsidR="008F7DDB" w:rsidRPr="00291333" w:rsidRDefault="008F7DDB" w:rsidP="0040712C">
            <w:pPr>
              <w:rPr>
                <w:lang w:val="sr-Latn-ME" w:eastAsia="sl-SI"/>
              </w:rPr>
            </w:pPr>
            <w:r w:rsidRPr="00291333">
              <w:rPr>
                <w:lang w:val="sr-Latn-ME" w:eastAsia="sl-SI"/>
              </w:rPr>
              <w:t>Metotreksat (20 mg/m</w:t>
            </w:r>
            <w:r w:rsidRPr="00291333">
              <w:rPr>
                <w:vertAlign w:val="superscript"/>
                <w:lang w:val="sr-Latn-ME" w:eastAsia="sl-SI"/>
              </w:rPr>
              <w:t xml:space="preserve">2 </w:t>
            </w:r>
            <w:r w:rsidRPr="00291333">
              <w:rPr>
                <w:lang w:val="sr-Latn-ME" w:eastAsia="sl-SI"/>
              </w:rPr>
              <w:t>/nedjeljno, p.o.): dani 1, 8, 15, 22, 29, 36, 43, 50</w:t>
            </w:r>
          </w:p>
        </w:tc>
      </w:tr>
    </w:tbl>
    <w:p w14:paraId="09665FD3" w14:textId="77777777" w:rsidR="008F7DDB" w:rsidRPr="00291333" w:rsidRDefault="008F7DDB" w:rsidP="008F7DDB">
      <w:pPr>
        <w:widowControl w:val="0"/>
        <w:spacing w:before="19" w:line="240" w:lineRule="exact"/>
        <w:rPr>
          <w:b/>
          <w:lang w:val="sr-Latn-ME" w:eastAsia="sl-SI"/>
        </w:rPr>
      </w:pPr>
    </w:p>
    <w:p w14:paraId="3776C671" w14:textId="77777777" w:rsidR="008F7DDB" w:rsidRPr="00291333" w:rsidRDefault="008F7DDB" w:rsidP="008F7DDB">
      <w:pPr>
        <w:spacing w:line="240" w:lineRule="auto"/>
        <w:jc w:val="both"/>
        <w:rPr>
          <w:lang w:val="sr-Latn-ME" w:eastAsia="sl-SI"/>
        </w:rPr>
      </w:pPr>
      <w:r w:rsidRPr="00291333">
        <w:rPr>
          <w:lang w:val="sr-Latn-ME" w:eastAsia="sl-SI"/>
        </w:rPr>
        <w:t>G-CSF = faktor stimulacije kolonija granulocita, VP-16 = etopozid, MTX = metotreksat, i.v. = intravenski, s.c. = supkutano, i.t. = intratekalno, p.o. = oralno, i.m. = intramuskularno, ARA-C = citarabin, CPM = ciklofosfamid, VCR = vinkristin, DEX = deksametazon, DAUN = daunorubicin, 6-MP = 6-merkaptopurin, E.Coli L-ASP = L-asparaginaza, PEG-ASP = PEG asparaginaza, MESNA = 2-merkaptoetan sulfonat natrijum, iii = ili dok nivo MTX ne bude &lt; 0,1 mikroM, Gy = Grej</w:t>
      </w:r>
    </w:p>
    <w:p w14:paraId="62A7BE02" w14:textId="77777777" w:rsidR="008F7DDB" w:rsidRPr="00291333" w:rsidRDefault="008F7DDB" w:rsidP="008F7DDB">
      <w:pPr>
        <w:spacing w:line="240" w:lineRule="auto"/>
        <w:jc w:val="both"/>
        <w:rPr>
          <w:lang w:val="sr-Latn-ME" w:eastAsia="sl-SI"/>
        </w:rPr>
      </w:pPr>
      <w:r w:rsidRPr="00291333">
        <w:rPr>
          <w:lang w:val="sr-Latn-ME" w:eastAsia="sl-SI"/>
        </w:rPr>
        <w:t>Studija AIT07 bila je multicentrična, otvorena, randomizovana studija faze II/III koja je uključivala 128 pacijenata (uzrasta od 1 do &lt; 18 godina) liječenih imatinibom u kombinaciji sa hemioterapijom. Čini se da su podaci o bezbjednosti lijeka iz ove studije u skladu sa bezbjednosnim profilom imatiniba kod pacijenata sa Ph+ ALL.</w:t>
      </w:r>
    </w:p>
    <w:p w14:paraId="58312E36" w14:textId="77777777" w:rsidR="008F7DDB" w:rsidRPr="00291333" w:rsidRDefault="008F7DDB" w:rsidP="008F7DDB">
      <w:pPr>
        <w:spacing w:line="240" w:lineRule="auto"/>
        <w:jc w:val="both"/>
        <w:rPr>
          <w:lang w:val="sr-Latn-ME" w:eastAsia="sl-SI"/>
        </w:rPr>
      </w:pPr>
    </w:p>
    <w:p w14:paraId="71C6C580" w14:textId="77777777" w:rsidR="008F7DDB" w:rsidRPr="00291333" w:rsidRDefault="008F7DDB" w:rsidP="008F7DDB">
      <w:pPr>
        <w:widowControl w:val="0"/>
        <w:spacing w:before="19" w:line="240" w:lineRule="exact"/>
        <w:jc w:val="both"/>
        <w:rPr>
          <w:rFonts w:eastAsia="Calibri"/>
          <w:lang w:val="sr-Latn-ME"/>
        </w:rPr>
      </w:pPr>
      <w:r w:rsidRPr="00291333">
        <w:rPr>
          <w:i/>
          <w:lang w:val="sr-Latn-ME" w:eastAsia="sl-SI"/>
        </w:rPr>
        <w:t>Relaps/refraktorna Ph+ ALL</w:t>
      </w:r>
      <w:r w:rsidRPr="00291333">
        <w:rPr>
          <w:lang w:val="sr-Latn-ME" w:eastAsia="sl-SI"/>
        </w:rPr>
        <w:t>: Kad je imatinib primijenjen kao jedini lijek za liječenje pacijenata sa relaps/refraktarnom Ph+ ALL, to je rezultovalo kod 53 od 411 pacijenata procjenjivih na odgovor, stopom hematološkog odgovora od 30% (9% potpuni) i stopom velikog citogenetskog odgovora sa udjelom od 23%. (napomena, od 411 pacijenata, 353 liječeno u proširenom programu pristupa bez prikupljanja podataka o primarnom odgovoru.) Medijana vremena do progresije u ukupnoj populaciji od 411 pacijenata sa relaps/refraktornom Ph+ ALL kretala se od 2,6 do 3,1 mjeseca, a medijana ukupnog preživljavanja kod 401 procjenjivog pacijenta kretala se od 4,9 do 9 mjeseci. Podaci su bili slični kad su ponovo analizirani da bi se uključili samo pacijenti od 55 godina ili stariji.</w:t>
      </w:r>
    </w:p>
    <w:p w14:paraId="7193B150" w14:textId="77777777" w:rsidR="008F7DDB" w:rsidRPr="00291333" w:rsidRDefault="008F7DDB" w:rsidP="008F7DDB">
      <w:pPr>
        <w:widowControl w:val="0"/>
        <w:autoSpaceDE w:val="0"/>
        <w:autoSpaceDN w:val="0"/>
        <w:adjustRightInd w:val="0"/>
        <w:spacing w:line="240" w:lineRule="auto"/>
        <w:ind w:right="-1"/>
        <w:rPr>
          <w:i/>
          <w:iCs/>
          <w:lang w:val="sr-Latn-ME" w:eastAsia="sl-SI"/>
        </w:rPr>
      </w:pPr>
    </w:p>
    <w:p w14:paraId="4A0646F8" w14:textId="77777777" w:rsidR="008F7DDB" w:rsidRPr="00291333" w:rsidRDefault="008F7DDB" w:rsidP="008F7DDB">
      <w:pPr>
        <w:keepNext/>
        <w:tabs>
          <w:tab w:val="left" w:pos="4300"/>
          <w:tab w:val="left" w:pos="5940"/>
          <w:tab w:val="left" w:pos="8180"/>
        </w:tabs>
        <w:spacing w:after="260" w:line="360" w:lineRule="atLeast"/>
        <w:jc w:val="both"/>
        <w:outlineLvl w:val="1"/>
        <w:rPr>
          <w:b/>
          <w:u w:val="single"/>
          <w:lang w:val="sr-Latn-ME" w:eastAsia="sl-SI"/>
        </w:rPr>
      </w:pPr>
      <w:r w:rsidRPr="00291333">
        <w:rPr>
          <w:b/>
          <w:u w:val="single"/>
          <w:lang w:val="sr-Latn-ME" w:eastAsia="sl-SI"/>
        </w:rPr>
        <w:t>Kliničke studije kod pacijenata sa MDS/MPD</w:t>
      </w:r>
    </w:p>
    <w:p w14:paraId="6DDD6A23" w14:textId="77777777" w:rsidR="008F7DDB" w:rsidRPr="00291333" w:rsidRDefault="008F7DDB" w:rsidP="008F7DDB">
      <w:pPr>
        <w:spacing w:line="240" w:lineRule="auto"/>
        <w:jc w:val="both"/>
        <w:rPr>
          <w:lang w:val="sr-Latn-ME" w:eastAsia="sl-SI"/>
        </w:rPr>
      </w:pPr>
      <w:r w:rsidRPr="00291333">
        <w:rPr>
          <w:lang w:val="sr-Latn-ME" w:eastAsia="sl-SI"/>
        </w:rPr>
        <w:t xml:space="preserve">Iskustvo sa primjenom imatiniba kod ove indikacije je veoma ograničeno i zasnovano na stopi hematološkog i citogenetskog odgovora. Nema kontrolisanih ispitivanja koja bi pokazala kliničku korist ili povećano preživljavanje. Jedno otvoreno, multicentrično, kliničko ispitivanje faze II (ispitivanje B2225) obavljeno je ispitivanjem imatiniba kod različitih populacija pacijenata koji su patili od po život opasnih bolesti udruženih sa Abl, Kit ili PDGFR proteinskim tirozin kinazama. Ovo ispitivanje je uključilo 7 pacijenata sa MDS/MPD koji su liječeni sa 400 mg imatiniba dnevno. Tri pacijenta su ispoljila kompletan hematološki odgovor (CHR), a jedan pacijent je imao djelimičan hematološki odgovor (PHR). U vrijeme prvobitne analize, tri od četiri pacijenta sa detektovanim rearanžiranjem PDGFR gena ispoljilo je hematološki odgovor (2 CHR i 1 PHR). Starost ovih pacijenata kretala se od 20 do 72 godine. </w:t>
      </w:r>
    </w:p>
    <w:p w14:paraId="623DBCF2" w14:textId="77777777" w:rsidR="008F7DDB" w:rsidRPr="00291333" w:rsidRDefault="008F7DDB" w:rsidP="008F7DDB">
      <w:pPr>
        <w:spacing w:line="240" w:lineRule="auto"/>
        <w:jc w:val="both"/>
        <w:rPr>
          <w:lang w:val="sr-Latn-ME" w:eastAsia="sl-SI"/>
        </w:rPr>
      </w:pPr>
    </w:p>
    <w:p w14:paraId="7586700B" w14:textId="77777777" w:rsidR="008F7DDB" w:rsidRPr="00291333" w:rsidRDefault="008F7DDB" w:rsidP="008F7DDB">
      <w:pPr>
        <w:spacing w:line="240" w:lineRule="auto"/>
        <w:jc w:val="both"/>
        <w:rPr>
          <w:lang w:val="sr-Latn-ME" w:eastAsia="sl-SI"/>
        </w:rPr>
      </w:pPr>
      <w:r w:rsidRPr="00291333">
        <w:rPr>
          <w:lang w:val="sr-Latn-ME" w:eastAsia="sl-SI"/>
        </w:rPr>
        <w:t>Studija L2401 je vođena kao opservacioni registar za prikupljanje podataka o efikasnosti i bezbjednosti dugotrajne primjene imatiniba, kod pacijenata sa rearanžmanom PDGFR-β gena koji pate od mijeloproliferativnih neoplazmi. Ukupno 23 pacijenta uključeno u taj registar primalo je medijanu dnevne doze imatiniba od 264 mg (raspon 100 to 400 mg) sa medijanom trajanja od 7,2 godine (raspon 0,1 do 12,7 godina). Zbog opservacione prirode ovog registra, podaci o hematološkoj, citogenetskoj i molekularnoj procjeni bili su dostupni za 22, 9 odnosno 17 od 23 uključena pacijenta. Kada se pretpostavi da su pacijenti sa nedostajućim podacima oni bez odgovora, onda može da se izvede zaključak da je CHR uočen kod 20 od 23 (87%) pacijenata, CCyR kod 9 od 23 (39,1%), a MR kod 11 od 23 (47,8%) pacijenata. Kada je nivo odgovora računat kao da je dobijen od pacijenata sa najmanje jednom validnom procjenom, onda su rezultati za CHR 20 od 22 (90,9%), CCyR 9 od 9 (100%) i MR 11 od 17 (64,7%).</w:t>
      </w:r>
    </w:p>
    <w:p w14:paraId="418557EC" w14:textId="77777777" w:rsidR="008F7DDB" w:rsidRPr="00291333" w:rsidRDefault="008F7DDB" w:rsidP="008F7DDB">
      <w:pPr>
        <w:spacing w:line="240" w:lineRule="auto"/>
        <w:jc w:val="both"/>
        <w:rPr>
          <w:lang w:val="sr-Latn-ME" w:eastAsia="sl-SI"/>
        </w:rPr>
      </w:pPr>
    </w:p>
    <w:p w14:paraId="338AD160" w14:textId="77777777" w:rsidR="008F7DDB" w:rsidRPr="00291333" w:rsidRDefault="008F7DDB" w:rsidP="008F7DDB">
      <w:pPr>
        <w:spacing w:line="240" w:lineRule="auto"/>
        <w:jc w:val="both"/>
        <w:rPr>
          <w:lang w:val="sr-Latn-ME" w:eastAsia="sl-SI"/>
        </w:rPr>
      </w:pPr>
      <w:r w:rsidRPr="00291333">
        <w:rPr>
          <w:lang w:val="sr-Latn-ME" w:eastAsia="sl-SI"/>
        </w:rPr>
        <w:t xml:space="preserve">Osim toga, drugih 24 pacijenata sa MDS/MPD je zabilježeno u 13 publikacija. 21 pacijent je liječen sa 400 mg imatiniba dnevno, dok su druga 3 pacijenta primila niže doze. Kod 11 pacijenata kod kojih je detektovano rearanžiranje PDGFR gena, 9 njih je postiglo kompletan hematološki odgovor, a jedan parcijalni hematološki odgovor. Starost ovih pacijenata kretala se od 2 do 79 godina. U nedavnoj publikaciji aktuelni podaci za 6 od tih 11 pacijenata otkrili su da su svi oni ostali u citogenetskoj remisiji (raspon 32-38 meseci). Ista publikacija je objavila rezultate dugoročnog praćenja za 12 MDS/MPD </w:t>
      </w:r>
      <w:r w:rsidRPr="00291333">
        <w:rPr>
          <w:lang w:val="sr-Latn-ME" w:eastAsia="sl-SI"/>
        </w:rPr>
        <w:lastRenderedPageBreak/>
        <w:t>pacijenata sa rearanžmanom PDGFR gena (5 pacijenata iz studije B2225). Ovi pacijenti su primali imatinib sa medijanom od 47 mjeseci (raspon 24 dana - 60 mjeseci). Kod 6 od ovih pacijenata praćenje sada premašuje 4 godine. Jedanaest pacijenata je postiglo brz kompletan hematološki odgovor; deset je imalo potpunu rezoluciju citogenetskih abnormalnosti i smanjenje ili nestanak fuzijskih transkripta, mjereno pomoću RT-PCR. Hematološki i citogenetski odgovor održavali su se za medijanu od 49 mjeseci (raspon 19-60), odnosno 47 mjeseci (raspon 16-59). Ukupno preživljavanje iznosi 65 mjeseci od dijagnoze (raspon 25-234). Davanje imatiniba pacijentima bez genetske translokacije obično ne rezultuje bilo kakvim poboljšanjem.</w:t>
      </w:r>
    </w:p>
    <w:p w14:paraId="6F8F2524" w14:textId="77777777" w:rsidR="008F7DDB" w:rsidRPr="00291333" w:rsidRDefault="008F7DDB" w:rsidP="008F7DDB">
      <w:pPr>
        <w:spacing w:line="240" w:lineRule="auto"/>
        <w:jc w:val="both"/>
        <w:rPr>
          <w:lang w:val="sr-Latn-ME" w:eastAsia="sl-SI"/>
        </w:rPr>
      </w:pPr>
    </w:p>
    <w:p w14:paraId="6190CB0A" w14:textId="77777777" w:rsidR="008F7DDB" w:rsidRPr="00291333" w:rsidRDefault="008F7DDB" w:rsidP="008F7DDB">
      <w:pPr>
        <w:spacing w:line="240" w:lineRule="auto"/>
        <w:jc w:val="both"/>
        <w:rPr>
          <w:lang w:val="sr-Latn-ME" w:eastAsia="sl-SI"/>
        </w:rPr>
      </w:pPr>
      <w:r w:rsidRPr="00291333">
        <w:rPr>
          <w:lang w:val="sr-Latn-ME" w:eastAsia="sl-SI"/>
        </w:rPr>
        <w:t>Kontrolisane kliničke studije nisu sprovedene na pedijatrijskim pacijentima sa MDS/MPD. U 4 publikacije opisano je pet (5) pacijenata sa MDS/MPD povezanom sa rearanžmanom gena za PDGFR. Starost ovih pacijenata bila je u rasponu od 3 mjeseca do 4 godine, a imatinib je primijenjen u dozi od 50 mg dnevno ili u dozama od 92,5 do 340 mg/m</w:t>
      </w:r>
      <w:r w:rsidRPr="00291333">
        <w:rPr>
          <w:vertAlign w:val="superscript"/>
          <w:lang w:val="sr-Latn-ME" w:eastAsia="sl-SI"/>
        </w:rPr>
        <w:t xml:space="preserve">2 </w:t>
      </w:r>
      <w:r w:rsidRPr="00291333">
        <w:rPr>
          <w:lang w:val="sr-Latn-ME" w:eastAsia="sl-SI"/>
        </w:rPr>
        <w:t>dnevno. Svi pacijenti postigli su kompletan hematološki odgovor, citogenetski odgovor i/ili klinički odgovor.</w:t>
      </w:r>
    </w:p>
    <w:p w14:paraId="0ACA2D4E" w14:textId="77777777" w:rsidR="008F7DDB" w:rsidRPr="00291333" w:rsidRDefault="008F7DDB" w:rsidP="008F7DDB">
      <w:pPr>
        <w:widowControl w:val="0"/>
        <w:spacing w:line="240" w:lineRule="auto"/>
        <w:ind w:right="-1"/>
        <w:rPr>
          <w:lang w:val="sr-Latn-ME"/>
        </w:rPr>
      </w:pPr>
    </w:p>
    <w:p w14:paraId="0938C7AE" w14:textId="77777777" w:rsidR="008F7DDB" w:rsidRPr="00291333" w:rsidRDefault="008F7DDB" w:rsidP="008F7DDB">
      <w:pPr>
        <w:keepNext/>
        <w:tabs>
          <w:tab w:val="left" w:pos="4300"/>
          <w:tab w:val="left" w:pos="5940"/>
          <w:tab w:val="left" w:pos="8180"/>
        </w:tabs>
        <w:spacing w:after="228" w:line="360" w:lineRule="atLeast"/>
        <w:outlineLvl w:val="1"/>
        <w:rPr>
          <w:b/>
          <w:u w:val="single"/>
          <w:lang w:val="sr-Latn-ME" w:eastAsia="sl-SI"/>
        </w:rPr>
      </w:pPr>
      <w:r w:rsidRPr="00291333">
        <w:rPr>
          <w:b/>
          <w:u w:val="single"/>
          <w:lang w:val="sr-Latn-ME" w:eastAsia="sl-SI"/>
        </w:rPr>
        <w:t>Kliničke studije kod pacijenata sa HES/CEL</w:t>
      </w:r>
      <w:r w:rsidRPr="00291333">
        <w:rPr>
          <w:b/>
          <w:u w:color="000000"/>
          <w:lang w:val="sr-Latn-ME" w:eastAsia="sl-SI"/>
        </w:rPr>
        <w:t xml:space="preserve"> </w:t>
      </w:r>
    </w:p>
    <w:p w14:paraId="6251167B" w14:textId="77777777" w:rsidR="008F7DDB" w:rsidRPr="00291333" w:rsidRDefault="008F7DDB" w:rsidP="008F7DDB">
      <w:pPr>
        <w:spacing w:line="240" w:lineRule="auto"/>
        <w:jc w:val="both"/>
        <w:rPr>
          <w:lang w:val="sr-Latn-ME" w:eastAsia="sl-SI"/>
        </w:rPr>
      </w:pPr>
      <w:r w:rsidRPr="00291333">
        <w:rPr>
          <w:lang w:val="sr-Latn-ME" w:eastAsia="sl-SI"/>
        </w:rPr>
        <w:t>Jedno otvoreno, multicentrično, kliničko ispitivanje faze II (studija B2225) je sprovedeno kako bi se ispitala primjena imatiniba kod različitih populacija pacijenata koji su patili od po život opasnih bolesti povezanih sa Abl, Kit ili PDGFR protein-tirozin kinazama. U ovoj studiji, 14 pacijenata sa HES/CEL liječeno je sa 100 mg do 1000 mg imatiniba dnevno. Drugih 162 pacijenata sa HES/CEL, opisanih u 35 publikovanih prikaza slučajeva i serija slučajeva primali su imatinib u dozama od 75 mg do 800 mg dnevno. Citogenetske abnormalnosti bile su procjenjivane kod 117 od ukupne populacije od 176 pacijenata. Kod 61 od tih 117 pacijenata identifikovana je FIP1L1-PDGFRα fuzijska kinaza. Kod dodatna četiri pacijenta od HES nađeno je da su FIP1L1-PDGFRα- pozitivni u druga 3 objavljena izvještaja. Svih 65 pacijenata pozitivnih na FIP1L1PDGFRα fuzijsku kinazu postiglo je kompletan hematološki odgovor koji se mjesecima održavao (raspon od 1+ do 44+ mjeseci, prekinuto u trenutku izvještavanja). Kao što je opisano u nedavnoj publikaciji, 21 od ovih 65 pacijenata takođe je postiglo potpunu molekulsku remisiju sa medijanom vremena praćenja od 28 mjeseci (raspon 13-67 mjeseci). Starost ovih pacijenata kretala se od 25 do 72 godine. Istraživači su u prikazima slučajeva dodatno opisali poboljšanja u simptomatologiji i poremećajima funkcije drugih organa. Opisana su poboljšanja srčanog, nervnog sistema, kožnog/potkožnog tkiva, respiratornih, torakalnih i medijastinalnih organa, muskuloskeletnih organa, vezivnog tkiva, vaskularnog i gastrointestinalnog sistema organa.</w:t>
      </w:r>
    </w:p>
    <w:p w14:paraId="5BD85655" w14:textId="77777777" w:rsidR="008F7DDB" w:rsidRPr="00291333" w:rsidRDefault="008F7DDB" w:rsidP="008F7DDB">
      <w:pPr>
        <w:spacing w:line="240" w:lineRule="auto"/>
        <w:rPr>
          <w:lang w:val="sr-Latn-ME" w:eastAsia="sl-SI"/>
        </w:rPr>
      </w:pPr>
    </w:p>
    <w:p w14:paraId="1574D911" w14:textId="77777777" w:rsidR="008F7DDB" w:rsidRPr="00291333" w:rsidRDefault="008F7DDB" w:rsidP="008F7DDB">
      <w:pPr>
        <w:spacing w:line="240" w:lineRule="auto"/>
        <w:jc w:val="both"/>
        <w:rPr>
          <w:lang w:val="sr-Latn-ME" w:eastAsia="sl-SI"/>
        </w:rPr>
      </w:pPr>
      <w:r w:rsidRPr="00291333">
        <w:rPr>
          <w:lang w:val="sr-Latn-ME" w:eastAsia="sl-SI"/>
        </w:rPr>
        <w:t>Nema kontrolisanih ispitivanja kod pedijatrijskih pacijenata sa HES/CEL. U 3 publikacije opisana su tri (3) pacijenta sa HES i CEL povezanim sa rearanžmanom gena za PDGFR. Ovi pacijenti su bili uzrasta od 2 do 16 godina i imatinib je primjenjivan u dozi od 300 mg/m</w:t>
      </w:r>
      <w:r w:rsidRPr="00291333">
        <w:rPr>
          <w:vertAlign w:val="superscript"/>
          <w:lang w:val="sr-Latn-ME" w:eastAsia="sl-SI"/>
        </w:rPr>
        <w:t xml:space="preserve">2 </w:t>
      </w:r>
      <w:r w:rsidRPr="00291333">
        <w:rPr>
          <w:lang w:val="sr-Latn-ME" w:eastAsia="sl-SI"/>
        </w:rPr>
        <w:t>dnevno ili dozama u rasponu od 200 do 400 mg dnevno. Svi pacijenti su postigli kompletan hematološki odgovor, kompletan citogenetskii odgovor i/ili kompletan molekularni odgovor.</w:t>
      </w:r>
    </w:p>
    <w:p w14:paraId="3EB82104" w14:textId="77777777" w:rsidR="008F7DDB" w:rsidRPr="00291333" w:rsidRDefault="008F7DDB" w:rsidP="008F7DDB">
      <w:pPr>
        <w:keepNext/>
        <w:tabs>
          <w:tab w:val="left" w:pos="4300"/>
          <w:tab w:val="left" w:pos="5940"/>
          <w:tab w:val="left" w:pos="8180"/>
        </w:tabs>
        <w:spacing w:after="255" w:line="360" w:lineRule="atLeast"/>
        <w:outlineLvl w:val="1"/>
        <w:rPr>
          <w:b/>
          <w:u w:val="single"/>
          <w:lang w:val="sr-Latn-ME" w:eastAsia="sl-SI"/>
        </w:rPr>
      </w:pPr>
      <w:r w:rsidRPr="00291333">
        <w:rPr>
          <w:b/>
          <w:u w:val="single"/>
          <w:lang w:val="sr-Latn-ME" w:eastAsia="sl-SI"/>
        </w:rPr>
        <w:t>Kliničke studije kod neresektabilnog i/ili metastatskog GIST</w:t>
      </w:r>
      <w:r w:rsidRPr="00291333">
        <w:rPr>
          <w:b/>
          <w:u w:color="000000"/>
          <w:lang w:val="sr-Latn-ME" w:eastAsia="sl-SI"/>
        </w:rPr>
        <w:t xml:space="preserve"> </w:t>
      </w:r>
    </w:p>
    <w:p w14:paraId="38D76700" w14:textId="77777777" w:rsidR="008F7DDB" w:rsidRPr="00291333" w:rsidRDefault="008F7DDB" w:rsidP="008F7DDB">
      <w:pPr>
        <w:spacing w:line="240" w:lineRule="auto"/>
        <w:jc w:val="both"/>
        <w:rPr>
          <w:lang w:val="sr-Latn-ME" w:eastAsia="sl-SI"/>
        </w:rPr>
      </w:pPr>
      <w:r w:rsidRPr="00291333">
        <w:rPr>
          <w:lang w:val="sr-Latn-ME" w:eastAsia="sl-SI"/>
        </w:rPr>
        <w:t xml:space="preserve">Jedna otvorena, randomizovana, međunarodna studija faze II, bez kontrolne grupe sprovedena je na pacijentima sa neresektabilnim ili metastatskim malignim gastrointestinalnim stromalnim tumorima (GIST). U ovoj studiji 147 pacijenata je uključeno i randomizovano da prime 400 mg ili 600 mg imatiniba oralno jednom dnevno u toku 36 mjeseci. Starost ovih pacijenata bila je od 18 do 83 godine i imali su patološku dijagnozu Kit-pozitivnih malignih GIST koji su neresektabilni i/ili metastatski. Imunohistohemija je rutinski obavljena sa Kit antitelima (A-4502, poliklonski antiserum kunića, 1:100; DAKO Corporation, Carpinteria, CA) prema analizi metodom kompleksa avidin-biotin-peroksidaze nakon izvlačenja antigena. </w:t>
      </w:r>
    </w:p>
    <w:p w14:paraId="3A974EF4" w14:textId="77777777" w:rsidR="008F7DDB" w:rsidRPr="00291333" w:rsidRDefault="008F7DDB" w:rsidP="008F7DDB">
      <w:pPr>
        <w:spacing w:line="240" w:lineRule="auto"/>
        <w:jc w:val="both"/>
        <w:rPr>
          <w:lang w:val="sr-Latn-ME" w:eastAsia="sl-SI"/>
        </w:rPr>
      </w:pPr>
    </w:p>
    <w:p w14:paraId="59BCCC51" w14:textId="77777777" w:rsidR="008F7DDB" w:rsidRPr="00291333" w:rsidRDefault="008F7DDB" w:rsidP="008F7DDB">
      <w:pPr>
        <w:spacing w:line="240" w:lineRule="auto"/>
        <w:jc w:val="both"/>
        <w:rPr>
          <w:lang w:val="sr-Latn-ME" w:eastAsia="sl-SI"/>
        </w:rPr>
      </w:pPr>
      <w:r w:rsidRPr="00291333">
        <w:rPr>
          <w:lang w:val="sr-Latn-ME" w:eastAsia="sl-SI"/>
        </w:rPr>
        <w:t xml:space="preserve">Primarni dokaz efikasnosti zasnivao se na objektivnim stopama odgovora. Tumori su morali biti mjerljivi na bar jednom oboljelom mjestu, a karakterizacija odogovora je zasnovana na kriterijumima </w:t>
      </w:r>
      <w:r w:rsidRPr="00291333">
        <w:rPr>
          <w:i/>
          <w:lang w:val="sr-Latn-ME" w:eastAsia="sl-SI"/>
        </w:rPr>
        <w:t xml:space="preserve">Southwestern Oncology Group </w:t>
      </w:r>
      <w:r w:rsidRPr="00291333">
        <w:rPr>
          <w:lang w:val="sr-Latn-ME" w:eastAsia="sl-SI"/>
        </w:rPr>
        <w:t>(SWOG). Rezultati su navedeni u Tabeli 6.</w:t>
      </w:r>
    </w:p>
    <w:p w14:paraId="3AF72BEC" w14:textId="77777777" w:rsidR="008F7DDB" w:rsidRPr="00291333" w:rsidRDefault="008F7DDB" w:rsidP="008F7DDB">
      <w:pPr>
        <w:keepNext/>
        <w:spacing w:before="240" w:after="60" w:line="240" w:lineRule="auto"/>
        <w:outlineLvl w:val="0"/>
        <w:rPr>
          <w:b/>
          <w:bCs/>
          <w:kern w:val="32"/>
          <w:lang w:val="sr-Latn-ME" w:eastAsia="sl-SI"/>
        </w:rPr>
      </w:pPr>
      <w:r w:rsidRPr="00291333">
        <w:rPr>
          <w:b/>
          <w:bCs/>
          <w:kern w:val="32"/>
          <w:lang w:val="sr-Latn-ME" w:eastAsia="sl-SI"/>
        </w:rPr>
        <w:t>Tabela 6. Najbolji tumorski odgovori u ispitivanju STIB2222 (GIST)</w:t>
      </w:r>
    </w:p>
    <w:p w14:paraId="375CD72C" w14:textId="77777777" w:rsidR="008F7DDB" w:rsidRPr="00291333" w:rsidRDefault="008F7DDB" w:rsidP="008F7DDB">
      <w:pPr>
        <w:spacing w:line="240" w:lineRule="auto"/>
        <w:rPr>
          <w:lang w:val="sr-Latn-ME" w:eastAsia="sl-SI"/>
        </w:rPr>
      </w:pPr>
    </w:p>
    <w:tbl>
      <w:tblPr>
        <w:tblW w:w="9639" w:type="dxa"/>
        <w:tblInd w:w="-5" w:type="dxa"/>
        <w:tblCellMar>
          <w:top w:w="49" w:type="dxa"/>
          <w:left w:w="110" w:type="dxa"/>
          <w:right w:w="115" w:type="dxa"/>
        </w:tblCellMar>
        <w:tblLook w:val="04A0" w:firstRow="1" w:lastRow="0" w:firstColumn="1" w:lastColumn="0" w:noHBand="0" w:noVBand="1"/>
      </w:tblPr>
      <w:tblGrid>
        <w:gridCol w:w="4707"/>
        <w:gridCol w:w="4932"/>
      </w:tblGrid>
      <w:tr w:rsidR="008F7DDB" w:rsidRPr="00291333" w14:paraId="2845103D" w14:textId="77777777" w:rsidTr="0040712C">
        <w:trPr>
          <w:trHeight w:val="1017"/>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7FB79609" w14:textId="77777777" w:rsidR="008F7DDB" w:rsidRPr="00291333" w:rsidRDefault="008F7DDB" w:rsidP="0040712C">
            <w:pPr>
              <w:rPr>
                <w:color w:val="000000"/>
                <w:lang w:val="sr-Latn-ME" w:eastAsia="sr-Latn-RS"/>
              </w:rPr>
            </w:pPr>
            <w:r w:rsidRPr="00291333">
              <w:rPr>
                <w:color w:val="000000"/>
                <w:lang w:val="sr-Latn-ME" w:eastAsia="sr-Latn-RS"/>
              </w:rPr>
              <w:lastRenderedPageBreak/>
              <w:t xml:space="preserve">Najbolji odgovor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103DC6B" w14:textId="77777777" w:rsidR="008F7DDB" w:rsidRPr="00291333" w:rsidRDefault="008F7DDB" w:rsidP="0040712C">
            <w:pPr>
              <w:rPr>
                <w:color w:val="000000"/>
                <w:lang w:val="sr-Latn-ME" w:eastAsia="sr-Latn-RS"/>
              </w:rPr>
            </w:pPr>
            <w:r w:rsidRPr="00291333">
              <w:rPr>
                <w:color w:val="000000"/>
                <w:lang w:val="sr-Latn-ME" w:eastAsia="sr-Latn-RS"/>
              </w:rPr>
              <w:t xml:space="preserve">Sve doze (n=147) </w:t>
            </w:r>
          </w:p>
          <w:p w14:paraId="4C2BC62B" w14:textId="77777777" w:rsidR="008F7DDB" w:rsidRPr="00291333" w:rsidRDefault="008F7DDB" w:rsidP="0040712C">
            <w:pPr>
              <w:ind w:right="3223"/>
              <w:rPr>
                <w:color w:val="000000"/>
                <w:lang w:val="sr-Latn-ME" w:eastAsia="sr-Latn-RS"/>
              </w:rPr>
            </w:pPr>
            <w:r w:rsidRPr="00291333">
              <w:rPr>
                <w:color w:val="000000"/>
                <w:lang w:val="sr-Latn-ME" w:eastAsia="sr-Latn-RS"/>
              </w:rPr>
              <w:t xml:space="preserve">400 mg (n=73) 600 mg (n=74) </w:t>
            </w:r>
          </w:p>
          <w:p w14:paraId="465E3C88" w14:textId="77777777" w:rsidR="008F7DDB" w:rsidRPr="00291333" w:rsidRDefault="008F7DDB" w:rsidP="0040712C">
            <w:pPr>
              <w:ind w:right="3223"/>
              <w:rPr>
                <w:color w:val="000000"/>
                <w:lang w:val="sr-Latn-ME" w:eastAsia="sr-Latn-RS"/>
              </w:rPr>
            </w:pPr>
            <w:r w:rsidRPr="00291333">
              <w:rPr>
                <w:color w:val="000000"/>
                <w:lang w:val="sr-Latn-ME" w:eastAsia="sr-Latn-RS"/>
              </w:rPr>
              <w:t>n (%)</w:t>
            </w:r>
          </w:p>
        </w:tc>
      </w:tr>
      <w:tr w:rsidR="008F7DDB" w:rsidRPr="00291333" w14:paraId="05E2303E" w14:textId="77777777" w:rsidTr="0040712C">
        <w:trPr>
          <w:trHeight w:val="257"/>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7C8CBE09" w14:textId="77777777" w:rsidR="008F7DDB" w:rsidRPr="00291333" w:rsidRDefault="008F7DDB" w:rsidP="0040712C">
            <w:pPr>
              <w:rPr>
                <w:color w:val="000000"/>
                <w:lang w:val="sr-Latn-ME" w:eastAsia="sr-Latn-RS"/>
              </w:rPr>
            </w:pPr>
            <w:r w:rsidRPr="00291333">
              <w:rPr>
                <w:color w:val="000000"/>
                <w:lang w:val="sr-Latn-ME" w:eastAsia="sr-Latn-RS"/>
              </w:rPr>
              <w:t xml:space="preserve">Potpuni odgovor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3E636338" w14:textId="77777777" w:rsidR="008F7DDB" w:rsidRPr="00291333" w:rsidRDefault="008F7DDB" w:rsidP="0040712C">
            <w:pPr>
              <w:rPr>
                <w:color w:val="000000"/>
                <w:lang w:val="sr-Latn-ME" w:eastAsia="sr-Latn-RS"/>
              </w:rPr>
            </w:pPr>
            <w:r w:rsidRPr="00291333">
              <w:rPr>
                <w:color w:val="000000"/>
                <w:lang w:val="sr-Latn-ME" w:eastAsia="sr-Latn-RS"/>
              </w:rPr>
              <w:t>1 (0,7)</w:t>
            </w:r>
          </w:p>
        </w:tc>
      </w:tr>
      <w:tr w:rsidR="008F7DDB" w:rsidRPr="00291333" w14:paraId="5D355022" w14:textId="77777777" w:rsidTr="0040712C">
        <w:trPr>
          <w:trHeight w:val="262"/>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51616648" w14:textId="77777777" w:rsidR="008F7DDB" w:rsidRPr="00291333" w:rsidRDefault="008F7DDB" w:rsidP="0040712C">
            <w:pPr>
              <w:rPr>
                <w:color w:val="000000"/>
                <w:lang w:val="sr-Latn-ME" w:eastAsia="sr-Latn-RS"/>
              </w:rPr>
            </w:pPr>
            <w:r w:rsidRPr="00291333">
              <w:rPr>
                <w:color w:val="000000"/>
                <w:lang w:val="sr-Latn-ME" w:eastAsia="sr-Latn-RS"/>
              </w:rPr>
              <w:t xml:space="preserve">Djelimičan odgovor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209DB4FF" w14:textId="77777777" w:rsidR="008F7DDB" w:rsidRPr="00291333" w:rsidRDefault="008F7DDB" w:rsidP="0040712C">
            <w:pPr>
              <w:rPr>
                <w:color w:val="000000"/>
                <w:lang w:val="sr-Latn-ME" w:eastAsia="sr-Latn-RS"/>
              </w:rPr>
            </w:pPr>
            <w:r w:rsidRPr="00291333">
              <w:rPr>
                <w:color w:val="000000"/>
                <w:lang w:val="sr-Latn-ME" w:eastAsia="sr-Latn-RS"/>
              </w:rPr>
              <w:t>98 (66,7)</w:t>
            </w:r>
          </w:p>
        </w:tc>
      </w:tr>
      <w:tr w:rsidR="008F7DDB" w:rsidRPr="00291333" w14:paraId="6431DFA4" w14:textId="77777777" w:rsidTr="0040712C">
        <w:trPr>
          <w:trHeight w:val="262"/>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61501CB7" w14:textId="77777777" w:rsidR="008F7DDB" w:rsidRPr="00291333" w:rsidRDefault="008F7DDB" w:rsidP="0040712C">
            <w:pPr>
              <w:rPr>
                <w:color w:val="000000"/>
                <w:lang w:val="sr-Latn-ME" w:eastAsia="sr-Latn-RS"/>
              </w:rPr>
            </w:pPr>
            <w:r w:rsidRPr="00291333">
              <w:rPr>
                <w:color w:val="000000"/>
                <w:lang w:val="sr-Latn-ME" w:eastAsia="sr-Latn-RS"/>
              </w:rPr>
              <w:t xml:space="preserve">Stabilna bolest </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596A75B1" w14:textId="77777777" w:rsidR="008F7DDB" w:rsidRPr="00291333" w:rsidRDefault="008F7DDB" w:rsidP="0040712C">
            <w:pPr>
              <w:rPr>
                <w:color w:val="000000"/>
                <w:lang w:val="sr-Latn-ME" w:eastAsia="sr-Latn-RS"/>
              </w:rPr>
            </w:pPr>
            <w:r w:rsidRPr="00291333">
              <w:rPr>
                <w:color w:val="000000"/>
                <w:lang w:val="sr-Latn-ME" w:eastAsia="sr-Latn-RS"/>
              </w:rPr>
              <w:t>23 (15,6)</w:t>
            </w:r>
          </w:p>
        </w:tc>
      </w:tr>
      <w:tr w:rsidR="008F7DDB" w:rsidRPr="00291333" w14:paraId="41C07D40" w14:textId="77777777" w:rsidTr="0040712C">
        <w:trPr>
          <w:trHeight w:val="262"/>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685D7656" w14:textId="77777777" w:rsidR="008F7DDB" w:rsidRPr="00291333" w:rsidRDefault="008F7DDB" w:rsidP="0040712C">
            <w:pPr>
              <w:rPr>
                <w:color w:val="000000"/>
                <w:lang w:val="sr-Latn-ME" w:eastAsia="sr-Latn-RS"/>
              </w:rPr>
            </w:pPr>
            <w:r w:rsidRPr="00291333">
              <w:rPr>
                <w:color w:val="000000"/>
                <w:lang w:val="sr-Latn-ME" w:eastAsia="sr-Latn-RS"/>
              </w:rPr>
              <w:t>Progresivna bolest</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6491A053" w14:textId="77777777" w:rsidR="008F7DDB" w:rsidRPr="00291333" w:rsidRDefault="008F7DDB" w:rsidP="0040712C">
            <w:pPr>
              <w:rPr>
                <w:color w:val="000000"/>
                <w:lang w:val="sr-Latn-ME" w:eastAsia="sr-Latn-RS"/>
              </w:rPr>
            </w:pPr>
            <w:r w:rsidRPr="00291333">
              <w:rPr>
                <w:color w:val="000000"/>
                <w:lang w:val="sr-Latn-ME" w:eastAsia="sr-Latn-RS"/>
              </w:rPr>
              <w:t>18 (12,2)</w:t>
            </w:r>
          </w:p>
        </w:tc>
      </w:tr>
      <w:tr w:rsidR="008F7DDB" w:rsidRPr="00291333" w14:paraId="05B441AD" w14:textId="77777777" w:rsidTr="0040712C">
        <w:trPr>
          <w:trHeight w:val="262"/>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1091C5B6" w14:textId="77777777" w:rsidR="008F7DDB" w:rsidRPr="00291333" w:rsidRDefault="008F7DDB" w:rsidP="0040712C">
            <w:pPr>
              <w:rPr>
                <w:color w:val="000000"/>
                <w:lang w:val="sr-Latn-ME" w:eastAsia="sr-Latn-RS"/>
              </w:rPr>
            </w:pPr>
            <w:r w:rsidRPr="00291333">
              <w:rPr>
                <w:color w:val="000000"/>
                <w:lang w:val="sr-Latn-ME" w:eastAsia="sr-Latn-RS"/>
              </w:rPr>
              <w:t>Nije procjenjivo</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35A9934" w14:textId="77777777" w:rsidR="008F7DDB" w:rsidRPr="00291333" w:rsidRDefault="008F7DDB" w:rsidP="0040712C">
            <w:pPr>
              <w:rPr>
                <w:color w:val="000000"/>
                <w:lang w:val="sr-Latn-ME" w:eastAsia="sr-Latn-RS"/>
              </w:rPr>
            </w:pPr>
            <w:r w:rsidRPr="00291333">
              <w:rPr>
                <w:color w:val="000000"/>
                <w:lang w:val="sr-Latn-ME" w:eastAsia="sr-Latn-RS"/>
              </w:rPr>
              <w:t>5 (3,4)</w:t>
            </w:r>
          </w:p>
        </w:tc>
      </w:tr>
      <w:tr w:rsidR="008F7DDB" w:rsidRPr="00291333" w14:paraId="7686A9D1" w14:textId="77777777" w:rsidTr="0040712C">
        <w:trPr>
          <w:trHeight w:val="262"/>
        </w:trPr>
        <w:tc>
          <w:tcPr>
            <w:tcW w:w="4707" w:type="dxa"/>
            <w:tcBorders>
              <w:top w:val="single" w:sz="4" w:space="0" w:color="000000"/>
              <w:left w:val="single" w:sz="4" w:space="0" w:color="000000"/>
              <w:bottom w:val="single" w:sz="4" w:space="0" w:color="000000"/>
              <w:right w:val="single" w:sz="4" w:space="0" w:color="000000"/>
            </w:tcBorders>
            <w:shd w:val="clear" w:color="auto" w:fill="auto"/>
          </w:tcPr>
          <w:p w14:paraId="6F483EE5" w14:textId="77777777" w:rsidR="008F7DDB" w:rsidRPr="00291333" w:rsidRDefault="008F7DDB" w:rsidP="0040712C">
            <w:pPr>
              <w:rPr>
                <w:color w:val="000000"/>
                <w:lang w:val="sr-Latn-ME" w:eastAsia="sr-Latn-RS"/>
              </w:rPr>
            </w:pPr>
            <w:r w:rsidRPr="00291333">
              <w:rPr>
                <w:color w:val="000000"/>
                <w:lang w:val="sr-Latn-ME" w:eastAsia="sr-Latn-RS"/>
              </w:rPr>
              <w:t>Nepoznato</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41A1C81C" w14:textId="77777777" w:rsidR="008F7DDB" w:rsidRPr="00291333" w:rsidRDefault="008F7DDB" w:rsidP="0040712C">
            <w:pPr>
              <w:rPr>
                <w:color w:val="000000"/>
                <w:lang w:val="sr-Latn-ME" w:eastAsia="sr-Latn-RS"/>
              </w:rPr>
            </w:pPr>
            <w:r w:rsidRPr="00291333">
              <w:rPr>
                <w:color w:val="000000"/>
                <w:lang w:val="sr-Latn-ME" w:eastAsia="sr-Latn-RS"/>
              </w:rPr>
              <w:t>2 (1,4)</w:t>
            </w:r>
          </w:p>
        </w:tc>
      </w:tr>
    </w:tbl>
    <w:p w14:paraId="272DBA5A" w14:textId="77777777" w:rsidR="008F7DDB" w:rsidRPr="00291333" w:rsidRDefault="008F7DDB" w:rsidP="008F7DDB">
      <w:pPr>
        <w:spacing w:line="240" w:lineRule="auto"/>
        <w:rPr>
          <w:lang w:val="sr-Latn-ME" w:eastAsia="sl-SI"/>
        </w:rPr>
      </w:pPr>
    </w:p>
    <w:p w14:paraId="2052D940" w14:textId="77777777" w:rsidR="008F7DDB" w:rsidRPr="00291333" w:rsidRDefault="008F7DDB" w:rsidP="008F7DDB">
      <w:pPr>
        <w:spacing w:after="267" w:line="240" w:lineRule="auto"/>
        <w:jc w:val="both"/>
        <w:rPr>
          <w:lang w:val="sr-Latn-ME" w:eastAsia="sl-SI"/>
        </w:rPr>
      </w:pPr>
      <w:r w:rsidRPr="00291333">
        <w:rPr>
          <w:lang w:val="sr-Latn-ME" w:eastAsia="sl-SI"/>
        </w:rPr>
        <w:t xml:space="preserve">Nije bilo razlike u stopi odgovora između dvije dozne grupe. Značajan broj pacijenata koji su imali stabilnu bolest u vrijeme periodične analize postigao je djelimičan odgovor sa dužom terapijom (medijana praćenja 31 mjesec). Medijana vremena do odgovora bila je 13 nedjelja (95% CI, interval pouzdanosti, 12-23). Medijana vremena do neuspjeha terapije kod onih koji su reagovali bila je 122 nedjelje (95% CI 106-147), dok je u ukupnoj populaciji u studiji to bilo 84 nedjelje (95% CI 71-109). Medijana ukupnog vremena preživljavanja nije dostignuta. Kaplan-Meier-ova procjena za preživljavanje poslije 36-mjesečnog praćenja bila je 68%. </w:t>
      </w:r>
    </w:p>
    <w:p w14:paraId="25653BD3" w14:textId="77777777" w:rsidR="008F7DDB" w:rsidRPr="00291333" w:rsidRDefault="008F7DDB" w:rsidP="008F7DDB">
      <w:pPr>
        <w:spacing w:line="240" w:lineRule="auto"/>
        <w:jc w:val="both"/>
        <w:rPr>
          <w:lang w:val="sr-Latn-ME" w:eastAsia="sl-SI"/>
        </w:rPr>
      </w:pPr>
      <w:r w:rsidRPr="00291333">
        <w:rPr>
          <w:lang w:val="sr-Latn-ME" w:eastAsia="sl-SI"/>
        </w:rPr>
        <w:t>U dvije kliničke studije (studija B2222 i međugrupna studija S0033) dnevna doza imatiniba bila je povećana na 800 mg kod pacijenata sa progresijom pri nižim dnevnim dozama od 400 mg ili 600 mg. Dnevna doza je povećana na 800 mg kod ukupno 103 pacijenta; 6 pacijenata postiglo je djelimičan odgovor, a 21 stabilizaciju svoje bolesti poslije povećanja doze za ukupno kliničko poboljšanje od 26%. Od raspoloživih podataka o bezbjednosti, povećavanje doze na 800 mg dnevno kod pacijenata sa progresijom pri nižim dozama od 400 mg ili 600 mg dnevno izgleda da nije uticalo na bezbjednosni profil imatiniba.</w:t>
      </w:r>
    </w:p>
    <w:p w14:paraId="37B4E3BF" w14:textId="77777777" w:rsidR="008F7DDB" w:rsidRPr="00291333" w:rsidRDefault="008F7DDB" w:rsidP="008F7DDB">
      <w:pPr>
        <w:widowControl w:val="0"/>
        <w:spacing w:line="240" w:lineRule="auto"/>
        <w:ind w:right="-1"/>
        <w:rPr>
          <w:lang w:val="sr-Latn-ME"/>
        </w:rPr>
      </w:pPr>
    </w:p>
    <w:p w14:paraId="3191E4EA" w14:textId="77777777" w:rsidR="008F7DDB" w:rsidRPr="00291333" w:rsidRDefault="008F7DDB" w:rsidP="008F7DDB">
      <w:pPr>
        <w:keepNext/>
        <w:tabs>
          <w:tab w:val="left" w:pos="4300"/>
          <w:tab w:val="left" w:pos="5940"/>
          <w:tab w:val="left" w:pos="8180"/>
        </w:tabs>
        <w:spacing w:after="255" w:line="360" w:lineRule="atLeast"/>
        <w:outlineLvl w:val="1"/>
        <w:rPr>
          <w:b/>
          <w:u w:val="single"/>
          <w:lang w:val="sr-Latn-ME" w:eastAsia="sl-SI"/>
        </w:rPr>
      </w:pPr>
      <w:r w:rsidRPr="00291333">
        <w:rPr>
          <w:b/>
          <w:u w:val="single"/>
          <w:lang w:val="sr-Latn-ME" w:eastAsia="sl-SI"/>
        </w:rPr>
        <w:t>Klinička studija kod adjuvantnog GIST-a</w:t>
      </w:r>
      <w:r w:rsidRPr="00291333">
        <w:rPr>
          <w:b/>
          <w:u w:color="000000"/>
          <w:lang w:val="sr-Latn-ME" w:eastAsia="sl-SI"/>
        </w:rPr>
        <w:t xml:space="preserve"> </w:t>
      </w:r>
    </w:p>
    <w:p w14:paraId="4507A645" w14:textId="77777777" w:rsidR="008F7DDB" w:rsidRPr="00291333" w:rsidRDefault="008F7DDB" w:rsidP="008F7DDB">
      <w:pPr>
        <w:spacing w:line="240" w:lineRule="auto"/>
        <w:jc w:val="both"/>
        <w:rPr>
          <w:lang w:val="sr-Latn-ME" w:eastAsia="sl-SI"/>
        </w:rPr>
      </w:pPr>
      <w:r w:rsidRPr="00291333">
        <w:rPr>
          <w:lang w:val="sr-Latn-ME" w:eastAsia="sl-SI"/>
        </w:rPr>
        <w:t xml:space="preserve">U adjuvantnom režimu, imatinib je ispitivan u multicentričnoj, duplo-slijepoj, dugotrajnoj, placebo-kontrolisanoj studiji faze III (Z9001) na 773 pacijenta. Starost ovih pacijenata je bila od 18 do 91 godinu. Pacijenti uključeni u studiju imali su histološki dijagnostikovan primarni GIST sa ekspresijom Kit proteina (imunohistohemijski potvrđenom) i tumor veličine ≥3 cm u maksimalnoj dimenziji, uz potpunu makroskopsku resekciju (engl. </w:t>
      </w:r>
      <w:r w:rsidRPr="00291333">
        <w:rPr>
          <w:i/>
          <w:lang w:val="sr-Latn-ME" w:eastAsia="sl-SI"/>
        </w:rPr>
        <w:t>gross resection</w:t>
      </w:r>
      <w:r w:rsidRPr="00291333">
        <w:rPr>
          <w:lang w:val="sr-Latn-ME" w:eastAsia="sl-SI"/>
        </w:rPr>
        <w:t xml:space="preserve">) primarnog GIST-a unutar 14-70 dana prije uključivanja u ispitivanje. Nakon resekcije primarnog GIST-a, pacijenti su randomizovani u dvije grupe: 400 mg/dan imatiniba ili odgovarajući placebo tokom jedne godine. </w:t>
      </w:r>
    </w:p>
    <w:p w14:paraId="518286EC" w14:textId="77777777" w:rsidR="008F7DDB" w:rsidRPr="00291333" w:rsidRDefault="008F7DDB" w:rsidP="008F7DDB">
      <w:pPr>
        <w:spacing w:line="240" w:lineRule="auto"/>
        <w:jc w:val="both"/>
        <w:rPr>
          <w:lang w:val="sr-Latn-ME" w:eastAsia="sl-SI"/>
        </w:rPr>
      </w:pPr>
    </w:p>
    <w:p w14:paraId="177EEE1E" w14:textId="77777777" w:rsidR="008F7DDB" w:rsidRPr="00291333" w:rsidRDefault="008F7DDB" w:rsidP="008F7DDB">
      <w:pPr>
        <w:spacing w:line="240" w:lineRule="auto"/>
        <w:jc w:val="both"/>
        <w:rPr>
          <w:lang w:val="sr-Latn-ME" w:eastAsia="sl-SI"/>
        </w:rPr>
      </w:pPr>
      <w:r w:rsidRPr="00291333">
        <w:rPr>
          <w:lang w:val="sr-Latn-ME" w:eastAsia="sl-SI"/>
        </w:rPr>
        <w:t xml:space="preserve">Primarni parametar praćenja ishoda u studiji je bilo preživljavanje bez ponovnog javljanja bolesti (engl. </w:t>
      </w:r>
      <w:r w:rsidRPr="00291333">
        <w:rPr>
          <w:i/>
          <w:lang w:val="sr-Latn-ME" w:eastAsia="sl-SI"/>
        </w:rPr>
        <w:t xml:space="preserve">recurrence free survival, </w:t>
      </w:r>
      <w:r w:rsidRPr="00291333">
        <w:rPr>
          <w:lang w:val="sr-Latn-ME" w:eastAsia="sl-SI"/>
        </w:rPr>
        <w:t>RFS), definisano kao vrijeme od dana randomizacije do dana ponovnog javljanja bolesti ili smrti iz bilo kog razloga.</w:t>
      </w:r>
    </w:p>
    <w:p w14:paraId="7B81BB54" w14:textId="77777777" w:rsidR="008F7DDB" w:rsidRPr="00291333" w:rsidRDefault="008F7DDB" w:rsidP="008F7DDB">
      <w:pPr>
        <w:spacing w:line="240" w:lineRule="auto"/>
        <w:jc w:val="both"/>
        <w:rPr>
          <w:lang w:val="sr-Latn-ME" w:eastAsia="sl-SI"/>
        </w:rPr>
      </w:pPr>
      <w:r w:rsidRPr="00291333">
        <w:rPr>
          <w:lang w:val="sr-Latn-ME" w:eastAsia="sl-SI"/>
        </w:rPr>
        <w:t xml:space="preserve"> </w:t>
      </w:r>
    </w:p>
    <w:p w14:paraId="3AFC7BD4" w14:textId="77777777" w:rsidR="008F7DDB" w:rsidRPr="00291333" w:rsidRDefault="008F7DDB" w:rsidP="008F7DDB">
      <w:pPr>
        <w:spacing w:line="240" w:lineRule="auto"/>
        <w:jc w:val="both"/>
        <w:rPr>
          <w:lang w:val="sr-Latn-ME" w:eastAsia="sl-SI"/>
        </w:rPr>
      </w:pPr>
      <w:r w:rsidRPr="00291333">
        <w:rPr>
          <w:lang w:val="sr-Latn-ME" w:eastAsia="sl-SI"/>
        </w:rPr>
        <w:t>Imatinib je značajno produžio RFS, kod 75% pacijenata nije došlo do ponovnog javljanja bolesti nakon 38 mjeseci u grupi koja je primala imatinib, u odnosu na 20 mjeseci u grupi koja je primala placebo (95% CIs, [30 - nije moguće procijeniti]; [14 - nije moguće procijeniti]); (</w:t>
      </w:r>
      <w:r w:rsidRPr="00291333">
        <w:rPr>
          <w:i/>
          <w:lang w:val="sr-Latn-ME" w:eastAsia="sl-SI"/>
        </w:rPr>
        <w:t xml:space="preserve">hazard ratio </w:t>
      </w:r>
      <w:r w:rsidRPr="00291333">
        <w:rPr>
          <w:lang w:val="sr-Latn-ME" w:eastAsia="sl-SI"/>
        </w:rPr>
        <w:t>= 0,398 [0,259-0,610], p&lt;0,0001). Nakon jedne godine ukupno RFS je bilo značajno bolje u grupi sa imatinibom (97,7%) u poređenju sa placebom (82,3%), (p&lt;0,0001). Rizik od ponovnog javljanja bolesti je tako smanjen za približno 89% u poređenju sa placebom (</w:t>
      </w:r>
      <w:r w:rsidRPr="00291333">
        <w:rPr>
          <w:i/>
          <w:lang w:val="sr-Latn-ME" w:eastAsia="sl-SI"/>
        </w:rPr>
        <w:t xml:space="preserve">hazard ratio </w:t>
      </w:r>
      <w:r w:rsidRPr="00291333">
        <w:rPr>
          <w:lang w:val="sr-Latn-ME" w:eastAsia="sl-SI"/>
        </w:rPr>
        <w:t>= 0,113 [0,049-0,264]).</w:t>
      </w:r>
    </w:p>
    <w:p w14:paraId="032746AA" w14:textId="77777777" w:rsidR="008F7DDB" w:rsidRPr="00291333" w:rsidRDefault="008F7DDB" w:rsidP="008F7DDB">
      <w:pPr>
        <w:spacing w:line="240" w:lineRule="auto"/>
        <w:jc w:val="both"/>
        <w:rPr>
          <w:lang w:val="sr-Latn-ME" w:eastAsia="sl-SI"/>
        </w:rPr>
      </w:pPr>
    </w:p>
    <w:p w14:paraId="14CEA8A6" w14:textId="77777777" w:rsidR="008F7DDB" w:rsidRPr="00291333" w:rsidRDefault="008F7DDB" w:rsidP="008F7DDB">
      <w:pPr>
        <w:spacing w:after="275" w:line="240" w:lineRule="auto"/>
        <w:jc w:val="both"/>
        <w:rPr>
          <w:lang w:val="sr-Latn-ME" w:eastAsia="sl-SI"/>
        </w:rPr>
      </w:pPr>
      <w:r w:rsidRPr="00291333">
        <w:rPr>
          <w:lang w:val="sr-Latn-ME" w:eastAsia="sl-SI"/>
        </w:rPr>
        <w:t xml:space="preserve">Rizik od rekurencije kod pacijenata nakon operacije primarnog GIST-a je retrospektivno procijenjen na osnovu sledećih prognostičkih faktora: veličina tumora, indeks mitoze, lokacija tumora. Podaci o indeksu mitoze su dostupni za 556 od 713 pacijenata u populaciji planiranoj za liječenje (engl. </w:t>
      </w:r>
      <w:r w:rsidRPr="00291333">
        <w:rPr>
          <w:i/>
          <w:lang w:val="sr-Latn-ME" w:eastAsia="sl-SI"/>
        </w:rPr>
        <w:t xml:space="preserve">intention-to-treat, </w:t>
      </w:r>
      <w:r w:rsidRPr="00291333">
        <w:rPr>
          <w:lang w:val="sr-Latn-ME" w:eastAsia="sl-SI"/>
        </w:rPr>
        <w:t xml:space="preserve">ITT). Rezultati analize podgrupe na osnovu klasifikacije rizika Američkog nacionalnog zdravstvenog instituta (engl. </w:t>
      </w:r>
      <w:r w:rsidRPr="00291333">
        <w:rPr>
          <w:i/>
          <w:lang w:val="sr-Latn-ME" w:eastAsia="sl-SI"/>
        </w:rPr>
        <w:t xml:space="preserve">United States National Institutes of Health, </w:t>
      </w:r>
      <w:r w:rsidRPr="00291333">
        <w:rPr>
          <w:lang w:val="sr-Latn-ME" w:eastAsia="sl-SI"/>
        </w:rPr>
        <w:t xml:space="preserve">NIH) i Instituta za patologiju oružanih snaga (engl. </w:t>
      </w:r>
      <w:r w:rsidRPr="00291333">
        <w:rPr>
          <w:i/>
          <w:lang w:val="sr-Latn-ME" w:eastAsia="sl-SI"/>
        </w:rPr>
        <w:t xml:space="preserve">Armed Forces Institute of Pathology, </w:t>
      </w:r>
      <w:r w:rsidRPr="00291333">
        <w:rPr>
          <w:lang w:val="sr-Latn-ME" w:eastAsia="sl-SI"/>
        </w:rPr>
        <w:t xml:space="preserve">AFIP) dati su u Tabeli 7. Korist nije </w:t>
      </w:r>
      <w:r w:rsidRPr="00291333">
        <w:rPr>
          <w:lang w:val="sr-Latn-ME" w:eastAsia="sl-SI"/>
        </w:rPr>
        <w:lastRenderedPageBreak/>
        <w:t>pokazana u grupama sa niskim ili veoma niskim rizikom. U studiji nije uočena korist za ukupno preživljavanje.</w:t>
      </w:r>
    </w:p>
    <w:p w14:paraId="5728A752" w14:textId="77777777" w:rsidR="008F7DDB" w:rsidRPr="00291333" w:rsidRDefault="008F7DDB" w:rsidP="008F7DDB">
      <w:pPr>
        <w:keepNext/>
        <w:spacing w:before="240" w:after="60" w:line="240" w:lineRule="auto"/>
        <w:outlineLvl w:val="0"/>
        <w:rPr>
          <w:b/>
          <w:bCs/>
          <w:kern w:val="32"/>
          <w:lang w:val="sr-Latn-ME" w:eastAsia="sl-SI"/>
        </w:rPr>
      </w:pPr>
      <w:r w:rsidRPr="00291333">
        <w:rPr>
          <w:b/>
          <w:bCs/>
          <w:kern w:val="32"/>
          <w:lang w:val="sr-Latn-ME" w:eastAsia="sl-SI"/>
        </w:rPr>
        <w:t>Tabela 7. Sažetak analize RFS u okviru Z9001 ispitivanja na osnovu NIH i AFIP klasifikacije rizika</w:t>
      </w:r>
    </w:p>
    <w:p w14:paraId="4DA7DC6A" w14:textId="77777777" w:rsidR="008F7DDB" w:rsidRPr="00291333" w:rsidRDefault="008F7DDB" w:rsidP="008F7DDB">
      <w:pPr>
        <w:widowControl w:val="0"/>
        <w:spacing w:line="240" w:lineRule="auto"/>
        <w:ind w:right="-1"/>
        <w:rPr>
          <w:lang w:val="sr-Latn-ME"/>
        </w:rPr>
      </w:pPr>
    </w:p>
    <w:tbl>
      <w:tblPr>
        <w:tblW w:w="9639" w:type="dxa"/>
        <w:tblInd w:w="-5" w:type="dxa"/>
        <w:tblCellMar>
          <w:top w:w="49" w:type="dxa"/>
          <w:left w:w="106" w:type="dxa"/>
          <w:right w:w="65" w:type="dxa"/>
        </w:tblCellMar>
        <w:tblLook w:val="04A0" w:firstRow="1" w:lastRow="0" w:firstColumn="1" w:lastColumn="0" w:noHBand="0" w:noVBand="1"/>
      </w:tblPr>
      <w:tblGrid>
        <w:gridCol w:w="1296"/>
        <w:gridCol w:w="1382"/>
        <w:gridCol w:w="1397"/>
        <w:gridCol w:w="1498"/>
        <w:gridCol w:w="1397"/>
        <w:gridCol w:w="1392"/>
        <w:gridCol w:w="1277"/>
      </w:tblGrid>
      <w:tr w:rsidR="008F7DDB" w:rsidRPr="00291333" w14:paraId="415A05FF" w14:textId="77777777" w:rsidTr="0040712C">
        <w:trPr>
          <w:trHeight w:val="1018"/>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BFB05D" w14:textId="77777777" w:rsidR="008F7DDB" w:rsidRPr="00291333" w:rsidRDefault="008F7DDB" w:rsidP="0040712C">
            <w:pPr>
              <w:jc w:val="center"/>
              <w:rPr>
                <w:color w:val="000000"/>
                <w:lang w:val="sr-Latn-ME" w:eastAsia="sr-Latn-RS"/>
              </w:rPr>
            </w:pPr>
            <w:r w:rsidRPr="00291333">
              <w:rPr>
                <w:b/>
                <w:color w:val="000000"/>
                <w:lang w:val="sr-Latn-ME" w:eastAsia="sr-Latn-RS"/>
              </w:rPr>
              <w:t>Kriterijum rizika</w:t>
            </w:r>
          </w:p>
        </w:tc>
        <w:tc>
          <w:tcPr>
            <w:tcW w:w="13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DDC22B" w14:textId="77777777" w:rsidR="008F7DDB" w:rsidRPr="00291333" w:rsidRDefault="008F7DDB" w:rsidP="0040712C">
            <w:pPr>
              <w:rPr>
                <w:color w:val="000000"/>
                <w:lang w:val="sr-Latn-ME" w:eastAsia="sr-Latn-RS"/>
              </w:rPr>
            </w:pPr>
            <w:r w:rsidRPr="00291333">
              <w:rPr>
                <w:b/>
                <w:color w:val="000000"/>
                <w:lang w:val="sr-Latn-ME" w:eastAsia="sr-Latn-RS"/>
              </w:rPr>
              <w:t>Nivo rizika</w:t>
            </w:r>
          </w:p>
        </w:tc>
        <w:tc>
          <w:tcPr>
            <w:tcW w:w="13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6EB20E" w14:textId="77777777" w:rsidR="008F7DDB" w:rsidRPr="00291333" w:rsidRDefault="008F7DDB" w:rsidP="0040712C">
            <w:pPr>
              <w:ind w:right="46"/>
              <w:jc w:val="center"/>
              <w:rPr>
                <w:color w:val="000000"/>
                <w:lang w:val="sr-Latn-ME" w:eastAsia="sr-Latn-RS"/>
              </w:rPr>
            </w:pPr>
            <w:r w:rsidRPr="00291333">
              <w:rPr>
                <w:b/>
                <w:color w:val="000000"/>
                <w:lang w:val="sr-Latn-ME" w:eastAsia="sr-Latn-RS"/>
              </w:rPr>
              <w:t xml:space="preserve">% </w:t>
            </w:r>
          </w:p>
          <w:p w14:paraId="0AB1930A" w14:textId="77777777" w:rsidR="008F7DDB" w:rsidRPr="00291333" w:rsidRDefault="008F7DDB" w:rsidP="0040712C">
            <w:pPr>
              <w:ind w:right="36"/>
              <w:jc w:val="center"/>
              <w:rPr>
                <w:color w:val="000000"/>
                <w:lang w:val="sr-Latn-ME" w:eastAsia="sr-Latn-RS"/>
              </w:rPr>
            </w:pPr>
            <w:r w:rsidRPr="00291333">
              <w:rPr>
                <w:b/>
                <w:color w:val="000000"/>
                <w:lang w:val="sr-Latn-ME" w:eastAsia="sr-Latn-RS"/>
              </w:rPr>
              <w:t>pacijenata</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596292D7" w14:textId="77777777" w:rsidR="008F7DDB" w:rsidRPr="00291333" w:rsidRDefault="008F7DDB" w:rsidP="0040712C">
            <w:pPr>
              <w:spacing w:after="5" w:line="234" w:lineRule="auto"/>
              <w:ind w:right="8"/>
              <w:jc w:val="center"/>
              <w:rPr>
                <w:color w:val="000000"/>
                <w:lang w:val="sr-Latn-ME" w:eastAsia="sr-Latn-RS"/>
              </w:rPr>
            </w:pPr>
            <w:r w:rsidRPr="00291333">
              <w:rPr>
                <w:b/>
                <w:color w:val="000000"/>
                <w:lang w:val="sr-Latn-ME" w:eastAsia="sr-Latn-RS"/>
              </w:rPr>
              <w:t xml:space="preserve">Broj događaja/ </w:t>
            </w:r>
          </w:p>
          <w:p w14:paraId="35A82264" w14:textId="77777777" w:rsidR="008F7DDB" w:rsidRPr="00291333" w:rsidRDefault="008F7DDB" w:rsidP="0040712C">
            <w:pPr>
              <w:jc w:val="center"/>
              <w:rPr>
                <w:color w:val="000000"/>
                <w:lang w:val="sr-Latn-ME" w:eastAsia="sr-Latn-RS"/>
              </w:rPr>
            </w:pPr>
            <w:r w:rsidRPr="00291333">
              <w:rPr>
                <w:b/>
                <w:color w:val="000000"/>
                <w:lang w:val="sr-Latn-ME" w:eastAsia="sr-Latn-RS"/>
              </w:rPr>
              <w:t>Broj pacijenata</w:t>
            </w:r>
          </w:p>
        </w:tc>
        <w:tc>
          <w:tcPr>
            <w:tcW w:w="13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3C1978" w14:textId="77777777" w:rsidR="008F7DDB" w:rsidRPr="00291333" w:rsidRDefault="008F7DDB" w:rsidP="0040712C">
            <w:pPr>
              <w:ind w:right="44"/>
              <w:jc w:val="center"/>
              <w:rPr>
                <w:color w:val="000000"/>
                <w:lang w:val="sr-Latn-ME" w:eastAsia="sr-Latn-RS"/>
              </w:rPr>
            </w:pPr>
            <w:r w:rsidRPr="00291333">
              <w:rPr>
                <w:b/>
                <w:color w:val="000000"/>
                <w:lang w:val="sr-Latn-ME" w:eastAsia="sr-Latn-RS"/>
              </w:rPr>
              <w:t xml:space="preserve">Ukupan </w:t>
            </w:r>
          </w:p>
          <w:p w14:paraId="32A9BA7B" w14:textId="77777777" w:rsidR="008F7DDB" w:rsidRPr="00291333" w:rsidRDefault="008F7DDB" w:rsidP="0040712C">
            <w:pPr>
              <w:rPr>
                <w:color w:val="000000"/>
                <w:lang w:val="sr-Latn-ME" w:eastAsia="sr-Latn-RS"/>
              </w:rPr>
            </w:pPr>
            <w:r w:rsidRPr="00291333">
              <w:rPr>
                <w:b/>
                <w:color w:val="000000"/>
                <w:lang w:val="sr-Latn-ME" w:eastAsia="sr-Latn-RS"/>
              </w:rPr>
              <w:t xml:space="preserve">hazard ratio </w:t>
            </w:r>
          </w:p>
          <w:p w14:paraId="3463C8C4" w14:textId="77777777" w:rsidR="008F7DDB" w:rsidRPr="00291333" w:rsidRDefault="008F7DDB" w:rsidP="0040712C">
            <w:pPr>
              <w:rPr>
                <w:color w:val="000000"/>
                <w:lang w:val="sr-Latn-ME" w:eastAsia="sr-Latn-RS"/>
              </w:rPr>
            </w:pPr>
            <w:r w:rsidRPr="00291333">
              <w:rPr>
                <w:b/>
                <w:color w:val="000000"/>
                <w:lang w:val="sr-Latn-ME" w:eastAsia="sr-Latn-RS"/>
              </w:rPr>
              <w:t>(95%CI)*</w:t>
            </w: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319D700" w14:textId="77777777" w:rsidR="008F7DDB" w:rsidRPr="00291333" w:rsidRDefault="008F7DDB" w:rsidP="0040712C">
            <w:pPr>
              <w:ind w:right="44"/>
              <w:jc w:val="center"/>
              <w:rPr>
                <w:color w:val="000000"/>
                <w:lang w:val="sr-Latn-ME" w:eastAsia="sr-Latn-RS"/>
              </w:rPr>
            </w:pPr>
            <w:r w:rsidRPr="00291333">
              <w:rPr>
                <w:b/>
                <w:color w:val="000000"/>
                <w:lang w:val="sr-Latn-ME" w:eastAsia="sr-Latn-RS"/>
              </w:rPr>
              <w:t>Stopa RFS (%)</w:t>
            </w:r>
          </w:p>
        </w:tc>
      </w:tr>
      <w:tr w:rsidR="008F7DDB" w:rsidRPr="00291333" w14:paraId="610BB757" w14:textId="77777777" w:rsidTr="0040712C">
        <w:trPr>
          <w:trHeight w:val="264"/>
        </w:trPr>
        <w:tc>
          <w:tcPr>
            <w:tcW w:w="1296" w:type="dxa"/>
            <w:vMerge/>
            <w:tcBorders>
              <w:top w:val="nil"/>
              <w:left w:val="single" w:sz="4" w:space="0" w:color="000000"/>
              <w:bottom w:val="nil"/>
              <w:right w:val="single" w:sz="4" w:space="0" w:color="000000"/>
            </w:tcBorders>
            <w:shd w:val="clear" w:color="auto" w:fill="auto"/>
          </w:tcPr>
          <w:p w14:paraId="35A4F02A"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nil"/>
              <w:right w:val="single" w:sz="4" w:space="0" w:color="000000"/>
            </w:tcBorders>
            <w:shd w:val="clear" w:color="auto" w:fill="auto"/>
          </w:tcPr>
          <w:p w14:paraId="139E3DA6"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nil"/>
              <w:right w:val="single" w:sz="4" w:space="0" w:color="000000"/>
            </w:tcBorders>
            <w:shd w:val="clear" w:color="auto" w:fill="auto"/>
          </w:tcPr>
          <w:p w14:paraId="38AFBA3C" w14:textId="77777777" w:rsidR="008F7DDB" w:rsidRPr="00291333" w:rsidRDefault="008F7DDB" w:rsidP="0040712C">
            <w:pPr>
              <w:rPr>
                <w:color w:val="000000"/>
                <w:lang w:val="sr-Latn-ME" w:eastAsia="sr-Latn-RS"/>
              </w:rPr>
            </w:pPr>
          </w:p>
        </w:tc>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885ABA" w14:textId="77777777" w:rsidR="008F7DDB" w:rsidRPr="00291333" w:rsidRDefault="008F7DDB" w:rsidP="0040712C">
            <w:pPr>
              <w:jc w:val="center"/>
              <w:rPr>
                <w:color w:val="000000"/>
                <w:lang w:val="sr-Latn-ME" w:eastAsia="sr-Latn-RS"/>
              </w:rPr>
            </w:pPr>
            <w:r w:rsidRPr="00291333">
              <w:rPr>
                <w:b/>
                <w:color w:val="000000"/>
                <w:lang w:val="sr-Latn-ME" w:eastAsia="sr-Latn-RS"/>
              </w:rPr>
              <w:t>Imatinib naspram placebo</w:t>
            </w:r>
          </w:p>
        </w:tc>
        <w:tc>
          <w:tcPr>
            <w:tcW w:w="0" w:type="auto"/>
            <w:vMerge/>
            <w:tcBorders>
              <w:top w:val="nil"/>
              <w:left w:val="single" w:sz="4" w:space="0" w:color="000000"/>
              <w:bottom w:val="nil"/>
              <w:right w:val="single" w:sz="4" w:space="0" w:color="000000"/>
            </w:tcBorders>
            <w:shd w:val="clear" w:color="auto" w:fill="auto"/>
          </w:tcPr>
          <w:p w14:paraId="320D5DA0" w14:textId="77777777" w:rsidR="008F7DDB" w:rsidRPr="00291333" w:rsidRDefault="008F7DDB" w:rsidP="0040712C">
            <w:pPr>
              <w:rPr>
                <w:color w:val="000000"/>
                <w:lang w:val="sr-Latn-ME" w:eastAsia="sr-Latn-RS"/>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5CD849D" w14:textId="77777777" w:rsidR="008F7DDB" w:rsidRPr="00291333" w:rsidRDefault="008F7DDB" w:rsidP="0040712C">
            <w:pPr>
              <w:ind w:right="47"/>
              <w:jc w:val="center"/>
              <w:rPr>
                <w:color w:val="000000"/>
                <w:lang w:val="sr-Latn-ME" w:eastAsia="sr-Latn-RS"/>
              </w:rPr>
            </w:pPr>
            <w:r w:rsidRPr="00291333">
              <w:rPr>
                <w:b/>
                <w:color w:val="000000"/>
                <w:lang w:val="sr-Latn-ME" w:eastAsia="sr-Latn-RS"/>
              </w:rPr>
              <w:t>12 mjeseci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8654B6E" w14:textId="77777777" w:rsidR="008F7DDB" w:rsidRPr="00291333" w:rsidRDefault="008F7DDB" w:rsidP="0040712C">
            <w:pPr>
              <w:ind w:right="46"/>
              <w:jc w:val="center"/>
              <w:rPr>
                <w:color w:val="000000"/>
                <w:lang w:val="sr-Latn-ME" w:eastAsia="sr-Latn-RS"/>
              </w:rPr>
            </w:pPr>
            <w:r w:rsidRPr="00291333">
              <w:rPr>
                <w:b/>
                <w:color w:val="000000"/>
                <w:lang w:val="sr-Latn-ME" w:eastAsia="sr-Latn-RS"/>
              </w:rPr>
              <w:t>24 mjeseca</w:t>
            </w:r>
          </w:p>
        </w:tc>
      </w:tr>
      <w:tr w:rsidR="008F7DDB" w:rsidRPr="00291333" w14:paraId="296F2227" w14:textId="77777777" w:rsidTr="0040712C">
        <w:trPr>
          <w:trHeight w:val="768"/>
        </w:trPr>
        <w:tc>
          <w:tcPr>
            <w:tcW w:w="1296" w:type="dxa"/>
            <w:vMerge/>
            <w:tcBorders>
              <w:top w:val="nil"/>
              <w:left w:val="single" w:sz="4" w:space="0" w:color="000000"/>
              <w:bottom w:val="single" w:sz="4" w:space="0" w:color="000000"/>
              <w:right w:val="single" w:sz="4" w:space="0" w:color="000000"/>
            </w:tcBorders>
            <w:shd w:val="clear" w:color="auto" w:fill="auto"/>
          </w:tcPr>
          <w:p w14:paraId="19857287"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single" w:sz="4" w:space="0" w:color="000000"/>
              <w:right w:val="single" w:sz="4" w:space="0" w:color="000000"/>
            </w:tcBorders>
            <w:shd w:val="clear" w:color="auto" w:fill="auto"/>
          </w:tcPr>
          <w:p w14:paraId="2F876A6E"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single" w:sz="4" w:space="0" w:color="000000"/>
              <w:right w:val="single" w:sz="4" w:space="0" w:color="000000"/>
            </w:tcBorders>
            <w:shd w:val="clear" w:color="auto" w:fill="auto"/>
          </w:tcPr>
          <w:p w14:paraId="790AB914"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single" w:sz="4" w:space="0" w:color="000000"/>
              <w:right w:val="single" w:sz="4" w:space="0" w:color="000000"/>
            </w:tcBorders>
            <w:shd w:val="clear" w:color="auto" w:fill="auto"/>
          </w:tcPr>
          <w:p w14:paraId="2B6B1A2B" w14:textId="77777777" w:rsidR="008F7DDB" w:rsidRPr="00291333" w:rsidRDefault="008F7DDB" w:rsidP="0040712C">
            <w:pPr>
              <w:rPr>
                <w:color w:val="000000"/>
                <w:lang w:val="sr-Latn-ME" w:eastAsia="sr-Latn-RS"/>
              </w:rPr>
            </w:pPr>
          </w:p>
        </w:tc>
        <w:tc>
          <w:tcPr>
            <w:tcW w:w="0" w:type="auto"/>
            <w:vMerge/>
            <w:tcBorders>
              <w:top w:val="nil"/>
              <w:left w:val="single" w:sz="4" w:space="0" w:color="000000"/>
              <w:bottom w:val="single" w:sz="4" w:space="0" w:color="000000"/>
              <w:right w:val="single" w:sz="4" w:space="0" w:color="000000"/>
            </w:tcBorders>
            <w:shd w:val="clear" w:color="auto" w:fill="auto"/>
          </w:tcPr>
          <w:p w14:paraId="46D7BEA9" w14:textId="77777777" w:rsidR="008F7DDB" w:rsidRPr="00291333" w:rsidRDefault="008F7DDB" w:rsidP="0040712C">
            <w:pPr>
              <w:rPr>
                <w:color w:val="000000"/>
                <w:lang w:val="sr-Latn-ME" w:eastAsia="sr-Latn-RS"/>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DBA2778" w14:textId="77777777" w:rsidR="008F7DDB" w:rsidRPr="00291333" w:rsidRDefault="008F7DDB" w:rsidP="0040712C">
            <w:pPr>
              <w:rPr>
                <w:color w:val="000000"/>
                <w:lang w:val="sr-Latn-ME" w:eastAsia="sr-Latn-RS"/>
              </w:rPr>
            </w:pPr>
            <w:r w:rsidRPr="00291333">
              <w:rPr>
                <w:b/>
                <w:color w:val="000000"/>
                <w:lang w:val="sr-Latn-ME" w:eastAsia="sr-Latn-RS"/>
              </w:rPr>
              <w:t>Imatinib naspram placebo</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9890AC6" w14:textId="77777777" w:rsidR="008F7DDB" w:rsidRPr="00291333" w:rsidRDefault="008F7DDB" w:rsidP="0040712C">
            <w:pPr>
              <w:rPr>
                <w:color w:val="000000"/>
                <w:lang w:val="sr-Latn-ME" w:eastAsia="sr-Latn-RS"/>
              </w:rPr>
            </w:pPr>
            <w:r w:rsidRPr="00291333">
              <w:rPr>
                <w:b/>
                <w:color w:val="000000"/>
                <w:lang w:val="sr-Latn-ME" w:eastAsia="sr-Latn-RS"/>
              </w:rPr>
              <w:t>Imatinib  naspram placebo</w:t>
            </w:r>
          </w:p>
        </w:tc>
      </w:tr>
      <w:tr w:rsidR="008F7DDB" w:rsidRPr="00291333" w14:paraId="3A134F07" w14:textId="77777777" w:rsidTr="0040712C">
        <w:trPr>
          <w:trHeight w:val="518"/>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7DEBF1" w14:textId="77777777" w:rsidR="008F7DDB" w:rsidRPr="00291333" w:rsidRDefault="008F7DDB" w:rsidP="0040712C">
            <w:pPr>
              <w:rPr>
                <w:color w:val="000000"/>
                <w:lang w:val="sr-Latn-ME" w:eastAsia="sr-Latn-RS"/>
              </w:rPr>
            </w:pPr>
            <w:r w:rsidRPr="00291333">
              <w:rPr>
                <w:color w:val="000000"/>
                <w:lang w:val="sr-Latn-ME" w:eastAsia="sr-Latn-RS"/>
              </w:rPr>
              <w:t>NIH</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24D131C0" w14:textId="77777777" w:rsidR="008F7DDB" w:rsidRPr="00291333" w:rsidRDefault="008F7DDB" w:rsidP="0040712C">
            <w:pPr>
              <w:rPr>
                <w:color w:val="000000"/>
                <w:lang w:val="sr-Latn-ME" w:eastAsia="sr-Latn-RS"/>
              </w:rPr>
            </w:pPr>
            <w:r w:rsidRPr="00291333">
              <w:rPr>
                <w:color w:val="000000"/>
                <w:lang w:val="sr-Latn-ME" w:eastAsia="sr-Latn-RS"/>
              </w:rPr>
              <w:t>nizak</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86E6B3E" w14:textId="77777777" w:rsidR="008F7DDB" w:rsidRPr="00291333" w:rsidRDefault="008F7DDB" w:rsidP="0040712C">
            <w:pPr>
              <w:rPr>
                <w:color w:val="000000"/>
                <w:lang w:val="sr-Latn-ME" w:eastAsia="sr-Latn-RS"/>
              </w:rPr>
            </w:pPr>
            <w:r w:rsidRPr="00291333">
              <w:rPr>
                <w:color w:val="000000"/>
                <w:lang w:val="sr-Latn-ME" w:eastAsia="sr-Latn-RS"/>
              </w:rPr>
              <w:t xml:space="preserve">29,5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0F14F0DC" w14:textId="77777777" w:rsidR="008F7DDB" w:rsidRPr="00291333" w:rsidRDefault="008F7DDB" w:rsidP="0040712C">
            <w:pPr>
              <w:rPr>
                <w:color w:val="000000"/>
                <w:lang w:val="sr-Latn-ME" w:eastAsia="sr-Latn-RS"/>
              </w:rPr>
            </w:pPr>
            <w:r w:rsidRPr="00291333">
              <w:rPr>
                <w:color w:val="000000"/>
                <w:lang w:val="sr-Latn-ME" w:eastAsia="sr-Latn-RS"/>
              </w:rPr>
              <w:t>0/86 naspram</w:t>
            </w:r>
          </w:p>
          <w:p w14:paraId="3168D867" w14:textId="77777777" w:rsidR="008F7DDB" w:rsidRPr="00291333" w:rsidRDefault="008F7DDB" w:rsidP="0040712C">
            <w:pPr>
              <w:rPr>
                <w:color w:val="000000"/>
                <w:lang w:val="sr-Latn-ME" w:eastAsia="sr-Latn-RS"/>
              </w:rPr>
            </w:pPr>
            <w:r w:rsidRPr="00291333">
              <w:rPr>
                <w:color w:val="000000"/>
                <w:lang w:val="sr-Latn-ME" w:eastAsia="sr-Latn-RS"/>
              </w:rPr>
              <w:t>2/90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E42AEE7" w14:textId="77777777" w:rsidR="008F7DDB" w:rsidRPr="00291333" w:rsidRDefault="008F7DDB" w:rsidP="0040712C">
            <w:pPr>
              <w:rPr>
                <w:color w:val="000000"/>
                <w:lang w:val="sr-Latn-ME" w:eastAsia="sr-Latn-RS"/>
              </w:rPr>
            </w:pPr>
            <w:r w:rsidRPr="00291333">
              <w:rPr>
                <w:color w:val="000000"/>
                <w:lang w:val="sr-Latn-ME" w:eastAsia="sr-Latn-RS"/>
              </w:rPr>
              <w:t>ne može se procijeniti</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F3C9254" w14:textId="77777777" w:rsidR="008F7DDB" w:rsidRPr="00291333" w:rsidRDefault="008F7DDB" w:rsidP="0040712C">
            <w:pPr>
              <w:rPr>
                <w:color w:val="000000"/>
                <w:lang w:val="sr-Latn-ME" w:eastAsia="sr-Latn-RS"/>
              </w:rPr>
            </w:pPr>
            <w:r w:rsidRPr="00291333">
              <w:rPr>
                <w:color w:val="000000"/>
                <w:lang w:val="sr-Latn-ME" w:eastAsia="sr-Latn-RS"/>
              </w:rPr>
              <w:t xml:space="preserve">100 naspram </w:t>
            </w:r>
          </w:p>
          <w:p w14:paraId="51C6AC7B" w14:textId="77777777" w:rsidR="008F7DDB" w:rsidRPr="00291333" w:rsidRDefault="008F7DDB" w:rsidP="0040712C">
            <w:pPr>
              <w:rPr>
                <w:color w:val="000000"/>
                <w:lang w:val="sr-Latn-ME" w:eastAsia="sr-Latn-RS"/>
              </w:rPr>
            </w:pPr>
            <w:r w:rsidRPr="00291333">
              <w:rPr>
                <w:color w:val="000000"/>
                <w:lang w:val="sr-Latn-ME" w:eastAsia="sr-Latn-RS"/>
              </w:rPr>
              <w:t>98,7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DD3D036" w14:textId="77777777" w:rsidR="008F7DDB" w:rsidRPr="00291333" w:rsidRDefault="008F7DDB" w:rsidP="0040712C">
            <w:pPr>
              <w:rPr>
                <w:color w:val="000000"/>
                <w:lang w:val="sr-Latn-ME" w:eastAsia="sr-Latn-RS"/>
              </w:rPr>
            </w:pPr>
            <w:r w:rsidRPr="00291333">
              <w:rPr>
                <w:color w:val="000000"/>
                <w:lang w:val="sr-Latn-ME" w:eastAsia="sr-Latn-RS"/>
              </w:rPr>
              <w:t xml:space="preserve">100 naspram </w:t>
            </w:r>
          </w:p>
          <w:p w14:paraId="51E7862D" w14:textId="77777777" w:rsidR="008F7DDB" w:rsidRPr="00291333" w:rsidRDefault="008F7DDB" w:rsidP="0040712C">
            <w:pPr>
              <w:rPr>
                <w:color w:val="000000"/>
                <w:lang w:val="sr-Latn-ME" w:eastAsia="sr-Latn-RS"/>
              </w:rPr>
            </w:pPr>
            <w:r w:rsidRPr="00291333">
              <w:rPr>
                <w:color w:val="000000"/>
                <w:lang w:val="sr-Latn-ME" w:eastAsia="sr-Latn-RS"/>
              </w:rPr>
              <w:t>95,5</w:t>
            </w:r>
          </w:p>
        </w:tc>
      </w:tr>
      <w:tr w:rsidR="008F7DDB" w:rsidRPr="00291333" w14:paraId="4E768E06" w14:textId="77777777" w:rsidTr="0040712C">
        <w:trPr>
          <w:trHeight w:val="768"/>
        </w:trPr>
        <w:tc>
          <w:tcPr>
            <w:tcW w:w="1296" w:type="dxa"/>
            <w:vMerge/>
            <w:tcBorders>
              <w:top w:val="nil"/>
              <w:left w:val="single" w:sz="4" w:space="0" w:color="000000"/>
              <w:bottom w:val="nil"/>
              <w:right w:val="single" w:sz="4" w:space="0" w:color="000000"/>
            </w:tcBorders>
            <w:shd w:val="clear" w:color="auto" w:fill="auto"/>
          </w:tcPr>
          <w:p w14:paraId="11CBA1DA" w14:textId="77777777" w:rsidR="008F7DDB" w:rsidRPr="00291333" w:rsidRDefault="008F7DDB" w:rsidP="0040712C">
            <w:pPr>
              <w:rPr>
                <w:color w:val="000000"/>
                <w:lang w:val="sr-Latn-ME" w:eastAsia="sr-Latn-R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C0CE7A9" w14:textId="77777777" w:rsidR="008F7DDB" w:rsidRPr="00291333" w:rsidRDefault="008F7DDB" w:rsidP="0040712C">
            <w:pPr>
              <w:rPr>
                <w:color w:val="000000"/>
                <w:lang w:val="sr-Latn-ME" w:eastAsia="sr-Latn-RS"/>
              </w:rPr>
            </w:pPr>
            <w:r w:rsidRPr="00291333">
              <w:rPr>
                <w:color w:val="000000"/>
                <w:lang w:val="sr-Latn-ME" w:eastAsia="sr-Latn-RS"/>
              </w:rPr>
              <w:t>srednji</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6201277" w14:textId="77777777" w:rsidR="008F7DDB" w:rsidRPr="00291333" w:rsidRDefault="008F7DDB" w:rsidP="0040712C">
            <w:pPr>
              <w:rPr>
                <w:color w:val="000000"/>
                <w:lang w:val="sr-Latn-ME" w:eastAsia="sr-Latn-RS"/>
              </w:rPr>
            </w:pPr>
            <w:r w:rsidRPr="00291333">
              <w:rPr>
                <w:color w:val="000000"/>
                <w:lang w:val="sr-Latn-ME" w:eastAsia="sr-Latn-RS"/>
              </w:rPr>
              <w:t xml:space="preserve">25,7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3771316D" w14:textId="77777777" w:rsidR="008F7DDB" w:rsidRPr="00291333" w:rsidRDefault="008F7DDB" w:rsidP="0040712C">
            <w:pPr>
              <w:rPr>
                <w:color w:val="000000"/>
                <w:lang w:val="sr-Latn-ME" w:eastAsia="sr-Latn-RS"/>
              </w:rPr>
            </w:pPr>
            <w:r w:rsidRPr="00291333">
              <w:rPr>
                <w:color w:val="000000"/>
                <w:lang w:val="sr-Latn-ME" w:eastAsia="sr-Latn-RS"/>
              </w:rPr>
              <w:t>4/75 naspram</w:t>
            </w:r>
          </w:p>
          <w:p w14:paraId="0C820668" w14:textId="77777777" w:rsidR="008F7DDB" w:rsidRPr="00291333" w:rsidRDefault="008F7DDB" w:rsidP="0040712C">
            <w:pPr>
              <w:rPr>
                <w:color w:val="000000"/>
                <w:lang w:val="sr-Latn-ME" w:eastAsia="sr-Latn-RS"/>
              </w:rPr>
            </w:pPr>
            <w:r w:rsidRPr="00291333">
              <w:rPr>
                <w:color w:val="000000"/>
                <w:lang w:val="sr-Latn-ME" w:eastAsia="sr-Latn-RS"/>
              </w:rPr>
              <w:t>6/78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33C7528" w14:textId="77777777" w:rsidR="008F7DDB" w:rsidRPr="00291333" w:rsidRDefault="008F7DDB" w:rsidP="0040712C">
            <w:pPr>
              <w:rPr>
                <w:color w:val="000000"/>
                <w:lang w:val="sr-Latn-ME" w:eastAsia="sr-Latn-RS"/>
              </w:rPr>
            </w:pPr>
            <w:r w:rsidRPr="00291333">
              <w:rPr>
                <w:color w:val="000000"/>
                <w:lang w:val="sr-Latn-ME" w:eastAsia="sr-Latn-RS"/>
              </w:rPr>
              <w:t xml:space="preserve">0,59 (0,17; </w:t>
            </w:r>
          </w:p>
          <w:p w14:paraId="71677444" w14:textId="77777777" w:rsidR="008F7DDB" w:rsidRPr="00291333" w:rsidRDefault="008F7DDB" w:rsidP="0040712C">
            <w:pPr>
              <w:rPr>
                <w:color w:val="000000"/>
                <w:lang w:val="sr-Latn-ME" w:eastAsia="sr-Latn-RS"/>
              </w:rPr>
            </w:pPr>
            <w:r w:rsidRPr="00291333">
              <w:rPr>
                <w:color w:val="000000"/>
                <w:lang w:val="sr-Latn-ME" w:eastAsia="sr-Latn-RS"/>
              </w:rPr>
              <w:t>2,10)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8E454E8" w14:textId="77777777" w:rsidR="008F7DDB" w:rsidRPr="00291333" w:rsidRDefault="008F7DDB" w:rsidP="0040712C">
            <w:pPr>
              <w:rPr>
                <w:color w:val="000000"/>
                <w:lang w:val="sr-Latn-ME" w:eastAsia="sr-Latn-RS"/>
              </w:rPr>
            </w:pPr>
            <w:r w:rsidRPr="00291333">
              <w:rPr>
                <w:color w:val="000000"/>
                <w:lang w:val="sr-Latn-ME" w:eastAsia="sr-Latn-RS"/>
              </w:rPr>
              <w:t xml:space="preserve">100 naspram </w:t>
            </w:r>
          </w:p>
          <w:p w14:paraId="5A9A1A07" w14:textId="77777777" w:rsidR="008F7DDB" w:rsidRPr="00291333" w:rsidRDefault="008F7DDB" w:rsidP="0040712C">
            <w:pPr>
              <w:rPr>
                <w:color w:val="000000"/>
                <w:lang w:val="sr-Latn-ME" w:eastAsia="sr-Latn-RS"/>
              </w:rPr>
            </w:pPr>
            <w:r w:rsidRPr="00291333">
              <w:rPr>
                <w:color w:val="000000"/>
                <w:lang w:val="sr-Latn-ME" w:eastAsia="sr-Latn-RS"/>
              </w:rPr>
              <w:t>94,8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4E55EE6" w14:textId="77777777" w:rsidR="008F7DDB" w:rsidRPr="00291333" w:rsidRDefault="008F7DDB" w:rsidP="0040712C">
            <w:pPr>
              <w:ind w:right="34"/>
              <w:rPr>
                <w:color w:val="000000"/>
                <w:lang w:val="sr-Latn-ME" w:eastAsia="sr-Latn-RS"/>
              </w:rPr>
            </w:pPr>
            <w:r w:rsidRPr="00291333">
              <w:rPr>
                <w:color w:val="000000"/>
                <w:lang w:val="sr-Latn-ME" w:eastAsia="sr-Latn-RS"/>
              </w:rPr>
              <w:t>97,8 naspram 89,5</w:t>
            </w:r>
          </w:p>
        </w:tc>
      </w:tr>
      <w:tr w:rsidR="008F7DDB" w:rsidRPr="00291333" w14:paraId="52DDA7EF" w14:textId="77777777" w:rsidTr="0040712C">
        <w:trPr>
          <w:trHeight w:val="768"/>
        </w:trPr>
        <w:tc>
          <w:tcPr>
            <w:tcW w:w="1296" w:type="dxa"/>
            <w:vMerge/>
            <w:tcBorders>
              <w:top w:val="nil"/>
              <w:left w:val="single" w:sz="4" w:space="0" w:color="000000"/>
              <w:bottom w:val="single" w:sz="4" w:space="0" w:color="000000"/>
              <w:right w:val="single" w:sz="4" w:space="0" w:color="000000"/>
            </w:tcBorders>
            <w:shd w:val="clear" w:color="auto" w:fill="auto"/>
          </w:tcPr>
          <w:p w14:paraId="3533484F" w14:textId="77777777" w:rsidR="008F7DDB" w:rsidRPr="00291333" w:rsidRDefault="008F7DDB" w:rsidP="0040712C">
            <w:pPr>
              <w:rPr>
                <w:color w:val="000000"/>
                <w:lang w:val="sr-Latn-ME" w:eastAsia="sr-Latn-R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B69C729" w14:textId="77777777" w:rsidR="008F7DDB" w:rsidRPr="00291333" w:rsidRDefault="008F7DDB" w:rsidP="0040712C">
            <w:pPr>
              <w:rPr>
                <w:color w:val="000000"/>
                <w:lang w:val="sr-Latn-ME" w:eastAsia="sr-Latn-RS"/>
              </w:rPr>
            </w:pPr>
            <w:r w:rsidRPr="00291333">
              <w:rPr>
                <w:color w:val="000000"/>
                <w:lang w:val="sr-Latn-ME" w:eastAsia="sr-Latn-RS"/>
              </w:rPr>
              <w:t>visok</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40A15CE" w14:textId="77777777" w:rsidR="008F7DDB" w:rsidRPr="00291333" w:rsidRDefault="008F7DDB" w:rsidP="0040712C">
            <w:pPr>
              <w:rPr>
                <w:color w:val="000000"/>
                <w:lang w:val="sr-Latn-ME" w:eastAsia="sr-Latn-RS"/>
              </w:rPr>
            </w:pPr>
            <w:r w:rsidRPr="00291333">
              <w:rPr>
                <w:color w:val="000000"/>
                <w:lang w:val="sr-Latn-ME" w:eastAsia="sr-Latn-RS"/>
              </w:rPr>
              <w:t xml:space="preserve">44,8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41F37C97" w14:textId="77777777" w:rsidR="008F7DDB" w:rsidRPr="00291333" w:rsidRDefault="008F7DDB" w:rsidP="0040712C">
            <w:pPr>
              <w:rPr>
                <w:color w:val="000000"/>
                <w:lang w:val="sr-Latn-ME" w:eastAsia="sr-Latn-RS"/>
              </w:rPr>
            </w:pPr>
            <w:r w:rsidRPr="00291333">
              <w:rPr>
                <w:color w:val="000000"/>
                <w:lang w:val="sr-Latn-ME" w:eastAsia="sr-Latn-RS"/>
              </w:rPr>
              <w:t>21/140 naspram 51/127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4FF9754" w14:textId="77777777" w:rsidR="008F7DDB" w:rsidRPr="00291333" w:rsidRDefault="008F7DDB" w:rsidP="0040712C">
            <w:pPr>
              <w:rPr>
                <w:color w:val="000000"/>
                <w:lang w:val="sr-Latn-ME" w:eastAsia="sr-Latn-RS"/>
              </w:rPr>
            </w:pPr>
            <w:r w:rsidRPr="00291333">
              <w:rPr>
                <w:color w:val="000000"/>
                <w:lang w:val="sr-Latn-ME" w:eastAsia="sr-Latn-RS"/>
              </w:rPr>
              <w:t xml:space="preserve">0,29 (0,18; </w:t>
            </w:r>
          </w:p>
          <w:p w14:paraId="4C5D4FA0" w14:textId="77777777" w:rsidR="008F7DDB" w:rsidRPr="00291333" w:rsidRDefault="008F7DDB" w:rsidP="0040712C">
            <w:pPr>
              <w:rPr>
                <w:color w:val="000000"/>
                <w:lang w:val="sr-Latn-ME" w:eastAsia="sr-Latn-RS"/>
              </w:rPr>
            </w:pPr>
            <w:r w:rsidRPr="00291333">
              <w:rPr>
                <w:color w:val="000000"/>
                <w:lang w:val="sr-Latn-ME" w:eastAsia="sr-Latn-RS"/>
              </w:rPr>
              <w:t>0,49)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2C48C5C" w14:textId="77777777" w:rsidR="008F7DDB" w:rsidRPr="00291333" w:rsidRDefault="008F7DDB" w:rsidP="0040712C">
            <w:pPr>
              <w:ind w:right="34"/>
              <w:rPr>
                <w:color w:val="000000"/>
                <w:lang w:val="sr-Latn-ME" w:eastAsia="sr-Latn-RS"/>
              </w:rPr>
            </w:pPr>
            <w:r w:rsidRPr="00291333">
              <w:rPr>
                <w:color w:val="000000"/>
                <w:lang w:val="sr-Latn-ME" w:eastAsia="sr-Latn-RS"/>
              </w:rPr>
              <w:t>94,8 naspram 64,0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9497A17" w14:textId="77777777" w:rsidR="008F7DDB" w:rsidRPr="00291333" w:rsidRDefault="008F7DDB" w:rsidP="0040712C">
            <w:pPr>
              <w:ind w:right="34"/>
              <w:rPr>
                <w:color w:val="000000"/>
                <w:lang w:val="sr-Latn-ME" w:eastAsia="sr-Latn-RS"/>
              </w:rPr>
            </w:pPr>
            <w:r w:rsidRPr="00291333">
              <w:rPr>
                <w:color w:val="000000"/>
                <w:lang w:val="sr-Latn-ME" w:eastAsia="sr-Latn-RS"/>
              </w:rPr>
              <w:t>80,7 naspram 46,6</w:t>
            </w:r>
          </w:p>
        </w:tc>
      </w:tr>
      <w:tr w:rsidR="008F7DDB" w:rsidRPr="00291333" w14:paraId="1E58A2CC" w14:textId="77777777" w:rsidTr="0040712C">
        <w:trPr>
          <w:trHeight w:val="518"/>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806507" w14:textId="77777777" w:rsidR="008F7DDB" w:rsidRPr="00291333" w:rsidRDefault="008F7DDB" w:rsidP="0040712C">
            <w:pPr>
              <w:rPr>
                <w:color w:val="000000"/>
                <w:lang w:val="sr-Latn-ME" w:eastAsia="sr-Latn-RS"/>
              </w:rPr>
            </w:pPr>
            <w:r w:rsidRPr="00291333">
              <w:rPr>
                <w:color w:val="000000"/>
                <w:lang w:val="sr-Latn-ME" w:eastAsia="sr-Latn-RS"/>
              </w:rPr>
              <w:t>AFIP</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4B071EC" w14:textId="77777777" w:rsidR="008F7DDB" w:rsidRPr="00291333" w:rsidRDefault="008F7DDB" w:rsidP="0040712C">
            <w:pPr>
              <w:rPr>
                <w:color w:val="000000"/>
                <w:lang w:val="sr-Latn-ME" w:eastAsia="sr-Latn-RS"/>
              </w:rPr>
            </w:pPr>
            <w:r w:rsidRPr="00291333">
              <w:rPr>
                <w:color w:val="000000"/>
                <w:lang w:val="sr-Latn-ME" w:eastAsia="sr-Latn-RS"/>
              </w:rPr>
              <w:t>veoma nizak</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00F1CF1" w14:textId="77777777" w:rsidR="008F7DDB" w:rsidRPr="00291333" w:rsidRDefault="008F7DDB" w:rsidP="0040712C">
            <w:pPr>
              <w:rPr>
                <w:color w:val="000000"/>
                <w:lang w:val="sr-Latn-ME" w:eastAsia="sr-Latn-RS"/>
              </w:rPr>
            </w:pPr>
            <w:r w:rsidRPr="00291333">
              <w:rPr>
                <w:color w:val="000000"/>
                <w:lang w:val="sr-Latn-ME" w:eastAsia="sr-Latn-RS"/>
              </w:rPr>
              <w:t xml:space="preserve">20,7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5ED5F17C" w14:textId="77777777" w:rsidR="008F7DDB" w:rsidRPr="00291333" w:rsidRDefault="008F7DDB" w:rsidP="0040712C">
            <w:pPr>
              <w:rPr>
                <w:color w:val="000000"/>
                <w:lang w:val="sr-Latn-ME" w:eastAsia="sr-Latn-RS"/>
              </w:rPr>
            </w:pPr>
            <w:r w:rsidRPr="00291333">
              <w:rPr>
                <w:color w:val="000000"/>
                <w:lang w:val="sr-Latn-ME" w:eastAsia="sr-Latn-RS"/>
              </w:rPr>
              <w:t xml:space="preserve">0/52 naspram </w:t>
            </w:r>
          </w:p>
          <w:p w14:paraId="509E1B22" w14:textId="77777777" w:rsidR="008F7DDB" w:rsidRPr="00291333" w:rsidRDefault="008F7DDB" w:rsidP="0040712C">
            <w:pPr>
              <w:rPr>
                <w:color w:val="000000"/>
                <w:lang w:val="sr-Latn-ME" w:eastAsia="sr-Latn-RS"/>
              </w:rPr>
            </w:pPr>
            <w:r w:rsidRPr="00291333">
              <w:rPr>
                <w:color w:val="000000"/>
                <w:lang w:val="sr-Latn-ME" w:eastAsia="sr-Latn-RS"/>
              </w:rPr>
              <w:t>2/63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C83BCD8" w14:textId="77777777" w:rsidR="008F7DDB" w:rsidRPr="00291333" w:rsidRDefault="008F7DDB" w:rsidP="0040712C">
            <w:pPr>
              <w:rPr>
                <w:color w:val="000000"/>
                <w:lang w:val="sr-Latn-ME" w:eastAsia="sr-Latn-RS"/>
              </w:rPr>
            </w:pPr>
            <w:r w:rsidRPr="00291333">
              <w:rPr>
                <w:color w:val="000000"/>
                <w:lang w:val="sr-Latn-ME" w:eastAsia="sr-Latn-RS"/>
              </w:rPr>
              <w:t>ne može se procijeniti</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4F08DF9" w14:textId="77777777" w:rsidR="008F7DDB" w:rsidRPr="00291333" w:rsidRDefault="008F7DDB" w:rsidP="0040712C">
            <w:pPr>
              <w:rPr>
                <w:color w:val="000000"/>
                <w:lang w:val="sr-Latn-ME" w:eastAsia="sr-Latn-RS"/>
              </w:rPr>
            </w:pPr>
            <w:r w:rsidRPr="00291333">
              <w:rPr>
                <w:color w:val="000000"/>
                <w:lang w:val="sr-Latn-ME" w:eastAsia="sr-Latn-RS"/>
              </w:rPr>
              <w:t>100 naspram</w:t>
            </w:r>
          </w:p>
          <w:p w14:paraId="5B836BB0" w14:textId="77777777" w:rsidR="008F7DDB" w:rsidRPr="00291333" w:rsidRDefault="008F7DDB" w:rsidP="0040712C">
            <w:pPr>
              <w:rPr>
                <w:color w:val="000000"/>
                <w:lang w:val="sr-Latn-ME" w:eastAsia="sr-Latn-RS"/>
              </w:rPr>
            </w:pPr>
            <w:r w:rsidRPr="00291333">
              <w:rPr>
                <w:color w:val="000000"/>
                <w:lang w:val="sr-Latn-ME" w:eastAsia="sr-Latn-RS"/>
              </w:rPr>
              <w:t>98,1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BC71DCC" w14:textId="77777777" w:rsidR="008F7DDB" w:rsidRPr="00291333" w:rsidRDefault="008F7DDB" w:rsidP="0040712C">
            <w:pPr>
              <w:rPr>
                <w:color w:val="000000"/>
                <w:lang w:val="sr-Latn-ME" w:eastAsia="sr-Latn-RS"/>
              </w:rPr>
            </w:pPr>
            <w:r w:rsidRPr="00291333">
              <w:rPr>
                <w:color w:val="000000"/>
                <w:lang w:val="sr-Latn-ME" w:eastAsia="sr-Latn-RS"/>
              </w:rPr>
              <w:t>100 naspram</w:t>
            </w:r>
          </w:p>
          <w:p w14:paraId="00CEF34E" w14:textId="77777777" w:rsidR="008F7DDB" w:rsidRPr="00291333" w:rsidRDefault="008F7DDB" w:rsidP="0040712C">
            <w:pPr>
              <w:rPr>
                <w:color w:val="000000"/>
                <w:lang w:val="sr-Latn-ME" w:eastAsia="sr-Latn-RS"/>
              </w:rPr>
            </w:pPr>
            <w:r w:rsidRPr="00291333">
              <w:rPr>
                <w:color w:val="000000"/>
                <w:lang w:val="sr-Latn-ME" w:eastAsia="sr-Latn-RS"/>
              </w:rPr>
              <w:t>93,0</w:t>
            </w:r>
          </w:p>
        </w:tc>
      </w:tr>
      <w:tr w:rsidR="008F7DDB" w:rsidRPr="00291333" w14:paraId="62B34895" w14:textId="77777777" w:rsidTr="0040712C">
        <w:trPr>
          <w:trHeight w:val="514"/>
        </w:trPr>
        <w:tc>
          <w:tcPr>
            <w:tcW w:w="1296" w:type="dxa"/>
            <w:vMerge/>
            <w:tcBorders>
              <w:top w:val="nil"/>
              <w:left w:val="single" w:sz="4" w:space="0" w:color="000000"/>
              <w:bottom w:val="nil"/>
              <w:right w:val="single" w:sz="4" w:space="0" w:color="000000"/>
            </w:tcBorders>
            <w:shd w:val="clear" w:color="auto" w:fill="auto"/>
          </w:tcPr>
          <w:p w14:paraId="496A2D13" w14:textId="77777777" w:rsidR="008F7DDB" w:rsidRPr="00291333" w:rsidRDefault="008F7DDB" w:rsidP="0040712C">
            <w:pPr>
              <w:rPr>
                <w:color w:val="000000"/>
                <w:lang w:val="sr-Latn-ME" w:eastAsia="sr-Latn-R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9500364" w14:textId="77777777" w:rsidR="008F7DDB" w:rsidRPr="00291333" w:rsidRDefault="008F7DDB" w:rsidP="0040712C">
            <w:pPr>
              <w:rPr>
                <w:color w:val="000000"/>
                <w:lang w:val="sr-Latn-ME" w:eastAsia="sr-Latn-RS"/>
              </w:rPr>
            </w:pPr>
            <w:r w:rsidRPr="00291333">
              <w:rPr>
                <w:color w:val="000000"/>
                <w:lang w:val="sr-Latn-ME" w:eastAsia="sr-Latn-RS"/>
              </w:rPr>
              <w:t>nizak</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D9EC813" w14:textId="77777777" w:rsidR="008F7DDB" w:rsidRPr="00291333" w:rsidRDefault="008F7DDB" w:rsidP="0040712C">
            <w:pPr>
              <w:rPr>
                <w:color w:val="000000"/>
                <w:lang w:val="sr-Latn-ME" w:eastAsia="sr-Latn-RS"/>
              </w:rPr>
            </w:pPr>
            <w:r w:rsidRPr="00291333">
              <w:rPr>
                <w:color w:val="000000"/>
                <w:lang w:val="sr-Latn-ME" w:eastAsia="sr-Latn-RS"/>
              </w:rPr>
              <w:t xml:space="preserve">25,0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2F6E7C50" w14:textId="77777777" w:rsidR="008F7DDB" w:rsidRPr="00291333" w:rsidRDefault="008F7DDB" w:rsidP="0040712C">
            <w:pPr>
              <w:rPr>
                <w:color w:val="000000"/>
                <w:lang w:val="sr-Latn-ME" w:eastAsia="sr-Latn-RS"/>
              </w:rPr>
            </w:pPr>
            <w:r w:rsidRPr="00291333">
              <w:rPr>
                <w:color w:val="000000"/>
                <w:lang w:val="sr-Latn-ME" w:eastAsia="sr-Latn-RS"/>
              </w:rPr>
              <w:t>2/70 naspram</w:t>
            </w:r>
          </w:p>
          <w:p w14:paraId="3CA3C2C2" w14:textId="77777777" w:rsidR="008F7DDB" w:rsidRPr="00291333" w:rsidRDefault="008F7DDB" w:rsidP="0040712C">
            <w:pPr>
              <w:rPr>
                <w:color w:val="000000"/>
                <w:lang w:val="sr-Latn-ME" w:eastAsia="sr-Latn-RS"/>
              </w:rPr>
            </w:pPr>
            <w:r w:rsidRPr="00291333">
              <w:rPr>
                <w:color w:val="000000"/>
                <w:lang w:val="sr-Latn-ME" w:eastAsia="sr-Latn-RS"/>
              </w:rPr>
              <w:t>0/69</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1736111" w14:textId="77777777" w:rsidR="008F7DDB" w:rsidRPr="00291333" w:rsidRDefault="008F7DDB" w:rsidP="0040712C">
            <w:pPr>
              <w:rPr>
                <w:color w:val="000000"/>
                <w:lang w:val="sr-Latn-ME" w:eastAsia="sr-Latn-RS"/>
              </w:rPr>
            </w:pPr>
            <w:r w:rsidRPr="00291333">
              <w:rPr>
                <w:color w:val="000000"/>
                <w:lang w:val="sr-Latn-ME" w:eastAsia="sr-Latn-RS"/>
              </w:rPr>
              <w:t>ne može se procijeniti</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25FCC26" w14:textId="77777777" w:rsidR="008F7DDB" w:rsidRPr="00291333" w:rsidRDefault="008F7DDB" w:rsidP="0040712C">
            <w:pPr>
              <w:rPr>
                <w:color w:val="000000"/>
                <w:lang w:val="sr-Latn-ME" w:eastAsia="sr-Latn-RS"/>
              </w:rPr>
            </w:pPr>
            <w:r w:rsidRPr="00291333">
              <w:rPr>
                <w:color w:val="000000"/>
                <w:lang w:val="sr-Latn-ME" w:eastAsia="sr-Latn-RS"/>
              </w:rPr>
              <w:t>100 naspram</w:t>
            </w:r>
          </w:p>
          <w:p w14:paraId="6027BB20" w14:textId="77777777" w:rsidR="008F7DDB" w:rsidRPr="00291333" w:rsidRDefault="008F7DDB" w:rsidP="0040712C">
            <w:pPr>
              <w:rPr>
                <w:color w:val="000000"/>
                <w:lang w:val="sr-Latn-ME" w:eastAsia="sr-Latn-RS"/>
              </w:rPr>
            </w:pPr>
            <w:r w:rsidRPr="00291333">
              <w:rPr>
                <w:color w:val="000000"/>
                <w:lang w:val="sr-Latn-ME" w:eastAsia="sr-Latn-RS"/>
              </w:rPr>
              <w:t>100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F429510" w14:textId="77777777" w:rsidR="008F7DDB" w:rsidRPr="00291333" w:rsidRDefault="008F7DDB" w:rsidP="0040712C">
            <w:pPr>
              <w:spacing w:after="5"/>
              <w:rPr>
                <w:color w:val="000000"/>
                <w:lang w:val="sr-Latn-ME" w:eastAsia="sr-Latn-RS"/>
              </w:rPr>
            </w:pPr>
            <w:r w:rsidRPr="00291333">
              <w:rPr>
                <w:color w:val="000000"/>
                <w:lang w:val="sr-Latn-ME" w:eastAsia="sr-Latn-RS"/>
              </w:rPr>
              <w:t xml:space="preserve">97,8 </w:t>
            </w:r>
          </w:p>
          <w:p w14:paraId="685D69DE" w14:textId="77777777" w:rsidR="008F7DDB" w:rsidRPr="00291333" w:rsidRDefault="008F7DDB" w:rsidP="0040712C">
            <w:pPr>
              <w:rPr>
                <w:color w:val="000000"/>
                <w:lang w:val="sr-Latn-ME" w:eastAsia="sr-Latn-RS"/>
              </w:rPr>
            </w:pPr>
            <w:r w:rsidRPr="00291333">
              <w:rPr>
                <w:color w:val="000000"/>
                <w:lang w:val="sr-Latn-ME" w:eastAsia="sr-Latn-RS"/>
              </w:rPr>
              <w:t>naspram 100</w:t>
            </w:r>
          </w:p>
        </w:tc>
      </w:tr>
      <w:tr w:rsidR="008F7DDB" w:rsidRPr="00291333" w14:paraId="6559D321" w14:textId="77777777" w:rsidTr="0040712C">
        <w:trPr>
          <w:trHeight w:val="768"/>
        </w:trPr>
        <w:tc>
          <w:tcPr>
            <w:tcW w:w="1296" w:type="dxa"/>
            <w:vMerge/>
            <w:tcBorders>
              <w:top w:val="nil"/>
              <w:left w:val="single" w:sz="4" w:space="0" w:color="000000"/>
              <w:bottom w:val="nil"/>
              <w:right w:val="single" w:sz="4" w:space="0" w:color="000000"/>
            </w:tcBorders>
            <w:shd w:val="clear" w:color="auto" w:fill="auto"/>
          </w:tcPr>
          <w:p w14:paraId="12F45B4A" w14:textId="77777777" w:rsidR="008F7DDB" w:rsidRPr="00291333" w:rsidRDefault="008F7DDB" w:rsidP="0040712C">
            <w:pPr>
              <w:rPr>
                <w:color w:val="000000"/>
                <w:lang w:val="sr-Latn-ME" w:eastAsia="sr-Latn-R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35EF395" w14:textId="77777777" w:rsidR="008F7DDB" w:rsidRPr="00291333" w:rsidRDefault="008F7DDB" w:rsidP="0040712C">
            <w:pPr>
              <w:rPr>
                <w:color w:val="000000"/>
                <w:lang w:val="sr-Latn-ME" w:eastAsia="sr-Latn-RS"/>
              </w:rPr>
            </w:pPr>
            <w:r w:rsidRPr="00291333">
              <w:rPr>
                <w:color w:val="000000"/>
                <w:lang w:val="sr-Latn-ME" w:eastAsia="sr-Latn-RS"/>
              </w:rPr>
              <w:t>srednji</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CB382D5" w14:textId="77777777" w:rsidR="008F7DDB" w:rsidRPr="00291333" w:rsidRDefault="008F7DDB" w:rsidP="0040712C">
            <w:pPr>
              <w:rPr>
                <w:color w:val="000000"/>
                <w:lang w:val="sr-Latn-ME" w:eastAsia="sr-Latn-RS"/>
              </w:rPr>
            </w:pPr>
            <w:r w:rsidRPr="00291333">
              <w:rPr>
                <w:color w:val="000000"/>
                <w:lang w:val="sr-Latn-ME" w:eastAsia="sr-Latn-RS"/>
              </w:rPr>
              <w:t xml:space="preserve">24,6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7DAEE7D6" w14:textId="77777777" w:rsidR="008F7DDB" w:rsidRPr="00291333" w:rsidRDefault="008F7DDB" w:rsidP="0040712C">
            <w:pPr>
              <w:rPr>
                <w:color w:val="000000"/>
                <w:lang w:val="sr-Latn-ME" w:eastAsia="sr-Latn-RS"/>
              </w:rPr>
            </w:pPr>
            <w:r w:rsidRPr="00291333">
              <w:rPr>
                <w:color w:val="000000"/>
                <w:lang w:val="sr-Latn-ME" w:eastAsia="sr-Latn-RS"/>
              </w:rPr>
              <w:t>2/70 naspram</w:t>
            </w:r>
          </w:p>
          <w:p w14:paraId="3A01015E" w14:textId="77777777" w:rsidR="008F7DDB" w:rsidRPr="00291333" w:rsidRDefault="008F7DDB" w:rsidP="0040712C">
            <w:pPr>
              <w:rPr>
                <w:color w:val="000000"/>
                <w:lang w:val="sr-Latn-ME" w:eastAsia="sr-Latn-RS"/>
              </w:rPr>
            </w:pPr>
            <w:r w:rsidRPr="00291333">
              <w:rPr>
                <w:color w:val="000000"/>
                <w:lang w:val="sr-Latn-ME" w:eastAsia="sr-Latn-RS"/>
              </w:rPr>
              <w:t>11/67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39E3A1B" w14:textId="77777777" w:rsidR="008F7DDB" w:rsidRPr="00291333" w:rsidRDefault="008F7DDB" w:rsidP="0040712C">
            <w:pPr>
              <w:rPr>
                <w:color w:val="000000"/>
                <w:lang w:val="sr-Latn-ME" w:eastAsia="sr-Latn-RS"/>
              </w:rPr>
            </w:pPr>
            <w:r w:rsidRPr="00291333">
              <w:rPr>
                <w:color w:val="000000"/>
                <w:lang w:val="sr-Latn-ME" w:eastAsia="sr-Latn-RS"/>
              </w:rPr>
              <w:t xml:space="preserve">0,16 (0,03; </w:t>
            </w:r>
          </w:p>
          <w:p w14:paraId="7827F82B" w14:textId="77777777" w:rsidR="008F7DDB" w:rsidRPr="00291333" w:rsidRDefault="008F7DDB" w:rsidP="0040712C">
            <w:pPr>
              <w:rPr>
                <w:color w:val="000000"/>
                <w:lang w:val="sr-Latn-ME" w:eastAsia="sr-Latn-RS"/>
              </w:rPr>
            </w:pPr>
            <w:r w:rsidRPr="00291333">
              <w:rPr>
                <w:color w:val="000000"/>
                <w:lang w:val="sr-Latn-ME" w:eastAsia="sr-Latn-RS"/>
              </w:rPr>
              <w:t>0,70)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0688C13" w14:textId="77777777" w:rsidR="008F7DDB" w:rsidRPr="00291333" w:rsidRDefault="008F7DDB" w:rsidP="0040712C">
            <w:pPr>
              <w:ind w:right="80"/>
              <w:rPr>
                <w:color w:val="000000"/>
                <w:lang w:val="sr-Latn-ME" w:eastAsia="sr-Latn-RS"/>
              </w:rPr>
            </w:pPr>
            <w:r w:rsidRPr="00291333">
              <w:rPr>
                <w:color w:val="000000"/>
                <w:lang w:val="sr-Latn-ME" w:eastAsia="sr-Latn-RS"/>
              </w:rPr>
              <w:t>97,9 naspram 90,8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5D27185" w14:textId="77777777" w:rsidR="008F7DDB" w:rsidRPr="00291333" w:rsidRDefault="008F7DDB" w:rsidP="0040712C">
            <w:pPr>
              <w:ind w:right="80"/>
              <w:rPr>
                <w:color w:val="000000"/>
                <w:lang w:val="sr-Latn-ME" w:eastAsia="sr-Latn-RS"/>
              </w:rPr>
            </w:pPr>
            <w:r w:rsidRPr="00291333">
              <w:rPr>
                <w:color w:val="000000"/>
                <w:lang w:val="sr-Latn-ME" w:eastAsia="sr-Latn-RS"/>
              </w:rPr>
              <w:t>97,9 naspram 73,3</w:t>
            </w:r>
          </w:p>
        </w:tc>
      </w:tr>
      <w:tr w:rsidR="008F7DDB" w:rsidRPr="00291333" w14:paraId="707ADB5A" w14:textId="77777777" w:rsidTr="0040712C">
        <w:trPr>
          <w:trHeight w:val="773"/>
        </w:trPr>
        <w:tc>
          <w:tcPr>
            <w:tcW w:w="1296" w:type="dxa"/>
            <w:vMerge/>
            <w:tcBorders>
              <w:top w:val="nil"/>
              <w:left w:val="single" w:sz="4" w:space="0" w:color="000000"/>
              <w:bottom w:val="single" w:sz="4" w:space="0" w:color="000000"/>
              <w:right w:val="single" w:sz="4" w:space="0" w:color="000000"/>
            </w:tcBorders>
            <w:shd w:val="clear" w:color="auto" w:fill="auto"/>
          </w:tcPr>
          <w:p w14:paraId="420594B2" w14:textId="77777777" w:rsidR="008F7DDB" w:rsidRPr="00291333" w:rsidRDefault="008F7DDB" w:rsidP="0040712C">
            <w:pPr>
              <w:rPr>
                <w:color w:val="000000"/>
                <w:lang w:val="sr-Latn-ME" w:eastAsia="sr-Latn-R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B26463B" w14:textId="77777777" w:rsidR="008F7DDB" w:rsidRPr="00291333" w:rsidRDefault="008F7DDB" w:rsidP="0040712C">
            <w:pPr>
              <w:rPr>
                <w:color w:val="000000"/>
                <w:lang w:val="sr-Latn-ME" w:eastAsia="sr-Latn-RS"/>
              </w:rPr>
            </w:pPr>
            <w:r w:rsidRPr="00291333">
              <w:rPr>
                <w:color w:val="000000"/>
                <w:lang w:val="sr-Latn-ME" w:eastAsia="sr-Latn-RS"/>
              </w:rPr>
              <w:t>visok</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6612FE8" w14:textId="77777777" w:rsidR="008F7DDB" w:rsidRPr="00291333" w:rsidRDefault="008F7DDB" w:rsidP="0040712C">
            <w:pPr>
              <w:rPr>
                <w:color w:val="000000"/>
                <w:lang w:val="sr-Latn-ME" w:eastAsia="sr-Latn-RS"/>
              </w:rPr>
            </w:pPr>
            <w:r w:rsidRPr="00291333">
              <w:rPr>
                <w:color w:val="000000"/>
                <w:lang w:val="sr-Latn-ME" w:eastAsia="sr-Latn-RS"/>
              </w:rPr>
              <w:t xml:space="preserve">29,7   </w:t>
            </w: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14:paraId="4977B577" w14:textId="77777777" w:rsidR="008F7DDB" w:rsidRPr="00291333" w:rsidRDefault="008F7DDB" w:rsidP="0040712C">
            <w:pPr>
              <w:ind w:right="66"/>
              <w:rPr>
                <w:color w:val="000000"/>
                <w:lang w:val="sr-Latn-ME" w:eastAsia="sr-Latn-RS"/>
              </w:rPr>
            </w:pPr>
            <w:r w:rsidRPr="00291333">
              <w:rPr>
                <w:color w:val="000000"/>
                <w:lang w:val="sr-Latn-ME" w:eastAsia="sr-Latn-RS"/>
              </w:rPr>
              <w:t xml:space="preserve">16/84 naspram 39/81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0797C70" w14:textId="77777777" w:rsidR="008F7DDB" w:rsidRPr="00291333" w:rsidRDefault="008F7DDB" w:rsidP="0040712C">
            <w:pPr>
              <w:rPr>
                <w:color w:val="000000"/>
                <w:lang w:val="sr-Latn-ME" w:eastAsia="sr-Latn-RS"/>
              </w:rPr>
            </w:pPr>
            <w:r w:rsidRPr="00291333">
              <w:rPr>
                <w:color w:val="000000"/>
                <w:lang w:val="sr-Latn-ME" w:eastAsia="sr-Latn-RS"/>
              </w:rPr>
              <w:t xml:space="preserve">0,27 (0,15; </w:t>
            </w:r>
          </w:p>
          <w:p w14:paraId="1FA77EE0" w14:textId="77777777" w:rsidR="008F7DDB" w:rsidRPr="00291333" w:rsidRDefault="008F7DDB" w:rsidP="0040712C">
            <w:pPr>
              <w:rPr>
                <w:color w:val="000000"/>
                <w:lang w:val="sr-Latn-ME" w:eastAsia="sr-Latn-RS"/>
              </w:rPr>
            </w:pPr>
            <w:r w:rsidRPr="00291333">
              <w:rPr>
                <w:color w:val="000000"/>
                <w:lang w:val="sr-Latn-ME" w:eastAsia="sr-Latn-RS"/>
              </w:rPr>
              <w:t>0,48)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7BB14F7" w14:textId="77777777" w:rsidR="008F7DDB" w:rsidRPr="00291333" w:rsidRDefault="008F7DDB" w:rsidP="0040712C">
            <w:pPr>
              <w:ind w:right="80"/>
              <w:rPr>
                <w:color w:val="000000"/>
                <w:lang w:val="sr-Latn-ME" w:eastAsia="sr-Latn-RS"/>
              </w:rPr>
            </w:pPr>
            <w:r w:rsidRPr="00291333">
              <w:rPr>
                <w:color w:val="000000"/>
                <w:lang w:val="sr-Latn-ME" w:eastAsia="sr-Latn-RS"/>
              </w:rPr>
              <w:t>98,7 naspram 56,1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F202D68" w14:textId="77777777" w:rsidR="008F7DDB" w:rsidRPr="00291333" w:rsidRDefault="008F7DDB" w:rsidP="0040712C">
            <w:pPr>
              <w:ind w:right="80"/>
              <w:rPr>
                <w:color w:val="000000"/>
                <w:lang w:val="sr-Latn-ME" w:eastAsia="sr-Latn-RS"/>
              </w:rPr>
            </w:pPr>
            <w:r w:rsidRPr="00291333">
              <w:rPr>
                <w:color w:val="000000"/>
                <w:lang w:val="sr-Latn-ME" w:eastAsia="sr-Latn-RS"/>
              </w:rPr>
              <w:t>79,9 naspram 41,5</w:t>
            </w:r>
          </w:p>
        </w:tc>
      </w:tr>
    </w:tbl>
    <w:p w14:paraId="343DED1A" w14:textId="77777777" w:rsidR="008F7DDB" w:rsidRPr="00291333" w:rsidRDefault="008F7DDB" w:rsidP="008F7DDB">
      <w:pPr>
        <w:widowControl w:val="0"/>
        <w:spacing w:line="240" w:lineRule="auto"/>
        <w:ind w:right="-1"/>
        <w:rPr>
          <w:lang w:val="sr-Latn-ME"/>
        </w:rPr>
      </w:pPr>
    </w:p>
    <w:p w14:paraId="46BDDD61" w14:textId="77777777" w:rsidR="008F7DDB" w:rsidRPr="00291333" w:rsidRDefault="008F7DDB" w:rsidP="008F7DDB">
      <w:pPr>
        <w:widowControl w:val="0"/>
        <w:spacing w:line="240" w:lineRule="auto"/>
        <w:ind w:right="-1"/>
        <w:rPr>
          <w:lang w:val="sr-Latn-ME"/>
        </w:rPr>
      </w:pPr>
      <w:r w:rsidRPr="00291333">
        <w:rPr>
          <w:lang w:val="sr-Latn-ME"/>
        </w:rPr>
        <w:t xml:space="preserve">* Ukupan period praćenja; </w:t>
      </w:r>
    </w:p>
    <w:p w14:paraId="7CE2B165" w14:textId="77777777" w:rsidR="008F7DDB" w:rsidRPr="00291333" w:rsidRDefault="008F7DDB" w:rsidP="008F7DDB">
      <w:pPr>
        <w:widowControl w:val="0"/>
        <w:spacing w:line="240" w:lineRule="auto"/>
        <w:ind w:right="-1"/>
        <w:rPr>
          <w:lang w:val="sr-Latn-ME"/>
        </w:rPr>
      </w:pPr>
    </w:p>
    <w:p w14:paraId="1FBC63C2" w14:textId="77777777" w:rsidR="008F7DDB" w:rsidRPr="00291333" w:rsidRDefault="008F7DDB" w:rsidP="008F7DDB">
      <w:pPr>
        <w:spacing w:line="240" w:lineRule="auto"/>
        <w:jc w:val="both"/>
        <w:rPr>
          <w:lang w:val="sr-Latn-ME" w:eastAsia="sl-SI"/>
        </w:rPr>
      </w:pPr>
      <w:r w:rsidRPr="00291333">
        <w:rPr>
          <w:lang w:val="sr-Latn-ME" w:eastAsia="sl-SI"/>
        </w:rPr>
        <w:t xml:space="preserve">Jedna druga multicentrična, otvorena studija faze III (SSG XVIII/AIO) upoređivala je terapiju primjenom doze imatiniba od 400 mg dnevno tokom 12 mjeseci i tokom 36 mjeseci kod pacijenata nakon hirurške resekcije GIST-a, kao i postojanje jednog od sledećeg: tumor prečnika &gt; 5 cm i broj mitoza &gt; 5/50 u vidnom polju mikroskopa pri velikom uvećanju (engl. </w:t>
      </w:r>
      <w:r w:rsidRPr="00291333">
        <w:rPr>
          <w:i/>
          <w:lang w:val="sr-Latn-ME" w:eastAsia="sl-SI"/>
        </w:rPr>
        <w:t xml:space="preserve">high power fields, </w:t>
      </w:r>
      <w:r w:rsidRPr="00291333">
        <w:rPr>
          <w:lang w:val="sr-Latn-ME" w:eastAsia="sl-SI"/>
        </w:rPr>
        <w:t>HPF); ili tumor prečnika &gt; 10 cm i bilo koji broj mitoza ili tumor bilo koje veličine i broj mitoza &gt; 10/50 HPF ili tumori koji su rupturirali u peritonealnu šupljinu. Bilo je ukupno 397 pacijenata koji su pristali da učestvuju i koji su randomizovani u studiju (199 pacijenata u grupi koja je liječena 12 mjeseci i 198 pacijenata u grupi liječenih 36 mjeseci), medijana starosti iznosila je 61 godinu (u rasponu od 22 do 84 godine). Medijana vremena praćenja iznosila je 54 mjeseca (od randomizacije do završetka prikupljanja podataka) uz ukupno 83 mjeseca od datuma randomizacije prvog pacijenta do završetka prikupljanja podataka.</w:t>
      </w:r>
    </w:p>
    <w:p w14:paraId="194BCAE4" w14:textId="77777777" w:rsidR="008F7DDB" w:rsidRPr="00291333" w:rsidRDefault="008F7DDB" w:rsidP="008F7DDB">
      <w:pPr>
        <w:spacing w:after="268" w:line="240" w:lineRule="auto"/>
        <w:jc w:val="both"/>
        <w:rPr>
          <w:lang w:val="sr-Latn-ME" w:eastAsia="sl-SI"/>
        </w:rPr>
      </w:pPr>
      <w:r w:rsidRPr="00291333">
        <w:rPr>
          <w:lang w:val="sr-Latn-ME" w:eastAsia="sl-SI"/>
        </w:rPr>
        <w:t xml:space="preserve">Primarni parametar praćenja ishoda studije bilo je preživljavanje bez rekurencije bolesti (RFS) koje se definiše kao vrijeme od randomizacije do rekurencije ili smrti usljed bilo kojeg uzroka. </w:t>
      </w:r>
    </w:p>
    <w:p w14:paraId="0BB35643" w14:textId="77777777" w:rsidR="008F7DDB" w:rsidRPr="00291333" w:rsidRDefault="008F7DDB" w:rsidP="008F7DDB">
      <w:pPr>
        <w:spacing w:after="269" w:line="240" w:lineRule="auto"/>
        <w:jc w:val="both"/>
        <w:rPr>
          <w:lang w:val="sr-Latn-ME" w:eastAsia="sl-SI"/>
        </w:rPr>
      </w:pPr>
      <w:r w:rsidRPr="00291333">
        <w:rPr>
          <w:lang w:val="sr-Latn-ME" w:eastAsia="sl-SI"/>
        </w:rPr>
        <w:lastRenderedPageBreak/>
        <w:t xml:space="preserve">Trideset šestomjesečna (36) primjena imatiniba imala je za posljedicu znatno duže RFS nego 12-mjesečna terapija imatinibom (uz ukupan </w:t>
      </w:r>
      <w:r w:rsidRPr="00291333">
        <w:rPr>
          <w:i/>
          <w:lang w:val="sr-Latn-ME" w:eastAsia="sl-SI"/>
        </w:rPr>
        <w:t xml:space="preserve">hazard ratio </w:t>
      </w:r>
      <w:r w:rsidRPr="00291333">
        <w:rPr>
          <w:lang w:val="sr-Latn-ME" w:eastAsia="sl-SI"/>
        </w:rPr>
        <w:t>(HR) = 0,46 [0,32, 0,65], p &lt; 0,0001) (Tabela 8, Slika 1).</w:t>
      </w:r>
    </w:p>
    <w:p w14:paraId="7A00FC1D" w14:textId="77777777" w:rsidR="008F7DDB" w:rsidRPr="00291333" w:rsidRDefault="008F7DDB" w:rsidP="008F7DDB">
      <w:pPr>
        <w:spacing w:line="240" w:lineRule="auto"/>
        <w:jc w:val="both"/>
        <w:rPr>
          <w:lang w:val="sr-Latn-ME" w:eastAsia="sl-SI"/>
        </w:rPr>
      </w:pPr>
      <w:r w:rsidRPr="00291333">
        <w:rPr>
          <w:lang w:val="sr-Latn-ME" w:eastAsia="sl-SI"/>
        </w:rPr>
        <w:t>Dodatno, trideset šestomjesečna (36) terapija imatinibom imala je za posljedicu znatno duže ukupno preživljavanje (OS) nego 12-mjesečna terapija imatinibom (HR) = 0,45 [0,22, 0,89], p &lt; 0,0187) (Tabela 8, Slika 2).</w:t>
      </w:r>
    </w:p>
    <w:p w14:paraId="12D4D215" w14:textId="77777777" w:rsidR="008F7DDB" w:rsidRPr="00291333" w:rsidRDefault="008F7DDB" w:rsidP="008F7DDB">
      <w:pPr>
        <w:spacing w:line="240" w:lineRule="auto"/>
        <w:jc w:val="both"/>
        <w:rPr>
          <w:lang w:val="sr-Latn-ME" w:eastAsia="sl-SI"/>
        </w:rPr>
      </w:pPr>
    </w:p>
    <w:p w14:paraId="098C38B0" w14:textId="77777777" w:rsidR="008F7DDB" w:rsidRPr="00291333" w:rsidRDefault="008F7DDB" w:rsidP="008F7DDB">
      <w:pPr>
        <w:spacing w:line="240" w:lineRule="auto"/>
        <w:jc w:val="both"/>
        <w:rPr>
          <w:lang w:val="sr-Latn-ME" w:eastAsia="sl-SI"/>
        </w:rPr>
      </w:pPr>
      <w:r w:rsidRPr="00291333">
        <w:rPr>
          <w:lang w:val="sr-Latn-ME" w:eastAsia="sl-SI"/>
        </w:rPr>
        <w:t xml:space="preserve">Duže trajanje liječenja (&gt; 36 mjeseci) može da odloži pojavu daljih rekurencija; međutim, uticaj ovog nalaza na ukupno preživljavanje ostaje nepoznat. </w:t>
      </w:r>
    </w:p>
    <w:p w14:paraId="63676F3C" w14:textId="77777777" w:rsidR="008F7DDB" w:rsidRPr="00291333" w:rsidRDefault="008F7DDB" w:rsidP="008F7DDB">
      <w:pPr>
        <w:spacing w:line="240" w:lineRule="auto"/>
        <w:jc w:val="both"/>
        <w:rPr>
          <w:lang w:val="sr-Latn-ME" w:eastAsia="sl-SI"/>
        </w:rPr>
      </w:pPr>
    </w:p>
    <w:p w14:paraId="12232C96" w14:textId="77777777" w:rsidR="008F7DDB" w:rsidRPr="00291333" w:rsidRDefault="008F7DDB" w:rsidP="008F7DDB">
      <w:pPr>
        <w:spacing w:line="240" w:lineRule="auto"/>
        <w:jc w:val="both"/>
        <w:rPr>
          <w:lang w:val="sr-Latn-ME" w:eastAsia="sl-SI"/>
        </w:rPr>
      </w:pPr>
      <w:r w:rsidRPr="00291333">
        <w:rPr>
          <w:lang w:val="sr-Latn-ME" w:eastAsia="sl-SI"/>
        </w:rPr>
        <w:t>Ukupan broj smrtnih slučajeva iznosio je 25 u grupi koja je primjenjivala terapiju tokom 12 mjeseci, dok je u grupi na terapiji u trajanju od 36 mejseci zabilježeno 12 smrtnih slučajeva.</w:t>
      </w:r>
    </w:p>
    <w:p w14:paraId="6A723D86" w14:textId="77777777" w:rsidR="008F7DDB" w:rsidRPr="00291333" w:rsidRDefault="008F7DDB" w:rsidP="008F7DDB">
      <w:pPr>
        <w:spacing w:line="240" w:lineRule="auto"/>
        <w:jc w:val="both"/>
        <w:rPr>
          <w:lang w:val="sr-Latn-ME" w:eastAsia="sl-SI"/>
        </w:rPr>
      </w:pPr>
    </w:p>
    <w:p w14:paraId="3BAF1F03" w14:textId="77777777" w:rsidR="008F7DDB" w:rsidRPr="00291333" w:rsidRDefault="008F7DDB" w:rsidP="008F7DDB">
      <w:pPr>
        <w:spacing w:line="240" w:lineRule="auto"/>
        <w:jc w:val="both"/>
        <w:rPr>
          <w:lang w:val="sr-Latn-ME" w:eastAsia="sl-SI"/>
        </w:rPr>
      </w:pPr>
      <w:r w:rsidRPr="00291333">
        <w:rPr>
          <w:lang w:val="sr-Latn-ME" w:eastAsia="sl-SI"/>
        </w:rPr>
        <w:t>Primjena imatiniba u trajanju od 36 mjeseci se pokazala boljom u poređenju sa primjenom u trajanju od 12 mjeseci u ITT analizi, koja je uključivala cijelu populaciju studije. Planirana analiza podgrupa po tipu mutacije pokazala je da je HR za RFS pacijenata sa mutacijama egzona 11 liječenih 36 mjeseci bila 0,35 [95% CI: 0,22, 0,56]. Za manje česte mutacione podgrupe ne mogu se izvesti zaključci zbog malog broja prijavljenih događaja</w:t>
      </w:r>
    </w:p>
    <w:p w14:paraId="48458E0E" w14:textId="77777777" w:rsidR="008F7DDB" w:rsidRPr="00291333" w:rsidRDefault="008F7DDB" w:rsidP="008F7DDB">
      <w:pPr>
        <w:keepNext/>
        <w:spacing w:before="240" w:after="60" w:line="240" w:lineRule="auto"/>
        <w:outlineLvl w:val="0"/>
        <w:rPr>
          <w:b/>
          <w:bCs/>
          <w:kern w:val="32"/>
          <w:lang w:val="sr-Latn-ME" w:eastAsia="sl-SI"/>
        </w:rPr>
      </w:pPr>
      <w:r w:rsidRPr="00291333">
        <w:rPr>
          <w:b/>
          <w:bCs/>
          <w:kern w:val="32"/>
          <w:lang w:val="sr-Latn-ME" w:eastAsia="sl-SI"/>
        </w:rPr>
        <w:t>Tabela 8. 12-mjesečna i 36-mjesečna terapija imatinibom (Ispitivanje SSGXVIII/AIO)</w:t>
      </w:r>
    </w:p>
    <w:p w14:paraId="2F67925E" w14:textId="77777777" w:rsidR="008F7DDB" w:rsidRPr="00291333" w:rsidRDefault="008F7DDB" w:rsidP="008F7DDB">
      <w:pPr>
        <w:keepNext/>
        <w:spacing w:line="240" w:lineRule="auto"/>
        <w:rPr>
          <w:rFonts w:eastAsia="MS Mincho"/>
          <w:lang w:val="sr-Latn-ME" w:eastAsia="sl-SI"/>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99"/>
        <w:gridCol w:w="3100"/>
        <w:gridCol w:w="3100"/>
      </w:tblGrid>
      <w:tr w:rsidR="008F7DDB" w:rsidRPr="00291333" w14:paraId="0B3C73AF" w14:textId="77777777" w:rsidTr="0040712C">
        <w:trPr>
          <w:tblHeader/>
        </w:trPr>
        <w:tc>
          <w:tcPr>
            <w:tcW w:w="3099" w:type="dxa"/>
            <w:tcBorders>
              <w:top w:val="single" w:sz="4" w:space="0" w:color="auto"/>
              <w:left w:val="nil"/>
              <w:bottom w:val="nil"/>
              <w:right w:val="nil"/>
            </w:tcBorders>
          </w:tcPr>
          <w:p w14:paraId="3366ED7A" w14:textId="77777777" w:rsidR="008F7DDB" w:rsidRPr="00291333" w:rsidRDefault="008F7DDB" w:rsidP="0040712C">
            <w:pPr>
              <w:keepLines/>
              <w:tabs>
                <w:tab w:val="left" w:pos="284"/>
              </w:tabs>
              <w:spacing w:line="240" w:lineRule="auto"/>
              <w:rPr>
                <w:rFonts w:eastAsia="MS Mincho"/>
                <w:lang w:val="sr-Latn-ME" w:eastAsia="sl-SI"/>
              </w:rPr>
            </w:pPr>
          </w:p>
        </w:tc>
        <w:tc>
          <w:tcPr>
            <w:tcW w:w="3100" w:type="dxa"/>
            <w:tcBorders>
              <w:top w:val="single" w:sz="4" w:space="0" w:color="auto"/>
              <w:left w:val="nil"/>
              <w:bottom w:val="nil"/>
              <w:right w:val="nil"/>
            </w:tcBorders>
            <w:hideMark/>
          </w:tcPr>
          <w:p w14:paraId="0EB1262F" w14:textId="77777777" w:rsidR="008F7DDB" w:rsidRPr="00291333" w:rsidRDefault="008F7DDB" w:rsidP="0040712C">
            <w:pPr>
              <w:keepLines/>
              <w:tabs>
                <w:tab w:val="left" w:pos="284"/>
              </w:tabs>
              <w:spacing w:line="240" w:lineRule="auto"/>
              <w:rPr>
                <w:rFonts w:eastAsia="MS Mincho"/>
                <w:b/>
                <w:lang w:val="sr-Latn-ME" w:eastAsia="sl-SI"/>
              </w:rPr>
            </w:pPr>
            <w:r w:rsidRPr="00291333">
              <w:rPr>
                <w:b/>
                <w:lang w:val="sr-Latn-ME" w:eastAsia="sl-SI"/>
              </w:rPr>
              <w:t>Grupa liječena 12 mjeseci</w:t>
            </w:r>
          </w:p>
        </w:tc>
        <w:tc>
          <w:tcPr>
            <w:tcW w:w="3100" w:type="dxa"/>
            <w:tcBorders>
              <w:top w:val="single" w:sz="4" w:space="0" w:color="auto"/>
              <w:left w:val="nil"/>
              <w:bottom w:val="nil"/>
              <w:right w:val="nil"/>
            </w:tcBorders>
            <w:hideMark/>
          </w:tcPr>
          <w:p w14:paraId="3D1289C7" w14:textId="77777777" w:rsidR="008F7DDB" w:rsidRPr="00291333" w:rsidRDefault="008F7DDB" w:rsidP="0040712C">
            <w:pPr>
              <w:keepLines/>
              <w:tabs>
                <w:tab w:val="left" w:pos="284"/>
              </w:tabs>
              <w:spacing w:line="240" w:lineRule="auto"/>
              <w:rPr>
                <w:rFonts w:eastAsia="MS Mincho"/>
                <w:b/>
                <w:lang w:val="sr-Latn-ME" w:eastAsia="sl-SI"/>
              </w:rPr>
            </w:pPr>
            <w:r w:rsidRPr="00291333">
              <w:rPr>
                <w:b/>
                <w:lang w:val="sr-Latn-ME" w:eastAsia="sl-SI"/>
              </w:rPr>
              <w:t>Grupa liječena 36 mjeseci</w:t>
            </w:r>
          </w:p>
        </w:tc>
      </w:tr>
      <w:tr w:rsidR="008F7DDB" w:rsidRPr="00291333" w14:paraId="64CDF426" w14:textId="77777777" w:rsidTr="0040712C">
        <w:tc>
          <w:tcPr>
            <w:tcW w:w="3099" w:type="dxa"/>
            <w:tcBorders>
              <w:top w:val="nil"/>
              <w:left w:val="nil"/>
              <w:bottom w:val="nil"/>
              <w:right w:val="nil"/>
            </w:tcBorders>
            <w:hideMark/>
          </w:tcPr>
          <w:p w14:paraId="292EB2A1" w14:textId="77777777" w:rsidR="008F7DDB" w:rsidRPr="00291333" w:rsidRDefault="008F7DDB" w:rsidP="0040712C">
            <w:pPr>
              <w:keepLines/>
              <w:tabs>
                <w:tab w:val="left" w:pos="284"/>
              </w:tabs>
              <w:spacing w:line="240" w:lineRule="auto"/>
              <w:rPr>
                <w:rFonts w:eastAsia="MS Mincho"/>
                <w:b/>
                <w:lang w:val="sr-Latn-ME" w:eastAsia="sl-SI"/>
              </w:rPr>
            </w:pPr>
            <w:r w:rsidRPr="00291333">
              <w:rPr>
                <w:b/>
                <w:lang w:val="sr-Latn-ME" w:eastAsia="sl-SI"/>
              </w:rPr>
              <w:t>Preživljavanje bez recidiva bolesti</w:t>
            </w:r>
          </w:p>
        </w:tc>
        <w:tc>
          <w:tcPr>
            <w:tcW w:w="3100" w:type="dxa"/>
            <w:tcBorders>
              <w:top w:val="nil"/>
              <w:left w:val="nil"/>
              <w:bottom w:val="nil"/>
              <w:right w:val="nil"/>
            </w:tcBorders>
            <w:hideMark/>
          </w:tcPr>
          <w:p w14:paraId="7F878AD9" w14:textId="77777777" w:rsidR="008F7DDB" w:rsidRPr="00291333" w:rsidRDefault="008F7DDB" w:rsidP="0040712C">
            <w:pPr>
              <w:keepLines/>
              <w:tabs>
                <w:tab w:val="left" w:pos="284"/>
              </w:tabs>
              <w:spacing w:line="240" w:lineRule="auto"/>
              <w:rPr>
                <w:rFonts w:eastAsia="MS Mincho"/>
                <w:b/>
                <w:lang w:val="sr-Latn-ME" w:eastAsia="sl-SI"/>
              </w:rPr>
            </w:pPr>
            <w:r w:rsidRPr="00291333">
              <w:rPr>
                <w:rFonts w:eastAsia="MS Mincho"/>
                <w:b/>
                <w:lang w:val="sr-Latn-ME" w:eastAsia="sl-SI"/>
              </w:rPr>
              <w:t>%(CI)</w:t>
            </w:r>
          </w:p>
        </w:tc>
        <w:tc>
          <w:tcPr>
            <w:tcW w:w="3100" w:type="dxa"/>
            <w:tcBorders>
              <w:top w:val="nil"/>
              <w:left w:val="nil"/>
              <w:bottom w:val="nil"/>
              <w:right w:val="nil"/>
            </w:tcBorders>
            <w:hideMark/>
          </w:tcPr>
          <w:p w14:paraId="0DE6A829" w14:textId="77777777" w:rsidR="008F7DDB" w:rsidRPr="00291333" w:rsidRDefault="008F7DDB" w:rsidP="0040712C">
            <w:pPr>
              <w:keepLines/>
              <w:tabs>
                <w:tab w:val="left" w:pos="284"/>
              </w:tabs>
              <w:spacing w:line="240" w:lineRule="auto"/>
              <w:rPr>
                <w:rFonts w:eastAsia="MS Mincho"/>
                <w:b/>
                <w:lang w:val="sr-Latn-ME" w:eastAsia="sl-SI"/>
              </w:rPr>
            </w:pPr>
            <w:r w:rsidRPr="00291333">
              <w:rPr>
                <w:rFonts w:eastAsia="MS Mincho"/>
                <w:b/>
                <w:lang w:val="sr-Latn-ME" w:eastAsia="sl-SI"/>
              </w:rPr>
              <w:t>%(CI)</w:t>
            </w:r>
          </w:p>
        </w:tc>
      </w:tr>
      <w:tr w:rsidR="008F7DDB" w:rsidRPr="00291333" w14:paraId="3AECCEAC" w14:textId="77777777" w:rsidTr="0040712C">
        <w:tc>
          <w:tcPr>
            <w:tcW w:w="3099" w:type="dxa"/>
            <w:tcBorders>
              <w:top w:val="nil"/>
              <w:left w:val="nil"/>
              <w:bottom w:val="nil"/>
              <w:right w:val="nil"/>
            </w:tcBorders>
            <w:hideMark/>
          </w:tcPr>
          <w:p w14:paraId="4C1C4C0B"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12</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749E0D99"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93,7 (89,2</w:t>
            </w:r>
            <w:r w:rsidRPr="00291333">
              <w:rPr>
                <w:rFonts w:eastAsia="MS Mincho"/>
                <w:lang w:val="sr-Latn-ME" w:eastAsia="sl-SI"/>
              </w:rPr>
              <w:noBreakHyphen/>
              <w:t>96,4)</w:t>
            </w:r>
          </w:p>
        </w:tc>
        <w:tc>
          <w:tcPr>
            <w:tcW w:w="3100" w:type="dxa"/>
            <w:tcBorders>
              <w:top w:val="nil"/>
              <w:left w:val="nil"/>
              <w:bottom w:val="nil"/>
              <w:right w:val="nil"/>
            </w:tcBorders>
            <w:hideMark/>
          </w:tcPr>
          <w:p w14:paraId="6E7C8AFC"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95,9 (91,9</w:t>
            </w:r>
            <w:r w:rsidRPr="00291333">
              <w:rPr>
                <w:rFonts w:eastAsia="MS Mincho"/>
                <w:lang w:val="sr-Latn-ME" w:eastAsia="sl-SI"/>
              </w:rPr>
              <w:noBreakHyphen/>
              <w:t>97,9)</w:t>
            </w:r>
          </w:p>
        </w:tc>
      </w:tr>
      <w:tr w:rsidR="008F7DDB" w:rsidRPr="00291333" w14:paraId="2DF55314" w14:textId="77777777" w:rsidTr="0040712C">
        <w:tc>
          <w:tcPr>
            <w:tcW w:w="3099" w:type="dxa"/>
            <w:tcBorders>
              <w:top w:val="nil"/>
              <w:left w:val="nil"/>
              <w:bottom w:val="nil"/>
              <w:right w:val="nil"/>
            </w:tcBorders>
            <w:hideMark/>
          </w:tcPr>
          <w:p w14:paraId="29C17055"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24</w:t>
            </w:r>
            <w:r w:rsidRPr="00291333">
              <w:rPr>
                <w:rFonts w:eastAsia="MS Mincho"/>
                <w:lang w:val="sr-Latn-ME" w:eastAsia="ja-JP"/>
              </w:rPr>
              <w:t> </w:t>
            </w:r>
            <w:r w:rsidRPr="00291333">
              <w:rPr>
                <w:rFonts w:eastAsia="MS Mincho"/>
                <w:lang w:val="sr-Latn-ME" w:eastAsia="sl-SI"/>
              </w:rPr>
              <w:t>mjeseca</w:t>
            </w:r>
          </w:p>
        </w:tc>
        <w:tc>
          <w:tcPr>
            <w:tcW w:w="3100" w:type="dxa"/>
            <w:tcBorders>
              <w:top w:val="nil"/>
              <w:left w:val="nil"/>
              <w:bottom w:val="nil"/>
              <w:right w:val="nil"/>
            </w:tcBorders>
            <w:hideMark/>
          </w:tcPr>
          <w:p w14:paraId="7CFF2A2B"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75,4 (68,6</w:t>
            </w:r>
            <w:r w:rsidRPr="00291333">
              <w:rPr>
                <w:rFonts w:eastAsia="MS Mincho"/>
                <w:lang w:val="sr-Latn-ME" w:eastAsia="sl-SI"/>
              </w:rPr>
              <w:noBreakHyphen/>
              <w:t>81,0)</w:t>
            </w:r>
          </w:p>
        </w:tc>
        <w:tc>
          <w:tcPr>
            <w:tcW w:w="3100" w:type="dxa"/>
            <w:tcBorders>
              <w:top w:val="nil"/>
              <w:left w:val="nil"/>
              <w:bottom w:val="nil"/>
              <w:right w:val="nil"/>
            </w:tcBorders>
            <w:hideMark/>
          </w:tcPr>
          <w:p w14:paraId="6401A3C9"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90,7 (85,6</w:t>
            </w:r>
            <w:r w:rsidRPr="00291333">
              <w:rPr>
                <w:rFonts w:eastAsia="MS Mincho"/>
                <w:lang w:val="sr-Latn-ME" w:eastAsia="sl-SI"/>
              </w:rPr>
              <w:noBreakHyphen/>
              <w:t>94,0)</w:t>
            </w:r>
          </w:p>
        </w:tc>
      </w:tr>
      <w:tr w:rsidR="008F7DDB" w:rsidRPr="00291333" w14:paraId="008D4CBD" w14:textId="77777777" w:rsidTr="0040712C">
        <w:tc>
          <w:tcPr>
            <w:tcW w:w="3099" w:type="dxa"/>
            <w:tcBorders>
              <w:top w:val="nil"/>
              <w:left w:val="nil"/>
              <w:bottom w:val="nil"/>
              <w:right w:val="nil"/>
            </w:tcBorders>
            <w:hideMark/>
          </w:tcPr>
          <w:p w14:paraId="3780DFD0"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36</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6616F538"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60,1 (52,5</w:t>
            </w:r>
            <w:r w:rsidRPr="00291333">
              <w:rPr>
                <w:rFonts w:eastAsia="MS Mincho"/>
                <w:lang w:val="sr-Latn-ME" w:eastAsia="sl-SI"/>
              </w:rPr>
              <w:noBreakHyphen/>
              <w:t>66,9)</w:t>
            </w:r>
          </w:p>
        </w:tc>
        <w:tc>
          <w:tcPr>
            <w:tcW w:w="3100" w:type="dxa"/>
            <w:tcBorders>
              <w:top w:val="nil"/>
              <w:left w:val="nil"/>
              <w:bottom w:val="nil"/>
              <w:right w:val="nil"/>
            </w:tcBorders>
            <w:hideMark/>
          </w:tcPr>
          <w:p w14:paraId="19CA4A33"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86,6 (80,8</w:t>
            </w:r>
            <w:r w:rsidRPr="00291333">
              <w:rPr>
                <w:rFonts w:eastAsia="MS Mincho"/>
                <w:lang w:val="sr-Latn-ME" w:eastAsia="sl-SI"/>
              </w:rPr>
              <w:noBreakHyphen/>
              <w:t>90,8)</w:t>
            </w:r>
          </w:p>
        </w:tc>
      </w:tr>
      <w:tr w:rsidR="008F7DDB" w:rsidRPr="00291333" w14:paraId="39612EFA" w14:textId="77777777" w:rsidTr="0040712C">
        <w:tc>
          <w:tcPr>
            <w:tcW w:w="3099" w:type="dxa"/>
            <w:tcBorders>
              <w:top w:val="nil"/>
              <w:left w:val="nil"/>
              <w:bottom w:val="nil"/>
              <w:right w:val="nil"/>
            </w:tcBorders>
            <w:hideMark/>
          </w:tcPr>
          <w:p w14:paraId="47C5A9B4"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48</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050C3D54"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52,3 (44,0</w:t>
            </w:r>
            <w:r w:rsidRPr="00291333">
              <w:rPr>
                <w:rFonts w:eastAsia="MS Mincho"/>
                <w:lang w:val="sr-Latn-ME" w:eastAsia="sl-SI"/>
              </w:rPr>
              <w:noBreakHyphen/>
              <w:t>59,8)</w:t>
            </w:r>
          </w:p>
        </w:tc>
        <w:tc>
          <w:tcPr>
            <w:tcW w:w="3100" w:type="dxa"/>
            <w:tcBorders>
              <w:top w:val="nil"/>
              <w:left w:val="nil"/>
              <w:bottom w:val="nil"/>
              <w:right w:val="nil"/>
            </w:tcBorders>
            <w:hideMark/>
          </w:tcPr>
          <w:p w14:paraId="419983C7"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78,3 (70,8</w:t>
            </w:r>
            <w:r w:rsidRPr="00291333">
              <w:rPr>
                <w:rFonts w:eastAsia="MS Mincho"/>
                <w:lang w:val="sr-Latn-ME" w:eastAsia="sl-SI"/>
              </w:rPr>
              <w:noBreakHyphen/>
              <w:t>84,1)</w:t>
            </w:r>
          </w:p>
        </w:tc>
      </w:tr>
      <w:tr w:rsidR="008F7DDB" w:rsidRPr="00291333" w14:paraId="48FC7D32" w14:textId="77777777" w:rsidTr="0040712C">
        <w:tc>
          <w:tcPr>
            <w:tcW w:w="3099" w:type="dxa"/>
            <w:tcBorders>
              <w:top w:val="nil"/>
              <w:left w:val="nil"/>
              <w:bottom w:val="nil"/>
              <w:right w:val="nil"/>
            </w:tcBorders>
            <w:hideMark/>
          </w:tcPr>
          <w:p w14:paraId="605403CF"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60</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122317FC"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47,9 (39,0</w:t>
            </w:r>
            <w:r w:rsidRPr="00291333">
              <w:rPr>
                <w:rFonts w:eastAsia="MS Mincho"/>
                <w:lang w:val="sr-Latn-ME" w:eastAsia="sl-SI"/>
              </w:rPr>
              <w:noBreakHyphen/>
              <w:t>56,3)</w:t>
            </w:r>
          </w:p>
        </w:tc>
        <w:tc>
          <w:tcPr>
            <w:tcW w:w="3100" w:type="dxa"/>
            <w:tcBorders>
              <w:top w:val="nil"/>
              <w:left w:val="nil"/>
              <w:bottom w:val="nil"/>
              <w:right w:val="nil"/>
            </w:tcBorders>
            <w:hideMark/>
          </w:tcPr>
          <w:p w14:paraId="675BD4B8"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65,6 (56,1</w:t>
            </w:r>
            <w:r w:rsidRPr="00291333">
              <w:rPr>
                <w:rFonts w:eastAsia="MS Mincho"/>
                <w:lang w:val="sr-Latn-ME" w:eastAsia="sl-SI"/>
              </w:rPr>
              <w:noBreakHyphen/>
              <w:t>73,4)</w:t>
            </w:r>
          </w:p>
        </w:tc>
      </w:tr>
      <w:tr w:rsidR="008F7DDB" w:rsidRPr="00291333" w14:paraId="700F3543" w14:textId="77777777" w:rsidTr="0040712C">
        <w:tc>
          <w:tcPr>
            <w:tcW w:w="3099" w:type="dxa"/>
            <w:tcBorders>
              <w:top w:val="nil"/>
              <w:left w:val="nil"/>
              <w:bottom w:val="nil"/>
              <w:right w:val="nil"/>
            </w:tcBorders>
            <w:hideMark/>
          </w:tcPr>
          <w:p w14:paraId="195BC5A7" w14:textId="77777777" w:rsidR="008F7DDB" w:rsidRPr="00291333" w:rsidRDefault="008F7DDB" w:rsidP="0040712C">
            <w:pPr>
              <w:keepLines/>
              <w:tabs>
                <w:tab w:val="left" w:pos="284"/>
              </w:tabs>
              <w:spacing w:line="240" w:lineRule="auto"/>
              <w:rPr>
                <w:rFonts w:eastAsia="MS Mincho"/>
                <w:b/>
                <w:lang w:val="sr-Latn-ME" w:eastAsia="sl-SI"/>
              </w:rPr>
            </w:pPr>
            <w:r w:rsidRPr="00291333">
              <w:rPr>
                <w:rFonts w:eastAsia="MS Mincho"/>
                <w:b/>
                <w:lang w:val="sr-Latn-ME" w:eastAsia="sl-SI"/>
              </w:rPr>
              <w:t>Preživljavanje</w:t>
            </w:r>
          </w:p>
        </w:tc>
        <w:tc>
          <w:tcPr>
            <w:tcW w:w="3100" w:type="dxa"/>
            <w:tcBorders>
              <w:top w:val="nil"/>
              <w:left w:val="nil"/>
              <w:bottom w:val="nil"/>
              <w:right w:val="nil"/>
            </w:tcBorders>
          </w:tcPr>
          <w:p w14:paraId="70BA4D04" w14:textId="77777777" w:rsidR="008F7DDB" w:rsidRPr="00291333" w:rsidRDefault="008F7DDB" w:rsidP="0040712C">
            <w:pPr>
              <w:keepLines/>
              <w:tabs>
                <w:tab w:val="left" w:pos="284"/>
              </w:tabs>
              <w:spacing w:line="240" w:lineRule="auto"/>
              <w:rPr>
                <w:rFonts w:eastAsia="MS Mincho"/>
                <w:lang w:val="sr-Latn-ME" w:eastAsia="sl-SI"/>
              </w:rPr>
            </w:pPr>
          </w:p>
        </w:tc>
        <w:tc>
          <w:tcPr>
            <w:tcW w:w="3100" w:type="dxa"/>
            <w:tcBorders>
              <w:top w:val="nil"/>
              <w:left w:val="nil"/>
              <w:bottom w:val="nil"/>
              <w:right w:val="nil"/>
            </w:tcBorders>
          </w:tcPr>
          <w:p w14:paraId="362978E2" w14:textId="77777777" w:rsidR="008F7DDB" w:rsidRPr="00291333" w:rsidRDefault="008F7DDB" w:rsidP="0040712C">
            <w:pPr>
              <w:keepLines/>
              <w:tabs>
                <w:tab w:val="left" w:pos="284"/>
              </w:tabs>
              <w:spacing w:line="240" w:lineRule="auto"/>
              <w:rPr>
                <w:rFonts w:eastAsia="MS Mincho"/>
                <w:lang w:val="sr-Latn-ME" w:eastAsia="sl-SI"/>
              </w:rPr>
            </w:pPr>
          </w:p>
        </w:tc>
      </w:tr>
      <w:tr w:rsidR="008F7DDB" w:rsidRPr="00291333" w14:paraId="797FDDDE" w14:textId="77777777" w:rsidTr="0040712C">
        <w:tc>
          <w:tcPr>
            <w:tcW w:w="3099" w:type="dxa"/>
            <w:tcBorders>
              <w:top w:val="nil"/>
              <w:left w:val="nil"/>
              <w:bottom w:val="nil"/>
              <w:right w:val="nil"/>
            </w:tcBorders>
            <w:hideMark/>
          </w:tcPr>
          <w:p w14:paraId="127B5044"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36</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1FC2FD2C"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94,0 (89,5</w:t>
            </w:r>
            <w:r w:rsidRPr="00291333">
              <w:rPr>
                <w:rFonts w:eastAsia="MS Mincho"/>
                <w:lang w:val="sr-Latn-ME" w:eastAsia="sl-SI"/>
              </w:rPr>
              <w:noBreakHyphen/>
              <w:t>96,7)</w:t>
            </w:r>
          </w:p>
        </w:tc>
        <w:tc>
          <w:tcPr>
            <w:tcW w:w="3100" w:type="dxa"/>
            <w:tcBorders>
              <w:top w:val="nil"/>
              <w:left w:val="nil"/>
              <w:bottom w:val="nil"/>
              <w:right w:val="nil"/>
            </w:tcBorders>
            <w:hideMark/>
          </w:tcPr>
          <w:p w14:paraId="16774ADE"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96,3 (92,4</w:t>
            </w:r>
            <w:r w:rsidRPr="00291333">
              <w:rPr>
                <w:rFonts w:eastAsia="MS Mincho"/>
                <w:lang w:val="sr-Latn-ME" w:eastAsia="sl-SI"/>
              </w:rPr>
              <w:noBreakHyphen/>
              <w:t>98,2)</w:t>
            </w:r>
          </w:p>
        </w:tc>
      </w:tr>
      <w:tr w:rsidR="008F7DDB" w:rsidRPr="00291333" w14:paraId="61E25345" w14:textId="77777777" w:rsidTr="0040712C">
        <w:tc>
          <w:tcPr>
            <w:tcW w:w="3099" w:type="dxa"/>
            <w:tcBorders>
              <w:top w:val="nil"/>
              <w:left w:val="nil"/>
              <w:bottom w:val="nil"/>
              <w:right w:val="nil"/>
            </w:tcBorders>
            <w:hideMark/>
          </w:tcPr>
          <w:p w14:paraId="396F88D5"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48</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nil"/>
              <w:right w:val="nil"/>
            </w:tcBorders>
            <w:hideMark/>
          </w:tcPr>
          <w:p w14:paraId="06E11E89"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87,9 (81,1</w:t>
            </w:r>
            <w:r w:rsidRPr="00291333">
              <w:rPr>
                <w:rFonts w:eastAsia="MS Mincho"/>
                <w:lang w:val="sr-Latn-ME" w:eastAsia="sl-SI"/>
              </w:rPr>
              <w:noBreakHyphen/>
              <w:t>92,3)</w:t>
            </w:r>
          </w:p>
        </w:tc>
        <w:tc>
          <w:tcPr>
            <w:tcW w:w="3100" w:type="dxa"/>
            <w:tcBorders>
              <w:top w:val="nil"/>
              <w:left w:val="nil"/>
              <w:bottom w:val="nil"/>
              <w:right w:val="nil"/>
            </w:tcBorders>
            <w:hideMark/>
          </w:tcPr>
          <w:p w14:paraId="055D285E"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95,6 (91,2</w:t>
            </w:r>
            <w:r w:rsidRPr="00291333">
              <w:rPr>
                <w:rFonts w:eastAsia="MS Mincho"/>
                <w:lang w:val="sr-Latn-ME" w:eastAsia="sl-SI"/>
              </w:rPr>
              <w:noBreakHyphen/>
              <w:t>97,8)</w:t>
            </w:r>
          </w:p>
        </w:tc>
      </w:tr>
      <w:tr w:rsidR="008F7DDB" w:rsidRPr="00291333" w14:paraId="2EC2D471" w14:textId="77777777" w:rsidTr="0040712C">
        <w:tc>
          <w:tcPr>
            <w:tcW w:w="3099" w:type="dxa"/>
            <w:tcBorders>
              <w:top w:val="nil"/>
              <w:left w:val="nil"/>
              <w:bottom w:val="single" w:sz="4" w:space="0" w:color="auto"/>
              <w:right w:val="nil"/>
            </w:tcBorders>
            <w:hideMark/>
          </w:tcPr>
          <w:p w14:paraId="42A175F4" w14:textId="77777777" w:rsidR="008F7DDB" w:rsidRPr="00291333" w:rsidRDefault="008F7DDB" w:rsidP="0040712C">
            <w:pPr>
              <w:keepLines/>
              <w:spacing w:line="240" w:lineRule="auto"/>
              <w:rPr>
                <w:rFonts w:eastAsia="MS Mincho"/>
                <w:lang w:val="sr-Latn-ME" w:eastAsia="sl-SI"/>
              </w:rPr>
            </w:pPr>
            <w:r w:rsidRPr="00291333">
              <w:rPr>
                <w:rFonts w:eastAsia="MS Mincho"/>
                <w:lang w:val="sr-Latn-ME" w:eastAsia="sl-SI"/>
              </w:rPr>
              <w:t>60</w:t>
            </w:r>
            <w:r w:rsidRPr="00291333">
              <w:rPr>
                <w:rFonts w:eastAsia="MS Mincho"/>
                <w:lang w:val="sr-Latn-ME" w:eastAsia="ja-JP"/>
              </w:rPr>
              <w:t> </w:t>
            </w:r>
            <w:r w:rsidRPr="00291333">
              <w:rPr>
                <w:rFonts w:eastAsia="MS Mincho"/>
                <w:lang w:val="sr-Latn-ME" w:eastAsia="sl-SI"/>
              </w:rPr>
              <w:t>mjeseci</w:t>
            </w:r>
          </w:p>
        </w:tc>
        <w:tc>
          <w:tcPr>
            <w:tcW w:w="3100" w:type="dxa"/>
            <w:tcBorders>
              <w:top w:val="nil"/>
              <w:left w:val="nil"/>
              <w:bottom w:val="single" w:sz="4" w:space="0" w:color="auto"/>
              <w:right w:val="nil"/>
            </w:tcBorders>
            <w:hideMark/>
          </w:tcPr>
          <w:p w14:paraId="4736DD18"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81,7 (73,0</w:t>
            </w:r>
            <w:r w:rsidRPr="00291333">
              <w:rPr>
                <w:rFonts w:eastAsia="MS Mincho"/>
                <w:lang w:val="sr-Latn-ME" w:eastAsia="sl-SI"/>
              </w:rPr>
              <w:noBreakHyphen/>
              <w:t>87,8)</w:t>
            </w:r>
          </w:p>
        </w:tc>
        <w:tc>
          <w:tcPr>
            <w:tcW w:w="3100" w:type="dxa"/>
            <w:tcBorders>
              <w:top w:val="nil"/>
              <w:left w:val="nil"/>
              <w:bottom w:val="single" w:sz="4" w:space="0" w:color="auto"/>
              <w:right w:val="nil"/>
            </w:tcBorders>
            <w:hideMark/>
          </w:tcPr>
          <w:p w14:paraId="1ECCB830" w14:textId="77777777" w:rsidR="008F7DDB" w:rsidRPr="00291333" w:rsidRDefault="008F7DDB" w:rsidP="0040712C">
            <w:pPr>
              <w:keepLines/>
              <w:tabs>
                <w:tab w:val="left" w:pos="284"/>
              </w:tabs>
              <w:spacing w:line="240" w:lineRule="auto"/>
              <w:rPr>
                <w:rFonts w:eastAsia="MS Mincho"/>
                <w:lang w:val="sr-Latn-ME" w:eastAsia="sl-SI"/>
              </w:rPr>
            </w:pPr>
            <w:r w:rsidRPr="00291333">
              <w:rPr>
                <w:rFonts w:eastAsia="MS Mincho"/>
                <w:lang w:val="sr-Latn-ME" w:eastAsia="sl-SI"/>
              </w:rPr>
              <w:t>92,0 (85,3</w:t>
            </w:r>
            <w:r w:rsidRPr="00291333">
              <w:rPr>
                <w:rFonts w:eastAsia="MS Mincho"/>
                <w:lang w:val="sr-Latn-ME" w:eastAsia="sl-SI"/>
              </w:rPr>
              <w:noBreakHyphen/>
              <w:t>95,7)</w:t>
            </w:r>
          </w:p>
        </w:tc>
      </w:tr>
    </w:tbl>
    <w:p w14:paraId="035CC613" w14:textId="77777777" w:rsidR="008F7DDB" w:rsidRPr="00291333" w:rsidRDefault="008F7DDB" w:rsidP="008F7DDB">
      <w:pPr>
        <w:spacing w:line="240" w:lineRule="auto"/>
        <w:rPr>
          <w:rFonts w:eastAsia="MS Mincho"/>
          <w:lang w:val="sr-Latn-ME" w:eastAsia="sl-SI"/>
        </w:rPr>
      </w:pPr>
    </w:p>
    <w:p w14:paraId="19278445" w14:textId="77777777" w:rsidR="008F7DDB" w:rsidRPr="00291333" w:rsidRDefault="008F7DDB" w:rsidP="008F7DDB">
      <w:pPr>
        <w:spacing w:line="240" w:lineRule="auto"/>
        <w:rPr>
          <w:rFonts w:eastAsia="MS Mincho"/>
          <w:lang w:val="sr-Latn-ME" w:eastAsia="sl-SI"/>
        </w:rPr>
      </w:pPr>
    </w:p>
    <w:p w14:paraId="1C0A1BD7" w14:textId="77777777" w:rsidR="008F7DDB" w:rsidRPr="00291333" w:rsidRDefault="00A63101" w:rsidP="008F7DDB">
      <w:pPr>
        <w:keepNext/>
        <w:tabs>
          <w:tab w:val="left" w:pos="1134"/>
        </w:tabs>
        <w:spacing w:line="240" w:lineRule="auto"/>
        <w:jc w:val="both"/>
        <w:outlineLvl w:val="6"/>
        <w:rPr>
          <w:rFonts w:eastAsia="MS Mincho"/>
          <w:b/>
          <w:lang w:val="sr-Latn-ME" w:eastAsia="sl-SI"/>
        </w:rPr>
      </w:pPr>
      <w:r>
        <w:rPr>
          <w:noProof/>
          <w:lang w:val="en-US"/>
        </w:rPr>
        <mc:AlternateContent>
          <mc:Choice Requires="wps">
            <w:drawing>
              <wp:anchor distT="0" distB="0" distL="114300" distR="114300" simplePos="0" relativeHeight="251655168" behindDoc="0" locked="0" layoutInCell="1" allowOverlap="1" wp14:anchorId="2AF5E006" wp14:editId="35A02005">
                <wp:simplePos x="0" y="0"/>
                <wp:positionH relativeFrom="column">
                  <wp:posOffset>-198120</wp:posOffset>
                </wp:positionH>
                <wp:positionV relativeFrom="paragraph">
                  <wp:posOffset>250825</wp:posOffset>
                </wp:positionV>
                <wp:extent cx="335915" cy="28790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79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7AAA" w14:textId="77777777" w:rsidR="00A76118" w:rsidRDefault="00A76118" w:rsidP="008F7DDB">
                            <w:pPr>
                              <w:rPr>
                                <w:rFonts w:ascii="Arial" w:hAnsi="Arial" w:cs="Arial"/>
                                <w:sz w:val="20"/>
                              </w:rPr>
                            </w:pPr>
                            <w:r>
                              <w:rPr>
                                <w:rFonts w:ascii="Arial" w:hAnsi="Arial" w:cs="Arial"/>
                                <w:sz w:val="20"/>
                              </w:rPr>
                              <w:t>Vjerovatnića preživljavanja bez recidiva bolesti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5E006" id="_x0000_t202" coordsize="21600,21600" o:spt="202" path="m,l,21600r21600,l21600,xe">
                <v:stroke joinstyle="miter"/>
                <v:path gradientshapeok="t" o:connecttype="rect"/>
              </v:shapetype>
              <v:shape id="Text Box 17" o:spid="_x0000_s1026" type="#_x0000_t202" style="position:absolute;left:0;text-align:left;margin-left:-15.6pt;margin-top:19.75pt;width:26.45pt;height:2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" stroked="f">
                <v:fill opacity="0"/>
                <v:textbox style="layout-flow:vertical;mso-layout-flow-alt:bottom-to-top">
                  <w:txbxContent>
                    <w:p w14:paraId="6BE17AAA" w14:textId="77777777" w:rsidR="00A76118" w:rsidRDefault="00A76118" w:rsidP="008F7DDB">
                      <w:pPr>
                        <w:rPr>
                          <w:rFonts w:ascii="Arial" w:hAnsi="Arial" w:cs="Arial"/>
                          <w:sz w:val="20"/>
                        </w:rPr>
                      </w:pPr>
                      <w:r>
                        <w:rPr>
                          <w:rFonts w:ascii="Arial" w:hAnsi="Arial" w:cs="Arial"/>
                          <w:sz w:val="20"/>
                        </w:rPr>
                        <w:t>Vjerovatnića preživljavanja bez recidiva bolesti %</w:t>
                      </w:r>
                    </w:p>
                  </w:txbxContent>
                </v:textbox>
              </v:shape>
            </w:pict>
          </mc:Fallback>
        </mc:AlternateContent>
      </w:r>
      <w:r w:rsidR="008F7DDB" w:rsidRPr="00291333">
        <w:rPr>
          <w:rFonts w:eastAsia="MS Mincho"/>
          <w:b/>
          <w:lang w:val="sr-Latn-ME" w:eastAsia="sl-SI"/>
        </w:rPr>
        <w:t>Slika 1</w:t>
      </w:r>
      <w:r w:rsidR="008F7DDB" w:rsidRPr="00291333">
        <w:rPr>
          <w:rFonts w:eastAsia="MS Mincho"/>
          <w:b/>
          <w:lang w:val="sr-Latn-ME" w:eastAsia="sl-SI"/>
        </w:rPr>
        <w:tab/>
        <w:t xml:space="preserve">Kaplan-Meierova procjena </w:t>
      </w:r>
      <w:r w:rsidR="008F7DDB" w:rsidRPr="00291333">
        <w:rPr>
          <w:b/>
          <w:lang w:val="sr-Latn-ME" w:eastAsia="sl-SI"/>
        </w:rPr>
        <w:t>preživljavanja bez recidiva bolesti kao</w:t>
      </w:r>
      <w:r w:rsidR="008F7DDB" w:rsidRPr="00291333">
        <w:rPr>
          <w:rFonts w:eastAsia="MS Mincho"/>
          <w:b/>
          <w:lang w:val="sr-Latn-ME" w:eastAsia="sl-SI"/>
        </w:rPr>
        <w:t xml:space="preserve"> primarnog ishoda (ITT populacija)</w:t>
      </w:r>
    </w:p>
    <w:p w14:paraId="4ADAD99A" w14:textId="77777777" w:rsidR="008F7DDB" w:rsidRPr="00291333" w:rsidRDefault="008F7DDB" w:rsidP="008F7DDB">
      <w:pPr>
        <w:keepNext/>
        <w:tabs>
          <w:tab w:val="left" w:pos="1134"/>
        </w:tabs>
        <w:spacing w:line="240" w:lineRule="auto"/>
        <w:outlineLvl w:val="6"/>
        <w:rPr>
          <w:rFonts w:eastAsia="MS Mincho"/>
          <w:lang w:val="sr-Latn-ME" w:eastAsia="sl-SI"/>
        </w:rPr>
      </w:pPr>
      <w:bookmarkStart w:id="1" w:name="Tab"/>
      <w:bookmarkEnd w:id="1"/>
    </w:p>
    <w:p w14:paraId="48DAC242" w14:textId="77777777" w:rsidR="008F7DDB" w:rsidRPr="00291333" w:rsidRDefault="00A63101" w:rsidP="008F7DDB">
      <w:pPr>
        <w:widowControl w:val="0"/>
        <w:tabs>
          <w:tab w:val="left" w:pos="1134"/>
        </w:tabs>
        <w:spacing w:line="240" w:lineRule="auto"/>
        <w:outlineLvl w:val="6"/>
        <w:rPr>
          <w:rFonts w:eastAsia="MS Mincho"/>
          <w:lang w:val="sr-Latn-ME" w:eastAsia="sl-SI"/>
        </w:rPr>
      </w:pPr>
      <w:r>
        <w:rPr>
          <w:noProof/>
          <w:lang w:val="en-US"/>
        </w:rPr>
        <mc:AlternateContent>
          <mc:Choice Requires="wps">
            <w:drawing>
              <wp:anchor distT="0" distB="0" distL="114300" distR="114300" simplePos="0" relativeHeight="251656192" behindDoc="0" locked="0" layoutInCell="1" allowOverlap="1" wp14:anchorId="5AF9317D" wp14:editId="24EC61CD">
                <wp:simplePos x="0" y="0"/>
                <wp:positionH relativeFrom="column">
                  <wp:posOffset>350520</wp:posOffset>
                </wp:positionH>
                <wp:positionV relativeFrom="paragraph">
                  <wp:posOffset>970915</wp:posOffset>
                </wp:positionV>
                <wp:extent cx="4585335" cy="14662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EB87" w14:textId="77777777" w:rsidR="00A76118" w:rsidRDefault="00A76118" w:rsidP="008F7DDB">
                            <w:pPr>
                              <w:rPr>
                                <w:rFonts w:ascii="Arial" w:hAnsi="Arial" w:cs="Arial"/>
                                <w:sz w:val="20"/>
                              </w:rPr>
                            </w:pPr>
                          </w:p>
                          <w:tbl>
                            <w:tblPr>
                              <w:tblW w:w="0" w:type="auto"/>
                              <w:tblLook w:val="04A0" w:firstRow="1" w:lastRow="0" w:firstColumn="1" w:lastColumn="0" w:noHBand="0" w:noVBand="1"/>
                            </w:tblPr>
                            <w:tblGrid>
                              <w:gridCol w:w="817"/>
                              <w:gridCol w:w="2464"/>
                              <w:gridCol w:w="851"/>
                              <w:gridCol w:w="962"/>
                              <w:gridCol w:w="917"/>
                            </w:tblGrid>
                            <w:tr w:rsidR="00A76118" w14:paraId="6982813E" w14:textId="77777777">
                              <w:trPr>
                                <w:gridAfter w:val="3"/>
                                <w:wAfter w:w="2410" w:type="dxa"/>
                              </w:trPr>
                              <w:tc>
                                <w:tcPr>
                                  <w:tcW w:w="3281" w:type="dxa"/>
                                  <w:gridSpan w:val="2"/>
                                  <w:hideMark/>
                                </w:tcPr>
                                <w:p w14:paraId="49D974B5" w14:textId="77777777" w:rsidR="00A76118" w:rsidRDefault="00A76118">
                                  <w:pPr>
                                    <w:rPr>
                                      <w:rFonts w:ascii="Arial" w:hAnsi="Arial" w:cs="Arial"/>
                                      <w:sz w:val="20"/>
                                    </w:rPr>
                                  </w:pPr>
                                  <w:r>
                                    <w:rPr>
                                      <w:rFonts w:ascii="Arial" w:hAnsi="Arial" w:cs="Arial"/>
                                      <w:sz w:val="20"/>
                                    </w:rPr>
                                    <w:t>P &lt; 0,0001</w:t>
                                  </w:r>
                                </w:p>
                                <w:p w14:paraId="365F155A" w14:textId="77777777" w:rsidR="00A76118" w:rsidRDefault="00A76118">
                                  <w:pPr>
                                    <w:rPr>
                                      <w:rFonts w:ascii="Arial" w:hAnsi="Arial" w:cs="Arial"/>
                                      <w:sz w:val="20"/>
                                    </w:rPr>
                                  </w:pPr>
                                  <w:r>
                                    <w:rPr>
                                      <w:rFonts w:ascii="Arial" w:hAnsi="Arial" w:cs="Arial"/>
                                      <w:sz w:val="20"/>
                                    </w:rPr>
                                    <w:t>Hazardni odnos 0,46</w:t>
                                  </w:r>
                                </w:p>
                                <w:p w14:paraId="78C2F01D" w14:textId="77777777" w:rsidR="00A76118" w:rsidRDefault="00A76118">
                                  <w:pPr>
                                    <w:rPr>
                                      <w:rFonts w:ascii="Arial" w:hAnsi="Arial" w:cs="Arial"/>
                                      <w:sz w:val="20"/>
                                      <w:lang w:val="de-DE"/>
                                    </w:rPr>
                                  </w:pPr>
                                  <w:r>
                                    <w:rPr>
                                      <w:rFonts w:ascii="Arial" w:hAnsi="Arial" w:cs="Arial"/>
                                      <w:sz w:val="20"/>
                                    </w:rPr>
                                    <w:t>(95% Cl, 0,32</w:t>
                                  </w:r>
                                  <w:r>
                                    <w:rPr>
                                      <w:rFonts w:ascii="Arial" w:hAnsi="Arial" w:cs="Arial"/>
                                      <w:sz w:val="20"/>
                                    </w:rPr>
                                    <w:noBreakHyphen/>
                                    <w:t>0,65)</w:t>
                                  </w:r>
                                </w:p>
                              </w:tc>
                            </w:tr>
                            <w:tr w:rsidR="00A76118" w14:paraId="63282629" w14:textId="77777777">
                              <w:tc>
                                <w:tcPr>
                                  <w:tcW w:w="817" w:type="dxa"/>
                                </w:tcPr>
                                <w:p w14:paraId="4EA51957" w14:textId="77777777" w:rsidR="00A76118" w:rsidRDefault="00A76118">
                                  <w:pPr>
                                    <w:rPr>
                                      <w:rFonts w:ascii="Arial" w:hAnsi="Arial" w:cs="Arial"/>
                                      <w:sz w:val="20"/>
                                    </w:rPr>
                                  </w:pPr>
                                </w:p>
                              </w:tc>
                              <w:tc>
                                <w:tcPr>
                                  <w:tcW w:w="2464" w:type="dxa"/>
                                </w:tcPr>
                                <w:p w14:paraId="2EC9F513" w14:textId="77777777" w:rsidR="00A76118" w:rsidRDefault="00A76118">
                                  <w:pPr>
                                    <w:rPr>
                                      <w:rFonts w:ascii="Arial" w:hAnsi="Arial" w:cs="Arial"/>
                                      <w:sz w:val="20"/>
                                    </w:rPr>
                                  </w:pPr>
                                </w:p>
                              </w:tc>
                              <w:tc>
                                <w:tcPr>
                                  <w:tcW w:w="851" w:type="dxa"/>
                                  <w:tcBorders>
                                    <w:top w:val="nil"/>
                                    <w:left w:val="nil"/>
                                    <w:bottom w:val="single" w:sz="4" w:space="0" w:color="auto"/>
                                    <w:right w:val="nil"/>
                                  </w:tcBorders>
                                  <w:hideMark/>
                                </w:tcPr>
                                <w:p w14:paraId="14CBA4E9" w14:textId="77777777" w:rsidR="00A76118" w:rsidRDefault="00A76118">
                                  <w:pPr>
                                    <w:rPr>
                                      <w:rFonts w:ascii="Arial" w:hAnsi="Arial" w:cs="Arial"/>
                                      <w:sz w:val="20"/>
                                    </w:rPr>
                                  </w:pPr>
                                  <w:r>
                                    <w:rPr>
                                      <w:rFonts w:ascii="Arial" w:hAnsi="Arial" w:cs="Arial"/>
                                      <w:sz w:val="20"/>
                                      <w:lang w:val="de-DE"/>
                                    </w:rPr>
                                    <w:t>N</w:t>
                                  </w:r>
                                </w:p>
                              </w:tc>
                              <w:tc>
                                <w:tcPr>
                                  <w:tcW w:w="709" w:type="dxa"/>
                                  <w:tcBorders>
                                    <w:top w:val="nil"/>
                                    <w:left w:val="nil"/>
                                    <w:bottom w:val="single" w:sz="4" w:space="0" w:color="auto"/>
                                    <w:right w:val="nil"/>
                                  </w:tcBorders>
                                  <w:hideMark/>
                                </w:tcPr>
                                <w:p w14:paraId="63822B4D" w14:textId="77777777" w:rsidR="00A76118" w:rsidRDefault="00A76118">
                                  <w:pPr>
                                    <w:rPr>
                                      <w:rFonts w:ascii="Arial" w:hAnsi="Arial" w:cs="Arial"/>
                                      <w:sz w:val="20"/>
                                    </w:rPr>
                                  </w:pPr>
                                  <w:r>
                                    <w:rPr>
                                      <w:rFonts w:ascii="Arial" w:hAnsi="Arial" w:cs="Arial"/>
                                      <w:sz w:val="20"/>
                                      <w:lang w:val="de-DE"/>
                                    </w:rPr>
                                    <w:t>Događaj</w:t>
                                  </w:r>
                                </w:p>
                              </w:tc>
                              <w:tc>
                                <w:tcPr>
                                  <w:tcW w:w="850" w:type="dxa"/>
                                  <w:tcBorders>
                                    <w:top w:val="nil"/>
                                    <w:left w:val="nil"/>
                                    <w:bottom w:val="single" w:sz="4" w:space="0" w:color="auto"/>
                                    <w:right w:val="nil"/>
                                  </w:tcBorders>
                                  <w:hideMark/>
                                </w:tcPr>
                                <w:p w14:paraId="13C40CB5" w14:textId="77777777" w:rsidR="00A76118" w:rsidRDefault="00A76118">
                                  <w:pPr>
                                    <w:rPr>
                                      <w:rFonts w:ascii="Arial" w:hAnsi="Arial" w:cs="Arial"/>
                                      <w:sz w:val="20"/>
                                    </w:rPr>
                                  </w:pPr>
                                  <w:r>
                                    <w:rPr>
                                      <w:rFonts w:ascii="Arial" w:hAnsi="Arial" w:cs="Arial"/>
                                      <w:sz w:val="20"/>
                                      <w:lang w:val="de-DE"/>
                                    </w:rPr>
                                    <w:t>Cenzor.</w:t>
                                  </w:r>
                                </w:p>
                              </w:tc>
                            </w:tr>
                            <w:tr w:rsidR="00A76118" w14:paraId="61F7C251" w14:textId="77777777">
                              <w:tc>
                                <w:tcPr>
                                  <w:tcW w:w="817" w:type="dxa"/>
                                  <w:hideMark/>
                                </w:tcPr>
                                <w:p w14:paraId="164CEBC2" w14:textId="77777777" w:rsidR="00A76118" w:rsidRDefault="00A76118">
                                  <w:pPr>
                                    <w:rPr>
                                      <w:rFonts w:ascii="Arial" w:hAnsi="Arial" w:cs="Arial"/>
                                      <w:sz w:val="20"/>
                                    </w:rPr>
                                  </w:pPr>
                                  <w:r>
                                    <w:rPr>
                                      <w:rFonts w:ascii="Arial" w:hAnsi="Arial" w:cs="Arial"/>
                                      <w:b/>
                                      <w:sz w:val="20"/>
                                    </w:rPr>
                                    <w:t>——</w:t>
                                  </w:r>
                                </w:p>
                              </w:tc>
                              <w:tc>
                                <w:tcPr>
                                  <w:tcW w:w="2464" w:type="dxa"/>
                                  <w:hideMark/>
                                </w:tcPr>
                                <w:p w14:paraId="1FFD246E" w14:textId="77777777" w:rsidR="00A76118" w:rsidRDefault="00A76118">
                                  <w:pPr>
                                    <w:rPr>
                                      <w:rFonts w:ascii="Arial" w:hAnsi="Arial" w:cs="Arial"/>
                                      <w:sz w:val="20"/>
                                    </w:rPr>
                                  </w:pPr>
                                  <w:r>
                                    <w:rPr>
                                      <w:rFonts w:ascii="Arial" w:hAnsi="Arial" w:cs="Arial"/>
                                      <w:sz w:val="20"/>
                                    </w:rPr>
                                    <w:t>(1) Imatinib 12 mj.:</w:t>
                                  </w:r>
                                </w:p>
                              </w:tc>
                              <w:tc>
                                <w:tcPr>
                                  <w:tcW w:w="851" w:type="dxa"/>
                                  <w:tcBorders>
                                    <w:top w:val="single" w:sz="4" w:space="0" w:color="auto"/>
                                    <w:left w:val="nil"/>
                                    <w:bottom w:val="nil"/>
                                    <w:right w:val="nil"/>
                                  </w:tcBorders>
                                  <w:hideMark/>
                                </w:tcPr>
                                <w:p w14:paraId="4D6B5738" w14:textId="77777777" w:rsidR="00A76118" w:rsidRDefault="00A76118">
                                  <w:pPr>
                                    <w:rPr>
                                      <w:rFonts w:ascii="Arial" w:hAnsi="Arial" w:cs="Arial"/>
                                      <w:sz w:val="20"/>
                                    </w:rPr>
                                  </w:pPr>
                                  <w:r>
                                    <w:rPr>
                                      <w:rFonts w:ascii="Arial" w:hAnsi="Arial" w:cs="Arial"/>
                                      <w:sz w:val="20"/>
                                    </w:rPr>
                                    <w:t>199</w:t>
                                  </w:r>
                                </w:p>
                              </w:tc>
                              <w:tc>
                                <w:tcPr>
                                  <w:tcW w:w="709" w:type="dxa"/>
                                  <w:tcBorders>
                                    <w:top w:val="single" w:sz="4" w:space="0" w:color="auto"/>
                                    <w:left w:val="nil"/>
                                    <w:bottom w:val="nil"/>
                                    <w:right w:val="nil"/>
                                  </w:tcBorders>
                                  <w:hideMark/>
                                </w:tcPr>
                                <w:p w14:paraId="29FDCF38" w14:textId="77777777" w:rsidR="00A76118" w:rsidRDefault="00A76118">
                                  <w:pPr>
                                    <w:rPr>
                                      <w:rFonts w:ascii="Arial" w:hAnsi="Arial" w:cs="Arial"/>
                                      <w:sz w:val="20"/>
                                    </w:rPr>
                                  </w:pPr>
                                  <w:r>
                                    <w:rPr>
                                      <w:rFonts w:ascii="Arial" w:hAnsi="Arial" w:cs="Arial"/>
                                      <w:sz w:val="20"/>
                                    </w:rPr>
                                    <w:t>84</w:t>
                                  </w:r>
                                </w:p>
                              </w:tc>
                              <w:tc>
                                <w:tcPr>
                                  <w:tcW w:w="850" w:type="dxa"/>
                                  <w:tcBorders>
                                    <w:top w:val="single" w:sz="4" w:space="0" w:color="auto"/>
                                    <w:left w:val="nil"/>
                                    <w:bottom w:val="nil"/>
                                    <w:right w:val="nil"/>
                                  </w:tcBorders>
                                  <w:hideMark/>
                                </w:tcPr>
                                <w:p w14:paraId="090362F3" w14:textId="77777777" w:rsidR="00A76118" w:rsidRDefault="00A76118">
                                  <w:pPr>
                                    <w:rPr>
                                      <w:rFonts w:ascii="Arial" w:hAnsi="Arial" w:cs="Arial"/>
                                      <w:sz w:val="20"/>
                                    </w:rPr>
                                  </w:pPr>
                                  <w:r>
                                    <w:rPr>
                                      <w:rFonts w:ascii="Arial" w:hAnsi="Arial" w:cs="Arial"/>
                                      <w:sz w:val="20"/>
                                    </w:rPr>
                                    <w:t>115</w:t>
                                  </w:r>
                                </w:p>
                              </w:tc>
                            </w:tr>
                            <w:tr w:rsidR="00A76118" w14:paraId="169C4048" w14:textId="77777777">
                              <w:tc>
                                <w:tcPr>
                                  <w:tcW w:w="817" w:type="dxa"/>
                                  <w:hideMark/>
                                </w:tcPr>
                                <w:p w14:paraId="78E6868C" w14:textId="77777777" w:rsidR="00A76118" w:rsidRDefault="00A76118">
                                  <w:pPr>
                                    <w:rPr>
                                      <w:rFonts w:ascii="Arial" w:hAnsi="Arial" w:cs="Arial"/>
                                      <w:sz w:val="20"/>
                                    </w:rPr>
                                  </w:pPr>
                                  <w:r>
                                    <w:rPr>
                                      <w:rFonts w:ascii="Arial" w:hAnsi="Arial" w:cs="Arial"/>
                                      <w:sz w:val="20"/>
                                    </w:rPr>
                                    <w:t>-----</w:t>
                                  </w:r>
                                </w:p>
                              </w:tc>
                              <w:tc>
                                <w:tcPr>
                                  <w:tcW w:w="2464" w:type="dxa"/>
                                  <w:hideMark/>
                                </w:tcPr>
                                <w:p w14:paraId="3EC4A2FE" w14:textId="77777777" w:rsidR="00A76118" w:rsidRDefault="00A76118">
                                  <w:pPr>
                                    <w:rPr>
                                      <w:rFonts w:ascii="Arial" w:hAnsi="Arial" w:cs="Arial"/>
                                      <w:sz w:val="20"/>
                                    </w:rPr>
                                  </w:pPr>
                                  <w:r>
                                    <w:rPr>
                                      <w:rFonts w:ascii="Arial" w:hAnsi="Arial" w:cs="Arial"/>
                                      <w:sz w:val="20"/>
                                    </w:rPr>
                                    <w:t>(2) Imatinib 36 mj.:</w:t>
                                  </w:r>
                                </w:p>
                              </w:tc>
                              <w:tc>
                                <w:tcPr>
                                  <w:tcW w:w="851" w:type="dxa"/>
                                  <w:tcBorders>
                                    <w:top w:val="nil"/>
                                    <w:left w:val="nil"/>
                                    <w:bottom w:val="single" w:sz="4" w:space="0" w:color="auto"/>
                                    <w:right w:val="nil"/>
                                  </w:tcBorders>
                                  <w:hideMark/>
                                </w:tcPr>
                                <w:p w14:paraId="18ADC71D" w14:textId="77777777" w:rsidR="00A76118" w:rsidRDefault="00A76118">
                                  <w:pPr>
                                    <w:rPr>
                                      <w:rFonts w:ascii="Arial" w:hAnsi="Arial" w:cs="Arial"/>
                                      <w:sz w:val="20"/>
                                    </w:rPr>
                                  </w:pPr>
                                  <w:r>
                                    <w:rPr>
                                      <w:rFonts w:ascii="Arial" w:hAnsi="Arial" w:cs="Arial"/>
                                      <w:sz w:val="20"/>
                                    </w:rPr>
                                    <w:t>198</w:t>
                                  </w:r>
                                </w:p>
                              </w:tc>
                              <w:tc>
                                <w:tcPr>
                                  <w:tcW w:w="709" w:type="dxa"/>
                                  <w:tcBorders>
                                    <w:top w:val="nil"/>
                                    <w:left w:val="nil"/>
                                    <w:bottom w:val="single" w:sz="4" w:space="0" w:color="auto"/>
                                    <w:right w:val="nil"/>
                                  </w:tcBorders>
                                  <w:hideMark/>
                                </w:tcPr>
                                <w:p w14:paraId="5DBC5908" w14:textId="77777777" w:rsidR="00A76118" w:rsidRDefault="00A76118">
                                  <w:pPr>
                                    <w:rPr>
                                      <w:rFonts w:ascii="Arial" w:hAnsi="Arial" w:cs="Arial"/>
                                      <w:sz w:val="20"/>
                                    </w:rPr>
                                  </w:pPr>
                                  <w:r>
                                    <w:rPr>
                                      <w:rFonts w:ascii="Arial" w:hAnsi="Arial" w:cs="Arial"/>
                                      <w:sz w:val="20"/>
                                    </w:rPr>
                                    <w:t>50</w:t>
                                  </w:r>
                                </w:p>
                              </w:tc>
                              <w:tc>
                                <w:tcPr>
                                  <w:tcW w:w="850" w:type="dxa"/>
                                  <w:tcBorders>
                                    <w:top w:val="nil"/>
                                    <w:left w:val="nil"/>
                                    <w:bottom w:val="single" w:sz="4" w:space="0" w:color="auto"/>
                                    <w:right w:val="nil"/>
                                  </w:tcBorders>
                                  <w:hideMark/>
                                </w:tcPr>
                                <w:p w14:paraId="1DB07C46" w14:textId="77777777" w:rsidR="00A76118" w:rsidRDefault="00A76118">
                                  <w:pPr>
                                    <w:rPr>
                                      <w:rFonts w:ascii="Arial" w:hAnsi="Arial" w:cs="Arial"/>
                                      <w:sz w:val="20"/>
                                    </w:rPr>
                                  </w:pPr>
                                  <w:r>
                                    <w:rPr>
                                      <w:rFonts w:ascii="Arial" w:hAnsi="Arial" w:cs="Arial"/>
                                      <w:sz w:val="20"/>
                                    </w:rPr>
                                    <w:t>148</w:t>
                                  </w:r>
                                </w:p>
                              </w:tc>
                            </w:tr>
                            <w:tr w:rsidR="00A76118" w14:paraId="79BF41ED" w14:textId="77777777">
                              <w:tc>
                                <w:tcPr>
                                  <w:tcW w:w="817" w:type="dxa"/>
                                  <w:hideMark/>
                                </w:tcPr>
                                <w:p w14:paraId="035ABC23" w14:textId="77777777" w:rsidR="00A76118" w:rsidRDefault="00A76118">
                                  <w:pPr>
                                    <w:rPr>
                                      <w:rFonts w:ascii="Arial" w:hAnsi="Arial" w:cs="Arial"/>
                                      <w:sz w:val="20"/>
                                    </w:rPr>
                                  </w:pPr>
                                  <w:r>
                                    <w:rPr>
                                      <w:rFonts w:ascii="Arial" w:hAnsi="Arial" w:cs="Arial"/>
                                      <w:sz w:val="20"/>
                                    </w:rPr>
                                    <w:t>│││</w:t>
                                  </w:r>
                                </w:p>
                              </w:tc>
                              <w:tc>
                                <w:tcPr>
                                  <w:tcW w:w="2464" w:type="dxa"/>
                                  <w:hideMark/>
                                </w:tcPr>
                                <w:p w14:paraId="4AF0441C" w14:textId="77777777" w:rsidR="00A76118" w:rsidRDefault="00A76118">
                                  <w:pPr>
                                    <w:rPr>
                                      <w:rFonts w:ascii="Arial" w:hAnsi="Arial" w:cs="Arial"/>
                                      <w:sz w:val="20"/>
                                    </w:rPr>
                                  </w:pPr>
                                  <w:r>
                                    <w:rPr>
                                      <w:rFonts w:ascii="Arial" w:hAnsi="Arial" w:cs="Arial"/>
                                      <w:sz w:val="20"/>
                                    </w:rPr>
                                    <w:t>Cenzurisane opservacije</w:t>
                                  </w:r>
                                </w:p>
                              </w:tc>
                              <w:tc>
                                <w:tcPr>
                                  <w:tcW w:w="851" w:type="dxa"/>
                                  <w:tcBorders>
                                    <w:top w:val="single" w:sz="4" w:space="0" w:color="auto"/>
                                    <w:left w:val="nil"/>
                                    <w:bottom w:val="nil"/>
                                    <w:right w:val="nil"/>
                                  </w:tcBorders>
                                </w:tcPr>
                                <w:p w14:paraId="7E71C541" w14:textId="77777777" w:rsidR="00A76118" w:rsidRDefault="00A76118">
                                  <w:pPr>
                                    <w:rPr>
                                      <w:rFonts w:ascii="Arial" w:hAnsi="Arial" w:cs="Arial"/>
                                      <w:sz w:val="20"/>
                                    </w:rPr>
                                  </w:pPr>
                                </w:p>
                              </w:tc>
                              <w:tc>
                                <w:tcPr>
                                  <w:tcW w:w="709" w:type="dxa"/>
                                  <w:tcBorders>
                                    <w:top w:val="single" w:sz="4" w:space="0" w:color="auto"/>
                                    <w:left w:val="nil"/>
                                    <w:bottom w:val="nil"/>
                                    <w:right w:val="nil"/>
                                  </w:tcBorders>
                                </w:tcPr>
                                <w:p w14:paraId="6DA93BB5" w14:textId="77777777" w:rsidR="00A76118" w:rsidRDefault="00A76118">
                                  <w:pPr>
                                    <w:rPr>
                                      <w:rFonts w:ascii="Arial" w:hAnsi="Arial" w:cs="Arial"/>
                                      <w:sz w:val="20"/>
                                    </w:rPr>
                                  </w:pPr>
                                </w:p>
                              </w:tc>
                              <w:tc>
                                <w:tcPr>
                                  <w:tcW w:w="850" w:type="dxa"/>
                                  <w:tcBorders>
                                    <w:top w:val="single" w:sz="4" w:space="0" w:color="auto"/>
                                    <w:left w:val="nil"/>
                                    <w:bottom w:val="nil"/>
                                    <w:right w:val="nil"/>
                                  </w:tcBorders>
                                </w:tcPr>
                                <w:p w14:paraId="10647A94" w14:textId="77777777" w:rsidR="00A76118" w:rsidRDefault="00A76118">
                                  <w:pPr>
                                    <w:rPr>
                                      <w:rFonts w:ascii="Arial" w:hAnsi="Arial" w:cs="Arial"/>
                                      <w:sz w:val="20"/>
                                    </w:rPr>
                                  </w:pPr>
                                </w:p>
                              </w:tc>
                            </w:tr>
                          </w:tbl>
                          <w:p w14:paraId="395109D9" w14:textId="77777777" w:rsidR="00A76118" w:rsidRDefault="00A76118" w:rsidP="008F7DDB">
                            <w:pPr>
                              <w:rPr>
                                <w:rFonts w:ascii="Arial" w:hAnsi="Arial" w:cs="Arial"/>
                                <w:sz w:val="20"/>
                              </w:rPr>
                            </w:pPr>
                          </w:p>
                          <w:p w14:paraId="74F3A145" w14:textId="77777777" w:rsidR="00A76118" w:rsidRDefault="00A76118" w:rsidP="008F7DDB">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9317D" id="Text Box 16" o:spid="_x0000_s1027" type="#_x0000_t202" style="position:absolute;margin-left:27.6pt;margin-top:76.45pt;width:361.05pt;height:11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wYuQIAAMM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" filled="f" stroked="f">
                <v:textbox>
                  <w:txbxContent>
                    <w:p w14:paraId="5F75EB87" w14:textId="77777777" w:rsidR="00A76118" w:rsidRDefault="00A76118" w:rsidP="008F7DDB">
                      <w:pPr>
                        <w:rPr>
                          <w:rFonts w:ascii="Arial" w:hAnsi="Arial" w:cs="Arial"/>
                          <w:sz w:val="20"/>
                        </w:rPr>
                      </w:pPr>
                    </w:p>
                    <w:tbl>
                      <w:tblPr>
                        <w:tblW w:w="0" w:type="auto"/>
                        <w:tblLook w:val="04A0" w:firstRow="1" w:lastRow="0" w:firstColumn="1" w:lastColumn="0" w:noHBand="0" w:noVBand="1"/>
                      </w:tblPr>
                      <w:tblGrid>
                        <w:gridCol w:w="817"/>
                        <w:gridCol w:w="2464"/>
                        <w:gridCol w:w="851"/>
                        <w:gridCol w:w="962"/>
                        <w:gridCol w:w="917"/>
                      </w:tblGrid>
                      <w:tr w:rsidR="00A76118" w14:paraId="6982813E" w14:textId="77777777">
                        <w:trPr>
                          <w:gridAfter w:val="3"/>
                          <w:wAfter w:w="2410" w:type="dxa"/>
                        </w:trPr>
                        <w:tc>
                          <w:tcPr>
                            <w:tcW w:w="3281" w:type="dxa"/>
                            <w:gridSpan w:val="2"/>
                            <w:hideMark/>
                          </w:tcPr>
                          <w:p w14:paraId="49D974B5" w14:textId="77777777" w:rsidR="00A76118" w:rsidRDefault="00A76118">
                            <w:pPr>
                              <w:rPr>
                                <w:rFonts w:ascii="Arial" w:hAnsi="Arial" w:cs="Arial"/>
                                <w:sz w:val="20"/>
                              </w:rPr>
                            </w:pPr>
                            <w:r>
                              <w:rPr>
                                <w:rFonts w:ascii="Arial" w:hAnsi="Arial" w:cs="Arial"/>
                                <w:sz w:val="20"/>
                              </w:rPr>
                              <w:t>P &lt; 0,0001</w:t>
                            </w:r>
                          </w:p>
                          <w:p w14:paraId="365F155A" w14:textId="77777777" w:rsidR="00A76118" w:rsidRDefault="00A76118">
                            <w:pPr>
                              <w:rPr>
                                <w:rFonts w:ascii="Arial" w:hAnsi="Arial" w:cs="Arial"/>
                                <w:sz w:val="20"/>
                              </w:rPr>
                            </w:pPr>
                            <w:r>
                              <w:rPr>
                                <w:rFonts w:ascii="Arial" w:hAnsi="Arial" w:cs="Arial"/>
                                <w:sz w:val="20"/>
                              </w:rPr>
                              <w:t>Hazardni odnos 0,46</w:t>
                            </w:r>
                          </w:p>
                          <w:p w14:paraId="78C2F01D" w14:textId="77777777" w:rsidR="00A76118" w:rsidRDefault="00A76118">
                            <w:pPr>
                              <w:rPr>
                                <w:rFonts w:ascii="Arial" w:hAnsi="Arial" w:cs="Arial"/>
                                <w:sz w:val="20"/>
                                <w:lang w:val="de-DE"/>
                              </w:rPr>
                            </w:pPr>
                            <w:r>
                              <w:rPr>
                                <w:rFonts w:ascii="Arial" w:hAnsi="Arial" w:cs="Arial"/>
                                <w:sz w:val="20"/>
                              </w:rPr>
                              <w:t>(95% Cl, 0,32</w:t>
                            </w:r>
                            <w:r>
                              <w:rPr>
                                <w:rFonts w:ascii="Arial" w:hAnsi="Arial" w:cs="Arial"/>
                                <w:sz w:val="20"/>
                              </w:rPr>
                              <w:noBreakHyphen/>
                              <w:t>0,65)</w:t>
                            </w:r>
                          </w:p>
                        </w:tc>
                      </w:tr>
                      <w:tr w:rsidR="00A76118" w14:paraId="63282629" w14:textId="77777777">
                        <w:tc>
                          <w:tcPr>
                            <w:tcW w:w="817" w:type="dxa"/>
                          </w:tcPr>
                          <w:p w14:paraId="4EA51957" w14:textId="77777777" w:rsidR="00A76118" w:rsidRDefault="00A76118">
                            <w:pPr>
                              <w:rPr>
                                <w:rFonts w:ascii="Arial" w:hAnsi="Arial" w:cs="Arial"/>
                                <w:sz w:val="20"/>
                              </w:rPr>
                            </w:pPr>
                          </w:p>
                        </w:tc>
                        <w:tc>
                          <w:tcPr>
                            <w:tcW w:w="2464" w:type="dxa"/>
                          </w:tcPr>
                          <w:p w14:paraId="2EC9F513" w14:textId="77777777" w:rsidR="00A76118" w:rsidRDefault="00A76118">
                            <w:pPr>
                              <w:rPr>
                                <w:rFonts w:ascii="Arial" w:hAnsi="Arial" w:cs="Arial"/>
                                <w:sz w:val="20"/>
                              </w:rPr>
                            </w:pPr>
                          </w:p>
                        </w:tc>
                        <w:tc>
                          <w:tcPr>
                            <w:tcW w:w="851" w:type="dxa"/>
                            <w:tcBorders>
                              <w:top w:val="nil"/>
                              <w:left w:val="nil"/>
                              <w:bottom w:val="single" w:sz="4" w:space="0" w:color="auto"/>
                              <w:right w:val="nil"/>
                            </w:tcBorders>
                            <w:hideMark/>
                          </w:tcPr>
                          <w:p w14:paraId="14CBA4E9" w14:textId="77777777" w:rsidR="00A76118" w:rsidRDefault="00A76118">
                            <w:pPr>
                              <w:rPr>
                                <w:rFonts w:ascii="Arial" w:hAnsi="Arial" w:cs="Arial"/>
                                <w:sz w:val="20"/>
                              </w:rPr>
                            </w:pPr>
                            <w:r>
                              <w:rPr>
                                <w:rFonts w:ascii="Arial" w:hAnsi="Arial" w:cs="Arial"/>
                                <w:sz w:val="20"/>
                                <w:lang w:val="de-DE"/>
                              </w:rPr>
                              <w:t>N</w:t>
                            </w:r>
                          </w:p>
                        </w:tc>
                        <w:tc>
                          <w:tcPr>
                            <w:tcW w:w="709" w:type="dxa"/>
                            <w:tcBorders>
                              <w:top w:val="nil"/>
                              <w:left w:val="nil"/>
                              <w:bottom w:val="single" w:sz="4" w:space="0" w:color="auto"/>
                              <w:right w:val="nil"/>
                            </w:tcBorders>
                            <w:hideMark/>
                          </w:tcPr>
                          <w:p w14:paraId="63822B4D" w14:textId="77777777" w:rsidR="00A76118" w:rsidRDefault="00A76118">
                            <w:pPr>
                              <w:rPr>
                                <w:rFonts w:ascii="Arial" w:hAnsi="Arial" w:cs="Arial"/>
                                <w:sz w:val="20"/>
                              </w:rPr>
                            </w:pPr>
                            <w:r>
                              <w:rPr>
                                <w:rFonts w:ascii="Arial" w:hAnsi="Arial" w:cs="Arial"/>
                                <w:sz w:val="20"/>
                                <w:lang w:val="de-DE"/>
                              </w:rPr>
                              <w:t>Događaj</w:t>
                            </w:r>
                          </w:p>
                        </w:tc>
                        <w:tc>
                          <w:tcPr>
                            <w:tcW w:w="850" w:type="dxa"/>
                            <w:tcBorders>
                              <w:top w:val="nil"/>
                              <w:left w:val="nil"/>
                              <w:bottom w:val="single" w:sz="4" w:space="0" w:color="auto"/>
                              <w:right w:val="nil"/>
                            </w:tcBorders>
                            <w:hideMark/>
                          </w:tcPr>
                          <w:p w14:paraId="13C40CB5" w14:textId="77777777" w:rsidR="00A76118" w:rsidRDefault="00A76118">
                            <w:pPr>
                              <w:rPr>
                                <w:rFonts w:ascii="Arial" w:hAnsi="Arial" w:cs="Arial"/>
                                <w:sz w:val="20"/>
                              </w:rPr>
                            </w:pPr>
                            <w:r>
                              <w:rPr>
                                <w:rFonts w:ascii="Arial" w:hAnsi="Arial" w:cs="Arial"/>
                                <w:sz w:val="20"/>
                                <w:lang w:val="de-DE"/>
                              </w:rPr>
                              <w:t>Cenzor.</w:t>
                            </w:r>
                          </w:p>
                        </w:tc>
                      </w:tr>
                      <w:tr w:rsidR="00A76118" w14:paraId="61F7C251" w14:textId="77777777">
                        <w:tc>
                          <w:tcPr>
                            <w:tcW w:w="817" w:type="dxa"/>
                            <w:hideMark/>
                          </w:tcPr>
                          <w:p w14:paraId="164CEBC2" w14:textId="77777777" w:rsidR="00A76118" w:rsidRDefault="00A76118">
                            <w:pPr>
                              <w:rPr>
                                <w:rFonts w:ascii="Arial" w:hAnsi="Arial" w:cs="Arial"/>
                                <w:sz w:val="20"/>
                              </w:rPr>
                            </w:pPr>
                            <w:r>
                              <w:rPr>
                                <w:rFonts w:ascii="Arial" w:hAnsi="Arial" w:cs="Arial"/>
                                <w:b/>
                                <w:sz w:val="20"/>
                              </w:rPr>
                              <w:t>——</w:t>
                            </w:r>
                          </w:p>
                        </w:tc>
                        <w:tc>
                          <w:tcPr>
                            <w:tcW w:w="2464" w:type="dxa"/>
                            <w:hideMark/>
                          </w:tcPr>
                          <w:p w14:paraId="1FFD246E" w14:textId="77777777" w:rsidR="00A76118" w:rsidRDefault="00A76118">
                            <w:pPr>
                              <w:rPr>
                                <w:rFonts w:ascii="Arial" w:hAnsi="Arial" w:cs="Arial"/>
                                <w:sz w:val="20"/>
                              </w:rPr>
                            </w:pPr>
                            <w:r>
                              <w:rPr>
                                <w:rFonts w:ascii="Arial" w:hAnsi="Arial" w:cs="Arial"/>
                                <w:sz w:val="20"/>
                              </w:rPr>
                              <w:t>(1) Imatinib 12 mj.:</w:t>
                            </w:r>
                          </w:p>
                        </w:tc>
                        <w:tc>
                          <w:tcPr>
                            <w:tcW w:w="851" w:type="dxa"/>
                            <w:tcBorders>
                              <w:top w:val="single" w:sz="4" w:space="0" w:color="auto"/>
                              <w:left w:val="nil"/>
                              <w:bottom w:val="nil"/>
                              <w:right w:val="nil"/>
                            </w:tcBorders>
                            <w:hideMark/>
                          </w:tcPr>
                          <w:p w14:paraId="4D6B5738" w14:textId="77777777" w:rsidR="00A76118" w:rsidRDefault="00A76118">
                            <w:pPr>
                              <w:rPr>
                                <w:rFonts w:ascii="Arial" w:hAnsi="Arial" w:cs="Arial"/>
                                <w:sz w:val="20"/>
                              </w:rPr>
                            </w:pPr>
                            <w:r>
                              <w:rPr>
                                <w:rFonts w:ascii="Arial" w:hAnsi="Arial" w:cs="Arial"/>
                                <w:sz w:val="20"/>
                              </w:rPr>
                              <w:t>199</w:t>
                            </w:r>
                          </w:p>
                        </w:tc>
                        <w:tc>
                          <w:tcPr>
                            <w:tcW w:w="709" w:type="dxa"/>
                            <w:tcBorders>
                              <w:top w:val="single" w:sz="4" w:space="0" w:color="auto"/>
                              <w:left w:val="nil"/>
                              <w:bottom w:val="nil"/>
                              <w:right w:val="nil"/>
                            </w:tcBorders>
                            <w:hideMark/>
                          </w:tcPr>
                          <w:p w14:paraId="29FDCF38" w14:textId="77777777" w:rsidR="00A76118" w:rsidRDefault="00A76118">
                            <w:pPr>
                              <w:rPr>
                                <w:rFonts w:ascii="Arial" w:hAnsi="Arial" w:cs="Arial"/>
                                <w:sz w:val="20"/>
                              </w:rPr>
                            </w:pPr>
                            <w:r>
                              <w:rPr>
                                <w:rFonts w:ascii="Arial" w:hAnsi="Arial" w:cs="Arial"/>
                                <w:sz w:val="20"/>
                              </w:rPr>
                              <w:t>84</w:t>
                            </w:r>
                          </w:p>
                        </w:tc>
                        <w:tc>
                          <w:tcPr>
                            <w:tcW w:w="850" w:type="dxa"/>
                            <w:tcBorders>
                              <w:top w:val="single" w:sz="4" w:space="0" w:color="auto"/>
                              <w:left w:val="nil"/>
                              <w:bottom w:val="nil"/>
                              <w:right w:val="nil"/>
                            </w:tcBorders>
                            <w:hideMark/>
                          </w:tcPr>
                          <w:p w14:paraId="090362F3" w14:textId="77777777" w:rsidR="00A76118" w:rsidRDefault="00A76118">
                            <w:pPr>
                              <w:rPr>
                                <w:rFonts w:ascii="Arial" w:hAnsi="Arial" w:cs="Arial"/>
                                <w:sz w:val="20"/>
                              </w:rPr>
                            </w:pPr>
                            <w:r>
                              <w:rPr>
                                <w:rFonts w:ascii="Arial" w:hAnsi="Arial" w:cs="Arial"/>
                                <w:sz w:val="20"/>
                              </w:rPr>
                              <w:t>115</w:t>
                            </w:r>
                          </w:p>
                        </w:tc>
                      </w:tr>
                      <w:tr w:rsidR="00A76118" w14:paraId="169C4048" w14:textId="77777777">
                        <w:tc>
                          <w:tcPr>
                            <w:tcW w:w="817" w:type="dxa"/>
                            <w:hideMark/>
                          </w:tcPr>
                          <w:p w14:paraId="78E6868C" w14:textId="77777777" w:rsidR="00A76118" w:rsidRDefault="00A76118">
                            <w:pPr>
                              <w:rPr>
                                <w:rFonts w:ascii="Arial" w:hAnsi="Arial" w:cs="Arial"/>
                                <w:sz w:val="20"/>
                              </w:rPr>
                            </w:pPr>
                            <w:r>
                              <w:rPr>
                                <w:rFonts w:ascii="Arial" w:hAnsi="Arial" w:cs="Arial"/>
                                <w:sz w:val="20"/>
                              </w:rPr>
                              <w:t>-----</w:t>
                            </w:r>
                          </w:p>
                        </w:tc>
                        <w:tc>
                          <w:tcPr>
                            <w:tcW w:w="2464" w:type="dxa"/>
                            <w:hideMark/>
                          </w:tcPr>
                          <w:p w14:paraId="3EC4A2FE" w14:textId="77777777" w:rsidR="00A76118" w:rsidRDefault="00A76118">
                            <w:pPr>
                              <w:rPr>
                                <w:rFonts w:ascii="Arial" w:hAnsi="Arial" w:cs="Arial"/>
                                <w:sz w:val="20"/>
                              </w:rPr>
                            </w:pPr>
                            <w:r>
                              <w:rPr>
                                <w:rFonts w:ascii="Arial" w:hAnsi="Arial" w:cs="Arial"/>
                                <w:sz w:val="20"/>
                              </w:rPr>
                              <w:t>(2) Imatinib 36 mj.:</w:t>
                            </w:r>
                          </w:p>
                        </w:tc>
                        <w:tc>
                          <w:tcPr>
                            <w:tcW w:w="851" w:type="dxa"/>
                            <w:tcBorders>
                              <w:top w:val="nil"/>
                              <w:left w:val="nil"/>
                              <w:bottom w:val="single" w:sz="4" w:space="0" w:color="auto"/>
                              <w:right w:val="nil"/>
                            </w:tcBorders>
                            <w:hideMark/>
                          </w:tcPr>
                          <w:p w14:paraId="18ADC71D" w14:textId="77777777" w:rsidR="00A76118" w:rsidRDefault="00A76118">
                            <w:pPr>
                              <w:rPr>
                                <w:rFonts w:ascii="Arial" w:hAnsi="Arial" w:cs="Arial"/>
                                <w:sz w:val="20"/>
                              </w:rPr>
                            </w:pPr>
                            <w:r>
                              <w:rPr>
                                <w:rFonts w:ascii="Arial" w:hAnsi="Arial" w:cs="Arial"/>
                                <w:sz w:val="20"/>
                              </w:rPr>
                              <w:t>198</w:t>
                            </w:r>
                          </w:p>
                        </w:tc>
                        <w:tc>
                          <w:tcPr>
                            <w:tcW w:w="709" w:type="dxa"/>
                            <w:tcBorders>
                              <w:top w:val="nil"/>
                              <w:left w:val="nil"/>
                              <w:bottom w:val="single" w:sz="4" w:space="0" w:color="auto"/>
                              <w:right w:val="nil"/>
                            </w:tcBorders>
                            <w:hideMark/>
                          </w:tcPr>
                          <w:p w14:paraId="5DBC5908" w14:textId="77777777" w:rsidR="00A76118" w:rsidRDefault="00A76118">
                            <w:pPr>
                              <w:rPr>
                                <w:rFonts w:ascii="Arial" w:hAnsi="Arial" w:cs="Arial"/>
                                <w:sz w:val="20"/>
                              </w:rPr>
                            </w:pPr>
                            <w:r>
                              <w:rPr>
                                <w:rFonts w:ascii="Arial" w:hAnsi="Arial" w:cs="Arial"/>
                                <w:sz w:val="20"/>
                              </w:rPr>
                              <w:t>50</w:t>
                            </w:r>
                          </w:p>
                        </w:tc>
                        <w:tc>
                          <w:tcPr>
                            <w:tcW w:w="850" w:type="dxa"/>
                            <w:tcBorders>
                              <w:top w:val="nil"/>
                              <w:left w:val="nil"/>
                              <w:bottom w:val="single" w:sz="4" w:space="0" w:color="auto"/>
                              <w:right w:val="nil"/>
                            </w:tcBorders>
                            <w:hideMark/>
                          </w:tcPr>
                          <w:p w14:paraId="1DB07C46" w14:textId="77777777" w:rsidR="00A76118" w:rsidRDefault="00A76118">
                            <w:pPr>
                              <w:rPr>
                                <w:rFonts w:ascii="Arial" w:hAnsi="Arial" w:cs="Arial"/>
                                <w:sz w:val="20"/>
                              </w:rPr>
                            </w:pPr>
                            <w:r>
                              <w:rPr>
                                <w:rFonts w:ascii="Arial" w:hAnsi="Arial" w:cs="Arial"/>
                                <w:sz w:val="20"/>
                              </w:rPr>
                              <w:t>148</w:t>
                            </w:r>
                          </w:p>
                        </w:tc>
                      </w:tr>
                      <w:tr w:rsidR="00A76118" w14:paraId="79BF41ED" w14:textId="77777777">
                        <w:tc>
                          <w:tcPr>
                            <w:tcW w:w="817" w:type="dxa"/>
                            <w:hideMark/>
                          </w:tcPr>
                          <w:p w14:paraId="035ABC23" w14:textId="77777777" w:rsidR="00A76118" w:rsidRDefault="00A76118">
                            <w:pPr>
                              <w:rPr>
                                <w:rFonts w:ascii="Arial" w:hAnsi="Arial" w:cs="Arial"/>
                                <w:sz w:val="20"/>
                              </w:rPr>
                            </w:pPr>
                            <w:r>
                              <w:rPr>
                                <w:rFonts w:ascii="Arial" w:hAnsi="Arial" w:cs="Arial"/>
                                <w:sz w:val="20"/>
                              </w:rPr>
                              <w:t>│││</w:t>
                            </w:r>
                          </w:p>
                        </w:tc>
                        <w:tc>
                          <w:tcPr>
                            <w:tcW w:w="2464" w:type="dxa"/>
                            <w:hideMark/>
                          </w:tcPr>
                          <w:p w14:paraId="4AF0441C" w14:textId="77777777" w:rsidR="00A76118" w:rsidRDefault="00A76118">
                            <w:pPr>
                              <w:rPr>
                                <w:rFonts w:ascii="Arial" w:hAnsi="Arial" w:cs="Arial"/>
                                <w:sz w:val="20"/>
                              </w:rPr>
                            </w:pPr>
                            <w:r>
                              <w:rPr>
                                <w:rFonts w:ascii="Arial" w:hAnsi="Arial" w:cs="Arial"/>
                                <w:sz w:val="20"/>
                              </w:rPr>
                              <w:t>Cenzurisane opservacije</w:t>
                            </w:r>
                          </w:p>
                        </w:tc>
                        <w:tc>
                          <w:tcPr>
                            <w:tcW w:w="851" w:type="dxa"/>
                            <w:tcBorders>
                              <w:top w:val="single" w:sz="4" w:space="0" w:color="auto"/>
                              <w:left w:val="nil"/>
                              <w:bottom w:val="nil"/>
                              <w:right w:val="nil"/>
                            </w:tcBorders>
                          </w:tcPr>
                          <w:p w14:paraId="7E71C541" w14:textId="77777777" w:rsidR="00A76118" w:rsidRDefault="00A76118">
                            <w:pPr>
                              <w:rPr>
                                <w:rFonts w:ascii="Arial" w:hAnsi="Arial" w:cs="Arial"/>
                                <w:sz w:val="20"/>
                              </w:rPr>
                            </w:pPr>
                          </w:p>
                        </w:tc>
                        <w:tc>
                          <w:tcPr>
                            <w:tcW w:w="709" w:type="dxa"/>
                            <w:tcBorders>
                              <w:top w:val="single" w:sz="4" w:space="0" w:color="auto"/>
                              <w:left w:val="nil"/>
                              <w:bottom w:val="nil"/>
                              <w:right w:val="nil"/>
                            </w:tcBorders>
                          </w:tcPr>
                          <w:p w14:paraId="6DA93BB5" w14:textId="77777777" w:rsidR="00A76118" w:rsidRDefault="00A76118">
                            <w:pPr>
                              <w:rPr>
                                <w:rFonts w:ascii="Arial" w:hAnsi="Arial" w:cs="Arial"/>
                                <w:sz w:val="20"/>
                              </w:rPr>
                            </w:pPr>
                          </w:p>
                        </w:tc>
                        <w:tc>
                          <w:tcPr>
                            <w:tcW w:w="850" w:type="dxa"/>
                            <w:tcBorders>
                              <w:top w:val="single" w:sz="4" w:space="0" w:color="auto"/>
                              <w:left w:val="nil"/>
                              <w:bottom w:val="nil"/>
                              <w:right w:val="nil"/>
                            </w:tcBorders>
                          </w:tcPr>
                          <w:p w14:paraId="10647A94" w14:textId="77777777" w:rsidR="00A76118" w:rsidRDefault="00A76118">
                            <w:pPr>
                              <w:rPr>
                                <w:rFonts w:ascii="Arial" w:hAnsi="Arial" w:cs="Arial"/>
                                <w:sz w:val="20"/>
                              </w:rPr>
                            </w:pPr>
                          </w:p>
                        </w:tc>
                      </w:tr>
                    </w:tbl>
                    <w:p w14:paraId="395109D9" w14:textId="77777777" w:rsidR="00A76118" w:rsidRDefault="00A76118" w:rsidP="008F7DDB">
                      <w:pPr>
                        <w:rPr>
                          <w:rFonts w:ascii="Arial" w:hAnsi="Arial" w:cs="Arial"/>
                          <w:sz w:val="20"/>
                        </w:rPr>
                      </w:pPr>
                    </w:p>
                    <w:p w14:paraId="74F3A145" w14:textId="77777777" w:rsidR="00A76118" w:rsidRDefault="00A76118" w:rsidP="008F7DDB">
                      <w:pPr>
                        <w:rPr>
                          <w:rFonts w:ascii="Arial" w:hAnsi="Arial" w:cs="Arial"/>
                          <w:sz w:val="20"/>
                        </w:rPr>
                      </w:pPr>
                    </w:p>
                  </w:txbxContent>
                </v:textbox>
              </v:shape>
            </w:pict>
          </mc:Fallback>
        </mc:AlternateContent>
      </w:r>
      <w:r>
        <w:rPr>
          <w:noProof/>
          <w:lang w:val="en-US"/>
        </w:rPr>
        <w:drawing>
          <wp:inline distT="0" distB="0" distL="0" distR="0" wp14:anchorId="1B70C3B3" wp14:editId="501075C7">
            <wp:extent cx="5838825" cy="263842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8825" cy="2638425"/>
                    </a:xfrm>
                    <a:prstGeom prst="rect">
                      <a:avLst/>
                    </a:prstGeom>
                    <a:noFill/>
                    <a:ln>
                      <a:noFill/>
                    </a:ln>
                  </pic:spPr>
                </pic:pic>
              </a:graphicData>
            </a:graphic>
          </wp:inline>
        </w:drawing>
      </w:r>
    </w:p>
    <w:p w14:paraId="0B5B4B9A" w14:textId="77777777" w:rsidR="008F7DDB" w:rsidRPr="00291333" w:rsidRDefault="00A63101" w:rsidP="008F7DDB">
      <w:pPr>
        <w:widowControl w:val="0"/>
        <w:tabs>
          <w:tab w:val="left" w:pos="1134"/>
        </w:tabs>
        <w:spacing w:line="240" w:lineRule="auto"/>
        <w:outlineLvl w:val="6"/>
        <w:rPr>
          <w:rFonts w:eastAsia="MS Mincho"/>
          <w:lang w:val="sr-Latn-ME" w:eastAsia="sl-SI"/>
        </w:rPr>
      </w:pPr>
      <w:r>
        <w:rPr>
          <w:noProof/>
          <w:lang w:val="en-US"/>
        </w:rPr>
        <mc:AlternateContent>
          <mc:Choice Requires="wps">
            <w:drawing>
              <wp:anchor distT="0" distB="0" distL="114300" distR="114300" simplePos="0" relativeHeight="251657216" behindDoc="0" locked="0" layoutInCell="1" allowOverlap="1" wp14:anchorId="228345A3" wp14:editId="211338BC">
                <wp:simplePos x="0" y="0"/>
                <wp:positionH relativeFrom="column">
                  <wp:posOffset>2057400</wp:posOffset>
                </wp:positionH>
                <wp:positionV relativeFrom="paragraph">
                  <wp:posOffset>10795</wp:posOffset>
                </wp:positionV>
                <wp:extent cx="2289810" cy="2952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CCE92" w14:textId="77777777" w:rsidR="00A76118" w:rsidRDefault="00A76118" w:rsidP="008F7DDB">
                            <w:pPr>
                              <w:rPr>
                                <w:rFonts w:ascii="Arial" w:hAnsi="Arial" w:cs="Arial"/>
                                <w:sz w:val="20"/>
                              </w:rPr>
                            </w:pPr>
                            <w:r>
                              <w:rPr>
                                <w:rFonts w:ascii="Arial" w:hAnsi="Arial" w:cs="Arial"/>
                                <w:sz w:val="20"/>
                              </w:rPr>
                              <w:t>Vrijeme preživljavanja u mjesecima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345A3" id="Text Box 15" o:spid="_x0000_s1028" type="#_x0000_t202" style="position:absolute;margin-left:162pt;margin-top:.85pt;width:180.3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" stroked="f">
                <v:fill opacity="0"/>
                <v:textbox>
                  <w:txbxContent>
                    <w:p w14:paraId="397CCE92" w14:textId="77777777" w:rsidR="00A76118" w:rsidRDefault="00A76118" w:rsidP="008F7DDB">
                      <w:pPr>
                        <w:rPr>
                          <w:rFonts w:ascii="Arial" w:hAnsi="Arial" w:cs="Arial"/>
                          <w:sz w:val="20"/>
                        </w:rPr>
                      </w:pPr>
                      <w:r>
                        <w:rPr>
                          <w:rFonts w:ascii="Arial" w:hAnsi="Arial" w:cs="Arial"/>
                          <w:sz w:val="20"/>
                        </w:rPr>
                        <w:t>Vrijeme preživljavanja u mjesecima</w:t>
                      </w:r>
                    </w:p>
                  </w:txbxContent>
                </v:textbox>
              </v:shape>
            </w:pict>
          </mc:Fallback>
        </mc:AlternateContent>
      </w:r>
    </w:p>
    <w:p w14:paraId="486FFC75" w14:textId="77777777" w:rsidR="008F7DDB" w:rsidRPr="00291333" w:rsidRDefault="008F7DDB" w:rsidP="008F7DDB">
      <w:pPr>
        <w:spacing w:line="240" w:lineRule="auto"/>
        <w:rPr>
          <w:noProof/>
          <w:lang w:val="sr-Latn-ME" w:eastAsia="sl-SI"/>
        </w:rPr>
      </w:pPr>
    </w:p>
    <w:tbl>
      <w:tblPr>
        <w:tblW w:w="11471" w:type="dxa"/>
        <w:tblInd w:w="-743" w:type="dxa"/>
        <w:tblLook w:val="04A0" w:firstRow="1" w:lastRow="0" w:firstColumn="1" w:lastColumn="0" w:noHBand="0" w:noVBand="1"/>
      </w:tblPr>
      <w:tblGrid>
        <w:gridCol w:w="549"/>
        <w:gridCol w:w="699"/>
        <w:gridCol w:w="699"/>
        <w:gridCol w:w="806"/>
        <w:gridCol w:w="806"/>
        <w:gridCol w:w="806"/>
        <w:gridCol w:w="806"/>
        <w:gridCol w:w="806"/>
        <w:gridCol w:w="806"/>
        <w:gridCol w:w="699"/>
        <w:gridCol w:w="699"/>
        <w:gridCol w:w="699"/>
        <w:gridCol w:w="699"/>
        <w:gridCol w:w="699"/>
        <w:gridCol w:w="592"/>
        <w:gridCol w:w="601"/>
      </w:tblGrid>
      <w:tr w:rsidR="008F7DDB" w:rsidRPr="0040712C" w14:paraId="06865037" w14:textId="77777777" w:rsidTr="0040712C">
        <w:trPr>
          <w:trHeight w:val="129"/>
        </w:trPr>
        <w:tc>
          <w:tcPr>
            <w:tcW w:w="11471" w:type="dxa"/>
            <w:gridSpan w:val="16"/>
            <w:hideMark/>
          </w:tcPr>
          <w:p w14:paraId="0B34E01C" w14:textId="77777777" w:rsidR="008F7DDB" w:rsidRPr="00291333" w:rsidRDefault="008F7DDB" w:rsidP="0040712C">
            <w:pPr>
              <w:spacing w:line="240" w:lineRule="auto"/>
              <w:ind w:left="-254" w:firstLine="142"/>
              <w:rPr>
                <w:lang w:val="sr-Latn-ME" w:eastAsia="sl-SI"/>
              </w:rPr>
            </w:pPr>
            <w:r w:rsidRPr="00291333">
              <w:rPr>
                <w:lang w:val="sr-Latn-ME" w:eastAsia="sl-SI"/>
              </w:rPr>
              <w:t>Broj pacijenata izloženih riziku: broj događaja</w:t>
            </w:r>
          </w:p>
        </w:tc>
      </w:tr>
      <w:tr w:rsidR="008F7DDB" w:rsidRPr="00291333" w14:paraId="48D74725" w14:textId="77777777" w:rsidTr="0040712C">
        <w:trPr>
          <w:trHeight w:val="283"/>
        </w:trPr>
        <w:tc>
          <w:tcPr>
            <w:tcW w:w="549" w:type="dxa"/>
            <w:hideMark/>
          </w:tcPr>
          <w:p w14:paraId="69C010BD" w14:textId="77777777" w:rsidR="008F7DDB" w:rsidRPr="00291333" w:rsidRDefault="008F7DDB" w:rsidP="0040712C">
            <w:pPr>
              <w:spacing w:line="240" w:lineRule="auto"/>
              <w:ind w:right="91"/>
              <w:rPr>
                <w:sz w:val="20"/>
                <w:lang w:val="sr-Latn-ME" w:eastAsia="sl-SI"/>
              </w:rPr>
            </w:pPr>
            <w:r w:rsidRPr="00291333">
              <w:rPr>
                <w:sz w:val="20"/>
                <w:lang w:val="sr-Latn-ME" w:eastAsia="sl-SI"/>
              </w:rPr>
              <w:t>(1)</w:t>
            </w:r>
          </w:p>
        </w:tc>
        <w:tc>
          <w:tcPr>
            <w:tcW w:w="699" w:type="dxa"/>
            <w:hideMark/>
          </w:tcPr>
          <w:p w14:paraId="084F1CCC" w14:textId="77777777" w:rsidR="008F7DDB" w:rsidRPr="00291333" w:rsidRDefault="008F7DDB" w:rsidP="0040712C">
            <w:pPr>
              <w:spacing w:line="240" w:lineRule="auto"/>
              <w:rPr>
                <w:sz w:val="20"/>
                <w:lang w:val="sr-Latn-ME" w:eastAsia="sl-SI"/>
              </w:rPr>
            </w:pPr>
            <w:r w:rsidRPr="00291333">
              <w:rPr>
                <w:sz w:val="20"/>
                <w:lang w:val="sr-Latn-ME" w:eastAsia="sl-SI"/>
              </w:rPr>
              <w:t>199:0</w:t>
            </w:r>
          </w:p>
        </w:tc>
        <w:tc>
          <w:tcPr>
            <w:tcW w:w="699" w:type="dxa"/>
            <w:hideMark/>
          </w:tcPr>
          <w:p w14:paraId="5E10746E" w14:textId="77777777" w:rsidR="008F7DDB" w:rsidRPr="00291333" w:rsidRDefault="008F7DDB" w:rsidP="0040712C">
            <w:pPr>
              <w:spacing w:line="240" w:lineRule="auto"/>
              <w:rPr>
                <w:sz w:val="20"/>
                <w:lang w:val="sr-Latn-ME" w:eastAsia="sl-SI"/>
              </w:rPr>
            </w:pPr>
            <w:r w:rsidRPr="00291333">
              <w:rPr>
                <w:sz w:val="20"/>
                <w:lang w:val="sr-Latn-ME" w:eastAsia="sl-SI"/>
              </w:rPr>
              <w:t>182:8</w:t>
            </w:r>
          </w:p>
        </w:tc>
        <w:tc>
          <w:tcPr>
            <w:tcW w:w="806" w:type="dxa"/>
            <w:hideMark/>
          </w:tcPr>
          <w:p w14:paraId="384F9440" w14:textId="77777777" w:rsidR="008F7DDB" w:rsidRPr="00291333" w:rsidRDefault="008F7DDB" w:rsidP="0040712C">
            <w:pPr>
              <w:spacing w:line="240" w:lineRule="auto"/>
              <w:rPr>
                <w:sz w:val="20"/>
                <w:lang w:val="sr-Latn-ME" w:eastAsia="sl-SI"/>
              </w:rPr>
            </w:pPr>
            <w:r w:rsidRPr="00291333">
              <w:rPr>
                <w:sz w:val="20"/>
                <w:lang w:val="sr-Latn-ME" w:eastAsia="sl-SI"/>
              </w:rPr>
              <w:t>177:12</w:t>
            </w:r>
          </w:p>
        </w:tc>
        <w:tc>
          <w:tcPr>
            <w:tcW w:w="806" w:type="dxa"/>
            <w:hideMark/>
          </w:tcPr>
          <w:p w14:paraId="5FF7317E" w14:textId="77777777" w:rsidR="008F7DDB" w:rsidRPr="00291333" w:rsidRDefault="008F7DDB" w:rsidP="0040712C">
            <w:pPr>
              <w:spacing w:line="240" w:lineRule="auto"/>
              <w:rPr>
                <w:sz w:val="20"/>
                <w:lang w:val="sr-Latn-ME" w:eastAsia="sl-SI"/>
              </w:rPr>
            </w:pPr>
            <w:r w:rsidRPr="00291333">
              <w:rPr>
                <w:sz w:val="20"/>
                <w:lang w:val="sr-Latn-ME" w:eastAsia="sl-SI"/>
              </w:rPr>
              <w:t>163:25</w:t>
            </w:r>
          </w:p>
        </w:tc>
        <w:tc>
          <w:tcPr>
            <w:tcW w:w="806" w:type="dxa"/>
            <w:hideMark/>
          </w:tcPr>
          <w:p w14:paraId="29328B3D" w14:textId="77777777" w:rsidR="008F7DDB" w:rsidRPr="00291333" w:rsidRDefault="008F7DDB" w:rsidP="0040712C">
            <w:pPr>
              <w:spacing w:line="240" w:lineRule="auto"/>
              <w:rPr>
                <w:sz w:val="20"/>
                <w:lang w:val="sr-Latn-ME" w:eastAsia="sl-SI"/>
              </w:rPr>
            </w:pPr>
            <w:r w:rsidRPr="00291333">
              <w:rPr>
                <w:sz w:val="20"/>
                <w:lang w:val="sr-Latn-ME" w:eastAsia="sl-SI"/>
              </w:rPr>
              <w:t>137:46</w:t>
            </w:r>
          </w:p>
        </w:tc>
        <w:tc>
          <w:tcPr>
            <w:tcW w:w="806" w:type="dxa"/>
            <w:hideMark/>
          </w:tcPr>
          <w:p w14:paraId="13145C2F" w14:textId="77777777" w:rsidR="008F7DDB" w:rsidRPr="00291333" w:rsidRDefault="008F7DDB" w:rsidP="0040712C">
            <w:pPr>
              <w:spacing w:line="240" w:lineRule="auto"/>
              <w:rPr>
                <w:sz w:val="20"/>
                <w:lang w:val="sr-Latn-ME" w:eastAsia="sl-SI"/>
              </w:rPr>
            </w:pPr>
            <w:r w:rsidRPr="00291333">
              <w:rPr>
                <w:sz w:val="20"/>
                <w:lang w:val="sr-Latn-ME" w:eastAsia="sl-SI"/>
              </w:rPr>
              <w:t>105:65</w:t>
            </w:r>
          </w:p>
        </w:tc>
        <w:tc>
          <w:tcPr>
            <w:tcW w:w="806" w:type="dxa"/>
            <w:hideMark/>
          </w:tcPr>
          <w:p w14:paraId="0F213352" w14:textId="77777777" w:rsidR="008F7DDB" w:rsidRPr="00291333" w:rsidRDefault="008F7DDB" w:rsidP="0040712C">
            <w:pPr>
              <w:spacing w:line="240" w:lineRule="auto"/>
              <w:rPr>
                <w:sz w:val="20"/>
                <w:lang w:val="sr-Latn-ME" w:eastAsia="sl-SI"/>
              </w:rPr>
            </w:pPr>
            <w:r w:rsidRPr="00291333">
              <w:rPr>
                <w:sz w:val="20"/>
                <w:lang w:val="sr-Latn-ME" w:eastAsia="sl-SI"/>
              </w:rPr>
              <w:t>88:72</w:t>
            </w:r>
          </w:p>
        </w:tc>
        <w:tc>
          <w:tcPr>
            <w:tcW w:w="806" w:type="dxa"/>
            <w:hideMark/>
          </w:tcPr>
          <w:p w14:paraId="07BA85C4" w14:textId="77777777" w:rsidR="008F7DDB" w:rsidRPr="00291333" w:rsidRDefault="008F7DDB" w:rsidP="0040712C">
            <w:pPr>
              <w:spacing w:line="240" w:lineRule="auto"/>
              <w:rPr>
                <w:sz w:val="20"/>
                <w:lang w:val="sr-Latn-ME" w:eastAsia="sl-SI"/>
              </w:rPr>
            </w:pPr>
            <w:r w:rsidRPr="00291333">
              <w:rPr>
                <w:sz w:val="20"/>
                <w:lang w:val="sr-Latn-ME" w:eastAsia="sl-SI"/>
              </w:rPr>
              <w:t>61:77</w:t>
            </w:r>
          </w:p>
        </w:tc>
        <w:tc>
          <w:tcPr>
            <w:tcW w:w="699" w:type="dxa"/>
            <w:hideMark/>
          </w:tcPr>
          <w:p w14:paraId="19AA73CB" w14:textId="77777777" w:rsidR="008F7DDB" w:rsidRPr="00291333" w:rsidRDefault="008F7DDB" w:rsidP="0040712C">
            <w:pPr>
              <w:spacing w:line="240" w:lineRule="auto"/>
              <w:rPr>
                <w:sz w:val="20"/>
                <w:lang w:val="sr-Latn-ME" w:eastAsia="sl-SI"/>
              </w:rPr>
            </w:pPr>
            <w:r w:rsidRPr="00291333">
              <w:rPr>
                <w:sz w:val="20"/>
                <w:lang w:val="sr-Latn-ME" w:eastAsia="sl-SI"/>
              </w:rPr>
              <w:t>49:81</w:t>
            </w:r>
          </w:p>
        </w:tc>
        <w:tc>
          <w:tcPr>
            <w:tcW w:w="699" w:type="dxa"/>
            <w:hideMark/>
          </w:tcPr>
          <w:p w14:paraId="3B28E014" w14:textId="77777777" w:rsidR="008F7DDB" w:rsidRPr="00291333" w:rsidRDefault="008F7DDB" w:rsidP="0040712C">
            <w:pPr>
              <w:spacing w:line="240" w:lineRule="auto"/>
              <w:rPr>
                <w:sz w:val="20"/>
                <w:lang w:val="sr-Latn-ME" w:eastAsia="sl-SI"/>
              </w:rPr>
            </w:pPr>
            <w:r w:rsidRPr="00291333">
              <w:rPr>
                <w:sz w:val="20"/>
                <w:lang w:val="sr-Latn-ME" w:eastAsia="sl-SI"/>
              </w:rPr>
              <w:t>36:83</w:t>
            </w:r>
          </w:p>
        </w:tc>
        <w:tc>
          <w:tcPr>
            <w:tcW w:w="699" w:type="dxa"/>
            <w:hideMark/>
          </w:tcPr>
          <w:p w14:paraId="2A2934FC" w14:textId="77777777" w:rsidR="008F7DDB" w:rsidRPr="00291333" w:rsidRDefault="008F7DDB" w:rsidP="0040712C">
            <w:pPr>
              <w:spacing w:line="240" w:lineRule="auto"/>
              <w:rPr>
                <w:sz w:val="20"/>
                <w:lang w:val="sr-Latn-ME" w:eastAsia="sl-SI"/>
              </w:rPr>
            </w:pPr>
            <w:r w:rsidRPr="00291333">
              <w:rPr>
                <w:sz w:val="20"/>
                <w:lang w:val="sr-Latn-ME" w:eastAsia="sl-SI"/>
              </w:rPr>
              <w:t>27:84</w:t>
            </w:r>
          </w:p>
        </w:tc>
        <w:tc>
          <w:tcPr>
            <w:tcW w:w="699" w:type="dxa"/>
            <w:hideMark/>
          </w:tcPr>
          <w:p w14:paraId="09E27999" w14:textId="77777777" w:rsidR="008F7DDB" w:rsidRPr="00291333" w:rsidRDefault="008F7DDB" w:rsidP="0040712C">
            <w:pPr>
              <w:spacing w:line="240" w:lineRule="auto"/>
              <w:rPr>
                <w:sz w:val="20"/>
                <w:lang w:val="sr-Latn-ME" w:eastAsia="sl-SI"/>
              </w:rPr>
            </w:pPr>
            <w:r w:rsidRPr="00291333">
              <w:rPr>
                <w:sz w:val="20"/>
                <w:lang w:val="sr-Latn-ME" w:eastAsia="sl-SI"/>
              </w:rPr>
              <w:t>14:84</w:t>
            </w:r>
          </w:p>
        </w:tc>
        <w:tc>
          <w:tcPr>
            <w:tcW w:w="699" w:type="dxa"/>
            <w:hideMark/>
          </w:tcPr>
          <w:p w14:paraId="505F9216" w14:textId="77777777" w:rsidR="008F7DDB" w:rsidRPr="00291333" w:rsidRDefault="008F7DDB" w:rsidP="0040712C">
            <w:pPr>
              <w:spacing w:line="240" w:lineRule="auto"/>
              <w:rPr>
                <w:sz w:val="20"/>
                <w:lang w:val="sr-Latn-ME" w:eastAsia="sl-SI"/>
              </w:rPr>
            </w:pPr>
            <w:r w:rsidRPr="00291333">
              <w:rPr>
                <w:sz w:val="20"/>
                <w:lang w:val="sr-Latn-ME" w:eastAsia="sl-SI"/>
              </w:rPr>
              <w:t>10:84</w:t>
            </w:r>
          </w:p>
        </w:tc>
        <w:tc>
          <w:tcPr>
            <w:tcW w:w="592" w:type="dxa"/>
            <w:hideMark/>
          </w:tcPr>
          <w:p w14:paraId="7D7435F9" w14:textId="77777777" w:rsidR="008F7DDB" w:rsidRPr="00291333" w:rsidRDefault="008F7DDB" w:rsidP="0040712C">
            <w:pPr>
              <w:spacing w:line="240" w:lineRule="auto"/>
              <w:rPr>
                <w:sz w:val="20"/>
                <w:lang w:val="sr-Latn-ME" w:eastAsia="sl-SI"/>
              </w:rPr>
            </w:pPr>
            <w:r w:rsidRPr="00291333">
              <w:rPr>
                <w:sz w:val="20"/>
                <w:lang w:val="sr-Latn-ME" w:eastAsia="sl-SI"/>
              </w:rPr>
              <w:t>2:84</w:t>
            </w:r>
          </w:p>
        </w:tc>
        <w:tc>
          <w:tcPr>
            <w:tcW w:w="592" w:type="dxa"/>
            <w:hideMark/>
          </w:tcPr>
          <w:p w14:paraId="6E478572" w14:textId="77777777" w:rsidR="008F7DDB" w:rsidRPr="00291333" w:rsidRDefault="008F7DDB" w:rsidP="0040712C">
            <w:pPr>
              <w:spacing w:line="240" w:lineRule="auto"/>
              <w:rPr>
                <w:sz w:val="20"/>
                <w:lang w:val="sr-Latn-ME" w:eastAsia="sl-SI"/>
              </w:rPr>
            </w:pPr>
            <w:r w:rsidRPr="00291333">
              <w:rPr>
                <w:sz w:val="20"/>
                <w:lang w:val="sr-Latn-ME" w:eastAsia="sl-SI"/>
              </w:rPr>
              <w:t>0:84</w:t>
            </w:r>
          </w:p>
        </w:tc>
      </w:tr>
      <w:tr w:rsidR="008F7DDB" w:rsidRPr="00291333" w14:paraId="3FEF2DA4" w14:textId="77777777" w:rsidTr="0040712C">
        <w:trPr>
          <w:trHeight w:val="283"/>
        </w:trPr>
        <w:tc>
          <w:tcPr>
            <w:tcW w:w="549" w:type="dxa"/>
            <w:hideMark/>
          </w:tcPr>
          <w:p w14:paraId="05D14377" w14:textId="77777777" w:rsidR="008F7DDB" w:rsidRPr="00291333" w:rsidRDefault="008F7DDB" w:rsidP="0040712C">
            <w:pPr>
              <w:spacing w:line="240" w:lineRule="auto"/>
              <w:rPr>
                <w:sz w:val="20"/>
                <w:lang w:val="sr-Latn-ME" w:eastAsia="sl-SI"/>
              </w:rPr>
            </w:pPr>
            <w:r w:rsidRPr="00291333">
              <w:rPr>
                <w:sz w:val="20"/>
                <w:lang w:val="sr-Latn-ME" w:eastAsia="sl-SI"/>
              </w:rPr>
              <w:t>(2)</w:t>
            </w:r>
          </w:p>
        </w:tc>
        <w:tc>
          <w:tcPr>
            <w:tcW w:w="699" w:type="dxa"/>
            <w:hideMark/>
          </w:tcPr>
          <w:p w14:paraId="4815EAB8" w14:textId="77777777" w:rsidR="008F7DDB" w:rsidRPr="00291333" w:rsidRDefault="008F7DDB" w:rsidP="0040712C">
            <w:pPr>
              <w:spacing w:line="240" w:lineRule="auto"/>
              <w:rPr>
                <w:sz w:val="20"/>
                <w:lang w:val="sr-Latn-ME" w:eastAsia="sl-SI"/>
              </w:rPr>
            </w:pPr>
            <w:r w:rsidRPr="00291333">
              <w:rPr>
                <w:sz w:val="20"/>
                <w:lang w:val="sr-Latn-ME" w:eastAsia="sl-SI"/>
              </w:rPr>
              <w:t>198:0</w:t>
            </w:r>
          </w:p>
        </w:tc>
        <w:tc>
          <w:tcPr>
            <w:tcW w:w="699" w:type="dxa"/>
            <w:hideMark/>
          </w:tcPr>
          <w:p w14:paraId="0BDA816B" w14:textId="77777777" w:rsidR="008F7DDB" w:rsidRPr="00291333" w:rsidRDefault="008F7DDB" w:rsidP="0040712C">
            <w:pPr>
              <w:spacing w:line="240" w:lineRule="auto"/>
              <w:rPr>
                <w:sz w:val="20"/>
                <w:lang w:val="sr-Latn-ME" w:eastAsia="sl-SI"/>
              </w:rPr>
            </w:pPr>
            <w:r w:rsidRPr="00291333">
              <w:rPr>
                <w:sz w:val="20"/>
                <w:lang w:val="sr-Latn-ME" w:eastAsia="sl-SI"/>
              </w:rPr>
              <w:t>189:5</w:t>
            </w:r>
          </w:p>
        </w:tc>
        <w:tc>
          <w:tcPr>
            <w:tcW w:w="806" w:type="dxa"/>
            <w:hideMark/>
          </w:tcPr>
          <w:p w14:paraId="58A3A0EA" w14:textId="77777777" w:rsidR="008F7DDB" w:rsidRPr="00291333" w:rsidRDefault="008F7DDB" w:rsidP="0040712C">
            <w:pPr>
              <w:spacing w:line="240" w:lineRule="auto"/>
              <w:rPr>
                <w:sz w:val="20"/>
                <w:lang w:val="sr-Latn-ME" w:eastAsia="sl-SI"/>
              </w:rPr>
            </w:pPr>
            <w:r w:rsidRPr="00291333">
              <w:rPr>
                <w:sz w:val="20"/>
                <w:lang w:val="sr-Latn-ME" w:eastAsia="sl-SI"/>
              </w:rPr>
              <w:t>184:8</w:t>
            </w:r>
          </w:p>
        </w:tc>
        <w:tc>
          <w:tcPr>
            <w:tcW w:w="806" w:type="dxa"/>
            <w:hideMark/>
          </w:tcPr>
          <w:p w14:paraId="18610FF2" w14:textId="77777777" w:rsidR="008F7DDB" w:rsidRPr="00291333" w:rsidRDefault="008F7DDB" w:rsidP="0040712C">
            <w:pPr>
              <w:spacing w:line="240" w:lineRule="auto"/>
              <w:rPr>
                <w:sz w:val="20"/>
                <w:lang w:val="sr-Latn-ME" w:eastAsia="sl-SI"/>
              </w:rPr>
            </w:pPr>
            <w:r w:rsidRPr="00291333">
              <w:rPr>
                <w:sz w:val="20"/>
                <w:lang w:val="sr-Latn-ME" w:eastAsia="sl-SI"/>
              </w:rPr>
              <w:t>181:11</w:t>
            </w:r>
          </w:p>
        </w:tc>
        <w:tc>
          <w:tcPr>
            <w:tcW w:w="806" w:type="dxa"/>
            <w:hideMark/>
          </w:tcPr>
          <w:p w14:paraId="5EAD6FB5" w14:textId="77777777" w:rsidR="008F7DDB" w:rsidRPr="00291333" w:rsidRDefault="008F7DDB" w:rsidP="0040712C">
            <w:pPr>
              <w:spacing w:line="240" w:lineRule="auto"/>
              <w:rPr>
                <w:sz w:val="20"/>
                <w:lang w:val="sr-Latn-ME" w:eastAsia="sl-SI"/>
              </w:rPr>
            </w:pPr>
            <w:r w:rsidRPr="00291333">
              <w:rPr>
                <w:sz w:val="20"/>
                <w:lang w:val="sr-Latn-ME" w:eastAsia="sl-SI"/>
              </w:rPr>
              <w:t>173:18</w:t>
            </w:r>
          </w:p>
        </w:tc>
        <w:tc>
          <w:tcPr>
            <w:tcW w:w="806" w:type="dxa"/>
            <w:hideMark/>
          </w:tcPr>
          <w:p w14:paraId="3EA366D1" w14:textId="77777777" w:rsidR="008F7DDB" w:rsidRPr="00291333" w:rsidRDefault="008F7DDB" w:rsidP="0040712C">
            <w:pPr>
              <w:spacing w:line="240" w:lineRule="auto"/>
              <w:rPr>
                <w:sz w:val="20"/>
                <w:lang w:val="sr-Latn-ME" w:eastAsia="sl-SI"/>
              </w:rPr>
            </w:pPr>
            <w:r w:rsidRPr="00291333">
              <w:rPr>
                <w:sz w:val="20"/>
                <w:lang w:val="sr-Latn-ME" w:eastAsia="sl-SI"/>
              </w:rPr>
              <w:t>152:22</w:t>
            </w:r>
          </w:p>
        </w:tc>
        <w:tc>
          <w:tcPr>
            <w:tcW w:w="806" w:type="dxa"/>
            <w:hideMark/>
          </w:tcPr>
          <w:p w14:paraId="1DAC47A1" w14:textId="77777777" w:rsidR="008F7DDB" w:rsidRPr="00291333" w:rsidRDefault="008F7DDB" w:rsidP="0040712C">
            <w:pPr>
              <w:spacing w:line="240" w:lineRule="auto"/>
              <w:rPr>
                <w:sz w:val="20"/>
                <w:lang w:val="sr-Latn-ME" w:eastAsia="sl-SI"/>
              </w:rPr>
            </w:pPr>
            <w:r w:rsidRPr="00291333">
              <w:rPr>
                <w:sz w:val="20"/>
                <w:lang w:val="sr-Latn-ME" w:eastAsia="sl-SI"/>
              </w:rPr>
              <w:t>133:25</w:t>
            </w:r>
          </w:p>
        </w:tc>
        <w:tc>
          <w:tcPr>
            <w:tcW w:w="806" w:type="dxa"/>
            <w:hideMark/>
          </w:tcPr>
          <w:p w14:paraId="7544ADF2" w14:textId="77777777" w:rsidR="008F7DDB" w:rsidRPr="00291333" w:rsidRDefault="008F7DDB" w:rsidP="0040712C">
            <w:pPr>
              <w:spacing w:line="240" w:lineRule="auto"/>
              <w:rPr>
                <w:sz w:val="20"/>
                <w:lang w:val="sr-Latn-ME" w:eastAsia="sl-SI"/>
              </w:rPr>
            </w:pPr>
            <w:r w:rsidRPr="00291333">
              <w:rPr>
                <w:sz w:val="20"/>
                <w:lang w:val="sr-Latn-ME" w:eastAsia="sl-SI"/>
              </w:rPr>
              <w:t>102:29</w:t>
            </w:r>
          </w:p>
        </w:tc>
        <w:tc>
          <w:tcPr>
            <w:tcW w:w="699" w:type="dxa"/>
            <w:hideMark/>
          </w:tcPr>
          <w:p w14:paraId="66D22189" w14:textId="77777777" w:rsidR="008F7DDB" w:rsidRPr="00291333" w:rsidRDefault="008F7DDB" w:rsidP="0040712C">
            <w:pPr>
              <w:spacing w:line="240" w:lineRule="auto"/>
              <w:rPr>
                <w:sz w:val="20"/>
                <w:lang w:val="sr-Latn-ME" w:eastAsia="sl-SI"/>
              </w:rPr>
            </w:pPr>
            <w:r w:rsidRPr="00291333">
              <w:rPr>
                <w:sz w:val="20"/>
                <w:lang w:val="sr-Latn-ME" w:eastAsia="sl-SI"/>
              </w:rPr>
              <w:t>82:35</w:t>
            </w:r>
          </w:p>
        </w:tc>
        <w:tc>
          <w:tcPr>
            <w:tcW w:w="699" w:type="dxa"/>
            <w:hideMark/>
          </w:tcPr>
          <w:p w14:paraId="265D7218" w14:textId="77777777" w:rsidR="008F7DDB" w:rsidRPr="00291333" w:rsidRDefault="008F7DDB" w:rsidP="0040712C">
            <w:pPr>
              <w:spacing w:line="240" w:lineRule="auto"/>
              <w:rPr>
                <w:sz w:val="20"/>
                <w:lang w:val="sr-Latn-ME" w:eastAsia="sl-SI"/>
              </w:rPr>
            </w:pPr>
            <w:r w:rsidRPr="00291333">
              <w:rPr>
                <w:sz w:val="20"/>
                <w:lang w:val="sr-Latn-ME" w:eastAsia="sl-SI"/>
              </w:rPr>
              <w:t>54:46</w:t>
            </w:r>
          </w:p>
        </w:tc>
        <w:tc>
          <w:tcPr>
            <w:tcW w:w="699" w:type="dxa"/>
            <w:hideMark/>
          </w:tcPr>
          <w:p w14:paraId="69EEB6B7" w14:textId="77777777" w:rsidR="008F7DDB" w:rsidRPr="00291333" w:rsidRDefault="008F7DDB" w:rsidP="0040712C">
            <w:pPr>
              <w:spacing w:line="240" w:lineRule="auto"/>
              <w:rPr>
                <w:sz w:val="20"/>
                <w:lang w:val="sr-Latn-ME" w:eastAsia="sl-SI"/>
              </w:rPr>
            </w:pPr>
            <w:r w:rsidRPr="00291333">
              <w:rPr>
                <w:sz w:val="20"/>
                <w:lang w:val="sr-Latn-ME" w:eastAsia="sl-SI"/>
              </w:rPr>
              <w:t>39:47</w:t>
            </w:r>
          </w:p>
        </w:tc>
        <w:tc>
          <w:tcPr>
            <w:tcW w:w="699" w:type="dxa"/>
            <w:hideMark/>
          </w:tcPr>
          <w:p w14:paraId="05E48CEF" w14:textId="77777777" w:rsidR="008F7DDB" w:rsidRPr="00291333" w:rsidRDefault="008F7DDB" w:rsidP="0040712C">
            <w:pPr>
              <w:spacing w:line="240" w:lineRule="auto"/>
              <w:rPr>
                <w:sz w:val="20"/>
                <w:lang w:val="sr-Latn-ME" w:eastAsia="sl-SI"/>
              </w:rPr>
            </w:pPr>
            <w:r w:rsidRPr="00291333">
              <w:rPr>
                <w:sz w:val="20"/>
                <w:lang w:val="sr-Latn-ME" w:eastAsia="sl-SI"/>
              </w:rPr>
              <w:t>21:49</w:t>
            </w:r>
          </w:p>
        </w:tc>
        <w:tc>
          <w:tcPr>
            <w:tcW w:w="699" w:type="dxa"/>
            <w:hideMark/>
          </w:tcPr>
          <w:p w14:paraId="2BFF695E" w14:textId="77777777" w:rsidR="008F7DDB" w:rsidRPr="00291333" w:rsidRDefault="008F7DDB" w:rsidP="0040712C">
            <w:pPr>
              <w:spacing w:line="240" w:lineRule="auto"/>
              <w:rPr>
                <w:sz w:val="20"/>
                <w:lang w:val="sr-Latn-ME" w:eastAsia="sl-SI"/>
              </w:rPr>
            </w:pPr>
            <w:r w:rsidRPr="00291333">
              <w:rPr>
                <w:sz w:val="20"/>
                <w:lang w:val="sr-Latn-ME" w:eastAsia="sl-SI"/>
              </w:rPr>
              <w:t>8:50</w:t>
            </w:r>
          </w:p>
        </w:tc>
        <w:tc>
          <w:tcPr>
            <w:tcW w:w="592" w:type="dxa"/>
            <w:hideMark/>
          </w:tcPr>
          <w:p w14:paraId="007A0C00" w14:textId="77777777" w:rsidR="008F7DDB" w:rsidRPr="00291333" w:rsidRDefault="008F7DDB" w:rsidP="0040712C">
            <w:pPr>
              <w:spacing w:line="240" w:lineRule="auto"/>
              <w:rPr>
                <w:sz w:val="20"/>
                <w:lang w:val="sr-Latn-ME" w:eastAsia="sl-SI"/>
              </w:rPr>
            </w:pPr>
            <w:r w:rsidRPr="00291333">
              <w:rPr>
                <w:sz w:val="20"/>
                <w:lang w:val="sr-Latn-ME" w:eastAsia="sl-SI"/>
              </w:rPr>
              <w:t>0:50</w:t>
            </w:r>
          </w:p>
        </w:tc>
        <w:tc>
          <w:tcPr>
            <w:tcW w:w="592" w:type="dxa"/>
          </w:tcPr>
          <w:p w14:paraId="652B0F19" w14:textId="77777777" w:rsidR="008F7DDB" w:rsidRPr="00291333" w:rsidRDefault="008F7DDB" w:rsidP="0040712C">
            <w:pPr>
              <w:spacing w:line="240" w:lineRule="auto"/>
              <w:rPr>
                <w:sz w:val="20"/>
                <w:lang w:val="sr-Latn-ME" w:eastAsia="sl-SI"/>
              </w:rPr>
            </w:pPr>
          </w:p>
        </w:tc>
      </w:tr>
    </w:tbl>
    <w:p w14:paraId="55B6BFAC" w14:textId="77777777" w:rsidR="008F7DDB" w:rsidRPr="00291333" w:rsidRDefault="008F7DDB" w:rsidP="008F7DDB">
      <w:pPr>
        <w:spacing w:line="240" w:lineRule="auto"/>
        <w:rPr>
          <w:rFonts w:eastAsia="MS Mincho"/>
          <w:lang w:val="sr-Latn-ME" w:eastAsia="sl-SI"/>
        </w:rPr>
      </w:pPr>
    </w:p>
    <w:p w14:paraId="5EE4142E" w14:textId="77777777" w:rsidR="008F7DDB" w:rsidRPr="00291333" w:rsidRDefault="008F7DDB" w:rsidP="008F7DDB">
      <w:pPr>
        <w:keepNext/>
        <w:spacing w:line="240" w:lineRule="auto"/>
        <w:outlineLvl w:val="6"/>
        <w:rPr>
          <w:rFonts w:eastAsia="MS Mincho"/>
          <w:b/>
          <w:lang w:val="sr-Latn-ME" w:eastAsia="sl-SI"/>
        </w:rPr>
      </w:pPr>
      <w:r w:rsidRPr="00291333">
        <w:rPr>
          <w:rFonts w:eastAsia="MS Mincho"/>
          <w:b/>
          <w:lang w:val="sr-Latn-ME" w:eastAsia="sl-SI"/>
        </w:rPr>
        <w:t>Slika 2</w:t>
      </w:r>
      <w:r w:rsidRPr="00291333">
        <w:rPr>
          <w:rFonts w:eastAsia="MS Mincho"/>
          <w:b/>
          <w:lang w:val="sr-Latn-ME" w:eastAsia="sl-SI"/>
        </w:rPr>
        <w:tab/>
        <w:t>Kaplan-Meierova procjena ukupnog preživljavanja (ITT populacija)</w:t>
      </w:r>
    </w:p>
    <w:p w14:paraId="6EE71BB9" w14:textId="77777777" w:rsidR="008F7DDB" w:rsidRPr="00291333" w:rsidRDefault="00A63101" w:rsidP="008F7DDB">
      <w:pPr>
        <w:keepNext/>
        <w:spacing w:line="240" w:lineRule="auto"/>
        <w:outlineLvl w:val="6"/>
        <w:rPr>
          <w:rFonts w:eastAsia="MS Mincho"/>
          <w:lang w:val="sr-Latn-ME" w:eastAsia="sl-SI"/>
        </w:rPr>
      </w:pPr>
      <w:r>
        <w:rPr>
          <w:noProof/>
          <w:lang w:val="en-US"/>
        </w:rPr>
        <mc:AlternateContent>
          <mc:Choice Requires="wps">
            <w:drawing>
              <wp:anchor distT="0" distB="0" distL="114300" distR="114300" simplePos="0" relativeHeight="251658240" behindDoc="0" locked="0" layoutInCell="1" allowOverlap="1" wp14:anchorId="797458D0" wp14:editId="7F801F91">
                <wp:simplePos x="0" y="0"/>
                <wp:positionH relativeFrom="column">
                  <wp:posOffset>-217170</wp:posOffset>
                </wp:positionH>
                <wp:positionV relativeFrom="paragraph">
                  <wp:posOffset>165735</wp:posOffset>
                </wp:positionV>
                <wp:extent cx="335915" cy="23952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395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90A19" w14:textId="77777777" w:rsidR="00A76118" w:rsidRDefault="00A76118" w:rsidP="008F7DDB">
                            <w:pPr>
                              <w:rPr>
                                <w:rFonts w:ascii="Arial" w:hAnsi="Arial" w:cs="Arial"/>
                                <w:sz w:val="20"/>
                              </w:rPr>
                            </w:pPr>
                            <w:r>
                              <w:rPr>
                                <w:rFonts w:ascii="Arial" w:hAnsi="Arial" w:cs="Arial"/>
                                <w:sz w:val="20"/>
                              </w:rPr>
                              <w:t>Vjerovatnoća ukupnog preživljavanja %</w:t>
                            </w:r>
                          </w:p>
                          <w:p w14:paraId="73D50EA3" w14:textId="77777777" w:rsidR="00A76118" w:rsidRDefault="00A76118" w:rsidP="008F7DDB">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458D0" id="Text Box 14" o:spid="_x0000_s1029" type="#_x0000_t202" style="position:absolute;margin-left:-17.1pt;margin-top:13.05pt;width:26.45pt;height:18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" stroked="f">
                <v:fill opacity="0"/>
                <v:textbox style="layout-flow:vertical;mso-layout-flow-alt:bottom-to-top">
                  <w:txbxContent>
                    <w:p w14:paraId="16090A19" w14:textId="77777777" w:rsidR="00A76118" w:rsidRDefault="00A76118" w:rsidP="008F7DDB">
                      <w:pPr>
                        <w:rPr>
                          <w:rFonts w:ascii="Arial" w:hAnsi="Arial" w:cs="Arial"/>
                          <w:sz w:val="20"/>
                        </w:rPr>
                      </w:pPr>
                      <w:r>
                        <w:rPr>
                          <w:rFonts w:ascii="Arial" w:hAnsi="Arial" w:cs="Arial"/>
                          <w:sz w:val="20"/>
                        </w:rPr>
                        <w:t>Vjerovatnoća ukupnog preživljavanja %</w:t>
                      </w:r>
                    </w:p>
                    <w:p w14:paraId="73D50EA3" w14:textId="77777777" w:rsidR="00A76118" w:rsidRDefault="00A76118" w:rsidP="008F7DDB">
                      <w:pPr>
                        <w:rPr>
                          <w:rFonts w:ascii="Arial" w:hAnsi="Arial" w:cs="Arial"/>
                          <w:sz w:val="20"/>
                        </w:rPr>
                      </w:pPr>
                    </w:p>
                  </w:txbxContent>
                </v:textbox>
              </v:shape>
            </w:pict>
          </mc:Fallback>
        </mc:AlternateContent>
      </w:r>
    </w:p>
    <w:p w14:paraId="331F8171" w14:textId="77777777" w:rsidR="008F7DDB" w:rsidRPr="00291333" w:rsidRDefault="00A63101" w:rsidP="008F7DDB">
      <w:pPr>
        <w:keepNext/>
        <w:widowControl w:val="0"/>
        <w:spacing w:line="240" w:lineRule="auto"/>
        <w:outlineLvl w:val="6"/>
        <w:rPr>
          <w:rFonts w:eastAsia="MS Mincho"/>
          <w:lang w:val="sr-Latn-ME" w:eastAsia="sl-SI"/>
        </w:rPr>
      </w:pPr>
      <w:r>
        <w:rPr>
          <w:noProof/>
          <w:lang w:val="en-US"/>
        </w:rPr>
        <mc:AlternateContent>
          <mc:Choice Requires="wps">
            <w:drawing>
              <wp:anchor distT="0" distB="0" distL="114300" distR="114300" simplePos="0" relativeHeight="251659264" behindDoc="0" locked="0" layoutInCell="1" allowOverlap="1" wp14:anchorId="7147EF31" wp14:editId="6FB00BD5">
                <wp:simplePos x="0" y="0"/>
                <wp:positionH relativeFrom="column">
                  <wp:posOffset>350520</wp:posOffset>
                </wp:positionH>
                <wp:positionV relativeFrom="paragraph">
                  <wp:posOffset>866140</wp:posOffset>
                </wp:positionV>
                <wp:extent cx="4585335" cy="1428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596DD" w14:textId="77777777" w:rsidR="00A76118" w:rsidRDefault="00A76118" w:rsidP="008F7DDB">
                            <w:pPr>
                              <w:rPr>
                                <w:rFonts w:ascii="Arial" w:hAnsi="Arial" w:cs="Arial"/>
                                <w:sz w:val="20"/>
                              </w:rPr>
                            </w:pPr>
                          </w:p>
                          <w:tbl>
                            <w:tblPr>
                              <w:tblW w:w="0" w:type="auto"/>
                              <w:tblLook w:val="04A0" w:firstRow="1" w:lastRow="0" w:firstColumn="1" w:lastColumn="0" w:noHBand="0" w:noVBand="1"/>
                            </w:tblPr>
                            <w:tblGrid>
                              <w:gridCol w:w="817"/>
                              <w:gridCol w:w="2464"/>
                              <w:gridCol w:w="851"/>
                              <w:gridCol w:w="962"/>
                              <w:gridCol w:w="917"/>
                            </w:tblGrid>
                            <w:tr w:rsidR="00A76118" w14:paraId="49DAC561" w14:textId="77777777">
                              <w:tc>
                                <w:tcPr>
                                  <w:tcW w:w="5691" w:type="dxa"/>
                                  <w:gridSpan w:val="5"/>
                                  <w:hideMark/>
                                </w:tcPr>
                                <w:p w14:paraId="32B97A3F" w14:textId="77777777" w:rsidR="00A76118" w:rsidRDefault="00A76118">
                                  <w:pPr>
                                    <w:rPr>
                                      <w:rFonts w:ascii="Arial" w:hAnsi="Arial" w:cs="Arial"/>
                                      <w:sz w:val="20"/>
                                    </w:rPr>
                                  </w:pPr>
                                  <w:r>
                                    <w:rPr>
                                      <w:rFonts w:ascii="Arial" w:hAnsi="Arial" w:cs="Arial"/>
                                      <w:sz w:val="20"/>
                                    </w:rPr>
                                    <w:t>P = 0,019</w:t>
                                  </w:r>
                                </w:p>
                                <w:p w14:paraId="10939430" w14:textId="77777777" w:rsidR="00A76118" w:rsidRDefault="00A76118">
                                  <w:pPr>
                                    <w:rPr>
                                      <w:rFonts w:ascii="Arial" w:hAnsi="Arial" w:cs="Arial"/>
                                      <w:sz w:val="20"/>
                                    </w:rPr>
                                  </w:pPr>
                                  <w:r>
                                    <w:rPr>
                                      <w:rFonts w:ascii="Arial" w:hAnsi="Arial" w:cs="Arial"/>
                                      <w:sz w:val="20"/>
                                    </w:rPr>
                                    <w:t>Hazardni odnos 0,45</w:t>
                                  </w:r>
                                </w:p>
                                <w:p w14:paraId="08A8ABFD" w14:textId="77777777" w:rsidR="00A76118" w:rsidRDefault="00A76118">
                                  <w:pPr>
                                    <w:rPr>
                                      <w:rFonts w:ascii="Arial" w:hAnsi="Arial" w:cs="Arial"/>
                                      <w:sz w:val="20"/>
                                      <w:lang w:val="de-DE"/>
                                    </w:rPr>
                                  </w:pPr>
                                  <w:r>
                                    <w:rPr>
                                      <w:rFonts w:ascii="Arial" w:hAnsi="Arial" w:cs="Arial"/>
                                      <w:sz w:val="20"/>
                                    </w:rPr>
                                    <w:t>(95% Cl, 0,22</w:t>
                                  </w:r>
                                  <w:r>
                                    <w:rPr>
                                      <w:rFonts w:ascii="Arial" w:hAnsi="Arial" w:cs="Arial"/>
                                      <w:sz w:val="20"/>
                                    </w:rPr>
                                    <w:noBreakHyphen/>
                                    <w:t>0,89)</w:t>
                                  </w:r>
                                </w:p>
                              </w:tc>
                            </w:tr>
                            <w:tr w:rsidR="00A76118" w14:paraId="1068F074" w14:textId="77777777">
                              <w:tc>
                                <w:tcPr>
                                  <w:tcW w:w="817" w:type="dxa"/>
                                </w:tcPr>
                                <w:p w14:paraId="68D2E41E" w14:textId="77777777" w:rsidR="00A76118" w:rsidRDefault="00A76118">
                                  <w:pPr>
                                    <w:rPr>
                                      <w:rFonts w:ascii="Arial" w:hAnsi="Arial" w:cs="Arial"/>
                                      <w:sz w:val="20"/>
                                    </w:rPr>
                                  </w:pPr>
                                </w:p>
                              </w:tc>
                              <w:tc>
                                <w:tcPr>
                                  <w:tcW w:w="2464" w:type="dxa"/>
                                </w:tcPr>
                                <w:p w14:paraId="7D86307B" w14:textId="77777777" w:rsidR="00A76118" w:rsidRDefault="00A76118">
                                  <w:pPr>
                                    <w:rPr>
                                      <w:rFonts w:ascii="Arial" w:hAnsi="Arial" w:cs="Arial"/>
                                      <w:sz w:val="20"/>
                                    </w:rPr>
                                  </w:pPr>
                                </w:p>
                              </w:tc>
                              <w:tc>
                                <w:tcPr>
                                  <w:tcW w:w="851" w:type="dxa"/>
                                  <w:tcBorders>
                                    <w:top w:val="nil"/>
                                    <w:left w:val="nil"/>
                                    <w:bottom w:val="single" w:sz="4" w:space="0" w:color="auto"/>
                                    <w:right w:val="nil"/>
                                  </w:tcBorders>
                                  <w:hideMark/>
                                </w:tcPr>
                                <w:p w14:paraId="1FFED9DE" w14:textId="77777777" w:rsidR="00A76118" w:rsidRDefault="00A76118">
                                  <w:pPr>
                                    <w:rPr>
                                      <w:rFonts w:ascii="Arial" w:hAnsi="Arial" w:cs="Arial"/>
                                      <w:sz w:val="20"/>
                                    </w:rPr>
                                  </w:pPr>
                                  <w:r>
                                    <w:rPr>
                                      <w:rFonts w:ascii="Arial" w:hAnsi="Arial" w:cs="Arial"/>
                                      <w:sz w:val="20"/>
                                      <w:lang w:val="de-DE"/>
                                    </w:rPr>
                                    <w:t>N</w:t>
                                  </w:r>
                                </w:p>
                              </w:tc>
                              <w:tc>
                                <w:tcPr>
                                  <w:tcW w:w="709" w:type="dxa"/>
                                  <w:tcBorders>
                                    <w:top w:val="nil"/>
                                    <w:left w:val="nil"/>
                                    <w:bottom w:val="single" w:sz="4" w:space="0" w:color="auto"/>
                                    <w:right w:val="nil"/>
                                  </w:tcBorders>
                                  <w:hideMark/>
                                </w:tcPr>
                                <w:p w14:paraId="0EF8E4CE" w14:textId="77777777" w:rsidR="00A76118" w:rsidRDefault="00A76118">
                                  <w:pPr>
                                    <w:rPr>
                                      <w:rFonts w:ascii="Arial" w:hAnsi="Arial" w:cs="Arial"/>
                                      <w:sz w:val="20"/>
                                    </w:rPr>
                                  </w:pPr>
                                  <w:r>
                                    <w:rPr>
                                      <w:rFonts w:ascii="Arial" w:hAnsi="Arial" w:cs="Arial"/>
                                      <w:sz w:val="20"/>
                                      <w:lang w:val="de-DE"/>
                                    </w:rPr>
                                    <w:t>Događaj</w:t>
                                  </w:r>
                                </w:p>
                              </w:tc>
                              <w:tc>
                                <w:tcPr>
                                  <w:tcW w:w="850" w:type="dxa"/>
                                  <w:tcBorders>
                                    <w:top w:val="nil"/>
                                    <w:left w:val="nil"/>
                                    <w:bottom w:val="single" w:sz="4" w:space="0" w:color="auto"/>
                                    <w:right w:val="nil"/>
                                  </w:tcBorders>
                                  <w:hideMark/>
                                </w:tcPr>
                                <w:p w14:paraId="7D6E6D6D" w14:textId="77777777" w:rsidR="00A76118" w:rsidRDefault="00A76118">
                                  <w:pPr>
                                    <w:rPr>
                                      <w:rFonts w:ascii="Arial" w:hAnsi="Arial" w:cs="Arial"/>
                                      <w:sz w:val="20"/>
                                    </w:rPr>
                                  </w:pPr>
                                  <w:r>
                                    <w:rPr>
                                      <w:rFonts w:ascii="Arial" w:hAnsi="Arial" w:cs="Arial"/>
                                      <w:sz w:val="20"/>
                                      <w:lang w:val="de-DE"/>
                                    </w:rPr>
                                    <w:t>Cenzor.</w:t>
                                  </w:r>
                                </w:p>
                              </w:tc>
                            </w:tr>
                            <w:tr w:rsidR="00A76118" w14:paraId="50C8B092" w14:textId="77777777">
                              <w:tc>
                                <w:tcPr>
                                  <w:tcW w:w="817" w:type="dxa"/>
                                  <w:hideMark/>
                                </w:tcPr>
                                <w:p w14:paraId="24DD3D60" w14:textId="77777777" w:rsidR="00A76118" w:rsidRDefault="00A76118">
                                  <w:pPr>
                                    <w:rPr>
                                      <w:rFonts w:ascii="Arial" w:hAnsi="Arial" w:cs="Arial"/>
                                      <w:sz w:val="20"/>
                                    </w:rPr>
                                  </w:pPr>
                                  <w:r>
                                    <w:rPr>
                                      <w:rFonts w:ascii="Arial" w:hAnsi="Arial" w:cs="Arial"/>
                                      <w:b/>
                                      <w:sz w:val="20"/>
                                    </w:rPr>
                                    <w:t>——</w:t>
                                  </w:r>
                                </w:p>
                              </w:tc>
                              <w:tc>
                                <w:tcPr>
                                  <w:tcW w:w="2464" w:type="dxa"/>
                                  <w:hideMark/>
                                </w:tcPr>
                                <w:p w14:paraId="56885E4C" w14:textId="77777777" w:rsidR="00A76118" w:rsidRDefault="00A76118">
                                  <w:pPr>
                                    <w:rPr>
                                      <w:rFonts w:ascii="Arial" w:hAnsi="Arial" w:cs="Arial"/>
                                      <w:sz w:val="20"/>
                                    </w:rPr>
                                  </w:pPr>
                                  <w:r>
                                    <w:rPr>
                                      <w:rFonts w:ascii="Arial" w:hAnsi="Arial" w:cs="Arial"/>
                                      <w:sz w:val="20"/>
                                    </w:rPr>
                                    <w:t>(1) Imatinib 12 mj.:</w:t>
                                  </w:r>
                                </w:p>
                              </w:tc>
                              <w:tc>
                                <w:tcPr>
                                  <w:tcW w:w="851" w:type="dxa"/>
                                  <w:tcBorders>
                                    <w:top w:val="single" w:sz="4" w:space="0" w:color="auto"/>
                                    <w:left w:val="nil"/>
                                    <w:bottom w:val="nil"/>
                                    <w:right w:val="nil"/>
                                  </w:tcBorders>
                                  <w:hideMark/>
                                </w:tcPr>
                                <w:p w14:paraId="48965BF5" w14:textId="77777777" w:rsidR="00A76118" w:rsidRDefault="00A76118">
                                  <w:pPr>
                                    <w:rPr>
                                      <w:rFonts w:ascii="Arial" w:hAnsi="Arial" w:cs="Arial"/>
                                      <w:sz w:val="20"/>
                                    </w:rPr>
                                  </w:pPr>
                                  <w:r>
                                    <w:rPr>
                                      <w:rFonts w:ascii="Arial" w:hAnsi="Arial" w:cs="Arial"/>
                                      <w:sz w:val="20"/>
                                    </w:rPr>
                                    <w:t>199</w:t>
                                  </w:r>
                                </w:p>
                              </w:tc>
                              <w:tc>
                                <w:tcPr>
                                  <w:tcW w:w="709" w:type="dxa"/>
                                  <w:tcBorders>
                                    <w:top w:val="single" w:sz="4" w:space="0" w:color="auto"/>
                                    <w:left w:val="nil"/>
                                    <w:bottom w:val="nil"/>
                                    <w:right w:val="nil"/>
                                  </w:tcBorders>
                                  <w:hideMark/>
                                </w:tcPr>
                                <w:p w14:paraId="4B529162" w14:textId="77777777" w:rsidR="00A76118" w:rsidRDefault="00A76118">
                                  <w:pPr>
                                    <w:rPr>
                                      <w:rFonts w:ascii="Arial" w:hAnsi="Arial" w:cs="Arial"/>
                                      <w:sz w:val="20"/>
                                    </w:rPr>
                                  </w:pPr>
                                  <w:r>
                                    <w:rPr>
                                      <w:rFonts w:ascii="Arial" w:hAnsi="Arial" w:cs="Arial"/>
                                      <w:sz w:val="20"/>
                                    </w:rPr>
                                    <w:t>25</w:t>
                                  </w:r>
                                </w:p>
                              </w:tc>
                              <w:tc>
                                <w:tcPr>
                                  <w:tcW w:w="850" w:type="dxa"/>
                                  <w:tcBorders>
                                    <w:top w:val="single" w:sz="4" w:space="0" w:color="auto"/>
                                    <w:left w:val="nil"/>
                                    <w:bottom w:val="nil"/>
                                    <w:right w:val="nil"/>
                                  </w:tcBorders>
                                  <w:hideMark/>
                                </w:tcPr>
                                <w:p w14:paraId="39A02C1A" w14:textId="77777777" w:rsidR="00A76118" w:rsidRDefault="00A76118">
                                  <w:pPr>
                                    <w:rPr>
                                      <w:rFonts w:ascii="Arial" w:hAnsi="Arial" w:cs="Arial"/>
                                      <w:sz w:val="20"/>
                                    </w:rPr>
                                  </w:pPr>
                                  <w:r>
                                    <w:rPr>
                                      <w:rFonts w:ascii="Arial" w:hAnsi="Arial" w:cs="Arial"/>
                                      <w:sz w:val="20"/>
                                    </w:rPr>
                                    <w:t>174</w:t>
                                  </w:r>
                                </w:p>
                              </w:tc>
                            </w:tr>
                            <w:tr w:rsidR="00A76118" w14:paraId="5FEE4C49" w14:textId="77777777">
                              <w:tc>
                                <w:tcPr>
                                  <w:tcW w:w="817" w:type="dxa"/>
                                  <w:hideMark/>
                                </w:tcPr>
                                <w:p w14:paraId="3E2AA3AF" w14:textId="77777777" w:rsidR="00A76118" w:rsidRDefault="00A76118">
                                  <w:pPr>
                                    <w:rPr>
                                      <w:rFonts w:ascii="Arial" w:hAnsi="Arial" w:cs="Arial"/>
                                      <w:sz w:val="20"/>
                                    </w:rPr>
                                  </w:pPr>
                                  <w:r>
                                    <w:rPr>
                                      <w:rFonts w:ascii="Arial" w:hAnsi="Arial" w:cs="Arial"/>
                                      <w:sz w:val="20"/>
                                    </w:rPr>
                                    <w:t>-----</w:t>
                                  </w:r>
                                </w:p>
                              </w:tc>
                              <w:tc>
                                <w:tcPr>
                                  <w:tcW w:w="2464" w:type="dxa"/>
                                  <w:hideMark/>
                                </w:tcPr>
                                <w:p w14:paraId="04D657D4" w14:textId="77777777" w:rsidR="00A76118" w:rsidRDefault="00A76118">
                                  <w:pPr>
                                    <w:rPr>
                                      <w:rFonts w:ascii="Arial" w:hAnsi="Arial" w:cs="Arial"/>
                                      <w:sz w:val="20"/>
                                    </w:rPr>
                                  </w:pPr>
                                  <w:r>
                                    <w:rPr>
                                      <w:rFonts w:ascii="Arial" w:hAnsi="Arial" w:cs="Arial"/>
                                      <w:sz w:val="20"/>
                                    </w:rPr>
                                    <w:t>(2) Imatinib 36 mj.:</w:t>
                                  </w:r>
                                </w:p>
                              </w:tc>
                              <w:tc>
                                <w:tcPr>
                                  <w:tcW w:w="851" w:type="dxa"/>
                                  <w:tcBorders>
                                    <w:top w:val="nil"/>
                                    <w:left w:val="nil"/>
                                    <w:bottom w:val="single" w:sz="4" w:space="0" w:color="auto"/>
                                    <w:right w:val="nil"/>
                                  </w:tcBorders>
                                  <w:hideMark/>
                                </w:tcPr>
                                <w:p w14:paraId="2DF41F08" w14:textId="77777777" w:rsidR="00A76118" w:rsidRDefault="00A76118">
                                  <w:pPr>
                                    <w:rPr>
                                      <w:rFonts w:ascii="Arial" w:hAnsi="Arial" w:cs="Arial"/>
                                      <w:sz w:val="20"/>
                                    </w:rPr>
                                  </w:pPr>
                                  <w:r>
                                    <w:rPr>
                                      <w:rFonts w:ascii="Arial" w:hAnsi="Arial" w:cs="Arial"/>
                                      <w:sz w:val="20"/>
                                    </w:rPr>
                                    <w:t>198</w:t>
                                  </w:r>
                                </w:p>
                              </w:tc>
                              <w:tc>
                                <w:tcPr>
                                  <w:tcW w:w="709" w:type="dxa"/>
                                  <w:tcBorders>
                                    <w:top w:val="nil"/>
                                    <w:left w:val="nil"/>
                                    <w:bottom w:val="single" w:sz="4" w:space="0" w:color="auto"/>
                                    <w:right w:val="nil"/>
                                  </w:tcBorders>
                                  <w:hideMark/>
                                </w:tcPr>
                                <w:p w14:paraId="09574688" w14:textId="77777777" w:rsidR="00A76118" w:rsidRDefault="00A76118">
                                  <w:pPr>
                                    <w:rPr>
                                      <w:rFonts w:ascii="Arial" w:hAnsi="Arial" w:cs="Arial"/>
                                      <w:sz w:val="20"/>
                                    </w:rPr>
                                  </w:pPr>
                                  <w:r>
                                    <w:rPr>
                                      <w:rFonts w:ascii="Arial" w:hAnsi="Arial" w:cs="Arial"/>
                                      <w:sz w:val="20"/>
                                    </w:rPr>
                                    <w:t>12</w:t>
                                  </w:r>
                                </w:p>
                              </w:tc>
                              <w:tc>
                                <w:tcPr>
                                  <w:tcW w:w="850" w:type="dxa"/>
                                  <w:tcBorders>
                                    <w:top w:val="nil"/>
                                    <w:left w:val="nil"/>
                                    <w:bottom w:val="single" w:sz="4" w:space="0" w:color="auto"/>
                                    <w:right w:val="nil"/>
                                  </w:tcBorders>
                                  <w:hideMark/>
                                </w:tcPr>
                                <w:p w14:paraId="743993F6" w14:textId="77777777" w:rsidR="00A76118" w:rsidRDefault="00A76118">
                                  <w:pPr>
                                    <w:rPr>
                                      <w:rFonts w:ascii="Arial" w:hAnsi="Arial" w:cs="Arial"/>
                                      <w:sz w:val="20"/>
                                    </w:rPr>
                                  </w:pPr>
                                  <w:r>
                                    <w:rPr>
                                      <w:rFonts w:ascii="Arial" w:hAnsi="Arial" w:cs="Arial"/>
                                      <w:sz w:val="20"/>
                                    </w:rPr>
                                    <w:t>186</w:t>
                                  </w:r>
                                </w:p>
                              </w:tc>
                            </w:tr>
                            <w:tr w:rsidR="00A76118" w14:paraId="1E149A1E" w14:textId="77777777">
                              <w:tc>
                                <w:tcPr>
                                  <w:tcW w:w="817" w:type="dxa"/>
                                  <w:hideMark/>
                                </w:tcPr>
                                <w:p w14:paraId="53F1798A" w14:textId="77777777" w:rsidR="00A76118" w:rsidRDefault="00A76118">
                                  <w:pPr>
                                    <w:rPr>
                                      <w:rFonts w:ascii="Arial" w:hAnsi="Arial" w:cs="Arial"/>
                                      <w:sz w:val="20"/>
                                    </w:rPr>
                                  </w:pPr>
                                  <w:r>
                                    <w:rPr>
                                      <w:rFonts w:ascii="Arial" w:hAnsi="Arial" w:cs="Arial"/>
                                      <w:sz w:val="20"/>
                                    </w:rPr>
                                    <w:t>│││</w:t>
                                  </w:r>
                                </w:p>
                              </w:tc>
                              <w:tc>
                                <w:tcPr>
                                  <w:tcW w:w="2464" w:type="dxa"/>
                                  <w:hideMark/>
                                </w:tcPr>
                                <w:p w14:paraId="71D087FC" w14:textId="77777777" w:rsidR="00A76118" w:rsidRDefault="00A76118">
                                  <w:pPr>
                                    <w:rPr>
                                      <w:rFonts w:ascii="Arial" w:hAnsi="Arial" w:cs="Arial"/>
                                      <w:sz w:val="20"/>
                                    </w:rPr>
                                  </w:pPr>
                                  <w:r>
                                    <w:rPr>
                                      <w:rFonts w:ascii="Arial" w:hAnsi="Arial" w:cs="Arial"/>
                                      <w:sz w:val="20"/>
                                    </w:rPr>
                                    <w:t>Cenzurisane opservacije</w:t>
                                  </w:r>
                                </w:p>
                              </w:tc>
                              <w:tc>
                                <w:tcPr>
                                  <w:tcW w:w="851" w:type="dxa"/>
                                  <w:tcBorders>
                                    <w:top w:val="single" w:sz="4" w:space="0" w:color="auto"/>
                                    <w:left w:val="nil"/>
                                    <w:bottom w:val="nil"/>
                                    <w:right w:val="nil"/>
                                  </w:tcBorders>
                                </w:tcPr>
                                <w:p w14:paraId="67FDBB1E" w14:textId="77777777" w:rsidR="00A76118" w:rsidRDefault="00A76118">
                                  <w:pPr>
                                    <w:rPr>
                                      <w:rFonts w:ascii="Arial" w:hAnsi="Arial" w:cs="Arial"/>
                                      <w:sz w:val="20"/>
                                    </w:rPr>
                                  </w:pPr>
                                </w:p>
                              </w:tc>
                              <w:tc>
                                <w:tcPr>
                                  <w:tcW w:w="709" w:type="dxa"/>
                                  <w:tcBorders>
                                    <w:top w:val="single" w:sz="4" w:space="0" w:color="auto"/>
                                    <w:left w:val="nil"/>
                                    <w:bottom w:val="nil"/>
                                    <w:right w:val="nil"/>
                                  </w:tcBorders>
                                </w:tcPr>
                                <w:p w14:paraId="0C004F62" w14:textId="77777777" w:rsidR="00A76118" w:rsidRDefault="00A76118">
                                  <w:pPr>
                                    <w:rPr>
                                      <w:rFonts w:ascii="Arial" w:hAnsi="Arial" w:cs="Arial"/>
                                      <w:sz w:val="20"/>
                                    </w:rPr>
                                  </w:pPr>
                                </w:p>
                              </w:tc>
                              <w:tc>
                                <w:tcPr>
                                  <w:tcW w:w="850" w:type="dxa"/>
                                  <w:tcBorders>
                                    <w:top w:val="single" w:sz="4" w:space="0" w:color="auto"/>
                                    <w:left w:val="nil"/>
                                    <w:bottom w:val="nil"/>
                                    <w:right w:val="nil"/>
                                  </w:tcBorders>
                                </w:tcPr>
                                <w:p w14:paraId="02F22225" w14:textId="77777777" w:rsidR="00A76118" w:rsidRDefault="00A76118">
                                  <w:pPr>
                                    <w:rPr>
                                      <w:rFonts w:ascii="Arial" w:hAnsi="Arial" w:cs="Arial"/>
                                      <w:sz w:val="20"/>
                                    </w:rPr>
                                  </w:pPr>
                                </w:p>
                              </w:tc>
                            </w:tr>
                          </w:tbl>
                          <w:p w14:paraId="17693EFB" w14:textId="77777777" w:rsidR="00A76118" w:rsidRDefault="00A76118" w:rsidP="008F7DDB">
                            <w:pPr>
                              <w:rPr>
                                <w:rFonts w:ascii="Arial" w:hAnsi="Arial" w:cs="Arial"/>
                                <w:sz w:val="20"/>
                              </w:rPr>
                            </w:pPr>
                          </w:p>
                          <w:p w14:paraId="3BA1D1A4" w14:textId="77777777" w:rsidR="00A76118" w:rsidRDefault="00A76118" w:rsidP="008F7DDB">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7EF31" id="Text Box 13" o:spid="_x0000_s1030" type="#_x0000_t202" style="position:absolute;margin-left:27.6pt;margin-top:68.2pt;width:36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" filled="f" stroked="f">
                <v:textbox>
                  <w:txbxContent>
                    <w:p w14:paraId="324596DD" w14:textId="77777777" w:rsidR="00A76118" w:rsidRDefault="00A76118" w:rsidP="008F7DDB">
                      <w:pPr>
                        <w:rPr>
                          <w:rFonts w:ascii="Arial" w:hAnsi="Arial" w:cs="Arial"/>
                          <w:sz w:val="20"/>
                        </w:rPr>
                      </w:pPr>
                    </w:p>
                    <w:tbl>
                      <w:tblPr>
                        <w:tblW w:w="0" w:type="auto"/>
                        <w:tblLook w:val="04A0" w:firstRow="1" w:lastRow="0" w:firstColumn="1" w:lastColumn="0" w:noHBand="0" w:noVBand="1"/>
                      </w:tblPr>
                      <w:tblGrid>
                        <w:gridCol w:w="817"/>
                        <w:gridCol w:w="2464"/>
                        <w:gridCol w:w="851"/>
                        <w:gridCol w:w="962"/>
                        <w:gridCol w:w="917"/>
                      </w:tblGrid>
                      <w:tr w:rsidR="00A76118" w14:paraId="49DAC561" w14:textId="77777777">
                        <w:tc>
                          <w:tcPr>
                            <w:tcW w:w="5691" w:type="dxa"/>
                            <w:gridSpan w:val="5"/>
                            <w:hideMark/>
                          </w:tcPr>
                          <w:p w14:paraId="32B97A3F" w14:textId="77777777" w:rsidR="00A76118" w:rsidRDefault="00A76118">
                            <w:pPr>
                              <w:rPr>
                                <w:rFonts w:ascii="Arial" w:hAnsi="Arial" w:cs="Arial"/>
                                <w:sz w:val="20"/>
                              </w:rPr>
                            </w:pPr>
                            <w:r>
                              <w:rPr>
                                <w:rFonts w:ascii="Arial" w:hAnsi="Arial" w:cs="Arial"/>
                                <w:sz w:val="20"/>
                              </w:rPr>
                              <w:t>P = 0,019</w:t>
                            </w:r>
                          </w:p>
                          <w:p w14:paraId="10939430" w14:textId="77777777" w:rsidR="00A76118" w:rsidRDefault="00A76118">
                            <w:pPr>
                              <w:rPr>
                                <w:rFonts w:ascii="Arial" w:hAnsi="Arial" w:cs="Arial"/>
                                <w:sz w:val="20"/>
                              </w:rPr>
                            </w:pPr>
                            <w:r>
                              <w:rPr>
                                <w:rFonts w:ascii="Arial" w:hAnsi="Arial" w:cs="Arial"/>
                                <w:sz w:val="20"/>
                              </w:rPr>
                              <w:t>Hazardni odnos 0,45</w:t>
                            </w:r>
                          </w:p>
                          <w:p w14:paraId="08A8ABFD" w14:textId="77777777" w:rsidR="00A76118" w:rsidRDefault="00A76118">
                            <w:pPr>
                              <w:rPr>
                                <w:rFonts w:ascii="Arial" w:hAnsi="Arial" w:cs="Arial"/>
                                <w:sz w:val="20"/>
                                <w:lang w:val="de-DE"/>
                              </w:rPr>
                            </w:pPr>
                            <w:r>
                              <w:rPr>
                                <w:rFonts w:ascii="Arial" w:hAnsi="Arial" w:cs="Arial"/>
                                <w:sz w:val="20"/>
                              </w:rPr>
                              <w:t>(95% Cl, 0,22</w:t>
                            </w:r>
                            <w:r>
                              <w:rPr>
                                <w:rFonts w:ascii="Arial" w:hAnsi="Arial" w:cs="Arial"/>
                                <w:sz w:val="20"/>
                              </w:rPr>
                              <w:noBreakHyphen/>
                              <w:t>0,89)</w:t>
                            </w:r>
                          </w:p>
                        </w:tc>
                      </w:tr>
                      <w:tr w:rsidR="00A76118" w14:paraId="1068F074" w14:textId="77777777">
                        <w:tc>
                          <w:tcPr>
                            <w:tcW w:w="817" w:type="dxa"/>
                          </w:tcPr>
                          <w:p w14:paraId="68D2E41E" w14:textId="77777777" w:rsidR="00A76118" w:rsidRDefault="00A76118">
                            <w:pPr>
                              <w:rPr>
                                <w:rFonts w:ascii="Arial" w:hAnsi="Arial" w:cs="Arial"/>
                                <w:sz w:val="20"/>
                              </w:rPr>
                            </w:pPr>
                          </w:p>
                        </w:tc>
                        <w:tc>
                          <w:tcPr>
                            <w:tcW w:w="2464" w:type="dxa"/>
                          </w:tcPr>
                          <w:p w14:paraId="7D86307B" w14:textId="77777777" w:rsidR="00A76118" w:rsidRDefault="00A76118">
                            <w:pPr>
                              <w:rPr>
                                <w:rFonts w:ascii="Arial" w:hAnsi="Arial" w:cs="Arial"/>
                                <w:sz w:val="20"/>
                              </w:rPr>
                            </w:pPr>
                          </w:p>
                        </w:tc>
                        <w:tc>
                          <w:tcPr>
                            <w:tcW w:w="851" w:type="dxa"/>
                            <w:tcBorders>
                              <w:top w:val="nil"/>
                              <w:left w:val="nil"/>
                              <w:bottom w:val="single" w:sz="4" w:space="0" w:color="auto"/>
                              <w:right w:val="nil"/>
                            </w:tcBorders>
                            <w:hideMark/>
                          </w:tcPr>
                          <w:p w14:paraId="1FFED9DE" w14:textId="77777777" w:rsidR="00A76118" w:rsidRDefault="00A76118">
                            <w:pPr>
                              <w:rPr>
                                <w:rFonts w:ascii="Arial" w:hAnsi="Arial" w:cs="Arial"/>
                                <w:sz w:val="20"/>
                              </w:rPr>
                            </w:pPr>
                            <w:r>
                              <w:rPr>
                                <w:rFonts w:ascii="Arial" w:hAnsi="Arial" w:cs="Arial"/>
                                <w:sz w:val="20"/>
                                <w:lang w:val="de-DE"/>
                              </w:rPr>
                              <w:t>N</w:t>
                            </w:r>
                          </w:p>
                        </w:tc>
                        <w:tc>
                          <w:tcPr>
                            <w:tcW w:w="709" w:type="dxa"/>
                            <w:tcBorders>
                              <w:top w:val="nil"/>
                              <w:left w:val="nil"/>
                              <w:bottom w:val="single" w:sz="4" w:space="0" w:color="auto"/>
                              <w:right w:val="nil"/>
                            </w:tcBorders>
                            <w:hideMark/>
                          </w:tcPr>
                          <w:p w14:paraId="0EF8E4CE" w14:textId="77777777" w:rsidR="00A76118" w:rsidRDefault="00A76118">
                            <w:pPr>
                              <w:rPr>
                                <w:rFonts w:ascii="Arial" w:hAnsi="Arial" w:cs="Arial"/>
                                <w:sz w:val="20"/>
                              </w:rPr>
                            </w:pPr>
                            <w:r>
                              <w:rPr>
                                <w:rFonts w:ascii="Arial" w:hAnsi="Arial" w:cs="Arial"/>
                                <w:sz w:val="20"/>
                                <w:lang w:val="de-DE"/>
                              </w:rPr>
                              <w:t>Događaj</w:t>
                            </w:r>
                          </w:p>
                        </w:tc>
                        <w:tc>
                          <w:tcPr>
                            <w:tcW w:w="850" w:type="dxa"/>
                            <w:tcBorders>
                              <w:top w:val="nil"/>
                              <w:left w:val="nil"/>
                              <w:bottom w:val="single" w:sz="4" w:space="0" w:color="auto"/>
                              <w:right w:val="nil"/>
                            </w:tcBorders>
                            <w:hideMark/>
                          </w:tcPr>
                          <w:p w14:paraId="7D6E6D6D" w14:textId="77777777" w:rsidR="00A76118" w:rsidRDefault="00A76118">
                            <w:pPr>
                              <w:rPr>
                                <w:rFonts w:ascii="Arial" w:hAnsi="Arial" w:cs="Arial"/>
                                <w:sz w:val="20"/>
                              </w:rPr>
                            </w:pPr>
                            <w:r>
                              <w:rPr>
                                <w:rFonts w:ascii="Arial" w:hAnsi="Arial" w:cs="Arial"/>
                                <w:sz w:val="20"/>
                                <w:lang w:val="de-DE"/>
                              </w:rPr>
                              <w:t>Cenzor.</w:t>
                            </w:r>
                          </w:p>
                        </w:tc>
                      </w:tr>
                      <w:tr w:rsidR="00A76118" w14:paraId="50C8B092" w14:textId="77777777">
                        <w:tc>
                          <w:tcPr>
                            <w:tcW w:w="817" w:type="dxa"/>
                            <w:hideMark/>
                          </w:tcPr>
                          <w:p w14:paraId="24DD3D60" w14:textId="77777777" w:rsidR="00A76118" w:rsidRDefault="00A76118">
                            <w:pPr>
                              <w:rPr>
                                <w:rFonts w:ascii="Arial" w:hAnsi="Arial" w:cs="Arial"/>
                                <w:sz w:val="20"/>
                              </w:rPr>
                            </w:pPr>
                            <w:r>
                              <w:rPr>
                                <w:rFonts w:ascii="Arial" w:hAnsi="Arial" w:cs="Arial"/>
                                <w:b/>
                                <w:sz w:val="20"/>
                              </w:rPr>
                              <w:t>——</w:t>
                            </w:r>
                          </w:p>
                        </w:tc>
                        <w:tc>
                          <w:tcPr>
                            <w:tcW w:w="2464" w:type="dxa"/>
                            <w:hideMark/>
                          </w:tcPr>
                          <w:p w14:paraId="56885E4C" w14:textId="77777777" w:rsidR="00A76118" w:rsidRDefault="00A76118">
                            <w:pPr>
                              <w:rPr>
                                <w:rFonts w:ascii="Arial" w:hAnsi="Arial" w:cs="Arial"/>
                                <w:sz w:val="20"/>
                              </w:rPr>
                            </w:pPr>
                            <w:r>
                              <w:rPr>
                                <w:rFonts w:ascii="Arial" w:hAnsi="Arial" w:cs="Arial"/>
                                <w:sz w:val="20"/>
                              </w:rPr>
                              <w:t>(1) Imatinib 12 mj.:</w:t>
                            </w:r>
                          </w:p>
                        </w:tc>
                        <w:tc>
                          <w:tcPr>
                            <w:tcW w:w="851" w:type="dxa"/>
                            <w:tcBorders>
                              <w:top w:val="single" w:sz="4" w:space="0" w:color="auto"/>
                              <w:left w:val="nil"/>
                              <w:bottom w:val="nil"/>
                              <w:right w:val="nil"/>
                            </w:tcBorders>
                            <w:hideMark/>
                          </w:tcPr>
                          <w:p w14:paraId="48965BF5" w14:textId="77777777" w:rsidR="00A76118" w:rsidRDefault="00A76118">
                            <w:pPr>
                              <w:rPr>
                                <w:rFonts w:ascii="Arial" w:hAnsi="Arial" w:cs="Arial"/>
                                <w:sz w:val="20"/>
                              </w:rPr>
                            </w:pPr>
                            <w:r>
                              <w:rPr>
                                <w:rFonts w:ascii="Arial" w:hAnsi="Arial" w:cs="Arial"/>
                                <w:sz w:val="20"/>
                              </w:rPr>
                              <w:t>199</w:t>
                            </w:r>
                          </w:p>
                        </w:tc>
                        <w:tc>
                          <w:tcPr>
                            <w:tcW w:w="709" w:type="dxa"/>
                            <w:tcBorders>
                              <w:top w:val="single" w:sz="4" w:space="0" w:color="auto"/>
                              <w:left w:val="nil"/>
                              <w:bottom w:val="nil"/>
                              <w:right w:val="nil"/>
                            </w:tcBorders>
                            <w:hideMark/>
                          </w:tcPr>
                          <w:p w14:paraId="4B529162" w14:textId="77777777" w:rsidR="00A76118" w:rsidRDefault="00A76118">
                            <w:pPr>
                              <w:rPr>
                                <w:rFonts w:ascii="Arial" w:hAnsi="Arial" w:cs="Arial"/>
                                <w:sz w:val="20"/>
                              </w:rPr>
                            </w:pPr>
                            <w:r>
                              <w:rPr>
                                <w:rFonts w:ascii="Arial" w:hAnsi="Arial" w:cs="Arial"/>
                                <w:sz w:val="20"/>
                              </w:rPr>
                              <w:t>25</w:t>
                            </w:r>
                          </w:p>
                        </w:tc>
                        <w:tc>
                          <w:tcPr>
                            <w:tcW w:w="850" w:type="dxa"/>
                            <w:tcBorders>
                              <w:top w:val="single" w:sz="4" w:space="0" w:color="auto"/>
                              <w:left w:val="nil"/>
                              <w:bottom w:val="nil"/>
                              <w:right w:val="nil"/>
                            </w:tcBorders>
                            <w:hideMark/>
                          </w:tcPr>
                          <w:p w14:paraId="39A02C1A" w14:textId="77777777" w:rsidR="00A76118" w:rsidRDefault="00A76118">
                            <w:pPr>
                              <w:rPr>
                                <w:rFonts w:ascii="Arial" w:hAnsi="Arial" w:cs="Arial"/>
                                <w:sz w:val="20"/>
                              </w:rPr>
                            </w:pPr>
                            <w:r>
                              <w:rPr>
                                <w:rFonts w:ascii="Arial" w:hAnsi="Arial" w:cs="Arial"/>
                                <w:sz w:val="20"/>
                              </w:rPr>
                              <w:t>174</w:t>
                            </w:r>
                          </w:p>
                        </w:tc>
                      </w:tr>
                      <w:tr w:rsidR="00A76118" w14:paraId="5FEE4C49" w14:textId="77777777">
                        <w:tc>
                          <w:tcPr>
                            <w:tcW w:w="817" w:type="dxa"/>
                            <w:hideMark/>
                          </w:tcPr>
                          <w:p w14:paraId="3E2AA3AF" w14:textId="77777777" w:rsidR="00A76118" w:rsidRDefault="00A76118">
                            <w:pPr>
                              <w:rPr>
                                <w:rFonts w:ascii="Arial" w:hAnsi="Arial" w:cs="Arial"/>
                                <w:sz w:val="20"/>
                              </w:rPr>
                            </w:pPr>
                            <w:r>
                              <w:rPr>
                                <w:rFonts w:ascii="Arial" w:hAnsi="Arial" w:cs="Arial"/>
                                <w:sz w:val="20"/>
                              </w:rPr>
                              <w:t>-----</w:t>
                            </w:r>
                          </w:p>
                        </w:tc>
                        <w:tc>
                          <w:tcPr>
                            <w:tcW w:w="2464" w:type="dxa"/>
                            <w:hideMark/>
                          </w:tcPr>
                          <w:p w14:paraId="04D657D4" w14:textId="77777777" w:rsidR="00A76118" w:rsidRDefault="00A76118">
                            <w:pPr>
                              <w:rPr>
                                <w:rFonts w:ascii="Arial" w:hAnsi="Arial" w:cs="Arial"/>
                                <w:sz w:val="20"/>
                              </w:rPr>
                            </w:pPr>
                            <w:r>
                              <w:rPr>
                                <w:rFonts w:ascii="Arial" w:hAnsi="Arial" w:cs="Arial"/>
                                <w:sz w:val="20"/>
                              </w:rPr>
                              <w:t>(2) Imatinib 36 mj.:</w:t>
                            </w:r>
                          </w:p>
                        </w:tc>
                        <w:tc>
                          <w:tcPr>
                            <w:tcW w:w="851" w:type="dxa"/>
                            <w:tcBorders>
                              <w:top w:val="nil"/>
                              <w:left w:val="nil"/>
                              <w:bottom w:val="single" w:sz="4" w:space="0" w:color="auto"/>
                              <w:right w:val="nil"/>
                            </w:tcBorders>
                            <w:hideMark/>
                          </w:tcPr>
                          <w:p w14:paraId="2DF41F08" w14:textId="77777777" w:rsidR="00A76118" w:rsidRDefault="00A76118">
                            <w:pPr>
                              <w:rPr>
                                <w:rFonts w:ascii="Arial" w:hAnsi="Arial" w:cs="Arial"/>
                                <w:sz w:val="20"/>
                              </w:rPr>
                            </w:pPr>
                            <w:r>
                              <w:rPr>
                                <w:rFonts w:ascii="Arial" w:hAnsi="Arial" w:cs="Arial"/>
                                <w:sz w:val="20"/>
                              </w:rPr>
                              <w:t>198</w:t>
                            </w:r>
                          </w:p>
                        </w:tc>
                        <w:tc>
                          <w:tcPr>
                            <w:tcW w:w="709" w:type="dxa"/>
                            <w:tcBorders>
                              <w:top w:val="nil"/>
                              <w:left w:val="nil"/>
                              <w:bottom w:val="single" w:sz="4" w:space="0" w:color="auto"/>
                              <w:right w:val="nil"/>
                            </w:tcBorders>
                            <w:hideMark/>
                          </w:tcPr>
                          <w:p w14:paraId="09574688" w14:textId="77777777" w:rsidR="00A76118" w:rsidRDefault="00A76118">
                            <w:pPr>
                              <w:rPr>
                                <w:rFonts w:ascii="Arial" w:hAnsi="Arial" w:cs="Arial"/>
                                <w:sz w:val="20"/>
                              </w:rPr>
                            </w:pPr>
                            <w:r>
                              <w:rPr>
                                <w:rFonts w:ascii="Arial" w:hAnsi="Arial" w:cs="Arial"/>
                                <w:sz w:val="20"/>
                              </w:rPr>
                              <w:t>12</w:t>
                            </w:r>
                          </w:p>
                        </w:tc>
                        <w:tc>
                          <w:tcPr>
                            <w:tcW w:w="850" w:type="dxa"/>
                            <w:tcBorders>
                              <w:top w:val="nil"/>
                              <w:left w:val="nil"/>
                              <w:bottom w:val="single" w:sz="4" w:space="0" w:color="auto"/>
                              <w:right w:val="nil"/>
                            </w:tcBorders>
                            <w:hideMark/>
                          </w:tcPr>
                          <w:p w14:paraId="743993F6" w14:textId="77777777" w:rsidR="00A76118" w:rsidRDefault="00A76118">
                            <w:pPr>
                              <w:rPr>
                                <w:rFonts w:ascii="Arial" w:hAnsi="Arial" w:cs="Arial"/>
                                <w:sz w:val="20"/>
                              </w:rPr>
                            </w:pPr>
                            <w:r>
                              <w:rPr>
                                <w:rFonts w:ascii="Arial" w:hAnsi="Arial" w:cs="Arial"/>
                                <w:sz w:val="20"/>
                              </w:rPr>
                              <w:t>186</w:t>
                            </w:r>
                          </w:p>
                        </w:tc>
                      </w:tr>
                      <w:tr w:rsidR="00A76118" w14:paraId="1E149A1E" w14:textId="77777777">
                        <w:tc>
                          <w:tcPr>
                            <w:tcW w:w="817" w:type="dxa"/>
                            <w:hideMark/>
                          </w:tcPr>
                          <w:p w14:paraId="53F1798A" w14:textId="77777777" w:rsidR="00A76118" w:rsidRDefault="00A76118">
                            <w:pPr>
                              <w:rPr>
                                <w:rFonts w:ascii="Arial" w:hAnsi="Arial" w:cs="Arial"/>
                                <w:sz w:val="20"/>
                              </w:rPr>
                            </w:pPr>
                            <w:r>
                              <w:rPr>
                                <w:rFonts w:ascii="Arial" w:hAnsi="Arial" w:cs="Arial"/>
                                <w:sz w:val="20"/>
                              </w:rPr>
                              <w:t>│││</w:t>
                            </w:r>
                          </w:p>
                        </w:tc>
                        <w:tc>
                          <w:tcPr>
                            <w:tcW w:w="2464" w:type="dxa"/>
                            <w:hideMark/>
                          </w:tcPr>
                          <w:p w14:paraId="71D087FC" w14:textId="77777777" w:rsidR="00A76118" w:rsidRDefault="00A76118">
                            <w:pPr>
                              <w:rPr>
                                <w:rFonts w:ascii="Arial" w:hAnsi="Arial" w:cs="Arial"/>
                                <w:sz w:val="20"/>
                              </w:rPr>
                            </w:pPr>
                            <w:r>
                              <w:rPr>
                                <w:rFonts w:ascii="Arial" w:hAnsi="Arial" w:cs="Arial"/>
                                <w:sz w:val="20"/>
                              </w:rPr>
                              <w:t>Cenzurisane opservacije</w:t>
                            </w:r>
                          </w:p>
                        </w:tc>
                        <w:tc>
                          <w:tcPr>
                            <w:tcW w:w="851" w:type="dxa"/>
                            <w:tcBorders>
                              <w:top w:val="single" w:sz="4" w:space="0" w:color="auto"/>
                              <w:left w:val="nil"/>
                              <w:bottom w:val="nil"/>
                              <w:right w:val="nil"/>
                            </w:tcBorders>
                          </w:tcPr>
                          <w:p w14:paraId="67FDBB1E" w14:textId="77777777" w:rsidR="00A76118" w:rsidRDefault="00A76118">
                            <w:pPr>
                              <w:rPr>
                                <w:rFonts w:ascii="Arial" w:hAnsi="Arial" w:cs="Arial"/>
                                <w:sz w:val="20"/>
                              </w:rPr>
                            </w:pPr>
                          </w:p>
                        </w:tc>
                        <w:tc>
                          <w:tcPr>
                            <w:tcW w:w="709" w:type="dxa"/>
                            <w:tcBorders>
                              <w:top w:val="single" w:sz="4" w:space="0" w:color="auto"/>
                              <w:left w:val="nil"/>
                              <w:bottom w:val="nil"/>
                              <w:right w:val="nil"/>
                            </w:tcBorders>
                          </w:tcPr>
                          <w:p w14:paraId="0C004F62" w14:textId="77777777" w:rsidR="00A76118" w:rsidRDefault="00A76118">
                            <w:pPr>
                              <w:rPr>
                                <w:rFonts w:ascii="Arial" w:hAnsi="Arial" w:cs="Arial"/>
                                <w:sz w:val="20"/>
                              </w:rPr>
                            </w:pPr>
                          </w:p>
                        </w:tc>
                        <w:tc>
                          <w:tcPr>
                            <w:tcW w:w="850" w:type="dxa"/>
                            <w:tcBorders>
                              <w:top w:val="single" w:sz="4" w:space="0" w:color="auto"/>
                              <w:left w:val="nil"/>
                              <w:bottom w:val="nil"/>
                              <w:right w:val="nil"/>
                            </w:tcBorders>
                          </w:tcPr>
                          <w:p w14:paraId="02F22225" w14:textId="77777777" w:rsidR="00A76118" w:rsidRDefault="00A76118">
                            <w:pPr>
                              <w:rPr>
                                <w:rFonts w:ascii="Arial" w:hAnsi="Arial" w:cs="Arial"/>
                                <w:sz w:val="20"/>
                              </w:rPr>
                            </w:pPr>
                          </w:p>
                        </w:tc>
                      </w:tr>
                    </w:tbl>
                    <w:p w14:paraId="17693EFB" w14:textId="77777777" w:rsidR="00A76118" w:rsidRDefault="00A76118" w:rsidP="008F7DDB">
                      <w:pPr>
                        <w:rPr>
                          <w:rFonts w:ascii="Arial" w:hAnsi="Arial" w:cs="Arial"/>
                          <w:sz w:val="20"/>
                        </w:rPr>
                      </w:pPr>
                    </w:p>
                    <w:p w14:paraId="3BA1D1A4" w14:textId="77777777" w:rsidR="00A76118" w:rsidRDefault="00A76118" w:rsidP="008F7DDB">
                      <w:pPr>
                        <w:rPr>
                          <w:rFonts w:ascii="Arial" w:hAnsi="Arial" w:cs="Arial"/>
                          <w:sz w:val="20"/>
                        </w:rPr>
                      </w:pPr>
                    </w:p>
                  </w:txbxContent>
                </v:textbox>
              </v:shape>
            </w:pict>
          </mc:Fallback>
        </mc:AlternateContent>
      </w:r>
      <w:r>
        <w:rPr>
          <w:noProof/>
          <w:lang w:val="en-US"/>
        </w:rPr>
        <w:drawing>
          <wp:inline distT="0" distB="0" distL="0" distR="0" wp14:anchorId="4FC2CCE9" wp14:editId="7F3BDB16">
            <wp:extent cx="5905500" cy="261937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0" cy="2619375"/>
                    </a:xfrm>
                    <a:prstGeom prst="rect">
                      <a:avLst/>
                    </a:prstGeom>
                    <a:noFill/>
                    <a:ln>
                      <a:noFill/>
                    </a:ln>
                  </pic:spPr>
                </pic:pic>
              </a:graphicData>
            </a:graphic>
          </wp:inline>
        </w:drawing>
      </w:r>
    </w:p>
    <w:p w14:paraId="5AB5A1FE" w14:textId="77777777" w:rsidR="008F7DDB" w:rsidRPr="00291333" w:rsidRDefault="00A63101" w:rsidP="008F7DDB">
      <w:pPr>
        <w:keepNext/>
        <w:widowControl w:val="0"/>
        <w:spacing w:line="240" w:lineRule="auto"/>
        <w:outlineLvl w:val="6"/>
        <w:rPr>
          <w:rFonts w:eastAsia="MS Mincho"/>
          <w:lang w:val="sr-Latn-ME" w:eastAsia="sl-SI"/>
        </w:rPr>
      </w:pPr>
      <w:r>
        <w:rPr>
          <w:noProof/>
          <w:lang w:val="en-US"/>
        </w:rPr>
        <mc:AlternateContent>
          <mc:Choice Requires="wps">
            <w:drawing>
              <wp:anchor distT="0" distB="0" distL="114300" distR="114300" simplePos="0" relativeHeight="251660288" behindDoc="0" locked="0" layoutInCell="1" allowOverlap="1" wp14:anchorId="3650D008" wp14:editId="55499241">
                <wp:simplePos x="0" y="0"/>
                <wp:positionH relativeFrom="column">
                  <wp:posOffset>2123440</wp:posOffset>
                </wp:positionH>
                <wp:positionV relativeFrom="paragraph">
                  <wp:posOffset>73660</wp:posOffset>
                </wp:positionV>
                <wp:extent cx="2192020" cy="3035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A25E4" w14:textId="77777777" w:rsidR="00A76118" w:rsidRDefault="00A76118" w:rsidP="008F7DDB">
                            <w:pPr>
                              <w:rPr>
                                <w:rFonts w:ascii="Arial" w:hAnsi="Arial" w:cs="Arial"/>
                                <w:sz w:val="20"/>
                              </w:rPr>
                            </w:pPr>
                            <w:r>
                              <w:rPr>
                                <w:rFonts w:ascii="Arial" w:hAnsi="Arial" w:cs="Arial"/>
                                <w:sz w:val="20"/>
                              </w:rPr>
                              <w:t>Vrijeme preživljavanja u mjesecima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0D008" id="Text Box 12" o:spid="_x0000_s1031" type="#_x0000_t202" style="position:absolute;margin-left:167.2pt;margin-top:5.8pt;width:172.6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" stroked="f">
                <v:fill opacity="0"/>
                <v:textbox>
                  <w:txbxContent>
                    <w:p w14:paraId="3C0A25E4" w14:textId="77777777" w:rsidR="00A76118" w:rsidRDefault="00A76118" w:rsidP="008F7DDB">
                      <w:pPr>
                        <w:rPr>
                          <w:rFonts w:ascii="Arial" w:hAnsi="Arial" w:cs="Arial"/>
                          <w:sz w:val="20"/>
                        </w:rPr>
                      </w:pPr>
                      <w:r>
                        <w:rPr>
                          <w:rFonts w:ascii="Arial" w:hAnsi="Arial" w:cs="Arial"/>
                          <w:sz w:val="20"/>
                        </w:rPr>
                        <w:t>Vrijeme preživljavanja u mjesecima</w:t>
                      </w:r>
                    </w:p>
                  </w:txbxContent>
                </v:textbox>
              </v:shape>
            </w:pict>
          </mc:Fallback>
        </mc:AlternateContent>
      </w:r>
    </w:p>
    <w:p w14:paraId="0514743B" w14:textId="77777777" w:rsidR="008F7DDB" w:rsidRPr="00291333" w:rsidRDefault="008F7DDB" w:rsidP="008F7DDB">
      <w:pPr>
        <w:keepNext/>
        <w:widowControl w:val="0"/>
        <w:spacing w:line="240" w:lineRule="auto"/>
        <w:outlineLvl w:val="6"/>
        <w:rPr>
          <w:rFonts w:eastAsia="MS Mincho"/>
          <w:lang w:val="sr-Latn-ME" w:eastAsia="sl-SI"/>
        </w:rPr>
      </w:pPr>
    </w:p>
    <w:p w14:paraId="7CBB9E92" w14:textId="77777777" w:rsidR="008F7DDB" w:rsidRPr="00291333" w:rsidRDefault="008F7DDB" w:rsidP="008F7DDB">
      <w:pPr>
        <w:keepNext/>
        <w:widowControl w:val="0"/>
        <w:spacing w:line="240" w:lineRule="auto"/>
        <w:outlineLvl w:val="6"/>
        <w:rPr>
          <w:noProof/>
          <w:lang w:val="sr-Latn-ME" w:eastAsia="sl-SI"/>
        </w:rPr>
      </w:pPr>
    </w:p>
    <w:tbl>
      <w:tblPr>
        <w:tblW w:w="10198" w:type="dxa"/>
        <w:tblInd w:w="-459" w:type="dxa"/>
        <w:tblLook w:val="04A0" w:firstRow="1" w:lastRow="0" w:firstColumn="1" w:lastColumn="0" w:noHBand="0" w:noVBand="1"/>
      </w:tblPr>
      <w:tblGrid>
        <w:gridCol w:w="450"/>
        <w:gridCol w:w="672"/>
        <w:gridCol w:w="672"/>
        <w:gridCol w:w="672"/>
        <w:gridCol w:w="672"/>
        <w:gridCol w:w="672"/>
        <w:gridCol w:w="772"/>
        <w:gridCol w:w="772"/>
        <w:gridCol w:w="772"/>
        <w:gridCol w:w="672"/>
        <w:gridCol w:w="672"/>
        <w:gridCol w:w="672"/>
        <w:gridCol w:w="672"/>
        <w:gridCol w:w="672"/>
        <w:gridCol w:w="572"/>
        <w:gridCol w:w="572"/>
      </w:tblGrid>
      <w:tr w:rsidR="008F7DDB" w:rsidRPr="0040712C" w14:paraId="7A33BAA6" w14:textId="77777777" w:rsidTr="0040712C">
        <w:trPr>
          <w:trHeight w:val="268"/>
        </w:trPr>
        <w:tc>
          <w:tcPr>
            <w:tcW w:w="10198" w:type="dxa"/>
            <w:gridSpan w:val="16"/>
            <w:hideMark/>
          </w:tcPr>
          <w:p w14:paraId="44BF4E82" w14:textId="77777777" w:rsidR="008F7DDB" w:rsidRPr="00291333" w:rsidRDefault="008F7DDB" w:rsidP="0040712C">
            <w:pPr>
              <w:keepNext/>
              <w:widowControl w:val="0"/>
              <w:spacing w:line="240" w:lineRule="auto"/>
              <w:outlineLvl w:val="6"/>
              <w:rPr>
                <w:sz w:val="20"/>
                <w:lang w:val="sr-Latn-ME" w:eastAsia="sl-SI"/>
              </w:rPr>
            </w:pPr>
            <w:r w:rsidRPr="00291333">
              <w:rPr>
                <w:sz w:val="20"/>
                <w:lang w:val="sr-Latn-ME" w:eastAsia="sl-SI"/>
              </w:rPr>
              <w:t>Broj pacijenata izloženih riziku: broj događaja</w:t>
            </w:r>
          </w:p>
        </w:tc>
      </w:tr>
      <w:tr w:rsidR="008F7DDB" w:rsidRPr="00291333" w14:paraId="3201C174" w14:textId="77777777" w:rsidTr="0040712C">
        <w:trPr>
          <w:trHeight w:val="254"/>
        </w:trPr>
        <w:tc>
          <w:tcPr>
            <w:tcW w:w="431" w:type="dxa"/>
            <w:hideMark/>
          </w:tcPr>
          <w:p w14:paraId="2D8C61F3" w14:textId="77777777" w:rsidR="008F7DDB" w:rsidRPr="00291333" w:rsidRDefault="008F7DDB" w:rsidP="0040712C">
            <w:pPr>
              <w:spacing w:line="240" w:lineRule="auto"/>
              <w:rPr>
                <w:sz w:val="20"/>
                <w:lang w:val="sr-Latn-ME" w:eastAsia="sl-SI"/>
              </w:rPr>
            </w:pPr>
            <w:r w:rsidRPr="00291333">
              <w:rPr>
                <w:sz w:val="20"/>
                <w:lang w:val="sr-Latn-ME" w:eastAsia="sl-SI"/>
              </w:rPr>
              <w:t>(1)</w:t>
            </w:r>
          </w:p>
        </w:tc>
        <w:tc>
          <w:tcPr>
            <w:tcW w:w="644" w:type="dxa"/>
            <w:hideMark/>
          </w:tcPr>
          <w:p w14:paraId="7D9673A0" w14:textId="77777777" w:rsidR="008F7DDB" w:rsidRPr="00291333" w:rsidRDefault="008F7DDB" w:rsidP="0040712C">
            <w:pPr>
              <w:spacing w:line="240" w:lineRule="auto"/>
              <w:rPr>
                <w:sz w:val="20"/>
                <w:lang w:val="sr-Latn-ME" w:eastAsia="sl-SI"/>
              </w:rPr>
            </w:pPr>
            <w:r w:rsidRPr="00291333">
              <w:rPr>
                <w:sz w:val="20"/>
                <w:lang w:val="sr-Latn-ME" w:eastAsia="sl-SI"/>
              </w:rPr>
              <w:t>199:0</w:t>
            </w:r>
          </w:p>
        </w:tc>
        <w:tc>
          <w:tcPr>
            <w:tcW w:w="644" w:type="dxa"/>
            <w:hideMark/>
          </w:tcPr>
          <w:p w14:paraId="0FDEC4DA" w14:textId="77777777" w:rsidR="008F7DDB" w:rsidRPr="00291333" w:rsidRDefault="008F7DDB" w:rsidP="0040712C">
            <w:pPr>
              <w:spacing w:line="240" w:lineRule="auto"/>
              <w:rPr>
                <w:sz w:val="20"/>
                <w:lang w:val="sr-Latn-ME" w:eastAsia="sl-SI"/>
              </w:rPr>
            </w:pPr>
            <w:r w:rsidRPr="00291333">
              <w:rPr>
                <w:sz w:val="20"/>
                <w:lang w:val="sr-Latn-ME" w:eastAsia="sl-SI"/>
              </w:rPr>
              <w:t>190:2</w:t>
            </w:r>
          </w:p>
        </w:tc>
        <w:tc>
          <w:tcPr>
            <w:tcW w:w="644" w:type="dxa"/>
            <w:hideMark/>
          </w:tcPr>
          <w:p w14:paraId="70329F42" w14:textId="77777777" w:rsidR="008F7DDB" w:rsidRPr="00291333" w:rsidRDefault="008F7DDB" w:rsidP="0040712C">
            <w:pPr>
              <w:spacing w:line="240" w:lineRule="auto"/>
              <w:rPr>
                <w:sz w:val="20"/>
                <w:lang w:val="sr-Latn-ME" w:eastAsia="sl-SI"/>
              </w:rPr>
            </w:pPr>
            <w:r w:rsidRPr="00291333">
              <w:rPr>
                <w:sz w:val="20"/>
                <w:lang w:val="sr-Latn-ME" w:eastAsia="sl-SI"/>
              </w:rPr>
              <w:t>188:2</w:t>
            </w:r>
          </w:p>
        </w:tc>
        <w:tc>
          <w:tcPr>
            <w:tcW w:w="644" w:type="dxa"/>
            <w:hideMark/>
          </w:tcPr>
          <w:p w14:paraId="61148C6E" w14:textId="77777777" w:rsidR="008F7DDB" w:rsidRPr="00291333" w:rsidRDefault="008F7DDB" w:rsidP="0040712C">
            <w:pPr>
              <w:spacing w:line="240" w:lineRule="auto"/>
              <w:rPr>
                <w:sz w:val="20"/>
                <w:lang w:val="sr-Latn-ME" w:eastAsia="sl-SI"/>
              </w:rPr>
            </w:pPr>
            <w:r w:rsidRPr="00291333">
              <w:rPr>
                <w:sz w:val="20"/>
                <w:lang w:val="sr-Latn-ME" w:eastAsia="sl-SI"/>
              </w:rPr>
              <w:t>183:6</w:t>
            </w:r>
          </w:p>
        </w:tc>
        <w:tc>
          <w:tcPr>
            <w:tcW w:w="644" w:type="dxa"/>
            <w:hideMark/>
          </w:tcPr>
          <w:p w14:paraId="6C5C2FB3" w14:textId="77777777" w:rsidR="008F7DDB" w:rsidRPr="00291333" w:rsidRDefault="008F7DDB" w:rsidP="0040712C">
            <w:pPr>
              <w:spacing w:line="240" w:lineRule="auto"/>
              <w:rPr>
                <w:sz w:val="20"/>
                <w:lang w:val="sr-Latn-ME" w:eastAsia="sl-SI"/>
              </w:rPr>
            </w:pPr>
            <w:r w:rsidRPr="00291333">
              <w:rPr>
                <w:sz w:val="20"/>
                <w:lang w:val="sr-Latn-ME" w:eastAsia="sl-SI"/>
              </w:rPr>
              <w:t>176:8</w:t>
            </w:r>
          </w:p>
        </w:tc>
        <w:tc>
          <w:tcPr>
            <w:tcW w:w="740" w:type="dxa"/>
            <w:hideMark/>
          </w:tcPr>
          <w:p w14:paraId="279EDAC4" w14:textId="77777777" w:rsidR="008F7DDB" w:rsidRPr="00291333" w:rsidRDefault="008F7DDB" w:rsidP="0040712C">
            <w:pPr>
              <w:spacing w:line="240" w:lineRule="auto"/>
              <w:rPr>
                <w:sz w:val="20"/>
                <w:lang w:val="sr-Latn-ME" w:eastAsia="sl-SI"/>
              </w:rPr>
            </w:pPr>
            <w:r w:rsidRPr="00291333">
              <w:rPr>
                <w:sz w:val="20"/>
                <w:lang w:val="sr-Latn-ME" w:eastAsia="sl-SI"/>
              </w:rPr>
              <w:t>156:10</w:t>
            </w:r>
          </w:p>
        </w:tc>
        <w:tc>
          <w:tcPr>
            <w:tcW w:w="740" w:type="dxa"/>
            <w:hideMark/>
          </w:tcPr>
          <w:p w14:paraId="143B6B0C" w14:textId="77777777" w:rsidR="008F7DDB" w:rsidRPr="00291333" w:rsidRDefault="008F7DDB" w:rsidP="0040712C">
            <w:pPr>
              <w:spacing w:line="240" w:lineRule="auto"/>
              <w:rPr>
                <w:sz w:val="20"/>
                <w:lang w:val="sr-Latn-ME" w:eastAsia="sl-SI"/>
              </w:rPr>
            </w:pPr>
            <w:r w:rsidRPr="00291333">
              <w:rPr>
                <w:sz w:val="20"/>
                <w:lang w:val="sr-Latn-ME" w:eastAsia="sl-SI"/>
              </w:rPr>
              <w:t>140:11</w:t>
            </w:r>
          </w:p>
        </w:tc>
        <w:tc>
          <w:tcPr>
            <w:tcW w:w="740" w:type="dxa"/>
            <w:hideMark/>
          </w:tcPr>
          <w:p w14:paraId="468656AB" w14:textId="77777777" w:rsidR="008F7DDB" w:rsidRPr="00291333" w:rsidRDefault="008F7DDB" w:rsidP="0040712C">
            <w:pPr>
              <w:spacing w:line="240" w:lineRule="auto"/>
              <w:rPr>
                <w:sz w:val="20"/>
                <w:lang w:val="sr-Latn-ME" w:eastAsia="sl-SI"/>
              </w:rPr>
            </w:pPr>
            <w:r w:rsidRPr="00291333">
              <w:rPr>
                <w:sz w:val="20"/>
                <w:lang w:val="sr-Latn-ME" w:eastAsia="sl-SI"/>
              </w:rPr>
              <w:t>105:14</w:t>
            </w:r>
          </w:p>
        </w:tc>
        <w:tc>
          <w:tcPr>
            <w:tcW w:w="644" w:type="dxa"/>
            <w:hideMark/>
          </w:tcPr>
          <w:p w14:paraId="2AB7B783" w14:textId="77777777" w:rsidR="008F7DDB" w:rsidRPr="00291333" w:rsidRDefault="008F7DDB" w:rsidP="0040712C">
            <w:pPr>
              <w:spacing w:line="240" w:lineRule="auto"/>
              <w:rPr>
                <w:sz w:val="20"/>
                <w:lang w:val="sr-Latn-ME" w:eastAsia="sl-SI"/>
              </w:rPr>
            </w:pPr>
            <w:r w:rsidRPr="00291333">
              <w:rPr>
                <w:sz w:val="20"/>
                <w:lang w:val="sr-Latn-ME" w:eastAsia="sl-SI"/>
              </w:rPr>
              <w:t>87:18</w:t>
            </w:r>
          </w:p>
        </w:tc>
        <w:tc>
          <w:tcPr>
            <w:tcW w:w="644" w:type="dxa"/>
            <w:hideMark/>
          </w:tcPr>
          <w:p w14:paraId="6507EAD0" w14:textId="77777777" w:rsidR="008F7DDB" w:rsidRPr="00291333" w:rsidRDefault="008F7DDB" w:rsidP="0040712C">
            <w:pPr>
              <w:spacing w:line="240" w:lineRule="auto"/>
              <w:rPr>
                <w:sz w:val="20"/>
                <w:lang w:val="sr-Latn-ME" w:eastAsia="sl-SI"/>
              </w:rPr>
            </w:pPr>
            <w:r w:rsidRPr="00291333">
              <w:rPr>
                <w:sz w:val="20"/>
                <w:lang w:val="sr-Latn-ME" w:eastAsia="sl-SI"/>
              </w:rPr>
              <w:t>64:22</w:t>
            </w:r>
          </w:p>
        </w:tc>
        <w:tc>
          <w:tcPr>
            <w:tcW w:w="644" w:type="dxa"/>
            <w:hideMark/>
          </w:tcPr>
          <w:p w14:paraId="7BC81FAD" w14:textId="77777777" w:rsidR="008F7DDB" w:rsidRPr="00291333" w:rsidRDefault="008F7DDB" w:rsidP="0040712C">
            <w:pPr>
              <w:spacing w:line="240" w:lineRule="auto"/>
              <w:rPr>
                <w:sz w:val="20"/>
                <w:lang w:val="sr-Latn-ME" w:eastAsia="sl-SI"/>
              </w:rPr>
            </w:pPr>
            <w:r w:rsidRPr="00291333">
              <w:rPr>
                <w:sz w:val="20"/>
                <w:lang w:val="sr-Latn-ME" w:eastAsia="sl-SI"/>
              </w:rPr>
              <w:t>46:23</w:t>
            </w:r>
          </w:p>
        </w:tc>
        <w:tc>
          <w:tcPr>
            <w:tcW w:w="644" w:type="dxa"/>
            <w:hideMark/>
          </w:tcPr>
          <w:p w14:paraId="47742230" w14:textId="77777777" w:rsidR="008F7DDB" w:rsidRPr="00291333" w:rsidRDefault="008F7DDB" w:rsidP="0040712C">
            <w:pPr>
              <w:spacing w:line="240" w:lineRule="auto"/>
              <w:rPr>
                <w:sz w:val="20"/>
                <w:lang w:val="sr-Latn-ME" w:eastAsia="sl-SI"/>
              </w:rPr>
            </w:pPr>
            <w:r w:rsidRPr="00291333">
              <w:rPr>
                <w:sz w:val="20"/>
                <w:lang w:val="sr-Latn-ME" w:eastAsia="sl-SI"/>
              </w:rPr>
              <w:t>27:25</w:t>
            </w:r>
          </w:p>
        </w:tc>
        <w:tc>
          <w:tcPr>
            <w:tcW w:w="644" w:type="dxa"/>
            <w:hideMark/>
          </w:tcPr>
          <w:p w14:paraId="4D506C78" w14:textId="77777777" w:rsidR="008F7DDB" w:rsidRPr="00291333" w:rsidRDefault="008F7DDB" w:rsidP="0040712C">
            <w:pPr>
              <w:spacing w:line="240" w:lineRule="auto"/>
              <w:rPr>
                <w:sz w:val="20"/>
                <w:lang w:val="sr-Latn-ME" w:eastAsia="sl-SI"/>
              </w:rPr>
            </w:pPr>
            <w:r w:rsidRPr="00291333">
              <w:rPr>
                <w:sz w:val="20"/>
                <w:lang w:val="sr-Latn-ME" w:eastAsia="sl-SI"/>
              </w:rPr>
              <w:t>20:25</w:t>
            </w:r>
          </w:p>
        </w:tc>
        <w:tc>
          <w:tcPr>
            <w:tcW w:w="548" w:type="dxa"/>
            <w:hideMark/>
          </w:tcPr>
          <w:p w14:paraId="215E1A0D" w14:textId="77777777" w:rsidR="008F7DDB" w:rsidRPr="00291333" w:rsidRDefault="008F7DDB" w:rsidP="0040712C">
            <w:pPr>
              <w:spacing w:line="240" w:lineRule="auto"/>
              <w:rPr>
                <w:sz w:val="20"/>
                <w:lang w:val="sr-Latn-ME" w:eastAsia="sl-SI"/>
              </w:rPr>
            </w:pPr>
            <w:r w:rsidRPr="00291333">
              <w:rPr>
                <w:sz w:val="20"/>
                <w:lang w:val="sr-Latn-ME" w:eastAsia="sl-SI"/>
              </w:rPr>
              <w:t>2:25</w:t>
            </w:r>
          </w:p>
        </w:tc>
        <w:tc>
          <w:tcPr>
            <w:tcW w:w="548" w:type="dxa"/>
            <w:hideMark/>
          </w:tcPr>
          <w:p w14:paraId="321A3220" w14:textId="77777777" w:rsidR="008F7DDB" w:rsidRPr="00291333" w:rsidRDefault="008F7DDB" w:rsidP="0040712C">
            <w:pPr>
              <w:spacing w:line="240" w:lineRule="auto"/>
              <w:rPr>
                <w:sz w:val="20"/>
                <w:lang w:val="sr-Latn-ME" w:eastAsia="sl-SI"/>
              </w:rPr>
            </w:pPr>
            <w:r w:rsidRPr="00291333">
              <w:rPr>
                <w:sz w:val="20"/>
                <w:lang w:val="sr-Latn-ME" w:eastAsia="sl-SI"/>
              </w:rPr>
              <w:t>0:25</w:t>
            </w:r>
          </w:p>
        </w:tc>
      </w:tr>
      <w:tr w:rsidR="008F7DDB" w:rsidRPr="00291333" w14:paraId="1AAA1020" w14:textId="77777777" w:rsidTr="0040712C">
        <w:trPr>
          <w:trHeight w:val="268"/>
        </w:trPr>
        <w:tc>
          <w:tcPr>
            <w:tcW w:w="431" w:type="dxa"/>
            <w:hideMark/>
          </w:tcPr>
          <w:p w14:paraId="08675217" w14:textId="77777777" w:rsidR="008F7DDB" w:rsidRPr="00291333" w:rsidRDefault="008F7DDB" w:rsidP="0040712C">
            <w:pPr>
              <w:spacing w:line="240" w:lineRule="auto"/>
              <w:rPr>
                <w:sz w:val="20"/>
                <w:lang w:val="sr-Latn-ME" w:eastAsia="sl-SI"/>
              </w:rPr>
            </w:pPr>
            <w:r w:rsidRPr="00291333">
              <w:rPr>
                <w:sz w:val="20"/>
                <w:lang w:val="sr-Latn-ME" w:eastAsia="sl-SI"/>
              </w:rPr>
              <w:t>(2)</w:t>
            </w:r>
          </w:p>
        </w:tc>
        <w:tc>
          <w:tcPr>
            <w:tcW w:w="644" w:type="dxa"/>
            <w:hideMark/>
          </w:tcPr>
          <w:p w14:paraId="7EC4F2C0" w14:textId="77777777" w:rsidR="008F7DDB" w:rsidRPr="00291333" w:rsidRDefault="008F7DDB" w:rsidP="0040712C">
            <w:pPr>
              <w:spacing w:line="240" w:lineRule="auto"/>
              <w:rPr>
                <w:sz w:val="20"/>
                <w:lang w:val="sr-Latn-ME" w:eastAsia="sl-SI"/>
              </w:rPr>
            </w:pPr>
            <w:r w:rsidRPr="00291333">
              <w:rPr>
                <w:sz w:val="20"/>
                <w:lang w:val="sr-Latn-ME" w:eastAsia="sl-SI"/>
              </w:rPr>
              <w:t>198:0</w:t>
            </w:r>
          </w:p>
        </w:tc>
        <w:tc>
          <w:tcPr>
            <w:tcW w:w="644" w:type="dxa"/>
            <w:hideMark/>
          </w:tcPr>
          <w:p w14:paraId="64A1AB01" w14:textId="77777777" w:rsidR="008F7DDB" w:rsidRPr="00291333" w:rsidRDefault="008F7DDB" w:rsidP="0040712C">
            <w:pPr>
              <w:spacing w:line="240" w:lineRule="auto"/>
              <w:rPr>
                <w:sz w:val="20"/>
                <w:lang w:val="sr-Latn-ME" w:eastAsia="sl-SI"/>
              </w:rPr>
            </w:pPr>
            <w:r w:rsidRPr="00291333">
              <w:rPr>
                <w:sz w:val="20"/>
                <w:lang w:val="sr-Latn-ME" w:eastAsia="sl-SI"/>
              </w:rPr>
              <w:t>196:0</w:t>
            </w:r>
          </w:p>
        </w:tc>
        <w:tc>
          <w:tcPr>
            <w:tcW w:w="644" w:type="dxa"/>
            <w:hideMark/>
          </w:tcPr>
          <w:p w14:paraId="292A3DED" w14:textId="77777777" w:rsidR="008F7DDB" w:rsidRPr="00291333" w:rsidRDefault="008F7DDB" w:rsidP="0040712C">
            <w:pPr>
              <w:spacing w:line="240" w:lineRule="auto"/>
              <w:rPr>
                <w:sz w:val="20"/>
                <w:lang w:val="sr-Latn-ME" w:eastAsia="sl-SI"/>
              </w:rPr>
            </w:pPr>
            <w:r w:rsidRPr="00291333">
              <w:rPr>
                <w:sz w:val="20"/>
                <w:lang w:val="sr-Latn-ME" w:eastAsia="sl-SI"/>
              </w:rPr>
              <w:t>192:0</w:t>
            </w:r>
          </w:p>
        </w:tc>
        <w:tc>
          <w:tcPr>
            <w:tcW w:w="644" w:type="dxa"/>
            <w:hideMark/>
          </w:tcPr>
          <w:p w14:paraId="54966A8A" w14:textId="77777777" w:rsidR="008F7DDB" w:rsidRPr="00291333" w:rsidRDefault="008F7DDB" w:rsidP="0040712C">
            <w:pPr>
              <w:spacing w:line="240" w:lineRule="auto"/>
              <w:rPr>
                <w:sz w:val="20"/>
                <w:lang w:val="sr-Latn-ME" w:eastAsia="sl-SI"/>
              </w:rPr>
            </w:pPr>
            <w:r w:rsidRPr="00291333">
              <w:rPr>
                <w:sz w:val="20"/>
                <w:lang w:val="sr-Latn-ME" w:eastAsia="sl-SI"/>
              </w:rPr>
              <w:t>187:4</w:t>
            </w:r>
          </w:p>
        </w:tc>
        <w:tc>
          <w:tcPr>
            <w:tcW w:w="644" w:type="dxa"/>
            <w:hideMark/>
          </w:tcPr>
          <w:p w14:paraId="298207E0" w14:textId="77777777" w:rsidR="008F7DDB" w:rsidRPr="00291333" w:rsidRDefault="008F7DDB" w:rsidP="0040712C">
            <w:pPr>
              <w:spacing w:line="240" w:lineRule="auto"/>
              <w:rPr>
                <w:sz w:val="20"/>
                <w:lang w:val="sr-Latn-ME" w:eastAsia="sl-SI"/>
              </w:rPr>
            </w:pPr>
            <w:r w:rsidRPr="00291333">
              <w:rPr>
                <w:sz w:val="20"/>
                <w:lang w:val="sr-Latn-ME" w:eastAsia="sl-SI"/>
              </w:rPr>
              <w:t>184:5</w:t>
            </w:r>
          </w:p>
        </w:tc>
        <w:tc>
          <w:tcPr>
            <w:tcW w:w="740" w:type="dxa"/>
            <w:hideMark/>
          </w:tcPr>
          <w:p w14:paraId="7C74EABF" w14:textId="77777777" w:rsidR="008F7DDB" w:rsidRPr="00291333" w:rsidRDefault="008F7DDB" w:rsidP="0040712C">
            <w:pPr>
              <w:spacing w:line="240" w:lineRule="auto"/>
              <w:rPr>
                <w:sz w:val="20"/>
                <w:lang w:val="sr-Latn-ME" w:eastAsia="sl-SI"/>
              </w:rPr>
            </w:pPr>
            <w:r w:rsidRPr="00291333">
              <w:rPr>
                <w:sz w:val="20"/>
                <w:lang w:val="sr-Latn-ME" w:eastAsia="sl-SI"/>
              </w:rPr>
              <w:t>164:7</w:t>
            </w:r>
          </w:p>
        </w:tc>
        <w:tc>
          <w:tcPr>
            <w:tcW w:w="740" w:type="dxa"/>
            <w:hideMark/>
          </w:tcPr>
          <w:p w14:paraId="2C5EA171" w14:textId="77777777" w:rsidR="008F7DDB" w:rsidRPr="00291333" w:rsidRDefault="008F7DDB" w:rsidP="0040712C">
            <w:pPr>
              <w:spacing w:line="240" w:lineRule="auto"/>
              <w:rPr>
                <w:sz w:val="20"/>
                <w:lang w:val="sr-Latn-ME" w:eastAsia="sl-SI"/>
              </w:rPr>
            </w:pPr>
            <w:r w:rsidRPr="00291333">
              <w:rPr>
                <w:sz w:val="20"/>
                <w:lang w:val="sr-Latn-ME" w:eastAsia="sl-SI"/>
              </w:rPr>
              <w:t>152:7</w:t>
            </w:r>
          </w:p>
        </w:tc>
        <w:tc>
          <w:tcPr>
            <w:tcW w:w="740" w:type="dxa"/>
            <w:hideMark/>
          </w:tcPr>
          <w:p w14:paraId="45642FDC" w14:textId="77777777" w:rsidR="008F7DDB" w:rsidRPr="00291333" w:rsidRDefault="008F7DDB" w:rsidP="0040712C">
            <w:pPr>
              <w:spacing w:line="240" w:lineRule="auto"/>
              <w:rPr>
                <w:sz w:val="20"/>
                <w:lang w:val="sr-Latn-ME" w:eastAsia="sl-SI"/>
              </w:rPr>
            </w:pPr>
            <w:r w:rsidRPr="00291333">
              <w:rPr>
                <w:sz w:val="20"/>
                <w:lang w:val="sr-Latn-ME" w:eastAsia="sl-SI"/>
              </w:rPr>
              <w:t>119:8</w:t>
            </w:r>
          </w:p>
        </w:tc>
        <w:tc>
          <w:tcPr>
            <w:tcW w:w="644" w:type="dxa"/>
            <w:hideMark/>
          </w:tcPr>
          <w:p w14:paraId="2F8CF386" w14:textId="77777777" w:rsidR="008F7DDB" w:rsidRPr="00291333" w:rsidRDefault="008F7DDB" w:rsidP="0040712C">
            <w:pPr>
              <w:spacing w:line="240" w:lineRule="auto"/>
              <w:rPr>
                <w:sz w:val="20"/>
                <w:lang w:val="sr-Latn-ME" w:eastAsia="sl-SI"/>
              </w:rPr>
            </w:pPr>
            <w:r w:rsidRPr="00291333">
              <w:rPr>
                <w:sz w:val="20"/>
                <w:lang w:val="sr-Latn-ME" w:eastAsia="sl-SI"/>
              </w:rPr>
              <w:t>100:8</w:t>
            </w:r>
          </w:p>
        </w:tc>
        <w:tc>
          <w:tcPr>
            <w:tcW w:w="644" w:type="dxa"/>
            <w:hideMark/>
          </w:tcPr>
          <w:p w14:paraId="4D672509" w14:textId="77777777" w:rsidR="008F7DDB" w:rsidRPr="00291333" w:rsidRDefault="008F7DDB" w:rsidP="0040712C">
            <w:pPr>
              <w:spacing w:line="240" w:lineRule="auto"/>
              <w:rPr>
                <w:sz w:val="20"/>
                <w:lang w:val="sr-Latn-ME" w:eastAsia="sl-SI"/>
              </w:rPr>
            </w:pPr>
            <w:r w:rsidRPr="00291333">
              <w:rPr>
                <w:sz w:val="20"/>
                <w:lang w:val="sr-Latn-ME" w:eastAsia="sl-SI"/>
              </w:rPr>
              <w:t>76:10</w:t>
            </w:r>
          </w:p>
        </w:tc>
        <w:tc>
          <w:tcPr>
            <w:tcW w:w="644" w:type="dxa"/>
            <w:hideMark/>
          </w:tcPr>
          <w:p w14:paraId="09049D72" w14:textId="77777777" w:rsidR="008F7DDB" w:rsidRPr="00291333" w:rsidRDefault="008F7DDB" w:rsidP="0040712C">
            <w:pPr>
              <w:spacing w:line="240" w:lineRule="auto"/>
              <w:rPr>
                <w:sz w:val="20"/>
                <w:lang w:val="sr-Latn-ME" w:eastAsia="sl-SI"/>
              </w:rPr>
            </w:pPr>
            <w:r w:rsidRPr="00291333">
              <w:rPr>
                <w:sz w:val="20"/>
                <w:lang w:val="sr-Latn-ME" w:eastAsia="sl-SI"/>
              </w:rPr>
              <w:t>56:11</w:t>
            </w:r>
          </w:p>
        </w:tc>
        <w:tc>
          <w:tcPr>
            <w:tcW w:w="644" w:type="dxa"/>
            <w:hideMark/>
          </w:tcPr>
          <w:p w14:paraId="1118C35B" w14:textId="77777777" w:rsidR="008F7DDB" w:rsidRPr="00291333" w:rsidRDefault="008F7DDB" w:rsidP="0040712C">
            <w:pPr>
              <w:spacing w:line="240" w:lineRule="auto"/>
              <w:rPr>
                <w:sz w:val="20"/>
                <w:lang w:val="sr-Latn-ME" w:eastAsia="sl-SI"/>
              </w:rPr>
            </w:pPr>
            <w:r w:rsidRPr="00291333">
              <w:rPr>
                <w:sz w:val="20"/>
                <w:lang w:val="sr-Latn-ME" w:eastAsia="sl-SI"/>
              </w:rPr>
              <w:t>31:11</w:t>
            </w:r>
          </w:p>
        </w:tc>
        <w:tc>
          <w:tcPr>
            <w:tcW w:w="644" w:type="dxa"/>
            <w:hideMark/>
          </w:tcPr>
          <w:p w14:paraId="7E0B4296" w14:textId="77777777" w:rsidR="008F7DDB" w:rsidRPr="00291333" w:rsidRDefault="008F7DDB" w:rsidP="0040712C">
            <w:pPr>
              <w:spacing w:line="240" w:lineRule="auto"/>
              <w:rPr>
                <w:sz w:val="20"/>
                <w:lang w:val="sr-Latn-ME" w:eastAsia="sl-SI"/>
              </w:rPr>
            </w:pPr>
            <w:r w:rsidRPr="00291333">
              <w:rPr>
                <w:sz w:val="20"/>
                <w:lang w:val="sr-Latn-ME" w:eastAsia="sl-SI"/>
              </w:rPr>
              <w:t>13:12</w:t>
            </w:r>
          </w:p>
        </w:tc>
        <w:tc>
          <w:tcPr>
            <w:tcW w:w="548" w:type="dxa"/>
            <w:hideMark/>
          </w:tcPr>
          <w:p w14:paraId="11066E1B" w14:textId="77777777" w:rsidR="008F7DDB" w:rsidRPr="00291333" w:rsidRDefault="008F7DDB" w:rsidP="0040712C">
            <w:pPr>
              <w:spacing w:line="240" w:lineRule="auto"/>
              <w:rPr>
                <w:sz w:val="20"/>
                <w:lang w:val="sr-Latn-ME" w:eastAsia="sl-SI"/>
              </w:rPr>
            </w:pPr>
            <w:r w:rsidRPr="00291333">
              <w:rPr>
                <w:sz w:val="20"/>
                <w:lang w:val="sr-Latn-ME" w:eastAsia="sl-SI"/>
              </w:rPr>
              <w:t>0:12</w:t>
            </w:r>
          </w:p>
        </w:tc>
        <w:tc>
          <w:tcPr>
            <w:tcW w:w="548" w:type="dxa"/>
          </w:tcPr>
          <w:p w14:paraId="3EBAADCB" w14:textId="77777777" w:rsidR="008F7DDB" w:rsidRPr="00291333" w:rsidRDefault="008F7DDB" w:rsidP="0040712C">
            <w:pPr>
              <w:spacing w:line="240" w:lineRule="auto"/>
              <w:rPr>
                <w:sz w:val="20"/>
                <w:lang w:val="sr-Latn-ME" w:eastAsia="sl-SI"/>
              </w:rPr>
            </w:pPr>
          </w:p>
        </w:tc>
      </w:tr>
    </w:tbl>
    <w:p w14:paraId="09396B21" w14:textId="77777777" w:rsidR="008F7DDB" w:rsidRPr="00291333" w:rsidRDefault="008F7DDB" w:rsidP="008F7DDB">
      <w:pPr>
        <w:widowControl w:val="0"/>
        <w:spacing w:line="240" w:lineRule="auto"/>
        <w:ind w:right="-1"/>
        <w:rPr>
          <w:u w:val="single"/>
          <w:lang w:val="sr-Latn-ME"/>
        </w:rPr>
      </w:pPr>
    </w:p>
    <w:p w14:paraId="7ACF79BF" w14:textId="77777777" w:rsidR="008F7DDB" w:rsidRPr="00291333" w:rsidRDefault="008F7DDB" w:rsidP="008F7DDB">
      <w:pPr>
        <w:spacing w:line="240" w:lineRule="auto"/>
        <w:jc w:val="both"/>
        <w:rPr>
          <w:lang w:val="sr-Latn-ME" w:eastAsia="sr-Latn-RS"/>
        </w:rPr>
      </w:pPr>
      <w:r w:rsidRPr="00291333">
        <w:rPr>
          <w:lang w:val="sr-Latn-ME" w:eastAsia="sl-SI"/>
        </w:rPr>
        <w:t>Nisu sprovedene kontrolisane studije kod pedijatrijskih pacijenata sa c-Kit pozitivnim GIST. U 7 objavljenih radova prijavljeno je sedamnaest (17) pacijenata sa GIST-om (sa ili bez Kit i PDGFR mutacija). Ovi pacijenti su bili uzrasta od 8 do 18 godina i imatinib je primjenjivan i kao adjuvantna terapija i kao terapija metastaza u rasponu doza od 300 do 800 mg dnevno. Kod većine pacijenata koji su primali terapiju za GIST nisu postojali podaci koji bi potvrdili c-kit ili PDGFR mutacije, koje su možda dovele do pomiješanih kliničkih ishoda.</w:t>
      </w:r>
    </w:p>
    <w:p w14:paraId="047E8D66" w14:textId="77777777" w:rsidR="008F7DDB" w:rsidRPr="00291333" w:rsidRDefault="008F7DDB" w:rsidP="008F7DDB">
      <w:pPr>
        <w:keepNext/>
        <w:tabs>
          <w:tab w:val="left" w:pos="4300"/>
          <w:tab w:val="left" w:pos="5940"/>
          <w:tab w:val="left" w:pos="8180"/>
        </w:tabs>
        <w:spacing w:line="360" w:lineRule="atLeast"/>
        <w:outlineLvl w:val="1"/>
        <w:rPr>
          <w:b/>
          <w:u w:val="single"/>
          <w:lang w:val="sr-Latn-ME" w:eastAsia="sl-SI"/>
        </w:rPr>
      </w:pPr>
      <w:r w:rsidRPr="00291333">
        <w:rPr>
          <w:b/>
          <w:u w:val="single"/>
          <w:lang w:val="sr-Latn-ME" w:eastAsia="sl-SI"/>
        </w:rPr>
        <w:t>Kliničke studije kod pacijenata sa DFSP</w:t>
      </w:r>
      <w:r w:rsidRPr="00291333">
        <w:rPr>
          <w:b/>
          <w:lang w:val="sr-Latn-ME" w:eastAsia="sl-SI"/>
        </w:rPr>
        <w:t xml:space="preserve"> </w:t>
      </w:r>
    </w:p>
    <w:p w14:paraId="06034305" w14:textId="77777777" w:rsidR="008F7DDB" w:rsidRPr="00291333" w:rsidRDefault="008F7DDB" w:rsidP="008F7DDB">
      <w:pPr>
        <w:spacing w:line="240" w:lineRule="auto"/>
        <w:jc w:val="both"/>
        <w:rPr>
          <w:lang w:val="sr-Latn-ME" w:eastAsia="sl-SI"/>
        </w:rPr>
      </w:pPr>
      <w:r w:rsidRPr="00291333">
        <w:rPr>
          <w:lang w:val="sr-Latn-ME" w:eastAsia="sl-SI"/>
        </w:rPr>
        <w:t xml:space="preserve">Jedna otvorena, multicentrična, klinička studija faze II (ispitivanje B2225) sprovedena je na 12 pacijenata sa DFSP liječenih imatinibom u dozi od 800 mg dnevno. Starost pacijenata od DFSP kretala se od 23 do 75 godina; DFSP je bio metastatski, uz lokalnu rekurenciju, nakon inicijalne hirurške resekcije i nije se smatrao pogodnim za dalju hirušku resekciju u vrijeme uključivanja ovih pacijenata u studiju. Primarni dokaz o efikasnosti bio je zasnovan na stopi objektivnih odgovora. Od 12 uključenih pacijenata, 9 je reagovalo, jedan kompletno, a 8 djelimično. Tri pacijenta koja su ispoljila djelimičan odgovor su kasnije hirurškim zahvatom postigla stanje bez oboljenja. Medijana trajanja terapije u studiji B2225 iznosila je 6,2 mjeseca, sa maksimalnim trajanjem od 24,3 mjeseca. Drugih 6 pacijenata sa DFSP liječenih imatinibom zabilježeno je u 5 publikovanih prikaza pojedinačnih slučajeva, sa rasponom starosti od 18 mjeseci do 49 godina. Odrasli pacijenti, opisani u objavljenoj literaturi, bili su liječeni ili sa 400 mg (4 slučaja) ili sa 800 mg (1 slučaj) imatiniba dnevno. Petoro pacijenata je reagovalo, tri kompletno, a dva djelimično. Medijana trajanja terapije u objavljenoj literaturi kretala se između 4 nedjelje i više od 20 mjeseci. Translokacija t(17:22)[(q22:q13)], ili njen genski proizvod, bili su prisutni kod skoro svih pacijenata koji su reagovali na terapiju imatinibom. </w:t>
      </w:r>
    </w:p>
    <w:p w14:paraId="462EDCCD" w14:textId="77777777" w:rsidR="008F7DDB" w:rsidRPr="00291333" w:rsidRDefault="008F7DDB" w:rsidP="008F7DDB">
      <w:pPr>
        <w:spacing w:line="240" w:lineRule="auto"/>
        <w:rPr>
          <w:lang w:val="sr-Latn-ME" w:eastAsia="sl-SI"/>
        </w:rPr>
      </w:pPr>
    </w:p>
    <w:p w14:paraId="0ED970FA" w14:textId="77777777" w:rsidR="008F7DDB" w:rsidRPr="00291333" w:rsidRDefault="008F7DDB" w:rsidP="008F7DDB">
      <w:pPr>
        <w:spacing w:line="240" w:lineRule="auto"/>
        <w:jc w:val="both"/>
        <w:rPr>
          <w:lang w:val="sr-Latn-ME" w:eastAsia="sl-SI"/>
        </w:rPr>
      </w:pPr>
      <w:r w:rsidRPr="00291333">
        <w:rPr>
          <w:lang w:val="sr-Latn-ME" w:eastAsia="sl-SI"/>
        </w:rPr>
        <w:t>Nema kontrolisanih ispitivanja kod pedijatrijskih pacijenata sa DFSP. U 3 objavljena rada prijavljeno je pet (5) pacijenta sa DFSP i PDGFR rearanžmanom gena. Ovi pacijenti su bili uzrasta od novorođenčadi do 14 godina i imatinib je primjenjivan u dozi od 50 mg dnevno ili dozama u rasponu od 400 do 520 mg/m</w:t>
      </w:r>
      <w:r w:rsidRPr="00291333">
        <w:rPr>
          <w:vertAlign w:val="superscript"/>
          <w:lang w:val="sr-Latn-ME" w:eastAsia="sl-SI"/>
        </w:rPr>
        <w:t xml:space="preserve">2 </w:t>
      </w:r>
      <w:r w:rsidRPr="00291333">
        <w:rPr>
          <w:lang w:val="sr-Latn-ME" w:eastAsia="sl-SI"/>
        </w:rPr>
        <w:t>dnevno. Svi pacijenti su postigli djelimičan i/ili kompletan odgovor.</w:t>
      </w:r>
    </w:p>
    <w:p w14:paraId="46CFEBC1" w14:textId="77777777" w:rsidR="008F7DDB" w:rsidRPr="00291333" w:rsidRDefault="008F7DDB" w:rsidP="008F7DDB">
      <w:pPr>
        <w:spacing w:line="240" w:lineRule="auto"/>
        <w:jc w:val="both"/>
        <w:rPr>
          <w:lang w:val="sr-Latn-ME" w:eastAsia="sl-SI"/>
        </w:rPr>
      </w:pPr>
    </w:p>
    <w:p w14:paraId="31942926" w14:textId="77777777" w:rsidR="008F7DDB" w:rsidRPr="00291333" w:rsidRDefault="008F7DDB" w:rsidP="008F7DDB">
      <w:pPr>
        <w:widowControl w:val="0"/>
        <w:spacing w:line="240" w:lineRule="auto"/>
        <w:outlineLvl w:val="0"/>
        <w:rPr>
          <w:b/>
          <w:bCs/>
          <w:lang w:val="sr-Latn-ME" w:eastAsia="sl-SI"/>
        </w:rPr>
      </w:pPr>
      <w:r w:rsidRPr="00291333">
        <w:rPr>
          <w:b/>
          <w:lang w:val="sr-Latn-ME" w:eastAsia="sl-SI"/>
        </w:rPr>
        <w:t>5.2</w:t>
      </w:r>
      <w:r w:rsidRPr="00291333">
        <w:rPr>
          <w:b/>
          <w:lang w:val="sr-Latn-ME" w:eastAsia="sl-SI"/>
        </w:rPr>
        <w:tab/>
      </w:r>
      <w:r w:rsidRPr="00291333">
        <w:rPr>
          <w:b/>
          <w:bCs/>
          <w:lang w:val="sr-Latn-ME" w:eastAsia="sl-SI"/>
        </w:rPr>
        <w:t>Farmakokinetički podaci</w:t>
      </w:r>
    </w:p>
    <w:p w14:paraId="1BFB6F13" w14:textId="77777777" w:rsidR="008F7DDB" w:rsidRPr="00291333" w:rsidRDefault="008F7DDB" w:rsidP="008F7DDB">
      <w:pPr>
        <w:widowControl w:val="0"/>
        <w:spacing w:line="240" w:lineRule="auto"/>
        <w:outlineLvl w:val="0"/>
        <w:rPr>
          <w:b/>
          <w:lang w:val="sr-Latn-ME" w:eastAsia="sl-SI"/>
        </w:rPr>
      </w:pPr>
    </w:p>
    <w:p w14:paraId="17E0DE55" w14:textId="77777777" w:rsidR="008F7DDB" w:rsidRPr="00291333" w:rsidRDefault="008F7DDB" w:rsidP="008F7DDB">
      <w:pPr>
        <w:spacing w:line="240" w:lineRule="auto"/>
        <w:jc w:val="both"/>
        <w:rPr>
          <w:u w:val="single"/>
          <w:lang w:val="sr-Latn-ME" w:eastAsia="sl-SI"/>
        </w:rPr>
      </w:pPr>
      <w:r w:rsidRPr="00291333">
        <w:rPr>
          <w:u w:val="single"/>
          <w:lang w:val="sr-Latn-ME" w:eastAsia="sl-SI"/>
        </w:rPr>
        <w:t>Farmakokinetika imatiniba</w:t>
      </w:r>
    </w:p>
    <w:p w14:paraId="28BE1FB9" w14:textId="77777777" w:rsidR="008F7DDB" w:rsidRPr="00291333" w:rsidRDefault="008F7DDB" w:rsidP="008F7DDB">
      <w:pPr>
        <w:spacing w:line="240" w:lineRule="auto"/>
        <w:jc w:val="both"/>
        <w:rPr>
          <w:lang w:val="sr-Latn-ME" w:eastAsia="sl-SI"/>
        </w:rPr>
      </w:pPr>
      <w:r w:rsidRPr="00291333">
        <w:rPr>
          <w:lang w:val="sr-Latn-ME" w:eastAsia="sl-SI"/>
        </w:rPr>
        <w:t>Farmakokinetika imatiniba je procijenjena na ukupnom rasponu doza od 25 do 1000 mg. Farmakokinetički profili u plazmi bili su analizirani prvog dana i sedmog ili 28-og dana, do kada su koncentracije u plazmi dostigle stanje ravnoteže.</w:t>
      </w:r>
    </w:p>
    <w:p w14:paraId="20D3C291" w14:textId="77777777" w:rsidR="008F7DDB" w:rsidRPr="00291333" w:rsidRDefault="008F7DDB" w:rsidP="008F7DDB">
      <w:pPr>
        <w:spacing w:line="240" w:lineRule="auto"/>
        <w:jc w:val="both"/>
        <w:rPr>
          <w:lang w:val="sr-Latn-ME" w:eastAsia="sl-SI"/>
        </w:rPr>
      </w:pPr>
    </w:p>
    <w:p w14:paraId="76DBFDA7"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Resorpcija </w:t>
      </w:r>
    </w:p>
    <w:p w14:paraId="709EECB8" w14:textId="77777777" w:rsidR="008F7DDB" w:rsidRPr="00291333" w:rsidRDefault="008F7DDB" w:rsidP="008F7DDB">
      <w:pPr>
        <w:spacing w:line="240" w:lineRule="auto"/>
        <w:jc w:val="both"/>
        <w:rPr>
          <w:lang w:val="sr-Latn-ME" w:eastAsia="sl-SI"/>
        </w:rPr>
      </w:pPr>
      <w:r w:rsidRPr="00291333">
        <w:rPr>
          <w:lang w:val="sr-Latn-ME" w:eastAsia="sl-SI"/>
        </w:rPr>
        <w:t>Srednja apsolutna bioraspoloživost za imatinib iznosi 98%. Među pacijentima je postojala velika varijabilnost u vrijednostima PIK-a imatiniba u plazmi nakon oralne doze. Kada je lijek davan sa obrokom sa visokim sadržajem masti, obim resorpcije imatiniba bio je minimalno redukovan (11% smanjenje vrijednosti C</w:t>
      </w:r>
      <w:r w:rsidRPr="00291333">
        <w:rPr>
          <w:vertAlign w:val="subscript"/>
          <w:lang w:val="sr-Latn-ME" w:eastAsia="sl-SI"/>
        </w:rPr>
        <w:t xml:space="preserve">max </w:t>
      </w:r>
      <w:r w:rsidRPr="00291333">
        <w:rPr>
          <w:lang w:val="sr-Latn-ME" w:eastAsia="sl-SI"/>
        </w:rPr>
        <w:t>i produženja t</w:t>
      </w:r>
      <w:r w:rsidRPr="00291333">
        <w:rPr>
          <w:vertAlign w:val="subscript"/>
          <w:lang w:val="sr-Latn-ME" w:eastAsia="sl-SI"/>
        </w:rPr>
        <w:t xml:space="preserve">max </w:t>
      </w:r>
      <w:r w:rsidRPr="00291333">
        <w:rPr>
          <w:lang w:val="sr-Latn-ME" w:eastAsia="sl-SI"/>
        </w:rPr>
        <w:t>za 1,5 h), sa malim redukovanjem PIK-a (7,4%) u poređenju sa davanjem natašte. Efekat prethodne gastrointestinalne operacije na resorpciju lijeka nije ispitivan.</w:t>
      </w:r>
    </w:p>
    <w:p w14:paraId="1BEC5531" w14:textId="77777777" w:rsidR="008F7DDB" w:rsidRPr="00291333" w:rsidRDefault="008F7DDB" w:rsidP="008F7DDB">
      <w:pPr>
        <w:spacing w:line="240" w:lineRule="auto"/>
        <w:jc w:val="both"/>
        <w:rPr>
          <w:lang w:val="sr-Latn-ME" w:eastAsia="sl-SI"/>
        </w:rPr>
      </w:pPr>
    </w:p>
    <w:p w14:paraId="548D0680"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Distribucija </w:t>
      </w:r>
    </w:p>
    <w:p w14:paraId="413F4433" w14:textId="77777777" w:rsidR="008F7DDB" w:rsidRPr="00291333" w:rsidRDefault="008F7DDB" w:rsidP="008F7DDB">
      <w:pPr>
        <w:spacing w:line="240" w:lineRule="auto"/>
        <w:jc w:val="both"/>
        <w:rPr>
          <w:lang w:val="sr-Latn-ME" w:eastAsia="sl-SI"/>
        </w:rPr>
      </w:pPr>
      <w:r w:rsidRPr="00291333">
        <w:rPr>
          <w:lang w:val="sr-Latn-ME" w:eastAsia="sl-SI"/>
        </w:rPr>
        <w:t xml:space="preserve">U klinički relevantnim koncentracijama imatiniba, vezivanje za proteine plazme bilo je približno 95% na osnovu </w:t>
      </w:r>
      <w:r w:rsidRPr="00291333">
        <w:rPr>
          <w:i/>
          <w:lang w:val="sr-Latn-ME" w:eastAsia="sl-SI"/>
        </w:rPr>
        <w:t xml:space="preserve">in vitro </w:t>
      </w:r>
      <w:r w:rsidRPr="00291333">
        <w:rPr>
          <w:lang w:val="sr-Latn-ME" w:eastAsia="sl-SI"/>
        </w:rPr>
        <w:t>eksperimenata, uglavnom za albumin i alfa-kiseli-glikoprotein, sa malim vezivanjem za lipoprotein.</w:t>
      </w:r>
    </w:p>
    <w:p w14:paraId="3328415A" w14:textId="77777777" w:rsidR="008F7DDB" w:rsidRPr="00291333" w:rsidRDefault="008F7DDB" w:rsidP="008F7DDB">
      <w:pPr>
        <w:spacing w:line="240" w:lineRule="auto"/>
        <w:rPr>
          <w:lang w:val="sr-Latn-ME" w:eastAsia="sl-SI"/>
        </w:rPr>
      </w:pPr>
    </w:p>
    <w:p w14:paraId="2A5FF7F5"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Biotransformacija </w:t>
      </w:r>
    </w:p>
    <w:p w14:paraId="3EB838D0" w14:textId="77777777" w:rsidR="008F7DDB" w:rsidRPr="00291333" w:rsidRDefault="008F7DDB" w:rsidP="008F7DDB">
      <w:pPr>
        <w:spacing w:line="240" w:lineRule="auto"/>
        <w:jc w:val="both"/>
        <w:rPr>
          <w:lang w:val="sr-Latn-ME" w:eastAsia="sl-SI"/>
        </w:rPr>
      </w:pPr>
      <w:r w:rsidRPr="00291333">
        <w:rPr>
          <w:lang w:val="sr-Latn-ME" w:eastAsia="sl-SI"/>
        </w:rPr>
        <w:t xml:space="preserve">Glavni cirkulišući metabolit kod ljudi je N-demetilovani piperazinski derivat, koji ispoljava sličnu aktivnost </w:t>
      </w:r>
      <w:r w:rsidRPr="00291333">
        <w:rPr>
          <w:i/>
          <w:lang w:val="sr-Latn-ME" w:eastAsia="sl-SI"/>
        </w:rPr>
        <w:t xml:space="preserve">in vitro </w:t>
      </w:r>
      <w:r w:rsidRPr="00291333">
        <w:rPr>
          <w:lang w:val="sr-Latn-ME" w:eastAsia="sl-SI"/>
        </w:rPr>
        <w:t xml:space="preserve">kao i matično jedinjenje. Utvrđeno je da je PIK za ovaj metabolit u plazmi bio samo 16% od PIK-a za imatinib. Vezivanje za proteine plazme N-demetilovanog metabolita slično je onom kod matičnog jedinjenja. </w:t>
      </w:r>
    </w:p>
    <w:p w14:paraId="3C684FFD" w14:textId="77777777" w:rsidR="008F7DDB" w:rsidRPr="00291333" w:rsidRDefault="008F7DDB" w:rsidP="008F7DDB">
      <w:pPr>
        <w:spacing w:line="240" w:lineRule="auto"/>
        <w:jc w:val="both"/>
        <w:rPr>
          <w:lang w:val="sr-Latn-ME" w:eastAsia="sl-SI"/>
        </w:rPr>
      </w:pPr>
    </w:p>
    <w:p w14:paraId="08D1813E" w14:textId="77777777" w:rsidR="008F7DDB" w:rsidRPr="00291333" w:rsidRDefault="008F7DDB" w:rsidP="008F7DDB">
      <w:pPr>
        <w:spacing w:line="240" w:lineRule="auto"/>
        <w:jc w:val="both"/>
        <w:rPr>
          <w:lang w:val="sr-Latn-ME" w:eastAsia="sl-SI"/>
        </w:rPr>
      </w:pPr>
      <w:r w:rsidRPr="00291333">
        <w:rPr>
          <w:lang w:val="sr-Latn-ME" w:eastAsia="sl-SI"/>
        </w:rPr>
        <w:t xml:space="preserve">Imatinib i N-demetilovani metabolit zajedno su odgovorni za oko 65% cirkulišuće radioaktivnosti (PIK(0-48 h)). Preostala cirkulišuća radioaktivnost sastojala se od brojnih manjih metabolita. </w:t>
      </w:r>
    </w:p>
    <w:p w14:paraId="6857E350" w14:textId="77777777" w:rsidR="008F7DDB" w:rsidRPr="00291333" w:rsidRDefault="008F7DDB" w:rsidP="008F7DDB">
      <w:pPr>
        <w:spacing w:line="240" w:lineRule="auto"/>
        <w:jc w:val="both"/>
        <w:rPr>
          <w:i/>
          <w:lang w:val="sr-Latn-ME" w:eastAsia="sl-SI"/>
        </w:rPr>
      </w:pPr>
    </w:p>
    <w:p w14:paraId="0EB87252" w14:textId="77777777" w:rsidR="008F7DDB" w:rsidRPr="00291333" w:rsidRDefault="008F7DDB" w:rsidP="008F7DDB">
      <w:pPr>
        <w:spacing w:line="240" w:lineRule="auto"/>
        <w:jc w:val="both"/>
        <w:rPr>
          <w:lang w:val="sr-Latn-ME" w:eastAsia="sl-SI"/>
        </w:rPr>
      </w:pPr>
      <w:r w:rsidRPr="00291333">
        <w:rPr>
          <w:i/>
          <w:lang w:val="sr-Latn-ME" w:eastAsia="sl-SI"/>
        </w:rPr>
        <w:t xml:space="preserve">In vitro </w:t>
      </w:r>
      <w:r w:rsidRPr="00291333">
        <w:rPr>
          <w:lang w:val="sr-Latn-ME" w:eastAsia="sl-SI"/>
        </w:rPr>
        <w:t xml:space="preserve">rezultati pokazali su da je CYP3A4 glavni humani P450 enzim koji katalizuje biotransformaciju imatiniba. Od grupe potencijalnih ljekova za istovremenu primjenu (acetaminofen, aciklovir, alopurinol, amfotericin, citarabin, eritromicin, flukonazol, hidroksiurea, norfloksacin, penicilin V) samo eritromicin (IC50 50 mikroM) i flukonazol (IC50 118 mikroM) pokazali su inhibiciju metabolizma imatiniba koja može biti klinički relevantna. </w:t>
      </w:r>
    </w:p>
    <w:p w14:paraId="550669BD" w14:textId="77777777" w:rsidR="008F7DDB" w:rsidRPr="00291333" w:rsidRDefault="008F7DDB" w:rsidP="008F7DDB">
      <w:pPr>
        <w:spacing w:line="240" w:lineRule="auto"/>
        <w:rPr>
          <w:lang w:val="sr-Latn-ME" w:eastAsia="sl-SI"/>
        </w:rPr>
      </w:pPr>
    </w:p>
    <w:p w14:paraId="7213491B" w14:textId="77777777" w:rsidR="008F7DDB" w:rsidRPr="00291333" w:rsidRDefault="008F7DDB" w:rsidP="008F7DDB">
      <w:pPr>
        <w:spacing w:line="240" w:lineRule="auto"/>
        <w:jc w:val="both"/>
        <w:rPr>
          <w:lang w:val="sr-Latn-ME" w:eastAsia="sl-SI"/>
        </w:rPr>
      </w:pPr>
      <w:r w:rsidRPr="00291333">
        <w:rPr>
          <w:lang w:val="sr-Latn-ME" w:eastAsia="sl-SI"/>
        </w:rPr>
        <w:t xml:space="preserve">Pokazalo se da je imatinib </w:t>
      </w:r>
      <w:r w:rsidRPr="00291333">
        <w:rPr>
          <w:i/>
          <w:lang w:val="sr-Latn-ME" w:eastAsia="sl-SI"/>
        </w:rPr>
        <w:t xml:space="preserve">in vitro </w:t>
      </w:r>
      <w:r w:rsidRPr="00291333">
        <w:rPr>
          <w:lang w:val="sr-Latn-ME" w:eastAsia="sl-SI"/>
        </w:rPr>
        <w:t>kompetitivni inhibitor supstrata markera za CYP2C9, CYP2D6 i CYP3A4/5. Ki vrijednosti u humanim mikrozomima jetre bile su redom 27, 7,5 i 7,9 mikromol/L. Maksimalne koncentracije u plazmi imatiniba kod pacijenata su 2-4 mikromol/L, usljed čega je inhibicija CYP2D6 i/ili CYP3A4/5-posredovanog metabolizma istovremeno datih ljekova moguća. Imatinib nije uticao na biotransformaciju 5-fluorouracila, ali je inhibirao metabolizam paklitaksela kao rezultat kompetitivne inhibicije CYP2C8 (Ki = 34,7 mikroM). Ova Ki vrijednost je daleko viša od očekivanih nivoa imatiniba u plazmi pacijenta, pa se stoga ne očekuje nikakva interakcija nakon istovremenog davanja 5-fluorouracila ili paklitaksela i imatiniba.</w:t>
      </w:r>
    </w:p>
    <w:p w14:paraId="68E87BA7" w14:textId="77777777" w:rsidR="008F7DDB" w:rsidRPr="00291333" w:rsidRDefault="008F7DDB" w:rsidP="008F7DDB">
      <w:pPr>
        <w:spacing w:line="240" w:lineRule="auto"/>
        <w:rPr>
          <w:lang w:val="sr-Latn-ME" w:eastAsia="sl-SI"/>
        </w:rPr>
      </w:pPr>
    </w:p>
    <w:p w14:paraId="39DCB6C5"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Eliminacija </w:t>
      </w:r>
    </w:p>
    <w:p w14:paraId="635C7C21" w14:textId="77777777" w:rsidR="008F7DDB" w:rsidRPr="00291333" w:rsidRDefault="008F7DDB" w:rsidP="008F7DDB">
      <w:pPr>
        <w:spacing w:line="240" w:lineRule="auto"/>
        <w:jc w:val="both"/>
        <w:rPr>
          <w:lang w:val="sr-Latn-ME" w:eastAsia="sl-SI"/>
        </w:rPr>
      </w:pPr>
      <w:r w:rsidRPr="00291333">
        <w:rPr>
          <w:lang w:val="sr-Latn-ME" w:eastAsia="sl-SI"/>
        </w:rPr>
        <w:t xml:space="preserve">Na osnovu pronalaženja jedinjenja poslije oralne doze imatiniba markiranog sa </w:t>
      </w:r>
      <w:r w:rsidRPr="00291333">
        <w:rPr>
          <w:vertAlign w:val="superscript"/>
          <w:lang w:val="sr-Latn-ME" w:eastAsia="sl-SI"/>
        </w:rPr>
        <w:t>14</w:t>
      </w:r>
      <w:r w:rsidRPr="00291333">
        <w:rPr>
          <w:lang w:val="sr-Latn-ME" w:eastAsia="sl-SI"/>
        </w:rPr>
        <w:t>C, približno 81% doze je pronađeno unutar 7 dana u fecesu (68% doze) i urinu (13% doze). Na nepromijenjeni imatinib otpadalo je 25% doze (5% urin, 20% feces), a ostatak su bili metaboliti.</w:t>
      </w:r>
    </w:p>
    <w:p w14:paraId="6E12F2A6" w14:textId="77777777" w:rsidR="008F7DDB" w:rsidRPr="00291333" w:rsidRDefault="008F7DDB" w:rsidP="008F7DDB">
      <w:pPr>
        <w:spacing w:line="240" w:lineRule="auto"/>
        <w:rPr>
          <w:sz w:val="24"/>
          <w:lang w:val="sr-Latn-ME" w:eastAsia="sl-SI"/>
        </w:rPr>
      </w:pPr>
    </w:p>
    <w:p w14:paraId="67F3C363" w14:textId="77777777" w:rsidR="008F7DDB" w:rsidRPr="00291333" w:rsidRDefault="008F7DDB" w:rsidP="008F7DDB">
      <w:pPr>
        <w:spacing w:line="240" w:lineRule="auto"/>
        <w:jc w:val="both"/>
        <w:rPr>
          <w:u w:val="single"/>
          <w:lang w:val="sr-Latn-ME" w:eastAsia="sr-Latn-RS"/>
        </w:rPr>
      </w:pPr>
      <w:r w:rsidRPr="00291333">
        <w:rPr>
          <w:u w:val="single"/>
          <w:lang w:val="sr-Latn-ME" w:eastAsia="sl-SI"/>
        </w:rPr>
        <w:t xml:space="preserve">Farmakokinetika u plazmi </w:t>
      </w:r>
    </w:p>
    <w:p w14:paraId="0D9B9B30" w14:textId="77777777" w:rsidR="008F7DDB" w:rsidRPr="00291333" w:rsidRDefault="008F7DDB" w:rsidP="008F7DDB">
      <w:pPr>
        <w:spacing w:line="240" w:lineRule="auto"/>
        <w:jc w:val="both"/>
        <w:rPr>
          <w:lang w:val="sr-Latn-ME" w:eastAsia="sl-SI"/>
        </w:rPr>
      </w:pPr>
      <w:r w:rsidRPr="00291333">
        <w:rPr>
          <w:lang w:val="sr-Latn-ME" w:eastAsia="sl-SI"/>
        </w:rPr>
        <w:t>Nakon oralnog davanja zdravim dobrovoljcima, poluvrijeme eliminacije (t</w:t>
      </w:r>
      <w:r w:rsidRPr="00291333">
        <w:rPr>
          <w:vertAlign w:val="subscript"/>
          <w:lang w:val="sr-Latn-ME" w:eastAsia="sl-SI"/>
        </w:rPr>
        <w:t>1/2</w:t>
      </w:r>
      <w:r w:rsidRPr="00291333">
        <w:rPr>
          <w:lang w:val="sr-Latn-ME" w:eastAsia="sl-SI"/>
        </w:rPr>
        <w:t>) iznosilo je približno 18 h, potvrđujući da je doziranje jednom dnevno odgovarajuće. Povećanje srednjeg PIK-a sa povećanjem doze bilo je linearno, a doza proporcionalna u rasponu od 25 do 1000 mg imatiniba poslije oralnog davanja. Nije bilo promjena u kinetici imatiniba na ponovljeno doziranje, a akumulacija je bila 1,5-2,5-puta veća u stanju ravnoteže kad se lijek dozira jednom dnevno.</w:t>
      </w:r>
    </w:p>
    <w:p w14:paraId="259D3B55" w14:textId="77777777" w:rsidR="008F7DDB" w:rsidRPr="00291333" w:rsidRDefault="008F7DDB" w:rsidP="008F7DDB">
      <w:pPr>
        <w:spacing w:line="240" w:lineRule="auto"/>
        <w:rPr>
          <w:lang w:val="sr-Latn-ME" w:eastAsia="sl-SI"/>
        </w:rPr>
      </w:pPr>
    </w:p>
    <w:p w14:paraId="1BF9FCE1"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Farmakokinetika kod pacijenata sa GIST-om </w:t>
      </w:r>
    </w:p>
    <w:p w14:paraId="606704C6" w14:textId="77777777" w:rsidR="008F7DDB" w:rsidRPr="00291333" w:rsidRDefault="008F7DDB" w:rsidP="008F7DDB">
      <w:pPr>
        <w:spacing w:line="240" w:lineRule="auto"/>
        <w:jc w:val="both"/>
        <w:rPr>
          <w:lang w:val="sr-Latn-ME" w:eastAsia="sl-SI"/>
        </w:rPr>
      </w:pPr>
      <w:r w:rsidRPr="00291333">
        <w:rPr>
          <w:lang w:val="sr-Latn-ME" w:eastAsia="sl-SI"/>
        </w:rPr>
        <w:lastRenderedPageBreak/>
        <w:t>Kod pacijenata sa GIST-om izloženost u stanju ravnoteže bila je 1,5-puta viša nego ona uočena kod pacijenata sa CML pri istoj dozi (400 mg dnevno). Na osnovu preliminarne populacione farmakokinetičke analize kod pacijenata sa GIST-om, za tri varijable (albumin, WBC i bilirubin) je pronađeno da imaju statistički značajan odnos sa farmakokinetikom imatiniba. Smanjenje vrijednosti albumina izazvale su redukciju klirensa (CL/f); pri višim nivoima WBC dolazilo je do redukcije CL/f. Međutim, ova povezanost nije dovoljno naglašena da bi opravdala prilagođavanje doze. U ovoj populaciji pacijenata, prisustvo metastaza na jetri može potencijalno da dovede do hepatične insuficijencije i redukovanog metabolizma.</w:t>
      </w:r>
    </w:p>
    <w:p w14:paraId="6B2F133E" w14:textId="77777777" w:rsidR="008F7DDB" w:rsidRPr="00291333" w:rsidRDefault="008F7DDB" w:rsidP="008F7DDB">
      <w:pPr>
        <w:spacing w:line="240" w:lineRule="auto"/>
        <w:rPr>
          <w:lang w:val="sr-Latn-ME" w:eastAsia="sl-SI"/>
        </w:rPr>
      </w:pPr>
    </w:p>
    <w:p w14:paraId="08022045" w14:textId="77777777" w:rsidR="008F7DDB" w:rsidRPr="00291333" w:rsidRDefault="008F7DDB" w:rsidP="008F7DDB">
      <w:pPr>
        <w:spacing w:line="240" w:lineRule="auto"/>
        <w:jc w:val="both"/>
        <w:rPr>
          <w:u w:val="single"/>
          <w:lang w:val="sr-Latn-ME" w:eastAsia="sl-SI"/>
        </w:rPr>
      </w:pPr>
      <w:r w:rsidRPr="00291333">
        <w:rPr>
          <w:u w:val="single"/>
          <w:lang w:val="sr-Latn-ME" w:eastAsia="sl-SI"/>
        </w:rPr>
        <w:t>Populaciona farmakokinetika</w:t>
      </w:r>
    </w:p>
    <w:p w14:paraId="549CBC86" w14:textId="77777777" w:rsidR="008F7DDB" w:rsidRPr="00291333" w:rsidRDefault="008F7DDB" w:rsidP="008F7DDB">
      <w:pPr>
        <w:spacing w:line="240" w:lineRule="auto"/>
        <w:jc w:val="both"/>
        <w:rPr>
          <w:lang w:val="sr-Latn-ME" w:eastAsia="sl-SI"/>
        </w:rPr>
      </w:pPr>
      <w:r w:rsidRPr="00291333">
        <w:rPr>
          <w:lang w:val="sr-Latn-ME" w:eastAsia="sl-SI"/>
        </w:rPr>
        <w:t>Na osnovu populacione farmakokinetičke analize kod CML pacijenata, postojao je mali efekat starosti na volumen distribucije (12% povećanja kod pacijenata &gt; 65 godina). Za ovu promjenu se ne smatra da je klinički značajna. Efekat tjelesne mase na klirens imatiniba je takav da se za pacijenta koji ima 50 kg očekuje srednji klirens od 8,5 L/h, dok će se kod pacijenta težine 100 kg klirens povećati do 11,8 L/h. Ove promjene se ne smatraju dovoljnim da opravdaju prilagođavanje doze na osnovu tjelesne mase. Nema uticaja pola na kinetiku imatiniba.</w:t>
      </w:r>
    </w:p>
    <w:p w14:paraId="1BF94922" w14:textId="77777777" w:rsidR="008F7DDB" w:rsidRPr="00291333" w:rsidRDefault="008F7DDB" w:rsidP="008F7DDB">
      <w:pPr>
        <w:spacing w:line="240" w:lineRule="auto"/>
        <w:rPr>
          <w:lang w:val="sr-Latn-ME" w:eastAsia="sl-SI"/>
        </w:rPr>
      </w:pPr>
    </w:p>
    <w:p w14:paraId="457758C5"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Farmakokinetika kod djece </w:t>
      </w:r>
    </w:p>
    <w:p w14:paraId="0E9558FB" w14:textId="77777777" w:rsidR="008F7DDB" w:rsidRPr="00291333" w:rsidRDefault="008F7DDB" w:rsidP="008F7DDB">
      <w:pPr>
        <w:spacing w:line="240" w:lineRule="auto"/>
        <w:jc w:val="both"/>
        <w:rPr>
          <w:lang w:val="sr-Latn-ME" w:eastAsia="sl-SI"/>
        </w:rPr>
      </w:pPr>
      <w:r w:rsidRPr="00291333">
        <w:rPr>
          <w:lang w:val="sr-Latn-ME" w:eastAsia="sl-SI"/>
        </w:rPr>
        <w:t>Kao i kod odraslih pacijenata, imatinib se brzo resorbuje nakon oralne primjene kod pedijatrijskih pacijenata u studijama faze I i faze II. Doziranje kod djece od 260 i 340 mg/m</w:t>
      </w:r>
      <w:r w:rsidRPr="00291333">
        <w:rPr>
          <w:vertAlign w:val="superscript"/>
          <w:lang w:val="sr-Latn-ME" w:eastAsia="sl-SI"/>
        </w:rPr>
        <w:t>2</w:t>
      </w:r>
      <w:r w:rsidRPr="00291333">
        <w:rPr>
          <w:lang w:val="sr-Latn-ME" w:eastAsia="sl-SI"/>
        </w:rPr>
        <w:t>/dan postizalo je istu ekspoziciju, respektivno, kao doze od 400 mg i 600 mg kod odraslih pacijenata. Poređenje PIK-a (0-24) na dan 8. i dan 1. za dozni nivo od 340 mg/m</w:t>
      </w:r>
      <w:r w:rsidRPr="00291333">
        <w:rPr>
          <w:vertAlign w:val="superscript"/>
          <w:lang w:val="sr-Latn-ME" w:eastAsia="sl-SI"/>
        </w:rPr>
        <w:t>2</w:t>
      </w:r>
      <w:r w:rsidRPr="00291333">
        <w:rPr>
          <w:lang w:val="sr-Latn-ME" w:eastAsia="sl-SI"/>
        </w:rPr>
        <w:t xml:space="preserve">/dan, otkrilo je 1,7 puta veću akumulaciju lijeka nakon ponovljenog doziranja jednom dnevno. </w:t>
      </w:r>
    </w:p>
    <w:p w14:paraId="12835FBE" w14:textId="77777777" w:rsidR="008F7DDB" w:rsidRPr="00291333" w:rsidRDefault="008F7DDB" w:rsidP="008F7DDB">
      <w:pPr>
        <w:spacing w:line="240" w:lineRule="auto"/>
        <w:rPr>
          <w:lang w:val="sr-Latn-ME" w:eastAsia="sl-SI"/>
        </w:rPr>
      </w:pPr>
    </w:p>
    <w:p w14:paraId="54FCA53C" w14:textId="77777777" w:rsidR="008F7DDB" w:rsidRPr="00291333" w:rsidRDefault="008F7DDB" w:rsidP="008F7DDB">
      <w:pPr>
        <w:spacing w:line="240" w:lineRule="auto"/>
        <w:jc w:val="both"/>
        <w:rPr>
          <w:lang w:val="sr-Latn-ME" w:eastAsia="sl-SI"/>
        </w:rPr>
      </w:pPr>
      <w:r w:rsidRPr="00291333">
        <w:rPr>
          <w:lang w:val="sr-Latn-ME" w:eastAsia="sl-SI"/>
        </w:rPr>
        <w:t>Na osnovu rezultata farmakokinetičke analize kod svih pedijatrijskih pacijenata sa hematološkim poremećajima (CML, Ph+ALL ili drugim hematološkim poremećajima liječenim imatinibom), klirens imatiniba se povećava sa povećanjem tjelesne površine (BSA). Nakon korekcije s obzirom na uticaj BSA, pokazano je da drugi demografski parametri, kao što su starost, tjelesna masa i indeks tjelesne mase nemaju klinički značaj za izlaganje imatinibu. Ovom analizom je potvrđeno da je izloženost imatinibu kod pedijatrijskih pacijenata koji su primali doze od 260 mg/m</w:t>
      </w:r>
      <w:r w:rsidRPr="00291333">
        <w:rPr>
          <w:vertAlign w:val="superscript"/>
          <w:lang w:val="sr-Latn-ME" w:eastAsia="sl-SI"/>
        </w:rPr>
        <w:t xml:space="preserve">2 </w:t>
      </w:r>
      <w:r w:rsidRPr="00291333">
        <w:rPr>
          <w:lang w:val="sr-Latn-ME" w:eastAsia="sl-SI"/>
        </w:rPr>
        <w:t>jednom dnevno (ali ne više od 400 mg jednom dnevno) ili 340 mg/m</w:t>
      </w:r>
      <w:r w:rsidRPr="00291333">
        <w:rPr>
          <w:vertAlign w:val="superscript"/>
          <w:lang w:val="sr-Latn-ME" w:eastAsia="sl-SI"/>
        </w:rPr>
        <w:t xml:space="preserve">2 </w:t>
      </w:r>
      <w:r w:rsidRPr="00291333">
        <w:rPr>
          <w:lang w:val="sr-Latn-ME" w:eastAsia="sl-SI"/>
        </w:rPr>
        <w:t>jednom dnevno (ali ne više od 600 mg jednom dnevno) bila slična onoj kod odraslih pacijenata koji su primali doze imatiniba od 400 mg ili 600 mg jednom dnevno.</w:t>
      </w:r>
    </w:p>
    <w:p w14:paraId="7B5BC4E3" w14:textId="77777777" w:rsidR="008F7DDB" w:rsidRPr="00291333" w:rsidRDefault="008F7DDB" w:rsidP="008F7DDB">
      <w:pPr>
        <w:spacing w:line="240" w:lineRule="auto"/>
        <w:rPr>
          <w:lang w:val="sr-Latn-ME" w:eastAsia="sl-SI"/>
        </w:rPr>
      </w:pPr>
    </w:p>
    <w:p w14:paraId="0A9D2D5B" w14:textId="77777777" w:rsidR="008F7DDB" w:rsidRPr="00291333" w:rsidRDefault="008F7DDB" w:rsidP="008F7DDB">
      <w:pPr>
        <w:spacing w:line="240" w:lineRule="auto"/>
        <w:jc w:val="both"/>
        <w:rPr>
          <w:u w:val="single"/>
          <w:lang w:val="sr-Latn-ME" w:eastAsia="sl-SI"/>
        </w:rPr>
      </w:pPr>
      <w:r w:rsidRPr="00291333">
        <w:rPr>
          <w:u w:val="single"/>
          <w:lang w:val="sr-Latn-ME" w:eastAsia="sl-SI"/>
        </w:rPr>
        <w:t xml:space="preserve">Oštećenje funkcije organa </w:t>
      </w:r>
    </w:p>
    <w:p w14:paraId="4AE1BD52" w14:textId="77777777" w:rsidR="008F7DDB" w:rsidRPr="00291333" w:rsidRDefault="008F7DDB" w:rsidP="008F7DDB">
      <w:pPr>
        <w:spacing w:line="240" w:lineRule="auto"/>
        <w:jc w:val="both"/>
        <w:rPr>
          <w:lang w:val="sr-Latn-ME" w:eastAsia="sl-SI"/>
        </w:rPr>
      </w:pPr>
      <w:r w:rsidRPr="00291333">
        <w:rPr>
          <w:lang w:val="sr-Latn-ME" w:eastAsia="sl-SI"/>
        </w:rPr>
        <w:t xml:space="preserve">Imatinib i njegovi metaboliti se u značajnoj mjeri ne izlučuju putem bubrega. Pacijenti sa blagim i umjerenim oštećenjem bubrežne funkcije izgleda da imaju veću izloženost u plazmi od pacijenata sa normalnom bubrežnom funkcijom. Povećanje je približno 1,5- do 2-puta, što odgovara povećanju od 1,5-puta AGP u plazmi, za koji se imatinib snažno vezuje. Klirens slobodnog lijeka imatiniba je vjerovatno sličan među pacijentima sa bubrežnim poremećajem i onih sa normalnom bubrežnom funkcijom, pošto bubrežna ekskrecija predstavlja samo manji put eliminacije imatiniba (vidjeti odjeljke 4.2 i 4.4). </w:t>
      </w:r>
    </w:p>
    <w:p w14:paraId="5128D4A5" w14:textId="77777777" w:rsidR="008F7DDB" w:rsidRPr="00291333" w:rsidRDefault="008F7DDB" w:rsidP="008F7DDB">
      <w:pPr>
        <w:spacing w:line="240" w:lineRule="auto"/>
        <w:jc w:val="both"/>
        <w:rPr>
          <w:lang w:val="sr-Latn-ME" w:eastAsia="sl-SI"/>
        </w:rPr>
      </w:pPr>
    </w:p>
    <w:p w14:paraId="2672A053" w14:textId="77777777" w:rsidR="008F7DDB" w:rsidRPr="00291333" w:rsidRDefault="008F7DDB" w:rsidP="008F7DDB">
      <w:pPr>
        <w:spacing w:line="240" w:lineRule="auto"/>
        <w:jc w:val="both"/>
        <w:rPr>
          <w:lang w:val="sr-Latn-ME" w:eastAsia="sl-SI"/>
        </w:rPr>
      </w:pPr>
      <w:r w:rsidRPr="00291333">
        <w:rPr>
          <w:lang w:val="sr-Latn-ME" w:eastAsia="sl-SI"/>
        </w:rPr>
        <w:t>Mada su rezultati farmakokinetičke analize pokazali da postoji znatna interindividualna varijacija, prosječna izloženost imatinibu nije se povećala kod pacijenata sa različitim stepenima disfunkcije jetre u poređenju sa pacijentima sa normalnom funkcijom jetre (vidjeti odjeljke 4.2, 4.4 i 4.8).</w:t>
      </w:r>
    </w:p>
    <w:p w14:paraId="167D5696" w14:textId="77777777" w:rsidR="008F7DDB" w:rsidRPr="00291333" w:rsidRDefault="008F7DDB" w:rsidP="008F7DDB">
      <w:pPr>
        <w:widowControl w:val="0"/>
        <w:spacing w:line="240" w:lineRule="auto"/>
        <w:jc w:val="both"/>
        <w:rPr>
          <w:lang w:val="sr-Latn-ME"/>
        </w:rPr>
      </w:pPr>
    </w:p>
    <w:p w14:paraId="616F8870" w14:textId="77777777" w:rsidR="008F7DDB" w:rsidRPr="00291333" w:rsidRDefault="008F7DDB" w:rsidP="008F7DDB">
      <w:pPr>
        <w:widowControl w:val="0"/>
        <w:spacing w:line="240" w:lineRule="auto"/>
        <w:jc w:val="both"/>
        <w:outlineLvl w:val="0"/>
        <w:rPr>
          <w:lang w:val="sr-Latn-ME" w:eastAsia="sl-SI"/>
        </w:rPr>
      </w:pPr>
      <w:r w:rsidRPr="00291333">
        <w:rPr>
          <w:b/>
          <w:lang w:val="sr-Latn-ME" w:eastAsia="sl-SI"/>
        </w:rPr>
        <w:t>5.3</w:t>
      </w:r>
      <w:r w:rsidRPr="00291333">
        <w:rPr>
          <w:b/>
          <w:lang w:val="sr-Latn-ME" w:eastAsia="sl-SI"/>
        </w:rPr>
        <w:tab/>
      </w:r>
      <w:r w:rsidRPr="00291333">
        <w:rPr>
          <w:b/>
          <w:bCs/>
          <w:lang w:val="sr-Latn-ME" w:eastAsia="sl-SI"/>
        </w:rPr>
        <w:t>Pretklinički podaci o bezbjednosti</w:t>
      </w:r>
    </w:p>
    <w:p w14:paraId="0ED229A0" w14:textId="77777777" w:rsidR="008F7DDB" w:rsidRPr="00291333" w:rsidRDefault="008F7DDB" w:rsidP="008F7DDB">
      <w:pPr>
        <w:widowControl w:val="0"/>
        <w:spacing w:line="240" w:lineRule="auto"/>
        <w:jc w:val="both"/>
        <w:rPr>
          <w:lang w:val="sr-Latn-ME" w:eastAsia="sl-SI"/>
        </w:rPr>
      </w:pPr>
      <w:r w:rsidRPr="00291333" w:rsidDel="00925A95">
        <w:rPr>
          <w:lang w:val="sr-Latn-ME" w:eastAsia="sl-SI"/>
        </w:rPr>
        <w:t xml:space="preserve"> </w:t>
      </w:r>
    </w:p>
    <w:p w14:paraId="2F93990C" w14:textId="77777777" w:rsidR="008F7DDB" w:rsidRPr="00291333" w:rsidRDefault="008F7DDB" w:rsidP="008F7DDB">
      <w:pPr>
        <w:spacing w:line="240" w:lineRule="auto"/>
        <w:jc w:val="both"/>
        <w:rPr>
          <w:lang w:val="sr-Latn-ME" w:eastAsia="sl-SI"/>
        </w:rPr>
      </w:pPr>
      <w:r w:rsidRPr="00291333">
        <w:rPr>
          <w:lang w:val="sr-Latn-ME" w:eastAsia="sl-SI"/>
        </w:rPr>
        <w:t>Pretklinički bezbjednosni profil imatiniba procjenjivan je na pacovima, psima, majmunima i kunićima.</w:t>
      </w:r>
    </w:p>
    <w:p w14:paraId="4C63247F" w14:textId="77777777" w:rsidR="008F7DDB" w:rsidRPr="00291333" w:rsidRDefault="008F7DDB" w:rsidP="008F7DDB">
      <w:pPr>
        <w:spacing w:line="240" w:lineRule="auto"/>
        <w:jc w:val="both"/>
        <w:rPr>
          <w:lang w:val="sr-Latn-ME" w:eastAsia="sl-SI"/>
        </w:rPr>
      </w:pPr>
    </w:p>
    <w:p w14:paraId="127BEC63" w14:textId="77777777" w:rsidR="008F7DDB" w:rsidRPr="00291333" w:rsidRDefault="008F7DDB" w:rsidP="008F7DDB">
      <w:pPr>
        <w:spacing w:line="240" w:lineRule="auto"/>
        <w:jc w:val="both"/>
        <w:rPr>
          <w:lang w:val="sr-Latn-ME" w:eastAsia="sl-SI"/>
        </w:rPr>
      </w:pPr>
      <w:r w:rsidRPr="00291333">
        <w:rPr>
          <w:lang w:val="sr-Latn-ME" w:eastAsia="sl-SI"/>
        </w:rPr>
        <w:t xml:space="preserve">Ispitivanja toksičnosti višestrukih doza otkrile su blage do umjerene hematološke promjene kod pacova, pasa i majmuna, praćenih promjenama na koštanoj srži kod pacova i pasa. </w:t>
      </w:r>
    </w:p>
    <w:p w14:paraId="37285A0C" w14:textId="77777777" w:rsidR="008F7DDB" w:rsidRPr="00291333" w:rsidRDefault="008F7DDB" w:rsidP="008F7DDB">
      <w:pPr>
        <w:spacing w:line="240" w:lineRule="auto"/>
        <w:jc w:val="both"/>
        <w:rPr>
          <w:lang w:val="sr-Latn-ME" w:eastAsia="sl-SI"/>
        </w:rPr>
      </w:pPr>
    </w:p>
    <w:p w14:paraId="22134E29" w14:textId="77777777" w:rsidR="008F7DDB" w:rsidRPr="00291333" w:rsidRDefault="008F7DDB" w:rsidP="008F7DDB">
      <w:pPr>
        <w:spacing w:after="268" w:line="240" w:lineRule="auto"/>
        <w:jc w:val="both"/>
        <w:rPr>
          <w:lang w:val="sr-Latn-ME" w:eastAsia="sl-SI"/>
        </w:rPr>
      </w:pPr>
      <w:r w:rsidRPr="00291333">
        <w:rPr>
          <w:lang w:val="sr-Latn-ME" w:eastAsia="sl-SI"/>
        </w:rPr>
        <w:t xml:space="preserve">Jetra je bila ciljni organ kod pacova i pasa. Blago do umjereno povišenje vrijednosti transaminaza i blago sniženje vrijednosti holesterola, triglicerida, ukupnog proteina i albumina uočeni su kod obje vrste. Nisu viđene histopatološke promjene na jetri pacova. Teška toksičnost jetre zapažena je kod pasa </w:t>
      </w:r>
      <w:r w:rsidRPr="00291333">
        <w:rPr>
          <w:lang w:val="sr-Latn-ME" w:eastAsia="sl-SI"/>
        </w:rPr>
        <w:lastRenderedPageBreak/>
        <w:t xml:space="preserve">liječenih 2 nedjelje, sa povišenim vrijednostima enzima jetre, hepatocelularnom nekrozom, nekrozom i hiperplazijom žučnih puteva. </w:t>
      </w:r>
    </w:p>
    <w:p w14:paraId="59AA3F87" w14:textId="77777777" w:rsidR="008F7DDB" w:rsidRPr="00291333" w:rsidRDefault="008F7DDB" w:rsidP="008F7DDB">
      <w:pPr>
        <w:spacing w:after="268" w:line="240" w:lineRule="auto"/>
        <w:jc w:val="both"/>
        <w:rPr>
          <w:lang w:val="sr-Latn-ME" w:eastAsia="sl-SI"/>
        </w:rPr>
      </w:pPr>
      <w:r w:rsidRPr="00291333">
        <w:rPr>
          <w:lang w:val="sr-Latn-ME" w:eastAsia="sl-SI"/>
        </w:rPr>
        <w:t xml:space="preserve">Bubrežna toksičnost zapažena je kod majmuna liječenih 2 nedjelje, sa fokalnom mineralizacijom i dilatacijom bubrežnih tubula i tubularnom nefrozom. Povećanje uree i kreatinina u krvi zapaženo je kod nekoliko životinja. Kod pacova, hiperplazija prelaznog epitela u bubrežnim papilama i u mokraćnoj bešici bila je uočena pri dozama ≥ 6 mg/kg u 13-nedjeljnoj studiji, bez promjena u serumskim i urinarnim parametrima. Zapažen je povećan broj oportunističkih infekcija kod hroničnog liječenja imatinibom. </w:t>
      </w:r>
    </w:p>
    <w:p w14:paraId="73540691" w14:textId="77777777" w:rsidR="008F7DDB" w:rsidRPr="00291333" w:rsidRDefault="008F7DDB" w:rsidP="008F7DDB">
      <w:pPr>
        <w:spacing w:after="273" w:line="240" w:lineRule="auto"/>
        <w:jc w:val="both"/>
        <w:rPr>
          <w:lang w:val="sr-Latn-ME" w:eastAsia="sl-SI"/>
        </w:rPr>
      </w:pPr>
      <w:r w:rsidRPr="00291333">
        <w:rPr>
          <w:lang w:val="sr-Latn-ME" w:eastAsia="sl-SI"/>
        </w:rPr>
        <w:t xml:space="preserve">U 39-nedjeljnoj studiji na majmunima, nije utvrđen NOAEL (doza bez štetnog efekta, engl. </w:t>
      </w:r>
      <w:r w:rsidRPr="00291333">
        <w:rPr>
          <w:i/>
          <w:lang w:val="sr-Latn-ME" w:eastAsia="sl-SI"/>
        </w:rPr>
        <w:t>no observed adverse effect level</w:t>
      </w:r>
      <w:r w:rsidRPr="00291333">
        <w:rPr>
          <w:lang w:val="sr-Latn-ME" w:eastAsia="sl-SI"/>
        </w:rPr>
        <w:t>) pri najnižoj dozi od 15 mg/kg, koja iznosi približno jednu trećinu maksimalne humane doze od 800 mg prema tjelesnoj površini. Terapija je dovela do pogoršanja normalno suprimovane malarijske infekcije kod ovih životinja.</w:t>
      </w:r>
    </w:p>
    <w:p w14:paraId="798CD16C" w14:textId="77777777" w:rsidR="008F7DDB" w:rsidRPr="00291333" w:rsidRDefault="008F7DDB" w:rsidP="008F7DDB">
      <w:pPr>
        <w:spacing w:line="240" w:lineRule="auto"/>
        <w:jc w:val="both"/>
        <w:rPr>
          <w:lang w:val="sr-Latn-ME" w:eastAsia="sl-SI"/>
        </w:rPr>
      </w:pPr>
      <w:r w:rsidRPr="00291333">
        <w:rPr>
          <w:lang w:val="sr-Latn-ME" w:eastAsia="sl-SI"/>
        </w:rPr>
        <w:t xml:space="preserve">Imatinib se nije smatrao genotoksičnim kad je testiran u </w:t>
      </w:r>
      <w:r w:rsidRPr="00291333">
        <w:rPr>
          <w:i/>
          <w:lang w:val="sr-Latn-ME" w:eastAsia="sl-SI"/>
        </w:rPr>
        <w:t xml:space="preserve">in vitro </w:t>
      </w:r>
      <w:r w:rsidRPr="00291333">
        <w:rPr>
          <w:lang w:val="sr-Latn-ME" w:eastAsia="sl-SI"/>
        </w:rPr>
        <w:t>testovima sa bakterijskim ćelijama (</w:t>
      </w:r>
      <w:r w:rsidRPr="00291333">
        <w:rPr>
          <w:i/>
          <w:lang w:val="sr-Latn-ME" w:eastAsia="sl-SI"/>
        </w:rPr>
        <w:t>Ames</w:t>
      </w:r>
      <w:r w:rsidRPr="00291333">
        <w:rPr>
          <w:lang w:val="sr-Latn-ME" w:eastAsia="sl-SI"/>
        </w:rPr>
        <w:t xml:space="preserve">-ov test), </w:t>
      </w:r>
      <w:r w:rsidRPr="00291333">
        <w:rPr>
          <w:i/>
          <w:lang w:val="sr-Latn-ME" w:eastAsia="sl-SI"/>
        </w:rPr>
        <w:t xml:space="preserve">in vitro </w:t>
      </w:r>
      <w:r w:rsidRPr="00291333">
        <w:rPr>
          <w:lang w:val="sr-Latn-ME" w:eastAsia="sl-SI"/>
        </w:rPr>
        <w:t xml:space="preserve">testovima ćelija sisara (mišji limfom) i </w:t>
      </w:r>
      <w:r w:rsidRPr="00291333">
        <w:rPr>
          <w:i/>
          <w:lang w:val="sr-Latn-ME" w:eastAsia="sl-SI"/>
        </w:rPr>
        <w:t xml:space="preserve">in vivo </w:t>
      </w:r>
      <w:r w:rsidRPr="00291333">
        <w:rPr>
          <w:lang w:val="sr-Latn-ME" w:eastAsia="sl-SI"/>
        </w:rPr>
        <w:t xml:space="preserve">mikronukleusnom testu pacova. Pozitivni genotoksični efekti dobijeni su za imatinib na </w:t>
      </w:r>
      <w:r w:rsidRPr="00291333">
        <w:rPr>
          <w:i/>
          <w:lang w:val="sr-Latn-ME" w:eastAsia="sl-SI"/>
        </w:rPr>
        <w:t xml:space="preserve">in vitro </w:t>
      </w:r>
      <w:r w:rsidRPr="00291333">
        <w:rPr>
          <w:lang w:val="sr-Latn-ME" w:eastAsia="sl-SI"/>
        </w:rPr>
        <w:t xml:space="preserve">testovima ćelija sisara (ovarijum kineskog hrčka) za klastogenost (hromozomska aberacija) u prisustvu metaboličke aktivacije. Dva intermedijera u procesu proizvodnje, koji su takođe prisutni u finalnom proizvodu, su pozitivni na mutagenezu u </w:t>
      </w:r>
      <w:r w:rsidRPr="00291333">
        <w:rPr>
          <w:i/>
          <w:lang w:val="sr-Latn-ME" w:eastAsia="sl-SI"/>
        </w:rPr>
        <w:t>Ames</w:t>
      </w:r>
      <w:r w:rsidRPr="00291333">
        <w:rPr>
          <w:lang w:val="sr-Latn-ME" w:eastAsia="sl-SI"/>
        </w:rPr>
        <w:t>-ovom testu. Jedan od ovih intermedijera bio je takođe pozitivan na testu mišjeg limfoma.</w:t>
      </w:r>
    </w:p>
    <w:p w14:paraId="2A4B1A0A" w14:textId="77777777" w:rsidR="008F7DDB" w:rsidRPr="00291333" w:rsidRDefault="008F7DDB" w:rsidP="008F7DDB">
      <w:pPr>
        <w:spacing w:line="240" w:lineRule="auto"/>
        <w:jc w:val="both"/>
        <w:rPr>
          <w:lang w:val="sr-Latn-ME" w:eastAsia="sl-SI"/>
        </w:rPr>
      </w:pPr>
    </w:p>
    <w:p w14:paraId="1E32CA93" w14:textId="77777777" w:rsidR="008F7DDB" w:rsidRPr="00291333" w:rsidRDefault="008F7DDB" w:rsidP="008F7DDB">
      <w:pPr>
        <w:spacing w:after="268" w:line="240" w:lineRule="auto"/>
        <w:jc w:val="both"/>
        <w:rPr>
          <w:lang w:val="sr-Latn-ME" w:eastAsia="sl-SI"/>
        </w:rPr>
      </w:pPr>
      <w:r w:rsidRPr="00291333">
        <w:rPr>
          <w:lang w:val="sr-Latn-ME" w:eastAsia="sl-SI"/>
        </w:rPr>
        <w:t xml:space="preserve">U studiji fertiliteta, na muškim pacovima doziranim 70 dana prije parenja, testisne i epididimisne težine i procenat motilne sperme bili su smanjeni pri dozi od 60 mg/kg, približno jednako kao i kod maksimalne kliničke doze od 800 mg/dan, prema tjelesnoj površini. Ovo nije viđeno pri dozama ≤20 mg/kg. Blaga do umjerena redukcija spermatogeneze takođe je uočena kod pasa pri oralnim dozama ≥30 mg/kg. Kad su ženke pacova dozirane 14 dana pred parenje pa do 6. gestacijskog dana, nije bilo efekta na parenje ili broj skotnih ženki. Pri dozi od 60 mg/kg, ženke pacova su imale značajne postimplantacijske gubitke fetusa i smanjenje broja živih fetusa. Ovo nije uočeno pri dozama ≤ 20 mg/kg. </w:t>
      </w:r>
    </w:p>
    <w:p w14:paraId="1D92342F" w14:textId="77777777" w:rsidR="008F7DDB" w:rsidRPr="00291333" w:rsidRDefault="008F7DDB" w:rsidP="008F7DDB">
      <w:pPr>
        <w:spacing w:line="240" w:lineRule="auto"/>
        <w:jc w:val="both"/>
        <w:rPr>
          <w:lang w:val="sr-Latn-ME" w:eastAsia="sl-SI"/>
        </w:rPr>
      </w:pPr>
      <w:r w:rsidRPr="00291333">
        <w:rPr>
          <w:lang w:val="sr-Latn-ME" w:eastAsia="sl-SI"/>
        </w:rPr>
        <w:t xml:space="preserve">U oralnoj pre- i postnatalnoj studiji razvoja na pacovima, zapažen je crveni vaginalni sekret u grupi koja je primala 45 mg/kg/dan 14. ili 15. dana gestacije. Pri istoj dozi, povećao se broj mrtvorođenih mladunaca kao i onih koji su postpartalno uginuli 0. i 4. dana. Kod F1 potomaka, pri istom nivou doze, srednje vrijednosti tjelesne mase bile su smanjene od rođenja do žrtvovanja, a broj legla koji je dostigao kriterijum za prepucijsku separaciju, bio je malo smanjen. F1 fertilitet nije bio pogođen, dok je povećan broj resorpcija i smanjen broj vijabilnih fetusa zapažen pri 45 mg/kg/dan. Doza bez štetnog efekta (NOEL) i za maternalne životinje i za F1 generaciju iznosila je 15 mg/kg/dan (četvrtina maksimalne humane doze od 800 mg). </w:t>
      </w:r>
    </w:p>
    <w:p w14:paraId="0CE8AD31" w14:textId="77777777" w:rsidR="008F7DDB" w:rsidRPr="00291333" w:rsidRDefault="008F7DDB" w:rsidP="008F7DDB">
      <w:pPr>
        <w:spacing w:line="240" w:lineRule="auto"/>
        <w:jc w:val="both"/>
        <w:rPr>
          <w:lang w:val="sr-Latn-ME" w:eastAsia="sl-SI"/>
        </w:rPr>
      </w:pPr>
    </w:p>
    <w:p w14:paraId="5548FA87"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Imatinib je bio teratogen kod pacova koji su ga primili tokom organogeneze pri dozama ≥ 100 mg/kg, približno jednakim maksimalnim kliničkim dozama od 800 mg/dan, prema tjelesnoj površini. Teratogeni efekti uključivali su eksencefaliju ili encefalokele, odsutnu/smanjenu čeonu i odsutnu parijetalnu kost. Ovi efekti nisu viđeni pri dozama ≤ 30 mg/kg.</w:t>
      </w:r>
    </w:p>
    <w:p w14:paraId="6BC0030D"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40420D26" w14:textId="77777777" w:rsidR="008F7DDB" w:rsidRPr="00291333" w:rsidRDefault="008F7DDB" w:rsidP="008F7DDB">
      <w:pPr>
        <w:spacing w:after="274" w:line="240" w:lineRule="auto"/>
        <w:jc w:val="both"/>
        <w:rPr>
          <w:lang w:val="sr-Latn-ME" w:eastAsia="sr-Latn-RS"/>
        </w:rPr>
      </w:pPr>
      <w:r w:rsidRPr="00291333">
        <w:rPr>
          <w:lang w:val="sr-Latn-ME" w:eastAsia="sl-SI"/>
        </w:rPr>
        <w:t>Juvenilna razvojna toksikološka studija na pacovima (dan 10 do 70 nakon okota) nije identifikovala nove ciljne organe u odnosu na već poznate ciljne organe kod odraslih pacova. U juvenilnoj toksikološkoj studiji, dejstvo na rast, odlaganje otvaranja vagine i odvajanje prepucijuma zapaženi su pri izloženosti koja iznosi približno 0,3 do 2 puta prosječne izloženosti kod djece pri primjeni najviše preporučene doze od 340 mg/m</w:t>
      </w:r>
      <w:r w:rsidRPr="00291333">
        <w:rPr>
          <w:vertAlign w:val="superscript"/>
          <w:lang w:val="sr-Latn-ME" w:eastAsia="sl-SI"/>
        </w:rPr>
        <w:t>2</w:t>
      </w:r>
      <w:r w:rsidRPr="00291333">
        <w:rPr>
          <w:lang w:val="sr-Latn-ME" w:eastAsia="sl-SI"/>
        </w:rPr>
        <w:t>. Osim toga, mortalitet mladih životinja (otprilike u fazi odbijanja od dojenja) zapažen je pri približno 2 puta većem pedijatrijskom izlaganju i primjeni najviše preporučene doze od 340 mg/m</w:t>
      </w:r>
      <w:r w:rsidRPr="00291333">
        <w:rPr>
          <w:vertAlign w:val="superscript"/>
          <w:lang w:val="sr-Latn-ME" w:eastAsia="sl-SI"/>
        </w:rPr>
        <w:t>2</w:t>
      </w:r>
      <w:r w:rsidRPr="00291333">
        <w:rPr>
          <w:lang w:val="sr-Latn-ME" w:eastAsia="sl-SI"/>
        </w:rPr>
        <w:t xml:space="preserve">. </w:t>
      </w:r>
    </w:p>
    <w:p w14:paraId="40FF355C" w14:textId="77777777" w:rsidR="008F7DDB" w:rsidRPr="00291333" w:rsidRDefault="008F7DDB" w:rsidP="008F7DDB">
      <w:pPr>
        <w:spacing w:line="240" w:lineRule="auto"/>
        <w:jc w:val="both"/>
        <w:rPr>
          <w:lang w:val="sr-Latn-ME" w:eastAsia="sl-SI"/>
        </w:rPr>
      </w:pPr>
      <w:r w:rsidRPr="00291333">
        <w:rPr>
          <w:lang w:val="sr-Latn-ME" w:eastAsia="sl-SI"/>
        </w:rPr>
        <w:t xml:space="preserve">Dvogodišnja studija karcinogenosti kod pacova na imatinibu pri primjeni doza od 15, 30 i 60 mg/kg/dan pokazala je statistički značajnu redukciju životnog vijeka mužjaka pri primjeni doze od 60 mg/kg/dan i ženki pri primjeni doze ≥ 30 mg/kg/dan. Histopatološki pregled uginulih životinja otkrio je kardiomiopatiju (oba pola), hroničnu progresivnu nefropatiju (ženke) i papilom prepucijalne žlijezde </w:t>
      </w:r>
      <w:r w:rsidRPr="00291333">
        <w:rPr>
          <w:lang w:val="sr-Latn-ME" w:eastAsia="sl-SI"/>
        </w:rPr>
        <w:lastRenderedPageBreak/>
        <w:t>kao glavne uzroke smrti ili razloge za žrtvovanje. Ciljni organi za neoplazijske promjene bili su bubrezi, mokraćna bešika, uretra, prepucijalna i klitorisna žlijezda, tanko crijevo, paratireoidne žlijezde, nadbubrežne žlijezde i nežljezdani dio želuca.</w:t>
      </w:r>
    </w:p>
    <w:p w14:paraId="19AEDA00" w14:textId="77777777" w:rsidR="008F7DDB" w:rsidRPr="00291333" w:rsidRDefault="008F7DDB" w:rsidP="008F7DDB">
      <w:pPr>
        <w:spacing w:line="240" w:lineRule="auto"/>
        <w:jc w:val="both"/>
        <w:rPr>
          <w:lang w:val="sr-Latn-ME" w:eastAsia="sl-SI"/>
        </w:rPr>
      </w:pPr>
    </w:p>
    <w:p w14:paraId="63EDE1BA" w14:textId="77777777" w:rsidR="008F7DDB" w:rsidRPr="00291333" w:rsidRDefault="008F7DDB" w:rsidP="008F7DDB">
      <w:pPr>
        <w:spacing w:after="266" w:line="240" w:lineRule="auto"/>
        <w:jc w:val="both"/>
        <w:rPr>
          <w:lang w:val="sr-Latn-ME" w:eastAsia="sl-SI"/>
        </w:rPr>
      </w:pPr>
      <w:r w:rsidRPr="00291333">
        <w:rPr>
          <w:lang w:val="sr-Latn-ME" w:eastAsia="sl-SI"/>
        </w:rPr>
        <w:t>Papilom/karcinom prepucijalne/klitorisne žlijezde zabilježen je pri dozama od 30 mg/kg/dan naviše, predstavljajući približno 0,5 ili 0,3 puta humanu dnevnu izloženost (zasnovanu na PIK-u) pri primjeni doze od 400 mg/dan, odnosno 800 mg/dan, i 0,4 puta dnevne izloženosti kod djece (zasnovano na PIK-u) pri primjeni doze od 340 mg/m</w:t>
      </w:r>
      <w:r w:rsidRPr="00291333">
        <w:rPr>
          <w:vertAlign w:val="superscript"/>
          <w:lang w:val="sr-Latn-ME" w:eastAsia="sl-SI"/>
        </w:rPr>
        <w:t>2</w:t>
      </w:r>
      <w:r w:rsidRPr="00291333">
        <w:rPr>
          <w:lang w:val="sr-Latn-ME" w:eastAsia="sl-SI"/>
        </w:rPr>
        <w:t>/dan. Doza bez štetnog efekta (NOEL) je bila 15 mg/kg/dan. Bubrežni adenom/karcinom, papilom mokraćne bešike i uretre, adenokarcinomi tankog crijeva, adenomi paratireoidnih žlijezda, benigni i maligni medularni tumori nadbubrežnih žlijezda i neglandularni želudačni papilomi/karcinomi zapaženi su pri primjeni doze od 60 mg/kg/dan, što je približno 1,7 ili 1 put više od dnevne izloženosti kod ljudi (zasnovano na PIK-u) pri primjeni doze od 400 mg/dan, odnosno 800 mg/dan, i 1,2 puta više od dnevne izloženosti kod djece (zasnovano na PIK-u) pri primjeni doze od 340 mg/m</w:t>
      </w:r>
      <w:r w:rsidRPr="00291333">
        <w:rPr>
          <w:vertAlign w:val="superscript"/>
          <w:lang w:val="sr-Latn-ME" w:eastAsia="sl-SI"/>
        </w:rPr>
        <w:t>2</w:t>
      </w:r>
      <w:r w:rsidRPr="00291333">
        <w:rPr>
          <w:lang w:val="sr-Latn-ME" w:eastAsia="sl-SI"/>
        </w:rPr>
        <w:t xml:space="preserve">/dan. Doza bez štetnog efekta (NOEL) je iznosila 30 mg/kg/dan. </w:t>
      </w:r>
    </w:p>
    <w:p w14:paraId="37F99176" w14:textId="77777777" w:rsidR="008F7DDB" w:rsidRPr="00291333" w:rsidRDefault="008F7DDB" w:rsidP="008F7DDB">
      <w:pPr>
        <w:spacing w:line="240" w:lineRule="auto"/>
        <w:jc w:val="both"/>
        <w:rPr>
          <w:lang w:val="sr-Latn-ME" w:eastAsia="sl-SI"/>
        </w:rPr>
      </w:pPr>
      <w:r w:rsidRPr="00291333">
        <w:rPr>
          <w:lang w:val="sr-Latn-ME" w:eastAsia="sl-SI"/>
        </w:rPr>
        <w:t xml:space="preserve">Za ljude, mehanizam i relevantnost ovih nalaza studija karcinogenosti na pacovima, nisu još jasni. </w:t>
      </w:r>
    </w:p>
    <w:p w14:paraId="7C4E1D20" w14:textId="77777777" w:rsidR="008F7DDB" w:rsidRPr="00291333" w:rsidRDefault="008F7DDB" w:rsidP="008F7DDB">
      <w:pPr>
        <w:spacing w:line="240" w:lineRule="auto"/>
        <w:rPr>
          <w:lang w:val="sr-Latn-ME" w:eastAsia="sl-SI"/>
        </w:rPr>
      </w:pPr>
    </w:p>
    <w:p w14:paraId="5BC05CD8" w14:textId="77777777" w:rsidR="008F7DDB" w:rsidRPr="00291333" w:rsidRDefault="008F7DDB" w:rsidP="008F7DDB">
      <w:pPr>
        <w:spacing w:line="240" w:lineRule="auto"/>
        <w:jc w:val="both"/>
        <w:rPr>
          <w:lang w:val="sr-Latn-ME" w:eastAsia="sl-SI"/>
        </w:rPr>
      </w:pPr>
      <w:r w:rsidRPr="00291333">
        <w:rPr>
          <w:lang w:val="sr-Latn-ME" w:eastAsia="sl-SI"/>
        </w:rPr>
        <w:t>Neneoplazijske lezije koje nisu identifikovane u ranijim pretkliničkim studijama bile su na kardiovaskularnom sistemu, pankreasu, endokrinim organima i zubima. Najznačajnije promjene uključivale su srčanu hipertrofiju i dilataciju, što dovodi do znakova srčane insufi</w:t>
      </w:r>
      <w:r>
        <w:rPr>
          <w:lang w:val="sr-Latn-ME" w:eastAsia="sl-SI"/>
        </w:rPr>
        <w:t xml:space="preserve">cijencije kod nekih životinja. </w:t>
      </w:r>
    </w:p>
    <w:p w14:paraId="7DB6ACFF" w14:textId="77777777" w:rsidR="008F7DDB" w:rsidRDefault="008F7DDB" w:rsidP="008F7DDB">
      <w:pPr>
        <w:widowControl w:val="0"/>
        <w:autoSpaceDE w:val="0"/>
        <w:autoSpaceDN w:val="0"/>
        <w:adjustRightInd w:val="0"/>
        <w:spacing w:line="240" w:lineRule="auto"/>
        <w:ind w:right="-1"/>
        <w:jc w:val="both"/>
        <w:rPr>
          <w:lang w:val="sr-Latn-ME" w:eastAsia="sl-SI"/>
        </w:rPr>
      </w:pPr>
      <w:r w:rsidRPr="00291333">
        <w:rPr>
          <w:lang w:val="sr-Latn-ME" w:eastAsia="sl-SI"/>
        </w:rPr>
        <w:t>Aktivna supstanca imatinib predstavlja rizik za sedimentne organizme.</w:t>
      </w:r>
    </w:p>
    <w:p w14:paraId="6417AD5E" w14:textId="77777777" w:rsidR="008F7DDB" w:rsidRPr="00291333" w:rsidRDefault="008F7DDB" w:rsidP="008F7DDB">
      <w:pPr>
        <w:widowControl w:val="0"/>
        <w:autoSpaceDE w:val="0"/>
        <w:autoSpaceDN w:val="0"/>
        <w:adjustRightInd w:val="0"/>
        <w:spacing w:line="240" w:lineRule="auto"/>
        <w:ind w:right="-1"/>
        <w:jc w:val="both"/>
        <w:rPr>
          <w:lang w:val="sr-Latn-ME" w:eastAsia="sl-SI"/>
        </w:rPr>
      </w:pPr>
    </w:p>
    <w:p w14:paraId="7B62DD5D" w14:textId="77777777" w:rsidR="008F7DDB" w:rsidRPr="00291333" w:rsidRDefault="008F7DDB" w:rsidP="008F7DDB">
      <w:pPr>
        <w:widowControl w:val="0"/>
        <w:spacing w:line="240" w:lineRule="auto"/>
        <w:jc w:val="both"/>
        <w:rPr>
          <w:lang w:val="sr-Latn-ME"/>
        </w:rPr>
      </w:pPr>
    </w:p>
    <w:p w14:paraId="1AD34068" w14:textId="77777777" w:rsidR="008F7DDB" w:rsidRPr="00291333" w:rsidRDefault="008F7DDB" w:rsidP="008F7DDB">
      <w:pPr>
        <w:widowControl w:val="0"/>
        <w:spacing w:line="240" w:lineRule="auto"/>
        <w:jc w:val="both"/>
        <w:rPr>
          <w:b/>
          <w:lang w:val="sr-Latn-ME" w:eastAsia="sl-SI"/>
        </w:rPr>
      </w:pPr>
      <w:r w:rsidRPr="00291333">
        <w:rPr>
          <w:b/>
          <w:lang w:val="sr-Latn-ME" w:eastAsia="sl-SI"/>
        </w:rPr>
        <w:t>6.</w:t>
      </w:r>
      <w:r w:rsidRPr="00291333">
        <w:rPr>
          <w:b/>
          <w:lang w:val="sr-Latn-ME" w:eastAsia="sl-SI"/>
        </w:rPr>
        <w:tab/>
        <w:t>FARMACEUTSKI PODACI</w:t>
      </w:r>
    </w:p>
    <w:p w14:paraId="355AA6EE" w14:textId="77777777" w:rsidR="008F7DDB" w:rsidRPr="00291333" w:rsidRDefault="008F7DDB" w:rsidP="008F7DDB">
      <w:pPr>
        <w:widowControl w:val="0"/>
        <w:spacing w:line="240" w:lineRule="auto"/>
        <w:jc w:val="both"/>
        <w:rPr>
          <w:lang w:val="sr-Latn-ME"/>
        </w:rPr>
      </w:pPr>
    </w:p>
    <w:p w14:paraId="71C2C76F" w14:textId="77777777" w:rsidR="008F7DDB" w:rsidRPr="00291333" w:rsidRDefault="008F7DDB" w:rsidP="008F7DDB">
      <w:pPr>
        <w:widowControl w:val="0"/>
        <w:spacing w:line="240" w:lineRule="auto"/>
        <w:jc w:val="both"/>
        <w:outlineLvl w:val="0"/>
        <w:rPr>
          <w:lang w:val="sr-Latn-ME" w:eastAsia="sl-SI"/>
        </w:rPr>
      </w:pPr>
      <w:r w:rsidRPr="00291333">
        <w:rPr>
          <w:b/>
          <w:lang w:val="sr-Latn-ME" w:eastAsia="sl-SI"/>
        </w:rPr>
        <w:t>6.1</w:t>
      </w:r>
      <w:r w:rsidRPr="00291333">
        <w:rPr>
          <w:b/>
          <w:lang w:val="sr-Latn-ME" w:eastAsia="sl-SI"/>
        </w:rPr>
        <w:tab/>
      </w:r>
      <w:r w:rsidRPr="00291333">
        <w:rPr>
          <w:b/>
          <w:bCs/>
          <w:lang w:val="sr-Latn-ME" w:eastAsia="sl-SI"/>
        </w:rPr>
        <w:t>Lista pomoćnih supstanci (ekscipijenasa)</w:t>
      </w:r>
    </w:p>
    <w:p w14:paraId="5869D865" w14:textId="77777777" w:rsidR="008F7DDB" w:rsidRPr="00291333" w:rsidRDefault="008F7DDB" w:rsidP="008F7DDB">
      <w:pPr>
        <w:widowControl w:val="0"/>
        <w:spacing w:line="240" w:lineRule="auto"/>
        <w:jc w:val="both"/>
        <w:rPr>
          <w:lang w:val="sr-Latn-ME"/>
        </w:rPr>
      </w:pPr>
    </w:p>
    <w:p w14:paraId="6F9F8A42" w14:textId="77777777" w:rsidR="008F7DDB" w:rsidRPr="00430D56" w:rsidRDefault="008F7DDB" w:rsidP="008F7DDB">
      <w:pPr>
        <w:widowControl w:val="0"/>
        <w:spacing w:line="240" w:lineRule="auto"/>
        <w:ind w:right="-1"/>
        <w:jc w:val="both"/>
        <w:rPr>
          <w:u w:val="single"/>
          <w:lang w:val="sr-Latn-ME" w:eastAsia="hr-HR"/>
        </w:rPr>
      </w:pPr>
      <w:r w:rsidRPr="00430D56">
        <w:rPr>
          <w:u w:val="single"/>
          <w:lang w:val="sr-Latn-ME" w:eastAsia="hr-HR"/>
        </w:rPr>
        <w:t>Jezgro:</w:t>
      </w:r>
    </w:p>
    <w:p w14:paraId="5687F193" w14:textId="7D8B0B33" w:rsidR="008F7DDB" w:rsidRPr="00291333" w:rsidRDefault="006A07A4" w:rsidP="008F7DDB">
      <w:pPr>
        <w:widowControl w:val="0"/>
        <w:tabs>
          <w:tab w:val="left" w:pos="2925"/>
        </w:tabs>
        <w:spacing w:line="240" w:lineRule="auto"/>
        <w:jc w:val="both"/>
        <w:outlineLvl w:val="0"/>
        <w:rPr>
          <w:bCs/>
          <w:noProof/>
          <w:lang w:val="sr-Latn-ME"/>
        </w:rPr>
      </w:pPr>
      <w:r>
        <w:rPr>
          <w:bCs/>
          <w:noProof/>
          <w:lang w:val="sr-Latn-ME"/>
        </w:rPr>
        <w:t>l</w:t>
      </w:r>
      <w:r w:rsidRPr="00291333">
        <w:rPr>
          <w:bCs/>
          <w:noProof/>
          <w:lang w:val="sr-Latn-ME"/>
        </w:rPr>
        <w:t>aktoza</w:t>
      </w:r>
      <w:r w:rsidR="008F7DDB" w:rsidRPr="00291333">
        <w:rPr>
          <w:bCs/>
          <w:noProof/>
          <w:lang w:val="sr-Latn-ME"/>
        </w:rPr>
        <w:t>, monohidrat</w:t>
      </w:r>
    </w:p>
    <w:p w14:paraId="384B67F3" w14:textId="5A399F62" w:rsidR="008F7DDB" w:rsidRPr="00291333" w:rsidRDefault="006A07A4" w:rsidP="008F7DDB">
      <w:pPr>
        <w:widowControl w:val="0"/>
        <w:tabs>
          <w:tab w:val="left" w:pos="2925"/>
        </w:tabs>
        <w:spacing w:line="240" w:lineRule="auto"/>
        <w:jc w:val="both"/>
        <w:outlineLvl w:val="0"/>
        <w:rPr>
          <w:bCs/>
          <w:noProof/>
          <w:lang w:val="sr-Latn-ME"/>
        </w:rPr>
      </w:pPr>
      <w:r>
        <w:rPr>
          <w:lang w:val="sr-Latn-ME" w:eastAsia="sl-SI"/>
        </w:rPr>
        <w:t>s</w:t>
      </w:r>
      <w:r w:rsidRPr="00291333">
        <w:rPr>
          <w:lang w:val="sr-Latn-ME" w:eastAsia="sl-SI"/>
        </w:rPr>
        <w:t>krob</w:t>
      </w:r>
      <w:r w:rsidR="008F7DDB" w:rsidRPr="00291333">
        <w:rPr>
          <w:lang w:val="sr-Latn-ME" w:eastAsia="sl-SI"/>
        </w:rPr>
        <w:t>, kukuruzni;</w:t>
      </w:r>
    </w:p>
    <w:p w14:paraId="3FDF9D0F" w14:textId="0E8B0BEA" w:rsidR="008F7DDB" w:rsidRPr="00291333" w:rsidRDefault="006A07A4" w:rsidP="008F7DDB">
      <w:pPr>
        <w:widowControl w:val="0"/>
        <w:tabs>
          <w:tab w:val="left" w:pos="2925"/>
        </w:tabs>
        <w:spacing w:line="240" w:lineRule="auto"/>
        <w:jc w:val="both"/>
        <w:outlineLvl w:val="0"/>
        <w:rPr>
          <w:noProof/>
          <w:lang w:val="sr-Latn-ME"/>
        </w:rPr>
      </w:pPr>
      <w:r>
        <w:rPr>
          <w:lang w:val="sr-Latn-ME" w:eastAsia="sl-SI"/>
        </w:rPr>
        <w:t>h</w:t>
      </w:r>
      <w:r w:rsidRPr="00291333">
        <w:rPr>
          <w:lang w:val="sr-Latn-ME" w:eastAsia="sl-SI"/>
        </w:rPr>
        <w:t>idroksipropil</w:t>
      </w:r>
      <w:r>
        <w:rPr>
          <w:lang w:val="sr-Latn-ME" w:eastAsia="sl-SI"/>
        </w:rPr>
        <w:t xml:space="preserve"> </w:t>
      </w:r>
      <w:r w:rsidR="008F7DDB" w:rsidRPr="00291333">
        <w:rPr>
          <w:lang w:val="sr-Latn-ME" w:eastAsia="sl-SI"/>
        </w:rPr>
        <w:t>celuloza</w:t>
      </w:r>
    </w:p>
    <w:p w14:paraId="009922BE" w14:textId="0754C463" w:rsidR="008F7DDB" w:rsidRPr="00291333" w:rsidRDefault="006A07A4" w:rsidP="008F7DDB">
      <w:pPr>
        <w:widowControl w:val="0"/>
        <w:tabs>
          <w:tab w:val="left" w:pos="2925"/>
        </w:tabs>
        <w:spacing w:line="240" w:lineRule="auto"/>
        <w:jc w:val="both"/>
        <w:outlineLvl w:val="0"/>
        <w:rPr>
          <w:noProof/>
          <w:lang w:val="sr-Latn-ME"/>
        </w:rPr>
      </w:pPr>
      <w:r>
        <w:rPr>
          <w:lang w:val="sr-Latn-ME" w:eastAsia="sl-SI"/>
        </w:rPr>
        <w:t>c</w:t>
      </w:r>
      <w:r w:rsidRPr="00291333">
        <w:rPr>
          <w:lang w:val="sr-Latn-ME" w:eastAsia="sl-SI"/>
        </w:rPr>
        <w:t>eluloza</w:t>
      </w:r>
      <w:r w:rsidR="008F7DDB" w:rsidRPr="00291333">
        <w:rPr>
          <w:lang w:val="sr-Latn-ME" w:eastAsia="sl-SI"/>
        </w:rPr>
        <w:t xml:space="preserve">, mikrokristalna </w:t>
      </w:r>
    </w:p>
    <w:p w14:paraId="0DD681C8" w14:textId="59FEBC2A" w:rsidR="008F7DDB" w:rsidRPr="00291333" w:rsidRDefault="006A07A4" w:rsidP="008F7DDB">
      <w:pPr>
        <w:widowControl w:val="0"/>
        <w:tabs>
          <w:tab w:val="left" w:pos="2925"/>
        </w:tabs>
        <w:spacing w:line="240" w:lineRule="auto"/>
        <w:jc w:val="both"/>
        <w:outlineLvl w:val="0"/>
        <w:rPr>
          <w:noProof/>
          <w:lang w:val="sr-Latn-ME"/>
        </w:rPr>
      </w:pPr>
      <w:r>
        <w:rPr>
          <w:noProof/>
          <w:lang w:val="sr-Latn-ME"/>
        </w:rPr>
        <w:t>k</w:t>
      </w:r>
      <w:r w:rsidRPr="00291333">
        <w:rPr>
          <w:noProof/>
          <w:lang w:val="sr-Latn-ME"/>
        </w:rPr>
        <w:t xml:space="preserve">rospovidon </w:t>
      </w:r>
      <w:r w:rsidR="008F7DDB" w:rsidRPr="00291333">
        <w:rPr>
          <w:lang w:val="sr-Latn-ME" w:eastAsia="sl-SI"/>
        </w:rPr>
        <w:t>(tip A);</w:t>
      </w:r>
    </w:p>
    <w:p w14:paraId="793D9651" w14:textId="1C858BEC" w:rsidR="008F7DDB" w:rsidRPr="00291333" w:rsidRDefault="006A07A4" w:rsidP="008F7DDB">
      <w:pPr>
        <w:widowControl w:val="0"/>
        <w:tabs>
          <w:tab w:val="left" w:pos="2925"/>
        </w:tabs>
        <w:spacing w:line="240" w:lineRule="auto"/>
        <w:jc w:val="both"/>
        <w:outlineLvl w:val="0"/>
        <w:rPr>
          <w:noProof/>
          <w:lang w:val="sr-Latn-ME"/>
        </w:rPr>
      </w:pPr>
      <w:r>
        <w:rPr>
          <w:lang w:val="sr-Latn-ME" w:eastAsia="sl-SI"/>
        </w:rPr>
        <w:t>s</w:t>
      </w:r>
      <w:r w:rsidRPr="00291333">
        <w:rPr>
          <w:lang w:val="sr-Latn-ME" w:eastAsia="sl-SI"/>
        </w:rPr>
        <w:t xml:space="preserve">ilicijum </w:t>
      </w:r>
      <w:r w:rsidR="008F7DDB" w:rsidRPr="00291333">
        <w:rPr>
          <w:lang w:val="sr-Latn-ME" w:eastAsia="sl-SI"/>
        </w:rPr>
        <w:t>dioksid, koloidni, bezvodni</w:t>
      </w:r>
    </w:p>
    <w:p w14:paraId="4ABCA3C3" w14:textId="4A55AF74" w:rsidR="008F7DDB" w:rsidRPr="00291333" w:rsidRDefault="006A07A4" w:rsidP="008F7DDB">
      <w:pPr>
        <w:widowControl w:val="0"/>
        <w:tabs>
          <w:tab w:val="left" w:pos="2925"/>
        </w:tabs>
        <w:spacing w:line="240" w:lineRule="auto"/>
        <w:jc w:val="both"/>
        <w:outlineLvl w:val="0"/>
        <w:rPr>
          <w:lang w:val="sr-Latn-ME" w:eastAsia="sl-SI"/>
        </w:rPr>
      </w:pPr>
      <w:r>
        <w:rPr>
          <w:lang w:val="sr-Latn-ME" w:eastAsia="sl-SI"/>
        </w:rPr>
        <w:t>m</w:t>
      </w:r>
      <w:r w:rsidRPr="00291333">
        <w:rPr>
          <w:lang w:val="sr-Latn-ME" w:eastAsia="sl-SI"/>
        </w:rPr>
        <w:t xml:space="preserve">agnezijum </w:t>
      </w:r>
      <w:r w:rsidR="008F7DDB" w:rsidRPr="00291333">
        <w:rPr>
          <w:lang w:val="sr-Latn-ME" w:eastAsia="sl-SI"/>
        </w:rPr>
        <w:t xml:space="preserve">stearat </w:t>
      </w:r>
    </w:p>
    <w:p w14:paraId="41E35B83" w14:textId="77777777" w:rsidR="008F7DDB" w:rsidRPr="00291333" w:rsidRDefault="008F7DDB" w:rsidP="008F7DDB">
      <w:pPr>
        <w:widowControl w:val="0"/>
        <w:spacing w:line="240" w:lineRule="auto"/>
        <w:ind w:right="-1"/>
        <w:jc w:val="both"/>
        <w:rPr>
          <w:highlight w:val="yellow"/>
          <w:lang w:val="sr-Latn-ME" w:eastAsia="hr-HR"/>
        </w:rPr>
      </w:pPr>
    </w:p>
    <w:p w14:paraId="4A3A8B1A" w14:textId="77777777" w:rsidR="008F7DDB" w:rsidRPr="00430D56" w:rsidRDefault="008F7DDB" w:rsidP="008F7DDB">
      <w:pPr>
        <w:widowControl w:val="0"/>
        <w:spacing w:line="240" w:lineRule="auto"/>
        <w:ind w:right="-1"/>
        <w:jc w:val="both"/>
        <w:rPr>
          <w:u w:val="single"/>
          <w:lang w:val="sr-Latn-ME" w:eastAsia="hr-HR"/>
        </w:rPr>
      </w:pPr>
      <w:r w:rsidRPr="00430D56">
        <w:rPr>
          <w:u w:val="single"/>
          <w:lang w:val="sr-Latn-ME" w:eastAsia="hr-HR"/>
        </w:rPr>
        <w:t>Omotač (film) tablete:</w:t>
      </w:r>
    </w:p>
    <w:p w14:paraId="248A2C42" w14:textId="77777777" w:rsidR="008F7DDB" w:rsidRPr="00291333" w:rsidRDefault="008F7DDB" w:rsidP="008F7DDB">
      <w:pPr>
        <w:widowControl w:val="0"/>
        <w:spacing w:line="240" w:lineRule="auto"/>
        <w:ind w:right="-1"/>
        <w:jc w:val="both"/>
        <w:rPr>
          <w:i/>
          <w:lang w:val="sr-Latn-ME" w:eastAsia="hr-HR"/>
        </w:rPr>
      </w:pPr>
      <w:r w:rsidRPr="00291333">
        <w:rPr>
          <w:i/>
          <w:lang w:val="sr-Latn-ME" w:eastAsia="hr-HR"/>
        </w:rPr>
        <w:t>Opadry white:</w:t>
      </w:r>
    </w:p>
    <w:p w14:paraId="63D0B192" w14:textId="5438E35C" w:rsidR="008F7DDB" w:rsidRPr="00291333" w:rsidRDefault="006A07A4" w:rsidP="008F7DDB">
      <w:pPr>
        <w:widowControl w:val="0"/>
        <w:tabs>
          <w:tab w:val="left" w:pos="2925"/>
        </w:tabs>
        <w:spacing w:line="240" w:lineRule="auto"/>
        <w:jc w:val="both"/>
        <w:outlineLvl w:val="0"/>
        <w:rPr>
          <w:lang w:val="sr-Latn-ME" w:eastAsia="sl-SI"/>
        </w:rPr>
      </w:pPr>
      <w:r>
        <w:rPr>
          <w:lang w:val="sr-Latn-ME" w:eastAsia="sl-SI"/>
        </w:rPr>
        <w:t>p</w:t>
      </w:r>
      <w:r w:rsidRPr="00291333">
        <w:rPr>
          <w:lang w:val="sr-Latn-ME" w:eastAsia="sl-SI"/>
        </w:rPr>
        <w:t xml:space="preserve">olivinil </w:t>
      </w:r>
      <w:r w:rsidR="008F7DDB" w:rsidRPr="00291333">
        <w:rPr>
          <w:lang w:val="sr-Latn-ME" w:eastAsia="sl-SI"/>
        </w:rPr>
        <w:t>alkohol</w:t>
      </w:r>
    </w:p>
    <w:p w14:paraId="583926D3" w14:textId="257721AE" w:rsidR="008F7DDB" w:rsidRDefault="006A07A4" w:rsidP="008F7DDB">
      <w:pPr>
        <w:widowControl w:val="0"/>
        <w:tabs>
          <w:tab w:val="left" w:pos="2925"/>
        </w:tabs>
        <w:spacing w:line="240" w:lineRule="auto"/>
        <w:jc w:val="both"/>
        <w:outlineLvl w:val="0"/>
        <w:rPr>
          <w:lang w:val="sr-Latn-ME" w:eastAsia="sl-SI"/>
        </w:rPr>
      </w:pPr>
      <w:r>
        <w:rPr>
          <w:lang w:val="sr-Latn-ME" w:eastAsia="sl-SI"/>
        </w:rPr>
        <w:t>t</w:t>
      </w:r>
      <w:r w:rsidR="008F7DDB" w:rsidRPr="00291333">
        <w:rPr>
          <w:lang w:val="sr-Latn-ME" w:eastAsia="sl-SI"/>
        </w:rPr>
        <w:t xml:space="preserve">itan dioksid </w:t>
      </w:r>
    </w:p>
    <w:p w14:paraId="23933F00" w14:textId="6653E135" w:rsidR="008F7DDB" w:rsidRPr="00291333" w:rsidRDefault="006A07A4" w:rsidP="008F7DDB">
      <w:pPr>
        <w:widowControl w:val="0"/>
        <w:tabs>
          <w:tab w:val="left" w:pos="2925"/>
        </w:tabs>
        <w:spacing w:line="240" w:lineRule="auto"/>
        <w:jc w:val="both"/>
        <w:outlineLvl w:val="0"/>
        <w:rPr>
          <w:bCs/>
          <w:color w:val="000000"/>
          <w:lang w:val="sr-Latn-ME" w:eastAsia="sl-SI"/>
        </w:rPr>
      </w:pPr>
      <w:r>
        <w:rPr>
          <w:bCs/>
          <w:color w:val="000000"/>
          <w:lang w:val="sr-Latn-ME" w:eastAsia="sl-SI"/>
        </w:rPr>
        <w:t>m</w:t>
      </w:r>
      <w:r w:rsidR="008F7DDB" w:rsidRPr="00291333">
        <w:rPr>
          <w:bCs/>
          <w:color w:val="000000"/>
          <w:lang w:val="sr-Latn-ME" w:eastAsia="sl-SI"/>
        </w:rPr>
        <w:t>akrogol 3000</w:t>
      </w:r>
    </w:p>
    <w:p w14:paraId="62E4AE60" w14:textId="3AF395A8" w:rsidR="008F7DDB" w:rsidRPr="009778E0" w:rsidRDefault="006A07A4" w:rsidP="008F7DDB">
      <w:pPr>
        <w:widowControl w:val="0"/>
        <w:tabs>
          <w:tab w:val="left" w:pos="2925"/>
        </w:tabs>
        <w:spacing w:line="240" w:lineRule="auto"/>
        <w:jc w:val="both"/>
        <w:outlineLvl w:val="0"/>
        <w:rPr>
          <w:bCs/>
          <w:color w:val="000000"/>
          <w:lang w:val="sr-Latn-ME" w:eastAsia="sl-SI"/>
        </w:rPr>
      </w:pPr>
      <w:r>
        <w:rPr>
          <w:bCs/>
          <w:color w:val="000000"/>
          <w:lang w:val="sr-Latn-ME" w:eastAsia="sl-SI"/>
        </w:rPr>
        <w:t>t</w:t>
      </w:r>
      <w:r w:rsidR="008F7DDB" w:rsidRPr="00291333">
        <w:rPr>
          <w:bCs/>
          <w:color w:val="000000"/>
          <w:lang w:val="sr-Latn-ME" w:eastAsia="sl-SI"/>
        </w:rPr>
        <w:t>alk</w:t>
      </w:r>
    </w:p>
    <w:p w14:paraId="7A028EBC" w14:textId="2DC11AFC" w:rsidR="008F7DDB" w:rsidRPr="00291333" w:rsidRDefault="006A07A4" w:rsidP="008F7DDB">
      <w:pPr>
        <w:spacing w:line="240" w:lineRule="auto"/>
        <w:jc w:val="both"/>
        <w:rPr>
          <w:lang w:val="sr-Latn-ME" w:eastAsia="sl-SI"/>
        </w:rPr>
      </w:pPr>
      <w:r>
        <w:rPr>
          <w:lang w:val="sr-Latn-ME" w:eastAsia="sl-SI"/>
        </w:rPr>
        <w:t>g</w:t>
      </w:r>
      <w:r w:rsidR="008F7DDB" w:rsidRPr="00291333">
        <w:rPr>
          <w:lang w:val="sr-Latn-ME" w:eastAsia="sl-SI"/>
        </w:rPr>
        <w:t>vožđe (III)</w:t>
      </w:r>
      <w:r w:rsidR="008F7DDB" w:rsidRPr="00291333" w:rsidDel="00E70E0D">
        <w:rPr>
          <w:lang w:val="sr-Latn-ME" w:eastAsia="sl-SI"/>
        </w:rPr>
        <w:t xml:space="preserve"> </w:t>
      </w:r>
      <w:r w:rsidR="008F7DDB" w:rsidRPr="00291333">
        <w:rPr>
          <w:lang w:val="sr-Latn-ME" w:eastAsia="sl-SI"/>
        </w:rPr>
        <w:t xml:space="preserve">oksid, žuti </w:t>
      </w:r>
    </w:p>
    <w:p w14:paraId="4F2AB7C9" w14:textId="6434FDED" w:rsidR="008F7DDB" w:rsidRPr="00291333" w:rsidRDefault="006A07A4" w:rsidP="008F7DDB">
      <w:pPr>
        <w:spacing w:line="240" w:lineRule="auto"/>
        <w:jc w:val="both"/>
        <w:rPr>
          <w:lang w:val="sr-Latn-ME" w:eastAsia="sl-SI"/>
        </w:rPr>
      </w:pPr>
      <w:r>
        <w:rPr>
          <w:lang w:val="sr-Latn-ME" w:eastAsia="sl-SI"/>
        </w:rPr>
        <w:t>g</w:t>
      </w:r>
      <w:r w:rsidR="008F7DDB" w:rsidRPr="00291333">
        <w:rPr>
          <w:lang w:val="sr-Latn-ME" w:eastAsia="sl-SI"/>
        </w:rPr>
        <w:t>vožđe (III)</w:t>
      </w:r>
      <w:r w:rsidR="008F7DDB" w:rsidRPr="00291333" w:rsidDel="00E70E0D">
        <w:rPr>
          <w:lang w:val="sr-Latn-ME" w:eastAsia="sl-SI"/>
        </w:rPr>
        <w:t xml:space="preserve"> </w:t>
      </w:r>
      <w:r w:rsidR="008F7DDB" w:rsidRPr="00291333">
        <w:rPr>
          <w:lang w:val="sr-Latn-ME" w:eastAsia="sl-SI"/>
        </w:rPr>
        <w:t xml:space="preserve">oksid, crveni </w:t>
      </w:r>
    </w:p>
    <w:p w14:paraId="34D96CAB" w14:textId="77777777" w:rsidR="008F7DDB" w:rsidRPr="00291333" w:rsidRDefault="008F7DDB" w:rsidP="008F7DDB">
      <w:pPr>
        <w:spacing w:line="240" w:lineRule="auto"/>
        <w:jc w:val="both"/>
        <w:rPr>
          <w:lang w:val="sr-Latn-ME" w:eastAsia="sl-SI"/>
        </w:rPr>
      </w:pPr>
    </w:p>
    <w:p w14:paraId="142A9D03" w14:textId="77777777" w:rsidR="008F7DDB" w:rsidRPr="00291333" w:rsidRDefault="008F7DDB" w:rsidP="008F7DDB">
      <w:pPr>
        <w:widowControl w:val="0"/>
        <w:spacing w:line="240" w:lineRule="auto"/>
        <w:jc w:val="both"/>
        <w:outlineLvl w:val="0"/>
        <w:rPr>
          <w:lang w:val="sr-Latn-ME" w:eastAsia="sl-SI"/>
        </w:rPr>
      </w:pPr>
      <w:r w:rsidRPr="00291333">
        <w:rPr>
          <w:b/>
          <w:lang w:val="sr-Latn-ME" w:eastAsia="sl-SI"/>
        </w:rPr>
        <w:t>6.2</w:t>
      </w:r>
      <w:r w:rsidRPr="00291333">
        <w:rPr>
          <w:b/>
          <w:lang w:val="sr-Latn-ME" w:eastAsia="sl-SI"/>
        </w:rPr>
        <w:tab/>
        <w:t>Inkompatibilnosti</w:t>
      </w:r>
    </w:p>
    <w:p w14:paraId="41D63B1B" w14:textId="77777777" w:rsidR="008F7DDB" w:rsidRPr="00291333" w:rsidRDefault="008F7DDB" w:rsidP="008F7DDB">
      <w:pPr>
        <w:widowControl w:val="0"/>
        <w:spacing w:line="240" w:lineRule="auto"/>
        <w:jc w:val="both"/>
        <w:rPr>
          <w:lang w:val="sr-Latn-ME"/>
        </w:rPr>
      </w:pPr>
    </w:p>
    <w:p w14:paraId="52A64B6E" w14:textId="77777777" w:rsidR="008F7DDB" w:rsidRPr="00291333" w:rsidRDefault="008F7DDB" w:rsidP="008F7DDB">
      <w:pPr>
        <w:widowControl w:val="0"/>
        <w:spacing w:line="240" w:lineRule="auto"/>
        <w:jc w:val="both"/>
        <w:rPr>
          <w:lang w:val="sr-Latn-ME" w:eastAsia="sl-SI"/>
        </w:rPr>
      </w:pPr>
      <w:r w:rsidRPr="00291333">
        <w:rPr>
          <w:lang w:val="sr-Latn-ME" w:eastAsia="sl-SI"/>
        </w:rPr>
        <w:t>Nije primjenjivo.</w:t>
      </w:r>
    </w:p>
    <w:p w14:paraId="50A8A5E2" w14:textId="77777777" w:rsidR="008F7DDB" w:rsidRPr="00291333" w:rsidRDefault="008F7DDB" w:rsidP="008F7DDB">
      <w:pPr>
        <w:widowControl w:val="0"/>
        <w:spacing w:line="240" w:lineRule="auto"/>
        <w:jc w:val="both"/>
        <w:rPr>
          <w:lang w:val="sr-Latn-ME"/>
        </w:rPr>
      </w:pPr>
    </w:p>
    <w:p w14:paraId="70F0B0A8" w14:textId="77777777" w:rsidR="008F7DDB" w:rsidRPr="00291333" w:rsidRDefault="008F7DDB" w:rsidP="008F7DDB">
      <w:pPr>
        <w:widowControl w:val="0"/>
        <w:spacing w:line="240" w:lineRule="auto"/>
        <w:jc w:val="both"/>
        <w:outlineLvl w:val="0"/>
        <w:rPr>
          <w:lang w:val="sr-Latn-ME" w:eastAsia="sl-SI"/>
        </w:rPr>
      </w:pPr>
      <w:r w:rsidRPr="00291333">
        <w:rPr>
          <w:b/>
          <w:lang w:val="sr-Latn-ME" w:eastAsia="sl-SI"/>
        </w:rPr>
        <w:t>6.3</w:t>
      </w:r>
      <w:r w:rsidRPr="00291333">
        <w:rPr>
          <w:b/>
          <w:lang w:val="sr-Latn-ME" w:eastAsia="sl-SI"/>
        </w:rPr>
        <w:tab/>
        <w:t>Rok upotrebe</w:t>
      </w:r>
    </w:p>
    <w:p w14:paraId="5CB609E7" w14:textId="77777777" w:rsidR="008F7DDB" w:rsidRPr="00291333" w:rsidRDefault="008F7DDB" w:rsidP="008F7DDB">
      <w:pPr>
        <w:widowControl w:val="0"/>
        <w:spacing w:line="240" w:lineRule="auto"/>
        <w:jc w:val="both"/>
        <w:rPr>
          <w:u w:val="single"/>
          <w:lang w:val="sr-Latn-ME"/>
        </w:rPr>
      </w:pPr>
    </w:p>
    <w:p w14:paraId="4EA6B9E9" w14:textId="77777777" w:rsidR="008F7DDB" w:rsidRPr="00291333" w:rsidRDefault="008F7DDB" w:rsidP="008F7DDB">
      <w:pPr>
        <w:widowControl w:val="0"/>
        <w:spacing w:line="240" w:lineRule="auto"/>
        <w:ind w:right="-1"/>
        <w:jc w:val="both"/>
        <w:rPr>
          <w:lang w:val="sr-Latn-ME" w:eastAsia="hr-HR"/>
        </w:rPr>
      </w:pPr>
      <w:r w:rsidRPr="00291333">
        <w:rPr>
          <w:lang w:val="sr-Latn-ME" w:eastAsia="hr-HR"/>
        </w:rPr>
        <w:t>3 godine</w:t>
      </w:r>
    </w:p>
    <w:p w14:paraId="6D36F50F" w14:textId="77777777" w:rsidR="008F7DDB" w:rsidRPr="00291333" w:rsidRDefault="008F7DDB" w:rsidP="008F7DDB">
      <w:pPr>
        <w:widowControl w:val="0"/>
        <w:spacing w:line="240" w:lineRule="auto"/>
        <w:jc w:val="both"/>
        <w:rPr>
          <w:iCs/>
          <w:lang w:val="sr-Latn-ME"/>
        </w:rPr>
      </w:pPr>
    </w:p>
    <w:p w14:paraId="70644359" w14:textId="77777777" w:rsidR="008F7DDB" w:rsidRPr="00291333" w:rsidRDefault="008F7DDB" w:rsidP="008F7DDB">
      <w:pPr>
        <w:widowControl w:val="0"/>
        <w:spacing w:line="240" w:lineRule="auto"/>
        <w:jc w:val="both"/>
        <w:outlineLvl w:val="0"/>
        <w:rPr>
          <w:lang w:val="sr-Latn-ME" w:eastAsia="sl-SI"/>
        </w:rPr>
      </w:pPr>
      <w:r w:rsidRPr="00291333">
        <w:rPr>
          <w:b/>
          <w:lang w:val="sr-Latn-ME" w:eastAsia="sl-SI"/>
        </w:rPr>
        <w:t>6.4</w:t>
      </w:r>
      <w:r w:rsidRPr="00291333">
        <w:rPr>
          <w:b/>
          <w:lang w:val="sr-Latn-ME" w:eastAsia="sl-SI"/>
        </w:rPr>
        <w:tab/>
        <w:t>Posebne mjere upozorenja pri čuvanju lijeka</w:t>
      </w:r>
    </w:p>
    <w:p w14:paraId="517893C2" w14:textId="77777777" w:rsidR="008F7DDB" w:rsidRPr="00291333" w:rsidRDefault="008F7DDB" w:rsidP="008F7DDB">
      <w:pPr>
        <w:widowControl w:val="0"/>
        <w:spacing w:line="240" w:lineRule="auto"/>
        <w:jc w:val="both"/>
        <w:outlineLvl w:val="0"/>
        <w:rPr>
          <w:lang w:val="sr-Latn-ME" w:eastAsia="sl-SI"/>
        </w:rPr>
      </w:pPr>
    </w:p>
    <w:p w14:paraId="19C95F02" w14:textId="77777777" w:rsidR="008F7DDB" w:rsidRPr="00291333" w:rsidRDefault="008F7DDB" w:rsidP="008F7DDB">
      <w:pPr>
        <w:widowControl w:val="0"/>
        <w:spacing w:line="240" w:lineRule="auto"/>
        <w:ind w:right="-1"/>
        <w:jc w:val="both"/>
        <w:rPr>
          <w:lang w:val="sr-Latn-ME" w:eastAsia="hr-HR"/>
        </w:rPr>
      </w:pPr>
      <w:r w:rsidRPr="00291333">
        <w:rPr>
          <w:lang w:val="sr-Latn-ME" w:eastAsia="hr-HR"/>
        </w:rPr>
        <w:t>Lijek ne zahtijeva posebne uslove čuvanja.</w:t>
      </w:r>
    </w:p>
    <w:p w14:paraId="5D4E87EC" w14:textId="77777777" w:rsidR="008F7DDB" w:rsidRPr="00291333" w:rsidRDefault="008F7DDB" w:rsidP="008F7DDB">
      <w:pPr>
        <w:widowControl w:val="0"/>
        <w:spacing w:line="240" w:lineRule="auto"/>
        <w:jc w:val="both"/>
        <w:rPr>
          <w:lang w:val="sr-Latn-ME"/>
        </w:rPr>
      </w:pPr>
    </w:p>
    <w:p w14:paraId="28C14B6B" w14:textId="77777777" w:rsidR="008F7DDB" w:rsidRPr="00291333" w:rsidRDefault="008F7DDB" w:rsidP="008F7DDB">
      <w:pPr>
        <w:widowControl w:val="0"/>
        <w:spacing w:line="240" w:lineRule="auto"/>
        <w:jc w:val="both"/>
        <w:outlineLvl w:val="0"/>
        <w:rPr>
          <w:b/>
          <w:lang w:val="sr-Latn-ME" w:eastAsia="sl-SI"/>
        </w:rPr>
      </w:pPr>
      <w:r w:rsidRPr="00291333">
        <w:rPr>
          <w:b/>
          <w:lang w:val="sr-Latn-ME" w:eastAsia="sl-SI"/>
        </w:rPr>
        <w:t>6.5</w:t>
      </w:r>
      <w:r w:rsidRPr="00291333">
        <w:rPr>
          <w:b/>
          <w:lang w:val="sr-Latn-ME" w:eastAsia="sl-SI"/>
        </w:rPr>
        <w:tab/>
        <w:t>Vrsta i sadržaj pakovanja</w:t>
      </w:r>
    </w:p>
    <w:p w14:paraId="1A7703D1" w14:textId="77777777" w:rsidR="008F7DDB" w:rsidRPr="00291333" w:rsidRDefault="008F7DDB" w:rsidP="008F7DDB">
      <w:pPr>
        <w:widowControl w:val="0"/>
        <w:spacing w:line="240" w:lineRule="auto"/>
        <w:jc w:val="both"/>
        <w:outlineLvl w:val="0"/>
        <w:rPr>
          <w:b/>
          <w:lang w:val="sr-Latn-ME" w:eastAsia="sl-SI"/>
        </w:rPr>
      </w:pPr>
    </w:p>
    <w:p w14:paraId="62DA2863" w14:textId="77777777" w:rsidR="008F7DDB" w:rsidRPr="00291333" w:rsidRDefault="008F7DDB" w:rsidP="008F7DDB">
      <w:pPr>
        <w:widowControl w:val="0"/>
        <w:spacing w:line="240" w:lineRule="auto"/>
        <w:ind w:right="-1"/>
        <w:jc w:val="both"/>
        <w:rPr>
          <w:bCs/>
          <w:i/>
          <w:lang w:val="sr-Latn-ME" w:eastAsia="sl-SI"/>
        </w:rPr>
      </w:pPr>
      <w:r w:rsidRPr="00291333">
        <w:rPr>
          <w:bCs/>
          <w:i/>
          <w:lang w:val="sr-Latn-ME" w:eastAsia="sl-SI"/>
        </w:rPr>
        <w:t>100 mg film tablete:</w:t>
      </w:r>
    </w:p>
    <w:p w14:paraId="664C5865" w14:textId="77777777" w:rsidR="008F7DDB" w:rsidRPr="00291333" w:rsidRDefault="008F7DDB" w:rsidP="008F7DDB">
      <w:pPr>
        <w:widowControl w:val="0"/>
        <w:spacing w:line="240" w:lineRule="auto"/>
        <w:ind w:right="-1"/>
        <w:jc w:val="both"/>
        <w:rPr>
          <w:bCs/>
          <w:lang w:val="sr-Latn-ME" w:eastAsia="sl-SI"/>
        </w:rPr>
      </w:pPr>
      <w:r w:rsidRPr="00291333">
        <w:rPr>
          <w:bCs/>
          <w:lang w:val="sr-Latn-ME" w:eastAsia="sl-SI"/>
        </w:rPr>
        <w:t>Blister (PVC/PVDC//Al): 60 (6x10), 120 (12x10) film tableta.</w:t>
      </w:r>
    </w:p>
    <w:p w14:paraId="19E81341" w14:textId="77777777" w:rsidR="008F7DDB" w:rsidRPr="00291333" w:rsidRDefault="008F7DDB" w:rsidP="008F7DDB">
      <w:pPr>
        <w:widowControl w:val="0"/>
        <w:spacing w:line="240" w:lineRule="auto"/>
        <w:ind w:right="-1"/>
        <w:jc w:val="both"/>
        <w:rPr>
          <w:bCs/>
          <w:lang w:val="sr-Latn-ME" w:eastAsia="sl-SI"/>
        </w:rPr>
      </w:pPr>
      <w:r w:rsidRPr="00291333">
        <w:rPr>
          <w:bCs/>
          <w:lang w:val="sr-Latn-ME" w:eastAsia="sl-SI"/>
        </w:rPr>
        <w:t>Blister (PVC/PE/PVDC//Al): 60 (6x10), 120 (12x10) film tableta.</w:t>
      </w:r>
    </w:p>
    <w:p w14:paraId="7737620D" w14:textId="77777777" w:rsidR="008F7DDB" w:rsidRPr="00291333" w:rsidRDefault="008F7DDB" w:rsidP="008F7DDB">
      <w:pPr>
        <w:widowControl w:val="0"/>
        <w:spacing w:line="240" w:lineRule="auto"/>
        <w:ind w:right="-1"/>
        <w:jc w:val="both"/>
        <w:rPr>
          <w:bCs/>
          <w:lang w:val="sr-Latn-ME" w:eastAsia="sl-SI"/>
        </w:rPr>
      </w:pPr>
    </w:p>
    <w:p w14:paraId="22B98AD4" w14:textId="77777777" w:rsidR="008F7DDB" w:rsidRPr="00291333" w:rsidRDefault="008F7DDB" w:rsidP="008F7DDB">
      <w:pPr>
        <w:widowControl w:val="0"/>
        <w:spacing w:line="240" w:lineRule="auto"/>
        <w:ind w:right="-1"/>
        <w:jc w:val="both"/>
        <w:rPr>
          <w:bCs/>
          <w:i/>
          <w:lang w:val="sr-Latn-ME" w:eastAsia="sl-SI"/>
        </w:rPr>
      </w:pPr>
      <w:r w:rsidRPr="00291333">
        <w:rPr>
          <w:bCs/>
          <w:i/>
          <w:lang w:val="sr-Latn-ME" w:eastAsia="sl-SI"/>
        </w:rPr>
        <w:t>400 mg film tablete:</w:t>
      </w:r>
    </w:p>
    <w:p w14:paraId="430FB577" w14:textId="77777777" w:rsidR="008F7DDB" w:rsidRPr="00291333" w:rsidRDefault="008F7DDB" w:rsidP="008F7DDB">
      <w:pPr>
        <w:widowControl w:val="0"/>
        <w:spacing w:line="240" w:lineRule="auto"/>
        <w:ind w:right="-1"/>
        <w:jc w:val="both"/>
        <w:rPr>
          <w:bCs/>
          <w:lang w:val="sr-Latn-ME" w:eastAsia="sl-SI"/>
        </w:rPr>
      </w:pPr>
      <w:r w:rsidRPr="00291333">
        <w:rPr>
          <w:bCs/>
          <w:lang w:val="sr-Latn-ME" w:eastAsia="sl-SI"/>
        </w:rPr>
        <w:t>Blister (PVC/PVDC//Al): 30 (3x10) film tableta.</w:t>
      </w:r>
    </w:p>
    <w:p w14:paraId="4CB176E3" w14:textId="77777777" w:rsidR="008F7DDB" w:rsidRPr="00291333" w:rsidRDefault="008F7DDB" w:rsidP="008F7DDB">
      <w:pPr>
        <w:widowControl w:val="0"/>
        <w:spacing w:line="240" w:lineRule="auto"/>
        <w:ind w:right="-1"/>
        <w:jc w:val="both"/>
        <w:rPr>
          <w:bCs/>
          <w:lang w:val="sr-Latn-ME" w:eastAsia="sl-SI"/>
        </w:rPr>
      </w:pPr>
      <w:r w:rsidRPr="00291333">
        <w:rPr>
          <w:bCs/>
          <w:lang w:val="sr-Latn-ME" w:eastAsia="sl-SI"/>
        </w:rPr>
        <w:t>Blister (PVC/PE/PVDC//Al): 30 (3x10) film tableta.</w:t>
      </w:r>
    </w:p>
    <w:p w14:paraId="4F2AC871" w14:textId="77777777" w:rsidR="008F7DDB" w:rsidRPr="00291333" w:rsidRDefault="008F7DDB" w:rsidP="008F7DDB">
      <w:pPr>
        <w:widowControl w:val="0"/>
        <w:spacing w:line="240" w:lineRule="auto"/>
        <w:jc w:val="both"/>
        <w:rPr>
          <w:lang w:val="sr-Latn-ME"/>
        </w:rPr>
      </w:pPr>
    </w:p>
    <w:p w14:paraId="3758790F" w14:textId="77777777" w:rsidR="008F7DDB" w:rsidRPr="00291333" w:rsidRDefault="008F7DDB" w:rsidP="008F7DDB">
      <w:pPr>
        <w:widowControl w:val="0"/>
        <w:spacing w:line="240" w:lineRule="auto"/>
        <w:jc w:val="both"/>
        <w:outlineLvl w:val="0"/>
        <w:rPr>
          <w:b/>
          <w:bCs/>
          <w:lang w:val="sr-Latn-ME" w:eastAsia="sl-SI"/>
        </w:rPr>
      </w:pPr>
      <w:r w:rsidRPr="00291333">
        <w:rPr>
          <w:b/>
          <w:lang w:val="sr-Latn-ME"/>
        </w:rPr>
        <w:t>6.6</w:t>
      </w:r>
      <w:r w:rsidRPr="00291333">
        <w:rPr>
          <w:b/>
          <w:lang w:val="sr-Latn-ME"/>
        </w:rPr>
        <w:tab/>
      </w:r>
      <w:r w:rsidRPr="00291333">
        <w:rPr>
          <w:b/>
          <w:bCs/>
          <w:lang w:val="sr-Latn-ME" w:eastAsia="sl-SI"/>
        </w:rPr>
        <w:t>Posebne mjere opreza pri odlaganju materijala koji treba odbaciti nakon primjene</w:t>
      </w:r>
      <w:bookmarkStart w:id="2" w:name="OLE_LINK2"/>
    </w:p>
    <w:bookmarkEnd w:id="2"/>
    <w:p w14:paraId="5828FE67" w14:textId="77777777" w:rsidR="008F7DDB" w:rsidRPr="00291333" w:rsidRDefault="008F7DDB" w:rsidP="008F7DDB">
      <w:pPr>
        <w:widowControl w:val="0"/>
        <w:spacing w:line="240" w:lineRule="auto"/>
        <w:jc w:val="both"/>
        <w:outlineLvl w:val="0"/>
        <w:rPr>
          <w:lang w:val="sr-Latn-ME"/>
        </w:rPr>
      </w:pPr>
      <w:r w:rsidRPr="00291333">
        <w:rPr>
          <w:b/>
          <w:bCs/>
          <w:lang w:val="sr-Latn-ME" w:eastAsia="sl-SI"/>
        </w:rPr>
        <w:t>lijeka (i druga uputstva za rukovanje lijekom)</w:t>
      </w:r>
    </w:p>
    <w:p w14:paraId="37B499F9" w14:textId="77777777" w:rsidR="008F7DDB" w:rsidRPr="00291333" w:rsidRDefault="008F7DDB" w:rsidP="008F7DDB">
      <w:pPr>
        <w:widowControl w:val="0"/>
        <w:spacing w:line="240" w:lineRule="auto"/>
        <w:jc w:val="both"/>
        <w:rPr>
          <w:highlight w:val="yellow"/>
          <w:lang w:val="sr-Latn-ME"/>
        </w:rPr>
      </w:pPr>
    </w:p>
    <w:p w14:paraId="2683B628" w14:textId="77777777" w:rsidR="008F7DDB" w:rsidRPr="00291333" w:rsidRDefault="008F7DDB" w:rsidP="008F7DDB">
      <w:pPr>
        <w:widowControl w:val="0"/>
        <w:spacing w:line="240" w:lineRule="auto"/>
        <w:jc w:val="both"/>
        <w:rPr>
          <w:lang w:val="sr-Latn-ME" w:eastAsia="sl-SI"/>
        </w:rPr>
      </w:pPr>
      <w:r w:rsidRPr="00291333">
        <w:rPr>
          <w:lang w:val="sr-Latn-ME" w:eastAsia="sl-SI"/>
        </w:rPr>
        <w:t>Neupotrijebljeni lijek se uništava u skladu sa važećim propisima.</w:t>
      </w:r>
    </w:p>
    <w:p w14:paraId="25EFE810" w14:textId="77777777" w:rsidR="008F7DDB" w:rsidRPr="00291333" w:rsidRDefault="008F7DDB" w:rsidP="008F7DDB">
      <w:pPr>
        <w:widowControl w:val="0"/>
        <w:spacing w:line="240" w:lineRule="auto"/>
        <w:jc w:val="both"/>
        <w:rPr>
          <w:lang w:val="sr-Latn-ME"/>
        </w:rPr>
      </w:pPr>
    </w:p>
    <w:p w14:paraId="7FA664E2" w14:textId="77777777" w:rsidR="008F7DDB" w:rsidRPr="00291333" w:rsidRDefault="008F7DDB" w:rsidP="008F7DDB">
      <w:pPr>
        <w:widowControl w:val="0"/>
        <w:spacing w:line="240" w:lineRule="auto"/>
        <w:jc w:val="both"/>
        <w:rPr>
          <w:lang w:val="sr-Latn-ME"/>
        </w:rPr>
      </w:pPr>
    </w:p>
    <w:p w14:paraId="2D791F59" w14:textId="77777777" w:rsidR="008F7DDB" w:rsidRPr="00291333" w:rsidRDefault="008F7DDB" w:rsidP="008F7DDB">
      <w:pPr>
        <w:widowControl w:val="0"/>
        <w:spacing w:line="240" w:lineRule="auto"/>
        <w:jc w:val="both"/>
        <w:rPr>
          <w:lang w:val="sr-Latn-ME" w:eastAsia="sl-SI"/>
        </w:rPr>
      </w:pPr>
      <w:r w:rsidRPr="00F24749">
        <w:rPr>
          <w:b/>
          <w:bCs/>
          <w:lang w:val="sr-Latn-ME" w:eastAsia="sl-SI"/>
        </w:rPr>
        <w:t>7.</w:t>
      </w:r>
      <w:r w:rsidRPr="00291333">
        <w:rPr>
          <w:b/>
          <w:lang w:val="sr-Latn-ME" w:eastAsia="sl-SI"/>
        </w:rPr>
        <w:tab/>
      </w:r>
      <w:r w:rsidRPr="00291333">
        <w:rPr>
          <w:b/>
          <w:bCs/>
          <w:lang w:val="sr-Latn-ME" w:eastAsia="sl-SI"/>
        </w:rPr>
        <w:t>NOSILAC DOZVOLE</w:t>
      </w:r>
    </w:p>
    <w:p w14:paraId="1AB46CE1" w14:textId="77777777" w:rsidR="008F7DDB" w:rsidRPr="00291333" w:rsidRDefault="008F7DDB" w:rsidP="008F7DDB">
      <w:pPr>
        <w:widowControl w:val="0"/>
        <w:spacing w:line="240" w:lineRule="auto"/>
        <w:jc w:val="both"/>
        <w:rPr>
          <w:lang w:val="sr-Latn-ME"/>
        </w:rPr>
      </w:pPr>
    </w:p>
    <w:p w14:paraId="16C1BB86" w14:textId="77777777" w:rsidR="008F7DDB" w:rsidRPr="00291333" w:rsidRDefault="008F7DDB" w:rsidP="008F7DDB">
      <w:pPr>
        <w:autoSpaceDE w:val="0"/>
        <w:autoSpaceDN w:val="0"/>
        <w:adjustRightInd w:val="0"/>
        <w:spacing w:line="240" w:lineRule="auto"/>
        <w:jc w:val="both"/>
        <w:rPr>
          <w:lang w:val="sr-Latn-ME" w:eastAsia="sl-SI"/>
        </w:rPr>
      </w:pPr>
      <w:r w:rsidRPr="00291333">
        <w:rPr>
          <w:lang w:val="sr-Latn-ME" w:eastAsia="sl-SI"/>
        </w:rPr>
        <w:t>D.S.D. „KRKA, d.d., Novo mesto“ - predstavništvo Podgorica</w:t>
      </w:r>
    </w:p>
    <w:p w14:paraId="2143B79B" w14:textId="77777777" w:rsidR="008F7DDB" w:rsidRPr="00291333" w:rsidRDefault="008F7DDB" w:rsidP="008F7DDB">
      <w:pPr>
        <w:autoSpaceDE w:val="0"/>
        <w:autoSpaceDN w:val="0"/>
        <w:adjustRightInd w:val="0"/>
        <w:spacing w:line="240" w:lineRule="auto"/>
        <w:ind w:right="71"/>
        <w:jc w:val="both"/>
        <w:rPr>
          <w:lang w:val="sr-Latn-ME" w:eastAsia="sl-SI"/>
        </w:rPr>
      </w:pPr>
      <w:r w:rsidRPr="00291333">
        <w:rPr>
          <w:lang w:val="sr-Latn-ME" w:eastAsia="sl-SI"/>
        </w:rPr>
        <w:t>Svetlane Kane Radević br. 3, 81000 Podgorica, Crna Gora</w:t>
      </w:r>
    </w:p>
    <w:p w14:paraId="3DE78A6D" w14:textId="77777777" w:rsidR="008F7DDB" w:rsidRPr="00291333" w:rsidRDefault="008F7DDB" w:rsidP="008F7DDB">
      <w:pPr>
        <w:widowControl w:val="0"/>
        <w:spacing w:line="240" w:lineRule="auto"/>
        <w:jc w:val="both"/>
        <w:rPr>
          <w:lang w:val="sr-Latn-ME"/>
        </w:rPr>
      </w:pPr>
    </w:p>
    <w:p w14:paraId="76B65E9F" w14:textId="77777777" w:rsidR="008F7DDB" w:rsidRPr="00291333" w:rsidRDefault="008F7DDB" w:rsidP="008F7DDB">
      <w:pPr>
        <w:widowControl w:val="0"/>
        <w:spacing w:line="240" w:lineRule="auto"/>
        <w:jc w:val="both"/>
        <w:rPr>
          <w:lang w:val="sr-Latn-ME"/>
        </w:rPr>
      </w:pPr>
    </w:p>
    <w:p w14:paraId="4D58F099" w14:textId="77777777" w:rsidR="008F7DDB" w:rsidRPr="00291333" w:rsidRDefault="008F7DDB" w:rsidP="008F7DDB">
      <w:pPr>
        <w:tabs>
          <w:tab w:val="clear" w:pos="567"/>
          <w:tab w:val="left" w:pos="540"/>
          <w:tab w:val="left" w:pos="569"/>
        </w:tabs>
        <w:spacing w:line="240" w:lineRule="auto"/>
        <w:jc w:val="both"/>
        <w:rPr>
          <w:b/>
          <w:bCs/>
          <w:lang w:val="sr-Latn-ME" w:eastAsia="sl-SI"/>
        </w:rPr>
      </w:pPr>
      <w:r w:rsidRPr="00291333">
        <w:rPr>
          <w:b/>
          <w:bCs/>
          <w:lang w:val="sr-Latn-ME" w:eastAsia="sl-SI"/>
        </w:rPr>
        <w:t xml:space="preserve">8. </w:t>
      </w:r>
      <w:r w:rsidRPr="00291333">
        <w:rPr>
          <w:b/>
          <w:bCs/>
          <w:lang w:val="sr-Latn-ME" w:eastAsia="sl-SI"/>
        </w:rPr>
        <w:tab/>
        <w:t>BROJ DOZVOLE ZA STAVLJANJE LIJEKA U PROMET</w:t>
      </w:r>
    </w:p>
    <w:p w14:paraId="6812FAB7" w14:textId="77777777" w:rsidR="008F7DDB" w:rsidRPr="00291333" w:rsidRDefault="008F7DDB" w:rsidP="008F7DDB">
      <w:pPr>
        <w:tabs>
          <w:tab w:val="clear" w:pos="567"/>
          <w:tab w:val="left" w:pos="540"/>
          <w:tab w:val="left" w:pos="569"/>
        </w:tabs>
        <w:spacing w:line="240" w:lineRule="auto"/>
        <w:jc w:val="both"/>
        <w:rPr>
          <w:b/>
          <w:bCs/>
          <w:lang w:val="sr-Latn-ME" w:eastAsia="sl-SI"/>
        </w:rPr>
      </w:pPr>
    </w:p>
    <w:p w14:paraId="3B293637" w14:textId="5FFE58C5" w:rsidR="008F7DDB" w:rsidRPr="00906018"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100</w:t>
      </w:r>
      <w:r>
        <w:rPr>
          <w:bCs/>
          <w:lang w:val="sr-Latn-ME" w:eastAsia="sl-SI"/>
        </w:rPr>
        <w:t xml:space="preserve"> </w:t>
      </w:r>
      <w:r w:rsidRPr="00906018">
        <w:rPr>
          <w:bCs/>
          <w:lang w:val="sr-Latn-ME" w:eastAsia="sl-SI"/>
        </w:rPr>
        <w:t>mg, blister, 60</w:t>
      </w:r>
      <w:r>
        <w:rPr>
          <w:bCs/>
          <w:lang w:val="sr-Latn-ME" w:eastAsia="sl-SI"/>
        </w:rPr>
        <w:t xml:space="preserve"> (6x10) film tableta: </w:t>
      </w:r>
      <w:r w:rsidRPr="00906018">
        <w:rPr>
          <w:bCs/>
          <w:lang w:val="sr-Latn-ME" w:eastAsia="sl-SI"/>
        </w:rPr>
        <w:t xml:space="preserve">2030/20/64 – 2359 </w:t>
      </w:r>
    </w:p>
    <w:p w14:paraId="3711BFDC" w14:textId="3BA05815" w:rsidR="008F7DDB"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10</w:t>
      </w:r>
      <w:r>
        <w:rPr>
          <w:bCs/>
          <w:lang w:val="sr-Latn-ME" w:eastAsia="sl-SI"/>
        </w:rPr>
        <w:t xml:space="preserve">0 mg, blister, 120 (12x10) film tableta: </w:t>
      </w:r>
      <w:r w:rsidRPr="00906018">
        <w:rPr>
          <w:bCs/>
          <w:lang w:val="sr-Latn-ME" w:eastAsia="sl-SI"/>
        </w:rPr>
        <w:t xml:space="preserve">2030/20/65 </w:t>
      </w:r>
      <w:r>
        <w:rPr>
          <w:bCs/>
          <w:lang w:val="sr-Latn-ME" w:eastAsia="sl-SI"/>
        </w:rPr>
        <w:t>–</w:t>
      </w:r>
      <w:r w:rsidRPr="00906018">
        <w:rPr>
          <w:bCs/>
          <w:lang w:val="sr-Latn-ME" w:eastAsia="sl-SI"/>
        </w:rPr>
        <w:t xml:space="preserve"> 2360</w:t>
      </w:r>
    </w:p>
    <w:p w14:paraId="3EFA39A2" w14:textId="115FE14B" w:rsidR="008F7DDB"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400</w:t>
      </w:r>
      <w:r>
        <w:rPr>
          <w:bCs/>
          <w:lang w:val="sr-Latn-ME" w:eastAsia="sl-SI"/>
        </w:rPr>
        <w:t xml:space="preserve"> </w:t>
      </w:r>
      <w:r w:rsidRPr="00906018">
        <w:rPr>
          <w:bCs/>
          <w:lang w:val="sr-Latn-ME" w:eastAsia="sl-SI"/>
        </w:rPr>
        <w:t>mg, blister, 30</w:t>
      </w:r>
      <w:r>
        <w:rPr>
          <w:bCs/>
          <w:lang w:val="sr-Latn-ME" w:eastAsia="sl-SI"/>
        </w:rPr>
        <w:t xml:space="preserve"> (3x10)</w:t>
      </w:r>
      <w:r w:rsidRPr="00906018">
        <w:rPr>
          <w:bCs/>
          <w:lang w:val="sr-Latn-ME" w:eastAsia="sl-SI"/>
        </w:rPr>
        <w:t xml:space="preserve"> film tableta</w:t>
      </w:r>
      <w:r>
        <w:rPr>
          <w:bCs/>
          <w:lang w:val="sr-Latn-ME" w:eastAsia="sl-SI"/>
        </w:rPr>
        <w:t xml:space="preserve">: </w:t>
      </w:r>
      <w:r w:rsidRPr="00906018">
        <w:rPr>
          <w:bCs/>
          <w:lang w:val="sr-Latn-ME" w:eastAsia="sl-SI"/>
        </w:rPr>
        <w:t xml:space="preserve">2030/20/66 </w:t>
      </w:r>
      <w:r>
        <w:rPr>
          <w:bCs/>
          <w:lang w:val="sr-Latn-ME" w:eastAsia="sl-SI"/>
        </w:rPr>
        <w:t>–</w:t>
      </w:r>
      <w:r w:rsidRPr="00906018">
        <w:rPr>
          <w:bCs/>
          <w:lang w:val="sr-Latn-ME" w:eastAsia="sl-SI"/>
        </w:rPr>
        <w:t xml:space="preserve"> 2361</w:t>
      </w:r>
    </w:p>
    <w:p w14:paraId="2081C61C" w14:textId="77777777" w:rsidR="008F7DDB" w:rsidRDefault="008F7DDB" w:rsidP="008F7DDB">
      <w:pPr>
        <w:tabs>
          <w:tab w:val="clear" w:pos="567"/>
          <w:tab w:val="left" w:pos="540"/>
          <w:tab w:val="left" w:pos="569"/>
        </w:tabs>
        <w:spacing w:line="240" w:lineRule="auto"/>
        <w:jc w:val="both"/>
        <w:rPr>
          <w:bCs/>
          <w:lang w:val="sr-Latn-ME" w:eastAsia="sl-SI"/>
        </w:rPr>
      </w:pPr>
    </w:p>
    <w:p w14:paraId="2D99D3E0" w14:textId="77777777" w:rsidR="008F7DDB" w:rsidRPr="00291333" w:rsidRDefault="008F7DDB" w:rsidP="008F7DDB">
      <w:pPr>
        <w:tabs>
          <w:tab w:val="clear" w:pos="567"/>
          <w:tab w:val="left" w:pos="540"/>
          <w:tab w:val="left" w:pos="569"/>
        </w:tabs>
        <w:spacing w:line="240" w:lineRule="auto"/>
        <w:jc w:val="both"/>
        <w:rPr>
          <w:bCs/>
          <w:lang w:val="sr-Latn-ME" w:eastAsia="sl-SI"/>
        </w:rPr>
      </w:pPr>
    </w:p>
    <w:p w14:paraId="0161F898" w14:textId="77777777" w:rsidR="008F7DDB" w:rsidRPr="00291333" w:rsidRDefault="008F7DDB" w:rsidP="008F7DDB">
      <w:pPr>
        <w:tabs>
          <w:tab w:val="clear" w:pos="567"/>
          <w:tab w:val="left" w:pos="540"/>
          <w:tab w:val="left" w:pos="569"/>
        </w:tabs>
        <w:spacing w:line="240" w:lineRule="auto"/>
        <w:jc w:val="both"/>
        <w:rPr>
          <w:b/>
          <w:bCs/>
          <w:lang w:val="sr-Latn-ME" w:eastAsia="sl-SI"/>
        </w:rPr>
      </w:pPr>
      <w:r w:rsidRPr="00291333">
        <w:rPr>
          <w:b/>
          <w:bCs/>
          <w:lang w:val="sr-Latn-ME" w:eastAsia="sl-SI"/>
        </w:rPr>
        <w:t xml:space="preserve">9. </w:t>
      </w:r>
      <w:r w:rsidRPr="00291333">
        <w:rPr>
          <w:b/>
          <w:bCs/>
          <w:lang w:val="sr-Latn-ME" w:eastAsia="sl-SI"/>
        </w:rPr>
        <w:tab/>
        <w:t>DATUM PRVE DOZVOLE/ OBNOVE DOZVOLE ZA STAVLJANJE LIJEKA U PROMET</w:t>
      </w:r>
    </w:p>
    <w:p w14:paraId="268A85E2" w14:textId="77777777" w:rsidR="008F7DDB" w:rsidRDefault="008F7DDB" w:rsidP="008F7DDB">
      <w:pPr>
        <w:tabs>
          <w:tab w:val="clear" w:pos="567"/>
          <w:tab w:val="left" w:pos="540"/>
          <w:tab w:val="left" w:pos="569"/>
        </w:tabs>
        <w:spacing w:line="240" w:lineRule="auto"/>
        <w:jc w:val="both"/>
        <w:rPr>
          <w:bCs/>
          <w:lang w:val="sr-Latn-ME" w:eastAsia="sl-SI"/>
        </w:rPr>
      </w:pPr>
    </w:p>
    <w:p w14:paraId="2B3EFE74" w14:textId="2652AE8C" w:rsidR="008F7DDB"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100</w:t>
      </w:r>
      <w:r>
        <w:rPr>
          <w:bCs/>
          <w:lang w:val="sr-Latn-ME" w:eastAsia="sl-SI"/>
        </w:rPr>
        <w:t xml:space="preserve"> </w:t>
      </w:r>
      <w:r w:rsidRPr="00906018">
        <w:rPr>
          <w:bCs/>
          <w:lang w:val="sr-Latn-ME" w:eastAsia="sl-SI"/>
        </w:rPr>
        <w:t>mg, blister, 60</w:t>
      </w:r>
      <w:r>
        <w:rPr>
          <w:bCs/>
          <w:lang w:val="sr-Latn-ME" w:eastAsia="sl-SI"/>
        </w:rPr>
        <w:t xml:space="preserve"> (6x10) film tableta: 23.01.2020. godine</w:t>
      </w:r>
    </w:p>
    <w:p w14:paraId="2AB474D5" w14:textId="4CFF0275" w:rsidR="008F7DDB" w:rsidRPr="00906018"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10</w:t>
      </w:r>
      <w:r>
        <w:rPr>
          <w:bCs/>
          <w:lang w:val="sr-Latn-ME" w:eastAsia="sl-SI"/>
        </w:rPr>
        <w:t>0 mg, blister, 120 (12x10) film tableta: 23.01.2020. godine</w:t>
      </w:r>
    </w:p>
    <w:p w14:paraId="67F2D28D" w14:textId="6E0E14EC" w:rsidR="008F7DDB" w:rsidRDefault="008F7DDB" w:rsidP="008F7DDB">
      <w:pPr>
        <w:tabs>
          <w:tab w:val="clear" w:pos="567"/>
          <w:tab w:val="left" w:pos="540"/>
          <w:tab w:val="left" w:pos="569"/>
        </w:tabs>
        <w:spacing w:line="240" w:lineRule="auto"/>
        <w:jc w:val="both"/>
        <w:rPr>
          <w:bCs/>
          <w:lang w:val="sr-Latn-ME" w:eastAsia="sl-SI"/>
        </w:rPr>
      </w:pPr>
      <w:r w:rsidRPr="00906018">
        <w:rPr>
          <w:bCs/>
          <w:lang w:val="sr-Latn-ME" w:eastAsia="sl-SI"/>
        </w:rPr>
        <w:t>Meaxin, film tableta, 400</w:t>
      </w:r>
      <w:r>
        <w:rPr>
          <w:bCs/>
          <w:lang w:val="sr-Latn-ME" w:eastAsia="sl-SI"/>
        </w:rPr>
        <w:t xml:space="preserve"> </w:t>
      </w:r>
      <w:r w:rsidRPr="00906018">
        <w:rPr>
          <w:bCs/>
          <w:lang w:val="sr-Latn-ME" w:eastAsia="sl-SI"/>
        </w:rPr>
        <w:t>mg, blister, 30</w:t>
      </w:r>
      <w:r>
        <w:rPr>
          <w:bCs/>
          <w:lang w:val="sr-Latn-ME" w:eastAsia="sl-SI"/>
        </w:rPr>
        <w:t xml:space="preserve"> (3x10)</w:t>
      </w:r>
      <w:r w:rsidRPr="00906018">
        <w:rPr>
          <w:bCs/>
          <w:lang w:val="sr-Latn-ME" w:eastAsia="sl-SI"/>
        </w:rPr>
        <w:t xml:space="preserve"> film tableta</w:t>
      </w:r>
      <w:r>
        <w:rPr>
          <w:bCs/>
          <w:lang w:val="sr-Latn-ME" w:eastAsia="sl-SI"/>
        </w:rPr>
        <w:t>: 23.01.2020. godine</w:t>
      </w:r>
    </w:p>
    <w:p w14:paraId="69845222" w14:textId="77777777" w:rsidR="008F7DDB" w:rsidRDefault="008F7DDB" w:rsidP="008F7DDB">
      <w:pPr>
        <w:tabs>
          <w:tab w:val="clear" w:pos="567"/>
          <w:tab w:val="left" w:pos="540"/>
          <w:tab w:val="left" w:pos="569"/>
        </w:tabs>
        <w:spacing w:line="240" w:lineRule="auto"/>
        <w:jc w:val="both"/>
        <w:rPr>
          <w:bCs/>
          <w:lang w:val="sr-Latn-ME" w:eastAsia="sl-SI"/>
        </w:rPr>
      </w:pPr>
    </w:p>
    <w:p w14:paraId="144FE1E2" w14:textId="77777777" w:rsidR="008F7DDB" w:rsidRPr="00291333" w:rsidRDefault="008F7DDB" w:rsidP="008F7DDB">
      <w:pPr>
        <w:tabs>
          <w:tab w:val="clear" w:pos="567"/>
          <w:tab w:val="left" w:pos="540"/>
          <w:tab w:val="left" w:pos="569"/>
        </w:tabs>
        <w:spacing w:line="240" w:lineRule="auto"/>
        <w:jc w:val="both"/>
        <w:rPr>
          <w:bCs/>
          <w:lang w:val="sr-Latn-ME" w:eastAsia="sl-SI"/>
        </w:rPr>
      </w:pPr>
    </w:p>
    <w:p w14:paraId="5799546C" w14:textId="77777777" w:rsidR="008F7DDB" w:rsidRPr="00291333" w:rsidRDefault="008F7DDB" w:rsidP="008F7DDB">
      <w:pPr>
        <w:tabs>
          <w:tab w:val="left" w:pos="0"/>
        </w:tabs>
        <w:spacing w:line="240" w:lineRule="auto"/>
        <w:jc w:val="both"/>
        <w:rPr>
          <w:b/>
          <w:bCs/>
          <w:lang w:val="sr-Latn-ME" w:eastAsia="sl-SI"/>
        </w:rPr>
      </w:pPr>
      <w:r w:rsidRPr="00291333">
        <w:rPr>
          <w:b/>
          <w:bCs/>
          <w:lang w:val="sr-Latn-ME" w:eastAsia="sl-SI"/>
        </w:rPr>
        <w:t xml:space="preserve">10. </w:t>
      </w:r>
      <w:r w:rsidRPr="00291333">
        <w:rPr>
          <w:b/>
          <w:bCs/>
          <w:lang w:val="sr-Latn-ME" w:eastAsia="sl-SI"/>
        </w:rPr>
        <w:tab/>
        <w:t xml:space="preserve">DATUM  REVIZIJE TEKSTA </w:t>
      </w:r>
    </w:p>
    <w:p w14:paraId="30488B5A" w14:textId="77777777" w:rsidR="008F7DDB" w:rsidRPr="00291333" w:rsidRDefault="008F7DDB" w:rsidP="008F7DDB">
      <w:pPr>
        <w:tabs>
          <w:tab w:val="clear" w:pos="567"/>
          <w:tab w:val="left" w:pos="540"/>
          <w:tab w:val="left" w:pos="569"/>
        </w:tabs>
        <w:spacing w:line="240" w:lineRule="auto"/>
        <w:jc w:val="both"/>
        <w:rPr>
          <w:b/>
          <w:bCs/>
          <w:lang w:val="sr-Latn-ME" w:eastAsia="sl-SI"/>
        </w:rPr>
      </w:pPr>
    </w:p>
    <w:p w14:paraId="6A16C68C" w14:textId="5C2D0E2F" w:rsidR="008F7DDB" w:rsidRPr="00291333" w:rsidRDefault="00430D56" w:rsidP="008F7DDB">
      <w:pPr>
        <w:spacing w:line="240" w:lineRule="auto"/>
        <w:jc w:val="both"/>
        <w:rPr>
          <w:lang w:val="sr-Latn-ME" w:eastAsia="sl-SI"/>
        </w:rPr>
      </w:pPr>
      <w:r>
        <w:rPr>
          <w:lang w:val="sr-Latn-ME" w:eastAsia="sl-SI"/>
        </w:rPr>
        <w:t>Februar</w:t>
      </w:r>
      <w:r w:rsidR="006A07A4">
        <w:rPr>
          <w:lang w:val="sr-Latn-ME" w:eastAsia="sl-SI"/>
        </w:rPr>
        <w:t>, 202</w:t>
      </w:r>
      <w:r>
        <w:rPr>
          <w:lang w:val="sr-Latn-ME" w:eastAsia="sl-SI"/>
        </w:rPr>
        <w:t>4</w:t>
      </w:r>
      <w:r w:rsidR="006A07A4">
        <w:rPr>
          <w:lang w:val="sr-Latn-ME" w:eastAsia="sl-SI"/>
        </w:rPr>
        <w:t>. godine</w:t>
      </w:r>
    </w:p>
    <w:p w14:paraId="06CBD44F" w14:textId="77777777" w:rsidR="008F7DDB" w:rsidRPr="00291333" w:rsidRDefault="008F7DDB" w:rsidP="008F7DDB">
      <w:pPr>
        <w:spacing w:line="240" w:lineRule="auto"/>
        <w:rPr>
          <w:lang w:val="sr-Latn-ME" w:eastAsia="sl-SI"/>
        </w:rPr>
      </w:pPr>
    </w:p>
    <w:p w14:paraId="549CA04F" w14:textId="77777777" w:rsidR="008F7DDB" w:rsidRPr="00291333" w:rsidRDefault="008F7DDB" w:rsidP="008F7DDB">
      <w:pPr>
        <w:spacing w:line="240" w:lineRule="auto"/>
        <w:rPr>
          <w:lang w:val="sr-Latn-ME" w:eastAsia="sl-SI"/>
        </w:rPr>
      </w:pPr>
    </w:p>
    <w:p w14:paraId="17BEC6BA" w14:textId="77777777" w:rsidR="008F7DDB" w:rsidRPr="002B336F" w:rsidRDefault="008F7DDB" w:rsidP="008F7DDB"/>
    <w:p w14:paraId="0CDA80C0" w14:textId="77777777" w:rsidR="00812D16" w:rsidRPr="008F7DDB" w:rsidRDefault="00812D16" w:rsidP="008F7DDB"/>
    <w:sectPr w:rsidR="00812D16" w:rsidRPr="008F7DDB" w:rsidSect="001374C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A6FCE" w14:textId="77777777" w:rsidR="009F6B75" w:rsidRDefault="009F6B75">
      <w:pPr>
        <w:spacing w:line="240" w:lineRule="auto"/>
      </w:pPr>
      <w:r>
        <w:separator/>
      </w:r>
    </w:p>
  </w:endnote>
  <w:endnote w:type="continuationSeparator" w:id="0">
    <w:p w14:paraId="16CAEB37" w14:textId="77777777" w:rsidR="009F6B75" w:rsidRDefault="009F6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415C" w14:textId="77777777" w:rsidR="00A76118" w:rsidRDefault="00A76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9EA9" w14:textId="66C327EB" w:rsidR="00A76118" w:rsidRDefault="00A7611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30D56">
      <w:rPr>
        <w:rStyle w:val="PageNumber"/>
        <w:rFonts w:cs="Arial"/>
      </w:rPr>
      <w:t>35</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FACB" w14:textId="77777777" w:rsidR="00A76118" w:rsidRPr="006C3553" w:rsidRDefault="00A76118"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784F" w14:textId="77777777" w:rsidR="009F6B75" w:rsidRDefault="009F6B75">
      <w:pPr>
        <w:spacing w:line="240" w:lineRule="auto"/>
      </w:pPr>
      <w:r>
        <w:separator/>
      </w:r>
    </w:p>
  </w:footnote>
  <w:footnote w:type="continuationSeparator" w:id="0">
    <w:p w14:paraId="7A2A54CF" w14:textId="77777777" w:rsidR="009F6B75" w:rsidRDefault="009F6B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96AE" w14:textId="77777777" w:rsidR="00A76118" w:rsidRDefault="00A76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B509" w14:textId="77777777" w:rsidR="00A76118" w:rsidRDefault="00A76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F2EF" w14:textId="77777777" w:rsidR="00A76118" w:rsidRPr="004E5A77" w:rsidRDefault="00A76118">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F18"/>
    <w:rsid w:val="00001587"/>
    <w:rsid w:val="0000362A"/>
    <w:rsid w:val="00003AEF"/>
    <w:rsid w:val="00005237"/>
    <w:rsid w:val="00005701"/>
    <w:rsid w:val="00007528"/>
    <w:rsid w:val="0001164F"/>
    <w:rsid w:val="00014869"/>
    <w:rsid w:val="00014D59"/>
    <w:rsid w:val="000150D3"/>
    <w:rsid w:val="00015D8C"/>
    <w:rsid w:val="000166C1"/>
    <w:rsid w:val="000167BF"/>
    <w:rsid w:val="00017A7B"/>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237F"/>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080"/>
    <w:rsid w:val="000E223E"/>
    <w:rsid w:val="000E2491"/>
    <w:rsid w:val="000E2EA9"/>
    <w:rsid w:val="000E46A3"/>
    <w:rsid w:val="000E4E88"/>
    <w:rsid w:val="000E5726"/>
    <w:rsid w:val="000E6C94"/>
    <w:rsid w:val="000F1BB2"/>
    <w:rsid w:val="000F217A"/>
    <w:rsid w:val="000F3F94"/>
    <w:rsid w:val="000F5235"/>
    <w:rsid w:val="000F5B21"/>
    <w:rsid w:val="000F7FB4"/>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364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1E94"/>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61E8"/>
    <w:rsid w:val="003175E1"/>
    <w:rsid w:val="00320203"/>
    <w:rsid w:val="00321E78"/>
    <w:rsid w:val="00322002"/>
    <w:rsid w:val="00324101"/>
    <w:rsid w:val="003247B0"/>
    <w:rsid w:val="00325E81"/>
    <w:rsid w:val="00326948"/>
    <w:rsid w:val="00327052"/>
    <w:rsid w:val="0033486D"/>
    <w:rsid w:val="00335228"/>
    <w:rsid w:val="003367C4"/>
    <w:rsid w:val="00336D8E"/>
    <w:rsid w:val="003376B3"/>
    <w:rsid w:val="0034207E"/>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43C2"/>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5938"/>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6947"/>
    <w:rsid w:val="0040711E"/>
    <w:rsid w:val="0040712C"/>
    <w:rsid w:val="00407D67"/>
    <w:rsid w:val="00412450"/>
    <w:rsid w:val="004138DE"/>
    <w:rsid w:val="00413B39"/>
    <w:rsid w:val="00414B2F"/>
    <w:rsid w:val="004154EB"/>
    <w:rsid w:val="00415E58"/>
    <w:rsid w:val="00416231"/>
    <w:rsid w:val="004208AB"/>
    <w:rsid w:val="004219EF"/>
    <w:rsid w:val="00421A72"/>
    <w:rsid w:val="00424348"/>
    <w:rsid w:val="00426CD9"/>
    <w:rsid w:val="00430D56"/>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6719"/>
    <w:rsid w:val="00497A38"/>
    <w:rsid w:val="004A45BD"/>
    <w:rsid w:val="004A4656"/>
    <w:rsid w:val="004A77B0"/>
    <w:rsid w:val="004B08A9"/>
    <w:rsid w:val="004B1CED"/>
    <w:rsid w:val="004B34A7"/>
    <w:rsid w:val="004B3B06"/>
    <w:rsid w:val="004B3ED5"/>
    <w:rsid w:val="004B4643"/>
    <w:rsid w:val="004B7F67"/>
    <w:rsid w:val="004C0501"/>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0F0D"/>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2772"/>
    <w:rsid w:val="005C39E8"/>
    <w:rsid w:val="005C5660"/>
    <w:rsid w:val="005C71E4"/>
    <w:rsid w:val="005C72E3"/>
    <w:rsid w:val="005D11B2"/>
    <w:rsid w:val="005D4B68"/>
    <w:rsid w:val="005E11C1"/>
    <w:rsid w:val="005E2563"/>
    <w:rsid w:val="005E394C"/>
    <w:rsid w:val="005E42BF"/>
    <w:rsid w:val="005E4E70"/>
    <w:rsid w:val="005E65BB"/>
    <w:rsid w:val="005F0B3C"/>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5670E"/>
    <w:rsid w:val="00660403"/>
    <w:rsid w:val="00661140"/>
    <w:rsid w:val="00663657"/>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7A4"/>
    <w:rsid w:val="006A0DEA"/>
    <w:rsid w:val="006A16E9"/>
    <w:rsid w:val="006A5450"/>
    <w:rsid w:val="006B0199"/>
    <w:rsid w:val="006B0A32"/>
    <w:rsid w:val="006B0BD8"/>
    <w:rsid w:val="006B4557"/>
    <w:rsid w:val="006B6DDE"/>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4990"/>
    <w:rsid w:val="007254D1"/>
    <w:rsid w:val="00725B32"/>
    <w:rsid w:val="00725B3C"/>
    <w:rsid w:val="00727C11"/>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2C1"/>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66DC"/>
    <w:rsid w:val="0081104C"/>
    <w:rsid w:val="008121F2"/>
    <w:rsid w:val="00812D16"/>
    <w:rsid w:val="00816C51"/>
    <w:rsid w:val="00821865"/>
    <w:rsid w:val="00821E59"/>
    <w:rsid w:val="008225EB"/>
    <w:rsid w:val="0082327D"/>
    <w:rsid w:val="0082433D"/>
    <w:rsid w:val="008264A4"/>
    <w:rsid w:val="00826509"/>
    <w:rsid w:val="00832800"/>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7A7"/>
    <w:rsid w:val="00860820"/>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0487"/>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5389"/>
    <w:rsid w:val="008F2C49"/>
    <w:rsid w:val="008F36F0"/>
    <w:rsid w:val="008F66BC"/>
    <w:rsid w:val="008F7CFF"/>
    <w:rsid w:val="008F7DDB"/>
    <w:rsid w:val="008F7ED1"/>
    <w:rsid w:val="00901C8D"/>
    <w:rsid w:val="009048F4"/>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50B"/>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BF6"/>
    <w:rsid w:val="00980FE0"/>
    <w:rsid w:val="00985F8B"/>
    <w:rsid w:val="00990B70"/>
    <w:rsid w:val="00990C3B"/>
    <w:rsid w:val="00991CBD"/>
    <w:rsid w:val="009921E6"/>
    <w:rsid w:val="009928B7"/>
    <w:rsid w:val="0099321A"/>
    <w:rsid w:val="009947E8"/>
    <w:rsid w:val="009960B7"/>
    <w:rsid w:val="00996F08"/>
    <w:rsid w:val="009972FE"/>
    <w:rsid w:val="009A0DB6"/>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6B75"/>
    <w:rsid w:val="009F720F"/>
    <w:rsid w:val="00A010E7"/>
    <w:rsid w:val="00A01A17"/>
    <w:rsid w:val="00A01A60"/>
    <w:rsid w:val="00A03D43"/>
    <w:rsid w:val="00A06051"/>
    <w:rsid w:val="00A06E6E"/>
    <w:rsid w:val="00A076F9"/>
    <w:rsid w:val="00A07997"/>
    <w:rsid w:val="00A07F87"/>
    <w:rsid w:val="00A12C41"/>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4FB6"/>
    <w:rsid w:val="00A56102"/>
    <w:rsid w:val="00A56800"/>
    <w:rsid w:val="00A56D7E"/>
    <w:rsid w:val="00A57404"/>
    <w:rsid w:val="00A575BD"/>
    <w:rsid w:val="00A60EEC"/>
    <w:rsid w:val="00A630BA"/>
    <w:rsid w:val="00A63101"/>
    <w:rsid w:val="00A63B83"/>
    <w:rsid w:val="00A6419E"/>
    <w:rsid w:val="00A643C6"/>
    <w:rsid w:val="00A65BD9"/>
    <w:rsid w:val="00A66718"/>
    <w:rsid w:val="00A671EF"/>
    <w:rsid w:val="00A70B31"/>
    <w:rsid w:val="00A73A74"/>
    <w:rsid w:val="00A759FE"/>
    <w:rsid w:val="00A75CF1"/>
    <w:rsid w:val="00A75FE1"/>
    <w:rsid w:val="00A76118"/>
    <w:rsid w:val="00A76D67"/>
    <w:rsid w:val="00A77562"/>
    <w:rsid w:val="00A776B8"/>
    <w:rsid w:val="00A81EB6"/>
    <w:rsid w:val="00A82DE9"/>
    <w:rsid w:val="00A837FE"/>
    <w:rsid w:val="00A85357"/>
    <w:rsid w:val="00A856B8"/>
    <w:rsid w:val="00A86A99"/>
    <w:rsid w:val="00A871E5"/>
    <w:rsid w:val="00A87C6D"/>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55D0"/>
    <w:rsid w:val="00AC68C6"/>
    <w:rsid w:val="00AC7612"/>
    <w:rsid w:val="00AC79C1"/>
    <w:rsid w:val="00AC7CA4"/>
    <w:rsid w:val="00AD164F"/>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37FF"/>
    <w:rsid w:val="00B54691"/>
    <w:rsid w:val="00B60CCD"/>
    <w:rsid w:val="00B62854"/>
    <w:rsid w:val="00B62EF1"/>
    <w:rsid w:val="00B640CC"/>
    <w:rsid w:val="00B645B6"/>
    <w:rsid w:val="00B64B2F"/>
    <w:rsid w:val="00B659D9"/>
    <w:rsid w:val="00B667BF"/>
    <w:rsid w:val="00B674D6"/>
    <w:rsid w:val="00B6797D"/>
    <w:rsid w:val="00B72226"/>
    <w:rsid w:val="00B7245B"/>
    <w:rsid w:val="00B735B8"/>
    <w:rsid w:val="00B73F56"/>
    <w:rsid w:val="00B7430D"/>
    <w:rsid w:val="00B74858"/>
    <w:rsid w:val="00B752EB"/>
    <w:rsid w:val="00B77BE4"/>
    <w:rsid w:val="00B812BE"/>
    <w:rsid w:val="00B813D5"/>
    <w:rsid w:val="00B8258D"/>
    <w:rsid w:val="00B825B4"/>
    <w:rsid w:val="00B84E7E"/>
    <w:rsid w:val="00B86608"/>
    <w:rsid w:val="00B87847"/>
    <w:rsid w:val="00B90477"/>
    <w:rsid w:val="00B92AA5"/>
    <w:rsid w:val="00B93904"/>
    <w:rsid w:val="00B94E35"/>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6CA6"/>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311"/>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4ED"/>
    <w:rsid w:val="00C70962"/>
    <w:rsid w:val="00C71674"/>
    <w:rsid w:val="00C733F7"/>
    <w:rsid w:val="00C7697F"/>
    <w:rsid w:val="00C7716A"/>
    <w:rsid w:val="00C8136C"/>
    <w:rsid w:val="00C82FAC"/>
    <w:rsid w:val="00C82FFA"/>
    <w:rsid w:val="00C84032"/>
    <w:rsid w:val="00C84A1B"/>
    <w:rsid w:val="00C85521"/>
    <w:rsid w:val="00C856C0"/>
    <w:rsid w:val="00C863EE"/>
    <w:rsid w:val="00C86919"/>
    <w:rsid w:val="00C92646"/>
    <w:rsid w:val="00C9316A"/>
    <w:rsid w:val="00C937E7"/>
    <w:rsid w:val="00C93B5E"/>
    <w:rsid w:val="00C95D8D"/>
    <w:rsid w:val="00C97C7F"/>
    <w:rsid w:val="00CA2283"/>
    <w:rsid w:val="00CA2AEF"/>
    <w:rsid w:val="00CA2CA3"/>
    <w:rsid w:val="00CA325F"/>
    <w:rsid w:val="00CA33B8"/>
    <w:rsid w:val="00CA6DD8"/>
    <w:rsid w:val="00CB1582"/>
    <w:rsid w:val="00CB1BCA"/>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17DA9"/>
    <w:rsid w:val="00D20D6E"/>
    <w:rsid w:val="00D21300"/>
    <w:rsid w:val="00D22F7B"/>
    <w:rsid w:val="00D230DC"/>
    <w:rsid w:val="00D2583E"/>
    <w:rsid w:val="00D26C9A"/>
    <w:rsid w:val="00D303E8"/>
    <w:rsid w:val="00D31BA6"/>
    <w:rsid w:val="00D335E1"/>
    <w:rsid w:val="00D34FE5"/>
    <w:rsid w:val="00D3545E"/>
    <w:rsid w:val="00D35FEA"/>
    <w:rsid w:val="00D366E4"/>
    <w:rsid w:val="00D423AC"/>
    <w:rsid w:val="00D44B15"/>
    <w:rsid w:val="00D44DC6"/>
    <w:rsid w:val="00D476EA"/>
    <w:rsid w:val="00D514E5"/>
    <w:rsid w:val="00D53589"/>
    <w:rsid w:val="00D539D5"/>
    <w:rsid w:val="00D539E1"/>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2D8"/>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37D0"/>
    <w:rsid w:val="00DC53F2"/>
    <w:rsid w:val="00DC6B01"/>
    <w:rsid w:val="00DC7797"/>
    <w:rsid w:val="00DC7E53"/>
    <w:rsid w:val="00DD078A"/>
    <w:rsid w:val="00DD1737"/>
    <w:rsid w:val="00DD34E1"/>
    <w:rsid w:val="00DD45E7"/>
    <w:rsid w:val="00DD467C"/>
    <w:rsid w:val="00DD71F6"/>
    <w:rsid w:val="00DD7667"/>
    <w:rsid w:val="00DD777C"/>
    <w:rsid w:val="00DE0D2F"/>
    <w:rsid w:val="00DE0D75"/>
    <w:rsid w:val="00DE19EB"/>
    <w:rsid w:val="00DE5B0F"/>
    <w:rsid w:val="00DF0FE3"/>
    <w:rsid w:val="00DF2CB1"/>
    <w:rsid w:val="00DF69F9"/>
    <w:rsid w:val="00E02579"/>
    <w:rsid w:val="00E02B50"/>
    <w:rsid w:val="00E04B3F"/>
    <w:rsid w:val="00E0522C"/>
    <w:rsid w:val="00E060C1"/>
    <w:rsid w:val="00E06B1E"/>
    <w:rsid w:val="00E07787"/>
    <w:rsid w:val="00E10AAF"/>
    <w:rsid w:val="00E11A3D"/>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5F9"/>
    <w:rsid w:val="00E77E9E"/>
    <w:rsid w:val="00E81DED"/>
    <w:rsid w:val="00E82316"/>
    <w:rsid w:val="00E825B3"/>
    <w:rsid w:val="00E849DE"/>
    <w:rsid w:val="00E85948"/>
    <w:rsid w:val="00E86536"/>
    <w:rsid w:val="00E9167E"/>
    <w:rsid w:val="00E922A4"/>
    <w:rsid w:val="00E925CE"/>
    <w:rsid w:val="00E93F3F"/>
    <w:rsid w:val="00E967CB"/>
    <w:rsid w:val="00E9756B"/>
    <w:rsid w:val="00EA05D9"/>
    <w:rsid w:val="00EA1104"/>
    <w:rsid w:val="00EA5257"/>
    <w:rsid w:val="00EA59B6"/>
    <w:rsid w:val="00EA7415"/>
    <w:rsid w:val="00EB0433"/>
    <w:rsid w:val="00EB1B8B"/>
    <w:rsid w:val="00EB24EC"/>
    <w:rsid w:val="00EB3C54"/>
    <w:rsid w:val="00EB4951"/>
    <w:rsid w:val="00EB595B"/>
    <w:rsid w:val="00EB6B42"/>
    <w:rsid w:val="00EC098E"/>
    <w:rsid w:val="00EC0BCB"/>
    <w:rsid w:val="00EC0E71"/>
    <w:rsid w:val="00ED04FC"/>
    <w:rsid w:val="00ED613A"/>
    <w:rsid w:val="00ED6CFA"/>
    <w:rsid w:val="00ED6D53"/>
    <w:rsid w:val="00EE029C"/>
    <w:rsid w:val="00EE1855"/>
    <w:rsid w:val="00EE1E1F"/>
    <w:rsid w:val="00EE2B68"/>
    <w:rsid w:val="00EE3733"/>
    <w:rsid w:val="00EE395E"/>
    <w:rsid w:val="00EE6B3B"/>
    <w:rsid w:val="00EE6D70"/>
    <w:rsid w:val="00EF1386"/>
    <w:rsid w:val="00EF2491"/>
    <w:rsid w:val="00EF256B"/>
    <w:rsid w:val="00EF5277"/>
    <w:rsid w:val="00EF5CAD"/>
    <w:rsid w:val="00EF611F"/>
    <w:rsid w:val="00EF76E1"/>
    <w:rsid w:val="00F029AF"/>
    <w:rsid w:val="00F04099"/>
    <w:rsid w:val="00F05B66"/>
    <w:rsid w:val="00F1030E"/>
    <w:rsid w:val="00F10925"/>
    <w:rsid w:val="00F11DC5"/>
    <w:rsid w:val="00F12F6C"/>
    <w:rsid w:val="00F13DAE"/>
    <w:rsid w:val="00F157D8"/>
    <w:rsid w:val="00F16312"/>
    <w:rsid w:val="00F201AD"/>
    <w:rsid w:val="00F21481"/>
    <w:rsid w:val="00F21B21"/>
    <w:rsid w:val="00F222BB"/>
    <w:rsid w:val="00F2491A"/>
    <w:rsid w:val="00F24EF6"/>
    <w:rsid w:val="00F254E4"/>
    <w:rsid w:val="00F26AAB"/>
    <w:rsid w:val="00F26D0C"/>
    <w:rsid w:val="00F26F5D"/>
    <w:rsid w:val="00F3381E"/>
    <w:rsid w:val="00F34C92"/>
    <w:rsid w:val="00F35D19"/>
    <w:rsid w:val="00F364A6"/>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336"/>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63"/>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9046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6B6DDE"/>
    <w:pPr>
      <w:widowControl w:val="0"/>
      <w:jc w:val="both"/>
      <w:outlineLvl w:val="0"/>
    </w:pPr>
    <w:rPr>
      <w:b/>
      <w:szCs w:val="22"/>
      <w:lang w:val="sr-Latn-ME"/>
    </w:rPr>
  </w:style>
  <w:style w:type="paragraph" w:styleId="Heading2">
    <w:name w:val="heading 2"/>
    <w:basedOn w:val="Normal"/>
    <w:next w:val="Normal"/>
    <w:link w:val="Heading2Char"/>
    <w:qFormat/>
    <w:rsid w:val="00832800"/>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832800"/>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832800"/>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832800"/>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6B6DDE"/>
    <w:rPr>
      <w:rFonts w:eastAsia="Times New Roman"/>
      <w:b/>
      <w:sz w:val="22"/>
      <w:szCs w:val="22"/>
      <w:lang w:val="sr-Latn-ME" w:eastAsia="en-US"/>
    </w:rPr>
  </w:style>
  <w:style w:type="character" w:customStyle="1" w:styleId="Heading2Char">
    <w:name w:val="Heading 2 Char"/>
    <w:link w:val="Heading2"/>
    <w:rsid w:val="00832800"/>
    <w:rPr>
      <w:rFonts w:eastAsia="Times New Roman"/>
      <w:b/>
      <w:sz w:val="24"/>
      <w:u w:val="single"/>
      <w:lang w:val="en-US" w:eastAsia="sl-SI"/>
    </w:rPr>
  </w:style>
  <w:style w:type="character" w:customStyle="1" w:styleId="Heading3Char">
    <w:name w:val="Heading 3 Char"/>
    <w:link w:val="Heading3"/>
    <w:rsid w:val="00832800"/>
    <w:rPr>
      <w:rFonts w:eastAsia="Times New Roman"/>
      <w:b/>
      <w:sz w:val="24"/>
      <w:lang w:val="en-US" w:eastAsia="sl-SI"/>
    </w:rPr>
  </w:style>
  <w:style w:type="character" w:customStyle="1" w:styleId="Heading4Char">
    <w:name w:val="Heading 4 Char"/>
    <w:link w:val="Heading4"/>
    <w:rsid w:val="00832800"/>
    <w:rPr>
      <w:rFonts w:eastAsia="Times New Roman"/>
      <w:b/>
      <w:bCs/>
      <w:sz w:val="28"/>
      <w:szCs w:val="28"/>
      <w:lang w:val="sl-SI" w:eastAsia="sl-SI"/>
    </w:rPr>
  </w:style>
  <w:style w:type="character" w:customStyle="1" w:styleId="Heading6Char">
    <w:name w:val="Heading 6 Char"/>
    <w:link w:val="Heading6"/>
    <w:rsid w:val="00832800"/>
    <w:rPr>
      <w:rFonts w:eastAsia="Times New Roman"/>
      <w:b/>
      <w:sz w:val="24"/>
      <w:lang w:val="en-US" w:eastAsia="sl-SI"/>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832800"/>
    <w:rPr>
      <w:rFonts w:ascii="Arial" w:eastAsia="Times New Roman" w:hAnsi="Arial"/>
      <w:lang w:eastAsia="en-US"/>
    </w:rPr>
  </w:style>
  <w:style w:type="character" w:customStyle="1" w:styleId="FooterChar">
    <w:name w:val="Footer Char"/>
    <w:link w:val="Footer"/>
    <w:rsid w:val="00832800"/>
    <w:rPr>
      <w:rFonts w:ascii="Arial" w:eastAsia="Times New Roman" w:hAnsi="Arial"/>
      <w:noProof/>
      <w:sz w:val="16"/>
      <w:lang w:eastAsia="en-US"/>
    </w:rPr>
  </w:style>
  <w:style w:type="table" w:styleId="TableGrid">
    <w:name w:val="Table Grid"/>
    <w:basedOn w:val="TableNormal"/>
    <w:uiPriority w:val="39"/>
    <w:rsid w:val="008328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32800"/>
    <w:rPr>
      <w:color w:val="800080"/>
      <w:u w:val="single"/>
    </w:rPr>
  </w:style>
  <w:style w:type="paragraph" w:styleId="PlainText">
    <w:name w:val="Plain Text"/>
    <w:basedOn w:val="Normal"/>
    <w:link w:val="PlainTextChar"/>
    <w:rsid w:val="00832800"/>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832800"/>
    <w:rPr>
      <w:rFonts w:ascii="Courier New" w:eastAsia="Times New Roman" w:hAnsi="Courier New"/>
      <w:lang w:eastAsia="sl-SI"/>
    </w:rPr>
  </w:style>
  <w:style w:type="paragraph" w:styleId="Caption">
    <w:name w:val="caption"/>
    <w:basedOn w:val="Normal"/>
    <w:next w:val="Normal"/>
    <w:qFormat/>
    <w:rsid w:val="00832800"/>
    <w:pPr>
      <w:tabs>
        <w:tab w:val="clear" w:pos="567"/>
      </w:tabs>
      <w:spacing w:line="240" w:lineRule="auto"/>
      <w:jc w:val="both"/>
    </w:pPr>
    <w:rPr>
      <w:sz w:val="24"/>
      <w:lang w:eastAsia="sl-SI"/>
    </w:rPr>
  </w:style>
  <w:style w:type="paragraph" w:customStyle="1" w:styleId="Naslov1">
    <w:name w:val="Naslov1"/>
    <w:basedOn w:val="Heading1"/>
    <w:rsid w:val="00832800"/>
    <w:rPr>
      <w:bCs/>
      <w:szCs w:val="20"/>
      <w:u w:val="single"/>
    </w:rPr>
  </w:style>
  <w:style w:type="paragraph" w:styleId="TOC1">
    <w:name w:val="toc 1"/>
    <w:basedOn w:val="Normal"/>
    <w:next w:val="Normal"/>
    <w:autoRedefine/>
    <w:rsid w:val="00832800"/>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832800"/>
    <w:rPr>
      <w:rFonts w:eastAsia="Times New Roman"/>
      <w:i/>
      <w:color w:val="008000"/>
      <w:sz w:val="22"/>
      <w:lang w:eastAsia="en-US"/>
    </w:rPr>
  </w:style>
  <w:style w:type="paragraph" w:styleId="BodyText2">
    <w:name w:val="Body Text 2"/>
    <w:basedOn w:val="Normal"/>
    <w:link w:val="BodyText2Char"/>
    <w:rsid w:val="00832800"/>
    <w:pPr>
      <w:tabs>
        <w:tab w:val="clear" w:pos="567"/>
      </w:tabs>
      <w:spacing w:after="120" w:line="480" w:lineRule="auto"/>
    </w:pPr>
    <w:rPr>
      <w:sz w:val="24"/>
      <w:lang w:val="sl-SI" w:eastAsia="sl-SI"/>
    </w:rPr>
  </w:style>
  <w:style w:type="character" w:customStyle="1" w:styleId="BodyText2Char">
    <w:name w:val="Body Text 2 Char"/>
    <w:link w:val="BodyText2"/>
    <w:rsid w:val="00832800"/>
    <w:rPr>
      <w:rFonts w:eastAsia="Times New Roman"/>
      <w:sz w:val="24"/>
      <w:lang w:val="sl-SI" w:eastAsia="sl-SI"/>
    </w:rPr>
  </w:style>
  <w:style w:type="paragraph" w:customStyle="1" w:styleId="Default">
    <w:name w:val="Default"/>
    <w:rsid w:val="00832800"/>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rsid w:val="00832800"/>
  </w:style>
  <w:style w:type="paragraph" w:styleId="EndnoteText">
    <w:name w:val="endnote text"/>
    <w:basedOn w:val="Normal"/>
    <w:link w:val="EndnoteTextChar"/>
    <w:rsid w:val="00832800"/>
    <w:pPr>
      <w:spacing w:line="240" w:lineRule="auto"/>
    </w:pPr>
  </w:style>
  <w:style w:type="character" w:customStyle="1" w:styleId="EndnoteTextChar">
    <w:name w:val="Endnote Text Char"/>
    <w:link w:val="EndnoteText"/>
    <w:rsid w:val="00832800"/>
    <w:rPr>
      <w:rFonts w:eastAsia="Times New Roman"/>
      <w:sz w:val="22"/>
      <w:lang w:eastAsia="en-US"/>
    </w:rPr>
  </w:style>
  <w:style w:type="numbering" w:customStyle="1" w:styleId="Brezseznama2">
    <w:name w:val="Brez seznama2"/>
    <w:next w:val="NoList"/>
    <w:semiHidden/>
    <w:rsid w:val="00832800"/>
  </w:style>
  <w:style w:type="numbering" w:customStyle="1" w:styleId="Brezseznama3">
    <w:name w:val="Brez seznama3"/>
    <w:next w:val="NoList"/>
    <w:semiHidden/>
    <w:rsid w:val="00832800"/>
  </w:style>
  <w:style w:type="paragraph" w:styleId="Title">
    <w:name w:val="Title"/>
    <w:basedOn w:val="Normal"/>
    <w:link w:val="TitleChar"/>
    <w:qFormat/>
    <w:rsid w:val="00832800"/>
    <w:pPr>
      <w:tabs>
        <w:tab w:val="clear" w:pos="567"/>
      </w:tabs>
      <w:spacing w:line="240" w:lineRule="auto"/>
      <w:jc w:val="center"/>
    </w:pPr>
    <w:rPr>
      <w:b/>
    </w:rPr>
  </w:style>
  <w:style w:type="character" w:customStyle="1" w:styleId="TitleChar">
    <w:name w:val="Title Char"/>
    <w:link w:val="Title"/>
    <w:rsid w:val="00832800"/>
    <w:rPr>
      <w:rFonts w:eastAsia="Times New Roman"/>
      <w:b/>
      <w:sz w:val="22"/>
      <w:lang w:eastAsia="en-US"/>
    </w:rPr>
  </w:style>
  <w:style w:type="numbering" w:customStyle="1" w:styleId="Brezseznama4">
    <w:name w:val="Brez seznama4"/>
    <w:next w:val="NoList"/>
    <w:semiHidden/>
    <w:rsid w:val="00832800"/>
  </w:style>
  <w:style w:type="numbering" w:customStyle="1" w:styleId="Brezseznama5">
    <w:name w:val="Brez seznama5"/>
    <w:next w:val="NoList"/>
    <w:uiPriority w:val="99"/>
    <w:semiHidden/>
    <w:unhideWhenUsed/>
    <w:rsid w:val="00832800"/>
  </w:style>
  <w:style w:type="character" w:customStyle="1" w:styleId="BalloonTextChar">
    <w:name w:val="Balloon Text Char"/>
    <w:link w:val="BalloonText"/>
    <w:rsid w:val="00832800"/>
    <w:rPr>
      <w:rFonts w:ascii="Tahoma" w:eastAsia="Times New Roman" w:hAnsi="Tahoma" w:cs="Tahoma"/>
      <w:sz w:val="16"/>
      <w:szCs w:val="16"/>
      <w:lang w:eastAsia="en-US"/>
    </w:rPr>
  </w:style>
  <w:style w:type="paragraph" w:customStyle="1" w:styleId="TitleA">
    <w:name w:val="Title A"/>
    <w:basedOn w:val="Normal"/>
    <w:link w:val="TitleAZnak"/>
    <w:uiPriority w:val="99"/>
    <w:qFormat/>
    <w:rsid w:val="00832800"/>
    <w:pPr>
      <w:widowControl w:val="0"/>
      <w:tabs>
        <w:tab w:val="clear" w:pos="567"/>
      </w:tabs>
      <w:spacing w:line="240" w:lineRule="auto"/>
      <w:jc w:val="center"/>
      <w:outlineLvl w:val="0"/>
    </w:pPr>
    <w:rPr>
      <w:b/>
      <w:noProof/>
      <w:szCs w:val="22"/>
    </w:rPr>
  </w:style>
  <w:style w:type="character" w:customStyle="1" w:styleId="TitleAZnak">
    <w:name w:val="Title A Znak"/>
    <w:link w:val="TitleA"/>
    <w:uiPriority w:val="99"/>
    <w:rsid w:val="00832800"/>
    <w:rPr>
      <w:rFonts w:eastAsia="Times New Roman"/>
      <w:b/>
      <w:noProof/>
      <w:sz w:val="22"/>
      <w:szCs w:val="22"/>
      <w:lang w:eastAsia="en-US"/>
    </w:rPr>
  </w:style>
  <w:style w:type="character" w:customStyle="1" w:styleId="hps">
    <w:name w:val="hps"/>
    <w:rsid w:val="00832800"/>
  </w:style>
  <w:style w:type="paragraph" w:styleId="ListParagraph">
    <w:name w:val="List Paragraph"/>
    <w:basedOn w:val="Normal"/>
    <w:uiPriority w:val="34"/>
    <w:qFormat/>
    <w:rsid w:val="00832800"/>
    <w:pPr>
      <w:tabs>
        <w:tab w:val="clear" w:pos="567"/>
      </w:tabs>
      <w:spacing w:line="240" w:lineRule="auto"/>
      <w:ind w:left="708"/>
    </w:pPr>
    <w:rPr>
      <w:sz w:val="24"/>
      <w:lang w:val="hr-HR" w:eastAsia="sl-SI"/>
    </w:rPr>
  </w:style>
  <w:style w:type="paragraph" w:styleId="NoSpacing">
    <w:name w:val="No Spacing"/>
    <w:uiPriority w:val="1"/>
    <w:qFormat/>
    <w:rsid w:val="00832800"/>
    <w:rPr>
      <w:rFonts w:eastAsia="Times New Roman"/>
      <w:sz w:val="24"/>
      <w:szCs w:val="24"/>
    </w:rPr>
  </w:style>
  <w:style w:type="paragraph" w:styleId="NormalWeb">
    <w:name w:val="Normal (Web)"/>
    <w:basedOn w:val="Normal"/>
    <w:uiPriority w:val="99"/>
    <w:unhideWhenUsed/>
    <w:rsid w:val="00832800"/>
    <w:pPr>
      <w:tabs>
        <w:tab w:val="clear" w:pos="567"/>
      </w:tabs>
      <w:spacing w:before="100" w:beforeAutospacing="1" w:after="225" w:line="240" w:lineRule="auto"/>
    </w:pPr>
    <w:rPr>
      <w:sz w:val="24"/>
      <w:szCs w:val="24"/>
      <w:lang w:val="sl-SI" w:eastAsia="sl-SI"/>
    </w:rPr>
  </w:style>
  <w:style w:type="character" w:styleId="Strong">
    <w:name w:val="Strong"/>
    <w:qFormat/>
    <w:rsid w:val="00832800"/>
    <w:rPr>
      <w:b/>
      <w:bCs/>
    </w:rPr>
  </w:style>
  <w:style w:type="paragraph" w:customStyle="1" w:styleId="TitleB">
    <w:name w:val="Title B"/>
    <w:basedOn w:val="Normal"/>
    <w:uiPriority w:val="99"/>
    <w:qFormat/>
    <w:rsid w:val="00832800"/>
    <w:pPr>
      <w:widowControl w:val="0"/>
      <w:spacing w:line="240" w:lineRule="auto"/>
      <w:ind w:left="567" w:hanging="567"/>
    </w:pPr>
    <w:rPr>
      <w:b/>
      <w:bCs/>
      <w:noProof/>
      <w:szCs w:val="22"/>
      <w:lang w:val="en-US"/>
    </w:rPr>
  </w:style>
  <w:style w:type="paragraph" w:customStyle="1" w:styleId="Tables">
    <w:name w:val="Tables"/>
    <w:basedOn w:val="Normal"/>
    <w:uiPriority w:val="99"/>
    <w:rsid w:val="00832800"/>
    <w:pPr>
      <w:tabs>
        <w:tab w:val="clear" w:pos="567"/>
      </w:tabs>
      <w:spacing w:line="240" w:lineRule="auto"/>
      <w:ind w:left="567" w:hanging="567"/>
    </w:pPr>
    <w:rPr>
      <w:rFonts w:ascii="Arial Narrow" w:hAnsi="Arial Narrow"/>
    </w:rPr>
  </w:style>
  <w:style w:type="paragraph" w:customStyle="1" w:styleId="naslovSmPC-a">
    <w:name w:val="naslov SmPC-a"/>
    <w:basedOn w:val="Normal"/>
    <w:uiPriority w:val="99"/>
    <w:rsid w:val="00832800"/>
    <w:pPr>
      <w:tabs>
        <w:tab w:val="clear" w:pos="567"/>
      </w:tabs>
      <w:spacing w:before="240" w:after="120" w:line="360" w:lineRule="atLeast"/>
    </w:pPr>
    <w:rPr>
      <w:rFonts w:ascii="Arial" w:hAnsi="Arial"/>
      <w:b/>
      <w:sz w:val="24"/>
    </w:rPr>
  </w:style>
  <w:style w:type="paragraph" w:customStyle="1" w:styleId="Style2">
    <w:name w:val="Style2"/>
    <w:basedOn w:val="Normal"/>
    <w:uiPriority w:val="99"/>
    <w:rsid w:val="00832800"/>
    <w:pPr>
      <w:tabs>
        <w:tab w:val="clear" w:pos="567"/>
      </w:tabs>
      <w:spacing w:line="360" w:lineRule="atLeast"/>
      <w:ind w:left="567"/>
      <w:jc w:val="both"/>
    </w:pPr>
    <w:rPr>
      <w:rFonts w:ascii="Arial" w:hAnsi="Arial"/>
      <w:sz w:val="24"/>
      <w:lang w:val="hr-HR"/>
    </w:rPr>
  </w:style>
  <w:style w:type="paragraph" w:customStyle="1" w:styleId="Text">
    <w:name w:val="Text"/>
    <w:basedOn w:val="Normal"/>
    <w:link w:val="TextChar"/>
    <w:rsid w:val="00832800"/>
    <w:pPr>
      <w:tabs>
        <w:tab w:val="clear" w:pos="567"/>
      </w:tabs>
      <w:spacing w:before="120" w:line="240" w:lineRule="auto"/>
      <w:jc w:val="both"/>
    </w:pPr>
    <w:rPr>
      <w:sz w:val="24"/>
      <w:lang w:val="x-none" w:eastAsia="x-none"/>
    </w:rPr>
  </w:style>
  <w:style w:type="character" w:customStyle="1" w:styleId="TextChar">
    <w:name w:val="Text Char"/>
    <w:link w:val="Text"/>
    <w:locked/>
    <w:rsid w:val="00832800"/>
    <w:rPr>
      <w:rFonts w:eastAsia="Times New Roman"/>
      <w:sz w:val="24"/>
      <w:lang w:val="x-none" w:eastAsia="x-none"/>
    </w:rPr>
  </w:style>
  <w:style w:type="numbering" w:customStyle="1" w:styleId="Brezseznama6">
    <w:name w:val="Brez seznama6"/>
    <w:next w:val="NoList"/>
    <w:uiPriority w:val="99"/>
    <w:semiHidden/>
    <w:unhideWhenUsed/>
    <w:rsid w:val="00832800"/>
  </w:style>
  <w:style w:type="paragraph" w:styleId="HTMLPreformatted">
    <w:name w:val="HTML Preformatted"/>
    <w:basedOn w:val="Normal"/>
    <w:link w:val="HTMLPreformattedChar"/>
    <w:uiPriority w:val="99"/>
    <w:unhideWhenUsed/>
    <w:rsid w:val="0083280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sr-Latn-RS" w:eastAsia="sr-Latn-RS"/>
    </w:rPr>
  </w:style>
  <w:style w:type="character" w:customStyle="1" w:styleId="HTMLPreformattedChar">
    <w:name w:val="HTML Preformatted Char"/>
    <w:link w:val="HTMLPreformatted"/>
    <w:uiPriority w:val="99"/>
    <w:rsid w:val="00832800"/>
    <w:rPr>
      <w:rFonts w:ascii="Courier New" w:eastAsia="Times New Roman" w:hAnsi="Courier New" w:cs="Courier New"/>
      <w:lang w:val="sr-Latn-RS" w:eastAsia="sr-Latn-RS"/>
    </w:rPr>
  </w:style>
  <w:style w:type="table" w:customStyle="1" w:styleId="TableGrid0">
    <w:name w:val="TableGrid"/>
    <w:rsid w:val="00832800"/>
    <w:rPr>
      <w:rFonts w:ascii="Calibri" w:eastAsia="Times New Roman" w:hAnsi="Calibri"/>
      <w:sz w:val="22"/>
      <w:szCs w:val="22"/>
      <w:lang w:val="sr-Latn-RS" w:eastAsia="sr-Latn-RS"/>
    </w:rPr>
    <w:tblPr>
      <w:tblCellMar>
        <w:top w:w="0" w:type="dxa"/>
        <w:left w:w="0" w:type="dxa"/>
        <w:bottom w:w="0" w:type="dxa"/>
        <w:right w:w="0" w:type="dxa"/>
      </w:tblCellMar>
    </w:tblPr>
  </w:style>
  <w:style w:type="table" w:customStyle="1" w:styleId="TableGrid1">
    <w:name w:val="TableGrid1"/>
    <w:rsid w:val="00832800"/>
    <w:rPr>
      <w:rFonts w:ascii="Calibri" w:eastAsia="Times New Roman" w:hAnsi="Calibri"/>
      <w:sz w:val="22"/>
      <w:szCs w:val="22"/>
      <w:lang w:val="sr-Latn-RS" w:eastAsia="sr-Latn-RS"/>
    </w:rPr>
    <w:tblPr>
      <w:tblCellMar>
        <w:top w:w="0" w:type="dxa"/>
        <w:left w:w="0" w:type="dxa"/>
        <w:bottom w:w="0" w:type="dxa"/>
        <w:right w:w="0" w:type="dxa"/>
      </w:tblCellMar>
    </w:tblPr>
  </w:style>
  <w:style w:type="table" w:customStyle="1" w:styleId="TableGrid2">
    <w:name w:val="TableGrid2"/>
    <w:rsid w:val="00832800"/>
    <w:rPr>
      <w:rFonts w:ascii="Calibri" w:eastAsia="Times New Roman" w:hAnsi="Calibri"/>
      <w:sz w:val="22"/>
      <w:szCs w:val="22"/>
      <w:lang w:val="sr-Latn-RS" w:eastAsia="sr-Latn-RS"/>
    </w:rPr>
    <w:tblPr>
      <w:tblCellMar>
        <w:top w:w="0" w:type="dxa"/>
        <w:left w:w="0" w:type="dxa"/>
        <w:bottom w:w="0" w:type="dxa"/>
        <w:right w:w="0" w:type="dxa"/>
      </w:tblCellMar>
    </w:tblPr>
  </w:style>
  <w:style w:type="table" w:customStyle="1" w:styleId="TableGrid3">
    <w:name w:val="TableGrid3"/>
    <w:rsid w:val="00832800"/>
    <w:rPr>
      <w:rFonts w:ascii="Calibri" w:eastAsia="Times New Roman" w:hAnsi="Calibri"/>
      <w:sz w:val="22"/>
      <w:szCs w:val="22"/>
      <w:lang w:val="sr-Latn-RS" w:eastAsia="sr-Latn-RS"/>
    </w:rPr>
    <w:tblPr>
      <w:tblCellMar>
        <w:top w:w="0" w:type="dxa"/>
        <w:left w:w="0" w:type="dxa"/>
        <w:bottom w:w="0" w:type="dxa"/>
        <w:right w:w="0" w:type="dxa"/>
      </w:tblCellMar>
    </w:tbl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8F7DDB"/>
    <w:rPr>
      <w:lang w:val="en-US" w:eastAsia="en-US" w:bidi="ar-SA"/>
    </w:rPr>
  </w:style>
  <w:style w:type="table" w:customStyle="1" w:styleId="TableGrid10">
    <w:name w:val="Table Grid1"/>
    <w:basedOn w:val="TableNormal"/>
    <w:next w:val="TableGrid"/>
    <w:rsid w:val="008F7DD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rsid w:val="008F7DDB"/>
  </w:style>
  <w:style w:type="table" w:customStyle="1" w:styleId="TableGrid20">
    <w:name w:val="Table Grid2"/>
    <w:basedOn w:val="TableNormal"/>
    <w:next w:val="TableGrid"/>
    <w:rsid w:val="008F7D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89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16983</Words>
  <Characters>96806</Characters>
  <Application>Microsoft Office Word</Application>
  <DocSecurity>0</DocSecurity>
  <Lines>806</Lines>
  <Paragraphs>227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Minić</cp:lastModifiedBy>
  <cp:revision>5</cp:revision>
  <dcterms:created xsi:type="dcterms:W3CDTF">2024-01-30T11:16:00Z</dcterms:created>
  <dcterms:modified xsi:type="dcterms:W3CDTF">2024-02-01T08:37:00Z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