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BEBFE" w14:textId="77777777" w:rsidR="001A5518" w:rsidRPr="009F025B" w:rsidRDefault="001A5518" w:rsidP="00577F77">
      <w:pPr>
        <w:jc w:val="both"/>
        <w:rPr>
          <w:b/>
          <w:bCs/>
          <w:i/>
          <w:iCs/>
          <w:sz w:val="22"/>
          <w:szCs w:val="22"/>
          <w:u w:val="single"/>
        </w:rPr>
      </w:pPr>
    </w:p>
    <w:p w14:paraId="441917BC" w14:textId="77777777" w:rsidR="00F91C7B" w:rsidRPr="009F025B" w:rsidRDefault="00F91C7B" w:rsidP="00577F77">
      <w:pPr>
        <w:jc w:val="both"/>
        <w:rPr>
          <w:b/>
          <w:bCs/>
          <w:i/>
          <w:iCs/>
          <w:sz w:val="22"/>
          <w:szCs w:val="22"/>
          <w:u w:val="single"/>
        </w:rPr>
      </w:pPr>
    </w:p>
    <w:p w14:paraId="11B06470" w14:textId="06EBD246" w:rsidR="002510A5" w:rsidRPr="009F025B" w:rsidRDefault="00577F77" w:rsidP="00577F77">
      <w:pPr>
        <w:jc w:val="both"/>
        <w:rPr>
          <w:b/>
          <w:bCs/>
          <w:iCs/>
          <w:sz w:val="22"/>
          <w:szCs w:val="22"/>
          <w:u w:val="single"/>
          <w:lang w:val="de-DE"/>
        </w:rPr>
      </w:pPr>
      <w:r w:rsidRPr="00577F77">
        <w:rPr>
          <w:b/>
          <w:bCs/>
          <w:iCs/>
          <w:sz w:val="22"/>
          <w:szCs w:val="22"/>
          <w:lang w:val="de-DE"/>
        </w:rPr>
        <w:t xml:space="preserve">                                                    </w:t>
      </w:r>
      <w:r>
        <w:rPr>
          <w:b/>
          <w:bCs/>
          <w:iCs/>
          <w:sz w:val="22"/>
          <w:szCs w:val="22"/>
          <w:u w:val="single"/>
          <w:lang w:val="de-DE"/>
        </w:rPr>
        <w:t xml:space="preserve"> </w:t>
      </w:r>
      <w:r w:rsidR="002510A5" w:rsidRPr="009F025B">
        <w:rPr>
          <w:b/>
          <w:bCs/>
          <w:iCs/>
          <w:sz w:val="22"/>
          <w:szCs w:val="22"/>
          <w:u w:val="single"/>
          <w:lang w:val="de-DE"/>
        </w:rPr>
        <w:t>SAŽETAK KARAKTERISTIKA LIJEKA</w:t>
      </w:r>
    </w:p>
    <w:p w14:paraId="3709C7B2" w14:textId="77777777" w:rsidR="002510A5" w:rsidRPr="009F025B" w:rsidRDefault="002510A5" w:rsidP="00577F77">
      <w:pPr>
        <w:jc w:val="both"/>
        <w:rPr>
          <w:b/>
          <w:bCs/>
          <w:i/>
          <w:iCs/>
          <w:sz w:val="22"/>
          <w:szCs w:val="22"/>
          <w:u w:val="single"/>
          <w:lang w:val="de-DE"/>
        </w:rPr>
      </w:pPr>
    </w:p>
    <w:p w14:paraId="29EDB582" w14:textId="77777777" w:rsidR="003C17AB" w:rsidRPr="009F025B" w:rsidRDefault="003C17AB" w:rsidP="00577F77">
      <w:pPr>
        <w:tabs>
          <w:tab w:val="left" w:pos="540"/>
          <w:tab w:val="left" w:pos="569"/>
        </w:tabs>
        <w:jc w:val="both"/>
        <w:rPr>
          <w:noProof/>
          <w:sz w:val="22"/>
          <w:szCs w:val="22"/>
          <w:lang w:val="hr-HR"/>
        </w:rPr>
      </w:pPr>
    </w:p>
    <w:p w14:paraId="1F59164B" w14:textId="77777777" w:rsidR="00C37FD7" w:rsidRPr="009F025B" w:rsidRDefault="00C37FD7" w:rsidP="00577F77">
      <w:pPr>
        <w:tabs>
          <w:tab w:val="left" w:pos="540"/>
          <w:tab w:val="left" w:pos="569"/>
        </w:tabs>
        <w:jc w:val="both"/>
        <w:rPr>
          <w:bCs/>
          <w:sz w:val="22"/>
          <w:szCs w:val="22"/>
          <w:lang w:val="hr-HR"/>
        </w:rPr>
      </w:pPr>
    </w:p>
    <w:p w14:paraId="37B8FB76" w14:textId="77777777" w:rsidR="00411B4B" w:rsidRPr="009F025B" w:rsidRDefault="00411B4B" w:rsidP="00577F77">
      <w:pPr>
        <w:tabs>
          <w:tab w:val="left" w:pos="540"/>
          <w:tab w:val="left" w:pos="569"/>
        </w:tabs>
        <w:jc w:val="both"/>
        <w:rPr>
          <w:b/>
          <w:bCs/>
          <w:sz w:val="22"/>
          <w:szCs w:val="22"/>
          <w:lang w:val="hr-HR"/>
        </w:rPr>
      </w:pPr>
      <w:r w:rsidRPr="009F025B">
        <w:rPr>
          <w:b/>
          <w:bCs/>
          <w:sz w:val="22"/>
          <w:szCs w:val="22"/>
          <w:lang w:val="hr-HR"/>
        </w:rPr>
        <w:t>1.</w:t>
      </w:r>
      <w:r w:rsidR="00F5167F" w:rsidRPr="009F025B">
        <w:rPr>
          <w:b/>
          <w:bCs/>
          <w:sz w:val="22"/>
          <w:szCs w:val="22"/>
          <w:lang w:val="hr-HR"/>
        </w:rPr>
        <w:tab/>
      </w:r>
      <w:r w:rsidR="002846DB" w:rsidRPr="009F025B">
        <w:rPr>
          <w:b/>
          <w:bCs/>
          <w:sz w:val="22"/>
          <w:szCs w:val="22"/>
          <w:lang w:val="hr-HR"/>
        </w:rPr>
        <w:t xml:space="preserve">NAZIV </w:t>
      </w:r>
      <w:r w:rsidRPr="009F025B">
        <w:rPr>
          <w:b/>
          <w:bCs/>
          <w:sz w:val="22"/>
          <w:szCs w:val="22"/>
          <w:lang w:val="hr-HR"/>
        </w:rPr>
        <w:t>LIJEKA</w:t>
      </w:r>
    </w:p>
    <w:p w14:paraId="4E93AAE5" w14:textId="77777777" w:rsidR="00EC2532" w:rsidRPr="009F025B" w:rsidRDefault="00EC2532" w:rsidP="00577F77">
      <w:pPr>
        <w:jc w:val="both"/>
        <w:rPr>
          <w:sz w:val="22"/>
          <w:szCs w:val="22"/>
          <w:lang w:val="pl-PL"/>
        </w:rPr>
      </w:pPr>
    </w:p>
    <w:p w14:paraId="67E97265" w14:textId="0E1837EF" w:rsidR="009378A3" w:rsidRPr="00975DE9" w:rsidRDefault="009378A3" w:rsidP="00577F77">
      <w:pPr>
        <w:jc w:val="both"/>
        <w:rPr>
          <w:iCs/>
          <w:color w:val="000000" w:themeColor="text1"/>
          <w:sz w:val="22"/>
          <w:szCs w:val="22"/>
          <w:lang w:val="sr-Latn-ME"/>
        </w:rPr>
      </w:pPr>
      <w:r w:rsidRPr="00975DE9">
        <w:rPr>
          <w:iCs/>
          <w:color w:val="000000" w:themeColor="text1"/>
          <w:sz w:val="22"/>
          <w:szCs w:val="22"/>
          <w:lang w:val="sr-Latn-ME"/>
        </w:rPr>
        <w:t xml:space="preserve">Ketonal </w:t>
      </w:r>
      <w:r w:rsidR="00726778" w:rsidRPr="00975DE9">
        <w:rPr>
          <w:iCs/>
          <w:color w:val="000000" w:themeColor="text1"/>
          <w:sz w:val="22"/>
          <w:szCs w:val="22"/>
          <w:lang w:val="sr-Latn-ME"/>
        </w:rPr>
        <w:t xml:space="preserve">Akut </w:t>
      </w:r>
      <w:r w:rsidRPr="00975DE9">
        <w:rPr>
          <w:iCs/>
          <w:color w:val="000000" w:themeColor="text1"/>
          <w:sz w:val="22"/>
          <w:szCs w:val="22"/>
          <w:lang w:val="sr-Latn-ME"/>
        </w:rPr>
        <w:t>Rapid, 50 mg, granule za oralni rastvor</w:t>
      </w:r>
      <w:r w:rsidR="00DA0F68" w:rsidRPr="00975DE9">
        <w:rPr>
          <w:iCs/>
          <w:color w:val="000000" w:themeColor="text1"/>
          <w:sz w:val="22"/>
          <w:szCs w:val="22"/>
          <w:lang w:val="sr-Latn-ME"/>
        </w:rPr>
        <w:t xml:space="preserve"> </w:t>
      </w:r>
    </w:p>
    <w:p w14:paraId="0672AFB0" w14:textId="77777777" w:rsidR="000D425A" w:rsidRPr="00975DE9" w:rsidRDefault="000D425A" w:rsidP="00577F77">
      <w:pPr>
        <w:jc w:val="both"/>
        <w:rPr>
          <w:bCs/>
          <w:color w:val="000000" w:themeColor="text1"/>
          <w:sz w:val="22"/>
          <w:szCs w:val="22"/>
          <w:lang w:val="sr-Latn-CS"/>
        </w:rPr>
      </w:pPr>
    </w:p>
    <w:p w14:paraId="78CAA776" w14:textId="7CA73262" w:rsidR="006D20A5" w:rsidRPr="009F025B" w:rsidRDefault="006D20A5" w:rsidP="00577F77">
      <w:pPr>
        <w:jc w:val="both"/>
        <w:rPr>
          <w:sz w:val="22"/>
          <w:szCs w:val="22"/>
          <w:lang w:val="sr-Latn-CS"/>
        </w:rPr>
      </w:pPr>
      <w:r w:rsidRPr="009F025B">
        <w:rPr>
          <w:sz w:val="22"/>
          <w:szCs w:val="22"/>
          <w:lang w:val="sv-SE"/>
        </w:rPr>
        <w:t>INN:</w:t>
      </w:r>
      <w:r w:rsidR="009378A3" w:rsidRPr="009F025B">
        <w:rPr>
          <w:sz w:val="22"/>
          <w:szCs w:val="22"/>
          <w:lang w:val="sv-SE"/>
        </w:rPr>
        <w:t xml:space="preserve"> ketoprofen</w:t>
      </w:r>
    </w:p>
    <w:p w14:paraId="1187405F" w14:textId="77777777" w:rsidR="006D20A5" w:rsidRPr="009F025B" w:rsidRDefault="006D20A5" w:rsidP="00577F77">
      <w:pPr>
        <w:jc w:val="both"/>
        <w:rPr>
          <w:bCs/>
          <w:sz w:val="22"/>
          <w:szCs w:val="22"/>
          <w:lang w:val="sv-SE"/>
        </w:rPr>
      </w:pPr>
    </w:p>
    <w:p w14:paraId="0CBD4293" w14:textId="77777777" w:rsidR="00530BD7" w:rsidRPr="009F025B" w:rsidRDefault="00530BD7" w:rsidP="00577F77">
      <w:pPr>
        <w:jc w:val="both"/>
        <w:rPr>
          <w:bCs/>
          <w:sz w:val="22"/>
          <w:szCs w:val="22"/>
          <w:lang w:val="sv-SE"/>
        </w:rPr>
      </w:pPr>
    </w:p>
    <w:p w14:paraId="53AFAE82" w14:textId="77777777" w:rsidR="00411B4B" w:rsidRPr="009F025B" w:rsidRDefault="00411B4B" w:rsidP="00577F77">
      <w:pPr>
        <w:tabs>
          <w:tab w:val="left" w:pos="540"/>
          <w:tab w:val="left" w:pos="569"/>
        </w:tabs>
        <w:jc w:val="both"/>
        <w:rPr>
          <w:b/>
          <w:bCs/>
          <w:sz w:val="22"/>
          <w:szCs w:val="22"/>
          <w:lang w:val="sv-SE"/>
        </w:rPr>
      </w:pPr>
      <w:r w:rsidRPr="009F025B">
        <w:rPr>
          <w:b/>
          <w:bCs/>
          <w:sz w:val="22"/>
          <w:szCs w:val="22"/>
          <w:lang w:val="sv-SE"/>
        </w:rPr>
        <w:t xml:space="preserve">2. </w:t>
      </w:r>
      <w:r w:rsidR="00F5167F" w:rsidRPr="009F025B">
        <w:rPr>
          <w:b/>
          <w:bCs/>
          <w:sz w:val="22"/>
          <w:szCs w:val="22"/>
          <w:lang w:val="sv-SE"/>
        </w:rPr>
        <w:tab/>
      </w:r>
      <w:r w:rsidRPr="009F025B">
        <w:rPr>
          <w:b/>
          <w:bCs/>
          <w:sz w:val="22"/>
          <w:szCs w:val="22"/>
          <w:lang w:val="sv-SE"/>
        </w:rPr>
        <w:t>KVALITATIVNI I KVANTITATIVNI SASTAV</w:t>
      </w:r>
    </w:p>
    <w:p w14:paraId="15C69868" w14:textId="77777777" w:rsidR="005A0B2E" w:rsidRPr="009F025B" w:rsidRDefault="005A0B2E" w:rsidP="00577F77">
      <w:pPr>
        <w:jc w:val="both"/>
        <w:rPr>
          <w:sz w:val="22"/>
          <w:szCs w:val="22"/>
          <w:lang w:val="sr-Latn-CS"/>
        </w:rPr>
      </w:pPr>
    </w:p>
    <w:p w14:paraId="69BAC7C1" w14:textId="6B127BF8" w:rsidR="00CF5E2A" w:rsidRPr="009F025B" w:rsidRDefault="00CF5E2A" w:rsidP="00577F77">
      <w:pPr>
        <w:widowControl w:val="0"/>
        <w:autoSpaceDE w:val="0"/>
        <w:autoSpaceDN w:val="0"/>
        <w:jc w:val="both"/>
        <w:rPr>
          <w:sz w:val="22"/>
          <w:szCs w:val="22"/>
          <w:lang w:val="hr-HR"/>
        </w:rPr>
      </w:pPr>
      <w:r w:rsidRPr="009F025B">
        <w:rPr>
          <w:sz w:val="22"/>
          <w:szCs w:val="22"/>
          <w:lang w:val="hr-HR"/>
        </w:rPr>
        <w:t>Ketonal Akut Rapid 50 mg granule za oraln</w:t>
      </w:r>
      <w:r w:rsidR="00464B11" w:rsidRPr="009F025B">
        <w:rPr>
          <w:sz w:val="22"/>
          <w:szCs w:val="22"/>
          <w:lang w:val="hr-HR"/>
        </w:rPr>
        <w:t>i rastvor</w:t>
      </w:r>
      <w:r w:rsidR="00DA0F68" w:rsidRPr="009F025B">
        <w:rPr>
          <w:sz w:val="22"/>
          <w:szCs w:val="22"/>
          <w:lang w:val="hr-HR"/>
        </w:rPr>
        <w:t xml:space="preserve"> </w:t>
      </w:r>
    </w:p>
    <w:p w14:paraId="0D8C3542" w14:textId="58D18310" w:rsidR="00F0447D" w:rsidRPr="009F025B" w:rsidRDefault="00CF5E2A" w:rsidP="00577F77">
      <w:pPr>
        <w:jc w:val="both"/>
        <w:rPr>
          <w:sz w:val="22"/>
          <w:szCs w:val="22"/>
          <w:lang w:val="hr-HR"/>
        </w:rPr>
      </w:pPr>
      <w:r w:rsidRPr="009F025B">
        <w:rPr>
          <w:sz w:val="22"/>
          <w:szCs w:val="22"/>
          <w:lang w:val="hr-HR"/>
        </w:rPr>
        <w:t xml:space="preserve">Svaka dvodjelna </w:t>
      </w:r>
      <w:r w:rsidR="006E7369" w:rsidRPr="009F025B">
        <w:rPr>
          <w:sz w:val="22"/>
          <w:szCs w:val="22"/>
          <w:lang w:val="hr-HR"/>
        </w:rPr>
        <w:t xml:space="preserve">kesica </w:t>
      </w:r>
      <w:r w:rsidRPr="009F025B">
        <w:rPr>
          <w:sz w:val="22"/>
          <w:szCs w:val="22"/>
          <w:lang w:val="hr-HR"/>
        </w:rPr>
        <w:t>sadrži 50 mg ketoprofena, što odgovara 80 mg ketoprofen</w:t>
      </w:r>
      <w:r w:rsidR="00BA7500">
        <w:rPr>
          <w:sz w:val="22"/>
          <w:szCs w:val="22"/>
          <w:lang w:val="hr-HR"/>
        </w:rPr>
        <w:t xml:space="preserve"> </w:t>
      </w:r>
      <w:r w:rsidRPr="009F025B">
        <w:rPr>
          <w:sz w:val="22"/>
          <w:szCs w:val="22"/>
          <w:lang w:val="hr-HR"/>
        </w:rPr>
        <w:t>lizinata.</w:t>
      </w:r>
    </w:p>
    <w:p w14:paraId="2E549CDC" w14:textId="77777777" w:rsidR="00C066B0" w:rsidRPr="009F025B" w:rsidRDefault="00C066B0" w:rsidP="00577F77">
      <w:pPr>
        <w:jc w:val="both"/>
        <w:rPr>
          <w:sz w:val="22"/>
          <w:szCs w:val="22"/>
          <w:lang w:val="sr-Latn-CS"/>
        </w:rPr>
      </w:pPr>
    </w:p>
    <w:p w14:paraId="7ED185D3" w14:textId="4036B360" w:rsidR="0003793F" w:rsidRPr="009F025B" w:rsidRDefault="0003793F" w:rsidP="00577F77">
      <w:pPr>
        <w:jc w:val="both"/>
        <w:rPr>
          <w:sz w:val="22"/>
          <w:szCs w:val="22"/>
          <w:lang w:val="sr-Latn-CS"/>
        </w:rPr>
      </w:pPr>
      <w:r w:rsidRPr="009F025B">
        <w:rPr>
          <w:sz w:val="22"/>
          <w:szCs w:val="22"/>
          <w:lang w:val="sr-Latn-CS"/>
        </w:rPr>
        <w:t>Za spisak svih ekscipijenasa, pogledati dio 6.1.</w:t>
      </w:r>
    </w:p>
    <w:p w14:paraId="4707EAC2" w14:textId="77777777" w:rsidR="0003793F" w:rsidRPr="009F025B" w:rsidRDefault="0003793F" w:rsidP="00577F77">
      <w:pPr>
        <w:jc w:val="both"/>
        <w:rPr>
          <w:sz w:val="22"/>
          <w:szCs w:val="22"/>
          <w:lang w:val="sr-Latn-CS"/>
        </w:rPr>
      </w:pPr>
    </w:p>
    <w:p w14:paraId="15C5FF1A" w14:textId="77777777" w:rsidR="00C37FD7" w:rsidRPr="009F025B" w:rsidRDefault="00C37FD7" w:rsidP="00577F77">
      <w:pPr>
        <w:jc w:val="both"/>
        <w:rPr>
          <w:sz w:val="22"/>
          <w:szCs w:val="22"/>
          <w:lang w:val="sr-Latn-CS"/>
        </w:rPr>
      </w:pPr>
    </w:p>
    <w:p w14:paraId="67D84E20" w14:textId="77777777" w:rsidR="00411B4B" w:rsidRPr="009F025B" w:rsidRDefault="00411B4B" w:rsidP="00577F77">
      <w:pPr>
        <w:tabs>
          <w:tab w:val="left" w:pos="540"/>
          <w:tab w:val="left" w:pos="569"/>
        </w:tabs>
        <w:jc w:val="both"/>
        <w:rPr>
          <w:b/>
          <w:bCs/>
          <w:sz w:val="22"/>
          <w:szCs w:val="22"/>
          <w:lang w:val="sr-Latn-CS"/>
        </w:rPr>
      </w:pPr>
      <w:r w:rsidRPr="009F025B">
        <w:rPr>
          <w:b/>
          <w:bCs/>
          <w:sz w:val="22"/>
          <w:szCs w:val="22"/>
          <w:lang w:val="sr-Latn-CS"/>
        </w:rPr>
        <w:t xml:space="preserve">3. </w:t>
      </w:r>
      <w:r w:rsidR="00F5167F" w:rsidRPr="009F025B">
        <w:rPr>
          <w:b/>
          <w:bCs/>
          <w:sz w:val="22"/>
          <w:szCs w:val="22"/>
          <w:lang w:val="sr-Latn-CS"/>
        </w:rPr>
        <w:tab/>
      </w:r>
      <w:r w:rsidRPr="009F025B">
        <w:rPr>
          <w:b/>
          <w:bCs/>
          <w:sz w:val="22"/>
          <w:szCs w:val="22"/>
          <w:lang w:val="de-DE"/>
        </w:rPr>
        <w:t>FARMACEUTSKI</w:t>
      </w:r>
      <w:r w:rsidRPr="009F025B">
        <w:rPr>
          <w:b/>
          <w:bCs/>
          <w:sz w:val="22"/>
          <w:szCs w:val="22"/>
          <w:lang w:val="sr-Latn-CS"/>
        </w:rPr>
        <w:t xml:space="preserve"> </w:t>
      </w:r>
      <w:r w:rsidRPr="009F025B">
        <w:rPr>
          <w:b/>
          <w:bCs/>
          <w:sz w:val="22"/>
          <w:szCs w:val="22"/>
          <w:lang w:val="de-DE"/>
        </w:rPr>
        <w:t>OBLIK</w:t>
      </w:r>
      <w:r w:rsidR="009F2D23" w:rsidRPr="009F025B">
        <w:rPr>
          <w:b/>
          <w:bCs/>
          <w:sz w:val="22"/>
          <w:szCs w:val="22"/>
          <w:lang w:val="sr-Latn-CS"/>
        </w:rPr>
        <w:t xml:space="preserve"> </w:t>
      </w:r>
    </w:p>
    <w:p w14:paraId="703A1EFA" w14:textId="77777777" w:rsidR="00411B4B" w:rsidRPr="009F025B" w:rsidRDefault="00411B4B" w:rsidP="00577F77">
      <w:pPr>
        <w:jc w:val="both"/>
        <w:rPr>
          <w:bCs/>
          <w:sz w:val="22"/>
          <w:szCs w:val="22"/>
          <w:lang w:val="sr-Latn-CS"/>
        </w:rPr>
      </w:pPr>
    </w:p>
    <w:p w14:paraId="56F9410F" w14:textId="77777777" w:rsidR="004C01C0" w:rsidRPr="009F025B" w:rsidRDefault="004C01C0" w:rsidP="00577F77">
      <w:pPr>
        <w:jc w:val="both"/>
        <w:rPr>
          <w:bCs/>
          <w:sz w:val="22"/>
          <w:szCs w:val="22"/>
          <w:lang w:val="sr-Latn-CS"/>
        </w:rPr>
      </w:pPr>
      <w:r w:rsidRPr="009F025B">
        <w:rPr>
          <w:bCs/>
          <w:sz w:val="22"/>
          <w:szCs w:val="22"/>
          <w:lang w:val="sr-Latn-CS"/>
        </w:rPr>
        <w:t>Granule za oralni rastvor.</w:t>
      </w:r>
    </w:p>
    <w:p w14:paraId="3341B64A" w14:textId="77777777" w:rsidR="004C01C0" w:rsidRPr="009F025B" w:rsidRDefault="004C01C0" w:rsidP="00577F77">
      <w:pPr>
        <w:jc w:val="both"/>
        <w:rPr>
          <w:bCs/>
          <w:sz w:val="22"/>
          <w:szCs w:val="22"/>
          <w:lang w:val="hr-HR"/>
        </w:rPr>
      </w:pPr>
      <w:r w:rsidRPr="009F025B">
        <w:rPr>
          <w:bCs/>
          <w:sz w:val="22"/>
          <w:szCs w:val="22"/>
          <w:lang w:val="hr-HR"/>
        </w:rPr>
        <w:t>Bijele do žućkaste granule.</w:t>
      </w:r>
    </w:p>
    <w:p w14:paraId="00C3589B" w14:textId="557BD552" w:rsidR="00EC2532" w:rsidRDefault="00EC2532" w:rsidP="00577F77">
      <w:pPr>
        <w:jc w:val="both"/>
        <w:rPr>
          <w:bCs/>
          <w:sz w:val="22"/>
          <w:szCs w:val="22"/>
          <w:lang w:val="hr-HR"/>
        </w:rPr>
      </w:pPr>
    </w:p>
    <w:p w14:paraId="0AB3853B" w14:textId="77777777" w:rsidR="00942FAE" w:rsidRPr="009F025B" w:rsidRDefault="00942FAE" w:rsidP="00577F77">
      <w:pPr>
        <w:jc w:val="both"/>
        <w:rPr>
          <w:bCs/>
          <w:sz w:val="22"/>
          <w:szCs w:val="22"/>
          <w:lang w:val="hr-HR"/>
        </w:rPr>
      </w:pPr>
    </w:p>
    <w:p w14:paraId="612AE87B" w14:textId="77777777" w:rsidR="00411B4B" w:rsidRPr="009F025B" w:rsidRDefault="00411B4B" w:rsidP="00577F77">
      <w:pPr>
        <w:tabs>
          <w:tab w:val="left" w:pos="540"/>
          <w:tab w:val="left" w:pos="569"/>
        </w:tabs>
        <w:jc w:val="both"/>
        <w:rPr>
          <w:b/>
          <w:bCs/>
          <w:sz w:val="22"/>
          <w:szCs w:val="22"/>
          <w:lang w:val="sr-Latn-CS"/>
        </w:rPr>
      </w:pPr>
      <w:r w:rsidRPr="009F025B">
        <w:rPr>
          <w:b/>
          <w:bCs/>
          <w:sz w:val="22"/>
          <w:szCs w:val="22"/>
          <w:lang w:val="sr-Latn-CS"/>
        </w:rPr>
        <w:t xml:space="preserve">4. </w:t>
      </w:r>
      <w:r w:rsidR="00480FB1" w:rsidRPr="009F025B">
        <w:rPr>
          <w:b/>
          <w:bCs/>
          <w:sz w:val="22"/>
          <w:szCs w:val="22"/>
          <w:lang w:val="sr-Latn-CS"/>
        </w:rPr>
        <w:tab/>
      </w:r>
      <w:r w:rsidRPr="009F025B">
        <w:rPr>
          <w:b/>
          <w:bCs/>
          <w:sz w:val="22"/>
          <w:szCs w:val="22"/>
          <w:lang w:val="hr-HR"/>
        </w:rPr>
        <w:t>KLINI</w:t>
      </w:r>
      <w:r w:rsidRPr="009F025B">
        <w:rPr>
          <w:b/>
          <w:bCs/>
          <w:sz w:val="22"/>
          <w:szCs w:val="22"/>
          <w:lang w:val="sr-Latn-CS"/>
        </w:rPr>
        <w:t>Č</w:t>
      </w:r>
      <w:r w:rsidRPr="009F025B">
        <w:rPr>
          <w:b/>
          <w:bCs/>
          <w:sz w:val="22"/>
          <w:szCs w:val="22"/>
          <w:lang w:val="hr-HR"/>
        </w:rPr>
        <w:t>KI</w:t>
      </w:r>
      <w:r w:rsidRPr="009F025B">
        <w:rPr>
          <w:b/>
          <w:bCs/>
          <w:sz w:val="22"/>
          <w:szCs w:val="22"/>
          <w:lang w:val="sr-Latn-CS"/>
        </w:rPr>
        <w:t xml:space="preserve"> </w:t>
      </w:r>
      <w:r w:rsidRPr="009F025B">
        <w:rPr>
          <w:b/>
          <w:bCs/>
          <w:sz w:val="22"/>
          <w:szCs w:val="22"/>
          <w:lang w:val="hr-HR"/>
        </w:rPr>
        <w:t>PODACI</w:t>
      </w:r>
    </w:p>
    <w:p w14:paraId="46259D09" w14:textId="77777777" w:rsidR="00CD6F02" w:rsidRPr="009F025B" w:rsidRDefault="00CD6F02" w:rsidP="00577F77">
      <w:pPr>
        <w:tabs>
          <w:tab w:val="left" w:pos="540"/>
          <w:tab w:val="left" w:pos="569"/>
        </w:tabs>
        <w:jc w:val="both"/>
        <w:rPr>
          <w:bCs/>
          <w:sz w:val="22"/>
          <w:szCs w:val="22"/>
          <w:lang w:val="sr-Latn-CS"/>
        </w:rPr>
      </w:pPr>
    </w:p>
    <w:p w14:paraId="2C064C38" w14:textId="77777777" w:rsidR="00411B4B" w:rsidRPr="009F025B" w:rsidRDefault="00411B4B" w:rsidP="00577F77">
      <w:pPr>
        <w:tabs>
          <w:tab w:val="left" w:pos="540"/>
          <w:tab w:val="left" w:pos="569"/>
        </w:tabs>
        <w:jc w:val="both"/>
        <w:rPr>
          <w:b/>
          <w:bCs/>
          <w:sz w:val="22"/>
          <w:szCs w:val="22"/>
          <w:lang w:val="sr-Latn-CS"/>
        </w:rPr>
      </w:pPr>
      <w:r w:rsidRPr="009F025B">
        <w:rPr>
          <w:b/>
          <w:bCs/>
          <w:sz w:val="22"/>
          <w:szCs w:val="22"/>
          <w:lang w:val="sr-Latn-CS"/>
        </w:rPr>
        <w:t xml:space="preserve">4.1. </w:t>
      </w:r>
      <w:r w:rsidR="00480FB1" w:rsidRPr="009F025B">
        <w:rPr>
          <w:b/>
          <w:bCs/>
          <w:sz w:val="22"/>
          <w:szCs w:val="22"/>
          <w:lang w:val="sr-Latn-CS"/>
        </w:rPr>
        <w:tab/>
      </w:r>
      <w:r w:rsidRPr="009F025B">
        <w:rPr>
          <w:b/>
          <w:bCs/>
          <w:sz w:val="22"/>
          <w:szCs w:val="22"/>
          <w:lang w:val="hr-HR"/>
        </w:rPr>
        <w:t>Terapijske</w:t>
      </w:r>
      <w:r w:rsidRPr="009F025B">
        <w:rPr>
          <w:b/>
          <w:bCs/>
          <w:sz w:val="22"/>
          <w:szCs w:val="22"/>
          <w:lang w:val="sr-Latn-CS"/>
        </w:rPr>
        <w:t xml:space="preserve"> </w:t>
      </w:r>
      <w:r w:rsidRPr="009F025B">
        <w:rPr>
          <w:b/>
          <w:bCs/>
          <w:sz w:val="22"/>
          <w:szCs w:val="22"/>
          <w:lang w:val="hr-HR"/>
        </w:rPr>
        <w:t>indikacije</w:t>
      </w:r>
    </w:p>
    <w:p w14:paraId="08A6D40B" w14:textId="61B08561" w:rsidR="00411B4B" w:rsidRPr="009F025B" w:rsidRDefault="00411B4B" w:rsidP="00577F77">
      <w:pPr>
        <w:tabs>
          <w:tab w:val="left" w:pos="540"/>
          <w:tab w:val="left" w:pos="569"/>
        </w:tabs>
        <w:jc w:val="both"/>
        <w:rPr>
          <w:bCs/>
          <w:sz w:val="22"/>
          <w:szCs w:val="22"/>
          <w:lang w:val="sr-Latn-CS"/>
        </w:rPr>
      </w:pPr>
    </w:p>
    <w:p w14:paraId="5B74D01C" w14:textId="3EEE9365" w:rsidR="00943DBB" w:rsidRPr="009F025B" w:rsidRDefault="00943DBB" w:rsidP="00577F77">
      <w:pPr>
        <w:tabs>
          <w:tab w:val="left" w:pos="540"/>
          <w:tab w:val="left" w:pos="569"/>
        </w:tabs>
        <w:jc w:val="both"/>
        <w:rPr>
          <w:bCs/>
          <w:sz w:val="22"/>
          <w:szCs w:val="22"/>
          <w:lang w:val="hr-HR"/>
        </w:rPr>
      </w:pPr>
      <w:r w:rsidRPr="009F025B">
        <w:rPr>
          <w:bCs/>
          <w:sz w:val="22"/>
          <w:szCs w:val="22"/>
          <w:lang w:val="hr-HR"/>
        </w:rPr>
        <w:t>Ketonal Akut Rapid granule indi</w:t>
      </w:r>
      <w:r w:rsidR="00417B4D" w:rsidRPr="009F025B">
        <w:rPr>
          <w:bCs/>
          <w:sz w:val="22"/>
          <w:szCs w:val="22"/>
          <w:lang w:val="hr-HR"/>
        </w:rPr>
        <w:t>kovane</w:t>
      </w:r>
      <w:r w:rsidRPr="009F025B">
        <w:rPr>
          <w:bCs/>
          <w:sz w:val="22"/>
          <w:szCs w:val="22"/>
          <w:lang w:val="hr-HR"/>
        </w:rPr>
        <w:t xml:space="preserve"> su za kratkotrajno simptomatsko ublažavanje blag</w:t>
      </w:r>
      <w:r w:rsidR="0084602C" w:rsidRPr="009F025B">
        <w:rPr>
          <w:bCs/>
          <w:sz w:val="22"/>
          <w:szCs w:val="22"/>
          <w:lang w:val="hr-HR"/>
        </w:rPr>
        <w:t>og</w:t>
      </w:r>
      <w:r w:rsidRPr="009F025B">
        <w:rPr>
          <w:bCs/>
          <w:sz w:val="22"/>
          <w:szCs w:val="22"/>
          <w:lang w:val="hr-HR"/>
        </w:rPr>
        <w:t xml:space="preserve"> do umjeren</w:t>
      </w:r>
      <w:r w:rsidR="0084602C" w:rsidRPr="009F025B">
        <w:rPr>
          <w:bCs/>
          <w:sz w:val="22"/>
          <w:szCs w:val="22"/>
          <w:lang w:val="hr-HR"/>
        </w:rPr>
        <w:t>og</w:t>
      </w:r>
      <w:r w:rsidRPr="009F025B">
        <w:rPr>
          <w:bCs/>
          <w:sz w:val="22"/>
          <w:szCs w:val="22"/>
          <w:lang w:val="hr-HR"/>
        </w:rPr>
        <w:t xml:space="preserve"> akutn</w:t>
      </w:r>
      <w:r w:rsidR="00417B4D" w:rsidRPr="009F025B">
        <w:rPr>
          <w:bCs/>
          <w:sz w:val="22"/>
          <w:szCs w:val="22"/>
          <w:lang w:val="hr-HR"/>
        </w:rPr>
        <w:t>og</w:t>
      </w:r>
      <w:r w:rsidRPr="009F025B">
        <w:rPr>
          <w:bCs/>
          <w:sz w:val="22"/>
          <w:szCs w:val="22"/>
          <w:lang w:val="hr-HR"/>
        </w:rPr>
        <w:t xml:space="preserve"> bol</w:t>
      </w:r>
      <w:r w:rsidR="00417B4D" w:rsidRPr="009F025B">
        <w:rPr>
          <w:bCs/>
          <w:sz w:val="22"/>
          <w:szCs w:val="22"/>
          <w:lang w:val="hr-HR"/>
        </w:rPr>
        <w:t xml:space="preserve">a </w:t>
      </w:r>
      <w:r w:rsidRPr="009F025B">
        <w:rPr>
          <w:bCs/>
          <w:sz w:val="22"/>
          <w:szCs w:val="22"/>
          <w:lang w:val="hr-HR"/>
        </w:rPr>
        <w:t>poput:</w:t>
      </w:r>
    </w:p>
    <w:p w14:paraId="2B609844" w14:textId="77777777" w:rsidR="00943DBB" w:rsidRPr="009F025B" w:rsidRDefault="00943DBB" w:rsidP="00577F77">
      <w:pPr>
        <w:numPr>
          <w:ilvl w:val="2"/>
          <w:numId w:val="17"/>
        </w:numPr>
        <w:tabs>
          <w:tab w:val="left" w:pos="540"/>
          <w:tab w:val="left" w:pos="569"/>
        </w:tabs>
        <w:jc w:val="both"/>
        <w:rPr>
          <w:bCs/>
          <w:sz w:val="22"/>
          <w:szCs w:val="22"/>
          <w:lang w:val="hr-HR"/>
        </w:rPr>
      </w:pPr>
      <w:r w:rsidRPr="009F025B">
        <w:rPr>
          <w:bCs/>
          <w:sz w:val="22"/>
          <w:szCs w:val="22"/>
          <w:lang w:val="hr-HR"/>
        </w:rPr>
        <w:t>glavobolje</w:t>
      </w:r>
    </w:p>
    <w:p w14:paraId="33BE373B" w14:textId="77777777" w:rsidR="00943DBB" w:rsidRPr="009F025B" w:rsidRDefault="00943DBB" w:rsidP="00577F77">
      <w:pPr>
        <w:numPr>
          <w:ilvl w:val="2"/>
          <w:numId w:val="17"/>
        </w:numPr>
        <w:tabs>
          <w:tab w:val="left" w:pos="540"/>
          <w:tab w:val="left" w:pos="569"/>
        </w:tabs>
        <w:jc w:val="both"/>
        <w:rPr>
          <w:bCs/>
          <w:sz w:val="22"/>
          <w:szCs w:val="22"/>
          <w:lang w:val="hr-HR"/>
        </w:rPr>
      </w:pPr>
      <w:r w:rsidRPr="009F025B">
        <w:rPr>
          <w:bCs/>
          <w:sz w:val="22"/>
          <w:szCs w:val="22"/>
          <w:lang w:val="hr-HR"/>
        </w:rPr>
        <w:t>zubobolje</w:t>
      </w:r>
    </w:p>
    <w:p w14:paraId="235993B3" w14:textId="6B4F19F6" w:rsidR="00943DBB" w:rsidRPr="009F025B" w:rsidRDefault="00943DBB" w:rsidP="00577F77">
      <w:pPr>
        <w:numPr>
          <w:ilvl w:val="2"/>
          <w:numId w:val="17"/>
        </w:numPr>
        <w:tabs>
          <w:tab w:val="left" w:pos="540"/>
          <w:tab w:val="left" w:pos="569"/>
        </w:tabs>
        <w:jc w:val="both"/>
        <w:rPr>
          <w:bCs/>
          <w:sz w:val="22"/>
          <w:szCs w:val="22"/>
          <w:lang w:val="hr-HR"/>
        </w:rPr>
      </w:pPr>
      <w:r w:rsidRPr="009F025B">
        <w:rPr>
          <w:bCs/>
          <w:sz w:val="22"/>
          <w:szCs w:val="22"/>
          <w:lang w:val="hr-HR"/>
        </w:rPr>
        <w:t>menstrualn</w:t>
      </w:r>
      <w:r w:rsidR="00455E1B" w:rsidRPr="009F025B">
        <w:rPr>
          <w:bCs/>
          <w:sz w:val="22"/>
          <w:szCs w:val="22"/>
          <w:lang w:val="hr-HR"/>
        </w:rPr>
        <w:t>og</w:t>
      </w:r>
      <w:r w:rsidRPr="009F025B">
        <w:rPr>
          <w:bCs/>
          <w:sz w:val="22"/>
          <w:szCs w:val="22"/>
          <w:lang w:val="hr-HR"/>
        </w:rPr>
        <w:t xml:space="preserve"> bol</w:t>
      </w:r>
      <w:r w:rsidR="00455E1B" w:rsidRPr="009F025B">
        <w:rPr>
          <w:bCs/>
          <w:sz w:val="22"/>
          <w:szCs w:val="22"/>
          <w:lang w:val="hr-HR"/>
        </w:rPr>
        <w:t>a</w:t>
      </w:r>
      <w:r w:rsidRPr="009F025B">
        <w:rPr>
          <w:bCs/>
          <w:sz w:val="22"/>
          <w:szCs w:val="22"/>
          <w:lang w:val="hr-HR"/>
        </w:rPr>
        <w:t xml:space="preserve"> (dismenoreja)</w:t>
      </w:r>
    </w:p>
    <w:p w14:paraId="3E83F585" w14:textId="7DCA52EB" w:rsidR="00943DBB" w:rsidRPr="009F025B" w:rsidRDefault="00943DBB" w:rsidP="00577F77">
      <w:pPr>
        <w:numPr>
          <w:ilvl w:val="2"/>
          <w:numId w:val="17"/>
        </w:numPr>
        <w:tabs>
          <w:tab w:val="left" w:pos="540"/>
          <w:tab w:val="left" w:pos="569"/>
        </w:tabs>
        <w:jc w:val="both"/>
        <w:rPr>
          <w:bCs/>
          <w:sz w:val="22"/>
          <w:szCs w:val="22"/>
          <w:lang w:val="hr-HR"/>
        </w:rPr>
      </w:pPr>
      <w:r w:rsidRPr="009F025B">
        <w:rPr>
          <w:bCs/>
          <w:sz w:val="22"/>
          <w:szCs w:val="22"/>
          <w:lang w:val="hr-HR"/>
        </w:rPr>
        <w:t>bol</w:t>
      </w:r>
      <w:r w:rsidR="00227466" w:rsidRPr="009F025B">
        <w:rPr>
          <w:bCs/>
          <w:sz w:val="22"/>
          <w:szCs w:val="22"/>
          <w:lang w:val="hr-HR"/>
        </w:rPr>
        <w:t>a</w:t>
      </w:r>
      <w:r w:rsidRPr="009F025B">
        <w:rPr>
          <w:bCs/>
          <w:sz w:val="22"/>
          <w:szCs w:val="22"/>
          <w:lang w:val="hr-HR"/>
        </w:rPr>
        <w:t xml:space="preserve"> nakon manjih uganuća i iščašenja.</w:t>
      </w:r>
    </w:p>
    <w:p w14:paraId="676ED1B2" w14:textId="77777777" w:rsidR="00943DBB" w:rsidRPr="009F025B" w:rsidRDefault="00943DBB" w:rsidP="00577F77">
      <w:pPr>
        <w:tabs>
          <w:tab w:val="left" w:pos="540"/>
          <w:tab w:val="left" w:pos="569"/>
        </w:tabs>
        <w:jc w:val="both"/>
        <w:rPr>
          <w:bCs/>
          <w:sz w:val="22"/>
          <w:szCs w:val="22"/>
          <w:lang w:val="hr-HR"/>
        </w:rPr>
      </w:pPr>
    </w:p>
    <w:p w14:paraId="216F8676" w14:textId="7BAF2EBF" w:rsidR="00943DBB" w:rsidRPr="009F025B" w:rsidRDefault="00943DBB" w:rsidP="00577F77">
      <w:pPr>
        <w:tabs>
          <w:tab w:val="left" w:pos="540"/>
          <w:tab w:val="left" w:pos="569"/>
        </w:tabs>
        <w:jc w:val="both"/>
        <w:rPr>
          <w:bCs/>
          <w:sz w:val="22"/>
          <w:szCs w:val="22"/>
          <w:lang w:val="hr-HR"/>
        </w:rPr>
      </w:pPr>
      <w:r w:rsidRPr="009F025B">
        <w:rPr>
          <w:bCs/>
          <w:sz w:val="22"/>
          <w:szCs w:val="22"/>
          <w:lang w:val="hr-HR"/>
        </w:rPr>
        <w:t>Ketonal Akut Rapid granule su indi</w:t>
      </w:r>
      <w:r w:rsidR="00D25BDF" w:rsidRPr="009F025B">
        <w:rPr>
          <w:bCs/>
          <w:sz w:val="22"/>
          <w:szCs w:val="22"/>
          <w:lang w:val="hr-HR"/>
        </w:rPr>
        <w:t>kovane</w:t>
      </w:r>
      <w:r w:rsidRPr="009F025B">
        <w:rPr>
          <w:bCs/>
          <w:sz w:val="22"/>
          <w:szCs w:val="22"/>
          <w:lang w:val="hr-HR"/>
        </w:rPr>
        <w:t xml:space="preserve"> za liječenje odraslih i adolescenata starijih od 16 godina.</w:t>
      </w:r>
    </w:p>
    <w:p w14:paraId="4BF9CA2E" w14:textId="77777777" w:rsidR="00166632" w:rsidRPr="009F025B" w:rsidRDefault="00166632" w:rsidP="00577F77">
      <w:pPr>
        <w:tabs>
          <w:tab w:val="left" w:pos="540"/>
          <w:tab w:val="left" w:pos="569"/>
        </w:tabs>
        <w:jc w:val="both"/>
        <w:rPr>
          <w:bCs/>
          <w:sz w:val="22"/>
          <w:szCs w:val="22"/>
          <w:lang w:val="hr-HR"/>
        </w:rPr>
      </w:pPr>
    </w:p>
    <w:p w14:paraId="0321595B" w14:textId="77777777" w:rsidR="00411B4B" w:rsidRPr="009F025B" w:rsidRDefault="00411B4B" w:rsidP="00577F77">
      <w:pPr>
        <w:tabs>
          <w:tab w:val="left" w:pos="540"/>
          <w:tab w:val="left" w:pos="569"/>
        </w:tabs>
        <w:jc w:val="both"/>
        <w:rPr>
          <w:b/>
          <w:bCs/>
          <w:sz w:val="22"/>
          <w:szCs w:val="22"/>
          <w:lang w:val="hr-HR"/>
        </w:rPr>
      </w:pPr>
      <w:r w:rsidRPr="009F025B">
        <w:rPr>
          <w:b/>
          <w:bCs/>
          <w:sz w:val="22"/>
          <w:szCs w:val="22"/>
          <w:lang w:val="hr-HR"/>
        </w:rPr>
        <w:t xml:space="preserve">4.2. </w:t>
      </w:r>
      <w:r w:rsidR="00480FB1" w:rsidRPr="009F025B">
        <w:rPr>
          <w:b/>
          <w:bCs/>
          <w:sz w:val="22"/>
          <w:szCs w:val="22"/>
          <w:lang w:val="hr-HR"/>
        </w:rPr>
        <w:tab/>
      </w:r>
      <w:r w:rsidRPr="009F025B">
        <w:rPr>
          <w:b/>
          <w:bCs/>
          <w:sz w:val="22"/>
          <w:szCs w:val="22"/>
          <w:lang w:val="hr-HR"/>
        </w:rPr>
        <w:t>Doziranje i način primjene</w:t>
      </w:r>
    </w:p>
    <w:p w14:paraId="783072D0" w14:textId="31358B58" w:rsidR="00452E9D" w:rsidRPr="009F025B" w:rsidRDefault="00452E9D" w:rsidP="00577F77">
      <w:pPr>
        <w:tabs>
          <w:tab w:val="left" w:pos="540"/>
          <w:tab w:val="left" w:pos="569"/>
        </w:tabs>
        <w:jc w:val="both"/>
        <w:rPr>
          <w:bCs/>
          <w:sz w:val="22"/>
          <w:szCs w:val="22"/>
          <w:u w:val="single"/>
          <w:lang w:val="hr-HR"/>
        </w:rPr>
      </w:pPr>
    </w:p>
    <w:p w14:paraId="2FA8C0D6" w14:textId="77777777" w:rsidR="00F36D8B" w:rsidRPr="009F025B" w:rsidRDefault="00F36D8B" w:rsidP="00577F77">
      <w:pPr>
        <w:tabs>
          <w:tab w:val="left" w:pos="540"/>
          <w:tab w:val="left" w:pos="569"/>
        </w:tabs>
        <w:jc w:val="both"/>
        <w:rPr>
          <w:bCs/>
          <w:sz w:val="22"/>
          <w:szCs w:val="22"/>
          <w:u w:val="single"/>
          <w:lang w:val="hr-HR"/>
        </w:rPr>
      </w:pPr>
      <w:r w:rsidRPr="009F025B">
        <w:rPr>
          <w:bCs/>
          <w:sz w:val="22"/>
          <w:szCs w:val="22"/>
          <w:u w:val="single"/>
          <w:lang w:val="hr-HR"/>
        </w:rPr>
        <w:t>Doziranje</w:t>
      </w:r>
    </w:p>
    <w:p w14:paraId="77FAA86E" w14:textId="77777777" w:rsidR="00F36D8B" w:rsidRPr="009F025B" w:rsidRDefault="00F36D8B" w:rsidP="00577F77">
      <w:pPr>
        <w:tabs>
          <w:tab w:val="left" w:pos="540"/>
          <w:tab w:val="left" w:pos="569"/>
        </w:tabs>
        <w:jc w:val="both"/>
        <w:rPr>
          <w:bCs/>
          <w:sz w:val="22"/>
          <w:szCs w:val="22"/>
          <w:u w:val="single"/>
          <w:lang w:val="hr-HR"/>
        </w:rPr>
      </w:pPr>
    </w:p>
    <w:p w14:paraId="661C8A3B" w14:textId="77777777" w:rsidR="00F36D8B" w:rsidRPr="009F025B" w:rsidRDefault="00F36D8B" w:rsidP="00577F77">
      <w:pPr>
        <w:tabs>
          <w:tab w:val="left" w:pos="540"/>
          <w:tab w:val="left" w:pos="569"/>
        </w:tabs>
        <w:jc w:val="both"/>
        <w:rPr>
          <w:bCs/>
          <w:sz w:val="22"/>
          <w:szCs w:val="22"/>
          <w:lang w:val="hr-HR"/>
        </w:rPr>
      </w:pPr>
      <w:r w:rsidRPr="009F025B">
        <w:rPr>
          <w:bCs/>
          <w:sz w:val="22"/>
          <w:szCs w:val="22"/>
          <w:lang w:val="hr-HR"/>
        </w:rPr>
        <w:t>Neželjena dejstva se mogu minimizirati primjenom najniže efikasne doze tokom najkraćeg vremena potrebnog za kontrolu simptoma (vidjeti dio 4.4.)</w:t>
      </w:r>
    </w:p>
    <w:p w14:paraId="6FEFE674" w14:textId="77777777" w:rsidR="00F36D8B" w:rsidRPr="009F025B" w:rsidRDefault="00F36D8B" w:rsidP="00577F77">
      <w:pPr>
        <w:tabs>
          <w:tab w:val="left" w:pos="540"/>
          <w:tab w:val="left" w:pos="569"/>
        </w:tabs>
        <w:jc w:val="both"/>
        <w:rPr>
          <w:bCs/>
          <w:sz w:val="22"/>
          <w:szCs w:val="22"/>
          <w:lang w:val="hr-HR"/>
        </w:rPr>
      </w:pPr>
    </w:p>
    <w:p w14:paraId="6168D4FE" w14:textId="77777777" w:rsidR="00F36D8B" w:rsidRPr="009F025B" w:rsidRDefault="00F36D8B" w:rsidP="00577F77">
      <w:pPr>
        <w:tabs>
          <w:tab w:val="left" w:pos="540"/>
          <w:tab w:val="left" w:pos="569"/>
        </w:tabs>
        <w:jc w:val="both"/>
        <w:rPr>
          <w:bCs/>
          <w:i/>
          <w:sz w:val="22"/>
          <w:szCs w:val="22"/>
          <w:lang w:val="hr-HR"/>
        </w:rPr>
      </w:pPr>
      <w:r w:rsidRPr="009F025B">
        <w:rPr>
          <w:bCs/>
          <w:i/>
          <w:sz w:val="22"/>
          <w:szCs w:val="22"/>
          <w:lang w:val="hr-HR"/>
        </w:rPr>
        <w:t>Odrasli i adolescenti stariji od 16 godina</w:t>
      </w:r>
    </w:p>
    <w:p w14:paraId="0DC000FF" w14:textId="77777777" w:rsidR="00F36D8B" w:rsidRPr="009F025B" w:rsidRDefault="00F36D8B" w:rsidP="00577F77">
      <w:pPr>
        <w:tabs>
          <w:tab w:val="left" w:pos="540"/>
          <w:tab w:val="left" w:pos="569"/>
        </w:tabs>
        <w:jc w:val="both"/>
        <w:rPr>
          <w:bCs/>
          <w:sz w:val="22"/>
          <w:szCs w:val="22"/>
          <w:u w:val="single"/>
          <w:lang w:val="hr-HR"/>
        </w:rPr>
      </w:pPr>
    </w:p>
    <w:p w14:paraId="3039ED07" w14:textId="77777777" w:rsidR="0082104A" w:rsidRPr="009F025B" w:rsidRDefault="0082104A" w:rsidP="00577F77">
      <w:pPr>
        <w:tabs>
          <w:tab w:val="left" w:pos="540"/>
          <w:tab w:val="left" w:pos="569"/>
        </w:tabs>
        <w:jc w:val="both"/>
        <w:rPr>
          <w:bCs/>
          <w:sz w:val="22"/>
          <w:szCs w:val="22"/>
          <w:lang w:val="hr-HR"/>
        </w:rPr>
      </w:pPr>
      <w:r w:rsidRPr="009F025B">
        <w:rPr>
          <w:bCs/>
          <w:sz w:val="22"/>
          <w:szCs w:val="22"/>
          <w:lang w:val="hr-HR"/>
        </w:rPr>
        <w:t>25 mg ketoprofena, do tri puta na dan, ili 50 mg ketoprofena do dva puta na dan</w:t>
      </w:r>
    </w:p>
    <w:p w14:paraId="3946F03F" w14:textId="77777777" w:rsidR="0082104A" w:rsidRPr="009F025B" w:rsidRDefault="0082104A" w:rsidP="00577F77">
      <w:pPr>
        <w:tabs>
          <w:tab w:val="left" w:pos="540"/>
          <w:tab w:val="left" w:pos="569"/>
        </w:tabs>
        <w:jc w:val="both"/>
        <w:rPr>
          <w:bCs/>
          <w:sz w:val="22"/>
          <w:szCs w:val="22"/>
          <w:lang w:val="hr-HR"/>
        </w:rPr>
      </w:pPr>
      <w:r w:rsidRPr="009F025B">
        <w:rPr>
          <w:bCs/>
          <w:sz w:val="22"/>
          <w:szCs w:val="22"/>
          <w:lang w:val="hr-HR"/>
        </w:rPr>
        <w:t>(što odgovara 40 mg ketoprofenlizinata, do tri puta na dan), odnosno 80 mg ketoprofenlizinata, do dva puta na dan)</w:t>
      </w:r>
    </w:p>
    <w:p w14:paraId="717B7E65" w14:textId="77777777" w:rsidR="0082104A" w:rsidRPr="009F025B" w:rsidRDefault="0082104A" w:rsidP="00577F77">
      <w:pPr>
        <w:tabs>
          <w:tab w:val="left" w:pos="540"/>
          <w:tab w:val="left" w:pos="569"/>
        </w:tabs>
        <w:jc w:val="both"/>
        <w:rPr>
          <w:bCs/>
          <w:sz w:val="22"/>
          <w:szCs w:val="22"/>
          <w:lang w:val="hr-HR"/>
        </w:rPr>
      </w:pPr>
    </w:p>
    <w:p w14:paraId="29ACDCE8" w14:textId="77777777" w:rsidR="0082104A" w:rsidRPr="009F025B" w:rsidRDefault="0082104A" w:rsidP="00577F77">
      <w:pPr>
        <w:tabs>
          <w:tab w:val="left" w:pos="540"/>
          <w:tab w:val="left" w:pos="569"/>
        </w:tabs>
        <w:jc w:val="both"/>
        <w:rPr>
          <w:bCs/>
          <w:sz w:val="22"/>
          <w:szCs w:val="22"/>
          <w:lang w:val="hr-HR"/>
        </w:rPr>
      </w:pPr>
      <w:r w:rsidRPr="009F025B">
        <w:rPr>
          <w:bCs/>
          <w:sz w:val="22"/>
          <w:szCs w:val="22"/>
          <w:lang w:val="hr-HR"/>
        </w:rPr>
        <w:t>Interval između pojedinih doza mora iznositi najmanje 8 sati.</w:t>
      </w:r>
    </w:p>
    <w:p w14:paraId="04488E48" w14:textId="77777777" w:rsidR="00F36D8B" w:rsidRPr="009F025B" w:rsidRDefault="00F36D8B" w:rsidP="00577F77">
      <w:pPr>
        <w:tabs>
          <w:tab w:val="left" w:pos="540"/>
          <w:tab w:val="left" w:pos="569"/>
        </w:tabs>
        <w:jc w:val="both"/>
        <w:rPr>
          <w:bCs/>
          <w:sz w:val="22"/>
          <w:szCs w:val="22"/>
          <w:lang w:val="hr-HR"/>
        </w:rPr>
      </w:pPr>
    </w:p>
    <w:p w14:paraId="6E870000" w14:textId="77777777" w:rsidR="00F36D8B" w:rsidRPr="009F025B" w:rsidRDefault="00F36D8B" w:rsidP="00577F77">
      <w:pPr>
        <w:tabs>
          <w:tab w:val="left" w:pos="540"/>
          <w:tab w:val="left" w:pos="569"/>
        </w:tabs>
        <w:jc w:val="both"/>
        <w:rPr>
          <w:bCs/>
          <w:i/>
          <w:sz w:val="22"/>
          <w:szCs w:val="22"/>
          <w:lang w:val="hr-HR"/>
        </w:rPr>
      </w:pPr>
      <w:r w:rsidRPr="009F025B">
        <w:rPr>
          <w:bCs/>
          <w:i/>
          <w:sz w:val="22"/>
          <w:szCs w:val="22"/>
          <w:lang w:val="hr-HR"/>
        </w:rPr>
        <w:lastRenderedPageBreak/>
        <w:t>Stariji pacijenti</w:t>
      </w:r>
    </w:p>
    <w:p w14:paraId="4C17E168" w14:textId="2EB70320" w:rsidR="00F36D8B" w:rsidRPr="009F025B" w:rsidRDefault="00F36D8B" w:rsidP="00577F77">
      <w:pPr>
        <w:tabs>
          <w:tab w:val="left" w:pos="540"/>
          <w:tab w:val="left" w:pos="569"/>
        </w:tabs>
        <w:jc w:val="both"/>
        <w:rPr>
          <w:bCs/>
          <w:sz w:val="22"/>
          <w:szCs w:val="22"/>
          <w:lang w:val="hr-HR"/>
        </w:rPr>
      </w:pPr>
      <w:r w:rsidRPr="009F025B">
        <w:rPr>
          <w:bCs/>
          <w:sz w:val="22"/>
          <w:szCs w:val="22"/>
          <w:lang w:val="hr-HR"/>
        </w:rPr>
        <w:t>Ljekar bi trebalo pažljivo da odredi dozu i može odrediti manju dozu od gore navedenih, ako je potrebno (vidjeti dio 4.4.).</w:t>
      </w:r>
    </w:p>
    <w:p w14:paraId="4B2F31B7" w14:textId="77777777" w:rsidR="00F36D8B" w:rsidRPr="009F025B" w:rsidRDefault="00F36D8B" w:rsidP="00577F77">
      <w:pPr>
        <w:tabs>
          <w:tab w:val="left" w:pos="540"/>
          <w:tab w:val="left" w:pos="569"/>
        </w:tabs>
        <w:jc w:val="both"/>
        <w:rPr>
          <w:bCs/>
          <w:sz w:val="22"/>
          <w:szCs w:val="22"/>
          <w:lang w:val="hr-HR"/>
        </w:rPr>
      </w:pPr>
    </w:p>
    <w:p w14:paraId="6C9318A3" w14:textId="77777777" w:rsidR="00F36D8B" w:rsidRPr="009F025B" w:rsidRDefault="00F36D8B" w:rsidP="00577F77">
      <w:pPr>
        <w:tabs>
          <w:tab w:val="left" w:pos="540"/>
          <w:tab w:val="left" w:pos="569"/>
        </w:tabs>
        <w:jc w:val="both"/>
        <w:rPr>
          <w:bCs/>
          <w:i/>
          <w:sz w:val="22"/>
          <w:szCs w:val="22"/>
          <w:lang w:val="hr-HR"/>
        </w:rPr>
      </w:pPr>
      <w:r w:rsidRPr="009F025B">
        <w:rPr>
          <w:bCs/>
          <w:i/>
          <w:sz w:val="22"/>
          <w:szCs w:val="22"/>
          <w:lang w:val="hr-HR"/>
        </w:rPr>
        <w:t>Pedijatrijska populacija</w:t>
      </w:r>
    </w:p>
    <w:p w14:paraId="62251947" w14:textId="030695F0" w:rsidR="00F36D8B" w:rsidRPr="009F025B" w:rsidRDefault="007003E6" w:rsidP="00577F77">
      <w:pPr>
        <w:tabs>
          <w:tab w:val="left" w:pos="540"/>
          <w:tab w:val="left" w:pos="569"/>
        </w:tabs>
        <w:jc w:val="both"/>
        <w:rPr>
          <w:bCs/>
          <w:sz w:val="22"/>
          <w:szCs w:val="22"/>
          <w:lang w:val="hr-HR"/>
        </w:rPr>
      </w:pPr>
      <w:r w:rsidRPr="009F025B">
        <w:rPr>
          <w:bCs/>
          <w:sz w:val="22"/>
          <w:szCs w:val="22"/>
          <w:lang w:val="hr-HR"/>
        </w:rPr>
        <w:t xml:space="preserve">Ketonal Akut Rapid granule se ne preporučuju </w:t>
      </w:r>
      <w:r w:rsidR="00F36D8B" w:rsidRPr="009F025B">
        <w:rPr>
          <w:bCs/>
          <w:sz w:val="22"/>
          <w:szCs w:val="22"/>
          <w:lang w:val="hr-HR"/>
        </w:rPr>
        <w:t>za primjenu kod djece i adolescenata mlađih od 16 godina.</w:t>
      </w:r>
    </w:p>
    <w:p w14:paraId="4447A092" w14:textId="177C0B93" w:rsidR="00F36D8B" w:rsidRPr="009F025B" w:rsidRDefault="00F36D8B" w:rsidP="00577F77">
      <w:pPr>
        <w:tabs>
          <w:tab w:val="left" w:pos="540"/>
          <w:tab w:val="left" w:pos="569"/>
        </w:tabs>
        <w:jc w:val="both"/>
        <w:rPr>
          <w:bCs/>
          <w:sz w:val="22"/>
          <w:szCs w:val="22"/>
          <w:lang w:val="hr-HR"/>
        </w:rPr>
      </w:pPr>
    </w:p>
    <w:p w14:paraId="474582BB" w14:textId="77777777" w:rsidR="00CC4D24" w:rsidRPr="009F025B" w:rsidRDefault="00CC4D24" w:rsidP="00577F77">
      <w:pPr>
        <w:tabs>
          <w:tab w:val="left" w:pos="540"/>
          <w:tab w:val="left" w:pos="569"/>
        </w:tabs>
        <w:jc w:val="both"/>
        <w:rPr>
          <w:bCs/>
          <w:sz w:val="22"/>
          <w:szCs w:val="22"/>
          <w:lang w:val="hr-HR"/>
        </w:rPr>
      </w:pPr>
      <w:r w:rsidRPr="009F025B">
        <w:rPr>
          <w:bCs/>
          <w:sz w:val="22"/>
          <w:szCs w:val="22"/>
          <w:lang w:val="hr-HR"/>
        </w:rPr>
        <w:t>Samo za kratkotrajnu primjenu.</w:t>
      </w:r>
    </w:p>
    <w:p w14:paraId="50B51FC4" w14:textId="77777777" w:rsidR="00CC4D24" w:rsidRPr="009F025B" w:rsidRDefault="00CC4D24" w:rsidP="00577F77">
      <w:pPr>
        <w:tabs>
          <w:tab w:val="left" w:pos="540"/>
          <w:tab w:val="left" w:pos="569"/>
        </w:tabs>
        <w:jc w:val="both"/>
        <w:rPr>
          <w:bCs/>
          <w:sz w:val="22"/>
          <w:szCs w:val="22"/>
          <w:lang w:val="hr-HR"/>
        </w:rPr>
      </w:pPr>
    </w:p>
    <w:p w14:paraId="4F908841" w14:textId="2931A77B" w:rsidR="00CC4D24" w:rsidRPr="009F025B" w:rsidRDefault="00CC4D24" w:rsidP="00577F77">
      <w:pPr>
        <w:tabs>
          <w:tab w:val="left" w:pos="540"/>
          <w:tab w:val="left" w:pos="569"/>
        </w:tabs>
        <w:jc w:val="both"/>
        <w:rPr>
          <w:bCs/>
          <w:sz w:val="22"/>
          <w:szCs w:val="22"/>
          <w:lang w:val="hr-HR"/>
        </w:rPr>
      </w:pPr>
      <w:r w:rsidRPr="009F025B">
        <w:rPr>
          <w:bCs/>
          <w:sz w:val="22"/>
          <w:szCs w:val="22"/>
          <w:lang w:val="hr-HR"/>
        </w:rPr>
        <w:t>Ukoliko se kod adolescenata u</w:t>
      </w:r>
      <w:r w:rsidR="000D2D6F" w:rsidRPr="009F025B">
        <w:rPr>
          <w:bCs/>
          <w:sz w:val="22"/>
          <w:szCs w:val="22"/>
          <w:lang w:val="hr-HR"/>
        </w:rPr>
        <w:t>zrasta</w:t>
      </w:r>
      <w:r w:rsidRPr="009F025B">
        <w:rPr>
          <w:bCs/>
          <w:sz w:val="22"/>
          <w:szCs w:val="22"/>
          <w:lang w:val="hr-HR"/>
        </w:rPr>
        <w:t xml:space="preserve"> od 16 godina ili starijih ovaj lijek treba primjenjivati du</w:t>
      </w:r>
      <w:r w:rsidR="00AF52D3" w:rsidRPr="009F025B">
        <w:rPr>
          <w:bCs/>
          <w:sz w:val="22"/>
          <w:szCs w:val="22"/>
          <w:lang w:val="hr-HR"/>
        </w:rPr>
        <w:t>že</w:t>
      </w:r>
      <w:r w:rsidRPr="009F025B">
        <w:rPr>
          <w:bCs/>
          <w:sz w:val="22"/>
          <w:szCs w:val="22"/>
          <w:lang w:val="hr-HR"/>
        </w:rPr>
        <w:t xml:space="preserve"> od 3 dana ili ukoliko se simptomi pogoršaju, potrebno je zatražiti savjet </w:t>
      </w:r>
      <w:r w:rsidR="001F186A" w:rsidRPr="009F025B">
        <w:rPr>
          <w:bCs/>
          <w:sz w:val="22"/>
          <w:szCs w:val="22"/>
          <w:lang w:val="hr-HR"/>
        </w:rPr>
        <w:t>ljekara.</w:t>
      </w:r>
    </w:p>
    <w:p w14:paraId="76C80E96" w14:textId="5B7105C1" w:rsidR="00CC4D24" w:rsidRPr="009F025B" w:rsidRDefault="00CC4D24" w:rsidP="00577F77">
      <w:pPr>
        <w:tabs>
          <w:tab w:val="left" w:pos="540"/>
          <w:tab w:val="left" w:pos="569"/>
        </w:tabs>
        <w:jc w:val="both"/>
        <w:rPr>
          <w:bCs/>
          <w:sz w:val="22"/>
          <w:szCs w:val="22"/>
          <w:lang w:val="hr-HR"/>
        </w:rPr>
      </w:pPr>
      <w:r w:rsidRPr="009F025B">
        <w:rPr>
          <w:bCs/>
          <w:sz w:val="22"/>
          <w:szCs w:val="22"/>
          <w:lang w:val="hr-HR"/>
        </w:rPr>
        <w:t>Ukoliko se kod odraslih ovaj lijek treba primjenjivati du</w:t>
      </w:r>
      <w:r w:rsidR="00232AA2" w:rsidRPr="009F025B">
        <w:rPr>
          <w:bCs/>
          <w:sz w:val="22"/>
          <w:szCs w:val="22"/>
          <w:lang w:val="hr-HR"/>
        </w:rPr>
        <w:t>ž</w:t>
      </w:r>
      <w:r w:rsidRPr="009F025B">
        <w:rPr>
          <w:bCs/>
          <w:sz w:val="22"/>
          <w:szCs w:val="22"/>
          <w:lang w:val="hr-HR"/>
        </w:rPr>
        <w:t xml:space="preserve">e od 3 dana u slučaju </w:t>
      </w:r>
      <w:r w:rsidR="00232AA2" w:rsidRPr="009F025B">
        <w:rPr>
          <w:bCs/>
          <w:sz w:val="22"/>
          <w:szCs w:val="22"/>
          <w:lang w:val="hr-HR"/>
        </w:rPr>
        <w:t xml:space="preserve">groznice </w:t>
      </w:r>
      <w:r w:rsidRPr="009F025B">
        <w:rPr>
          <w:bCs/>
          <w:sz w:val="22"/>
          <w:szCs w:val="22"/>
          <w:lang w:val="hr-HR"/>
        </w:rPr>
        <w:t>ili du</w:t>
      </w:r>
      <w:r w:rsidR="00232AA2" w:rsidRPr="009F025B">
        <w:rPr>
          <w:bCs/>
          <w:sz w:val="22"/>
          <w:szCs w:val="22"/>
          <w:lang w:val="hr-HR"/>
        </w:rPr>
        <w:t>ž</w:t>
      </w:r>
      <w:r w:rsidRPr="009F025B">
        <w:rPr>
          <w:bCs/>
          <w:sz w:val="22"/>
          <w:szCs w:val="22"/>
          <w:lang w:val="hr-HR"/>
        </w:rPr>
        <w:t>e od 5 dana u slučaju bol</w:t>
      </w:r>
      <w:r w:rsidR="00F42384" w:rsidRPr="009F025B">
        <w:rPr>
          <w:bCs/>
          <w:sz w:val="22"/>
          <w:szCs w:val="22"/>
          <w:lang w:val="hr-HR"/>
        </w:rPr>
        <w:t>a</w:t>
      </w:r>
      <w:r w:rsidRPr="009F025B">
        <w:rPr>
          <w:bCs/>
          <w:sz w:val="22"/>
          <w:szCs w:val="22"/>
          <w:lang w:val="hr-HR"/>
        </w:rPr>
        <w:t xml:space="preserve"> bez </w:t>
      </w:r>
      <w:r w:rsidR="00F42384" w:rsidRPr="009F025B">
        <w:rPr>
          <w:bCs/>
          <w:sz w:val="22"/>
          <w:szCs w:val="22"/>
          <w:lang w:val="hr-HR"/>
        </w:rPr>
        <w:t xml:space="preserve">groznice </w:t>
      </w:r>
      <w:r w:rsidRPr="009F025B">
        <w:rPr>
          <w:bCs/>
          <w:sz w:val="22"/>
          <w:szCs w:val="22"/>
          <w:lang w:val="hr-HR"/>
        </w:rPr>
        <w:t>ili ukoliko se simptomi pogoršaju, potrebno je zatražiti savjet  l</w:t>
      </w:r>
      <w:r w:rsidR="00F91AAB" w:rsidRPr="009F025B">
        <w:rPr>
          <w:bCs/>
          <w:sz w:val="22"/>
          <w:szCs w:val="22"/>
          <w:lang w:val="hr-HR"/>
        </w:rPr>
        <w:t>jekara</w:t>
      </w:r>
      <w:r w:rsidRPr="009F025B">
        <w:rPr>
          <w:bCs/>
          <w:sz w:val="22"/>
          <w:szCs w:val="22"/>
          <w:lang w:val="hr-HR"/>
        </w:rPr>
        <w:t>.</w:t>
      </w:r>
    </w:p>
    <w:p w14:paraId="0CD4B34A" w14:textId="77777777" w:rsidR="00CC4D24" w:rsidRPr="009F025B" w:rsidRDefault="00CC4D24" w:rsidP="00577F77">
      <w:pPr>
        <w:tabs>
          <w:tab w:val="left" w:pos="540"/>
          <w:tab w:val="left" w:pos="569"/>
        </w:tabs>
        <w:jc w:val="both"/>
        <w:rPr>
          <w:bCs/>
          <w:sz w:val="22"/>
          <w:szCs w:val="22"/>
          <w:lang w:val="hr-HR"/>
        </w:rPr>
      </w:pPr>
    </w:p>
    <w:p w14:paraId="0AE7CA79" w14:textId="77777777" w:rsidR="00F36D8B" w:rsidRPr="009F025B" w:rsidRDefault="00F36D8B" w:rsidP="00577F77">
      <w:pPr>
        <w:jc w:val="both"/>
        <w:rPr>
          <w:i/>
          <w:iCs/>
          <w:sz w:val="22"/>
          <w:szCs w:val="22"/>
          <w:lang w:val="hr-HR"/>
        </w:rPr>
      </w:pPr>
      <w:r w:rsidRPr="009F025B">
        <w:rPr>
          <w:i/>
          <w:iCs/>
          <w:sz w:val="22"/>
          <w:szCs w:val="22"/>
          <w:lang w:val="hr-HR"/>
        </w:rPr>
        <w:t>Oštećenje jetre</w:t>
      </w:r>
    </w:p>
    <w:p w14:paraId="794F37BB" w14:textId="77777777" w:rsidR="00F36D8B" w:rsidRPr="009F025B" w:rsidRDefault="00F36D8B" w:rsidP="00577F77">
      <w:pPr>
        <w:tabs>
          <w:tab w:val="left" w:pos="540"/>
          <w:tab w:val="left" w:pos="569"/>
        </w:tabs>
        <w:jc w:val="both"/>
        <w:rPr>
          <w:bCs/>
          <w:sz w:val="22"/>
          <w:szCs w:val="22"/>
          <w:lang w:val="hr-HR"/>
        </w:rPr>
      </w:pPr>
      <w:r w:rsidRPr="009F025B">
        <w:rPr>
          <w:bCs/>
          <w:sz w:val="22"/>
          <w:szCs w:val="22"/>
          <w:lang w:val="hr-HR"/>
        </w:rPr>
        <w:t>Kod pacijenata sa blagim do umjerenim oštećenjem funkcije jetre preporučuje se smanjenje početne doze i držati pacijenta na najmanjoj efikasnoj dozi (vidjeti dio 4.4.). Kod pacijenata sa teškim oštećenjem funkcije jetre primjena ketoprofena je kontraindikovana (vidjeti dio 4.3.).</w:t>
      </w:r>
    </w:p>
    <w:p w14:paraId="6F19EE7A" w14:textId="77777777" w:rsidR="00F36D8B" w:rsidRPr="009F025B" w:rsidRDefault="00F36D8B" w:rsidP="00577F77">
      <w:pPr>
        <w:tabs>
          <w:tab w:val="left" w:pos="540"/>
          <w:tab w:val="left" w:pos="569"/>
        </w:tabs>
        <w:jc w:val="both"/>
        <w:rPr>
          <w:bCs/>
          <w:sz w:val="22"/>
          <w:szCs w:val="22"/>
          <w:lang w:val="hr-HR"/>
        </w:rPr>
      </w:pPr>
    </w:p>
    <w:p w14:paraId="50DEADBD" w14:textId="77777777" w:rsidR="00F36D8B" w:rsidRPr="009F025B" w:rsidRDefault="00F36D8B" w:rsidP="00577F77">
      <w:pPr>
        <w:tabs>
          <w:tab w:val="left" w:pos="540"/>
          <w:tab w:val="left" w:pos="569"/>
        </w:tabs>
        <w:jc w:val="both"/>
        <w:rPr>
          <w:bCs/>
          <w:i/>
          <w:sz w:val="22"/>
          <w:szCs w:val="22"/>
          <w:lang w:val="hr-HR"/>
        </w:rPr>
      </w:pPr>
      <w:r w:rsidRPr="009F025B">
        <w:rPr>
          <w:bCs/>
          <w:i/>
          <w:sz w:val="22"/>
          <w:szCs w:val="22"/>
          <w:lang w:val="hr-HR"/>
        </w:rPr>
        <w:t>Oštećenje bubrega</w:t>
      </w:r>
    </w:p>
    <w:p w14:paraId="09BC0966" w14:textId="77777777" w:rsidR="00F36D8B" w:rsidRPr="009F025B" w:rsidRDefault="00F36D8B" w:rsidP="00577F77">
      <w:pPr>
        <w:tabs>
          <w:tab w:val="left" w:pos="540"/>
          <w:tab w:val="left" w:pos="569"/>
        </w:tabs>
        <w:jc w:val="both"/>
        <w:rPr>
          <w:bCs/>
          <w:sz w:val="22"/>
          <w:szCs w:val="22"/>
          <w:lang w:val="hr-HR"/>
        </w:rPr>
      </w:pPr>
      <w:r w:rsidRPr="009F025B">
        <w:rPr>
          <w:bCs/>
          <w:sz w:val="22"/>
          <w:szCs w:val="22"/>
          <w:lang w:val="hr-HR"/>
        </w:rPr>
        <w:t>Kod pacijenata sa blagim do umjerenim oštećenjem funkcije bubrega preporučuje se smanjenje početne doze i održavanje terapije sa najmanjom efikasnom dozom. Individualno prilagođavanje doze trebalo bi razmotriti tek nakon uspostavljanja dobre podnošljivosti početne doze. Potrebno je pratiti funkciju bubrega (vidjeti dio 4.4.).</w:t>
      </w:r>
    </w:p>
    <w:p w14:paraId="0DC14A73" w14:textId="77777777" w:rsidR="00F36D8B" w:rsidRPr="009F025B" w:rsidRDefault="00F36D8B" w:rsidP="00577F77">
      <w:pPr>
        <w:tabs>
          <w:tab w:val="left" w:pos="540"/>
          <w:tab w:val="left" w:pos="569"/>
        </w:tabs>
        <w:jc w:val="both"/>
        <w:rPr>
          <w:bCs/>
          <w:sz w:val="22"/>
          <w:szCs w:val="22"/>
          <w:lang w:val="hr-HR"/>
        </w:rPr>
      </w:pPr>
      <w:r w:rsidRPr="009F025B">
        <w:rPr>
          <w:bCs/>
          <w:sz w:val="22"/>
          <w:szCs w:val="22"/>
          <w:lang w:val="hr-HR"/>
        </w:rPr>
        <w:t>Kod pacijenata sa teškim oštećenjem funkcije bubrega primjena ketoprofena je kontraindikovana (vidjeti dio 4.3.).</w:t>
      </w:r>
    </w:p>
    <w:p w14:paraId="4B51E0B0" w14:textId="77777777" w:rsidR="00F36D8B" w:rsidRPr="009F025B" w:rsidRDefault="00F36D8B" w:rsidP="00577F77">
      <w:pPr>
        <w:tabs>
          <w:tab w:val="left" w:pos="540"/>
          <w:tab w:val="left" w:pos="569"/>
        </w:tabs>
        <w:jc w:val="both"/>
        <w:rPr>
          <w:bCs/>
          <w:sz w:val="22"/>
          <w:szCs w:val="22"/>
          <w:u w:val="single"/>
          <w:lang w:val="hr-HR"/>
        </w:rPr>
      </w:pPr>
    </w:p>
    <w:p w14:paraId="1F25A1A5" w14:textId="77777777" w:rsidR="00F36D8B" w:rsidRPr="009F025B" w:rsidRDefault="00F36D8B" w:rsidP="00577F77">
      <w:pPr>
        <w:tabs>
          <w:tab w:val="left" w:pos="540"/>
          <w:tab w:val="left" w:pos="569"/>
        </w:tabs>
        <w:jc w:val="both"/>
        <w:rPr>
          <w:bCs/>
          <w:sz w:val="22"/>
          <w:szCs w:val="22"/>
          <w:u w:val="single"/>
          <w:lang w:val="hr-HR"/>
        </w:rPr>
      </w:pPr>
      <w:r w:rsidRPr="009F025B">
        <w:rPr>
          <w:bCs/>
          <w:sz w:val="22"/>
          <w:szCs w:val="22"/>
          <w:u w:val="single"/>
          <w:lang w:val="hr-HR"/>
        </w:rPr>
        <w:t>Način primjene</w:t>
      </w:r>
    </w:p>
    <w:p w14:paraId="01B70B64" w14:textId="77777777" w:rsidR="00F36D8B" w:rsidRPr="009F025B" w:rsidRDefault="00F36D8B" w:rsidP="00577F77">
      <w:pPr>
        <w:tabs>
          <w:tab w:val="left" w:pos="540"/>
          <w:tab w:val="left" w:pos="569"/>
        </w:tabs>
        <w:jc w:val="both"/>
        <w:rPr>
          <w:bCs/>
          <w:sz w:val="22"/>
          <w:szCs w:val="22"/>
          <w:u w:val="single"/>
          <w:lang w:val="hr-HR"/>
        </w:rPr>
      </w:pPr>
    </w:p>
    <w:p w14:paraId="663CA3A3" w14:textId="77777777" w:rsidR="00F36D8B" w:rsidRPr="009F025B" w:rsidRDefault="00F36D8B" w:rsidP="00577F77">
      <w:pPr>
        <w:tabs>
          <w:tab w:val="left" w:pos="540"/>
          <w:tab w:val="left" w:pos="569"/>
        </w:tabs>
        <w:jc w:val="both"/>
        <w:rPr>
          <w:bCs/>
          <w:sz w:val="22"/>
          <w:szCs w:val="22"/>
          <w:lang w:val="hr-HR"/>
        </w:rPr>
      </w:pPr>
      <w:r w:rsidRPr="009F025B">
        <w:rPr>
          <w:bCs/>
          <w:sz w:val="22"/>
          <w:szCs w:val="22"/>
          <w:lang w:val="hr-HR"/>
        </w:rPr>
        <w:t>Oralna primjena.</w:t>
      </w:r>
    </w:p>
    <w:p w14:paraId="40083437" w14:textId="77777777" w:rsidR="00DA0F68" w:rsidRPr="009F025B" w:rsidRDefault="00DA0F68" w:rsidP="00577F77">
      <w:pPr>
        <w:tabs>
          <w:tab w:val="left" w:pos="540"/>
          <w:tab w:val="left" w:pos="569"/>
        </w:tabs>
        <w:jc w:val="both"/>
        <w:rPr>
          <w:bCs/>
          <w:sz w:val="22"/>
          <w:szCs w:val="22"/>
          <w:lang w:val="hr-HR"/>
        </w:rPr>
      </w:pPr>
    </w:p>
    <w:p w14:paraId="0B58EEB7" w14:textId="3F611B34" w:rsidR="00DA0F68" w:rsidRPr="009F025B" w:rsidRDefault="00DA0F68" w:rsidP="00577F77">
      <w:pPr>
        <w:tabs>
          <w:tab w:val="left" w:pos="540"/>
          <w:tab w:val="left" w:pos="569"/>
        </w:tabs>
        <w:jc w:val="both"/>
        <w:rPr>
          <w:bCs/>
          <w:sz w:val="22"/>
          <w:szCs w:val="22"/>
          <w:lang w:val="hr-HR"/>
        </w:rPr>
      </w:pPr>
      <w:r w:rsidRPr="009F025B">
        <w:rPr>
          <w:bCs/>
          <w:sz w:val="22"/>
          <w:szCs w:val="22"/>
          <w:lang w:val="hr-HR"/>
        </w:rPr>
        <w:t>Otvaranjem kesice na mjestu označenom sa „pola doze“ dobija se doza od 25 mg ketoprofena (što odgovara 40 mg ketoprofenlizinata).</w:t>
      </w:r>
    </w:p>
    <w:p w14:paraId="3F5E99C8" w14:textId="77777777" w:rsidR="00F36D8B" w:rsidRPr="009F025B" w:rsidRDefault="00F36D8B" w:rsidP="00577F77">
      <w:pPr>
        <w:tabs>
          <w:tab w:val="left" w:pos="540"/>
          <w:tab w:val="left" w:pos="569"/>
        </w:tabs>
        <w:jc w:val="both"/>
        <w:rPr>
          <w:bCs/>
          <w:sz w:val="22"/>
          <w:szCs w:val="22"/>
          <w:lang w:val="hr-HR"/>
        </w:rPr>
      </w:pPr>
    </w:p>
    <w:p w14:paraId="2B3E57E9" w14:textId="06978BFB" w:rsidR="00F36D8B" w:rsidRPr="009F025B" w:rsidRDefault="00F36D8B" w:rsidP="00577F77">
      <w:pPr>
        <w:tabs>
          <w:tab w:val="left" w:pos="540"/>
          <w:tab w:val="left" w:pos="569"/>
        </w:tabs>
        <w:jc w:val="both"/>
        <w:rPr>
          <w:bCs/>
          <w:sz w:val="22"/>
          <w:szCs w:val="22"/>
          <w:lang w:val="hr-HR"/>
        </w:rPr>
      </w:pPr>
      <w:r w:rsidRPr="009F025B">
        <w:rPr>
          <w:bCs/>
          <w:sz w:val="22"/>
          <w:szCs w:val="22"/>
          <w:lang w:val="hr-HR"/>
        </w:rPr>
        <w:t>Otvaranjem kesice na mjestu označenom sa „puna doza</w:t>
      </w:r>
      <w:r w:rsidR="00DA0F68" w:rsidRPr="009F025B">
        <w:rPr>
          <w:bCs/>
          <w:sz w:val="22"/>
          <w:szCs w:val="22"/>
          <w:lang w:val="hr-HR"/>
        </w:rPr>
        <w:t>“</w:t>
      </w:r>
      <w:r w:rsidRPr="009F025B">
        <w:rPr>
          <w:bCs/>
          <w:sz w:val="22"/>
          <w:szCs w:val="22"/>
          <w:lang w:val="hr-HR"/>
        </w:rPr>
        <w:t xml:space="preserve"> dobija se doza od 50 mg ketoprofena (što odgovara 80 mg ketoprofenlizinata).</w:t>
      </w:r>
    </w:p>
    <w:p w14:paraId="728624C5" w14:textId="48DD7305" w:rsidR="00097F16" w:rsidRPr="009F025B" w:rsidRDefault="00F36D8B" w:rsidP="00577F77">
      <w:pPr>
        <w:tabs>
          <w:tab w:val="left" w:pos="540"/>
          <w:tab w:val="left" w:pos="569"/>
        </w:tabs>
        <w:jc w:val="both"/>
        <w:rPr>
          <w:bCs/>
          <w:sz w:val="22"/>
          <w:szCs w:val="22"/>
          <w:lang w:val="hr-HR"/>
        </w:rPr>
      </w:pPr>
      <w:r w:rsidRPr="009F025B">
        <w:rPr>
          <w:bCs/>
          <w:sz w:val="22"/>
          <w:szCs w:val="22"/>
          <w:lang w:val="hr-HR"/>
        </w:rPr>
        <w:t>Za pripremu oralnog rastvora, molim</w:t>
      </w:r>
      <w:r w:rsidR="00097F16" w:rsidRPr="009F025B">
        <w:rPr>
          <w:bCs/>
          <w:sz w:val="22"/>
          <w:szCs w:val="22"/>
          <w:lang w:val="hr-HR"/>
        </w:rPr>
        <w:t>o</w:t>
      </w:r>
      <w:r w:rsidRPr="009F025B">
        <w:rPr>
          <w:bCs/>
          <w:sz w:val="22"/>
          <w:szCs w:val="22"/>
          <w:lang w:val="hr-HR"/>
        </w:rPr>
        <w:t xml:space="preserve"> pogledajte dio 6.6. </w:t>
      </w:r>
      <w:r w:rsidR="00625A48" w:rsidRPr="009F025B">
        <w:rPr>
          <w:bCs/>
          <w:sz w:val="22"/>
          <w:szCs w:val="22"/>
          <w:lang w:val="hr-HR"/>
        </w:rPr>
        <w:t>R</w:t>
      </w:r>
      <w:r w:rsidRPr="009F025B">
        <w:rPr>
          <w:bCs/>
          <w:sz w:val="22"/>
          <w:szCs w:val="22"/>
          <w:lang w:val="hr-HR"/>
        </w:rPr>
        <w:t xml:space="preserve">astvor se mora uzeti </w:t>
      </w:r>
      <w:r w:rsidR="009F39A0" w:rsidRPr="009F025B">
        <w:rPr>
          <w:bCs/>
          <w:sz w:val="22"/>
          <w:szCs w:val="22"/>
          <w:lang w:val="hr-HR"/>
        </w:rPr>
        <w:t>sa</w:t>
      </w:r>
      <w:r w:rsidRPr="009F025B">
        <w:rPr>
          <w:bCs/>
          <w:sz w:val="22"/>
          <w:szCs w:val="22"/>
          <w:lang w:val="hr-HR"/>
        </w:rPr>
        <w:t xml:space="preserve"> hran</w:t>
      </w:r>
      <w:r w:rsidR="00355F5E" w:rsidRPr="009F025B">
        <w:rPr>
          <w:bCs/>
          <w:sz w:val="22"/>
          <w:szCs w:val="22"/>
          <w:lang w:val="hr-HR"/>
        </w:rPr>
        <w:t>om</w:t>
      </w:r>
      <w:r w:rsidRPr="009F025B">
        <w:rPr>
          <w:bCs/>
          <w:sz w:val="22"/>
          <w:szCs w:val="22"/>
          <w:lang w:val="hr-HR"/>
        </w:rPr>
        <w:t>.</w:t>
      </w:r>
    </w:p>
    <w:p w14:paraId="359AF6AE" w14:textId="77777777" w:rsidR="00452E9D" w:rsidRPr="009F025B" w:rsidRDefault="00452E9D" w:rsidP="00577F77">
      <w:pPr>
        <w:tabs>
          <w:tab w:val="left" w:pos="540"/>
          <w:tab w:val="left" w:pos="569"/>
        </w:tabs>
        <w:jc w:val="both"/>
        <w:rPr>
          <w:bCs/>
          <w:sz w:val="22"/>
          <w:szCs w:val="22"/>
          <w:lang w:val="hr-HR"/>
        </w:rPr>
      </w:pPr>
    </w:p>
    <w:p w14:paraId="1504B967" w14:textId="5226794E" w:rsidR="00DA0F68" w:rsidRPr="009F025B" w:rsidRDefault="00411B4B" w:rsidP="00577F77">
      <w:pPr>
        <w:tabs>
          <w:tab w:val="left" w:pos="540"/>
          <w:tab w:val="left" w:pos="569"/>
        </w:tabs>
        <w:jc w:val="both"/>
        <w:rPr>
          <w:b/>
          <w:bCs/>
          <w:sz w:val="22"/>
          <w:szCs w:val="22"/>
          <w:lang w:val="de-DE"/>
        </w:rPr>
      </w:pPr>
      <w:r w:rsidRPr="009F025B">
        <w:rPr>
          <w:b/>
          <w:bCs/>
          <w:sz w:val="22"/>
          <w:szCs w:val="22"/>
          <w:lang w:val="de-DE"/>
        </w:rPr>
        <w:t xml:space="preserve">4.3. </w:t>
      </w:r>
      <w:r w:rsidR="00480FB1" w:rsidRPr="009F025B">
        <w:rPr>
          <w:b/>
          <w:bCs/>
          <w:sz w:val="22"/>
          <w:szCs w:val="22"/>
          <w:lang w:val="de-DE"/>
        </w:rPr>
        <w:tab/>
      </w:r>
      <w:r w:rsidRPr="009F025B">
        <w:rPr>
          <w:b/>
          <w:bCs/>
          <w:sz w:val="22"/>
          <w:szCs w:val="22"/>
          <w:lang w:val="de-DE"/>
        </w:rPr>
        <w:t>Kontraindikacije</w:t>
      </w:r>
    </w:p>
    <w:p w14:paraId="12FF15CA" w14:textId="19B91F34" w:rsidR="00A77838" w:rsidRPr="009F025B" w:rsidRDefault="00A77838" w:rsidP="00577F77">
      <w:pPr>
        <w:pStyle w:val="ListParagraph"/>
        <w:numPr>
          <w:ilvl w:val="0"/>
          <w:numId w:val="19"/>
        </w:numPr>
        <w:jc w:val="both"/>
        <w:rPr>
          <w:sz w:val="22"/>
          <w:szCs w:val="22"/>
          <w:lang w:val="hr-HR"/>
        </w:rPr>
      </w:pPr>
      <w:r w:rsidRPr="009F025B">
        <w:rPr>
          <w:sz w:val="22"/>
          <w:szCs w:val="22"/>
          <w:lang w:val="hr-HR"/>
        </w:rPr>
        <w:t>preosjetljivost na</w:t>
      </w:r>
      <w:r w:rsidR="00C7647C" w:rsidRPr="009F025B">
        <w:rPr>
          <w:sz w:val="22"/>
          <w:szCs w:val="22"/>
          <w:lang w:val="hr-HR"/>
        </w:rPr>
        <w:t xml:space="preserve"> </w:t>
      </w:r>
      <w:r w:rsidRPr="009F025B">
        <w:rPr>
          <w:sz w:val="22"/>
          <w:szCs w:val="22"/>
          <w:lang w:val="hr-HR"/>
        </w:rPr>
        <w:t>aktivnu supstancu, na acetilsalicilnu kiselinu ili bilo koji drugi nesteroidni antiinflamatorni lijek (NSAIL) ili na neku od pomoćnih supstanci navedenih u dijelu 6.1</w:t>
      </w:r>
      <w:r w:rsidR="004152E1" w:rsidRPr="009F025B">
        <w:rPr>
          <w:sz w:val="22"/>
          <w:szCs w:val="22"/>
          <w:lang w:val="hr-HR"/>
        </w:rPr>
        <w:t xml:space="preserve">. </w:t>
      </w:r>
      <w:r w:rsidRPr="009F025B">
        <w:rPr>
          <w:sz w:val="22"/>
          <w:szCs w:val="22"/>
          <w:lang w:val="hr-HR"/>
        </w:rPr>
        <w:t>To uključuje reakcije preosjetljivosti u istoriji bolesti kao što su bronhospazam, napadi astme, rinitis, urtikarija ili druge reakcije alergijskog tipa na ketoprofen, acetilsalicilnu kiselinu ili neki drugi nesteroidni antiinflamatorni lijek (NSAIL).</w:t>
      </w:r>
      <w:r w:rsidR="004152E1" w:rsidRPr="009F025B">
        <w:rPr>
          <w:sz w:val="22"/>
          <w:szCs w:val="22"/>
          <w:lang w:val="hr-HR"/>
        </w:rPr>
        <w:t xml:space="preserve"> </w:t>
      </w:r>
      <w:r w:rsidRPr="009F025B">
        <w:rPr>
          <w:sz w:val="22"/>
          <w:szCs w:val="22"/>
          <w:lang w:val="hr-HR"/>
        </w:rPr>
        <w:t>Kod takvih pacijenata su zabilježene teške, rijetko smrtonosne anafilaktičke reakcije (vidjeti dio</w:t>
      </w:r>
      <w:r w:rsidR="00D4355E" w:rsidRPr="009F025B">
        <w:rPr>
          <w:sz w:val="22"/>
          <w:szCs w:val="22"/>
          <w:lang w:val="hr-HR"/>
        </w:rPr>
        <w:t xml:space="preserve"> </w:t>
      </w:r>
      <w:r w:rsidRPr="009F025B">
        <w:rPr>
          <w:sz w:val="22"/>
          <w:szCs w:val="22"/>
          <w:lang w:val="hr-HR"/>
        </w:rPr>
        <w:t>4.8).</w:t>
      </w:r>
    </w:p>
    <w:p w14:paraId="5EF3B009" w14:textId="59CF9AE1" w:rsidR="00A77838" w:rsidRPr="009F025B" w:rsidRDefault="00A77838" w:rsidP="00577F77">
      <w:pPr>
        <w:pStyle w:val="ListParagraph"/>
        <w:numPr>
          <w:ilvl w:val="0"/>
          <w:numId w:val="19"/>
        </w:numPr>
        <w:jc w:val="both"/>
        <w:rPr>
          <w:sz w:val="22"/>
          <w:szCs w:val="22"/>
          <w:lang w:val="hr-HR"/>
        </w:rPr>
      </w:pPr>
      <w:r w:rsidRPr="009F025B">
        <w:rPr>
          <w:sz w:val="22"/>
          <w:szCs w:val="22"/>
          <w:lang w:val="hr-HR"/>
        </w:rPr>
        <w:t>bronhijalna astma u anamnezi</w:t>
      </w:r>
    </w:p>
    <w:p w14:paraId="543E363E" w14:textId="303F062E" w:rsidR="00A77838" w:rsidRPr="009F025B" w:rsidRDefault="00A77838" w:rsidP="00577F77">
      <w:pPr>
        <w:pStyle w:val="ListParagraph"/>
        <w:numPr>
          <w:ilvl w:val="0"/>
          <w:numId w:val="19"/>
        </w:numPr>
        <w:jc w:val="both"/>
        <w:rPr>
          <w:sz w:val="22"/>
          <w:szCs w:val="22"/>
          <w:lang w:val="hr-HR"/>
        </w:rPr>
      </w:pPr>
      <w:r w:rsidRPr="009F025B">
        <w:rPr>
          <w:sz w:val="22"/>
          <w:szCs w:val="22"/>
          <w:lang w:val="hr-HR"/>
        </w:rPr>
        <w:t>aktivni peptički ulkus ili gastrointestinalno krvarenje, ulceracije ili perforacije u</w:t>
      </w:r>
      <w:r w:rsidR="00C7647C" w:rsidRPr="009F025B">
        <w:rPr>
          <w:sz w:val="22"/>
          <w:szCs w:val="22"/>
          <w:lang w:val="hr-HR"/>
        </w:rPr>
        <w:t xml:space="preserve"> </w:t>
      </w:r>
      <w:r w:rsidRPr="009F025B">
        <w:rPr>
          <w:sz w:val="22"/>
          <w:szCs w:val="22"/>
          <w:lang w:val="hr-HR"/>
        </w:rPr>
        <w:t>gastrointestinalnom sistemu bilo kada u anamnezi</w:t>
      </w:r>
    </w:p>
    <w:p w14:paraId="71B3D8EA" w14:textId="54BDCA26" w:rsidR="00A77838" w:rsidRPr="009F025B" w:rsidRDefault="00A77838" w:rsidP="00577F77">
      <w:pPr>
        <w:pStyle w:val="ListParagraph"/>
        <w:numPr>
          <w:ilvl w:val="0"/>
          <w:numId w:val="19"/>
        </w:numPr>
        <w:jc w:val="both"/>
        <w:rPr>
          <w:sz w:val="22"/>
          <w:szCs w:val="22"/>
          <w:lang w:val="hr-HR"/>
        </w:rPr>
      </w:pPr>
      <w:r w:rsidRPr="009F025B">
        <w:rPr>
          <w:sz w:val="22"/>
          <w:szCs w:val="22"/>
          <w:lang w:val="hr-HR"/>
        </w:rPr>
        <w:t>Kronova bolest ili ulcerozni kolitis</w:t>
      </w:r>
    </w:p>
    <w:p w14:paraId="1B957488" w14:textId="0B585D72" w:rsidR="00A77838" w:rsidRPr="009F025B" w:rsidRDefault="003C43C2" w:rsidP="00577F77">
      <w:pPr>
        <w:pStyle w:val="ListParagraph"/>
        <w:numPr>
          <w:ilvl w:val="0"/>
          <w:numId w:val="19"/>
        </w:numPr>
        <w:jc w:val="both"/>
        <w:rPr>
          <w:sz w:val="22"/>
          <w:szCs w:val="22"/>
          <w:lang w:val="hr-HR"/>
        </w:rPr>
      </w:pPr>
      <w:r w:rsidRPr="009F025B">
        <w:rPr>
          <w:sz w:val="22"/>
          <w:szCs w:val="22"/>
          <w:lang w:val="hr-HR"/>
        </w:rPr>
        <w:t>t</w:t>
      </w:r>
      <w:r w:rsidR="00A77838" w:rsidRPr="009F025B">
        <w:rPr>
          <w:sz w:val="22"/>
          <w:szCs w:val="22"/>
          <w:lang w:val="hr-HR"/>
        </w:rPr>
        <w:t>eška srčana insuficijencija</w:t>
      </w:r>
    </w:p>
    <w:p w14:paraId="4FA4520F" w14:textId="2D9467DF" w:rsidR="00A77838" w:rsidRPr="009F025B" w:rsidRDefault="00A77838" w:rsidP="00577F77">
      <w:pPr>
        <w:pStyle w:val="ListParagraph"/>
        <w:numPr>
          <w:ilvl w:val="0"/>
          <w:numId w:val="19"/>
        </w:numPr>
        <w:jc w:val="both"/>
        <w:rPr>
          <w:sz w:val="22"/>
          <w:szCs w:val="22"/>
          <w:lang w:val="hr-HR"/>
        </w:rPr>
      </w:pPr>
      <w:r w:rsidRPr="009F025B">
        <w:rPr>
          <w:sz w:val="22"/>
          <w:szCs w:val="22"/>
          <w:lang w:val="hr-HR"/>
        </w:rPr>
        <w:t>teška insuficijencija jetre</w:t>
      </w:r>
    </w:p>
    <w:p w14:paraId="6DECDC51" w14:textId="249A77CF" w:rsidR="00A77838" w:rsidRPr="009F025B" w:rsidRDefault="00A77838" w:rsidP="00577F77">
      <w:pPr>
        <w:pStyle w:val="ListParagraph"/>
        <w:numPr>
          <w:ilvl w:val="0"/>
          <w:numId w:val="19"/>
        </w:numPr>
        <w:jc w:val="both"/>
        <w:rPr>
          <w:sz w:val="22"/>
          <w:szCs w:val="22"/>
          <w:lang w:val="hr-HR"/>
        </w:rPr>
      </w:pPr>
      <w:r w:rsidRPr="009F025B">
        <w:rPr>
          <w:sz w:val="22"/>
          <w:szCs w:val="22"/>
          <w:lang w:val="hr-HR"/>
        </w:rPr>
        <w:t>teška insuficijencija bubrega</w:t>
      </w:r>
    </w:p>
    <w:p w14:paraId="32CD0B95" w14:textId="57EF6414" w:rsidR="00A77838" w:rsidRPr="009F025B" w:rsidRDefault="00A77838" w:rsidP="00577F77">
      <w:pPr>
        <w:pStyle w:val="ListParagraph"/>
        <w:numPr>
          <w:ilvl w:val="0"/>
          <w:numId w:val="19"/>
        </w:numPr>
        <w:jc w:val="both"/>
        <w:rPr>
          <w:sz w:val="22"/>
          <w:szCs w:val="22"/>
          <w:lang w:val="hr-HR"/>
        </w:rPr>
      </w:pPr>
      <w:r w:rsidRPr="009F025B">
        <w:rPr>
          <w:sz w:val="22"/>
          <w:szCs w:val="22"/>
          <w:lang w:val="hr-HR"/>
        </w:rPr>
        <w:t>hemoragijska dijateza</w:t>
      </w:r>
    </w:p>
    <w:p w14:paraId="70DA2EB1" w14:textId="6FECB894" w:rsidR="00D90464" w:rsidRPr="009F025B" w:rsidRDefault="00A77838" w:rsidP="00577F77">
      <w:pPr>
        <w:pStyle w:val="ListParagraph"/>
        <w:numPr>
          <w:ilvl w:val="0"/>
          <w:numId w:val="19"/>
        </w:numPr>
        <w:jc w:val="both"/>
        <w:rPr>
          <w:sz w:val="22"/>
          <w:szCs w:val="22"/>
          <w:lang w:val="hr-HR"/>
        </w:rPr>
      </w:pPr>
      <w:r w:rsidRPr="009F025B">
        <w:rPr>
          <w:sz w:val="22"/>
          <w:szCs w:val="22"/>
          <w:lang w:val="hr-HR"/>
        </w:rPr>
        <w:t>t</w:t>
      </w:r>
      <w:r w:rsidR="004153C5" w:rsidRPr="009F025B">
        <w:rPr>
          <w:sz w:val="22"/>
          <w:szCs w:val="22"/>
          <w:lang w:val="hr-HR"/>
        </w:rPr>
        <w:t>o</w:t>
      </w:r>
      <w:r w:rsidRPr="009F025B">
        <w:rPr>
          <w:sz w:val="22"/>
          <w:szCs w:val="22"/>
          <w:lang w:val="hr-HR"/>
        </w:rPr>
        <w:t>kom trećeg trimestra trudnoće.</w:t>
      </w:r>
    </w:p>
    <w:p w14:paraId="540EFBCA" w14:textId="77777777" w:rsidR="00D90464" w:rsidRPr="009F025B" w:rsidRDefault="00D90464" w:rsidP="00577F77">
      <w:pPr>
        <w:tabs>
          <w:tab w:val="left" w:pos="540"/>
          <w:tab w:val="left" w:pos="569"/>
        </w:tabs>
        <w:jc w:val="both"/>
        <w:rPr>
          <w:bCs/>
          <w:sz w:val="22"/>
          <w:szCs w:val="22"/>
          <w:lang w:val="de-DE"/>
        </w:rPr>
      </w:pPr>
    </w:p>
    <w:p w14:paraId="6AFE3D05" w14:textId="3918AD91" w:rsidR="00DD7163" w:rsidRPr="009F025B" w:rsidRDefault="00DD7163" w:rsidP="00577F77">
      <w:pPr>
        <w:tabs>
          <w:tab w:val="left" w:pos="540"/>
          <w:tab w:val="left" w:pos="569"/>
        </w:tabs>
        <w:jc w:val="both"/>
        <w:rPr>
          <w:sz w:val="22"/>
          <w:szCs w:val="22"/>
          <w:lang w:val="hr-HR"/>
        </w:rPr>
      </w:pPr>
      <w:r w:rsidRPr="009F025B">
        <w:rPr>
          <w:sz w:val="22"/>
          <w:szCs w:val="22"/>
          <w:lang w:val="hr-HR"/>
        </w:rPr>
        <w:t xml:space="preserve">Ketoprofen se ne smije primjenjivati </w:t>
      </w:r>
      <w:r w:rsidR="00EC7B1F" w:rsidRPr="009F025B">
        <w:rPr>
          <w:sz w:val="22"/>
          <w:szCs w:val="22"/>
          <w:lang w:val="hr-HR"/>
        </w:rPr>
        <w:t xml:space="preserve">kod pacijenata </w:t>
      </w:r>
      <w:r w:rsidRPr="009F025B">
        <w:rPr>
          <w:sz w:val="22"/>
          <w:szCs w:val="22"/>
          <w:lang w:val="hr-HR"/>
        </w:rPr>
        <w:t>s</w:t>
      </w:r>
      <w:r w:rsidR="00EC7B1F" w:rsidRPr="009F025B">
        <w:rPr>
          <w:sz w:val="22"/>
          <w:szCs w:val="22"/>
          <w:lang w:val="hr-HR"/>
        </w:rPr>
        <w:t>a</w:t>
      </w:r>
      <w:r w:rsidRPr="009F025B">
        <w:rPr>
          <w:sz w:val="22"/>
          <w:szCs w:val="22"/>
          <w:lang w:val="hr-HR"/>
        </w:rPr>
        <w:t xml:space="preserve"> povećanim gastrointestinalnim rizikom kao što su stariji </w:t>
      </w:r>
      <w:r w:rsidR="00A56DC2" w:rsidRPr="009F025B">
        <w:rPr>
          <w:sz w:val="22"/>
          <w:szCs w:val="22"/>
          <w:lang w:val="hr-HR"/>
        </w:rPr>
        <w:t>pacijenti</w:t>
      </w:r>
      <w:r w:rsidRPr="009F025B">
        <w:rPr>
          <w:sz w:val="22"/>
          <w:szCs w:val="22"/>
          <w:lang w:val="hr-HR"/>
        </w:rPr>
        <w:t xml:space="preserve">, </w:t>
      </w:r>
      <w:r w:rsidR="00A56DC2" w:rsidRPr="009F025B">
        <w:rPr>
          <w:sz w:val="22"/>
          <w:szCs w:val="22"/>
          <w:lang w:val="hr-HR"/>
        </w:rPr>
        <w:t>pacijenti</w:t>
      </w:r>
      <w:r w:rsidRPr="009F025B">
        <w:rPr>
          <w:sz w:val="22"/>
          <w:szCs w:val="22"/>
          <w:lang w:val="hr-HR"/>
        </w:rPr>
        <w:t xml:space="preserve"> koji primaju antikoagulanse, antitrombotike, kortikosteroide, druge nesteroidne </w:t>
      </w:r>
      <w:r w:rsidR="00665E82" w:rsidRPr="009F025B">
        <w:rPr>
          <w:sz w:val="22"/>
          <w:szCs w:val="22"/>
          <w:lang w:val="hr-HR"/>
        </w:rPr>
        <w:t xml:space="preserve">antiinflamatorne </w:t>
      </w:r>
      <w:r w:rsidRPr="009F025B">
        <w:rPr>
          <w:sz w:val="22"/>
          <w:szCs w:val="22"/>
          <w:lang w:val="hr-HR"/>
        </w:rPr>
        <w:t>ljekove (NSAIL) ili selektivne inhibitore ponovn</w:t>
      </w:r>
      <w:r w:rsidR="006750AF" w:rsidRPr="009F025B">
        <w:rPr>
          <w:sz w:val="22"/>
          <w:szCs w:val="22"/>
          <w:lang w:val="hr-HR"/>
        </w:rPr>
        <w:t>og preuzimanja</w:t>
      </w:r>
      <w:r w:rsidRPr="009F025B">
        <w:rPr>
          <w:sz w:val="22"/>
          <w:szCs w:val="22"/>
          <w:lang w:val="hr-HR"/>
        </w:rPr>
        <w:t xml:space="preserve"> serotonina (SSRI) (vidjeti takođe dio 4.4.)</w:t>
      </w:r>
      <w:r w:rsidR="00577F77">
        <w:rPr>
          <w:sz w:val="22"/>
          <w:szCs w:val="22"/>
          <w:lang w:val="hr-HR"/>
        </w:rPr>
        <w:t>.</w:t>
      </w:r>
    </w:p>
    <w:p w14:paraId="2D258554" w14:textId="77777777" w:rsidR="00DD7163" w:rsidRPr="009F025B" w:rsidRDefault="00DD7163" w:rsidP="00577F77">
      <w:pPr>
        <w:tabs>
          <w:tab w:val="left" w:pos="540"/>
          <w:tab w:val="left" w:pos="569"/>
        </w:tabs>
        <w:jc w:val="both"/>
        <w:rPr>
          <w:b/>
          <w:bCs/>
          <w:sz w:val="22"/>
          <w:szCs w:val="22"/>
          <w:lang w:val="de-DE"/>
        </w:rPr>
      </w:pPr>
    </w:p>
    <w:p w14:paraId="3B353D03" w14:textId="3677CDF8" w:rsidR="00411B4B" w:rsidRPr="009F025B" w:rsidRDefault="00411B4B" w:rsidP="00577F77">
      <w:pPr>
        <w:tabs>
          <w:tab w:val="left" w:pos="540"/>
          <w:tab w:val="left" w:pos="569"/>
        </w:tabs>
        <w:jc w:val="both"/>
        <w:rPr>
          <w:b/>
          <w:bCs/>
          <w:sz w:val="22"/>
          <w:szCs w:val="22"/>
          <w:lang w:val="de-DE"/>
        </w:rPr>
      </w:pPr>
      <w:r w:rsidRPr="009F025B">
        <w:rPr>
          <w:b/>
          <w:bCs/>
          <w:sz w:val="22"/>
          <w:szCs w:val="22"/>
          <w:lang w:val="de-DE"/>
        </w:rPr>
        <w:t xml:space="preserve">4.4. </w:t>
      </w:r>
      <w:r w:rsidR="00480FB1" w:rsidRPr="009F025B">
        <w:rPr>
          <w:b/>
          <w:bCs/>
          <w:sz w:val="22"/>
          <w:szCs w:val="22"/>
          <w:lang w:val="de-DE"/>
        </w:rPr>
        <w:tab/>
      </w:r>
      <w:r w:rsidRPr="009F025B">
        <w:rPr>
          <w:b/>
          <w:bCs/>
          <w:sz w:val="22"/>
          <w:szCs w:val="22"/>
          <w:lang w:val="de-DE"/>
        </w:rPr>
        <w:t>Posebna upozorenja i mjere opreza pri upotrebi lijeka</w:t>
      </w:r>
    </w:p>
    <w:p w14:paraId="0472799B" w14:textId="2E97FE21" w:rsidR="0072020E" w:rsidRPr="009F025B" w:rsidRDefault="0072020E" w:rsidP="00577F77">
      <w:pPr>
        <w:tabs>
          <w:tab w:val="left" w:pos="540"/>
          <w:tab w:val="left" w:pos="569"/>
        </w:tabs>
        <w:jc w:val="both"/>
        <w:rPr>
          <w:bCs/>
          <w:sz w:val="22"/>
          <w:szCs w:val="22"/>
          <w:lang w:val="de-DE"/>
        </w:rPr>
      </w:pPr>
    </w:p>
    <w:p w14:paraId="18671962" w14:textId="77777777" w:rsidR="003755E3" w:rsidRPr="009F025B" w:rsidRDefault="003755E3" w:rsidP="00577F77">
      <w:pPr>
        <w:tabs>
          <w:tab w:val="left" w:pos="540"/>
          <w:tab w:val="left" w:pos="569"/>
        </w:tabs>
        <w:jc w:val="both"/>
        <w:rPr>
          <w:b/>
          <w:bCs/>
          <w:sz w:val="22"/>
          <w:szCs w:val="22"/>
          <w:lang w:val="hr-HR"/>
        </w:rPr>
      </w:pPr>
      <w:r w:rsidRPr="009F025B">
        <w:rPr>
          <w:b/>
          <w:bCs/>
          <w:sz w:val="22"/>
          <w:szCs w:val="22"/>
          <w:lang w:val="hr-HR"/>
        </w:rPr>
        <w:t>Upozorenja</w:t>
      </w:r>
    </w:p>
    <w:p w14:paraId="464593E0"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Neželjena dejstva se mogu umanjiti primjenom najmanje efikasne doze kroz najkraće moguće vrijeme potrebno za kontrolu simptoma. (vidjeti dio 4.2. kao i djelove o gastrointestinalnim i kardiovaskularnim rizicima u nastavku).</w:t>
      </w:r>
    </w:p>
    <w:p w14:paraId="7646D8F4" w14:textId="77777777" w:rsidR="003755E3" w:rsidRPr="009F025B" w:rsidRDefault="003755E3" w:rsidP="00577F77">
      <w:pPr>
        <w:tabs>
          <w:tab w:val="left" w:pos="540"/>
          <w:tab w:val="left" w:pos="569"/>
        </w:tabs>
        <w:jc w:val="both"/>
        <w:rPr>
          <w:sz w:val="22"/>
          <w:szCs w:val="22"/>
          <w:lang w:val="hr-HR"/>
        </w:rPr>
      </w:pPr>
    </w:p>
    <w:p w14:paraId="16FE0E04"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Mora se izbjegavati istovremena primjena ketoprofena i drugih NSAIL, uključujući i selektivne inhibitore ciklooksigenaze-2.</w:t>
      </w:r>
    </w:p>
    <w:p w14:paraId="2B6C6F38" w14:textId="77777777" w:rsidR="003755E3" w:rsidRPr="009F025B" w:rsidRDefault="003755E3" w:rsidP="00577F77">
      <w:pPr>
        <w:tabs>
          <w:tab w:val="left" w:pos="540"/>
          <w:tab w:val="left" w:pos="569"/>
        </w:tabs>
        <w:jc w:val="both"/>
        <w:rPr>
          <w:sz w:val="22"/>
          <w:szCs w:val="22"/>
          <w:lang w:val="hr-HR"/>
        </w:rPr>
      </w:pPr>
    </w:p>
    <w:p w14:paraId="79F380EC" w14:textId="290888FE" w:rsidR="003755E3" w:rsidRPr="009F025B" w:rsidRDefault="003755E3" w:rsidP="00577F77">
      <w:pPr>
        <w:tabs>
          <w:tab w:val="left" w:pos="540"/>
          <w:tab w:val="left" w:pos="569"/>
        </w:tabs>
        <w:jc w:val="both"/>
        <w:rPr>
          <w:sz w:val="22"/>
          <w:szCs w:val="22"/>
          <w:lang w:val="hr-HR"/>
        </w:rPr>
      </w:pPr>
      <w:r w:rsidRPr="009F025B">
        <w:rPr>
          <w:i/>
          <w:sz w:val="22"/>
          <w:szCs w:val="22"/>
          <w:lang w:val="hr-HR"/>
        </w:rPr>
        <w:t xml:space="preserve">Gastrointestinalna (GI) krvarenja, ulceracije i perforacije: </w:t>
      </w:r>
      <w:r w:rsidRPr="009F025B">
        <w:rPr>
          <w:sz w:val="22"/>
          <w:szCs w:val="22"/>
          <w:lang w:val="hr-HR"/>
        </w:rPr>
        <w:t xml:space="preserve">gastrointestinalna krvarenja, ulceracije ili perforacije u gastrointestinalnom sistemu koje mogu imati i smrtni ishod prijavljeni su kod svih NSAIL-a u bilo koje vrijeme </w:t>
      </w:r>
      <w:r w:rsidR="00921CBE" w:rsidRPr="009F025B">
        <w:rPr>
          <w:sz w:val="22"/>
          <w:szCs w:val="22"/>
          <w:lang w:val="hr-HR"/>
        </w:rPr>
        <w:t xml:space="preserve">tokom </w:t>
      </w:r>
      <w:r w:rsidRPr="009F025B">
        <w:rPr>
          <w:sz w:val="22"/>
          <w:szCs w:val="22"/>
          <w:lang w:val="hr-HR"/>
        </w:rPr>
        <w:t>liječenja, sa ili bez upozoravajućih simptoma  ili  ozbiljnih gastrointestinalnih događaja u prethodnoj anamnezi.</w:t>
      </w:r>
    </w:p>
    <w:p w14:paraId="0DA5C5D0" w14:textId="77777777" w:rsidR="003755E3" w:rsidRPr="009F025B" w:rsidRDefault="003755E3" w:rsidP="00577F77">
      <w:pPr>
        <w:tabs>
          <w:tab w:val="left" w:pos="540"/>
          <w:tab w:val="left" w:pos="569"/>
        </w:tabs>
        <w:jc w:val="both"/>
        <w:rPr>
          <w:sz w:val="22"/>
          <w:szCs w:val="22"/>
          <w:lang w:val="hr-HR"/>
        </w:rPr>
      </w:pPr>
    </w:p>
    <w:p w14:paraId="2BA27B94"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Određeni epidemiološki podaci sugerišu da ketoprofen može biti povezan s visokim rizikom od ozbiljne gastrointestinalne toksičnosti, u odnosu na pojedine druge NSAIL-e, naročito u visokim dozama (vidjeti dio 4.3.).</w:t>
      </w:r>
    </w:p>
    <w:p w14:paraId="136BAD64" w14:textId="77777777" w:rsidR="003755E3" w:rsidRPr="009F025B" w:rsidRDefault="003755E3" w:rsidP="00577F77">
      <w:pPr>
        <w:tabs>
          <w:tab w:val="left" w:pos="540"/>
          <w:tab w:val="left" w:pos="569"/>
        </w:tabs>
        <w:jc w:val="both"/>
        <w:rPr>
          <w:sz w:val="22"/>
          <w:szCs w:val="22"/>
          <w:lang w:val="hr-HR"/>
        </w:rPr>
      </w:pPr>
    </w:p>
    <w:p w14:paraId="24E799E4"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Oprez je potreban kod pacijenata koji istovremeno primaju ljekove koji mogu povećati rizik od nastanka ulkusa ili krvarenja, kao što su oralni kortikosteroidi, antikoagulansi (npr. varfarin), selektivni inhibitori ponovnog preuzimanja serotonina (SSRI) ili antitrombotici kao što je acetilsalicilna kiselina (ASK) ili nikorandil (vidjeti dio 4.5.).</w:t>
      </w:r>
    </w:p>
    <w:p w14:paraId="64077B05" w14:textId="77777777" w:rsidR="003755E3" w:rsidRPr="009F025B" w:rsidRDefault="003755E3" w:rsidP="00577F77">
      <w:pPr>
        <w:tabs>
          <w:tab w:val="left" w:pos="540"/>
          <w:tab w:val="left" w:pos="569"/>
        </w:tabs>
        <w:jc w:val="both"/>
        <w:rPr>
          <w:sz w:val="22"/>
          <w:szCs w:val="22"/>
          <w:lang w:val="hr-HR"/>
        </w:rPr>
      </w:pPr>
    </w:p>
    <w:p w14:paraId="0E075BB1"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Kod pacijenata sa ulkusom u anamnezi, naročito komplikovanog krvarenjem ili perforacijom (vidjeti dio 4.3.) i kod starijih pacijenata, rizik od GI krvarenja, ulceracija i perforacija je veći uz povećanje doze nesteroidnih antiinflamatornih ljekova. Takvi pacijenti trebaju započeti liječenje sa najnižom dostupnom dozom.</w:t>
      </w:r>
    </w:p>
    <w:p w14:paraId="4B5545DB" w14:textId="77777777" w:rsidR="003755E3" w:rsidRPr="009F025B" w:rsidRDefault="003755E3" w:rsidP="00577F77">
      <w:pPr>
        <w:tabs>
          <w:tab w:val="left" w:pos="540"/>
          <w:tab w:val="left" w:pos="569"/>
        </w:tabs>
        <w:jc w:val="both"/>
        <w:rPr>
          <w:sz w:val="22"/>
          <w:szCs w:val="22"/>
          <w:lang w:val="hr-HR"/>
        </w:rPr>
      </w:pPr>
    </w:p>
    <w:p w14:paraId="2165B103"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Kombinovanu terapiju sa zaštitnim ljekovima (npr. miszrostol ili inhibitori protonske pumpe)  potrebno je razmotriti kod ovih pacijenata kao i kod pacijenata koji primaju niske doze acetilsalicilne kiseline ili druge ljekove koji mogu povećati gastrointestinalni rizik (vidjeti dio u nastavku i dio 4.5).</w:t>
      </w:r>
    </w:p>
    <w:p w14:paraId="55447A62" w14:textId="77777777" w:rsidR="003755E3" w:rsidRPr="009F025B" w:rsidRDefault="003755E3" w:rsidP="00577F77">
      <w:pPr>
        <w:tabs>
          <w:tab w:val="left" w:pos="540"/>
          <w:tab w:val="left" w:pos="569"/>
        </w:tabs>
        <w:jc w:val="both"/>
        <w:rPr>
          <w:sz w:val="22"/>
          <w:szCs w:val="22"/>
          <w:lang w:val="hr-HR"/>
        </w:rPr>
      </w:pPr>
    </w:p>
    <w:p w14:paraId="3F17E794" w14:textId="57E517E7" w:rsidR="003755E3" w:rsidRPr="009F025B" w:rsidRDefault="003755E3" w:rsidP="00577F77">
      <w:pPr>
        <w:tabs>
          <w:tab w:val="left" w:pos="540"/>
          <w:tab w:val="left" w:pos="569"/>
        </w:tabs>
        <w:jc w:val="both"/>
        <w:rPr>
          <w:sz w:val="22"/>
          <w:szCs w:val="22"/>
          <w:lang w:val="hr-HR"/>
        </w:rPr>
      </w:pPr>
      <w:r w:rsidRPr="009F025B">
        <w:rPr>
          <w:sz w:val="22"/>
          <w:szCs w:val="22"/>
          <w:lang w:val="hr-HR"/>
        </w:rPr>
        <w:t>Pacijente sa anamnezom gastrointestinalne toksičnosti, a naročito starije osobe, treba upozoriti da ljekaru prijave svaki neobičan abdominalni simptom (naročito krvarenje iz</w:t>
      </w:r>
      <w:r w:rsidR="005D5F86" w:rsidRPr="009F025B">
        <w:rPr>
          <w:sz w:val="22"/>
          <w:szCs w:val="22"/>
          <w:lang w:val="hr-HR"/>
        </w:rPr>
        <w:t xml:space="preserve"> </w:t>
      </w:r>
      <w:r w:rsidRPr="009F025B">
        <w:rPr>
          <w:sz w:val="22"/>
          <w:szCs w:val="22"/>
          <w:lang w:val="hr-HR"/>
        </w:rPr>
        <w:t>gastrointestinalnog sistema), naročito na početku liječenja.</w:t>
      </w:r>
    </w:p>
    <w:p w14:paraId="131BFAC6" w14:textId="77777777" w:rsidR="003755E3" w:rsidRPr="009F025B" w:rsidRDefault="003755E3" w:rsidP="00577F77">
      <w:pPr>
        <w:tabs>
          <w:tab w:val="left" w:pos="540"/>
          <w:tab w:val="left" w:pos="569"/>
        </w:tabs>
        <w:jc w:val="both"/>
        <w:rPr>
          <w:sz w:val="22"/>
          <w:szCs w:val="22"/>
          <w:lang w:val="hr-HR"/>
        </w:rPr>
      </w:pPr>
    </w:p>
    <w:p w14:paraId="337047E3" w14:textId="77777777" w:rsidR="003755E3" w:rsidRPr="009F025B" w:rsidRDefault="003755E3" w:rsidP="00577F77">
      <w:pPr>
        <w:tabs>
          <w:tab w:val="left" w:pos="540"/>
          <w:tab w:val="left" w:pos="569"/>
        </w:tabs>
        <w:jc w:val="both"/>
        <w:rPr>
          <w:sz w:val="22"/>
          <w:szCs w:val="22"/>
          <w:lang w:val="hr-HR"/>
        </w:rPr>
      </w:pPr>
      <w:r w:rsidRPr="009F025B">
        <w:rPr>
          <w:b/>
          <w:sz w:val="22"/>
          <w:szCs w:val="22"/>
          <w:lang w:val="hr-HR"/>
        </w:rPr>
        <w:t xml:space="preserve">Starije osobe: </w:t>
      </w:r>
      <w:r w:rsidRPr="009F025B">
        <w:rPr>
          <w:sz w:val="22"/>
          <w:szCs w:val="22"/>
          <w:lang w:val="hr-HR"/>
        </w:rPr>
        <w:t>kod starijih osoba postoji veća učestalost neželjenih dejstava prilikom uzimanja NSAIL-a, naročito krvarenja i perforacija u gastrointestinalnom sistemu, koje mogu imati smrtni ishod.</w:t>
      </w:r>
    </w:p>
    <w:p w14:paraId="75828DA7" w14:textId="77777777" w:rsidR="003755E3" w:rsidRPr="009F025B" w:rsidRDefault="003755E3" w:rsidP="00577F77">
      <w:pPr>
        <w:tabs>
          <w:tab w:val="left" w:pos="540"/>
          <w:tab w:val="left" w:pos="569"/>
        </w:tabs>
        <w:jc w:val="both"/>
        <w:rPr>
          <w:sz w:val="22"/>
          <w:szCs w:val="22"/>
          <w:lang w:val="hr-HR"/>
        </w:rPr>
      </w:pPr>
    </w:p>
    <w:p w14:paraId="2C8136BB"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t>Kada tokom primjene ketoprofena dođe do krvarenja ili ulceracijau gastrointestinalnom sistemu, primjena lijeka se mora odmah prekinuti</w:t>
      </w:r>
    </w:p>
    <w:p w14:paraId="741D6F89" w14:textId="77777777" w:rsidR="003755E3" w:rsidRPr="009F025B" w:rsidRDefault="003755E3" w:rsidP="00577F77">
      <w:pPr>
        <w:tabs>
          <w:tab w:val="left" w:pos="540"/>
          <w:tab w:val="left" w:pos="569"/>
        </w:tabs>
        <w:jc w:val="both"/>
        <w:rPr>
          <w:sz w:val="22"/>
          <w:szCs w:val="22"/>
          <w:lang w:val="hr-HR"/>
        </w:rPr>
      </w:pPr>
    </w:p>
    <w:p w14:paraId="284CBF2D" w14:textId="02C75611" w:rsidR="003755E3" w:rsidRPr="009F025B" w:rsidRDefault="003755E3" w:rsidP="00577F77">
      <w:pPr>
        <w:tabs>
          <w:tab w:val="left" w:pos="540"/>
          <w:tab w:val="left" w:pos="569"/>
        </w:tabs>
        <w:jc w:val="both"/>
        <w:rPr>
          <w:sz w:val="22"/>
          <w:szCs w:val="22"/>
          <w:lang w:val="hr-HR"/>
        </w:rPr>
      </w:pPr>
      <w:r w:rsidRPr="009F025B">
        <w:rPr>
          <w:sz w:val="22"/>
          <w:szCs w:val="22"/>
          <w:lang w:val="hr-HR"/>
        </w:rPr>
        <w:t>Ozbiljne kožne reakcije, ponekad sa smrtnim ishodom, uključujući eksfolijativni dermatitis, Stevens- Johnsonov sindrom i toksičnu epidermalnu nekrolizu, vrlo rijetko</w:t>
      </w:r>
      <w:r w:rsidR="00577F77">
        <w:rPr>
          <w:sz w:val="22"/>
          <w:szCs w:val="22"/>
          <w:lang w:val="hr-HR"/>
        </w:rPr>
        <w:t xml:space="preserve"> su</w:t>
      </w:r>
      <w:r w:rsidRPr="009F025B">
        <w:rPr>
          <w:sz w:val="22"/>
          <w:szCs w:val="22"/>
          <w:lang w:val="hr-HR"/>
        </w:rPr>
        <w:t xml:space="preserve"> prijavljene uz primjenu NSAIL-a (vidjeti dio 4.8.). Najveći rizik od pojave ovih reakcija je na samom početku liječenja i u većini slučajeva reakcije se javljaju tokom prvog mjeseca liječenja. Primjenu ketoprofena potrebno je prekinuti pri prvoj pojavi kožnog osipa, oštećenja sluznice ili drugih znakova preosjetljivosti.</w:t>
      </w:r>
    </w:p>
    <w:p w14:paraId="234EE41C" w14:textId="77777777" w:rsidR="003755E3" w:rsidRPr="009F025B" w:rsidRDefault="003755E3" w:rsidP="00577F77">
      <w:pPr>
        <w:tabs>
          <w:tab w:val="left" w:pos="540"/>
          <w:tab w:val="left" w:pos="569"/>
        </w:tabs>
        <w:jc w:val="both"/>
        <w:rPr>
          <w:sz w:val="22"/>
          <w:szCs w:val="22"/>
          <w:lang w:val="hr-HR"/>
        </w:rPr>
      </w:pPr>
    </w:p>
    <w:p w14:paraId="2491D9F2" w14:textId="77777777" w:rsidR="003755E3" w:rsidRPr="009F025B" w:rsidRDefault="003755E3" w:rsidP="00577F77">
      <w:pPr>
        <w:tabs>
          <w:tab w:val="left" w:pos="540"/>
          <w:tab w:val="left" w:pos="569"/>
        </w:tabs>
        <w:jc w:val="both"/>
        <w:rPr>
          <w:sz w:val="22"/>
          <w:szCs w:val="22"/>
          <w:lang w:val="hr-HR"/>
        </w:rPr>
      </w:pPr>
      <w:r w:rsidRPr="009F025B">
        <w:rPr>
          <w:sz w:val="22"/>
          <w:szCs w:val="22"/>
          <w:lang w:val="hr-HR"/>
        </w:rPr>
        <w:lastRenderedPageBreak/>
        <w:t>Klinička ispitivanja i epidemiološki podaci sugerišu da primjena nekih nesteroidnih antiinflamatornih ljekova (posebno u visokim dozama i kod dugotrajnog liječenja) može biti povezana sa povećanim rizikom od arterijskih trombotičkih događaja (na primjer infarkta miokarda ili moždanog udara). Nedostatak podataka ne isključuje mogućnost istog rizika kod primjene ketoprofena.</w:t>
      </w:r>
    </w:p>
    <w:p w14:paraId="0A62CF3E" w14:textId="343D7B1B" w:rsidR="003755E3" w:rsidRPr="009F025B" w:rsidRDefault="003755E3" w:rsidP="00577F77">
      <w:pPr>
        <w:tabs>
          <w:tab w:val="left" w:pos="540"/>
          <w:tab w:val="left" w:pos="569"/>
        </w:tabs>
        <w:jc w:val="both"/>
        <w:rPr>
          <w:sz w:val="22"/>
          <w:szCs w:val="22"/>
          <w:lang w:val="hr-HR"/>
        </w:rPr>
      </w:pPr>
      <w:r w:rsidRPr="009F025B">
        <w:rPr>
          <w:sz w:val="22"/>
          <w:szCs w:val="22"/>
          <w:lang w:val="hr-HR"/>
        </w:rPr>
        <w:t>Zabilježen je povećan rizik za arterijske trombotičke događaje kod pacijenata kod kojih se nesteroidnim antiinflamatornim ljekovima (NSAIL)</w:t>
      </w:r>
      <w:r w:rsidR="00577F77">
        <w:rPr>
          <w:sz w:val="22"/>
          <w:szCs w:val="22"/>
          <w:lang w:val="hr-HR"/>
        </w:rPr>
        <w:t>,</w:t>
      </w:r>
      <w:r w:rsidRPr="009F025B">
        <w:rPr>
          <w:sz w:val="22"/>
          <w:szCs w:val="22"/>
          <w:lang w:val="hr-HR"/>
        </w:rPr>
        <w:t xml:space="preserve"> (navedeno isključuje acetilsalicilnu kiselinu)</w:t>
      </w:r>
      <w:r w:rsidR="00577F77">
        <w:rPr>
          <w:sz w:val="22"/>
          <w:szCs w:val="22"/>
          <w:lang w:val="hr-HR"/>
        </w:rPr>
        <w:t>,</w:t>
      </w:r>
      <w:r w:rsidRPr="009F025B">
        <w:rPr>
          <w:sz w:val="22"/>
          <w:szCs w:val="22"/>
          <w:lang w:val="hr-HR"/>
        </w:rPr>
        <w:t xml:space="preserve"> liječi perioperativni bol pri hirurškom zahvatu </w:t>
      </w:r>
      <w:r w:rsidR="003E5792" w:rsidRPr="009F025B">
        <w:rPr>
          <w:sz w:val="22"/>
          <w:szCs w:val="22"/>
          <w:lang w:val="hr-HR"/>
        </w:rPr>
        <w:t>premošćavanja</w:t>
      </w:r>
      <w:r w:rsidRPr="009F025B">
        <w:rPr>
          <w:sz w:val="22"/>
          <w:szCs w:val="22"/>
          <w:lang w:val="hr-HR"/>
        </w:rPr>
        <w:t xml:space="preserve"> koronarnih arterija (CABG).</w:t>
      </w:r>
    </w:p>
    <w:p w14:paraId="0BB52517" w14:textId="77777777" w:rsidR="003755E3" w:rsidRPr="009F025B" w:rsidRDefault="003755E3" w:rsidP="00577F77">
      <w:pPr>
        <w:tabs>
          <w:tab w:val="left" w:pos="540"/>
          <w:tab w:val="left" w:pos="569"/>
        </w:tabs>
        <w:jc w:val="both"/>
        <w:rPr>
          <w:sz w:val="22"/>
          <w:szCs w:val="22"/>
          <w:u w:val="single"/>
          <w:lang w:val="hr-HR"/>
        </w:rPr>
      </w:pPr>
    </w:p>
    <w:p w14:paraId="3F5C933C" w14:textId="77777777" w:rsidR="003755E3" w:rsidRPr="009F025B" w:rsidRDefault="003755E3" w:rsidP="00577F77">
      <w:pPr>
        <w:tabs>
          <w:tab w:val="left" w:pos="540"/>
          <w:tab w:val="left" w:pos="569"/>
        </w:tabs>
        <w:jc w:val="both"/>
        <w:rPr>
          <w:sz w:val="22"/>
          <w:szCs w:val="22"/>
          <w:u w:val="single"/>
          <w:lang w:val="hr-HR"/>
        </w:rPr>
      </w:pPr>
      <w:r w:rsidRPr="009F025B">
        <w:rPr>
          <w:sz w:val="22"/>
          <w:szCs w:val="22"/>
          <w:u w:val="single"/>
          <w:lang w:val="hr-HR"/>
        </w:rPr>
        <w:t>Pedijatrijska populacija</w:t>
      </w:r>
    </w:p>
    <w:p w14:paraId="5D894142" w14:textId="77777777" w:rsidR="003755E3" w:rsidRPr="009F025B" w:rsidRDefault="003755E3" w:rsidP="00577F77">
      <w:pPr>
        <w:tabs>
          <w:tab w:val="left" w:pos="540"/>
          <w:tab w:val="left" w:pos="569"/>
        </w:tabs>
        <w:jc w:val="both"/>
        <w:rPr>
          <w:bCs/>
          <w:sz w:val="22"/>
          <w:szCs w:val="22"/>
          <w:lang w:val="hr-HR"/>
        </w:rPr>
      </w:pPr>
    </w:p>
    <w:p w14:paraId="7599605B" w14:textId="35A885BD" w:rsidR="003755E3" w:rsidRPr="009F025B" w:rsidRDefault="003755E3" w:rsidP="00577F77">
      <w:pPr>
        <w:tabs>
          <w:tab w:val="left" w:pos="540"/>
          <w:tab w:val="left" w:pos="569"/>
        </w:tabs>
        <w:jc w:val="both"/>
        <w:rPr>
          <w:bCs/>
          <w:sz w:val="22"/>
          <w:szCs w:val="22"/>
          <w:lang w:val="hr-HR"/>
        </w:rPr>
      </w:pPr>
      <w:r w:rsidRPr="009F025B">
        <w:rPr>
          <w:bCs/>
          <w:sz w:val="22"/>
          <w:szCs w:val="22"/>
          <w:lang w:val="hr-HR"/>
        </w:rPr>
        <w:t xml:space="preserve">Kod nekih pedijatrijskih pacijenata liječenih ketoprofenlizinatom zabilježena su gastrointestinalna krvarenja, povremeno teška i ulceracije (vidjeti dio 4.8). </w:t>
      </w:r>
      <w:r w:rsidR="00577F77">
        <w:rPr>
          <w:bCs/>
          <w:sz w:val="22"/>
          <w:szCs w:val="22"/>
          <w:lang w:val="hr-HR"/>
        </w:rPr>
        <w:t xml:space="preserve">Zbog </w:t>
      </w:r>
      <w:r w:rsidRPr="009F025B">
        <w:rPr>
          <w:bCs/>
          <w:sz w:val="22"/>
          <w:szCs w:val="22"/>
          <w:lang w:val="hr-HR"/>
        </w:rPr>
        <w:t>toga se ovaj lijek treba primjenjivati pod nadzorom ljekara i ljekar bi trebalo da procijeni režim doziranja od slučaja do slučaja.</w:t>
      </w:r>
    </w:p>
    <w:p w14:paraId="18128C08" w14:textId="7777777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Ovaj lijek nije namijenjen za djecu i adolescente mlađe od 16 godina.</w:t>
      </w:r>
    </w:p>
    <w:p w14:paraId="1A92C3E2" w14:textId="77777777" w:rsidR="003755E3" w:rsidRPr="009F025B" w:rsidRDefault="003755E3" w:rsidP="00577F77">
      <w:pPr>
        <w:tabs>
          <w:tab w:val="left" w:pos="540"/>
          <w:tab w:val="left" w:pos="569"/>
        </w:tabs>
        <w:jc w:val="both"/>
        <w:rPr>
          <w:bCs/>
          <w:sz w:val="22"/>
          <w:szCs w:val="22"/>
          <w:lang w:val="hr-HR"/>
        </w:rPr>
      </w:pPr>
    </w:p>
    <w:p w14:paraId="0B7178B1" w14:textId="77777777" w:rsidR="003755E3" w:rsidRPr="009F025B" w:rsidRDefault="003755E3" w:rsidP="00577F77">
      <w:pPr>
        <w:tabs>
          <w:tab w:val="left" w:pos="540"/>
          <w:tab w:val="left" w:pos="569"/>
        </w:tabs>
        <w:jc w:val="both"/>
        <w:rPr>
          <w:bCs/>
          <w:sz w:val="22"/>
          <w:szCs w:val="22"/>
          <w:lang w:val="hr-HR"/>
        </w:rPr>
      </w:pPr>
      <w:r w:rsidRPr="009F025B">
        <w:rPr>
          <w:bCs/>
          <w:sz w:val="22"/>
          <w:szCs w:val="22"/>
          <w:u w:val="single"/>
          <w:lang w:val="hr-HR"/>
        </w:rPr>
        <w:t>Mjere opreza</w:t>
      </w:r>
    </w:p>
    <w:p w14:paraId="1B2FCBA3" w14:textId="7777777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Na početku liječenja, potrebno je pažljivo praćenje renalne funkcije kod pacijenata sasrčanom insuficijencijom, cirozom i nefrozom, kod pacijenata koji primaju terapiju diureticima kod pacijenata sa hroničnim oštećenjem bubrega, naročito ako je stariji pacijent. Kod tih pacijenata, primjena ketoprofena može dovesti do smanjenja bubrežnog protoka krvi, uzrokovanog inhibicijom prostaglandina, što može dovesti do renalne dekompenzacije.</w:t>
      </w:r>
    </w:p>
    <w:p w14:paraId="13A3DB93" w14:textId="77777777" w:rsidR="003755E3" w:rsidRPr="009F025B" w:rsidRDefault="003755E3" w:rsidP="00577F77">
      <w:pPr>
        <w:tabs>
          <w:tab w:val="left" w:pos="540"/>
          <w:tab w:val="left" w:pos="569"/>
        </w:tabs>
        <w:jc w:val="both"/>
        <w:rPr>
          <w:bCs/>
          <w:sz w:val="22"/>
          <w:szCs w:val="22"/>
          <w:lang w:val="hr-HR"/>
        </w:rPr>
      </w:pPr>
    </w:p>
    <w:p w14:paraId="102B4217" w14:textId="23DD72C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 xml:space="preserve">Kod pacijenata sa anamnezom hipertenzije i/ili </w:t>
      </w:r>
      <w:r w:rsidR="00C700D9" w:rsidRPr="009F025B">
        <w:rPr>
          <w:bCs/>
          <w:sz w:val="22"/>
          <w:szCs w:val="22"/>
          <w:lang w:val="hr-HR"/>
        </w:rPr>
        <w:t xml:space="preserve">blage </w:t>
      </w:r>
      <w:r w:rsidRPr="009F025B">
        <w:rPr>
          <w:bCs/>
          <w:sz w:val="22"/>
          <w:szCs w:val="22"/>
          <w:lang w:val="hr-HR"/>
        </w:rPr>
        <w:t xml:space="preserve">do </w:t>
      </w:r>
      <w:r w:rsidR="00921CBE" w:rsidRPr="009F025B">
        <w:rPr>
          <w:bCs/>
          <w:sz w:val="22"/>
          <w:szCs w:val="22"/>
          <w:lang w:val="hr-HR"/>
        </w:rPr>
        <w:t xml:space="preserve">umjerene </w:t>
      </w:r>
      <w:r w:rsidRPr="009F025B">
        <w:rPr>
          <w:bCs/>
          <w:sz w:val="22"/>
          <w:szCs w:val="22"/>
          <w:lang w:val="hr-HR"/>
        </w:rPr>
        <w:t>kongestivne srčane insuficijencije neophodan je oprez, jer je uz primjenu nesteroidnih antiinflamatornih ljekova zabilježeno zadržavanje tečnosti i nastanak edema.</w:t>
      </w:r>
    </w:p>
    <w:p w14:paraId="66931BDC" w14:textId="77777777" w:rsidR="003755E3" w:rsidRPr="009F025B" w:rsidRDefault="003755E3" w:rsidP="00577F77">
      <w:pPr>
        <w:tabs>
          <w:tab w:val="left" w:pos="540"/>
          <w:tab w:val="left" w:pos="569"/>
        </w:tabs>
        <w:jc w:val="both"/>
        <w:rPr>
          <w:bCs/>
          <w:sz w:val="22"/>
          <w:szCs w:val="22"/>
          <w:lang w:val="hr-HR"/>
        </w:rPr>
      </w:pPr>
    </w:p>
    <w:p w14:paraId="7BE1CD99" w14:textId="48216C70" w:rsidR="00921CBE" w:rsidRPr="009F025B" w:rsidRDefault="00921CBE" w:rsidP="00577F77">
      <w:pPr>
        <w:tabs>
          <w:tab w:val="left" w:pos="540"/>
          <w:tab w:val="left" w:pos="569"/>
        </w:tabs>
        <w:jc w:val="both"/>
        <w:rPr>
          <w:bCs/>
          <w:sz w:val="22"/>
          <w:szCs w:val="22"/>
          <w:lang w:val="hr-HR"/>
        </w:rPr>
      </w:pPr>
      <w:r w:rsidRPr="009F025B">
        <w:rPr>
          <w:bCs/>
          <w:sz w:val="22"/>
          <w:szCs w:val="22"/>
          <w:u w:val="single"/>
          <w:lang w:val="hr-HR"/>
        </w:rPr>
        <w:t>Prikrivanje simptoma osnovnih infekcija</w:t>
      </w:r>
      <w:r w:rsidRPr="009F025B">
        <w:rPr>
          <w:bCs/>
          <w:sz w:val="22"/>
          <w:szCs w:val="22"/>
          <w:lang w:val="hr-HR"/>
        </w:rPr>
        <w:t xml:space="preserve"> </w:t>
      </w:r>
    </w:p>
    <w:p w14:paraId="122FDFE9" w14:textId="2DB1DE94" w:rsidR="003755E3" w:rsidRPr="009F025B" w:rsidRDefault="00921CBE" w:rsidP="00577F77">
      <w:pPr>
        <w:tabs>
          <w:tab w:val="left" w:pos="540"/>
          <w:tab w:val="left" w:pos="569"/>
        </w:tabs>
        <w:jc w:val="both"/>
        <w:rPr>
          <w:bCs/>
          <w:sz w:val="22"/>
          <w:szCs w:val="22"/>
          <w:lang w:val="hr-HR"/>
        </w:rPr>
      </w:pPr>
      <w:r w:rsidRPr="009F025B">
        <w:rPr>
          <w:bCs/>
          <w:sz w:val="22"/>
          <w:szCs w:val="22"/>
          <w:lang w:val="hr-HR"/>
        </w:rPr>
        <w:t>Ketoprofen može prikriti simptome infekcije, što može odložiti početak odgovarajućeg liječenja i tako dovesti do pogoršanja ishoda infekcije. To je zapaženo kod vanbolnički stečene bakterijske upale pluća i bakterijskih komplikacija povezanih s varičelama. Kada se ketoprofen primjenjuje za ublažavanje groznice ili bolova povezanih s infekcijom, preporučuje se praćenje infekcije. U vanbolničkom okruženju pacijent bi se trebao obratiti ljekaru</w:t>
      </w:r>
      <w:r w:rsidR="0074644A" w:rsidRPr="009F025B">
        <w:rPr>
          <w:bCs/>
          <w:sz w:val="22"/>
          <w:szCs w:val="22"/>
          <w:lang w:val="hr-HR"/>
        </w:rPr>
        <w:t xml:space="preserve"> </w:t>
      </w:r>
      <w:r w:rsidRPr="009F025B">
        <w:rPr>
          <w:bCs/>
          <w:sz w:val="22"/>
          <w:szCs w:val="22"/>
          <w:lang w:val="hr-HR"/>
        </w:rPr>
        <w:t>ako simptomi perzistiraju ili se pogoršaju</w:t>
      </w:r>
      <w:r w:rsidR="0074644A" w:rsidRPr="009F025B">
        <w:rPr>
          <w:bCs/>
          <w:sz w:val="22"/>
          <w:szCs w:val="22"/>
          <w:lang w:val="hr-HR"/>
        </w:rPr>
        <w:t>.</w:t>
      </w:r>
    </w:p>
    <w:p w14:paraId="369DE643" w14:textId="77777777" w:rsidR="00921CBE" w:rsidRPr="009F025B" w:rsidRDefault="00921CBE" w:rsidP="00577F77">
      <w:pPr>
        <w:tabs>
          <w:tab w:val="left" w:pos="540"/>
          <w:tab w:val="left" w:pos="569"/>
        </w:tabs>
        <w:jc w:val="both"/>
        <w:rPr>
          <w:bCs/>
          <w:sz w:val="22"/>
          <w:szCs w:val="22"/>
          <w:lang w:val="hr-HR"/>
        </w:rPr>
      </w:pPr>
    </w:p>
    <w:p w14:paraId="51ADA803" w14:textId="2E3EB476" w:rsidR="003755E3" w:rsidRPr="009F025B" w:rsidRDefault="003755E3" w:rsidP="00577F77">
      <w:pPr>
        <w:tabs>
          <w:tab w:val="left" w:pos="540"/>
          <w:tab w:val="left" w:pos="569"/>
        </w:tabs>
        <w:jc w:val="both"/>
        <w:rPr>
          <w:bCs/>
          <w:sz w:val="22"/>
          <w:szCs w:val="22"/>
          <w:lang w:val="hr-HR"/>
        </w:rPr>
      </w:pPr>
      <w:r w:rsidRPr="009F025B">
        <w:rPr>
          <w:bCs/>
          <w:sz w:val="22"/>
          <w:szCs w:val="22"/>
          <w:lang w:val="hr-HR"/>
        </w:rPr>
        <w:t>Kod pacijenata sa poremećajem testova funkcije jetre ili sa bolešću jetre u anamnezi, potrebno je periodično evaluirati vrijednosti transaminaza, naročito za vrijeme dugotrajnog liječenja. Ukoliko se uoči značajno povećanje navedenih parametra, liječenje ketoprofenom treba prekinuti.</w:t>
      </w:r>
    </w:p>
    <w:p w14:paraId="0E13680A" w14:textId="77777777" w:rsidR="003755E3" w:rsidRPr="009F025B" w:rsidRDefault="003755E3" w:rsidP="00577F77">
      <w:pPr>
        <w:tabs>
          <w:tab w:val="left" w:pos="540"/>
          <w:tab w:val="left" w:pos="569"/>
        </w:tabs>
        <w:jc w:val="both"/>
        <w:rPr>
          <w:bCs/>
          <w:sz w:val="22"/>
          <w:szCs w:val="22"/>
          <w:lang w:val="hr-HR"/>
        </w:rPr>
      </w:pPr>
    </w:p>
    <w:p w14:paraId="198AFF28" w14:textId="7777777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Opisani su rijetki slučajevi pojave žutice i hepatitisa uz ketoprofen.</w:t>
      </w:r>
    </w:p>
    <w:p w14:paraId="046B6BDD" w14:textId="77777777" w:rsidR="003755E3" w:rsidRPr="009F025B" w:rsidRDefault="003755E3" w:rsidP="00577F77">
      <w:pPr>
        <w:tabs>
          <w:tab w:val="left" w:pos="540"/>
          <w:tab w:val="left" w:pos="569"/>
        </w:tabs>
        <w:jc w:val="both"/>
        <w:rPr>
          <w:bCs/>
          <w:sz w:val="22"/>
          <w:szCs w:val="22"/>
          <w:lang w:val="hr-HR"/>
        </w:rPr>
      </w:pPr>
    </w:p>
    <w:p w14:paraId="2815B7F5" w14:textId="7777777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Primjena nesteroidnih antiinflamatornih ljekova (NSAIL) može poremetiti plodnost kod žena (vidjeti dio 4.6.).</w:t>
      </w:r>
    </w:p>
    <w:p w14:paraId="643EEE18" w14:textId="77777777" w:rsidR="003755E3" w:rsidRPr="009F025B" w:rsidRDefault="003755E3" w:rsidP="00577F77">
      <w:pPr>
        <w:tabs>
          <w:tab w:val="left" w:pos="540"/>
          <w:tab w:val="left" w:pos="569"/>
        </w:tabs>
        <w:jc w:val="both"/>
        <w:rPr>
          <w:bCs/>
          <w:sz w:val="22"/>
          <w:szCs w:val="22"/>
          <w:lang w:val="hr-HR"/>
        </w:rPr>
      </w:pPr>
    </w:p>
    <w:p w14:paraId="5D41027B" w14:textId="7EFB57DF" w:rsidR="003755E3" w:rsidRPr="009F025B" w:rsidRDefault="003755E3" w:rsidP="00577F77">
      <w:pPr>
        <w:tabs>
          <w:tab w:val="left" w:pos="540"/>
          <w:tab w:val="left" w:pos="569"/>
        </w:tabs>
        <w:jc w:val="both"/>
        <w:rPr>
          <w:bCs/>
          <w:sz w:val="22"/>
          <w:szCs w:val="22"/>
          <w:lang w:val="hr-HR"/>
        </w:rPr>
      </w:pPr>
      <w:r w:rsidRPr="009F025B">
        <w:rPr>
          <w:bCs/>
          <w:sz w:val="22"/>
          <w:szCs w:val="22"/>
          <w:lang w:val="hr-HR"/>
        </w:rPr>
        <w:t>Kod pacijenata sa astmom praćenom hroničnim rinitisom, hroničnim sinusitisom i/ili nosnom polipozom postoji veća vjerovatnoća za nastanak alergijskih reakcija na acetilsalicilnu kiselinu i/ili nesteroidne antiinflamatorne ljekove u odnosu na opštu populaciju. Primjena ketoprofena može izazvati napad astme ili bronhospazam, pogotovo kod osoba alergičnih na acetilsalicilnu kiselinu ili NSAIL (vidjeti dio 4.3.).</w:t>
      </w:r>
    </w:p>
    <w:p w14:paraId="22091AE0" w14:textId="77777777" w:rsidR="003755E3" w:rsidRPr="009F025B" w:rsidRDefault="003755E3" w:rsidP="00577F77">
      <w:pPr>
        <w:tabs>
          <w:tab w:val="left" w:pos="540"/>
          <w:tab w:val="left" w:pos="569"/>
        </w:tabs>
        <w:jc w:val="both"/>
        <w:rPr>
          <w:bCs/>
          <w:sz w:val="22"/>
          <w:szCs w:val="22"/>
          <w:lang w:val="hr-HR"/>
        </w:rPr>
      </w:pPr>
    </w:p>
    <w:p w14:paraId="5258D652" w14:textId="7777777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Može doći do pojave hiperkalijemije, naročito kod pacijenata sa dijabetesom, insuficijencijom bubrega, i/ili kod pacijenata koji se istovremeno liječe ljekovima koji dovode do pojave hiperkalijemije (vidjeti dio 4.5.). U ovim slučajevima potrebno je pratiti vrijednosti kalijuma.</w:t>
      </w:r>
    </w:p>
    <w:p w14:paraId="3522E48D" w14:textId="77777777" w:rsidR="003755E3" w:rsidRPr="009F025B" w:rsidRDefault="003755E3" w:rsidP="00577F77">
      <w:pPr>
        <w:tabs>
          <w:tab w:val="left" w:pos="540"/>
          <w:tab w:val="left" w:pos="569"/>
        </w:tabs>
        <w:jc w:val="both"/>
        <w:rPr>
          <w:bCs/>
          <w:sz w:val="22"/>
          <w:szCs w:val="22"/>
          <w:lang w:val="hr-HR"/>
        </w:rPr>
      </w:pPr>
    </w:p>
    <w:p w14:paraId="16A6CA1F" w14:textId="77777777" w:rsidR="003755E3" w:rsidRPr="009F025B" w:rsidRDefault="003755E3" w:rsidP="00577F77">
      <w:pPr>
        <w:tabs>
          <w:tab w:val="left" w:pos="540"/>
          <w:tab w:val="left" w:pos="569"/>
        </w:tabs>
        <w:jc w:val="both"/>
        <w:rPr>
          <w:bCs/>
          <w:sz w:val="22"/>
          <w:szCs w:val="22"/>
          <w:lang w:val="hr-HR"/>
        </w:rPr>
      </w:pPr>
      <w:r w:rsidRPr="009F025B">
        <w:rPr>
          <w:bCs/>
          <w:sz w:val="22"/>
          <w:szCs w:val="22"/>
          <w:lang w:val="hr-HR"/>
        </w:rPr>
        <w:t xml:space="preserve">Primjenu ketoprofena treba pažljivo razmotriti kod pacijenata sa nekontrolisanom hipertenzijom, kongestivnom srčanom insuficijencijom, dokazanom ishemijskom bolešću srca, perifernom arterijskom bolešću i/ili cerebrovaskularnom bolešću. Takođe, prije početka dugotrajnog liječenja, potrebno je </w:t>
      </w:r>
      <w:r w:rsidRPr="009F025B">
        <w:rPr>
          <w:bCs/>
          <w:sz w:val="22"/>
          <w:szCs w:val="22"/>
          <w:lang w:val="hr-HR"/>
        </w:rPr>
        <w:lastRenderedPageBreak/>
        <w:t>pažljivo razmotriti primjenu ketoprofena kod pacijenata sa faktorima rizika za nastanak kardiovaskularnih bolesti (npr. hipertenzija, hiperlipidemija, šećerna bolest, pušenje).</w:t>
      </w:r>
    </w:p>
    <w:p w14:paraId="2AB5F2A1" w14:textId="77777777" w:rsidR="0074644A" w:rsidRPr="009F025B" w:rsidRDefault="0074644A" w:rsidP="00577F77">
      <w:pPr>
        <w:tabs>
          <w:tab w:val="left" w:pos="540"/>
          <w:tab w:val="left" w:pos="569"/>
        </w:tabs>
        <w:jc w:val="both"/>
        <w:rPr>
          <w:bCs/>
          <w:sz w:val="22"/>
          <w:szCs w:val="22"/>
          <w:lang w:val="hr-HR"/>
        </w:rPr>
      </w:pPr>
    </w:p>
    <w:p w14:paraId="17A4B306" w14:textId="4E22DE46" w:rsidR="003755E3" w:rsidRPr="009F025B" w:rsidRDefault="003755E3" w:rsidP="00577F77">
      <w:pPr>
        <w:tabs>
          <w:tab w:val="left" w:pos="540"/>
          <w:tab w:val="left" w:pos="569"/>
        </w:tabs>
        <w:jc w:val="both"/>
        <w:rPr>
          <w:bCs/>
          <w:sz w:val="22"/>
          <w:szCs w:val="22"/>
          <w:lang w:val="hr-HR"/>
        </w:rPr>
      </w:pPr>
      <w:r w:rsidRPr="009F025B">
        <w:rPr>
          <w:bCs/>
          <w:sz w:val="22"/>
          <w:szCs w:val="22"/>
          <w:lang w:val="hr-HR"/>
        </w:rPr>
        <w:t>U slučaju pojave vizualnih poremećaja, kao što je nejasan vid, liječenje treba prekinuti.</w:t>
      </w:r>
    </w:p>
    <w:p w14:paraId="2474A3A8" w14:textId="77777777" w:rsidR="003755E3" w:rsidRPr="009F025B" w:rsidRDefault="003755E3" w:rsidP="00577F77">
      <w:pPr>
        <w:tabs>
          <w:tab w:val="left" w:pos="540"/>
          <w:tab w:val="left" w:pos="569"/>
        </w:tabs>
        <w:jc w:val="both"/>
        <w:rPr>
          <w:bCs/>
          <w:sz w:val="22"/>
          <w:szCs w:val="22"/>
          <w:lang w:val="hr-HR"/>
        </w:rPr>
      </w:pPr>
    </w:p>
    <w:p w14:paraId="29B71988" w14:textId="1D1F86B8" w:rsidR="003755E3" w:rsidRPr="009F025B" w:rsidRDefault="003755E3" w:rsidP="00577F77">
      <w:pPr>
        <w:tabs>
          <w:tab w:val="left" w:pos="540"/>
          <w:tab w:val="left" w:pos="569"/>
        </w:tabs>
        <w:jc w:val="both"/>
        <w:rPr>
          <w:bCs/>
          <w:sz w:val="22"/>
          <w:szCs w:val="22"/>
          <w:lang w:val="hr-HR"/>
        </w:rPr>
      </w:pPr>
      <w:r w:rsidRPr="009F025B">
        <w:rPr>
          <w:bCs/>
          <w:sz w:val="22"/>
          <w:szCs w:val="22"/>
          <w:lang w:val="hr-HR"/>
        </w:rPr>
        <w:t xml:space="preserve">Ketonal </w:t>
      </w:r>
      <w:r w:rsidR="00AC26B6" w:rsidRPr="009F025B">
        <w:rPr>
          <w:bCs/>
          <w:sz w:val="22"/>
          <w:szCs w:val="22"/>
          <w:lang w:val="hr-HR"/>
        </w:rPr>
        <w:t xml:space="preserve">Akut </w:t>
      </w:r>
      <w:r w:rsidRPr="009F025B">
        <w:rPr>
          <w:bCs/>
          <w:sz w:val="22"/>
          <w:szCs w:val="22"/>
          <w:lang w:val="hr-HR"/>
        </w:rPr>
        <w:t>Rapid granule sadrže manje od 1 mmol (23 mg) natrij</w:t>
      </w:r>
      <w:r w:rsidR="00577F77">
        <w:rPr>
          <w:bCs/>
          <w:sz w:val="22"/>
          <w:szCs w:val="22"/>
          <w:lang w:val="hr-HR"/>
        </w:rPr>
        <w:t>uma</w:t>
      </w:r>
      <w:r w:rsidRPr="009F025B">
        <w:rPr>
          <w:bCs/>
          <w:sz w:val="22"/>
          <w:szCs w:val="22"/>
          <w:lang w:val="hr-HR"/>
        </w:rPr>
        <w:t xml:space="preserve"> po kesici, tj. zanemarljive količine natrijuma.</w:t>
      </w:r>
    </w:p>
    <w:p w14:paraId="12D01F63" w14:textId="77777777" w:rsidR="00057E35" w:rsidRPr="009F025B" w:rsidRDefault="00057E35" w:rsidP="00577F77">
      <w:pPr>
        <w:tabs>
          <w:tab w:val="left" w:pos="540"/>
          <w:tab w:val="left" w:pos="569"/>
        </w:tabs>
        <w:jc w:val="both"/>
        <w:rPr>
          <w:bCs/>
          <w:sz w:val="22"/>
          <w:szCs w:val="22"/>
          <w:lang w:val="hr-HR"/>
        </w:rPr>
      </w:pPr>
    </w:p>
    <w:p w14:paraId="5550D32F" w14:textId="77777777" w:rsidR="00411B4B" w:rsidRPr="009F025B" w:rsidRDefault="00411B4B" w:rsidP="00577F77">
      <w:pPr>
        <w:tabs>
          <w:tab w:val="left" w:pos="540"/>
          <w:tab w:val="left" w:pos="569"/>
        </w:tabs>
        <w:jc w:val="both"/>
        <w:rPr>
          <w:b/>
          <w:bCs/>
          <w:sz w:val="22"/>
          <w:szCs w:val="22"/>
          <w:lang w:val="de-DE"/>
        </w:rPr>
      </w:pPr>
      <w:r w:rsidRPr="009F025B">
        <w:rPr>
          <w:b/>
          <w:bCs/>
          <w:sz w:val="22"/>
          <w:szCs w:val="22"/>
          <w:lang w:val="de-DE"/>
        </w:rPr>
        <w:t>4.5.</w:t>
      </w:r>
      <w:r w:rsidR="000D60CC" w:rsidRPr="009F025B">
        <w:rPr>
          <w:b/>
          <w:bCs/>
          <w:sz w:val="22"/>
          <w:szCs w:val="22"/>
          <w:lang w:val="de-DE"/>
        </w:rPr>
        <w:tab/>
      </w:r>
      <w:r w:rsidRPr="009F025B">
        <w:rPr>
          <w:b/>
          <w:bCs/>
          <w:sz w:val="22"/>
          <w:szCs w:val="22"/>
          <w:lang w:val="de-DE"/>
        </w:rPr>
        <w:t>Interakcije sa drugim ljekovima i druge vrste interakcija</w:t>
      </w:r>
    </w:p>
    <w:p w14:paraId="18C29116" w14:textId="55D45ABF" w:rsidR="0072020E" w:rsidRPr="009F025B" w:rsidRDefault="0072020E" w:rsidP="00577F77">
      <w:pPr>
        <w:tabs>
          <w:tab w:val="left" w:pos="540"/>
          <w:tab w:val="left" w:pos="569"/>
        </w:tabs>
        <w:jc w:val="both"/>
        <w:rPr>
          <w:bCs/>
          <w:sz w:val="22"/>
          <w:szCs w:val="22"/>
          <w:lang w:val="de-DE"/>
        </w:rPr>
      </w:pPr>
    </w:p>
    <w:p w14:paraId="58EA339D"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u w:val="single"/>
          <w:lang w:val="hr-HR"/>
        </w:rPr>
        <w:t>Ne preporučuju se kombinacije sa sljedećim ljekovima:</w:t>
      </w:r>
    </w:p>
    <w:p w14:paraId="2BCAFC55"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Drugi nesteroidni antiinflamatorni ijekovi (NSAIL) (uključujući i selektivne inhibitore ciklooksigenaze-2) i visoke doze salicilata</w:t>
      </w:r>
    </w:p>
    <w:p w14:paraId="253F0ABE"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je rizik od gastrointestinalnih ulceracija i krvarenja.</w:t>
      </w:r>
    </w:p>
    <w:p w14:paraId="7E8BE7E5" w14:textId="77777777" w:rsidR="00556119" w:rsidRPr="009F025B" w:rsidRDefault="00556119" w:rsidP="00577F77">
      <w:pPr>
        <w:tabs>
          <w:tab w:val="left" w:pos="540"/>
          <w:tab w:val="left" w:pos="569"/>
        </w:tabs>
        <w:jc w:val="both"/>
        <w:rPr>
          <w:bCs/>
          <w:sz w:val="22"/>
          <w:szCs w:val="22"/>
          <w:lang w:val="hr-HR"/>
        </w:rPr>
      </w:pPr>
    </w:p>
    <w:p w14:paraId="584C4A54" w14:textId="5E499F95"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Antikoagulansi (heparin i vitamin K ant</w:t>
      </w:r>
      <w:r w:rsidR="0042439D" w:rsidRPr="009F025B">
        <w:rPr>
          <w:bCs/>
          <w:i/>
          <w:sz w:val="22"/>
          <w:szCs w:val="22"/>
          <w:lang w:val="hr-HR"/>
        </w:rPr>
        <w:t>agonisti</w:t>
      </w:r>
      <w:r w:rsidRPr="009F025B">
        <w:rPr>
          <w:bCs/>
          <w:i/>
          <w:sz w:val="22"/>
          <w:szCs w:val="22"/>
          <w:lang w:val="hr-HR"/>
        </w:rPr>
        <w:t xml:space="preserve"> [kao što je varfarin] i inhibitori agregacije trombocita [kao što su tiklopidin i klopidogrel, inhibitori trombina [kao što je dabigatran], direktni inhibitori faktora Xa [kao što su apiksaban, rivaroksaban, edoksaban])</w:t>
      </w:r>
    </w:p>
    <w:p w14:paraId="01CC6863"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je rizik od krvarenja (vidjeti dio 4.4.). Ako je istovremena primjena neizbježna, potrebno je pažljivo kliničko praćenje.</w:t>
      </w:r>
    </w:p>
    <w:p w14:paraId="19CD58B6" w14:textId="77777777" w:rsidR="00556119" w:rsidRPr="009F025B" w:rsidRDefault="00556119" w:rsidP="00577F77">
      <w:pPr>
        <w:tabs>
          <w:tab w:val="left" w:pos="540"/>
          <w:tab w:val="left" w:pos="569"/>
        </w:tabs>
        <w:jc w:val="both"/>
        <w:rPr>
          <w:bCs/>
          <w:sz w:val="22"/>
          <w:szCs w:val="22"/>
          <w:lang w:val="hr-HR"/>
        </w:rPr>
      </w:pPr>
    </w:p>
    <w:p w14:paraId="75D1012D"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Litijum</w:t>
      </w:r>
    </w:p>
    <w:p w14:paraId="6E2721FE" w14:textId="5D7FF943" w:rsidR="00556119" w:rsidRPr="009F025B" w:rsidRDefault="00556119" w:rsidP="00577F77">
      <w:pPr>
        <w:tabs>
          <w:tab w:val="left" w:pos="540"/>
          <w:tab w:val="left" w:pos="569"/>
        </w:tabs>
        <w:jc w:val="both"/>
        <w:rPr>
          <w:bCs/>
          <w:sz w:val="22"/>
          <w:szCs w:val="22"/>
          <w:lang w:val="hr-HR"/>
        </w:rPr>
      </w:pPr>
      <w:r w:rsidRPr="009F025B">
        <w:rPr>
          <w:bCs/>
          <w:sz w:val="22"/>
          <w:szCs w:val="22"/>
          <w:lang w:val="hr-HR"/>
        </w:rPr>
        <w:t xml:space="preserve">Istovremena primjena litijuma i ketoprofena može uzrokovati smanjeno izlučivanje litijuma putem bubrega </w:t>
      </w:r>
      <w:r w:rsidR="00577F77">
        <w:rPr>
          <w:bCs/>
          <w:sz w:val="22"/>
          <w:szCs w:val="22"/>
          <w:lang w:val="hr-HR"/>
        </w:rPr>
        <w:t xml:space="preserve">kao i </w:t>
      </w:r>
      <w:r w:rsidRPr="009F025B">
        <w:rPr>
          <w:bCs/>
          <w:sz w:val="22"/>
          <w:szCs w:val="22"/>
          <w:lang w:val="hr-HR"/>
        </w:rPr>
        <w:t>posljedično povećanje vrijednosti litijuma u serumu do toksičnih vrijednosti. Gdje je neophodno, potrebno je pratiti koncentracije litijuma u serumu i prilagoditi njegovu dozu tokom i nakon primjene terapije sa NSAIL.</w:t>
      </w:r>
    </w:p>
    <w:p w14:paraId="6E4FF6D8" w14:textId="77777777" w:rsidR="00556119" w:rsidRPr="009F025B" w:rsidRDefault="00556119" w:rsidP="00577F77">
      <w:pPr>
        <w:tabs>
          <w:tab w:val="left" w:pos="540"/>
          <w:tab w:val="left" w:pos="569"/>
        </w:tabs>
        <w:jc w:val="both"/>
        <w:rPr>
          <w:bCs/>
          <w:sz w:val="22"/>
          <w:szCs w:val="22"/>
          <w:lang w:val="hr-HR"/>
        </w:rPr>
      </w:pPr>
    </w:p>
    <w:p w14:paraId="0CBDBA21"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Metotreksat u dozama većim od 15 mg/nedjelja ili više</w:t>
      </w:r>
    </w:p>
    <w:p w14:paraId="659A28A0" w14:textId="5FCF61FE"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je rizik za nastanak hematološke toksičnosti metotreksata, naročito kada se primjenjuje u visokim dozama (</w:t>
      </w:r>
      <w:r w:rsidR="003567F9" w:rsidRPr="009F025B">
        <w:rPr>
          <w:bCs/>
          <w:sz w:val="22"/>
          <w:szCs w:val="22"/>
          <w:lang w:val="hr-HR"/>
        </w:rPr>
        <w:t>≥</w:t>
      </w:r>
      <w:r w:rsidRPr="009F025B">
        <w:rPr>
          <w:bCs/>
          <w:sz w:val="22"/>
          <w:szCs w:val="22"/>
          <w:lang w:val="hr-HR"/>
        </w:rPr>
        <w:t xml:space="preserve"> 15 mg/nedjelja), što može biti posljedica istiskivanja metotreksata iz veze sa proteinima plazme i smanjenja renalnog klirensa metotreksata.</w:t>
      </w:r>
    </w:p>
    <w:p w14:paraId="66157B82" w14:textId="77777777" w:rsidR="00556119" w:rsidRPr="009F025B" w:rsidRDefault="00556119" w:rsidP="00577F77">
      <w:pPr>
        <w:tabs>
          <w:tab w:val="left" w:pos="540"/>
          <w:tab w:val="left" w:pos="569"/>
        </w:tabs>
        <w:jc w:val="both"/>
        <w:rPr>
          <w:bCs/>
          <w:sz w:val="22"/>
          <w:szCs w:val="22"/>
          <w:lang w:val="hr-HR"/>
        </w:rPr>
      </w:pPr>
    </w:p>
    <w:p w14:paraId="61300DF4"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Hidantoini (npr. fenitoin) i sulfonamidi</w:t>
      </w:r>
    </w:p>
    <w:p w14:paraId="0B9440C8"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Toksični efekti tih ljekova mogu se povećati.</w:t>
      </w:r>
    </w:p>
    <w:p w14:paraId="5185E4CA" w14:textId="77777777" w:rsidR="00556119" w:rsidRPr="009F025B" w:rsidRDefault="00556119" w:rsidP="00577F77">
      <w:pPr>
        <w:tabs>
          <w:tab w:val="left" w:pos="540"/>
          <w:tab w:val="left" w:pos="569"/>
        </w:tabs>
        <w:jc w:val="both"/>
        <w:rPr>
          <w:bCs/>
          <w:sz w:val="22"/>
          <w:szCs w:val="22"/>
          <w:lang w:val="hr-HR"/>
        </w:rPr>
      </w:pPr>
    </w:p>
    <w:p w14:paraId="18A6F2B3"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u w:val="single"/>
          <w:lang w:val="hr-HR"/>
        </w:rPr>
        <w:t>Kombinacije sa sljedećim ljekovima zahtijevaju oprez kod primjene:</w:t>
      </w:r>
    </w:p>
    <w:p w14:paraId="57B98448" w14:textId="0801380B" w:rsidR="00556119" w:rsidRPr="009F025B" w:rsidRDefault="00556119" w:rsidP="00577F77">
      <w:pPr>
        <w:tabs>
          <w:tab w:val="left" w:pos="540"/>
          <w:tab w:val="left" w:pos="569"/>
        </w:tabs>
        <w:jc w:val="both"/>
        <w:rPr>
          <w:bCs/>
          <w:sz w:val="22"/>
          <w:szCs w:val="22"/>
          <w:lang w:val="hr-HR"/>
        </w:rPr>
      </w:pPr>
      <w:r w:rsidRPr="009F025B">
        <w:rPr>
          <w:bCs/>
          <w:sz w:val="22"/>
          <w:szCs w:val="22"/>
          <w:lang w:val="hr-HR"/>
        </w:rPr>
        <w:t xml:space="preserve">Medicinski proizvodi i terapeutske grupe koje mogu dovesti do pojave hiperkalijemije (tj. kalijumove soli, diuretici koji štede kalijum, ACE inhibitori i antagonisti angiotenzina II, NSAID, heparini </w:t>
      </w:r>
      <w:r w:rsidR="00577F77" w:rsidRPr="00975DE9">
        <w:rPr>
          <w:bCs/>
          <w:sz w:val="22"/>
          <w:szCs w:val="22"/>
          <w:lang w:val="hr-HR"/>
        </w:rPr>
        <w:t>[</w:t>
      </w:r>
      <w:r w:rsidRPr="009F025B">
        <w:rPr>
          <w:bCs/>
          <w:sz w:val="22"/>
          <w:szCs w:val="22"/>
          <w:lang w:val="hr-HR"/>
        </w:rPr>
        <w:t>niska molekulska masa</w:t>
      </w:r>
      <w:r w:rsidR="00577F77">
        <w:rPr>
          <w:bCs/>
          <w:sz w:val="22"/>
          <w:szCs w:val="22"/>
          <w:lang w:val="hr-HR"/>
        </w:rPr>
        <w:t xml:space="preserve"> </w:t>
      </w:r>
      <w:r w:rsidRPr="009F025B">
        <w:rPr>
          <w:bCs/>
          <w:sz w:val="22"/>
          <w:szCs w:val="22"/>
          <w:lang w:val="hr-HR"/>
        </w:rPr>
        <w:t>ili nefrakcionirani</w:t>
      </w:r>
      <w:r w:rsidR="00577F77" w:rsidRPr="00975DE9">
        <w:rPr>
          <w:bCs/>
          <w:sz w:val="22"/>
          <w:szCs w:val="22"/>
          <w:lang w:val="hr-HR"/>
        </w:rPr>
        <w:t>]</w:t>
      </w:r>
      <w:r w:rsidRPr="009F025B">
        <w:rPr>
          <w:bCs/>
          <w:sz w:val="22"/>
          <w:szCs w:val="22"/>
          <w:lang w:val="hr-HR"/>
        </w:rPr>
        <w:t>, ciklosporin, takrolimus i trimetoprim).</w:t>
      </w:r>
    </w:p>
    <w:p w14:paraId="0314B466"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Rizik od hiperkalijemije može se povećati kada se gore spomenuti ljekovi primjenjuju istovremeno.</w:t>
      </w:r>
    </w:p>
    <w:p w14:paraId="4C59524B" w14:textId="77777777" w:rsidR="00556119" w:rsidRPr="009F025B" w:rsidRDefault="00556119" w:rsidP="00577F77">
      <w:pPr>
        <w:tabs>
          <w:tab w:val="left" w:pos="540"/>
          <w:tab w:val="left" w:pos="569"/>
        </w:tabs>
        <w:jc w:val="both"/>
        <w:rPr>
          <w:bCs/>
          <w:sz w:val="22"/>
          <w:szCs w:val="22"/>
          <w:lang w:val="hr-HR"/>
        </w:rPr>
      </w:pPr>
    </w:p>
    <w:p w14:paraId="197B3F6F"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ACE inhibitori i antagonisti angiotenzina II</w:t>
      </w:r>
    </w:p>
    <w:p w14:paraId="283D5008"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Kod pacijenata sa oštećenjem funkcije bubrega (npr. dehidriranih pacijenata ili starijih pacijenata) istovremena primjena ACE inhibitora ili antagonista angiotenzina II i lijekova koji inhibiraju</w:t>
      </w:r>
    </w:p>
    <w:p w14:paraId="5333FA0D"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ciklooksigenazu može dovesti do daljeg pogoršanja bubrežne funkcije, uključujući i akutnu bubrežnu insuficijenciju.</w:t>
      </w:r>
    </w:p>
    <w:p w14:paraId="0C0CB8F1" w14:textId="77777777" w:rsidR="00556119" w:rsidRPr="009F025B" w:rsidRDefault="00556119" w:rsidP="00577F77">
      <w:pPr>
        <w:tabs>
          <w:tab w:val="left" w:pos="540"/>
          <w:tab w:val="left" w:pos="569"/>
        </w:tabs>
        <w:jc w:val="both"/>
        <w:rPr>
          <w:bCs/>
          <w:sz w:val="22"/>
          <w:szCs w:val="22"/>
          <w:lang w:val="hr-HR"/>
        </w:rPr>
      </w:pPr>
    </w:p>
    <w:p w14:paraId="5F1F9E76"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Kortikosteroidi</w:t>
      </w:r>
    </w:p>
    <w:p w14:paraId="5B0EF573"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je rizik od gastrointestinalnih ulceracija ili krvarenja (vidjeti dio 4.3. i 4.4.).</w:t>
      </w:r>
    </w:p>
    <w:p w14:paraId="67EB1BC9" w14:textId="77777777" w:rsidR="00556119" w:rsidRPr="009F025B" w:rsidRDefault="00556119" w:rsidP="00577F77">
      <w:pPr>
        <w:tabs>
          <w:tab w:val="left" w:pos="540"/>
          <w:tab w:val="left" w:pos="569"/>
        </w:tabs>
        <w:jc w:val="both"/>
        <w:rPr>
          <w:bCs/>
          <w:sz w:val="22"/>
          <w:szCs w:val="22"/>
          <w:lang w:val="hr-HR"/>
        </w:rPr>
      </w:pPr>
    </w:p>
    <w:p w14:paraId="4195D426"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Diuretici</w:t>
      </w:r>
    </w:p>
    <w:p w14:paraId="2BF87F63"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Pacijenti, a posebno dehidrirani pacijenti koji se liječe diureticima imaju povećan rizik od razvoja insuficijencije bubrega usljed smanjenja protoka krvi kroz bubrege izazvanog inhibicijom prostaglandina. Takve pacijente treba rehidrirati prije istovremene primjene ova dva lijeka te pratiti funkciju bubrega kada se liječenje započne (vidjeti dio 4.4.).</w:t>
      </w:r>
    </w:p>
    <w:p w14:paraId="773BBAAD" w14:textId="77777777" w:rsidR="00556119" w:rsidRPr="009F025B" w:rsidRDefault="00556119" w:rsidP="00577F77">
      <w:pPr>
        <w:tabs>
          <w:tab w:val="left" w:pos="540"/>
          <w:tab w:val="left" w:pos="569"/>
        </w:tabs>
        <w:jc w:val="both"/>
        <w:rPr>
          <w:bCs/>
          <w:sz w:val="22"/>
          <w:szCs w:val="22"/>
          <w:lang w:val="hr-HR"/>
        </w:rPr>
      </w:pPr>
    </w:p>
    <w:p w14:paraId="49756427"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Metotreksat u dozama manjim od 15 mg/nedjelja</w:t>
      </w:r>
    </w:p>
    <w:p w14:paraId="378FF5D3"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Tokom prvih nedjelja istovremene terapije ketoprofenom i metotreksatom potrebno je jednom nedjeljno kontrolisati kompletnu krvnu sliku. Ako pacijent ima promijenjenu bubrežnu funkciju ili je bolesnik stariji, kontrolu kompletne krvne slike je potrebno raditi češće.</w:t>
      </w:r>
    </w:p>
    <w:p w14:paraId="28D66856" w14:textId="77777777" w:rsidR="00556119" w:rsidRPr="009F025B" w:rsidRDefault="00556119" w:rsidP="00577F77">
      <w:pPr>
        <w:tabs>
          <w:tab w:val="left" w:pos="540"/>
          <w:tab w:val="left" w:pos="569"/>
        </w:tabs>
        <w:jc w:val="both"/>
        <w:rPr>
          <w:bCs/>
          <w:sz w:val="22"/>
          <w:szCs w:val="22"/>
          <w:lang w:val="hr-HR"/>
        </w:rPr>
      </w:pPr>
    </w:p>
    <w:p w14:paraId="446D6610"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Pentoksifilin</w:t>
      </w:r>
    </w:p>
    <w:p w14:paraId="33F13DD8"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Istovremena primjena sa ketoprofenom može povećati rizik od krvarenja. Potrebne su češće ljekarske kontrole, kao i kontrole vremena krvarenja.</w:t>
      </w:r>
    </w:p>
    <w:p w14:paraId="48DE4CA1" w14:textId="77777777" w:rsidR="00556119" w:rsidRPr="009F025B" w:rsidRDefault="00556119" w:rsidP="00577F77">
      <w:pPr>
        <w:tabs>
          <w:tab w:val="left" w:pos="540"/>
          <w:tab w:val="left" w:pos="569"/>
        </w:tabs>
        <w:jc w:val="both"/>
        <w:rPr>
          <w:bCs/>
          <w:sz w:val="22"/>
          <w:szCs w:val="22"/>
          <w:lang w:val="hr-HR"/>
        </w:rPr>
      </w:pPr>
    </w:p>
    <w:p w14:paraId="132E8911"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Tenofovir</w:t>
      </w:r>
    </w:p>
    <w:p w14:paraId="7B4D1D13" w14:textId="31CFBE96" w:rsidR="00556119" w:rsidRPr="009F025B" w:rsidRDefault="00556119" w:rsidP="00577F77">
      <w:pPr>
        <w:tabs>
          <w:tab w:val="left" w:pos="540"/>
          <w:tab w:val="left" w:pos="569"/>
        </w:tabs>
        <w:jc w:val="both"/>
        <w:rPr>
          <w:bCs/>
          <w:sz w:val="22"/>
          <w:szCs w:val="22"/>
          <w:lang w:val="hr-HR"/>
        </w:rPr>
      </w:pPr>
      <w:r w:rsidRPr="009F025B">
        <w:rPr>
          <w:bCs/>
          <w:sz w:val="22"/>
          <w:szCs w:val="22"/>
          <w:lang w:val="hr-HR"/>
        </w:rPr>
        <w:t>Isto</w:t>
      </w:r>
      <w:r w:rsidR="00577F77">
        <w:rPr>
          <w:bCs/>
          <w:sz w:val="22"/>
          <w:szCs w:val="22"/>
          <w:lang w:val="hr-HR"/>
        </w:rPr>
        <w:t>vremena</w:t>
      </w:r>
      <w:r w:rsidRPr="009F025B">
        <w:rPr>
          <w:bCs/>
          <w:sz w:val="22"/>
          <w:szCs w:val="22"/>
          <w:lang w:val="hr-HR"/>
        </w:rPr>
        <w:t xml:space="preserve"> primjena tenofovirdisoproksil fumarata i NSAIL-a može povećati rizik od insuficijencije bubrega.</w:t>
      </w:r>
    </w:p>
    <w:p w14:paraId="5861622E" w14:textId="77777777" w:rsidR="00556119" w:rsidRPr="009F025B" w:rsidRDefault="00556119" w:rsidP="00577F77">
      <w:pPr>
        <w:tabs>
          <w:tab w:val="left" w:pos="540"/>
          <w:tab w:val="left" w:pos="569"/>
        </w:tabs>
        <w:jc w:val="both"/>
        <w:rPr>
          <w:bCs/>
          <w:sz w:val="22"/>
          <w:szCs w:val="22"/>
          <w:lang w:val="hr-HR"/>
        </w:rPr>
      </w:pPr>
    </w:p>
    <w:p w14:paraId="2B00575A"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Nikorandil</w:t>
      </w:r>
    </w:p>
    <w:p w14:paraId="4723ECF7"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Istovremena primjena nikorandila i NSAIL-a može povećati rizik od ozbiljnih komplikacija kao što su gastrointestinalne ulceracije, perforacije i hemoragija (vidjeti dio 4.4).</w:t>
      </w:r>
    </w:p>
    <w:p w14:paraId="48468E54" w14:textId="77777777" w:rsidR="00556119" w:rsidRPr="009F025B" w:rsidRDefault="00556119" w:rsidP="00577F77">
      <w:pPr>
        <w:tabs>
          <w:tab w:val="left" w:pos="540"/>
          <w:tab w:val="left" w:pos="569"/>
        </w:tabs>
        <w:jc w:val="both"/>
        <w:rPr>
          <w:bCs/>
          <w:sz w:val="22"/>
          <w:szCs w:val="22"/>
          <w:lang w:val="hr-HR"/>
        </w:rPr>
      </w:pPr>
    </w:p>
    <w:p w14:paraId="55CF1B1C" w14:textId="2E86591B" w:rsidR="00556119" w:rsidRPr="009F025B" w:rsidRDefault="00516189" w:rsidP="00577F77">
      <w:pPr>
        <w:tabs>
          <w:tab w:val="left" w:pos="540"/>
          <w:tab w:val="left" w:pos="569"/>
        </w:tabs>
        <w:jc w:val="both"/>
        <w:rPr>
          <w:bCs/>
          <w:i/>
          <w:sz w:val="22"/>
          <w:szCs w:val="22"/>
          <w:lang w:val="hr-HR"/>
        </w:rPr>
      </w:pPr>
      <w:r w:rsidRPr="009F025B">
        <w:rPr>
          <w:bCs/>
          <w:i/>
          <w:sz w:val="22"/>
          <w:szCs w:val="22"/>
          <w:lang w:val="hr-HR"/>
        </w:rPr>
        <w:t xml:space="preserve">Kardiotonični </w:t>
      </w:r>
      <w:r w:rsidR="00556119" w:rsidRPr="009F025B">
        <w:rPr>
          <w:bCs/>
          <w:i/>
          <w:sz w:val="22"/>
          <w:szCs w:val="22"/>
          <w:lang w:val="hr-HR"/>
        </w:rPr>
        <w:t>glikozidi</w:t>
      </w:r>
    </w:p>
    <w:p w14:paraId="054FDEE9"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NSAIL mogu pogoršati srčanu insuficijenciju, smanjiti brzinu glomerularne filtracije i povećati koncentraciju glikozida u plazmi. Ipak, farmakokinetička interakcija ketoprofena i digoksina nije dokazana.</w:t>
      </w:r>
    </w:p>
    <w:p w14:paraId="64274D09" w14:textId="77777777" w:rsidR="00556119" w:rsidRPr="009F025B" w:rsidRDefault="00556119" w:rsidP="00577F77">
      <w:pPr>
        <w:tabs>
          <w:tab w:val="left" w:pos="540"/>
          <w:tab w:val="left" w:pos="569"/>
        </w:tabs>
        <w:jc w:val="both"/>
        <w:rPr>
          <w:bCs/>
          <w:sz w:val="22"/>
          <w:szCs w:val="22"/>
          <w:lang w:val="hr-HR"/>
        </w:rPr>
      </w:pPr>
    </w:p>
    <w:p w14:paraId="52C33B8B"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Zidovudin</w:t>
      </w:r>
    </w:p>
    <w:p w14:paraId="26D02534"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je rizik toksičnosti vezano za eritrocite, usljed efekta na retikulocite, sa pojavom teške anemije nedjelju dana nakon početka liječenja nesteroidnim antiinflamatornim ljekovima. Preporučuje se redovno praćenje broja eritrocita i retikulocita 1 do 2 nedjelje nakon početka liječenja sa ketoprofenlizinatom.</w:t>
      </w:r>
    </w:p>
    <w:p w14:paraId="1A301056" w14:textId="77777777" w:rsidR="00556119" w:rsidRPr="009F025B" w:rsidRDefault="00556119" w:rsidP="00577F77">
      <w:pPr>
        <w:tabs>
          <w:tab w:val="left" w:pos="540"/>
          <w:tab w:val="left" w:pos="569"/>
        </w:tabs>
        <w:jc w:val="both"/>
        <w:rPr>
          <w:bCs/>
          <w:sz w:val="22"/>
          <w:szCs w:val="22"/>
          <w:lang w:val="hr-HR"/>
        </w:rPr>
      </w:pPr>
    </w:p>
    <w:p w14:paraId="40EF81EB"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Sulfonilureje</w:t>
      </w:r>
    </w:p>
    <w:p w14:paraId="3F57E392"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Nesteroidni antiinflamatorni ljekovi mogu pojačati hipoglikemijski efekat sulfonilureja putem njihovog istiskivanja sa mjesta vezanja za proteine plazme.</w:t>
      </w:r>
    </w:p>
    <w:p w14:paraId="29C231A8" w14:textId="77777777" w:rsidR="00556119" w:rsidRPr="009F025B" w:rsidRDefault="00556119" w:rsidP="00577F77">
      <w:pPr>
        <w:tabs>
          <w:tab w:val="left" w:pos="540"/>
          <w:tab w:val="left" w:pos="569"/>
        </w:tabs>
        <w:jc w:val="both"/>
        <w:rPr>
          <w:bCs/>
          <w:sz w:val="22"/>
          <w:szCs w:val="22"/>
          <w:lang w:val="hr-HR"/>
        </w:rPr>
      </w:pPr>
    </w:p>
    <w:p w14:paraId="19F7B6CD"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u w:val="single"/>
          <w:lang w:val="hr-HR"/>
        </w:rPr>
        <w:t>Kombinacije sa sljedećim ljekovima treba uzeti u obzir:</w:t>
      </w:r>
    </w:p>
    <w:p w14:paraId="4F2C95DD"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Antihipertenzivi (beta-blokatori, inhibitori angiotenzin konvertaze, diuretici)</w:t>
      </w:r>
    </w:p>
    <w:p w14:paraId="7C7E0C62"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Može biti smanjen antihipertenzivni efekat (jer NSAIL inhibiraju vazodilatatorno djelovanje prostaglandina).</w:t>
      </w:r>
    </w:p>
    <w:p w14:paraId="0AAE0849" w14:textId="77777777" w:rsidR="00556119" w:rsidRPr="009F025B" w:rsidRDefault="00556119" w:rsidP="00577F77">
      <w:pPr>
        <w:tabs>
          <w:tab w:val="left" w:pos="540"/>
          <w:tab w:val="left" w:pos="569"/>
        </w:tabs>
        <w:jc w:val="both"/>
        <w:rPr>
          <w:bCs/>
          <w:i/>
          <w:sz w:val="22"/>
          <w:szCs w:val="22"/>
          <w:lang w:val="hr-HR"/>
        </w:rPr>
      </w:pPr>
    </w:p>
    <w:p w14:paraId="51809596"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Ciklosporin, takrolimus</w:t>
      </w:r>
    </w:p>
    <w:p w14:paraId="4CF776C1"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Rizik od dodatnih nefrotoksičnih efekata, naročito kod starijih osoba.</w:t>
      </w:r>
    </w:p>
    <w:p w14:paraId="4C93AD18" w14:textId="77777777" w:rsidR="00556119" w:rsidRPr="009F025B" w:rsidRDefault="00556119" w:rsidP="00577F77">
      <w:pPr>
        <w:tabs>
          <w:tab w:val="left" w:pos="540"/>
          <w:tab w:val="left" w:pos="569"/>
        </w:tabs>
        <w:jc w:val="both"/>
        <w:rPr>
          <w:bCs/>
          <w:sz w:val="22"/>
          <w:szCs w:val="22"/>
          <w:lang w:val="hr-HR"/>
        </w:rPr>
      </w:pPr>
    </w:p>
    <w:p w14:paraId="58644989"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Probenecid</w:t>
      </w:r>
    </w:p>
    <w:p w14:paraId="1A65E21E"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Istovremena primjena probenecida može značajno smanjiti klirens ketoprofena iz plazme.</w:t>
      </w:r>
    </w:p>
    <w:p w14:paraId="51A0481A" w14:textId="77777777" w:rsidR="00556119" w:rsidRPr="009F025B" w:rsidRDefault="00556119" w:rsidP="00577F77">
      <w:pPr>
        <w:tabs>
          <w:tab w:val="left" w:pos="540"/>
          <w:tab w:val="left" w:pos="569"/>
        </w:tabs>
        <w:jc w:val="both"/>
        <w:rPr>
          <w:bCs/>
          <w:sz w:val="22"/>
          <w:szCs w:val="22"/>
          <w:lang w:val="hr-HR"/>
        </w:rPr>
      </w:pPr>
    </w:p>
    <w:p w14:paraId="0CFAF7EC"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Selektivni inhibitori ponovne pohrane serotonina (SSRI)</w:t>
      </w:r>
    </w:p>
    <w:p w14:paraId="1305D07C" w14:textId="77777777"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rizik od krvarenja iz gastrointestinalnog sistema (vidjeti dio 4.4.).</w:t>
      </w:r>
    </w:p>
    <w:p w14:paraId="611BDDEA" w14:textId="77777777" w:rsidR="00556119" w:rsidRPr="009F025B" w:rsidRDefault="00556119" w:rsidP="00577F77">
      <w:pPr>
        <w:tabs>
          <w:tab w:val="left" w:pos="540"/>
          <w:tab w:val="left" w:pos="569"/>
        </w:tabs>
        <w:jc w:val="both"/>
        <w:rPr>
          <w:bCs/>
          <w:sz w:val="22"/>
          <w:szCs w:val="22"/>
          <w:lang w:val="hr-HR"/>
        </w:rPr>
      </w:pPr>
    </w:p>
    <w:p w14:paraId="051D550B" w14:textId="77777777" w:rsidR="00556119" w:rsidRPr="009F025B" w:rsidRDefault="00556119" w:rsidP="00577F77">
      <w:pPr>
        <w:tabs>
          <w:tab w:val="left" w:pos="540"/>
          <w:tab w:val="left" w:pos="569"/>
        </w:tabs>
        <w:jc w:val="both"/>
        <w:rPr>
          <w:bCs/>
          <w:i/>
          <w:sz w:val="22"/>
          <w:szCs w:val="22"/>
          <w:lang w:val="hr-HR"/>
        </w:rPr>
      </w:pPr>
      <w:r w:rsidRPr="009F025B">
        <w:rPr>
          <w:bCs/>
          <w:i/>
          <w:sz w:val="22"/>
          <w:szCs w:val="22"/>
          <w:lang w:val="hr-HR"/>
        </w:rPr>
        <w:t>Trombolitici</w:t>
      </w:r>
    </w:p>
    <w:p w14:paraId="4EAA46B9" w14:textId="7205D691" w:rsidR="00556119" w:rsidRPr="009F025B" w:rsidRDefault="00556119" w:rsidP="00577F77">
      <w:pPr>
        <w:tabs>
          <w:tab w:val="left" w:pos="540"/>
          <w:tab w:val="left" w:pos="569"/>
        </w:tabs>
        <w:jc w:val="both"/>
        <w:rPr>
          <w:bCs/>
          <w:sz w:val="22"/>
          <w:szCs w:val="22"/>
          <w:lang w:val="hr-HR"/>
        </w:rPr>
      </w:pPr>
      <w:r w:rsidRPr="009F025B">
        <w:rPr>
          <w:bCs/>
          <w:sz w:val="22"/>
          <w:szCs w:val="22"/>
          <w:lang w:val="hr-HR"/>
        </w:rPr>
        <w:t>Povećan je rizik od krvarenja.</w:t>
      </w:r>
    </w:p>
    <w:p w14:paraId="34921D4A" w14:textId="4A137B44" w:rsidR="00556119" w:rsidRDefault="00556119" w:rsidP="00577F77">
      <w:pPr>
        <w:tabs>
          <w:tab w:val="left" w:pos="540"/>
          <w:tab w:val="left" w:pos="569"/>
        </w:tabs>
        <w:jc w:val="both"/>
        <w:rPr>
          <w:bCs/>
          <w:sz w:val="22"/>
          <w:szCs w:val="22"/>
          <w:lang w:val="de-DE"/>
        </w:rPr>
      </w:pPr>
    </w:p>
    <w:p w14:paraId="686CC441" w14:textId="41EB7A37" w:rsidR="00942FAE" w:rsidRDefault="00942FAE" w:rsidP="00577F77">
      <w:pPr>
        <w:tabs>
          <w:tab w:val="left" w:pos="540"/>
          <w:tab w:val="left" w:pos="569"/>
        </w:tabs>
        <w:jc w:val="both"/>
        <w:rPr>
          <w:bCs/>
          <w:sz w:val="22"/>
          <w:szCs w:val="22"/>
          <w:lang w:val="de-DE"/>
        </w:rPr>
      </w:pPr>
    </w:p>
    <w:p w14:paraId="01BC5F8F" w14:textId="16879294" w:rsidR="00942FAE" w:rsidRDefault="00942FAE" w:rsidP="00577F77">
      <w:pPr>
        <w:tabs>
          <w:tab w:val="left" w:pos="540"/>
          <w:tab w:val="left" w:pos="569"/>
        </w:tabs>
        <w:jc w:val="both"/>
        <w:rPr>
          <w:bCs/>
          <w:sz w:val="22"/>
          <w:szCs w:val="22"/>
          <w:lang w:val="de-DE"/>
        </w:rPr>
      </w:pPr>
    </w:p>
    <w:p w14:paraId="6A0EEA0A" w14:textId="107E831C" w:rsidR="00942FAE" w:rsidRDefault="00942FAE" w:rsidP="00577F77">
      <w:pPr>
        <w:tabs>
          <w:tab w:val="left" w:pos="540"/>
          <w:tab w:val="left" w:pos="569"/>
        </w:tabs>
        <w:jc w:val="both"/>
        <w:rPr>
          <w:bCs/>
          <w:sz w:val="22"/>
          <w:szCs w:val="22"/>
          <w:lang w:val="de-DE"/>
        </w:rPr>
      </w:pPr>
    </w:p>
    <w:p w14:paraId="607875AD" w14:textId="57C18BD9" w:rsidR="00942FAE" w:rsidRDefault="00942FAE" w:rsidP="00577F77">
      <w:pPr>
        <w:tabs>
          <w:tab w:val="left" w:pos="540"/>
          <w:tab w:val="left" w:pos="569"/>
        </w:tabs>
        <w:jc w:val="both"/>
        <w:rPr>
          <w:bCs/>
          <w:sz w:val="22"/>
          <w:szCs w:val="22"/>
          <w:lang w:val="de-DE"/>
        </w:rPr>
      </w:pPr>
    </w:p>
    <w:p w14:paraId="371EE337" w14:textId="77777777" w:rsidR="00942FAE" w:rsidRPr="009F025B" w:rsidRDefault="00942FAE" w:rsidP="00577F77">
      <w:pPr>
        <w:tabs>
          <w:tab w:val="left" w:pos="540"/>
          <w:tab w:val="left" w:pos="569"/>
        </w:tabs>
        <w:jc w:val="both"/>
        <w:rPr>
          <w:bCs/>
          <w:sz w:val="22"/>
          <w:szCs w:val="22"/>
          <w:lang w:val="de-DE"/>
        </w:rPr>
      </w:pPr>
    </w:p>
    <w:p w14:paraId="7B44B8C1" w14:textId="77777777" w:rsidR="0072020E" w:rsidRPr="009F025B" w:rsidRDefault="0072020E" w:rsidP="00577F77">
      <w:pPr>
        <w:tabs>
          <w:tab w:val="left" w:pos="540"/>
          <w:tab w:val="left" w:pos="569"/>
        </w:tabs>
        <w:jc w:val="both"/>
        <w:rPr>
          <w:b/>
          <w:sz w:val="22"/>
          <w:szCs w:val="22"/>
          <w:lang w:val="sr-Latn-CS"/>
        </w:rPr>
      </w:pPr>
      <w:r w:rsidRPr="009F025B">
        <w:rPr>
          <w:b/>
          <w:bCs/>
          <w:sz w:val="22"/>
          <w:szCs w:val="22"/>
          <w:lang w:val="de-DE"/>
        </w:rPr>
        <w:lastRenderedPageBreak/>
        <w:t xml:space="preserve">4.6. </w:t>
      </w:r>
      <w:r w:rsidR="00480FB1" w:rsidRPr="009F025B">
        <w:rPr>
          <w:b/>
          <w:bCs/>
          <w:sz w:val="22"/>
          <w:szCs w:val="22"/>
          <w:lang w:val="de-DE"/>
        </w:rPr>
        <w:tab/>
      </w:r>
      <w:r w:rsidR="006D20A5" w:rsidRPr="009F025B">
        <w:rPr>
          <w:b/>
          <w:sz w:val="22"/>
          <w:szCs w:val="22"/>
          <w:lang w:val="sr-Latn-CS"/>
        </w:rPr>
        <w:t>Plodnost, trudnoća i dojenje</w:t>
      </w:r>
    </w:p>
    <w:p w14:paraId="1670B40F" w14:textId="77777777" w:rsidR="002031B3" w:rsidRPr="009F025B" w:rsidRDefault="002031B3" w:rsidP="00577F77">
      <w:pPr>
        <w:tabs>
          <w:tab w:val="left" w:pos="540"/>
          <w:tab w:val="left" w:pos="569"/>
        </w:tabs>
        <w:jc w:val="both"/>
        <w:rPr>
          <w:sz w:val="22"/>
          <w:szCs w:val="22"/>
          <w:u w:val="single"/>
          <w:lang w:val="de-DE"/>
        </w:rPr>
      </w:pPr>
    </w:p>
    <w:p w14:paraId="7CB8654F" w14:textId="77777777" w:rsidR="002031B3" w:rsidRPr="009F025B" w:rsidRDefault="002031B3" w:rsidP="00577F77">
      <w:pPr>
        <w:tabs>
          <w:tab w:val="left" w:pos="540"/>
          <w:tab w:val="left" w:pos="569"/>
        </w:tabs>
        <w:jc w:val="both"/>
        <w:rPr>
          <w:sz w:val="22"/>
          <w:szCs w:val="22"/>
          <w:u w:val="single"/>
          <w:lang w:val="de-DE"/>
        </w:rPr>
      </w:pPr>
      <w:r w:rsidRPr="009F025B">
        <w:rPr>
          <w:sz w:val="22"/>
          <w:szCs w:val="22"/>
          <w:u w:val="single"/>
          <w:lang w:val="de-DE"/>
        </w:rPr>
        <w:t>Plodnost</w:t>
      </w:r>
    </w:p>
    <w:p w14:paraId="49137AF0" w14:textId="04F95EB5" w:rsidR="002031B3" w:rsidRPr="009F025B" w:rsidRDefault="002031B3" w:rsidP="00577F77">
      <w:pPr>
        <w:tabs>
          <w:tab w:val="left" w:pos="540"/>
          <w:tab w:val="left" w:pos="569"/>
        </w:tabs>
        <w:jc w:val="both"/>
        <w:rPr>
          <w:sz w:val="22"/>
          <w:szCs w:val="22"/>
          <w:u w:val="single"/>
          <w:lang w:val="de-DE"/>
        </w:rPr>
      </w:pPr>
    </w:p>
    <w:p w14:paraId="33DC3FC7" w14:textId="77777777" w:rsidR="00883D8D" w:rsidRPr="009F025B" w:rsidRDefault="00883D8D" w:rsidP="00577F77">
      <w:pPr>
        <w:tabs>
          <w:tab w:val="left" w:pos="540"/>
          <w:tab w:val="left" w:pos="569"/>
        </w:tabs>
        <w:jc w:val="both"/>
        <w:rPr>
          <w:sz w:val="22"/>
          <w:szCs w:val="22"/>
          <w:lang w:val="hr-HR"/>
        </w:rPr>
      </w:pPr>
      <w:r w:rsidRPr="009F025B">
        <w:rPr>
          <w:sz w:val="22"/>
          <w:szCs w:val="22"/>
          <w:lang w:val="hr-HR"/>
        </w:rPr>
        <w:t>Primjena NSAIL može smanjiti plodnost kod žena, te se ne preporučuje ženama koje želeda ostanu trudne. Kod žena sa poteškoćama sa začećem, ili žena koje su na analizama zbog neplodnosti, neophodno je razmotriti obustavu primjene NSAIL.</w:t>
      </w:r>
    </w:p>
    <w:p w14:paraId="6DB2E5BF" w14:textId="77777777" w:rsidR="00883D8D" w:rsidRPr="009F025B" w:rsidRDefault="00883D8D" w:rsidP="00577F77">
      <w:pPr>
        <w:tabs>
          <w:tab w:val="left" w:pos="540"/>
          <w:tab w:val="left" w:pos="569"/>
        </w:tabs>
        <w:jc w:val="both"/>
        <w:rPr>
          <w:sz w:val="22"/>
          <w:szCs w:val="22"/>
          <w:u w:val="single"/>
          <w:lang w:val="hr-HR"/>
        </w:rPr>
      </w:pPr>
    </w:p>
    <w:p w14:paraId="0B60311E" w14:textId="77777777" w:rsidR="007A3ECB" w:rsidRPr="009F025B" w:rsidRDefault="007A3ECB" w:rsidP="00577F77">
      <w:pPr>
        <w:tabs>
          <w:tab w:val="left" w:pos="540"/>
          <w:tab w:val="left" w:pos="569"/>
        </w:tabs>
        <w:jc w:val="both"/>
        <w:rPr>
          <w:sz w:val="22"/>
          <w:szCs w:val="22"/>
          <w:u w:val="single"/>
          <w:lang w:val="hr-HR"/>
        </w:rPr>
      </w:pPr>
      <w:r w:rsidRPr="009F025B">
        <w:rPr>
          <w:sz w:val="22"/>
          <w:szCs w:val="22"/>
          <w:u w:val="single"/>
          <w:lang w:val="hr-HR"/>
        </w:rPr>
        <w:t>Trudnoća</w:t>
      </w:r>
    </w:p>
    <w:p w14:paraId="0448FCE8" w14:textId="2D945A25" w:rsidR="002031B3" w:rsidRPr="009F025B" w:rsidRDefault="002031B3" w:rsidP="00577F77">
      <w:pPr>
        <w:tabs>
          <w:tab w:val="left" w:pos="540"/>
          <w:tab w:val="left" w:pos="569"/>
        </w:tabs>
        <w:jc w:val="both"/>
        <w:rPr>
          <w:sz w:val="22"/>
          <w:szCs w:val="22"/>
          <w:u w:val="single"/>
          <w:lang w:val="hr-HR"/>
        </w:rPr>
      </w:pPr>
    </w:p>
    <w:p w14:paraId="6EE1134E" w14:textId="45C80E73" w:rsidR="0072389A" w:rsidRPr="009F025B" w:rsidRDefault="0072389A" w:rsidP="00577F77">
      <w:pPr>
        <w:tabs>
          <w:tab w:val="left" w:pos="540"/>
          <w:tab w:val="left" w:pos="569"/>
        </w:tabs>
        <w:jc w:val="both"/>
        <w:rPr>
          <w:sz w:val="22"/>
          <w:szCs w:val="22"/>
          <w:lang w:val="hr-HR"/>
        </w:rPr>
      </w:pPr>
      <w:r w:rsidRPr="009F025B">
        <w:rPr>
          <w:sz w:val="22"/>
          <w:szCs w:val="22"/>
          <w:lang w:val="hr-HR"/>
        </w:rPr>
        <w:t xml:space="preserve">Inhibicija sinteze prostaglandina može štetno djelovati na trudnoću i/ili embrio/fetalni razvoj. Podaci iz epidemioloških studija ukazuju na povećani rizik od pobačaja i srčanih malformacija </w:t>
      </w:r>
      <w:r w:rsidR="00577F77">
        <w:rPr>
          <w:sz w:val="22"/>
          <w:szCs w:val="22"/>
          <w:lang w:val="hr-HR"/>
        </w:rPr>
        <w:t xml:space="preserve">kao i </w:t>
      </w:r>
      <w:r w:rsidRPr="009F025B">
        <w:rPr>
          <w:sz w:val="22"/>
          <w:szCs w:val="22"/>
          <w:lang w:val="hr-HR"/>
        </w:rPr>
        <w:t>gastroshize, nakon primjene inhibitora sinteze prostaglandina u ranoj trudnoći. Apsolutni rizik za kardiovaskularne malformacije je povećan, sa manje od 1 %, na približno 1,5 %. Vjeruje se kako se rizik povećava sa dozom i trajanjem terapije. Kod životinja, pokazalo se je da primjena inhibitora sinteze prostaglandina rezultuje povećanim pre- i post-implantacijskim gubitkom i embrio-fetalnim letalitetom. Pored toga, kod životinja</w:t>
      </w:r>
      <w:r w:rsidR="00577F77">
        <w:rPr>
          <w:sz w:val="22"/>
          <w:szCs w:val="22"/>
          <w:lang w:val="hr-HR"/>
        </w:rPr>
        <w:t xml:space="preserve"> kod kojih je primjenjivan </w:t>
      </w:r>
      <w:r w:rsidRPr="009F025B">
        <w:rPr>
          <w:sz w:val="22"/>
          <w:szCs w:val="22"/>
          <w:lang w:val="hr-HR"/>
        </w:rPr>
        <w:t xml:space="preserve"> inhibitor sinteze prostaglandina tokom perioda organogeneze prijavljena je povećana incidenca različitih malformacija, uključujući kardiovaskularne. </w:t>
      </w:r>
      <w:bookmarkStart w:id="0" w:name="_Hlk143683155"/>
      <w:r w:rsidR="007726AA" w:rsidRPr="009F025B">
        <w:rPr>
          <w:sz w:val="22"/>
          <w:szCs w:val="22"/>
          <w:lang w:val="hr-HR"/>
        </w:rPr>
        <w:t>Od 20. ned</w:t>
      </w:r>
      <w:r w:rsidR="00577F77">
        <w:rPr>
          <w:sz w:val="22"/>
          <w:szCs w:val="22"/>
          <w:lang w:val="hr-HR"/>
        </w:rPr>
        <w:t>j</w:t>
      </w:r>
      <w:r w:rsidR="007726AA" w:rsidRPr="009F025B">
        <w:rPr>
          <w:sz w:val="22"/>
          <w:szCs w:val="22"/>
          <w:lang w:val="hr-HR"/>
        </w:rPr>
        <w:t>elje trudnoće nadalje, primjena ketoprofena može uzrokovati oligohidramnion koji je posljedica bubrežne disfunkcije kod fetusa. To se može dogoditi ubrzo nakon početka liječenja i obično je reverzibilno nakon prekida liječenja.</w:t>
      </w:r>
      <w:r w:rsidR="00577F77">
        <w:rPr>
          <w:sz w:val="22"/>
          <w:szCs w:val="22"/>
          <w:lang w:val="hr-HR"/>
        </w:rPr>
        <w:t xml:space="preserve">Pored toga </w:t>
      </w:r>
      <w:r w:rsidR="007726AA" w:rsidRPr="009F025B">
        <w:rPr>
          <w:sz w:val="22"/>
          <w:szCs w:val="22"/>
          <w:lang w:val="hr-HR"/>
        </w:rPr>
        <w:t xml:space="preserve">, prijavljena su suženja arterioznog duktusa, nakon primjene ketoprofena u drugom tromjesečju trudnoće, od kojih je većina nestala nakon prestanka primjene. Radi navedenoga, tokom prvog i drugog trimestra trudnoće, ketoprofen se ne smije primjenjivati, osim u slučaju krajnje potrebe. Ako se ketoprofen primjenjuje kod žene koja nastoji zatrudnjeti, ili za vrijeme prvog i drugog trimestra trudnoće, doza mora biti što je moguće manja, a trajanje terapije što je moguće kraće. Antenatalno praćenje radi otkrivanja moguće pojave oligohidramniona i suženja </w:t>
      </w:r>
      <w:r w:rsidR="003E5792" w:rsidRPr="009F025B">
        <w:rPr>
          <w:sz w:val="22"/>
          <w:szCs w:val="22"/>
          <w:lang w:val="hr-HR"/>
        </w:rPr>
        <w:t>arterioznog duktusa</w:t>
      </w:r>
      <w:r w:rsidR="007726AA" w:rsidRPr="009F025B">
        <w:rPr>
          <w:sz w:val="22"/>
          <w:szCs w:val="22"/>
          <w:lang w:val="hr-HR"/>
        </w:rPr>
        <w:t xml:space="preserve"> treba razmotriti nakon izlaganja ketoprofenu tokom nekoliko dana od 20. gestacijske nedelje nadalje. Primjena ketoprofena mora se prekinuti ako se utvrdi oligohidramnion ili suženje </w:t>
      </w:r>
      <w:r w:rsidR="003E5792" w:rsidRPr="009F025B">
        <w:rPr>
          <w:sz w:val="22"/>
          <w:szCs w:val="22"/>
          <w:lang w:val="hr-HR"/>
        </w:rPr>
        <w:t>arterioznog duktusa</w:t>
      </w:r>
      <w:r w:rsidR="007726AA" w:rsidRPr="009F025B">
        <w:rPr>
          <w:sz w:val="22"/>
          <w:szCs w:val="22"/>
          <w:lang w:val="hr-HR"/>
        </w:rPr>
        <w:t>.</w:t>
      </w:r>
      <w:bookmarkEnd w:id="0"/>
      <w:r w:rsidR="007726AA" w:rsidRPr="009F025B">
        <w:rPr>
          <w:sz w:val="22"/>
          <w:szCs w:val="22"/>
          <w:lang w:val="hr-HR"/>
        </w:rPr>
        <w:t xml:space="preserve"> </w:t>
      </w:r>
    </w:p>
    <w:p w14:paraId="4BAE9271" w14:textId="77777777" w:rsidR="0072389A" w:rsidRPr="009F025B" w:rsidRDefault="0072389A" w:rsidP="00577F77">
      <w:pPr>
        <w:tabs>
          <w:tab w:val="left" w:pos="540"/>
          <w:tab w:val="left" w:pos="569"/>
        </w:tabs>
        <w:jc w:val="both"/>
        <w:rPr>
          <w:sz w:val="22"/>
          <w:szCs w:val="22"/>
          <w:lang w:val="hr-HR"/>
        </w:rPr>
      </w:pPr>
    </w:p>
    <w:p w14:paraId="0334E3AE" w14:textId="77777777" w:rsidR="0072389A" w:rsidRPr="009F025B" w:rsidRDefault="0072389A" w:rsidP="00577F77">
      <w:pPr>
        <w:tabs>
          <w:tab w:val="left" w:pos="540"/>
          <w:tab w:val="left" w:pos="569"/>
        </w:tabs>
        <w:jc w:val="both"/>
        <w:rPr>
          <w:sz w:val="22"/>
          <w:szCs w:val="22"/>
          <w:lang w:val="hr-HR"/>
        </w:rPr>
      </w:pPr>
      <w:r w:rsidRPr="009F025B">
        <w:rPr>
          <w:sz w:val="22"/>
          <w:szCs w:val="22"/>
          <w:lang w:val="hr-HR"/>
        </w:rPr>
        <w:t>Za vrijeme trećeg trimestra trudnoće, svi inhibitori sinteze prostaglandina mogu izložiti:</w:t>
      </w:r>
    </w:p>
    <w:p w14:paraId="1F0F2989" w14:textId="77777777" w:rsidR="0072389A" w:rsidRPr="009F025B" w:rsidRDefault="0072389A" w:rsidP="00577F77">
      <w:pPr>
        <w:numPr>
          <w:ilvl w:val="0"/>
          <w:numId w:val="12"/>
        </w:numPr>
        <w:tabs>
          <w:tab w:val="left" w:pos="540"/>
        </w:tabs>
        <w:jc w:val="both"/>
        <w:rPr>
          <w:sz w:val="22"/>
          <w:szCs w:val="22"/>
          <w:lang w:val="hr-HR"/>
        </w:rPr>
      </w:pPr>
      <w:r w:rsidRPr="009F025B">
        <w:rPr>
          <w:sz w:val="22"/>
          <w:szCs w:val="22"/>
          <w:lang w:val="hr-HR"/>
        </w:rPr>
        <w:t>fetus:</w:t>
      </w:r>
    </w:p>
    <w:p w14:paraId="23B91D67" w14:textId="2ADA29B1" w:rsidR="0072389A" w:rsidRPr="009F025B" w:rsidRDefault="0072389A" w:rsidP="00577F77">
      <w:pPr>
        <w:numPr>
          <w:ilvl w:val="1"/>
          <w:numId w:val="12"/>
        </w:numPr>
        <w:tabs>
          <w:tab w:val="left" w:pos="540"/>
          <w:tab w:val="left" w:pos="569"/>
        </w:tabs>
        <w:jc w:val="both"/>
        <w:rPr>
          <w:sz w:val="22"/>
          <w:szCs w:val="22"/>
          <w:lang w:val="hr-HR"/>
        </w:rPr>
      </w:pPr>
      <w:r w:rsidRPr="009F025B">
        <w:rPr>
          <w:sz w:val="22"/>
          <w:szCs w:val="22"/>
          <w:lang w:val="hr-HR"/>
        </w:rPr>
        <w:t xml:space="preserve">kardiopulmonalnoj toksičnosti (sa preranim zatvaranjem </w:t>
      </w:r>
      <w:r w:rsidR="003E5792" w:rsidRPr="009F025B">
        <w:rPr>
          <w:sz w:val="22"/>
          <w:szCs w:val="22"/>
          <w:lang w:val="hr-HR"/>
        </w:rPr>
        <w:t>arterioznog duktusa</w:t>
      </w:r>
      <w:r w:rsidRPr="009F025B">
        <w:rPr>
          <w:sz w:val="22"/>
          <w:szCs w:val="22"/>
          <w:lang w:val="hr-HR"/>
        </w:rPr>
        <w:t>a i pulmonalnom hipertenzijom)</w:t>
      </w:r>
    </w:p>
    <w:p w14:paraId="0FA9BE7B" w14:textId="77777777" w:rsidR="0072389A" w:rsidRPr="009F025B" w:rsidRDefault="0072389A" w:rsidP="00577F77">
      <w:pPr>
        <w:numPr>
          <w:ilvl w:val="1"/>
          <w:numId w:val="12"/>
        </w:numPr>
        <w:tabs>
          <w:tab w:val="left" w:pos="540"/>
          <w:tab w:val="left" w:pos="569"/>
        </w:tabs>
        <w:jc w:val="both"/>
        <w:rPr>
          <w:sz w:val="22"/>
          <w:szCs w:val="22"/>
          <w:lang w:val="hr-HR"/>
        </w:rPr>
      </w:pPr>
      <w:r w:rsidRPr="009F025B">
        <w:rPr>
          <w:sz w:val="22"/>
          <w:szCs w:val="22"/>
          <w:lang w:val="hr-HR"/>
        </w:rPr>
        <w:t>renalnoj disfunkciji, koja može napredovati do insuficijencije bubrega sa oligohidramnionom.</w:t>
      </w:r>
    </w:p>
    <w:p w14:paraId="7DFD21C9" w14:textId="77777777" w:rsidR="0072389A" w:rsidRPr="009F025B" w:rsidRDefault="0072389A" w:rsidP="00577F77">
      <w:pPr>
        <w:tabs>
          <w:tab w:val="left" w:pos="540"/>
          <w:tab w:val="left" w:pos="569"/>
        </w:tabs>
        <w:jc w:val="both"/>
        <w:rPr>
          <w:sz w:val="22"/>
          <w:szCs w:val="22"/>
          <w:lang w:val="hr-HR"/>
        </w:rPr>
      </w:pPr>
    </w:p>
    <w:p w14:paraId="7306298E" w14:textId="77777777" w:rsidR="0072389A" w:rsidRPr="009F025B" w:rsidRDefault="0072389A" w:rsidP="00577F77">
      <w:pPr>
        <w:numPr>
          <w:ilvl w:val="0"/>
          <w:numId w:val="12"/>
        </w:numPr>
        <w:tabs>
          <w:tab w:val="left" w:pos="540"/>
        </w:tabs>
        <w:jc w:val="both"/>
        <w:rPr>
          <w:sz w:val="22"/>
          <w:szCs w:val="22"/>
          <w:lang w:val="hr-HR"/>
        </w:rPr>
      </w:pPr>
      <w:r w:rsidRPr="009F025B">
        <w:rPr>
          <w:sz w:val="22"/>
          <w:szCs w:val="22"/>
          <w:lang w:val="hr-HR"/>
        </w:rPr>
        <w:t>majku i novorođenče, na kraju trudnoće:</w:t>
      </w:r>
    </w:p>
    <w:p w14:paraId="4E75316F" w14:textId="77777777" w:rsidR="0072389A" w:rsidRPr="009F025B" w:rsidRDefault="0072389A" w:rsidP="00577F77">
      <w:pPr>
        <w:numPr>
          <w:ilvl w:val="1"/>
          <w:numId w:val="12"/>
        </w:numPr>
        <w:tabs>
          <w:tab w:val="left" w:pos="540"/>
          <w:tab w:val="left" w:pos="569"/>
        </w:tabs>
        <w:jc w:val="both"/>
        <w:rPr>
          <w:sz w:val="22"/>
          <w:szCs w:val="22"/>
          <w:lang w:val="hr-HR"/>
        </w:rPr>
      </w:pPr>
      <w:r w:rsidRPr="009F025B">
        <w:rPr>
          <w:sz w:val="22"/>
          <w:szCs w:val="22"/>
          <w:lang w:val="hr-HR"/>
        </w:rPr>
        <w:t>produženju vremena krvarenja te anti-agregacijskom efektu koji se može javiti čak i pri vrlo niskim dozama.</w:t>
      </w:r>
    </w:p>
    <w:p w14:paraId="00F64B1E" w14:textId="77777777" w:rsidR="0072389A" w:rsidRPr="009F025B" w:rsidRDefault="0072389A" w:rsidP="00577F77">
      <w:pPr>
        <w:numPr>
          <w:ilvl w:val="1"/>
          <w:numId w:val="12"/>
        </w:numPr>
        <w:tabs>
          <w:tab w:val="left" w:pos="540"/>
          <w:tab w:val="left" w:pos="569"/>
        </w:tabs>
        <w:jc w:val="both"/>
        <w:rPr>
          <w:sz w:val="22"/>
          <w:szCs w:val="22"/>
          <w:lang w:val="hr-HR"/>
        </w:rPr>
      </w:pPr>
      <w:r w:rsidRPr="009F025B">
        <w:rPr>
          <w:sz w:val="22"/>
          <w:szCs w:val="22"/>
          <w:lang w:val="hr-HR"/>
        </w:rPr>
        <w:t>inhibiciji uterinih kontrakcija što rezultuje odloženim ili produženim porođajem.</w:t>
      </w:r>
    </w:p>
    <w:p w14:paraId="03AC5E92" w14:textId="77777777" w:rsidR="0072389A" w:rsidRPr="009F025B" w:rsidRDefault="0072389A" w:rsidP="00577F77">
      <w:pPr>
        <w:tabs>
          <w:tab w:val="left" w:pos="540"/>
          <w:tab w:val="left" w:pos="569"/>
        </w:tabs>
        <w:jc w:val="both"/>
        <w:rPr>
          <w:sz w:val="22"/>
          <w:szCs w:val="22"/>
          <w:lang w:val="hr-HR"/>
        </w:rPr>
      </w:pPr>
    </w:p>
    <w:p w14:paraId="2F531974" w14:textId="0E7E3A47" w:rsidR="0072389A" w:rsidRPr="009F025B" w:rsidRDefault="0072389A" w:rsidP="00577F77">
      <w:pPr>
        <w:tabs>
          <w:tab w:val="left" w:pos="540"/>
          <w:tab w:val="left" w:pos="569"/>
        </w:tabs>
        <w:jc w:val="both"/>
        <w:rPr>
          <w:sz w:val="22"/>
          <w:szCs w:val="22"/>
          <w:lang w:val="hr-HR"/>
        </w:rPr>
      </w:pPr>
      <w:r w:rsidRPr="009F025B">
        <w:rPr>
          <w:sz w:val="22"/>
          <w:szCs w:val="22"/>
          <w:lang w:val="hr-HR"/>
        </w:rPr>
        <w:t xml:space="preserve">U skladu s navedenim, ketoprofen je kontraindikovan za vrijeme trećeg trimestra trudnoće </w:t>
      </w:r>
    </w:p>
    <w:p w14:paraId="48E53ECD" w14:textId="77777777" w:rsidR="0072389A" w:rsidRPr="009F025B" w:rsidRDefault="0072389A" w:rsidP="00577F77">
      <w:pPr>
        <w:tabs>
          <w:tab w:val="left" w:pos="540"/>
          <w:tab w:val="left" w:pos="569"/>
        </w:tabs>
        <w:jc w:val="both"/>
        <w:rPr>
          <w:sz w:val="22"/>
          <w:szCs w:val="22"/>
          <w:u w:val="single"/>
          <w:lang w:val="hr-HR"/>
        </w:rPr>
      </w:pPr>
    </w:p>
    <w:p w14:paraId="7F1AFBD0" w14:textId="28BD4AF0" w:rsidR="0072020E" w:rsidRPr="009F025B" w:rsidRDefault="007A3ECB" w:rsidP="00577F77">
      <w:pPr>
        <w:tabs>
          <w:tab w:val="left" w:pos="540"/>
          <w:tab w:val="left" w:pos="569"/>
        </w:tabs>
        <w:jc w:val="both"/>
        <w:rPr>
          <w:sz w:val="22"/>
          <w:szCs w:val="22"/>
          <w:u w:val="single"/>
          <w:lang w:val="hr-HR"/>
        </w:rPr>
      </w:pPr>
      <w:r w:rsidRPr="009F025B">
        <w:rPr>
          <w:sz w:val="22"/>
          <w:szCs w:val="22"/>
          <w:u w:val="single"/>
          <w:lang w:val="hr-HR"/>
        </w:rPr>
        <w:t xml:space="preserve">Dojenje </w:t>
      </w:r>
    </w:p>
    <w:p w14:paraId="00F0956F" w14:textId="28A1784D" w:rsidR="00621F83" w:rsidRPr="009F025B" w:rsidRDefault="00621F83" w:rsidP="00577F77">
      <w:pPr>
        <w:tabs>
          <w:tab w:val="left" w:pos="540"/>
          <w:tab w:val="left" w:pos="569"/>
        </w:tabs>
        <w:jc w:val="both"/>
        <w:rPr>
          <w:sz w:val="22"/>
          <w:szCs w:val="22"/>
          <w:u w:val="single"/>
          <w:lang w:val="hr-HR"/>
        </w:rPr>
      </w:pPr>
    </w:p>
    <w:p w14:paraId="5590E58F" w14:textId="09FE9F03" w:rsidR="00621F83" w:rsidRPr="009F025B" w:rsidRDefault="00621F83" w:rsidP="00577F77">
      <w:pPr>
        <w:tabs>
          <w:tab w:val="left" w:pos="540"/>
          <w:tab w:val="left" w:pos="569"/>
        </w:tabs>
        <w:jc w:val="both"/>
        <w:rPr>
          <w:sz w:val="22"/>
          <w:szCs w:val="22"/>
          <w:lang w:val="hr-HR"/>
        </w:rPr>
      </w:pPr>
      <w:r w:rsidRPr="009F025B">
        <w:rPr>
          <w:sz w:val="22"/>
          <w:szCs w:val="22"/>
          <w:lang w:val="hr-HR"/>
        </w:rPr>
        <w:t>Podaci o izlučivanju ketoprofena u humano mlijeko ni</w:t>
      </w:r>
      <w:r w:rsidR="00577F77">
        <w:rPr>
          <w:sz w:val="22"/>
          <w:szCs w:val="22"/>
          <w:lang w:val="hr-HR"/>
        </w:rPr>
        <w:t>je</w:t>
      </w:r>
      <w:r w:rsidRPr="009F025B">
        <w:rPr>
          <w:sz w:val="22"/>
          <w:szCs w:val="22"/>
          <w:lang w:val="hr-HR"/>
        </w:rPr>
        <w:t>su dostupni. Primjena ketoprofena kod dojilja se ne preporučuje.</w:t>
      </w:r>
    </w:p>
    <w:p w14:paraId="493B48DB" w14:textId="77777777" w:rsidR="00227BDB" w:rsidRPr="009F025B" w:rsidRDefault="00227BDB" w:rsidP="00577F77">
      <w:pPr>
        <w:tabs>
          <w:tab w:val="left" w:pos="540"/>
          <w:tab w:val="left" w:pos="569"/>
        </w:tabs>
        <w:ind w:left="540" w:hanging="540"/>
        <w:jc w:val="both"/>
        <w:rPr>
          <w:b/>
          <w:bCs/>
          <w:sz w:val="22"/>
          <w:szCs w:val="22"/>
          <w:lang w:val="hr-HR"/>
        </w:rPr>
      </w:pPr>
    </w:p>
    <w:p w14:paraId="0266E1CA" w14:textId="77777777" w:rsidR="0072020E" w:rsidRPr="009F025B" w:rsidRDefault="0072020E" w:rsidP="00577F77">
      <w:pPr>
        <w:tabs>
          <w:tab w:val="left" w:pos="540"/>
          <w:tab w:val="left" w:pos="569"/>
        </w:tabs>
        <w:ind w:left="540" w:hanging="540"/>
        <w:jc w:val="both"/>
        <w:rPr>
          <w:b/>
          <w:bCs/>
          <w:sz w:val="22"/>
          <w:szCs w:val="22"/>
          <w:lang w:val="hr-HR"/>
        </w:rPr>
      </w:pPr>
      <w:r w:rsidRPr="009F025B">
        <w:rPr>
          <w:b/>
          <w:bCs/>
          <w:sz w:val="22"/>
          <w:szCs w:val="22"/>
          <w:lang w:val="hr-HR"/>
        </w:rPr>
        <w:t xml:space="preserve">4.7. </w:t>
      </w:r>
      <w:r w:rsidR="00480FB1" w:rsidRPr="009F025B">
        <w:rPr>
          <w:b/>
          <w:bCs/>
          <w:sz w:val="22"/>
          <w:szCs w:val="22"/>
          <w:lang w:val="hr-HR"/>
        </w:rPr>
        <w:tab/>
      </w:r>
      <w:r w:rsidRPr="009F025B">
        <w:rPr>
          <w:b/>
          <w:bCs/>
          <w:sz w:val="22"/>
          <w:szCs w:val="22"/>
          <w:lang w:val="hr-HR"/>
        </w:rPr>
        <w:t xml:space="preserve">Uticaj na </w:t>
      </w:r>
      <w:r w:rsidR="002031B3" w:rsidRPr="009F025B">
        <w:rPr>
          <w:b/>
          <w:bCs/>
          <w:sz w:val="22"/>
          <w:szCs w:val="22"/>
          <w:lang w:val="hr-HR"/>
        </w:rPr>
        <w:t xml:space="preserve">sposobnost </w:t>
      </w:r>
      <w:r w:rsidR="00F34554" w:rsidRPr="009F025B">
        <w:rPr>
          <w:b/>
          <w:bCs/>
          <w:sz w:val="22"/>
          <w:szCs w:val="22"/>
          <w:lang w:val="hr-HR"/>
        </w:rPr>
        <w:t>upravljanja vozili</w:t>
      </w:r>
      <w:r w:rsidRPr="009F025B">
        <w:rPr>
          <w:b/>
          <w:bCs/>
          <w:sz w:val="22"/>
          <w:szCs w:val="22"/>
          <w:lang w:val="hr-HR"/>
        </w:rPr>
        <w:t>m</w:t>
      </w:r>
      <w:r w:rsidR="00F34554" w:rsidRPr="009F025B">
        <w:rPr>
          <w:b/>
          <w:bCs/>
          <w:sz w:val="22"/>
          <w:szCs w:val="22"/>
          <w:lang w:val="hr-HR"/>
        </w:rPr>
        <w:t>a</w:t>
      </w:r>
      <w:r w:rsidRPr="009F025B">
        <w:rPr>
          <w:b/>
          <w:bCs/>
          <w:sz w:val="22"/>
          <w:szCs w:val="22"/>
          <w:lang w:val="hr-HR"/>
        </w:rPr>
        <w:t xml:space="preserve"> i </w:t>
      </w:r>
      <w:r w:rsidR="000D3449" w:rsidRPr="009F025B">
        <w:rPr>
          <w:b/>
          <w:bCs/>
          <w:sz w:val="22"/>
          <w:szCs w:val="22"/>
          <w:lang w:val="hr-HR"/>
        </w:rPr>
        <w:t xml:space="preserve">rukovanje </w:t>
      </w:r>
      <w:r w:rsidRPr="009F025B">
        <w:rPr>
          <w:b/>
          <w:bCs/>
          <w:sz w:val="22"/>
          <w:szCs w:val="22"/>
          <w:lang w:val="hr-HR"/>
        </w:rPr>
        <w:t>mašinama</w:t>
      </w:r>
    </w:p>
    <w:p w14:paraId="3FF0A8E5" w14:textId="52B7BC98" w:rsidR="0072020E" w:rsidRPr="009F025B" w:rsidRDefault="0072020E" w:rsidP="00577F77">
      <w:pPr>
        <w:tabs>
          <w:tab w:val="left" w:pos="540"/>
          <w:tab w:val="left" w:pos="569"/>
        </w:tabs>
        <w:jc w:val="both"/>
        <w:rPr>
          <w:b/>
          <w:bCs/>
          <w:sz w:val="22"/>
          <w:szCs w:val="22"/>
          <w:lang w:val="hr-HR"/>
        </w:rPr>
      </w:pPr>
    </w:p>
    <w:p w14:paraId="3DC31C4C" w14:textId="77777777" w:rsidR="0031015F" w:rsidRPr="009F025B" w:rsidRDefault="0031015F" w:rsidP="00577F77">
      <w:pPr>
        <w:tabs>
          <w:tab w:val="left" w:pos="540"/>
          <w:tab w:val="left" w:pos="569"/>
        </w:tabs>
        <w:jc w:val="both"/>
        <w:rPr>
          <w:sz w:val="22"/>
          <w:szCs w:val="22"/>
          <w:lang w:val="hr-HR"/>
        </w:rPr>
      </w:pPr>
      <w:r w:rsidRPr="009F025B">
        <w:rPr>
          <w:sz w:val="22"/>
          <w:szCs w:val="22"/>
          <w:lang w:val="hr-HR"/>
        </w:rPr>
        <w:t>Ketonal Rapid granule ne utiču ili zanemarljivo utiče na sposobnost upravljanja vozilima i rada sa mašinama.</w:t>
      </w:r>
    </w:p>
    <w:p w14:paraId="01216C26" w14:textId="77777777" w:rsidR="0031015F" w:rsidRPr="009F025B" w:rsidRDefault="0031015F" w:rsidP="00577F77">
      <w:pPr>
        <w:tabs>
          <w:tab w:val="left" w:pos="540"/>
          <w:tab w:val="left" w:pos="569"/>
        </w:tabs>
        <w:jc w:val="both"/>
        <w:rPr>
          <w:sz w:val="22"/>
          <w:szCs w:val="22"/>
          <w:lang w:val="hr-HR"/>
        </w:rPr>
      </w:pPr>
    </w:p>
    <w:p w14:paraId="7A3EADCA" w14:textId="1B8E7A81" w:rsidR="0031015F" w:rsidRPr="009F025B" w:rsidRDefault="0031015F" w:rsidP="00577F77">
      <w:pPr>
        <w:tabs>
          <w:tab w:val="left" w:pos="540"/>
          <w:tab w:val="left" w:pos="569"/>
        </w:tabs>
        <w:jc w:val="both"/>
        <w:rPr>
          <w:sz w:val="22"/>
          <w:szCs w:val="22"/>
          <w:lang w:val="hr-HR"/>
        </w:rPr>
      </w:pPr>
      <w:r w:rsidRPr="009F025B">
        <w:rPr>
          <w:sz w:val="22"/>
          <w:szCs w:val="22"/>
          <w:lang w:val="hr-HR"/>
        </w:rPr>
        <w:lastRenderedPageBreak/>
        <w:t xml:space="preserve">Pacijente treba upozoriti na potencijalna neželjena dejstva koje se mogu javiti nakon primjene ketoprofena kao što su somnolencija, omaglica, konvulzije ili poremećaj vida </w:t>
      </w:r>
      <w:r w:rsidR="007726AA" w:rsidRPr="009F025B">
        <w:rPr>
          <w:sz w:val="22"/>
          <w:szCs w:val="22"/>
          <w:lang w:val="hr-HR"/>
        </w:rPr>
        <w:t>i</w:t>
      </w:r>
      <w:r w:rsidRPr="009F025B">
        <w:rPr>
          <w:sz w:val="22"/>
          <w:szCs w:val="22"/>
          <w:lang w:val="hr-HR"/>
        </w:rPr>
        <w:t xml:space="preserve"> savjetovati </w:t>
      </w:r>
      <w:r w:rsidR="007726AA" w:rsidRPr="009F025B">
        <w:rPr>
          <w:sz w:val="22"/>
          <w:szCs w:val="22"/>
          <w:lang w:val="hr-HR"/>
        </w:rPr>
        <w:t xml:space="preserve">ih </w:t>
      </w:r>
      <w:r w:rsidRPr="009F025B">
        <w:rPr>
          <w:sz w:val="22"/>
          <w:szCs w:val="22"/>
          <w:lang w:val="hr-HR"/>
        </w:rPr>
        <w:t>da ne smiju upravljati motornim vozilima niti rukovati mašinama ukoliko se neki od ovih simptoma pojave.</w:t>
      </w:r>
    </w:p>
    <w:p w14:paraId="1024706F" w14:textId="77777777" w:rsidR="002F7955" w:rsidRPr="009F025B" w:rsidRDefault="002F7955" w:rsidP="00577F77">
      <w:pPr>
        <w:tabs>
          <w:tab w:val="left" w:pos="540"/>
          <w:tab w:val="left" w:pos="569"/>
        </w:tabs>
        <w:jc w:val="both"/>
        <w:rPr>
          <w:b/>
          <w:bCs/>
          <w:sz w:val="22"/>
          <w:szCs w:val="22"/>
          <w:lang w:val="hr-HR"/>
        </w:rPr>
      </w:pPr>
    </w:p>
    <w:p w14:paraId="0E8C40F9" w14:textId="77777777" w:rsidR="0072020E" w:rsidRPr="009F025B" w:rsidRDefault="0072020E" w:rsidP="00577F77">
      <w:pPr>
        <w:tabs>
          <w:tab w:val="left" w:pos="540"/>
          <w:tab w:val="left" w:pos="569"/>
        </w:tabs>
        <w:jc w:val="both"/>
        <w:rPr>
          <w:b/>
          <w:bCs/>
          <w:sz w:val="22"/>
          <w:szCs w:val="22"/>
          <w:lang w:val="hr-HR"/>
        </w:rPr>
      </w:pPr>
      <w:r w:rsidRPr="009F025B">
        <w:rPr>
          <w:b/>
          <w:bCs/>
          <w:sz w:val="22"/>
          <w:szCs w:val="22"/>
          <w:lang w:val="hr-HR"/>
        </w:rPr>
        <w:t xml:space="preserve">4.8. </w:t>
      </w:r>
      <w:r w:rsidR="00480FB1" w:rsidRPr="009F025B">
        <w:rPr>
          <w:b/>
          <w:bCs/>
          <w:sz w:val="22"/>
          <w:szCs w:val="22"/>
          <w:lang w:val="hr-HR"/>
        </w:rPr>
        <w:tab/>
      </w:r>
      <w:r w:rsidRPr="009F025B">
        <w:rPr>
          <w:b/>
          <w:bCs/>
          <w:sz w:val="22"/>
          <w:szCs w:val="22"/>
          <w:lang w:val="hr-HR"/>
        </w:rPr>
        <w:t>Neželjena dejstva</w:t>
      </w:r>
    </w:p>
    <w:p w14:paraId="35A54A87" w14:textId="6CE76A63" w:rsidR="004E70AD" w:rsidRPr="009F025B" w:rsidRDefault="004E70AD" w:rsidP="00577F77">
      <w:pPr>
        <w:tabs>
          <w:tab w:val="left" w:pos="540"/>
          <w:tab w:val="left" w:pos="569"/>
        </w:tabs>
        <w:jc w:val="both"/>
        <w:rPr>
          <w:b/>
          <w:bCs/>
          <w:sz w:val="22"/>
          <w:szCs w:val="22"/>
          <w:lang w:val="hr-HR"/>
        </w:rPr>
      </w:pPr>
    </w:p>
    <w:p w14:paraId="112C7A05" w14:textId="77777777" w:rsidR="007E0473" w:rsidRPr="009F025B" w:rsidRDefault="007E0473" w:rsidP="00577F77">
      <w:pPr>
        <w:tabs>
          <w:tab w:val="left" w:pos="540"/>
          <w:tab w:val="left" w:pos="569"/>
        </w:tabs>
        <w:jc w:val="both"/>
        <w:rPr>
          <w:sz w:val="22"/>
          <w:szCs w:val="22"/>
          <w:lang w:val="hr-HR"/>
        </w:rPr>
      </w:pPr>
      <w:r w:rsidRPr="009F025B">
        <w:rPr>
          <w:sz w:val="22"/>
          <w:szCs w:val="22"/>
          <w:lang w:val="hr-HR"/>
        </w:rPr>
        <w:t>Najčešće zapažena neželjena dejstva su neželjena dejstva gastrointestinalnog sistema. Mogu se javiti: peptički ulkus, perforacija ili gastrointestinalno krvarenje, ponekad može biti fatalno, posebno kod starijih osoba (vidjeti dio 4.4.).</w:t>
      </w:r>
    </w:p>
    <w:p w14:paraId="7251D087" w14:textId="77777777" w:rsidR="007E0473" w:rsidRPr="009F025B" w:rsidRDefault="007E0473" w:rsidP="00577F77">
      <w:pPr>
        <w:tabs>
          <w:tab w:val="left" w:pos="540"/>
          <w:tab w:val="left" w:pos="569"/>
        </w:tabs>
        <w:jc w:val="both"/>
        <w:rPr>
          <w:sz w:val="22"/>
          <w:szCs w:val="22"/>
          <w:lang w:val="hr-HR"/>
        </w:rPr>
      </w:pPr>
      <w:r w:rsidRPr="009F025B">
        <w:rPr>
          <w:sz w:val="22"/>
          <w:szCs w:val="22"/>
          <w:lang w:val="hr-HR"/>
        </w:rPr>
        <w:t>Mučnina, povraćanje, proliv, nadutost, zatvor, dispepsija, bolovi ustomaku, melena, hematemeza, ulcerozni stomatitis, egzacerbacija kolitisa i Kronove bolesti bili su prijavljeni nakon primjene (vidjeti dio 4.4). Manje često je zabilježena pojava gastritisa.</w:t>
      </w:r>
    </w:p>
    <w:p w14:paraId="47B9CC85" w14:textId="77777777" w:rsidR="007E0473" w:rsidRPr="009F025B" w:rsidRDefault="007E0473" w:rsidP="00577F77">
      <w:pPr>
        <w:tabs>
          <w:tab w:val="left" w:pos="540"/>
          <w:tab w:val="left" w:pos="569"/>
        </w:tabs>
        <w:jc w:val="both"/>
        <w:rPr>
          <w:sz w:val="22"/>
          <w:szCs w:val="22"/>
          <w:lang w:val="hr-HR"/>
        </w:rPr>
      </w:pPr>
    </w:p>
    <w:p w14:paraId="3DE7DF5C" w14:textId="77777777" w:rsidR="007E0473" w:rsidRPr="009F025B" w:rsidRDefault="007E0473" w:rsidP="00577F77">
      <w:pPr>
        <w:tabs>
          <w:tab w:val="left" w:pos="540"/>
          <w:tab w:val="left" w:pos="569"/>
        </w:tabs>
        <w:jc w:val="both"/>
        <w:rPr>
          <w:sz w:val="22"/>
          <w:szCs w:val="22"/>
          <w:lang w:val="hr-HR"/>
        </w:rPr>
      </w:pPr>
      <w:r w:rsidRPr="009F025B">
        <w:rPr>
          <w:sz w:val="22"/>
          <w:szCs w:val="22"/>
          <w:lang w:val="hr-HR"/>
        </w:rPr>
        <w:t>Povraćanje, proliv i reakcije preosjetljivosti zabilježeni su u kliničkim ispitivanjima kod odojčadi i djece.</w:t>
      </w:r>
    </w:p>
    <w:p w14:paraId="0370AC7C" w14:textId="77777777" w:rsidR="007E0473" w:rsidRPr="009F025B" w:rsidRDefault="007E0473" w:rsidP="00577F77">
      <w:pPr>
        <w:tabs>
          <w:tab w:val="left" w:pos="540"/>
          <w:tab w:val="left" w:pos="569"/>
        </w:tabs>
        <w:jc w:val="both"/>
        <w:rPr>
          <w:sz w:val="22"/>
          <w:szCs w:val="22"/>
          <w:lang w:val="hr-HR"/>
        </w:rPr>
      </w:pPr>
    </w:p>
    <w:p w14:paraId="1495BF48" w14:textId="77777777" w:rsidR="007E0473" w:rsidRPr="009F025B" w:rsidRDefault="007E0473" w:rsidP="00577F77">
      <w:pPr>
        <w:tabs>
          <w:tab w:val="left" w:pos="540"/>
          <w:tab w:val="left" w:pos="569"/>
        </w:tabs>
        <w:jc w:val="both"/>
        <w:rPr>
          <w:sz w:val="22"/>
          <w:szCs w:val="22"/>
          <w:lang w:val="hr-HR"/>
        </w:rPr>
      </w:pPr>
      <w:r w:rsidRPr="009F025B">
        <w:rPr>
          <w:sz w:val="22"/>
          <w:szCs w:val="22"/>
          <w:lang w:val="hr-HR"/>
        </w:rPr>
        <w:t>Procjena neželjenih dejstava zasniva se na sljedećim kategorijama učestalosti:</w:t>
      </w:r>
    </w:p>
    <w:p w14:paraId="4FD7E367" w14:textId="77777777" w:rsidR="007E0473" w:rsidRPr="009F025B" w:rsidRDefault="007E0473" w:rsidP="00577F77">
      <w:pPr>
        <w:tabs>
          <w:tab w:val="left" w:pos="540"/>
          <w:tab w:val="left" w:pos="569"/>
        </w:tabs>
        <w:jc w:val="both"/>
        <w:rPr>
          <w:b/>
          <w:bCs/>
          <w:sz w:val="22"/>
          <w:szCs w:val="22"/>
          <w:lang w:val="hr-HR"/>
        </w:rPr>
      </w:pPr>
    </w:p>
    <w:p w14:paraId="283BD3BD" w14:textId="53C10382" w:rsidR="007E0473" w:rsidRPr="009F025B" w:rsidRDefault="007E0473" w:rsidP="00577F77">
      <w:pPr>
        <w:tabs>
          <w:tab w:val="left" w:pos="540"/>
          <w:tab w:val="left" w:pos="569"/>
        </w:tabs>
        <w:jc w:val="both"/>
        <w:rPr>
          <w:sz w:val="22"/>
          <w:szCs w:val="22"/>
          <w:lang w:val="hr-HR"/>
        </w:rPr>
      </w:pPr>
      <w:r w:rsidRPr="009F025B">
        <w:rPr>
          <w:sz w:val="22"/>
          <w:szCs w:val="22"/>
          <w:lang w:val="hr-HR"/>
        </w:rPr>
        <w:t>Vrlo često (</w:t>
      </w:r>
      <w:r w:rsidR="007726AA" w:rsidRPr="009F025B">
        <w:rPr>
          <w:sz w:val="22"/>
          <w:szCs w:val="22"/>
          <w:lang w:val="hr-HR"/>
        </w:rPr>
        <w:t>≥</w:t>
      </w:r>
      <w:r w:rsidRPr="009F025B">
        <w:rPr>
          <w:sz w:val="22"/>
          <w:szCs w:val="22"/>
          <w:lang w:val="hr-HR"/>
        </w:rPr>
        <w:t>1/10); često (</w:t>
      </w:r>
      <w:r w:rsidR="007726AA" w:rsidRPr="009F025B">
        <w:rPr>
          <w:sz w:val="22"/>
          <w:szCs w:val="22"/>
          <w:lang w:val="hr-HR"/>
        </w:rPr>
        <w:t>≥</w:t>
      </w:r>
      <w:r w:rsidRPr="009F025B">
        <w:rPr>
          <w:sz w:val="22"/>
          <w:szCs w:val="22"/>
          <w:lang w:val="hr-HR"/>
        </w:rPr>
        <w:t xml:space="preserve"> 1/100 i &lt; 1/10); </w:t>
      </w:r>
      <w:r w:rsidR="002C3D7C" w:rsidRPr="009F025B">
        <w:rPr>
          <w:sz w:val="22"/>
          <w:szCs w:val="22"/>
          <w:lang w:val="hr-HR"/>
        </w:rPr>
        <w:t xml:space="preserve">povremeno </w:t>
      </w:r>
      <w:r w:rsidRPr="009F025B">
        <w:rPr>
          <w:sz w:val="22"/>
          <w:szCs w:val="22"/>
          <w:lang w:val="hr-HR"/>
        </w:rPr>
        <w:t>(</w:t>
      </w:r>
      <w:r w:rsidR="007726AA" w:rsidRPr="009F025B">
        <w:rPr>
          <w:sz w:val="22"/>
          <w:szCs w:val="22"/>
          <w:lang w:val="hr-HR"/>
        </w:rPr>
        <w:t>≥</w:t>
      </w:r>
      <w:r w:rsidRPr="009F025B">
        <w:rPr>
          <w:sz w:val="22"/>
          <w:szCs w:val="22"/>
          <w:lang w:val="hr-HR"/>
        </w:rPr>
        <w:t xml:space="preserve"> 1/1000 i &lt; 1/100); rijetko </w:t>
      </w:r>
      <w:r w:rsidR="00F9752E" w:rsidRPr="009F025B">
        <w:rPr>
          <w:sz w:val="22"/>
          <w:szCs w:val="22"/>
          <w:lang w:val="hr-HR"/>
        </w:rPr>
        <w:t>(≥</w:t>
      </w:r>
      <w:r w:rsidRPr="009F025B">
        <w:rPr>
          <w:sz w:val="22"/>
          <w:szCs w:val="22"/>
          <w:lang w:val="hr-HR"/>
        </w:rPr>
        <w:t>1/10 000 i &lt; 1/1000); v</w:t>
      </w:r>
      <w:r w:rsidR="006F5E1C" w:rsidRPr="009F025B">
        <w:rPr>
          <w:sz w:val="22"/>
          <w:szCs w:val="22"/>
          <w:lang w:val="hr-HR"/>
        </w:rPr>
        <w:t>eoma</w:t>
      </w:r>
      <w:r w:rsidRPr="009F025B">
        <w:rPr>
          <w:sz w:val="22"/>
          <w:szCs w:val="22"/>
          <w:lang w:val="hr-HR"/>
        </w:rPr>
        <w:t xml:space="preserve"> rijetko (&lt; 1/10 000); nepoznato (ne može se procijeniti iz dostupnih podataka).</w:t>
      </w:r>
    </w:p>
    <w:p w14:paraId="1A36D407" w14:textId="77777777" w:rsidR="007E0473" w:rsidRPr="009F025B" w:rsidRDefault="007E0473" w:rsidP="00577F77">
      <w:pPr>
        <w:tabs>
          <w:tab w:val="left" w:pos="540"/>
          <w:tab w:val="left" w:pos="569"/>
        </w:tabs>
        <w:jc w:val="both"/>
        <w:rPr>
          <w:sz w:val="22"/>
          <w:szCs w:val="22"/>
          <w:lang w:val="hr-HR"/>
        </w:rPr>
      </w:pPr>
    </w:p>
    <w:p w14:paraId="4470C644" w14:textId="77777777" w:rsidR="007E0473" w:rsidRPr="009F025B" w:rsidRDefault="007E0473" w:rsidP="00577F77">
      <w:pPr>
        <w:tabs>
          <w:tab w:val="left" w:pos="540"/>
          <w:tab w:val="left" w:pos="569"/>
        </w:tabs>
        <w:jc w:val="both"/>
        <w:rPr>
          <w:sz w:val="22"/>
          <w:szCs w:val="22"/>
          <w:lang w:val="hr-HR"/>
        </w:rPr>
      </w:pPr>
      <w:r w:rsidRPr="009F025B">
        <w:rPr>
          <w:sz w:val="22"/>
          <w:szCs w:val="22"/>
          <w:lang w:val="hr-HR"/>
        </w:rPr>
        <w:t>Kod odraslih osoba su zabilježene sljedeće neželjena dejstva tokom primjene ketoprofena:</w:t>
      </w:r>
    </w:p>
    <w:p w14:paraId="04E948E3" w14:textId="049DD5C1" w:rsidR="00B374FD" w:rsidRPr="009F025B" w:rsidRDefault="00B374FD" w:rsidP="00577F77">
      <w:pPr>
        <w:tabs>
          <w:tab w:val="left" w:pos="540"/>
          <w:tab w:val="left" w:pos="569"/>
        </w:tabs>
        <w:jc w:val="both"/>
        <w:rPr>
          <w:b/>
          <w:bCs/>
          <w:sz w:val="22"/>
          <w:szCs w:val="22"/>
          <w:lang w:val="hr-HR"/>
        </w:rPr>
      </w:pPr>
    </w:p>
    <w:tbl>
      <w:tblPr>
        <w:tblStyle w:val="TableGrid"/>
        <w:tblW w:w="0" w:type="auto"/>
        <w:tblLook w:val="04A0" w:firstRow="1" w:lastRow="0" w:firstColumn="1" w:lastColumn="0" w:noHBand="0" w:noVBand="1"/>
      </w:tblPr>
      <w:tblGrid>
        <w:gridCol w:w="1879"/>
        <w:gridCol w:w="1295"/>
        <w:gridCol w:w="1422"/>
        <w:gridCol w:w="1379"/>
        <w:gridCol w:w="1253"/>
        <w:gridCol w:w="1835"/>
      </w:tblGrid>
      <w:tr w:rsidR="00932274" w:rsidRPr="009F025B" w14:paraId="1CBC6E92" w14:textId="77777777" w:rsidTr="00577F77">
        <w:tc>
          <w:tcPr>
            <w:tcW w:w="1879" w:type="dxa"/>
            <w:vAlign w:val="center"/>
          </w:tcPr>
          <w:p w14:paraId="4B4276EB"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Klasifikacija organskih sistema prema MEDRA</w:t>
            </w:r>
          </w:p>
        </w:tc>
        <w:tc>
          <w:tcPr>
            <w:tcW w:w="1295" w:type="dxa"/>
            <w:vAlign w:val="center"/>
          </w:tcPr>
          <w:p w14:paraId="4FD8F68D"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Često</w:t>
            </w:r>
          </w:p>
        </w:tc>
        <w:tc>
          <w:tcPr>
            <w:tcW w:w="1422" w:type="dxa"/>
            <w:vAlign w:val="center"/>
          </w:tcPr>
          <w:p w14:paraId="51776F9D"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Povremeno</w:t>
            </w:r>
          </w:p>
        </w:tc>
        <w:tc>
          <w:tcPr>
            <w:tcW w:w="1379" w:type="dxa"/>
            <w:vAlign w:val="center"/>
          </w:tcPr>
          <w:p w14:paraId="6E01C58E"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Rijetko</w:t>
            </w:r>
          </w:p>
        </w:tc>
        <w:tc>
          <w:tcPr>
            <w:tcW w:w="1206" w:type="dxa"/>
            <w:vAlign w:val="center"/>
          </w:tcPr>
          <w:p w14:paraId="5504CB86"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Veoma rijetko</w:t>
            </w:r>
          </w:p>
        </w:tc>
        <w:tc>
          <w:tcPr>
            <w:tcW w:w="1835" w:type="dxa"/>
            <w:vAlign w:val="center"/>
          </w:tcPr>
          <w:p w14:paraId="3400C619"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Nepoznato</w:t>
            </w:r>
          </w:p>
        </w:tc>
      </w:tr>
      <w:tr w:rsidR="00932274" w:rsidRPr="009F025B" w14:paraId="38F2410D" w14:textId="77777777" w:rsidTr="00577F77">
        <w:tc>
          <w:tcPr>
            <w:tcW w:w="1879" w:type="dxa"/>
            <w:vAlign w:val="center"/>
          </w:tcPr>
          <w:p w14:paraId="03EAA771"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Poremećaji krvi i limfnog sistema</w:t>
            </w:r>
          </w:p>
        </w:tc>
        <w:tc>
          <w:tcPr>
            <w:tcW w:w="1295" w:type="dxa"/>
            <w:vAlign w:val="center"/>
          </w:tcPr>
          <w:p w14:paraId="5C2649B4"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43E66C4F"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79D5FE71" w14:textId="079A6784"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hemoragijsk</w:t>
            </w:r>
            <w:r w:rsidR="00577F77">
              <w:rPr>
                <w:rFonts w:ascii="Times New Roman" w:hAnsi="Times New Roman" w:cs="Times New Roman"/>
                <w:color w:val="000000"/>
                <w:sz w:val="22"/>
                <w:szCs w:val="22"/>
                <w:lang w:val="hr-HR"/>
              </w:rPr>
              <w:t>a</w:t>
            </w:r>
            <w:r w:rsidRPr="009F025B">
              <w:rPr>
                <w:rFonts w:ascii="Times New Roman" w:hAnsi="Times New Roman" w:cs="Times New Roman"/>
                <w:color w:val="000000"/>
                <w:sz w:val="22"/>
                <w:szCs w:val="22"/>
                <w:lang w:val="hr-HR"/>
              </w:rPr>
              <w:t xml:space="preserve"> anemija</w:t>
            </w:r>
          </w:p>
        </w:tc>
        <w:tc>
          <w:tcPr>
            <w:tcW w:w="1206" w:type="dxa"/>
            <w:vAlign w:val="center"/>
          </w:tcPr>
          <w:p w14:paraId="218F3CE6"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0F20032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agranulocitoza,</w:t>
            </w:r>
          </w:p>
          <w:p w14:paraId="5A266AA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trombocitopenija,</w:t>
            </w:r>
          </w:p>
          <w:p w14:paraId="0ED56C7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insuficijencija koštane</w:t>
            </w:r>
          </w:p>
          <w:p w14:paraId="2CAE0F9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srži, hemolitička</w:t>
            </w:r>
          </w:p>
          <w:p w14:paraId="2C997E0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anemija,</w:t>
            </w:r>
          </w:p>
          <w:p w14:paraId="1783DE4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leukopenija</w:t>
            </w:r>
          </w:p>
        </w:tc>
      </w:tr>
      <w:tr w:rsidR="00932274" w:rsidRPr="009F025B" w14:paraId="6AD44BB5" w14:textId="77777777" w:rsidTr="00577F77">
        <w:tc>
          <w:tcPr>
            <w:tcW w:w="1879" w:type="dxa"/>
            <w:vAlign w:val="center"/>
          </w:tcPr>
          <w:p w14:paraId="40B6569B"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Imunološki poremećaji</w:t>
            </w:r>
          </w:p>
        </w:tc>
        <w:tc>
          <w:tcPr>
            <w:tcW w:w="1295" w:type="dxa"/>
            <w:vAlign w:val="center"/>
          </w:tcPr>
          <w:p w14:paraId="2E254BB5"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67D6189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1B7A881E"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46C494E8"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7E914FF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anafilaktičke</w:t>
            </w:r>
          </w:p>
          <w:p w14:paraId="27B6703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reakcije</w:t>
            </w:r>
          </w:p>
          <w:p w14:paraId="1CFC60A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(uključujući šok),</w:t>
            </w:r>
          </w:p>
          <w:p w14:paraId="19158D24"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edem usta</w:t>
            </w:r>
          </w:p>
        </w:tc>
      </w:tr>
      <w:tr w:rsidR="00932274" w:rsidRPr="009F025B" w14:paraId="79F1D6AD" w14:textId="77777777" w:rsidTr="00577F77">
        <w:tc>
          <w:tcPr>
            <w:tcW w:w="1879" w:type="dxa"/>
            <w:vAlign w:val="center"/>
          </w:tcPr>
          <w:p w14:paraId="6D695058" w14:textId="77777777" w:rsidR="00932274" w:rsidRPr="009F025B" w:rsidRDefault="00932274" w:rsidP="00975DE9">
            <w:pPr>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Poremećaji</w:t>
            </w:r>
          </w:p>
          <w:p w14:paraId="7C3C27E4" w14:textId="77777777" w:rsidR="00932274" w:rsidRPr="009F025B" w:rsidRDefault="00932274" w:rsidP="00975DE9">
            <w:pPr>
              <w:rPr>
                <w:sz w:val="22"/>
                <w:szCs w:val="22"/>
              </w:rPr>
            </w:pPr>
            <w:r w:rsidRPr="009F025B">
              <w:rPr>
                <w:rFonts w:ascii="Times New Roman" w:hAnsi="Times New Roman" w:cs="Times New Roman"/>
                <w:b/>
                <w:bCs/>
                <w:color w:val="000000"/>
                <w:sz w:val="22"/>
                <w:szCs w:val="22"/>
                <w:lang w:val="hr-HR"/>
              </w:rPr>
              <w:t>metabolizma i</w:t>
            </w:r>
            <w:r w:rsidRPr="009F025B">
              <w:rPr>
                <w:rFonts w:ascii="Times New Roman" w:hAnsi="Times New Roman" w:cs="Times New Roman"/>
                <w:b/>
                <w:bCs/>
                <w:color w:val="000000"/>
                <w:sz w:val="22"/>
                <w:szCs w:val="22"/>
              </w:rPr>
              <w:t xml:space="preserve"> is</w:t>
            </w:r>
            <w:r w:rsidRPr="009F025B">
              <w:rPr>
                <w:rFonts w:ascii="Times New Roman" w:hAnsi="Times New Roman" w:cs="Times New Roman"/>
                <w:b/>
                <w:bCs/>
                <w:color w:val="000000"/>
                <w:sz w:val="22"/>
                <w:szCs w:val="22"/>
                <w:lang w:val="hr-HR"/>
              </w:rPr>
              <w:t>hrane</w:t>
            </w:r>
          </w:p>
        </w:tc>
        <w:tc>
          <w:tcPr>
            <w:tcW w:w="1295" w:type="dxa"/>
            <w:vAlign w:val="center"/>
          </w:tcPr>
          <w:p w14:paraId="2AD353A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083C46CC"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0B74A487"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14D88D2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52AC27A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hiponatrijemija,</w:t>
            </w:r>
          </w:p>
          <w:p w14:paraId="3178F4C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hiperkalijemija</w:t>
            </w:r>
          </w:p>
          <w:p w14:paraId="08532CFF"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(vidjeti dio 4.4.)</w:t>
            </w:r>
          </w:p>
        </w:tc>
      </w:tr>
      <w:tr w:rsidR="00932274" w:rsidRPr="009F025B" w14:paraId="5855C872" w14:textId="77777777" w:rsidTr="00577F77">
        <w:tc>
          <w:tcPr>
            <w:tcW w:w="1879" w:type="dxa"/>
            <w:vAlign w:val="center"/>
          </w:tcPr>
          <w:p w14:paraId="4DC592D9"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Psihijatrijski</w:t>
            </w:r>
          </w:p>
          <w:p w14:paraId="69B77320" w14:textId="4556684C"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poremećaji </w:t>
            </w:r>
          </w:p>
        </w:tc>
        <w:tc>
          <w:tcPr>
            <w:tcW w:w="1295" w:type="dxa"/>
            <w:vAlign w:val="center"/>
          </w:tcPr>
          <w:p w14:paraId="3DC87143"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4DADDAA0"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21A90A50"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6CFD5EE6"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4F2E9477" w14:textId="1EEBF39E" w:rsidR="00932274" w:rsidRPr="009F025B" w:rsidRDefault="00932274" w:rsidP="00577F77">
            <w:pPr>
              <w:jc w:val="both"/>
              <w:rPr>
                <w:rFonts w:ascii="Times New Roman" w:hAnsi="Times New Roman" w:cs="Times New Roman"/>
                <w:color w:val="000000"/>
                <w:sz w:val="22"/>
                <w:szCs w:val="22"/>
                <w:lang w:val="de-DE"/>
              </w:rPr>
            </w:pPr>
          </w:p>
          <w:p w14:paraId="49027D42"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promjene</w:t>
            </w:r>
          </w:p>
          <w:p w14:paraId="7F8C399E"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raspoloženja,</w:t>
            </w:r>
          </w:p>
          <w:p w14:paraId="418B7123"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ekscitabilnost,</w:t>
            </w:r>
          </w:p>
          <w:p w14:paraId="1D80269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insomnia</w:t>
            </w:r>
          </w:p>
        </w:tc>
      </w:tr>
      <w:tr w:rsidR="00932274" w:rsidRPr="009F025B" w14:paraId="27407661" w14:textId="77777777" w:rsidTr="00577F77">
        <w:tc>
          <w:tcPr>
            <w:tcW w:w="1879" w:type="dxa"/>
            <w:vAlign w:val="center"/>
          </w:tcPr>
          <w:p w14:paraId="6DF7A9D5"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Poremećaji</w:t>
            </w:r>
          </w:p>
          <w:p w14:paraId="513B4A36"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nervnog sistema </w:t>
            </w:r>
          </w:p>
        </w:tc>
        <w:tc>
          <w:tcPr>
            <w:tcW w:w="1295" w:type="dxa"/>
            <w:vAlign w:val="center"/>
          </w:tcPr>
          <w:p w14:paraId="6A9AE0F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52B469E5"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glavobolja,</w:t>
            </w:r>
          </w:p>
          <w:p w14:paraId="6E4F690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vrtoglavica,</w:t>
            </w:r>
          </w:p>
          <w:p w14:paraId="777E2961" w14:textId="4981DEF0"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somnolencija</w:t>
            </w:r>
            <w:r w:rsidR="00577F77">
              <w:rPr>
                <w:rFonts w:ascii="Times New Roman" w:hAnsi="Times New Roman" w:cs="Times New Roman"/>
                <w:color w:val="000000"/>
                <w:sz w:val="22"/>
                <w:szCs w:val="22"/>
                <w:lang w:val="hr-HR"/>
              </w:rPr>
              <w:t>,</w:t>
            </w:r>
            <w:r w:rsidRPr="009F025B">
              <w:rPr>
                <w:rFonts w:ascii="Times New Roman" w:hAnsi="Times New Roman" w:cs="Times New Roman"/>
                <w:color w:val="000000"/>
                <w:sz w:val="22"/>
                <w:szCs w:val="22"/>
                <w:lang w:val="hr-HR"/>
              </w:rPr>
              <w:t xml:space="preserve"> omaglica</w:t>
            </w:r>
          </w:p>
          <w:p w14:paraId="3E0672A3" w14:textId="77777777" w:rsidR="00932274" w:rsidRPr="009F025B" w:rsidRDefault="00932274" w:rsidP="00577F77">
            <w:pPr>
              <w:jc w:val="both"/>
              <w:rPr>
                <w:sz w:val="22"/>
                <w:szCs w:val="22"/>
              </w:rPr>
            </w:pPr>
          </w:p>
        </w:tc>
        <w:tc>
          <w:tcPr>
            <w:tcW w:w="1379" w:type="dxa"/>
            <w:vAlign w:val="center"/>
          </w:tcPr>
          <w:p w14:paraId="1868AF8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parestezije</w:t>
            </w:r>
          </w:p>
          <w:p w14:paraId="0323BA5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CB0A10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F1F5CD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2138C0BE" w14:textId="16526891" w:rsidR="00932274" w:rsidRPr="009F025B" w:rsidRDefault="00577F77"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D</w:t>
            </w:r>
            <w:r w:rsidR="00932274" w:rsidRPr="009F025B">
              <w:rPr>
                <w:rFonts w:ascii="Times New Roman" w:hAnsi="Times New Roman" w:cs="Times New Roman"/>
                <w:color w:val="000000"/>
                <w:sz w:val="22"/>
                <w:szCs w:val="22"/>
                <w:lang w:val="hr-HR"/>
              </w:rPr>
              <w:t>iskinezija</w:t>
            </w:r>
            <w:r>
              <w:rPr>
                <w:rFonts w:ascii="Times New Roman" w:hAnsi="Times New Roman" w:cs="Times New Roman"/>
                <w:color w:val="000000"/>
                <w:sz w:val="22"/>
                <w:szCs w:val="22"/>
                <w:lang w:val="hr-HR"/>
              </w:rPr>
              <w:t>,</w:t>
            </w:r>
          </w:p>
          <w:p w14:paraId="1947094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sinkopa</w:t>
            </w:r>
          </w:p>
          <w:p w14:paraId="553B8A8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83D9363"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1D4C27F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aseptički</w:t>
            </w:r>
          </w:p>
          <w:p w14:paraId="0DA5F0E5"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meningitis,</w:t>
            </w:r>
          </w:p>
          <w:p w14:paraId="3217439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konvulzije,</w:t>
            </w:r>
          </w:p>
          <w:p w14:paraId="41885C0F"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disgeuzija</w:t>
            </w:r>
          </w:p>
        </w:tc>
      </w:tr>
      <w:tr w:rsidR="00932274" w:rsidRPr="009F025B" w14:paraId="0CB7ED58" w14:textId="77777777" w:rsidTr="00577F77">
        <w:tc>
          <w:tcPr>
            <w:tcW w:w="1879" w:type="dxa"/>
            <w:vAlign w:val="center"/>
          </w:tcPr>
          <w:p w14:paraId="6F0A334A" w14:textId="77777777" w:rsidR="00932274" w:rsidRPr="009F025B" w:rsidRDefault="00932274" w:rsidP="00975DE9">
            <w:pPr>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Poremećaji  na nivou oka</w:t>
            </w:r>
          </w:p>
          <w:p w14:paraId="755E85BB" w14:textId="77777777" w:rsidR="00932274" w:rsidRPr="009F025B" w:rsidRDefault="00932274" w:rsidP="00975DE9">
            <w:pPr>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463D4DD8"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 </w:t>
            </w:r>
          </w:p>
        </w:tc>
        <w:tc>
          <w:tcPr>
            <w:tcW w:w="1295" w:type="dxa"/>
            <w:vAlign w:val="center"/>
          </w:tcPr>
          <w:p w14:paraId="38E03B80"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0D5763C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6C9BD80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zamagljen</w:t>
            </w:r>
          </w:p>
          <w:p w14:paraId="31BB85B8"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vid (vidjeti</w:t>
            </w:r>
          </w:p>
          <w:p w14:paraId="0205C36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dio 4.4.)</w:t>
            </w:r>
          </w:p>
        </w:tc>
        <w:tc>
          <w:tcPr>
            <w:tcW w:w="1206" w:type="dxa"/>
            <w:vAlign w:val="center"/>
          </w:tcPr>
          <w:p w14:paraId="32252A6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56D91DF8"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perorbitalni edem</w:t>
            </w:r>
          </w:p>
          <w:p w14:paraId="625F8E6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6E7FBE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r>
      <w:tr w:rsidR="00932274" w:rsidRPr="009F025B" w14:paraId="4F6E593D" w14:textId="77777777" w:rsidTr="00577F77">
        <w:tc>
          <w:tcPr>
            <w:tcW w:w="1879" w:type="dxa"/>
            <w:vAlign w:val="center"/>
          </w:tcPr>
          <w:p w14:paraId="0718F854"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lastRenderedPageBreak/>
              <w:t>Poremećaji uha</w:t>
            </w:r>
          </w:p>
          <w:p w14:paraId="63FB5A32"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i labirinta</w:t>
            </w:r>
          </w:p>
        </w:tc>
        <w:tc>
          <w:tcPr>
            <w:tcW w:w="1295" w:type="dxa"/>
            <w:vAlign w:val="center"/>
          </w:tcPr>
          <w:p w14:paraId="3CC02C65"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3373FEAD"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03FE007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tinitus</w:t>
            </w:r>
          </w:p>
          <w:p w14:paraId="426502B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382506E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7F85E9FC"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r>
      <w:tr w:rsidR="00932274" w:rsidRPr="009F025B" w14:paraId="487E6B02" w14:textId="77777777" w:rsidTr="00577F77">
        <w:tc>
          <w:tcPr>
            <w:tcW w:w="1879" w:type="dxa"/>
            <w:vAlign w:val="center"/>
          </w:tcPr>
          <w:p w14:paraId="57625A31"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Srčani</w:t>
            </w:r>
          </w:p>
          <w:p w14:paraId="732AEC41"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poremećaji</w:t>
            </w:r>
          </w:p>
          <w:p w14:paraId="50B66D60"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 </w:t>
            </w:r>
          </w:p>
        </w:tc>
        <w:tc>
          <w:tcPr>
            <w:tcW w:w="1295" w:type="dxa"/>
            <w:vAlign w:val="center"/>
          </w:tcPr>
          <w:p w14:paraId="018EEE25"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6352B4FE"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76F64CE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61F18DBD"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0AD778A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Srčana insuficijancija,</w:t>
            </w:r>
          </w:p>
          <w:p w14:paraId="073D901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palpitacije,</w:t>
            </w:r>
          </w:p>
          <w:p w14:paraId="5FCCA26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fibrilacija atrijuma</w:t>
            </w:r>
          </w:p>
        </w:tc>
      </w:tr>
      <w:tr w:rsidR="00932274" w:rsidRPr="009F025B" w14:paraId="39F908A1" w14:textId="77777777" w:rsidTr="00577F77">
        <w:tc>
          <w:tcPr>
            <w:tcW w:w="1879" w:type="dxa"/>
            <w:vAlign w:val="center"/>
          </w:tcPr>
          <w:p w14:paraId="34DC0AA9" w14:textId="7770AB4F"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xml:space="preserve">Kardiovaskularni </w:t>
            </w:r>
          </w:p>
          <w:p w14:paraId="7891D48D"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poremećaji</w:t>
            </w:r>
          </w:p>
          <w:p w14:paraId="0D94194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59AED4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38E460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421C7C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EF9BE1D"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95" w:type="dxa"/>
            <w:vAlign w:val="center"/>
          </w:tcPr>
          <w:p w14:paraId="0DFF277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1098E9C7"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554D34F5"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0DF587A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hipotenzija</w:t>
            </w:r>
          </w:p>
          <w:p w14:paraId="1F61D3A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702950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91BE6B8"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E6EC4A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4A7B5A7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94B581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5A7FF6D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hipertenzija,</w:t>
            </w:r>
          </w:p>
          <w:p w14:paraId="7A2CCF98"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vazodilatacija,</w:t>
            </w:r>
          </w:p>
          <w:p w14:paraId="2424FD58" w14:textId="77777777" w:rsidR="00932274" w:rsidRPr="009F025B" w:rsidRDefault="00932274" w:rsidP="00577F77">
            <w:pPr>
              <w:jc w:val="both"/>
              <w:rPr>
                <w:rFonts w:ascii="Times New Roman" w:hAnsi="Times New Roman" w:cs="Times New Roman"/>
                <w:color w:val="000000"/>
                <w:sz w:val="22"/>
                <w:szCs w:val="22"/>
                <w:lang w:val="hr-HR"/>
              </w:rPr>
            </w:pPr>
            <w:r w:rsidRPr="009F025B">
              <w:rPr>
                <w:rFonts w:ascii="Times New Roman" w:hAnsi="Times New Roman" w:cs="Times New Roman"/>
                <w:color w:val="000000"/>
                <w:sz w:val="22"/>
                <w:szCs w:val="22"/>
                <w:lang w:val="hr-HR"/>
              </w:rPr>
              <w:t>tahikardija,</w:t>
            </w:r>
          </w:p>
          <w:p w14:paraId="3A17EE03" w14:textId="77777777" w:rsidR="00932274" w:rsidRPr="009F025B" w:rsidRDefault="00932274" w:rsidP="00577F77">
            <w:pPr>
              <w:jc w:val="both"/>
              <w:rPr>
                <w:rFonts w:ascii="Times New Roman" w:hAnsi="Times New Roman" w:cs="Times New Roman"/>
                <w:color w:val="000000"/>
                <w:sz w:val="22"/>
                <w:szCs w:val="22"/>
              </w:rPr>
            </w:pPr>
            <w:proofErr w:type="spellStart"/>
            <w:r w:rsidRPr="009F025B">
              <w:rPr>
                <w:rFonts w:ascii="Times New Roman" w:hAnsi="Times New Roman" w:cs="Times New Roman"/>
                <w:color w:val="000000"/>
                <w:sz w:val="22"/>
                <w:szCs w:val="22"/>
              </w:rPr>
              <w:t>hipotenzija</w:t>
            </w:r>
            <w:proofErr w:type="spellEnd"/>
            <w:r w:rsidRPr="009F025B">
              <w:rPr>
                <w:rFonts w:ascii="Times New Roman" w:hAnsi="Times New Roman" w:cs="Times New Roman"/>
                <w:color w:val="000000"/>
                <w:sz w:val="22"/>
                <w:szCs w:val="22"/>
              </w:rPr>
              <w:t>,</w:t>
            </w:r>
          </w:p>
          <w:p w14:paraId="4312C92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vaskulitis</w:t>
            </w:r>
          </w:p>
          <w:p w14:paraId="42BB8B6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(uključujući</w:t>
            </w:r>
          </w:p>
          <w:p w14:paraId="2FDFA4A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leukocitoklastični</w:t>
            </w:r>
          </w:p>
          <w:p w14:paraId="31BCFB14"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vaskulitis)</w:t>
            </w:r>
          </w:p>
        </w:tc>
      </w:tr>
      <w:tr w:rsidR="00932274" w:rsidRPr="009F025B" w14:paraId="2A617640" w14:textId="77777777" w:rsidTr="00577F77">
        <w:tc>
          <w:tcPr>
            <w:tcW w:w="1879" w:type="dxa"/>
            <w:vAlign w:val="center"/>
          </w:tcPr>
          <w:p w14:paraId="21CCE494"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xml:space="preserve">Respiratorni poremećaji, poremećaji </w:t>
            </w:r>
          </w:p>
          <w:p w14:paraId="4C69BE4F"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grudi i medijastinuma </w:t>
            </w:r>
          </w:p>
          <w:p w14:paraId="0FB6AD8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E2CAD52"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95" w:type="dxa"/>
            <w:vAlign w:val="center"/>
          </w:tcPr>
          <w:p w14:paraId="43021E5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4353040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62CEC6F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astma</w:t>
            </w:r>
          </w:p>
          <w:p w14:paraId="31B357E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483F396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C89855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2CC8C6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C324D2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0C71BA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617BB21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edem</w:t>
            </w:r>
          </w:p>
          <w:p w14:paraId="616C554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laringsa</w:t>
            </w:r>
          </w:p>
          <w:p w14:paraId="141069B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4B4AB6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21FABE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41202C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4201419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453D372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bronhospazam</w:t>
            </w:r>
          </w:p>
          <w:p w14:paraId="5878FCED" w14:textId="77777777" w:rsidR="00932274" w:rsidRPr="009F025B" w:rsidRDefault="00932274" w:rsidP="00577F77">
            <w:pPr>
              <w:jc w:val="both"/>
              <w:rPr>
                <w:rFonts w:ascii="Times New Roman" w:hAnsi="Times New Roman" w:cs="Times New Roman"/>
                <w:color w:val="000000"/>
                <w:sz w:val="22"/>
                <w:szCs w:val="22"/>
                <w:lang w:val="hr-HR"/>
              </w:rPr>
            </w:pPr>
            <w:r w:rsidRPr="009F025B">
              <w:rPr>
                <w:rFonts w:ascii="Times New Roman" w:hAnsi="Times New Roman" w:cs="Times New Roman"/>
                <w:color w:val="000000"/>
                <w:sz w:val="22"/>
                <w:szCs w:val="22"/>
                <w:lang w:val="hr-HR"/>
              </w:rPr>
              <w:t xml:space="preserve">(naročito kod pacijenata </w:t>
            </w:r>
          </w:p>
          <w:p w14:paraId="348BE751" w14:textId="1961F755"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w:t>
            </w:r>
            <w:r w:rsidR="00577F77">
              <w:rPr>
                <w:rFonts w:ascii="Times New Roman" w:hAnsi="Times New Roman" w:cs="Times New Roman"/>
                <w:color w:val="000000"/>
                <w:sz w:val="22"/>
                <w:szCs w:val="22"/>
                <w:lang w:val="hr-HR"/>
              </w:rPr>
              <w:t>a</w:t>
            </w:r>
          </w:p>
          <w:p w14:paraId="7635D26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poznatom</w:t>
            </w:r>
          </w:p>
          <w:p w14:paraId="09D4F02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preosjetljivošću</w:t>
            </w:r>
          </w:p>
          <w:p w14:paraId="490D565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na acetilsalicilnu</w:t>
            </w:r>
          </w:p>
          <w:p w14:paraId="1FB62977"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kiselinu i druge NSAIL), rinitis, dispneja, laringospazam</w:t>
            </w:r>
          </w:p>
        </w:tc>
      </w:tr>
      <w:tr w:rsidR="00932274" w:rsidRPr="009F025B" w14:paraId="6C7990C3" w14:textId="77777777" w:rsidTr="00577F77">
        <w:tc>
          <w:tcPr>
            <w:tcW w:w="1879" w:type="dxa"/>
            <w:vAlign w:val="center"/>
          </w:tcPr>
          <w:p w14:paraId="78023BAE"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Gastrointestinalni poremećaji </w:t>
            </w:r>
          </w:p>
          <w:p w14:paraId="08B8788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7F47F5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9C57A6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7F5A6C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95" w:type="dxa"/>
            <w:vAlign w:val="center"/>
          </w:tcPr>
          <w:p w14:paraId="060CB0B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dispepsija,</w:t>
            </w:r>
          </w:p>
          <w:p w14:paraId="2FE4E0D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mučnina,</w:t>
            </w:r>
          </w:p>
          <w:p w14:paraId="7A93131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abdominalni bol,</w:t>
            </w:r>
          </w:p>
          <w:p w14:paraId="77512C6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povraćanje</w:t>
            </w:r>
          </w:p>
          <w:p w14:paraId="002168C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1CBD496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4B697BE"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0BE81E48"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opstipacija,</w:t>
            </w:r>
          </w:p>
          <w:p w14:paraId="62DE63D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dijareja,</w:t>
            </w:r>
          </w:p>
          <w:p w14:paraId="08A9AF2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flatulencija,</w:t>
            </w:r>
          </w:p>
          <w:p w14:paraId="70B09EB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gastritis</w:t>
            </w:r>
          </w:p>
          <w:p w14:paraId="42C6AE5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B1C5A2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9BAD29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F2D0D6C"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3E68AEA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stomatitis,</w:t>
            </w:r>
          </w:p>
          <w:p w14:paraId="5101A61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peptički</w:t>
            </w:r>
          </w:p>
          <w:p w14:paraId="474CD31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ulkus</w:t>
            </w:r>
          </w:p>
          <w:p w14:paraId="694BB97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191680A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F51E3D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39E041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01002E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314B5CBD"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333180D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pogoršanje</w:t>
            </w:r>
          </w:p>
          <w:p w14:paraId="0D27E10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kolitisa i</w:t>
            </w:r>
          </w:p>
          <w:p w14:paraId="4DF113E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Kronove bolesti,</w:t>
            </w:r>
          </w:p>
          <w:p w14:paraId="3496360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gastrointestinalno</w:t>
            </w:r>
          </w:p>
          <w:p w14:paraId="01A3769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krvarenje i</w:t>
            </w:r>
          </w:p>
          <w:p w14:paraId="77098D1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perforacija,</w:t>
            </w:r>
          </w:p>
          <w:p w14:paraId="4475BBF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pankreatitis,</w:t>
            </w:r>
          </w:p>
          <w:p w14:paraId="73B7C7D1"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pireksija</w:t>
            </w:r>
          </w:p>
        </w:tc>
      </w:tr>
      <w:tr w:rsidR="00932274" w:rsidRPr="009F025B" w14:paraId="7CA094E9" w14:textId="77777777" w:rsidTr="00577F77">
        <w:tc>
          <w:tcPr>
            <w:tcW w:w="1879" w:type="dxa"/>
            <w:vAlign w:val="center"/>
          </w:tcPr>
          <w:p w14:paraId="0EB38227"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Hepatobilijarni poremećaji </w:t>
            </w:r>
          </w:p>
          <w:p w14:paraId="1794C8A5"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41E21771"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19AA180E"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2D6987E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4490B42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E5C8F0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FE76B8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C1553F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494210F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95" w:type="dxa"/>
            <w:vAlign w:val="center"/>
          </w:tcPr>
          <w:p w14:paraId="06922B27"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308E32F6"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5A45DF42"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hepatitis,</w:t>
            </w:r>
          </w:p>
          <w:p w14:paraId="4592C34A"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povećanje</w:t>
            </w:r>
          </w:p>
          <w:p w14:paraId="2A5ABF55"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vrijednosti</w:t>
            </w:r>
          </w:p>
          <w:p w14:paraId="766AE45C"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jetrenih</w:t>
            </w:r>
          </w:p>
          <w:p w14:paraId="7DC79E5F"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enzima u</w:t>
            </w:r>
          </w:p>
          <w:p w14:paraId="6E139393"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krvi,</w:t>
            </w:r>
          </w:p>
          <w:p w14:paraId="0011725B"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 xml:space="preserve">povećanje vrijednosti </w:t>
            </w:r>
          </w:p>
          <w:p w14:paraId="385CBB97"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serumskog</w:t>
            </w:r>
          </w:p>
          <w:p w14:paraId="589561FA"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bilirubina</w:t>
            </w:r>
          </w:p>
          <w:p w14:paraId="75DC9E4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zbog</w:t>
            </w:r>
            <w:r w:rsidRPr="009F025B">
              <w:rPr>
                <w:rFonts w:ascii="Times New Roman" w:hAnsi="Times New Roman" w:cs="Times New Roman"/>
                <w:color w:val="000000"/>
                <w:sz w:val="22"/>
                <w:szCs w:val="22"/>
                <w:lang w:val="de-DE"/>
              </w:rPr>
              <w:t xml:space="preserve"> </w:t>
            </w:r>
            <w:r w:rsidRPr="009F025B">
              <w:rPr>
                <w:rFonts w:ascii="Times New Roman" w:hAnsi="Times New Roman" w:cs="Times New Roman"/>
                <w:color w:val="000000"/>
                <w:sz w:val="22"/>
                <w:szCs w:val="22"/>
                <w:lang w:val="hr-HR"/>
              </w:rPr>
              <w:t>poremećaja jetre</w:t>
            </w:r>
          </w:p>
        </w:tc>
        <w:tc>
          <w:tcPr>
            <w:tcW w:w="1206" w:type="dxa"/>
            <w:vAlign w:val="center"/>
          </w:tcPr>
          <w:p w14:paraId="2BB1815C"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53BC5F4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r>
      <w:tr w:rsidR="00932274" w:rsidRPr="009F025B" w14:paraId="4F8A58A7" w14:textId="77777777" w:rsidTr="00577F77">
        <w:tc>
          <w:tcPr>
            <w:tcW w:w="1879" w:type="dxa"/>
            <w:vAlign w:val="center"/>
          </w:tcPr>
          <w:p w14:paraId="377DB897" w14:textId="77777777" w:rsidR="00932274" w:rsidRPr="009F025B" w:rsidRDefault="00932274" w:rsidP="00577F77">
            <w:pPr>
              <w:jc w:val="both"/>
              <w:rPr>
                <w:rFonts w:ascii="Times New Roman" w:hAnsi="Times New Roman" w:cs="Times New Roman"/>
                <w:b/>
                <w:bCs/>
                <w:color w:val="000000"/>
                <w:sz w:val="22"/>
                <w:szCs w:val="22"/>
                <w:lang w:val="de-DE"/>
              </w:rPr>
            </w:pPr>
            <w:r w:rsidRPr="009F025B">
              <w:rPr>
                <w:rFonts w:ascii="Times New Roman" w:hAnsi="Times New Roman" w:cs="Times New Roman"/>
                <w:b/>
                <w:bCs/>
                <w:color w:val="000000"/>
                <w:sz w:val="22"/>
                <w:szCs w:val="22"/>
                <w:lang w:val="hr-HR"/>
              </w:rPr>
              <w:t>Poremećaji</w:t>
            </w:r>
          </w:p>
          <w:p w14:paraId="6D1F3BC4" w14:textId="77777777" w:rsidR="00932274" w:rsidRPr="009F025B" w:rsidRDefault="00932274" w:rsidP="00577F77">
            <w:pPr>
              <w:jc w:val="both"/>
              <w:rPr>
                <w:rFonts w:ascii="Times New Roman" w:hAnsi="Times New Roman" w:cs="Times New Roman"/>
                <w:b/>
                <w:bCs/>
                <w:color w:val="000000"/>
                <w:sz w:val="22"/>
                <w:szCs w:val="22"/>
                <w:lang w:val="de-DE"/>
              </w:rPr>
            </w:pPr>
            <w:r w:rsidRPr="009F025B">
              <w:rPr>
                <w:rFonts w:ascii="Times New Roman" w:hAnsi="Times New Roman" w:cs="Times New Roman"/>
                <w:b/>
                <w:bCs/>
                <w:color w:val="000000"/>
                <w:sz w:val="22"/>
                <w:szCs w:val="22"/>
                <w:lang w:val="hr-HR"/>
              </w:rPr>
              <w:t>na nivou kože i</w:t>
            </w:r>
          </w:p>
          <w:p w14:paraId="6244AFE8" w14:textId="77777777" w:rsidR="00932274" w:rsidRPr="009F025B" w:rsidRDefault="00932274" w:rsidP="00577F77">
            <w:pPr>
              <w:jc w:val="both"/>
              <w:rPr>
                <w:rFonts w:ascii="Times New Roman" w:hAnsi="Times New Roman" w:cs="Times New Roman"/>
                <w:b/>
                <w:bCs/>
                <w:color w:val="000000"/>
                <w:sz w:val="22"/>
                <w:szCs w:val="22"/>
                <w:lang w:val="de-DE"/>
              </w:rPr>
            </w:pPr>
            <w:r w:rsidRPr="009F025B">
              <w:rPr>
                <w:rFonts w:ascii="Times New Roman" w:hAnsi="Times New Roman" w:cs="Times New Roman"/>
                <w:b/>
                <w:bCs/>
                <w:color w:val="000000"/>
                <w:sz w:val="22"/>
                <w:szCs w:val="22"/>
                <w:lang w:val="hr-HR"/>
              </w:rPr>
              <w:t>potkožnog</w:t>
            </w:r>
          </w:p>
          <w:p w14:paraId="001D5218"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tkiva</w:t>
            </w:r>
          </w:p>
          <w:p w14:paraId="7FE30B07"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442B011B"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40D650E2"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78E9D36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D60067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lastRenderedPageBreak/>
              <w:t> </w:t>
            </w:r>
          </w:p>
          <w:p w14:paraId="27E3BF7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7343A3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9A9A2C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BD7580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F580DC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0158F5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627F25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589AEC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E01FB5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95" w:type="dxa"/>
            <w:vAlign w:val="center"/>
          </w:tcPr>
          <w:p w14:paraId="6D14926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lastRenderedPageBreak/>
              <w:t> </w:t>
            </w:r>
          </w:p>
        </w:tc>
        <w:tc>
          <w:tcPr>
            <w:tcW w:w="1422" w:type="dxa"/>
            <w:vAlign w:val="center"/>
          </w:tcPr>
          <w:p w14:paraId="49421432"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osip, svrab</w:t>
            </w:r>
          </w:p>
          <w:p w14:paraId="070DAFC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kože</w:t>
            </w:r>
          </w:p>
          <w:p w14:paraId="331D81E5"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E0CF9C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2D7C52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4AB32BE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6A91D3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0D33D1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2DC9C3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lastRenderedPageBreak/>
              <w:t> </w:t>
            </w:r>
          </w:p>
          <w:p w14:paraId="5460B3A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1CD9F6A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0D903D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0763E4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33F1EF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7933A3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62D96C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DFDB2ED"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8C5D9C8"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3940A386"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lastRenderedPageBreak/>
              <w:t> </w:t>
            </w:r>
          </w:p>
        </w:tc>
        <w:tc>
          <w:tcPr>
            <w:tcW w:w="1206" w:type="dxa"/>
            <w:vAlign w:val="center"/>
          </w:tcPr>
          <w:p w14:paraId="7FCE2BA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236DE663"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fotosenzitivnost,</w:t>
            </w:r>
          </w:p>
          <w:p w14:paraId="4A2C1E55"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alopecija,</w:t>
            </w:r>
          </w:p>
          <w:p w14:paraId="19948FD4"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urtikarija,</w:t>
            </w:r>
          </w:p>
          <w:p w14:paraId="735E6F89"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angioedem,</w:t>
            </w:r>
          </w:p>
          <w:p w14:paraId="08E9CB77"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bulozne erupcije,</w:t>
            </w:r>
          </w:p>
          <w:p w14:paraId="0C2F4EE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uključujući</w:t>
            </w:r>
          </w:p>
          <w:p w14:paraId="0DF2B00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Stevens-</w:t>
            </w:r>
          </w:p>
          <w:p w14:paraId="3257307E"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Johnsonov</w:t>
            </w:r>
          </w:p>
          <w:p w14:paraId="55EC1D9A"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lastRenderedPageBreak/>
              <w:t>sindrom, toksičnu</w:t>
            </w:r>
          </w:p>
          <w:p w14:paraId="5E386FE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epidermalnu</w:t>
            </w:r>
          </w:p>
          <w:p w14:paraId="36295A97"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nekrolizu, akutnu</w:t>
            </w:r>
          </w:p>
          <w:p w14:paraId="6B8527BF"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generaliziranu</w:t>
            </w:r>
          </w:p>
          <w:p w14:paraId="6E52C2DE"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egzantematoznu</w:t>
            </w:r>
          </w:p>
          <w:p w14:paraId="780AC1D8" w14:textId="77777777" w:rsidR="00932274" w:rsidRPr="009F025B" w:rsidRDefault="00932274" w:rsidP="00577F77">
            <w:pPr>
              <w:jc w:val="both"/>
              <w:rPr>
                <w:rFonts w:ascii="Times New Roman" w:hAnsi="Times New Roman" w:cs="Times New Roman"/>
                <w:color w:val="000000"/>
                <w:sz w:val="22"/>
                <w:szCs w:val="22"/>
                <w:lang w:val="de-DE"/>
              </w:rPr>
            </w:pPr>
            <w:r w:rsidRPr="009F025B">
              <w:rPr>
                <w:rFonts w:ascii="Times New Roman" w:hAnsi="Times New Roman" w:cs="Times New Roman"/>
                <w:color w:val="000000"/>
                <w:sz w:val="22"/>
                <w:szCs w:val="22"/>
                <w:lang w:val="hr-HR"/>
              </w:rPr>
              <w:t>pustulozu,</w:t>
            </w:r>
          </w:p>
          <w:p w14:paraId="4FBB7DC5"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eritem, egzantem,</w:t>
            </w:r>
          </w:p>
          <w:p w14:paraId="66D4C39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makulopapilarni</w:t>
            </w:r>
          </w:p>
          <w:p w14:paraId="0B6117B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osip,</w:t>
            </w:r>
          </w:p>
          <w:p w14:paraId="26D83588"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dermatitis</w:t>
            </w:r>
          </w:p>
        </w:tc>
      </w:tr>
      <w:tr w:rsidR="00932274" w:rsidRPr="009F025B" w14:paraId="5A5BB34B" w14:textId="77777777" w:rsidTr="00577F77">
        <w:tc>
          <w:tcPr>
            <w:tcW w:w="1879" w:type="dxa"/>
            <w:vAlign w:val="center"/>
          </w:tcPr>
          <w:p w14:paraId="0977EBFE"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lastRenderedPageBreak/>
              <w:t>Poremećaji</w:t>
            </w:r>
          </w:p>
          <w:p w14:paraId="58A52346" w14:textId="77777777" w:rsidR="00932274" w:rsidRPr="009F025B" w:rsidRDefault="00932274" w:rsidP="00577F77">
            <w:pPr>
              <w:jc w:val="both"/>
              <w:rPr>
                <w:rFonts w:ascii="Times New Roman" w:hAnsi="Times New Roman" w:cs="Times New Roman"/>
                <w:b/>
                <w:bCs/>
                <w:color w:val="000000"/>
                <w:sz w:val="22"/>
                <w:szCs w:val="22"/>
              </w:rPr>
            </w:pPr>
            <w:proofErr w:type="spellStart"/>
            <w:r w:rsidRPr="009F025B">
              <w:rPr>
                <w:rFonts w:ascii="Times New Roman" w:hAnsi="Times New Roman" w:cs="Times New Roman"/>
                <w:b/>
                <w:bCs/>
                <w:color w:val="000000"/>
                <w:sz w:val="22"/>
                <w:szCs w:val="22"/>
              </w:rPr>
              <w:t>na</w:t>
            </w:r>
            <w:proofErr w:type="spellEnd"/>
            <w:r w:rsidRPr="009F025B">
              <w:rPr>
                <w:rFonts w:ascii="Times New Roman" w:hAnsi="Times New Roman" w:cs="Times New Roman"/>
                <w:b/>
                <w:bCs/>
                <w:color w:val="000000"/>
                <w:sz w:val="22"/>
                <w:szCs w:val="22"/>
              </w:rPr>
              <w:t xml:space="preserve"> </w:t>
            </w:r>
            <w:proofErr w:type="spellStart"/>
            <w:r w:rsidRPr="009F025B">
              <w:rPr>
                <w:rFonts w:ascii="Times New Roman" w:hAnsi="Times New Roman" w:cs="Times New Roman"/>
                <w:b/>
                <w:bCs/>
                <w:color w:val="000000"/>
                <w:sz w:val="22"/>
                <w:szCs w:val="22"/>
              </w:rPr>
              <w:t>nivou</w:t>
            </w:r>
            <w:proofErr w:type="spellEnd"/>
            <w:r w:rsidRPr="009F025B">
              <w:rPr>
                <w:rFonts w:ascii="Times New Roman" w:hAnsi="Times New Roman" w:cs="Times New Roman"/>
                <w:b/>
                <w:bCs/>
                <w:color w:val="000000"/>
                <w:sz w:val="22"/>
                <w:szCs w:val="22"/>
              </w:rPr>
              <w:t xml:space="preserve"> </w:t>
            </w:r>
            <w:r w:rsidRPr="009F025B">
              <w:rPr>
                <w:rFonts w:ascii="Times New Roman" w:hAnsi="Times New Roman" w:cs="Times New Roman"/>
                <w:b/>
                <w:bCs/>
                <w:color w:val="000000"/>
                <w:sz w:val="22"/>
                <w:szCs w:val="22"/>
                <w:lang w:val="hr-HR"/>
              </w:rPr>
              <w:t>bubrega i</w:t>
            </w:r>
          </w:p>
          <w:p w14:paraId="52471084"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urinarnog sistema </w:t>
            </w:r>
          </w:p>
          <w:p w14:paraId="0B517ADD"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4FE31AC5"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 </w:t>
            </w:r>
          </w:p>
          <w:p w14:paraId="5686D108"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95" w:type="dxa"/>
            <w:vAlign w:val="center"/>
          </w:tcPr>
          <w:p w14:paraId="0D0DF51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6B80AE13"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42A3019E"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0281E7D7"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hematurija</w:t>
            </w:r>
          </w:p>
          <w:p w14:paraId="4CA7C3A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B08A485"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59C798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EEF098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034C9593"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C12D79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69E63FC8"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4129D0C5" w14:textId="5CEDBD3A"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xml:space="preserve">akutna </w:t>
            </w:r>
          </w:p>
          <w:p w14:paraId="7C3AEBBB"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bubrežna insuficijencija,</w:t>
            </w:r>
          </w:p>
          <w:p w14:paraId="7B7260C9"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tubulointersticijski</w:t>
            </w:r>
            <w:r w:rsidRPr="009F025B">
              <w:rPr>
                <w:rFonts w:ascii="Times New Roman" w:hAnsi="Times New Roman" w:cs="Times New Roman"/>
                <w:color w:val="000000"/>
                <w:sz w:val="22"/>
                <w:szCs w:val="22"/>
              </w:rPr>
              <w:t xml:space="preserve"> </w:t>
            </w:r>
            <w:r w:rsidRPr="009F025B">
              <w:rPr>
                <w:rFonts w:ascii="Times New Roman" w:hAnsi="Times New Roman" w:cs="Times New Roman"/>
                <w:color w:val="000000"/>
                <w:sz w:val="22"/>
                <w:szCs w:val="22"/>
                <w:lang w:val="hr-HR"/>
              </w:rPr>
              <w:t>nefritis, nefrotski</w:t>
            </w:r>
          </w:p>
          <w:p w14:paraId="6DF808F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sindrom,</w:t>
            </w:r>
          </w:p>
          <w:p w14:paraId="5F7CAEA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poremećene</w:t>
            </w:r>
          </w:p>
          <w:p w14:paraId="4D44AB5C"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vrijednosti testova</w:t>
            </w:r>
          </w:p>
          <w:p w14:paraId="5E6EC3D5"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funkcije bubrega</w:t>
            </w:r>
          </w:p>
        </w:tc>
      </w:tr>
      <w:tr w:rsidR="00932274" w:rsidRPr="009F025B" w14:paraId="752B0DAB" w14:textId="77777777" w:rsidTr="00577F77">
        <w:tc>
          <w:tcPr>
            <w:tcW w:w="1879" w:type="dxa"/>
            <w:vAlign w:val="center"/>
          </w:tcPr>
          <w:p w14:paraId="0AFA3A30"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Opšti</w:t>
            </w:r>
          </w:p>
          <w:p w14:paraId="3C96F32B"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poremećaji i</w:t>
            </w:r>
          </w:p>
          <w:p w14:paraId="05FB8726"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reakcije na</w:t>
            </w:r>
          </w:p>
          <w:p w14:paraId="1D7C7E12" w14:textId="77777777" w:rsidR="00932274" w:rsidRPr="009F025B" w:rsidRDefault="00932274" w:rsidP="00577F77">
            <w:pPr>
              <w:jc w:val="both"/>
              <w:rPr>
                <w:rFonts w:ascii="Times New Roman" w:hAnsi="Times New Roman" w:cs="Times New Roman"/>
                <w:b/>
                <w:bCs/>
                <w:color w:val="000000"/>
                <w:sz w:val="22"/>
                <w:szCs w:val="22"/>
              </w:rPr>
            </w:pPr>
            <w:r w:rsidRPr="009F025B">
              <w:rPr>
                <w:rFonts w:ascii="Times New Roman" w:hAnsi="Times New Roman" w:cs="Times New Roman"/>
                <w:b/>
                <w:bCs/>
                <w:color w:val="000000"/>
                <w:sz w:val="22"/>
                <w:szCs w:val="22"/>
                <w:lang w:val="hr-HR"/>
              </w:rPr>
              <w:t>mjestu</w:t>
            </w:r>
          </w:p>
          <w:p w14:paraId="4BFD3408"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primjene</w:t>
            </w:r>
          </w:p>
        </w:tc>
        <w:tc>
          <w:tcPr>
            <w:tcW w:w="1295" w:type="dxa"/>
            <w:vAlign w:val="center"/>
          </w:tcPr>
          <w:p w14:paraId="4BC1F949"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6B855250"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edemi, umor</w:t>
            </w:r>
          </w:p>
          <w:p w14:paraId="74B3BD5F"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2E74DE8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54897BA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9592EED"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2D6A069A"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206" w:type="dxa"/>
            <w:vAlign w:val="center"/>
          </w:tcPr>
          <w:p w14:paraId="578C06E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astenija,</w:t>
            </w:r>
          </w:p>
          <w:p w14:paraId="31F0C3C6"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edem lica</w:t>
            </w:r>
          </w:p>
          <w:p w14:paraId="7C935B3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3C1E65F4"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 </w:t>
            </w:r>
          </w:p>
          <w:p w14:paraId="753A24EB"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52A73F0F"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r>
      <w:tr w:rsidR="00932274" w:rsidRPr="009F025B" w14:paraId="1905A05F" w14:textId="77777777" w:rsidTr="00577F77">
        <w:tc>
          <w:tcPr>
            <w:tcW w:w="1879" w:type="dxa"/>
            <w:vAlign w:val="center"/>
          </w:tcPr>
          <w:p w14:paraId="0FB8568E" w14:textId="77777777" w:rsidR="00932274" w:rsidRPr="009F025B" w:rsidRDefault="00932274" w:rsidP="00577F77">
            <w:pPr>
              <w:jc w:val="both"/>
              <w:rPr>
                <w:sz w:val="22"/>
                <w:szCs w:val="22"/>
              </w:rPr>
            </w:pPr>
            <w:r w:rsidRPr="009F025B">
              <w:rPr>
                <w:rFonts w:ascii="Times New Roman" w:hAnsi="Times New Roman" w:cs="Times New Roman"/>
                <w:b/>
                <w:bCs/>
                <w:color w:val="000000"/>
                <w:sz w:val="22"/>
                <w:szCs w:val="22"/>
                <w:lang w:val="hr-HR"/>
              </w:rPr>
              <w:t>Analize</w:t>
            </w:r>
          </w:p>
        </w:tc>
        <w:tc>
          <w:tcPr>
            <w:tcW w:w="1295" w:type="dxa"/>
            <w:vAlign w:val="center"/>
          </w:tcPr>
          <w:p w14:paraId="2DDD3BC3"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422" w:type="dxa"/>
            <w:vAlign w:val="center"/>
          </w:tcPr>
          <w:p w14:paraId="1B4A67D5"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379" w:type="dxa"/>
            <w:vAlign w:val="center"/>
          </w:tcPr>
          <w:p w14:paraId="107E0E81" w14:textId="77777777" w:rsidR="00932274" w:rsidRPr="009F025B" w:rsidRDefault="00932274" w:rsidP="00577F77">
            <w:pPr>
              <w:jc w:val="both"/>
              <w:rPr>
                <w:rFonts w:ascii="Times New Roman" w:hAnsi="Times New Roman" w:cs="Times New Roman"/>
                <w:color w:val="000000"/>
                <w:sz w:val="22"/>
                <w:szCs w:val="22"/>
              </w:rPr>
            </w:pPr>
            <w:r w:rsidRPr="009F025B">
              <w:rPr>
                <w:rFonts w:ascii="Times New Roman" w:hAnsi="Times New Roman" w:cs="Times New Roman"/>
                <w:color w:val="000000"/>
                <w:sz w:val="22"/>
                <w:szCs w:val="22"/>
                <w:lang w:val="hr-HR"/>
              </w:rPr>
              <w:t>povećanje tjelesne</w:t>
            </w:r>
          </w:p>
          <w:p w14:paraId="4EFF2036"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xml:space="preserve">mase </w:t>
            </w:r>
          </w:p>
        </w:tc>
        <w:tc>
          <w:tcPr>
            <w:tcW w:w="1206" w:type="dxa"/>
            <w:vAlign w:val="center"/>
          </w:tcPr>
          <w:p w14:paraId="2C839E0C"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c>
          <w:tcPr>
            <w:tcW w:w="1835" w:type="dxa"/>
            <w:vAlign w:val="center"/>
          </w:tcPr>
          <w:p w14:paraId="5052F173" w14:textId="77777777" w:rsidR="00932274" w:rsidRPr="009F025B" w:rsidRDefault="00932274" w:rsidP="00577F77">
            <w:pPr>
              <w:jc w:val="both"/>
              <w:rPr>
                <w:sz w:val="22"/>
                <w:szCs w:val="22"/>
              </w:rPr>
            </w:pPr>
            <w:r w:rsidRPr="009F025B">
              <w:rPr>
                <w:rFonts w:ascii="Times New Roman" w:hAnsi="Times New Roman" w:cs="Times New Roman"/>
                <w:color w:val="000000"/>
                <w:sz w:val="22"/>
                <w:szCs w:val="22"/>
                <w:lang w:val="hr-HR"/>
              </w:rPr>
              <w:t> </w:t>
            </w:r>
          </w:p>
        </w:tc>
      </w:tr>
    </w:tbl>
    <w:p w14:paraId="07E61CF4" w14:textId="77777777" w:rsidR="00932274" w:rsidRPr="009F025B" w:rsidRDefault="00932274" w:rsidP="00577F77">
      <w:pPr>
        <w:jc w:val="both"/>
        <w:rPr>
          <w:sz w:val="22"/>
          <w:szCs w:val="22"/>
        </w:rPr>
      </w:pPr>
    </w:p>
    <w:p w14:paraId="361E03D0" w14:textId="7471BCC0" w:rsidR="00B374FD" w:rsidRPr="009F025B" w:rsidRDefault="00B374FD" w:rsidP="00577F77">
      <w:pPr>
        <w:tabs>
          <w:tab w:val="left" w:pos="540"/>
          <w:tab w:val="left" w:pos="569"/>
        </w:tabs>
        <w:jc w:val="both"/>
        <w:rPr>
          <w:b/>
          <w:bCs/>
          <w:sz w:val="22"/>
          <w:szCs w:val="22"/>
          <w:lang w:val="hr-HR"/>
        </w:rPr>
      </w:pPr>
    </w:p>
    <w:p w14:paraId="713EF23D" w14:textId="7282522C" w:rsidR="0077666F" w:rsidRPr="009F025B" w:rsidRDefault="0077666F" w:rsidP="00577F77">
      <w:pPr>
        <w:tabs>
          <w:tab w:val="left" w:pos="540"/>
          <w:tab w:val="left" w:pos="569"/>
        </w:tabs>
        <w:jc w:val="both"/>
        <w:rPr>
          <w:sz w:val="22"/>
          <w:szCs w:val="22"/>
          <w:lang w:val="hr-HR"/>
        </w:rPr>
      </w:pPr>
      <w:bookmarkStart w:id="1" w:name="_Hlk143683423"/>
      <w:r w:rsidRPr="009F025B">
        <w:rPr>
          <w:sz w:val="22"/>
          <w:szCs w:val="22"/>
          <w:lang w:val="hr-HR"/>
        </w:rPr>
        <w:t>Klinička ispitivanja i epidemiološki podaci sugeri</w:t>
      </w:r>
      <w:r w:rsidR="00F5766D" w:rsidRPr="009F025B">
        <w:rPr>
          <w:sz w:val="22"/>
          <w:szCs w:val="22"/>
          <w:lang w:val="hr-HR"/>
        </w:rPr>
        <w:t>šu</w:t>
      </w:r>
      <w:r w:rsidRPr="009F025B">
        <w:rPr>
          <w:sz w:val="22"/>
          <w:szCs w:val="22"/>
          <w:lang w:val="hr-HR"/>
        </w:rPr>
        <w:t xml:space="preserve"> da primjena nekih nesteroidnih </w:t>
      </w:r>
      <w:r w:rsidR="00712BC5" w:rsidRPr="009F025B">
        <w:rPr>
          <w:sz w:val="22"/>
          <w:szCs w:val="22"/>
          <w:lang w:val="hr-HR"/>
        </w:rPr>
        <w:t xml:space="preserve">antiinflamatornih </w:t>
      </w:r>
      <w:r w:rsidRPr="009F025B">
        <w:rPr>
          <w:sz w:val="22"/>
          <w:szCs w:val="22"/>
          <w:lang w:val="hr-HR"/>
        </w:rPr>
        <w:t>ljekova (</w:t>
      </w:r>
      <w:r w:rsidR="00712BC5" w:rsidRPr="009F025B">
        <w:rPr>
          <w:sz w:val="22"/>
          <w:szCs w:val="22"/>
          <w:lang w:val="hr-HR"/>
        </w:rPr>
        <w:t xml:space="preserve">naročito </w:t>
      </w:r>
      <w:r w:rsidRPr="009F025B">
        <w:rPr>
          <w:sz w:val="22"/>
          <w:szCs w:val="22"/>
          <w:lang w:val="hr-HR"/>
        </w:rPr>
        <w:t>u visokim dozama i kod dugotrajnog liječenja) može biti povezana s</w:t>
      </w:r>
      <w:r w:rsidR="000D772F" w:rsidRPr="009F025B">
        <w:rPr>
          <w:sz w:val="22"/>
          <w:szCs w:val="22"/>
          <w:lang w:val="hr-HR"/>
        </w:rPr>
        <w:t>a</w:t>
      </w:r>
      <w:r w:rsidRPr="009F025B">
        <w:rPr>
          <w:sz w:val="22"/>
          <w:szCs w:val="22"/>
          <w:lang w:val="hr-HR"/>
        </w:rPr>
        <w:t xml:space="preserve"> povećanim rizikom od arterijskih trombotičkih događaja (na primjer infarkta miokarda ili moždanog udara) (vidjeti dio 4.4.).</w:t>
      </w:r>
    </w:p>
    <w:bookmarkEnd w:id="1"/>
    <w:p w14:paraId="4A630A02" w14:textId="77777777" w:rsidR="00565C98" w:rsidRPr="009F025B" w:rsidRDefault="00565C98" w:rsidP="00577F77">
      <w:pPr>
        <w:tabs>
          <w:tab w:val="left" w:pos="540"/>
          <w:tab w:val="left" w:pos="569"/>
        </w:tabs>
        <w:jc w:val="both"/>
        <w:rPr>
          <w:b/>
          <w:bCs/>
          <w:sz w:val="22"/>
          <w:szCs w:val="22"/>
          <w:lang w:val="hr-HR"/>
        </w:rPr>
      </w:pPr>
    </w:p>
    <w:p w14:paraId="2128EE1E" w14:textId="77777777" w:rsidR="005A23D2" w:rsidRPr="009F025B" w:rsidRDefault="005A23D2" w:rsidP="00577F77">
      <w:pPr>
        <w:spacing w:after="200" w:line="276" w:lineRule="auto"/>
        <w:jc w:val="both"/>
        <w:rPr>
          <w:rFonts w:eastAsia="Calibri"/>
          <w:sz w:val="22"/>
          <w:szCs w:val="22"/>
          <w:u w:val="single"/>
          <w:lang w:val="sr-Latn-RS"/>
        </w:rPr>
      </w:pPr>
      <w:r w:rsidRPr="009F025B">
        <w:rPr>
          <w:rFonts w:eastAsia="Calibri"/>
          <w:sz w:val="22"/>
          <w:szCs w:val="22"/>
          <w:u w:val="single"/>
          <w:lang w:val="sr-Latn-RS"/>
        </w:rPr>
        <w:t>Prijavljivanje sumnji na neželjena dejstva</w:t>
      </w:r>
    </w:p>
    <w:p w14:paraId="3A43BCE8" w14:textId="017A91E7" w:rsidR="005A23D2" w:rsidRPr="009F025B" w:rsidRDefault="005A23D2" w:rsidP="00577F77">
      <w:pPr>
        <w:spacing w:after="200"/>
        <w:jc w:val="both"/>
        <w:rPr>
          <w:rFonts w:eastAsia="Calibri"/>
          <w:sz w:val="22"/>
          <w:szCs w:val="22"/>
          <w:lang w:val="sr-Latn-RS"/>
        </w:rPr>
      </w:pPr>
      <w:r w:rsidRPr="009F025B">
        <w:rPr>
          <w:rFonts w:eastAsia="Calibri"/>
          <w:sz w:val="22"/>
          <w:szCs w:val="22"/>
          <w:lang w:val="sr-Latn-RS"/>
        </w:rPr>
        <w:t>Prijavljivanje neželjenih dejstava nakon dobijanja dozvole</w:t>
      </w:r>
      <w:r w:rsidR="00577F77">
        <w:rPr>
          <w:rFonts w:eastAsia="Calibri"/>
          <w:sz w:val="22"/>
          <w:szCs w:val="22"/>
          <w:lang w:val="sr-Latn-RS"/>
        </w:rPr>
        <w:t xml:space="preserve"> za lijek </w:t>
      </w:r>
      <w:r w:rsidRPr="009F025B">
        <w:rPr>
          <w:rFonts w:eastAsia="Calibri"/>
          <w:sz w:val="22"/>
          <w:szCs w:val="22"/>
          <w:lang w:val="sr-Latn-RS"/>
        </w:rPr>
        <w:t xml:space="preserve"> je od velikog značaja jer obezbjeđuje kont</w:t>
      </w:r>
      <w:r w:rsidR="00EA5765" w:rsidRPr="009F025B">
        <w:rPr>
          <w:rFonts w:eastAsia="Calibri"/>
          <w:sz w:val="22"/>
          <w:szCs w:val="22"/>
          <w:lang w:val="sr-Latn-RS"/>
        </w:rPr>
        <w:t>inuirano praćenje odnosa korist</w:t>
      </w:r>
      <w:r w:rsidRPr="009F025B">
        <w:rPr>
          <w:rFonts w:eastAsia="Calibri"/>
          <w:sz w:val="22"/>
          <w:szCs w:val="22"/>
          <w:lang w:val="sr-Latn-RS"/>
        </w:rPr>
        <w:t>/rizik primjene lijeka. Zdravstveni radnici treba da prijave svaku sumnju na neželjeno</w:t>
      </w:r>
      <w:r w:rsidR="009B062A" w:rsidRPr="009F025B">
        <w:rPr>
          <w:rFonts w:eastAsia="Calibri"/>
          <w:sz w:val="22"/>
          <w:szCs w:val="22"/>
          <w:lang w:val="sr-Latn-RS"/>
        </w:rPr>
        <w:t xml:space="preserve"> </w:t>
      </w:r>
      <w:r w:rsidRPr="009F025B">
        <w:rPr>
          <w:rFonts w:eastAsia="Calibri"/>
          <w:sz w:val="22"/>
          <w:szCs w:val="22"/>
          <w:lang w:val="sr-Latn-RS"/>
        </w:rPr>
        <w:t xml:space="preserve">dejstvo ovog lijeka </w:t>
      </w:r>
      <w:r w:rsidR="004E70AD" w:rsidRPr="009F025B">
        <w:rPr>
          <w:rFonts w:eastAsia="Calibri"/>
          <w:sz w:val="22"/>
          <w:szCs w:val="22"/>
          <w:lang w:val="sr-Latn-RS"/>
        </w:rPr>
        <w:t>Institutu</w:t>
      </w:r>
      <w:r w:rsidRPr="009F025B">
        <w:rPr>
          <w:rFonts w:eastAsia="Calibri"/>
          <w:sz w:val="22"/>
          <w:szCs w:val="22"/>
          <w:lang w:val="sr-Latn-RS"/>
        </w:rPr>
        <w:t xml:space="preserve"> za ljekove i medicinska sredstva</w:t>
      </w:r>
      <w:r w:rsidR="004E70AD" w:rsidRPr="009F025B">
        <w:rPr>
          <w:rFonts w:eastAsia="Calibri"/>
          <w:sz w:val="22"/>
          <w:szCs w:val="22"/>
          <w:lang w:val="sr-Latn-RS"/>
        </w:rPr>
        <w:t xml:space="preserve"> </w:t>
      </w:r>
      <w:r w:rsidRPr="009F025B">
        <w:rPr>
          <w:rFonts w:eastAsia="Calibri"/>
          <w:sz w:val="22"/>
          <w:szCs w:val="22"/>
          <w:lang w:val="sr-Latn-RS"/>
        </w:rPr>
        <w:t>(</w:t>
      </w:r>
      <w:r w:rsidR="004E70AD" w:rsidRPr="009F025B">
        <w:rPr>
          <w:rFonts w:eastAsia="Calibri"/>
          <w:sz w:val="22"/>
          <w:szCs w:val="22"/>
          <w:lang w:val="sr-Latn-RS"/>
        </w:rPr>
        <w:t>CInMED</w:t>
      </w:r>
      <w:r w:rsidRPr="009F025B">
        <w:rPr>
          <w:rFonts w:eastAsia="Calibri"/>
          <w:sz w:val="22"/>
          <w:szCs w:val="22"/>
          <w:lang w:val="sr-Latn-RS"/>
        </w:rPr>
        <w:t>):</w:t>
      </w:r>
    </w:p>
    <w:p w14:paraId="53B2D91C" w14:textId="77777777" w:rsidR="005A23D2" w:rsidRPr="009F025B" w:rsidRDefault="004E70AD" w:rsidP="00577F77">
      <w:pPr>
        <w:pStyle w:val="NoSpacing"/>
        <w:jc w:val="both"/>
        <w:rPr>
          <w:rFonts w:eastAsia="Calibri"/>
          <w:sz w:val="22"/>
          <w:szCs w:val="22"/>
          <w:lang w:val="sr-Latn-RS"/>
        </w:rPr>
      </w:pPr>
      <w:r w:rsidRPr="009F025B">
        <w:rPr>
          <w:rFonts w:eastAsia="Calibri"/>
          <w:sz w:val="22"/>
          <w:szCs w:val="22"/>
          <w:lang w:val="sr-Latn-RS"/>
        </w:rPr>
        <w:t xml:space="preserve">Institut </w:t>
      </w:r>
      <w:r w:rsidR="005A23D2" w:rsidRPr="009F025B">
        <w:rPr>
          <w:rFonts w:eastAsia="Calibri"/>
          <w:sz w:val="22"/>
          <w:szCs w:val="22"/>
          <w:lang w:val="sr-Latn-RS"/>
        </w:rPr>
        <w:t xml:space="preserve">za ljekove i medicinska sredstva </w:t>
      </w:r>
    </w:p>
    <w:p w14:paraId="0F3FF64B" w14:textId="77777777" w:rsidR="005A23D2" w:rsidRPr="009F025B" w:rsidRDefault="005A23D2" w:rsidP="00577F77">
      <w:pPr>
        <w:pStyle w:val="NoSpacing"/>
        <w:jc w:val="both"/>
        <w:rPr>
          <w:rFonts w:eastAsia="Calibri"/>
          <w:sz w:val="22"/>
          <w:szCs w:val="22"/>
          <w:lang w:val="sr-Latn-RS"/>
        </w:rPr>
      </w:pPr>
      <w:r w:rsidRPr="009F025B">
        <w:rPr>
          <w:rFonts w:eastAsia="Calibri"/>
          <w:sz w:val="22"/>
          <w:szCs w:val="22"/>
          <w:lang w:val="sr-Latn-RS"/>
        </w:rPr>
        <w:t>Odjeljenje za farmakovigilancu</w:t>
      </w:r>
    </w:p>
    <w:p w14:paraId="23D85D09" w14:textId="77777777" w:rsidR="00EA5765" w:rsidRPr="009F025B" w:rsidRDefault="005A23D2" w:rsidP="00577F77">
      <w:pPr>
        <w:pStyle w:val="NoSpacing"/>
        <w:jc w:val="both"/>
        <w:rPr>
          <w:rFonts w:eastAsia="Calibri"/>
          <w:sz w:val="22"/>
          <w:szCs w:val="22"/>
          <w:lang w:val="sr-Latn-RS"/>
        </w:rPr>
      </w:pPr>
      <w:r w:rsidRPr="009F025B">
        <w:rPr>
          <w:rFonts w:eastAsia="Calibri"/>
          <w:sz w:val="22"/>
          <w:szCs w:val="22"/>
          <w:lang w:val="sr-Latn-RS"/>
        </w:rPr>
        <w:t>Bulevar Ivana Crnojevića 64a, 81000 Podgorica</w:t>
      </w:r>
    </w:p>
    <w:p w14:paraId="3E75E82E" w14:textId="77777777" w:rsidR="00EA5765" w:rsidRPr="009F025B" w:rsidRDefault="00EA5765" w:rsidP="00577F77">
      <w:pPr>
        <w:pStyle w:val="NoSpacing"/>
        <w:jc w:val="both"/>
        <w:rPr>
          <w:rFonts w:eastAsia="Calibri"/>
          <w:sz w:val="22"/>
          <w:szCs w:val="22"/>
          <w:lang w:val="sr-Latn-RS"/>
        </w:rPr>
      </w:pPr>
    </w:p>
    <w:p w14:paraId="4C58F23E" w14:textId="77777777" w:rsidR="005A23D2" w:rsidRPr="009F025B" w:rsidRDefault="005A23D2" w:rsidP="00577F77">
      <w:pPr>
        <w:pStyle w:val="NoSpacing"/>
        <w:jc w:val="both"/>
        <w:rPr>
          <w:rFonts w:eastAsia="Calibri"/>
          <w:sz w:val="22"/>
          <w:szCs w:val="22"/>
          <w:lang w:val="sr-Latn-RS"/>
        </w:rPr>
      </w:pPr>
      <w:r w:rsidRPr="009F025B">
        <w:rPr>
          <w:rFonts w:eastAsia="Calibri"/>
          <w:sz w:val="22"/>
          <w:szCs w:val="22"/>
          <w:lang w:val="sr-Latn-RS"/>
        </w:rPr>
        <w:t>tel: +382 (0) 20 310 280</w:t>
      </w:r>
    </w:p>
    <w:p w14:paraId="0B5223F2" w14:textId="77777777" w:rsidR="00EA5765" w:rsidRPr="009F025B" w:rsidRDefault="005A23D2" w:rsidP="00577F77">
      <w:pPr>
        <w:pStyle w:val="NoSpacing"/>
        <w:jc w:val="both"/>
        <w:rPr>
          <w:rFonts w:eastAsia="Calibri"/>
          <w:sz w:val="22"/>
          <w:szCs w:val="22"/>
          <w:lang w:val="sr-Latn-RS"/>
        </w:rPr>
      </w:pPr>
      <w:r w:rsidRPr="009F025B">
        <w:rPr>
          <w:rFonts w:eastAsia="Calibri"/>
          <w:sz w:val="22"/>
          <w:szCs w:val="22"/>
          <w:lang w:val="sr-Latn-RS"/>
        </w:rPr>
        <w:t>fax:</w:t>
      </w:r>
      <w:r w:rsidR="00EA5765" w:rsidRPr="009F025B">
        <w:rPr>
          <w:rFonts w:eastAsia="Calibri"/>
          <w:sz w:val="22"/>
          <w:szCs w:val="22"/>
          <w:lang w:val="sr-Latn-RS"/>
        </w:rPr>
        <w:t xml:space="preserve"> </w:t>
      </w:r>
      <w:r w:rsidRPr="009F025B">
        <w:rPr>
          <w:rFonts w:eastAsia="Calibri"/>
          <w:sz w:val="22"/>
          <w:szCs w:val="22"/>
          <w:lang w:val="sr-Latn-RS"/>
        </w:rPr>
        <w:t>+382 (0) 20 310 581</w:t>
      </w:r>
    </w:p>
    <w:p w14:paraId="6939B235" w14:textId="77777777" w:rsidR="005A23D2" w:rsidRPr="009F025B" w:rsidRDefault="007C2D43" w:rsidP="00577F77">
      <w:pPr>
        <w:pStyle w:val="NoSpacing"/>
        <w:jc w:val="both"/>
        <w:rPr>
          <w:rFonts w:eastAsia="Calibri"/>
          <w:sz w:val="22"/>
          <w:szCs w:val="22"/>
          <w:lang w:val="sr-Latn-RS"/>
        </w:rPr>
      </w:pPr>
      <w:hyperlink r:id="rId8" w:history="1">
        <w:r w:rsidR="004E70AD" w:rsidRPr="009F025B">
          <w:rPr>
            <w:rStyle w:val="Hyperlink"/>
            <w:rFonts w:eastAsia="Calibri"/>
            <w:sz w:val="22"/>
            <w:szCs w:val="22"/>
            <w:lang w:val="sr-Latn-RS"/>
          </w:rPr>
          <w:t>www.cinmed.me</w:t>
        </w:r>
      </w:hyperlink>
    </w:p>
    <w:p w14:paraId="65769D67" w14:textId="77777777" w:rsidR="00EA5765" w:rsidRPr="009F025B" w:rsidRDefault="007C2D43" w:rsidP="00577F77">
      <w:pPr>
        <w:pStyle w:val="NoSpacing"/>
        <w:jc w:val="both"/>
        <w:rPr>
          <w:rFonts w:eastAsia="Calibri"/>
          <w:color w:val="0000FF"/>
          <w:sz w:val="22"/>
          <w:szCs w:val="22"/>
          <w:u w:val="single"/>
          <w:lang w:val="sr-Latn-RS"/>
        </w:rPr>
      </w:pPr>
      <w:hyperlink r:id="rId9" w:history="1">
        <w:r w:rsidR="004E70AD" w:rsidRPr="009F025B">
          <w:rPr>
            <w:rStyle w:val="Hyperlink"/>
            <w:rFonts w:eastAsia="Calibri"/>
            <w:sz w:val="22"/>
            <w:szCs w:val="22"/>
            <w:lang w:val="sr-Latn-RS"/>
          </w:rPr>
          <w:t>nezeljenadejstva@cinmed.me</w:t>
        </w:r>
      </w:hyperlink>
    </w:p>
    <w:p w14:paraId="128165D1" w14:textId="77777777" w:rsidR="005A23D2" w:rsidRPr="009F025B" w:rsidRDefault="005A23D2" w:rsidP="00577F77">
      <w:pPr>
        <w:pStyle w:val="NoSpacing"/>
        <w:jc w:val="both"/>
        <w:rPr>
          <w:rFonts w:eastAsia="Calibri"/>
          <w:sz w:val="22"/>
          <w:szCs w:val="22"/>
          <w:lang w:val="sr-Latn-RS"/>
        </w:rPr>
      </w:pPr>
      <w:r w:rsidRPr="009F025B">
        <w:rPr>
          <w:rFonts w:eastAsia="Calibri"/>
          <w:sz w:val="22"/>
          <w:szCs w:val="22"/>
          <w:lang w:val="sr-Latn-RS"/>
        </w:rPr>
        <w:t>putem IS zdravstvene zaštite</w:t>
      </w:r>
    </w:p>
    <w:p w14:paraId="1A30C661" w14:textId="77777777" w:rsidR="006565D2" w:rsidRPr="009F025B" w:rsidRDefault="006565D2" w:rsidP="00577F77">
      <w:pPr>
        <w:pStyle w:val="NoSpacing"/>
        <w:jc w:val="both"/>
        <w:rPr>
          <w:rFonts w:eastAsia="Calibri"/>
          <w:sz w:val="22"/>
          <w:szCs w:val="22"/>
          <w:lang w:val="sr-Latn-RS"/>
        </w:rPr>
      </w:pPr>
    </w:p>
    <w:p w14:paraId="656295E3" w14:textId="77777777" w:rsidR="00942FAE" w:rsidRDefault="00942FAE" w:rsidP="00577F77">
      <w:pPr>
        <w:pStyle w:val="NoSpacing"/>
        <w:jc w:val="both"/>
        <w:rPr>
          <w:rFonts w:eastAsia="Calibri"/>
          <w:sz w:val="22"/>
          <w:szCs w:val="22"/>
          <w:lang w:val="sr-Latn-RS"/>
        </w:rPr>
      </w:pPr>
      <w:bookmarkStart w:id="2" w:name="_Hlk143683451"/>
    </w:p>
    <w:p w14:paraId="5AB6292E" w14:textId="77777777" w:rsidR="00942FAE" w:rsidRDefault="00942FAE" w:rsidP="00577F77">
      <w:pPr>
        <w:pStyle w:val="NoSpacing"/>
        <w:jc w:val="both"/>
        <w:rPr>
          <w:rFonts w:eastAsia="Calibri"/>
          <w:sz w:val="22"/>
          <w:szCs w:val="22"/>
          <w:lang w:val="sr-Latn-RS"/>
        </w:rPr>
      </w:pPr>
    </w:p>
    <w:p w14:paraId="1D3ED2D3" w14:textId="77777777" w:rsidR="00942FAE" w:rsidRDefault="00942FAE" w:rsidP="00577F77">
      <w:pPr>
        <w:pStyle w:val="NoSpacing"/>
        <w:jc w:val="both"/>
        <w:rPr>
          <w:rFonts w:eastAsia="Calibri"/>
          <w:sz w:val="22"/>
          <w:szCs w:val="22"/>
          <w:lang w:val="sr-Latn-RS"/>
        </w:rPr>
      </w:pPr>
    </w:p>
    <w:p w14:paraId="15D15C8A" w14:textId="77777777" w:rsidR="00942FAE" w:rsidRDefault="00942FAE" w:rsidP="00577F77">
      <w:pPr>
        <w:pStyle w:val="NoSpacing"/>
        <w:jc w:val="both"/>
        <w:rPr>
          <w:rFonts w:eastAsia="Calibri"/>
          <w:sz w:val="22"/>
          <w:szCs w:val="22"/>
          <w:lang w:val="sr-Latn-RS"/>
        </w:rPr>
      </w:pPr>
    </w:p>
    <w:p w14:paraId="1CAEA362" w14:textId="77777777" w:rsidR="00942FAE" w:rsidRDefault="00942FAE" w:rsidP="00577F77">
      <w:pPr>
        <w:pStyle w:val="NoSpacing"/>
        <w:jc w:val="both"/>
        <w:rPr>
          <w:rFonts w:eastAsia="Calibri"/>
          <w:sz w:val="22"/>
          <w:szCs w:val="22"/>
          <w:lang w:val="sr-Latn-RS"/>
        </w:rPr>
      </w:pPr>
    </w:p>
    <w:p w14:paraId="16119A4E" w14:textId="77777777" w:rsidR="00942FAE" w:rsidRDefault="00942FAE" w:rsidP="00577F77">
      <w:pPr>
        <w:pStyle w:val="NoSpacing"/>
        <w:jc w:val="both"/>
        <w:rPr>
          <w:rFonts w:eastAsia="Calibri"/>
          <w:sz w:val="22"/>
          <w:szCs w:val="22"/>
          <w:lang w:val="sr-Latn-RS"/>
        </w:rPr>
      </w:pPr>
    </w:p>
    <w:p w14:paraId="06B108D2" w14:textId="0B27EF3C" w:rsidR="006565D2" w:rsidRPr="009F025B" w:rsidRDefault="006565D2" w:rsidP="00577F77">
      <w:pPr>
        <w:pStyle w:val="NoSpacing"/>
        <w:jc w:val="both"/>
        <w:rPr>
          <w:rFonts w:eastAsia="Calibri"/>
          <w:sz w:val="22"/>
          <w:szCs w:val="22"/>
          <w:lang w:val="sr-Latn-RS"/>
        </w:rPr>
      </w:pPr>
      <w:r w:rsidRPr="009F025B">
        <w:rPr>
          <w:rFonts w:eastAsia="Calibri"/>
          <w:sz w:val="22"/>
          <w:szCs w:val="22"/>
          <w:lang w:val="sr-Latn-RS"/>
        </w:rPr>
        <w:lastRenderedPageBreak/>
        <w:t>QR kod za online prijavu sumnje na neželjeno dejstvo lijeka:</w:t>
      </w:r>
    </w:p>
    <w:p w14:paraId="50AC2094" w14:textId="77777777" w:rsidR="006565D2" w:rsidRPr="009F025B" w:rsidRDefault="006565D2" w:rsidP="00577F77">
      <w:pPr>
        <w:pStyle w:val="NoSpacing"/>
        <w:jc w:val="both"/>
        <w:rPr>
          <w:rFonts w:eastAsia="Calibri"/>
          <w:sz w:val="22"/>
          <w:szCs w:val="22"/>
          <w:lang w:val="sr-Latn-RS"/>
        </w:rPr>
      </w:pPr>
    </w:p>
    <w:p w14:paraId="766AA1C2" w14:textId="77777777" w:rsidR="006565D2" w:rsidRPr="009F025B" w:rsidRDefault="006565D2" w:rsidP="00577F77">
      <w:pPr>
        <w:pStyle w:val="NoSpacing"/>
        <w:jc w:val="both"/>
        <w:rPr>
          <w:rFonts w:eastAsia="Calibri"/>
          <w:sz w:val="22"/>
          <w:szCs w:val="22"/>
          <w:lang w:val="sr-Latn-RS"/>
        </w:rPr>
      </w:pPr>
      <w:r w:rsidRPr="009F025B">
        <w:rPr>
          <w:noProof/>
          <w:sz w:val="22"/>
          <w:szCs w:val="22"/>
        </w:rPr>
        <w:drawing>
          <wp:inline distT="0" distB="0" distL="0" distR="0" wp14:anchorId="73CC8111" wp14:editId="0780511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bookmarkEnd w:id="2"/>
    <w:p w14:paraId="14EF1DDF" w14:textId="77777777" w:rsidR="006565D2" w:rsidRPr="009F025B" w:rsidRDefault="006565D2" w:rsidP="00577F77">
      <w:pPr>
        <w:pStyle w:val="NoSpacing"/>
        <w:jc w:val="both"/>
        <w:rPr>
          <w:rFonts w:eastAsia="Calibri"/>
          <w:sz w:val="22"/>
          <w:szCs w:val="22"/>
          <w:lang w:val="sr-Latn-RS"/>
        </w:rPr>
      </w:pPr>
    </w:p>
    <w:p w14:paraId="092BBDE6" w14:textId="77777777" w:rsidR="00836B35" w:rsidRPr="009F025B" w:rsidRDefault="00836B35" w:rsidP="00577F77">
      <w:pPr>
        <w:tabs>
          <w:tab w:val="left" w:pos="540"/>
          <w:tab w:val="left" w:pos="569"/>
        </w:tabs>
        <w:jc w:val="both"/>
        <w:rPr>
          <w:b/>
          <w:bCs/>
          <w:sz w:val="22"/>
          <w:szCs w:val="22"/>
          <w:lang w:val="sr-Latn-RS"/>
        </w:rPr>
      </w:pPr>
    </w:p>
    <w:p w14:paraId="6E20D228" w14:textId="77777777" w:rsidR="00CD6F02"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4.9. </w:t>
      </w:r>
      <w:r w:rsidR="00480FB1" w:rsidRPr="009F025B">
        <w:rPr>
          <w:b/>
          <w:bCs/>
          <w:sz w:val="22"/>
          <w:szCs w:val="22"/>
          <w:lang w:val="sr-Latn-RS"/>
        </w:rPr>
        <w:tab/>
      </w:r>
      <w:r w:rsidRPr="009F025B">
        <w:rPr>
          <w:b/>
          <w:bCs/>
          <w:sz w:val="22"/>
          <w:szCs w:val="22"/>
          <w:lang w:val="sr-Latn-RS"/>
        </w:rPr>
        <w:t>Predoziranje</w:t>
      </w:r>
      <w:r w:rsidR="002846DB" w:rsidRPr="009F025B">
        <w:rPr>
          <w:b/>
          <w:bCs/>
          <w:sz w:val="22"/>
          <w:szCs w:val="22"/>
          <w:lang w:val="sr-Latn-RS"/>
        </w:rPr>
        <w:t xml:space="preserve"> </w:t>
      </w:r>
    </w:p>
    <w:p w14:paraId="7C2B2BCF" w14:textId="77777777" w:rsidR="00CD6F02" w:rsidRPr="009F025B" w:rsidRDefault="00CD6F02" w:rsidP="00577F77">
      <w:pPr>
        <w:tabs>
          <w:tab w:val="left" w:pos="540"/>
          <w:tab w:val="left" w:pos="569"/>
        </w:tabs>
        <w:jc w:val="both"/>
        <w:rPr>
          <w:b/>
          <w:bCs/>
          <w:sz w:val="22"/>
          <w:szCs w:val="22"/>
          <w:lang w:val="sr-Latn-RS"/>
        </w:rPr>
      </w:pPr>
    </w:p>
    <w:p w14:paraId="2343D657" w14:textId="77777777" w:rsidR="00F83B4F" w:rsidRPr="009F025B" w:rsidRDefault="00F83B4F" w:rsidP="00577F77">
      <w:pPr>
        <w:tabs>
          <w:tab w:val="left" w:pos="540"/>
          <w:tab w:val="left" w:pos="569"/>
        </w:tabs>
        <w:jc w:val="both"/>
        <w:rPr>
          <w:sz w:val="22"/>
          <w:szCs w:val="22"/>
          <w:lang w:val="hr-HR"/>
        </w:rPr>
      </w:pPr>
      <w:r w:rsidRPr="009F025B">
        <w:rPr>
          <w:sz w:val="22"/>
          <w:szCs w:val="22"/>
          <w:u w:val="single"/>
          <w:lang w:val="hr-HR"/>
        </w:rPr>
        <w:t>Simptomi</w:t>
      </w:r>
    </w:p>
    <w:p w14:paraId="7C827FE0" w14:textId="14A8EE33" w:rsidR="00F83B4F" w:rsidRPr="009F025B" w:rsidRDefault="00F83B4F" w:rsidP="00577F77">
      <w:pPr>
        <w:tabs>
          <w:tab w:val="left" w:pos="540"/>
          <w:tab w:val="left" w:pos="569"/>
        </w:tabs>
        <w:jc w:val="both"/>
        <w:rPr>
          <w:sz w:val="22"/>
          <w:szCs w:val="22"/>
          <w:lang w:val="hr-HR"/>
        </w:rPr>
      </w:pPr>
      <w:r w:rsidRPr="009F025B">
        <w:rPr>
          <w:sz w:val="22"/>
          <w:szCs w:val="22"/>
          <w:lang w:val="hr-HR"/>
        </w:rPr>
        <w:t xml:space="preserve">Prijavljeni su slučajevi predoziranja sa dozama do 2,5 g ketoprofena. U većini slučajeva, </w:t>
      </w:r>
      <w:r w:rsidR="00577F77">
        <w:rPr>
          <w:sz w:val="22"/>
          <w:szCs w:val="22"/>
          <w:lang w:val="hr-HR"/>
        </w:rPr>
        <w:t xml:space="preserve">zapaženi </w:t>
      </w:r>
      <w:r w:rsidRPr="009F025B">
        <w:rPr>
          <w:sz w:val="22"/>
          <w:szCs w:val="22"/>
          <w:lang w:val="hr-HR"/>
        </w:rPr>
        <w:t>simptomi su bili benigni i ograničeni na letargiju, omamljenost, mučninu, povraćanje i bol u epigastrijumu.</w:t>
      </w:r>
    </w:p>
    <w:p w14:paraId="35709E06" w14:textId="77777777" w:rsidR="00F83B4F" w:rsidRPr="009F025B" w:rsidRDefault="00F83B4F" w:rsidP="00577F77">
      <w:pPr>
        <w:tabs>
          <w:tab w:val="left" w:pos="540"/>
          <w:tab w:val="left" w:pos="569"/>
        </w:tabs>
        <w:jc w:val="both"/>
        <w:rPr>
          <w:sz w:val="22"/>
          <w:szCs w:val="22"/>
          <w:lang w:val="hr-HR"/>
        </w:rPr>
      </w:pPr>
    </w:p>
    <w:p w14:paraId="3C6B2A84" w14:textId="77777777" w:rsidR="00F83B4F" w:rsidRPr="009F025B" w:rsidRDefault="00F83B4F" w:rsidP="00577F77">
      <w:pPr>
        <w:tabs>
          <w:tab w:val="left" w:pos="540"/>
          <w:tab w:val="left" w:pos="569"/>
        </w:tabs>
        <w:jc w:val="both"/>
        <w:rPr>
          <w:sz w:val="22"/>
          <w:szCs w:val="22"/>
          <w:lang w:val="hr-HR"/>
        </w:rPr>
      </w:pPr>
      <w:r w:rsidRPr="009F025B">
        <w:rPr>
          <w:sz w:val="22"/>
          <w:szCs w:val="22"/>
          <w:u w:val="single"/>
          <w:lang w:val="hr-HR"/>
        </w:rPr>
        <w:t>Postupanje kod predoziranja</w:t>
      </w:r>
    </w:p>
    <w:p w14:paraId="764AD7BA" w14:textId="77777777" w:rsidR="00F83B4F" w:rsidRPr="009F025B" w:rsidRDefault="00F83B4F" w:rsidP="00577F77">
      <w:pPr>
        <w:tabs>
          <w:tab w:val="left" w:pos="540"/>
          <w:tab w:val="left" w:pos="569"/>
        </w:tabs>
        <w:jc w:val="both"/>
        <w:rPr>
          <w:sz w:val="22"/>
          <w:szCs w:val="22"/>
          <w:lang w:val="hr-HR"/>
        </w:rPr>
      </w:pPr>
      <w:r w:rsidRPr="009F025B">
        <w:rPr>
          <w:sz w:val="22"/>
          <w:szCs w:val="22"/>
          <w:lang w:val="hr-HR"/>
        </w:rPr>
        <w:t>Nema specifičnog antidota za predoziranje ketoprofenom.</w:t>
      </w:r>
    </w:p>
    <w:p w14:paraId="3042E93E" w14:textId="77777777" w:rsidR="00F83B4F" w:rsidRPr="009F025B" w:rsidRDefault="00F83B4F" w:rsidP="00577F77">
      <w:pPr>
        <w:tabs>
          <w:tab w:val="left" w:pos="540"/>
          <w:tab w:val="left" w:pos="569"/>
        </w:tabs>
        <w:jc w:val="both"/>
        <w:rPr>
          <w:sz w:val="22"/>
          <w:szCs w:val="22"/>
          <w:lang w:val="hr-HR"/>
        </w:rPr>
      </w:pPr>
      <w:r w:rsidRPr="009F025B">
        <w:rPr>
          <w:sz w:val="22"/>
          <w:szCs w:val="22"/>
          <w:lang w:val="hr-HR"/>
        </w:rPr>
        <w:t>U slučajevima kod kojih se sumnja na masivno predoziranje, pacijente treba odmah poslati u bolnicu. Sadržaj želuca mora se hitno evakuisati.</w:t>
      </w:r>
    </w:p>
    <w:p w14:paraId="11FAADF1" w14:textId="2FC6D98B" w:rsidR="00F83B4F" w:rsidRPr="009F025B" w:rsidRDefault="00F83B4F" w:rsidP="00577F77">
      <w:pPr>
        <w:tabs>
          <w:tab w:val="left" w:pos="540"/>
          <w:tab w:val="left" w:pos="569"/>
        </w:tabs>
        <w:jc w:val="both"/>
        <w:rPr>
          <w:sz w:val="22"/>
          <w:szCs w:val="22"/>
          <w:lang w:val="hr-HR"/>
        </w:rPr>
      </w:pPr>
      <w:r w:rsidRPr="009F025B">
        <w:rPr>
          <w:sz w:val="22"/>
          <w:szCs w:val="22"/>
          <w:lang w:val="hr-HR"/>
        </w:rPr>
        <w:t xml:space="preserve">Potrebno je uvođenje simptomatske i suportivne terapije, radi kompenzacije dehidracije, </w:t>
      </w:r>
      <w:r w:rsidR="00577F77">
        <w:rPr>
          <w:sz w:val="22"/>
          <w:szCs w:val="22"/>
          <w:lang w:val="hr-HR"/>
        </w:rPr>
        <w:t xml:space="preserve">kao i </w:t>
      </w:r>
      <w:r w:rsidRPr="009F025B">
        <w:rPr>
          <w:sz w:val="22"/>
          <w:szCs w:val="22"/>
          <w:lang w:val="hr-HR"/>
        </w:rPr>
        <w:t>praćenje izlučivanja urina i korigovanje acidoze, ukoliko je prisutna.</w:t>
      </w:r>
    </w:p>
    <w:p w14:paraId="58EFB5CA" w14:textId="77777777" w:rsidR="00F83B4F" w:rsidRPr="009F025B" w:rsidRDefault="00F83B4F" w:rsidP="00577F77">
      <w:pPr>
        <w:tabs>
          <w:tab w:val="left" w:pos="540"/>
          <w:tab w:val="left" w:pos="569"/>
        </w:tabs>
        <w:jc w:val="both"/>
        <w:rPr>
          <w:sz w:val="22"/>
          <w:szCs w:val="22"/>
          <w:lang w:val="hr-HR"/>
        </w:rPr>
      </w:pPr>
      <w:r w:rsidRPr="009F025B">
        <w:rPr>
          <w:sz w:val="22"/>
          <w:szCs w:val="22"/>
          <w:lang w:val="hr-HR"/>
        </w:rPr>
        <w:t>Funkciju bubrega i jetre potrebno je pažljivo pratiti. Ako je prisutna bubrežna insuficijencija, hemodijaliza može biti korisna za uklanjanje lijeka iz cirkulacije.</w:t>
      </w:r>
    </w:p>
    <w:p w14:paraId="1F3C97F7" w14:textId="18094202" w:rsidR="00227BDB" w:rsidRDefault="00227BDB" w:rsidP="00577F77">
      <w:pPr>
        <w:tabs>
          <w:tab w:val="left" w:pos="540"/>
          <w:tab w:val="left" w:pos="569"/>
        </w:tabs>
        <w:jc w:val="both"/>
        <w:rPr>
          <w:b/>
          <w:bCs/>
          <w:sz w:val="22"/>
          <w:szCs w:val="22"/>
          <w:lang w:val="hr-HR"/>
        </w:rPr>
      </w:pPr>
    </w:p>
    <w:p w14:paraId="3635F269" w14:textId="77777777" w:rsidR="00F37BB1" w:rsidRPr="009F025B" w:rsidRDefault="00F37BB1" w:rsidP="00577F77">
      <w:pPr>
        <w:tabs>
          <w:tab w:val="left" w:pos="540"/>
          <w:tab w:val="left" w:pos="569"/>
        </w:tabs>
        <w:jc w:val="both"/>
        <w:rPr>
          <w:b/>
          <w:bCs/>
          <w:sz w:val="22"/>
          <w:szCs w:val="22"/>
          <w:lang w:val="hr-HR"/>
        </w:rPr>
      </w:pPr>
    </w:p>
    <w:p w14:paraId="729EAAA1"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5. </w:t>
      </w:r>
      <w:r w:rsidR="00480FB1" w:rsidRPr="009F025B">
        <w:rPr>
          <w:b/>
          <w:bCs/>
          <w:sz w:val="22"/>
          <w:szCs w:val="22"/>
          <w:lang w:val="sr-Latn-RS"/>
        </w:rPr>
        <w:tab/>
      </w:r>
      <w:r w:rsidRPr="009F025B">
        <w:rPr>
          <w:b/>
          <w:bCs/>
          <w:sz w:val="22"/>
          <w:szCs w:val="22"/>
          <w:lang w:val="sr-Latn-RS"/>
        </w:rPr>
        <w:t>FARMAKOLOŠK</w:t>
      </w:r>
      <w:r w:rsidR="000D425A" w:rsidRPr="009F025B">
        <w:rPr>
          <w:b/>
          <w:bCs/>
          <w:sz w:val="22"/>
          <w:szCs w:val="22"/>
          <w:lang w:val="sr-Latn-RS"/>
        </w:rPr>
        <w:t>I</w:t>
      </w:r>
      <w:r w:rsidRPr="009F025B">
        <w:rPr>
          <w:b/>
          <w:bCs/>
          <w:sz w:val="22"/>
          <w:szCs w:val="22"/>
          <w:lang w:val="sr-Latn-RS"/>
        </w:rPr>
        <w:t xml:space="preserve"> PODACI</w:t>
      </w:r>
    </w:p>
    <w:p w14:paraId="4C04E2C4" w14:textId="77777777" w:rsidR="0072020E" w:rsidRPr="009F025B" w:rsidRDefault="0072020E" w:rsidP="00577F77">
      <w:pPr>
        <w:tabs>
          <w:tab w:val="left" w:pos="540"/>
          <w:tab w:val="left" w:pos="569"/>
        </w:tabs>
        <w:jc w:val="both"/>
        <w:rPr>
          <w:b/>
          <w:bCs/>
          <w:sz w:val="22"/>
          <w:szCs w:val="22"/>
          <w:lang w:val="sr-Latn-RS"/>
        </w:rPr>
      </w:pPr>
    </w:p>
    <w:p w14:paraId="727C51D7"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5.1. </w:t>
      </w:r>
      <w:r w:rsidR="00480FB1" w:rsidRPr="009F025B">
        <w:rPr>
          <w:b/>
          <w:bCs/>
          <w:sz w:val="22"/>
          <w:szCs w:val="22"/>
          <w:lang w:val="sr-Latn-RS"/>
        </w:rPr>
        <w:tab/>
      </w:r>
      <w:r w:rsidRPr="009F025B">
        <w:rPr>
          <w:b/>
          <w:bCs/>
          <w:sz w:val="22"/>
          <w:szCs w:val="22"/>
          <w:lang w:val="sr-Latn-RS"/>
        </w:rPr>
        <w:t>Farmakodinamski podaci</w:t>
      </w:r>
      <w:r w:rsidR="003A7059" w:rsidRPr="009F025B">
        <w:rPr>
          <w:b/>
          <w:bCs/>
          <w:sz w:val="22"/>
          <w:szCs w:val="22"/>
          <w:lang w:val="sr-Latn-RS"/>
        </w:rPr>
        <w:t xml:space="preserve"> </w:t>
      </w:r>
    </w:p>
    <w:p w14:paraId="265CA0BD" w14:textId="77777777" w:rsidR="00F45F77" w:rsidRPr="009F025B" w:rsidRDefault="00F45F77" w:rsidP="00577F77">
      <w:pPr>
        <w:tabs>
          <w:tab w:val="left" w:pos="540"/>
          <w:tab w:val="left" w:pos="569"/>
        </w:tabs>
        <w:jc w:val="both"/>
        <w:rPr>
          <w:b/>
          <w:bCs/>
          <w:sz w:val="22"/>
          <w:szCs w:val="22"/>
          <w:lang w:val="sr-Latn-RS"/>
        </w:rPr>
      </w:pPr>
    </w:p>
    <w:p w14:paraId="20CF093C" w14:textId="7A947A1E" w:rsidR="00DF5CB5" w:rsidRPr="009F025B" w:rsidRDefault="0072020E" w:rsidP="00577F77">
      <w:pPr>
        <w:tabs>
          <w:tab w:val="left" w:pos="540"/>
          <w:tab w:val="left" w:pos="569"/>
        </w:tabs>
        <w:jc w:val="both"/>
        <w:rPr>
          <w:bCs/>
          <w:sz w:val="22"/>
          <w:szCs w:val="22"/>
          <w:lang w:val="hr-HR"/>
        </w:rPr>
      </w:pPr>
      <w:r w:rsidRPr="009F025B">
        <w:rPr>
          <w:bCs/>
          <w:sz w:val="22"/>
          <w:szCs w:val="22"/>
          <w:lang w:val="sr-Latn-RS"/>
        </w:rPr>
        <w:t>Farmakoterapijska grupa:</w:t>
      </w:r>
      <w:r w:rsidR="00DF5CB5" w:rsidRPr="009F025B">
        <w:rPr>
          <w:bCs/>
          <w:sz w:val="22"/>
          <w:szCs w:val="22"/>
          <w:lang w:val="hr-HR"/>
        </w:rPr>
        <w:t xml:space="preserve"> </w:t>
      </w:r>
      <w:r w:rsidR="00694A81">
        <w:rPr>
          <w:bCs/>
          <w:sz w:val="22"/>
          <w:szCs w:val="22"/>
          <w:lang w:val="hr-HR"/>
        </w:rPr>
        <w:t xml:space="preserve">Ljekovi </w:t>
      </w:r>
      <w:r w:rsidR="00DF5CB5" w:rsidRPr="009F025B">
        <w:rPr>
          <w:bCs/>
          <w:sz w:val="22"/>
          <w:szCs w:val="22"/>
          <w:lang w:val="hr-HR"/>
        </w:rPr>
        <w:t>sa antiinflamatornim i antireumatskim djelovanjem, derivati propionske kiseline</w:t>
      </w:r>
    </w:p>
    <w:p w14:paraId="74CD2F4F" w14:textId="77777777" w:rsidR="0072020E" w:rsidRPr="009F025B" w:rsidRDefault="0072020E" w:rsidP="00577F77">
      <w:pPr>
        <w:tabs>
          <w:tab w:val="left" w:pos="540"/>
          <w:tab w:val="left" w:pos="569"/>
        </w:tabs>
        <w:jc w:val="both"/>
        <w:rPr>
          <w:bCs/>
          <w:sz w:val="22"/>
          <w:szCs w:val="22"/>
          <w:lang w:val="sr-Latn-RS"/>
        </w:rPr>
      </w:pPr>
    </w:p>
    <w:p w14:paraId="7E9CE58D" w14:textId="320CBDD8" w:rsidR="0072020E" w:rsidRPr="009F025B" w:rsidRDefault="0072020E" w:rsidP="00577F77">
      <w:pPr>
        <w:tabs>
          <w:tab w:val="left" w:pos="540"/>
          <w:tab w:val="left" w:pos="569"/>
        </w:tabs>
        <w:jc w:val="both"/>
        <w:rPr>
          <w:bCs/>
          <w:sz w:val="22"/>
          <w:szCs w:val="22"/>
          <w:lang w:val="hr-HR"/>
        </w:rPr>
      </w:pPr>
      <w:r w:rsidRPr="009F025B">
        <w:rPr>
          <w:bCs/>
          <w:sz w:val="22"/>
          <w:szCs w:val="22"/>
          <w:lang w:val="sr-Latn-RS"/>
        </w:rPr>
        <w:t>ATC kod:</w:t>
      </w:r>
      <w:r w:rsidR="004B4FB4" w:rsidRPr="009F025B">
        <w:rPr>
          <w:bCs/>
          <w:sz w:val="22"/>
          <w:szCs w:val="22"/>
          <w:lang w:val="hr-HR"/>
        </w:rPr>
        <w:t xml:space="preserve"> M01AE03</w:t>
      </w:r>
    </w:p>
    <w:p w14:paraId="2DDBE308" w14:textId="67A18265" w:rsidR="004B4FB4" w:rsidRPr="009F025B" w:rsidRDefault="004B4FB4" w:rsidP="00577F77">
      <w:pPr>
        <w:tabs>
          <w:tab w:val="left" w:pos="540"/>
          <w:tab w:val="left" w:pos="569"/>
        </w:tabs>
        <w:jc w:val="both"/>
        <w:rPr>
          <w:bCs/>
          <w:sz w:val="22"/>
          <w:szCs w:val="22"/>
          <w:lang w:val="hr-HR"/>
        </w:rPr>
      </w:pPr>
    </w:p>
    <w:p w14:paraId="6A57E413" w14:textId="77777777" w:rsidR="00430469" w:rsidRPr="009F025B" w:rsidRDefault="00430469" w:rsidP="00577F77">
      <w:pPr>
        <w:tabs>
          <w:tab w:val="left" w:pos="540"/>
          <w:tab w:val="left" w:pos="569"/>
        </w:tabs>
        <w:jc w:val="both"/>
        <w:rPr>
          <w:bCs/>
          <w:sz w:val="22"/>
          <w:szCs w:val="22"/>
          <w:lang w:val="hr-HR"/>
        </w:rPr>
      </w:pPr>
      <w:r w:rsidRPr="009F025B">
        <w:rPr>
          <w:bCs/>
          <w:sz w:val="22"/>
          <w:szCs w:val="22"/>
          <w:u w:val="single"/>
          <w:lang w:val="hr-HR"/>
        </w:rPr>
        <w:t>Mehanizam dejstva</w:t>
      </w:r>
    </w:p>
    <w:p w14:paraId="48D58DB6" w14:textId="77777777" w:rsidR="00430469" w:rsidRPr="009F025B" w:rsidRDefault="00430469" w:rsidP="00577F77">
      <w:pPr>
        <w:tabs>
          <w:tab w:val="left" w:pos="540"/>
          <w:tab w:val="left" w:pos="569"/>
        </w:tabs>
        <w:jc w:val="both"/>
        <w:rPr>
          <w:bCs/>
          <w:sz w:val="22"/>
          <w:szCs w:val="22"/>
          <w:lang w:val="hr-HR"/>
        </w:rPr>
      </w:pPr>
      <w:r w:rsidRPr="009F025B">
        <w:rPr>
          <w:bCs/>
          <w:sz w:val="22"/>
          <w:szCs w:val="22"/>
          <w:lang w:val="hr-HR"/>
        </w:rPr>
        <w:t>Mehanizam dejstva nesteroidnih antiinflamatornih ljekova (NSAIL) povezan je sa smanjenjem sinteze prostaglandina putem inhibicije enzima ciklooksigenaze.</w:t>
      </w:r>
    </w:p>
    <w:p w14:paraId="43AA4CAB" w14:textId="2D1DBBD3" w:rsidR="00430469" w:rsidRPr="009F025B" w:rsidRDefault="00430469" w:rsidP="00577F77">
      <w:pPr>
        <w:tabs>
          <w:tab w:val="left" w:pos="540"/>
          <w:tab w:val="left" w:pos="569"/>
        </w:tabs>
        <w:jc w:val="both"/>
        <w:rPr>
          <w:bCs/>
          <w:sz w:val="22"/>
          <w:szCs w:val="22"/>
          <w:lang w:val="hr-HR"/>
        </w:rPr>
      </w:pPr>
      <w:r w:rsidRPr="009F025B">
        <w:rPr>
          <w:bCs/>
          <w:sz w:val="22"/>
          <w:szCs w:val="22"/>
          <w:lang w:val="hr-HR"/>
        </w:rPr>
        <w:t>Dolazi do inhibicije transformacije arahidonske kiseline u ciklične endoperokside PGG</w:t>
      </w:r>
      <w:r w:rsidRPr="009F025B">
        <w:rPr>
          <w:bCs/>
          <w:sz w:val="22"/>
          <w:szCs w:val="22"/>
          <w:vertAlign w:val="subscript"/>
          <w:lang w:val="hr-HR"/>
        </w:rPr>
        <w:t>2</w:t>
      </w:r>
      <w:r w:rsidRPr="009F025B">
        <w:rPr>
          <w:bCs/>
          <w:sz w:val="22"/>
          <w:szCs w:val="22"/>
          <w:lang w:val="hr-HR"/>
        </w:rPr>
        <w:t xml:space="preserve"> i PGH</w:t>
      </w:r>
      <w:r w:rsidRPr="009F025B">
        <w:rPr>
          <w:bCs/>
          <w:sz w:val="22"/>
          <w:szCs w:val="22"/>
          <w:vertAlign w:val="subscript"/>
          <w:lang w:val="hr-HR"/>
        </w:rPr>
        <w:t>2</w:t>
      </w:r>
      <w:r w:rsidRPr="009F025B">
        <w:rPr>
          <w:bCs/>
          <w:sz w:val="22"/>
          <w:szCs w:val="22"/>
          <w:lang w:val="hr-HR"/>
        </w:rPr>
        <w:t xml:space="preserve"> koji su prekursori prostaglandina PGE</w:t>
      </w:r>
      <w:r w:rsidRPr="009F025B">
        <w:rPr>
          <w:bCs/>
          <w:sz w:val="22"/>
          <w:szCs w:val="22"/>
          <w:vertAlign w:val="subscript"/>
          <w:lang w:val="hr-HR"/>
        </w:rPr>
        <w:t>1</w:t>
      </w:r>
      <w:r w:rsidRPr="009F025B">
        <w:rPr>
          <w:bCs/>
          <w:sz w:val="22"/>
          <w:szCs w:val="22"/>
          <w:lang w:val="hr-HR"/>
        </w:rPr>
        <w:t>, PGE</w:t>
      </w:r>
      <w:r w:rsidRPr="009F025B">
        <w:rPr>
          <w:bCs/>
          <w:sz w:val="22"/>
          <w:szCs w:val="22"/>
          <w:vertAlign w:val="subscript"/>
          <w:lang w:val="hr-HR"/>
        </w:rPr>
        <w:t>2</w:t>
      </w:r>
      <w:r w:rsidRPr="009F025B">
        <w:rPr>
          <w:bCs/>
          <w:sz w:val="22"/>
          <w:szCs w:val="22"/>
          <w:lang w:val="hr-HR"/>
        </w:rPr>
        <w:t>, PGF</w:t>
      </w:r>
      <w:r w:rsidRPr="009F025B">
        <w:rPr>
          <w:bCs/>
          <w:sz w:val="22"/>
          <w:szCs w:val="22"/>
          <w:vertAlign w:val="subscript"/>
          <w:lang w:val="hr-HR"/>
        </w:rPr>
        <w:t>2</w:t>
      </w:r>
      <w:r w:rsidRPr="009F025B">
        <w:rPr>
          <w:bCs/>
          <w:sz w:val="22"/>
          <w:szCs w:val="22"/>
          <w:lang w:val="hr-HR"/>
        </w:rPr>
        <w:t xml:space="preserve"> i PGD</w:t>
      </w:r>
      <w:r w:rsidRPr="009F025B">
        <w:rPr>
          <w:bCs/>
          <w:sz w:val="22"/>
          <w:szCs w:val="22"/>
          <w:vertAlign w:val="subscript"/>
          <w:lang w:val="hr-HR"/>
        </w:rPr>
        <w:t>2,</w:t>
      </w:r>
      <w:r w:rsidRPr="009F025B">
        <w:rPr>
          <w:bCs/>
          <w:sz w:val="22"/>
          <w:szCs w:val="22"/>
          <w:lang w:val="hr-HR"/>
        </w:rPr>
        <w:t xml:space="preserve"> </w:t>
      </w:r>
      <w:r w:rsidR="00694A81">
        <w:rPr>
          <w:bCs/>
          <w:sz w:val="22"/>
          <w:szCs w:val="22"/>
          <w:lang w:val="hr-HR"/>
        </w:rPr>
        <w:t xml:space="preserve">kao i </w:t>
      </w:r>
      <w:r w:rsidRPr="009F025B">
        <w:rPr>
          <w:bCs/>
          <w:sz w:val="22"/>
          <w:szCs w:val="22"/>
          <w:lang w:val="hr-HR"/>
        </w:rPr>
        <w:t>ujedno prostaciklina PGI</w:t>
      </w:r>
      <w:r w:rsidRPr="009F025B">
        <w:rPr>
          <w:bCs/>
          <w:sz w:val="22"/>
          <w:szCs w:val="22"/>
          <w:vertAlign w:val="subscript"/>
          <w:lang w:val="hr-HR"/>
        </w:rPr>
        <w:t>2</w:t>
      </w:r>
      <w:r w:rsidRPr="009F025B">
        <w:rPr>
          <w:bCs/>
          <w:sz w:val="22"/>
          <w:szCs w:val="22"/>
          <w:lang w:val="hr-HR"/>
        </w:rPr>
        <w:t xml:space="preserve"> i tromboksana (TxA</w:t>
      </w:r>
      <w:r w:rsidRPr="009F025B">
        <w:rPr>
          <w:bCs/>
          <w:sz w:val="22"/>
          <w:szCs w:val="22"/>
          <w:vertAlign w:val="subscript"/>
          <w:lang w:val="hr-HR"/>
        </w:rPr>
        <w:t>2</w:t>
      </w:r>
      <w:r w:rsidRPr="009F025B">
        <w:rPr>
          <w:bCs/>
          <w:sz w:val="22"/>
          <w:szCs w:val="22"/>
          <w:lang w:val="hr-HR"/>
        </w:rPr>
        <w:t xml:space="preserve"> i TxB</w:t>
      </w:r>
      <w:r w:rsidRPr="009F025B">
        <w:rPr>
          <w:bCs/>
          <w:sz w:val="22"/>
          <w:szCs w:val="22"/>
          <w:vertAlign w:val="subscript"/>
          <w:lang w:val="hr-HR"/>
        </w:rPr>
        <w:t>2</w:t>
      </w:r>
      <w:r w:rsidRPr="009F025B">
        <w:rPr>
          <w:bCs/>
          <w:sz w:val="22"/>
          <w:szCs w:val="22"/>
          <w:lang w:val="hr-HR"/>
        </w:rPr>
        <w:t>). Osim toga, inhibicija sinteze prostaglandina može uticati na druge upalne medijatore, kao što su kinini, uzrokujući dodatan indirektan efekat pored direktnog efekta.</w:t>
      </w:r>
    </w:p>
    <w:p w14:paraId="774C15E2" w14:textId="77777777" w:rsidR="00430469" w:rsidRPr="009F025B" w:rsidRDefault="00430469" w:rsidP="00577F77">
      <w:pPr>
        <w:tabs>
          <w:tab w:val="left" w:pos="540"/>
          <w:tab w:val="left" w:pos="569"/>
        </w:tabs>
        <w:jc w:val="both"/>
        <w:rPr>
          <w:bCs/>
          <w:sz w:val="22"/>
          <w:szCs w:val="22"/>
          <w:lang w:val="hr-HR"/>
        </w:rPr>
      </w:pPr>
    </w:p>
    <w:p w14:paraId="3CF0702B" w14:textId="77777777" w:rsidR="00430469" w:rsidRPr="009F025B" w:rsidRDefault="00430469" w:rsidP="00577F77">
      <w:pPr>
        <w:tabs>
          <w:tab w:val="left" w:pos="540"/>
          <w:tab w:val="left" w:pos="569"/>
        </w:tabs>
        <w:jc w:val="both"/>
        <w:rPr>
          <w:bCs/>
          <w:sz w:val="22"/>
          <w:szCs w:val="22"/>
          <w:lang w:val="hr-HR"/>
        </w:rPr>
      </w:pPr>
      <w:r w:rsidRPr="009F025B">
        <w:rPr>
          <w:bCs/>
          <w:sz w:val="22"/>
          <w:szCs w:val="22"/>
          <w:u w:val="single"/>
          <w:lang w:val="hr-HR"/>
        </w:rPr>
        <w:t>Farmakodinamski efekti</w:t>
      </w:r>
    </w:p>
    <w:p w14:paraId="6F0BFF34" w14:textId="645771D4" w:rsidR="00430469" w:rsidRPr="009F025B" w:rsidRDefault="00430469" w:rsidP="00577F77">
      <w:pPr>
        <w:tabs>
          <w:tab w:val="left" w:pos="540"/>
          <w:tab w:val="left" w:pos="569"/>
        </w:tabs>
        <w:jc w:val="both"/>
        <w:rPr>
          <w:bCs/>
          <w:sz w:val="22"/>
          <w:szCs w:val="22"/>
          <w:lang w:val="hr-HR"/>
        </w:rPr>
      </w:pPr>
      <w:r w:rsidRPr="009F025B">
        <w:rPr>
          <w:bCs/>
          <w:sz w:val="22"/>
          <w:szCs w:val="22"/>
          <w:lang w:val="hr-HR"/>
        </w:rPr>
        <w:t>Ketoprofen u obliku soli lizinat</w:t>
      </w:r>
      <w:hyperlink r:id="rId12">
        <w:r w:rsidRPr="009F025B">
          <w:rPr>
            <w:rStyle w:val="Hyperlink"/>
            <w:bCs/>
            <w:color w:val="auto"/>
            <w:sz w:val="22"/>
            <w:szCs w:val="22"/>
            <w:u w:val="none"/>
            <w:lang w:val="hr-HR"/>
          </w:rPr>
          <w:t xml:space="preserve">a, 2-(3-benzofenil) propionske kiseline </w:t>
        </w:r>
      </w:hyperlink>
      <w:r w:rsidRPr="009F025B">
        <w:rPr>
          <w:bCs/>
          <w:sz w:val="22"/>
          <w:szCs w:val="22"/>
          <w:lang w:val="hr-HR"/>
        </w:rPr>
        <w:t>sa analgetskim, antiinflamatornim i antipiretskim dejstvom, pripada grupi nesteroidnih antiinflamatornih ljekova (NSAIL). So ketoprofenlizinata rastvorljiv</w:t>
      </w:r>
      <w:r w:rsidR="00694A81">
        <w:rPr>
          <w:bCs/>
          <w:sz w:val="22"/>
          <w:szCs w:val="22"/>
          <w:lang w:val="hr-HR"/>
        </w:rPr>
        <w:t>ij</w:t>
      </w:r>
      <w:r w:rsidRPr="009F025B">
        <w:rPr>
          <w:bCs/>
          <w:sz w:val="22"/>
          <w:szCs w:val="22"/>
          <w:lang w:val="hr-HR"/>
        </w:rPr>
        <w:t>a je od ketoprofenske kiseline.</w:t>
      </w:r>
    </w:p>
    <w:p w14:paraId="3A4A6913" w14:textId="77777777" w:rsidR="00430469" w:rsidRPr="009F025B" w:rsidRDefault="00430469" w:rsidP="00577F77">
      <w:pPr>
        <w:tabs>
          <w:tab w:val="left" w:pos="540"/>
          <w:tab w:val="left" w:pos="569"/>
        </w:tabs>
        <w:jc w:val="both"/>
        <w:rPr>
          <w:bCs/>
          <w:sz w:val="22"/>
          <w:szCs w:val="22"/>
          <w:lang w:val="hr-HR"/>
        </w:rPr>
      </w:pPr>
    </w:p>
    <w:p w14:paraId="53ADC90E" w14:textId="77777777" w:rsidR="00430469" w:rsidRPr="009F025B" w:rsidRDefault="00430469" w:rsidP="00577F77">
      <w:pPr>
        <w:tabs>
          <w:tab w:val="left" w:pos="540"/>
          <w:tab w:val="left" w:pos="569"/>
        </w:tabs>
        <w:jc w:val="both"/>
        <w:rPr>
          <w:sz w:val="22"/>
          <w:szCs w:val="22"/>
          <w:lang w:val="hr-HR"/>
        </w:rPr>
      </w:pPr>
      <w:r w:rsidRPr="009F025B">
        <w:rPr>
          <w:sz w:val="22"/>
          <w:szCs w:val="22"/>
          <w:lang w:val="hr-HR"/>
        </w:rPr>
        <w:t>Ketoprofen u obliku soli lizinata ima značajan analgetski efekat koji je povezan sa njegovim antiinflamatornim i centralnim djelovanjem istovremeno. Ketoprofenlizinat u obliku soli pokazuje antipiretsko djelovanje bez uticaja na uobičajene termoregulacijske procese.</w:t>
      </w:r>
    </w:p>
    <w:p w14:paraId="4D06FF0B" w14:textId="77777777" w:rsidR="00430469" w:rsidRPr="009F025B" w:rsidRDefault="00430469" w:rsidP="00577F77">
      <w:pPr>
        <w:tabs>
          <w:tab w:val="left" w:pos="540"/>
          <w:tab w:val="left" w:pos="569"/>
        </w:tabs>
        <w:jc w:val="both"/>
        <w:rPr>
          <w:sz w:val="22"/>
          <w:szCs w:val="22"/>
          <w:lang w:val="hr-HR"/>
        </w:rPr>
      </w:pPr>
    </w:p>
    <w:p w14:paraId="3A144A63" w14:textId="723674B7" w:rsidR="004B4FB4" w:rsidRPr="009F025B" w:rsidRDefault="00430469" w:rsidP="00577F77">
      <w:pPr>
        <w:tabs>
          <w:tab w:val="left" w:pos="540"/>
          <w:tab w:val="left" w:pos="569"/>
        </w:tabs>
        <w:jc w:val="both"/>
        <w:rPr>
          <w:sz w:val="22"/>
          <w:szCs w:val="22"/>
          <w:lang w:val="hr-HR"/>
        </w:rPr>
      </w:pPr>
      <w:r w:rsidRPr="009F025B">
        <w:rPr>
          <w:sz w:val="22"/>
          <w:szCs w:val="22"/>
          <w:lang w:val="hr-HR"/>
        </w:rPr>
        <w:t>Bolne upalne manifestacije se eliminišu ili budu ublažene, čime se povećava pokretljivost zglobova.</w:t>
      </w:r>
    </w:p>
    <w:p w14:paraId="641F5C2A" w14:textId="77777777" w:rsidR="002E37A5" w:rsidRPr="009F025B" w:rsidRDefault="002E37A5" w:rsidP="00577F77">
      <w:pPr>
        <w:tabs>
          <w:tab w:val="left" w:pos="540"/>
          <w:tab w:val="left" w:pos="569"/>
        </w:tabs>
        <w:jc w:val="both"/>
        <w:rPr>
          <w:b/>
          <w:bCs/>
          <w:sz w:val="22"/>
          <w:szCs w:val="22"/>
          <w:lang w:val="sr-Latn-RS"/>
        </w:rPr>
      </w:pPr>
    </w:p>
    <w:p w14:paraId="221FA089"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lastRenderedPageBreak/>
        <w:t xml:space="preserve">5.2. </w:t>
      </w:r>
      <w:r w:rsidR="00480FB1" w:rsidRPr="009F025B">
        <w:rPr>
          <w:b/>
          <w:bCs/>
          <w:sz w:val="22"/>
          <w:szCs w:val="22"/>
          <w:lang w:val="sr-Latn-RS"/>
        </w:rPr>
        <w:tab/>
      </w:r>
      <w:r w:rsidRPr="009F025B">
        <w:rPr>
          <w:b/>
          <w:bCs/>
          <w:sz w:val="22"/>
          <w:szCs w:val="22"/>
          <w:lang w:val="sr-Latn-RS"/>
        </w:rPr>
        <w:t>Farmakokinetički podaci</w:t>
      </w:r>
      <w:r w:rsidR="003A7059" w:rsidRPr="009F025B">
        <w:rPr>
          <w:b/>
          <w:bCs/>
          <w:sz w:val="22"/>
          <w:szCs w:val="22"/>
          <w:lang w:val="sr-Latn-RS"/>
        </w:rPr>
        <w:t xml:space="preserve"> </w:t>
      </w:r>
    </w:p>
    <w:p w14:paraId="325E631D" w14:textId="2E289089" w:rsidR="0072020E" w:rsidRPr="009F025B" w:rsidRDefault="0072020E" w:rsidP="00577F77">
      <w:pPr>
        <w:tabs>
          <w:tab w:val="left" w:pos="540"/>
          <w:tab w:val="left" w:pos="569"/>
        </w:tabs>
        <w:jc w:val="both"/>
        <w:rPr>
          <w:bCs/>
          <w:sz w:val="22"/>
          <w:szCs w:val="22"/>
          <w:lang w:val="sr-Latn-RS"/>
        </w:rPr>
      </w:pPr>
    </w:p>
    <w:p w14:paraId="66B4FBB1" w14:textId="77777777" w:rsidR="00E277A3" w:rsidRPr="009F025B" w:rsidRDefault="00E277A3" w:rsidP="00577F77">
      <w:pPr>
        <w:tabs>
          <w:tab w:val="left" w:pos="540"/>
          <w:tab w:val="left" w:pos="569"/>
        </w:tabs>
        <w:jc w:val="both"/>
        <w:rPr>
          <w:bCs/>
          <w:sz w:val="22"/>
          <w:szCs w:val="22"/>
          <w:lang w:val="hr-HR"/>
        </w:rPr>
      </w:pPr>
      <w:r w:rsidRPr="009F025B">
        <w:rPr>
          <w:bCs/>
          <w:sz w:val="22"/>
          <w:szCs w:val="22"/>
          <w:lang w:val="hr-HR"/>
        </w:rPr>
        <w:t>Ketoprofen u obliku soli lizinata ima bolju rastvorljivost u poređenju sa ketoprofenskom kiselinom</w:t>
      </w:r>
    </w:p>
    <w:p w14:paraId="48289462" w14:textId="77777777" w:rsidR="00E277A3" w:rsidRPr="009F025B" w:rsidRDefault="00E277A3" w:rsidP="00577F77">
      <w:pPr>
        <w:tabs>
          <w:tab w:val="left" w:pos="540"/>
          <w:tab w:val="left" w:pos="569"/>
        </w:tabs>
        <w:jc w:val="both"/>
        <w:rPr>
          <w:bCs/>
          <w:sz w:val="22"/>
          <w:szCs w:val="22"/>
          <w:lang w:val="hr-HR"/>
        </w:rPr>
      </w:pPr>
    </w:p>
    <w:p w14:paraId="57D160B2" w14:textId="77777777" w:rsidR="00E277A3" w:rsidRPr="009F025B" w:rsidRDefault="00E277A3" w:rsidP="00577F77">
      <w:pPr>
        <w:tabs>
          <w:tab w:val="left" w:pos="540"/>
          <w:tab w:val="left" w:pos="569"/>
        </w:tabs>
        <w:jc w:val="both"/>
        <w:rPr>
          <w:bCs/>
          <w:sz w:val="22"/>
          <w:szCs w:val="22"/>
          <w:lang w:val="hr-HR"/>
        </w:rPr>
      </w:pPr>
      <w:r w:rsidRPr="009F025B">
        <w:rPr>
          <w:bCs/>
          <w:sz w:val="22"/>
          <w:szCs w:val="22"/>
          <w:u w:val="single"/>
          <w:lang w:val="hr-HR"/>
        </w:rPr>
        <w:t>Resorpcija</w:t>
      </w:r>
    </w:p>
    <w:p w14:paraId="1677787D" w14:textId="653D151E" w:rsidR="00E277A3" w:rsidRPr="009F025B" w:rsidRDefault="00E277A3" w:rsidP="00577F77">
      <w:pPr>
        <w:tabs>
          <w:tab w:val="left" w:pos="540"/>
          <w:tab w:val="left" w:pos="569"/>
        </w:tabs>
        <w:jc w:val="both"/>
        <w:rPr>
          <w:bCs/>
          <w:sz w:val="22"/>
          <w:szCs w:val="22"/>
          <w:lang w:val="hr-HR"/>
        </w:rPr>
      </w:pPr>
      <w:r w:rsidRPr="009F025B">
        <w:rPr>
          <w:bCs/>
          <w:sz w:val="22"/>
          <w:szCs w:val="22"/>
          <w:lang w:val="hr-HR"/>
        </w:rPr>
        <w:t>Doza u obliku granula za oralni rastvor omogućava unos aktivne supstance već</w:t>
      </w:r>
      <w:r w:rsidR="00694A81">
        <w:rPr>
          <w:bCs/>
          <w:sz w:val="22"/>
          <w:szCs w:val="22"/>
          <w:lang w:val="hr-HR"/>
        </w:rPr>
        <w:t xml:space="preserve"> u</w:t>
      </w:r>
      <w:r w:rsidRPr="009F025B">
        <w:rPr>
          <w:bCs/>
          <w:sz w:val="22"/>
          <w:szCs w:val="22"/>
          <w:lang w:val="hr-HR"/>
        </w:rPr>
        <w:t xml:space="preserve"> vodenom rastvoru. To</w:t>
      </w:r>
    </w:p>
    <w:p w14:paraId="00561580" w14:textId="77777777" w:rsidR="00E277A3" w:rsidRPr="009F025B" w:rsidRDefault="00E277A3" w:rsidP="00577F77">
      <w:pPr>
        <w:tabs>
          <w:tab w:val="left" w:pos="540"/>
          <w:tab w:val="left" w:pos="569"/>
        </w:tabs>
        <w:jc w:val="both"/>
        <w:rPr>
          <w:bCs/>
          <w:sz w:val="22"/>
          <w:szCs w:val="22"/>
          <w:lang w:val="hr-HR"/>
        </w:rPr>
      </w:pPr>
      <w:r w:rsidRPr="009F025B">
        <w:rPr>
          <w:bCs/>
          <w:sz w:val="22"/>
          <w:szCs w:val="22"/>
          <w:lang w:val="hr-HR"/>
        </w:rPr>
        <w:t>dovodi do brzog povećanja koncentracija u plazmi i brzog postizanja maksimalne koncentracije u plazmi. To je klinički izraženo bržim početkom djelovanja i povećanim intenzitetom analgetskog i antiinflamatornog djelovanja.</w:t>
      </w:r>
    </w:p>
    <w:p w14:paraId="01838AEC" w14:textId="77777777" w:rsidR="00E277A3" w:rsidRPr="009F025B" w:rsidRDefault="00E277A3" w:rsidP="00577F77">
      <w:pPr>
        <w:tabs>
          <w:tab w:val="left" w:pos="540"/>
          <w:tab w:val="left" w:pos="569"/>
        </w:tabs>
        <w:jc w:val="both"/>
        <w:rPr>
          <w:bCs/>
          <w:sz w:val="22"/>
          <w:szCs w:val="22"/>
          <w:lang w:val="hr-HR"/>
        </w:rPr>
      </w:pPr>
    </w:p>
    <w:p w14:paraId="2E7534C9" w14:textId="77777777" w:rsidR="00E277A3" w:rsidRPr="009F025B" w:rsidRDefault="00E277A3" w:rsidP="00577F77">
      <w:pPr>
        <w:tabs>
          <w:tab w:val="left" w:pos="540"/>
          <w:tab w:val="left" w:pos="569"/>
        </w:tabs>
        <w:jc w:val="both"/>
        <w:rPr>
          <w:bCs/>
          <w:sz w:val="22"/>
          <w:szCs w:val="22"/>
          <w:lang w:val="hr-HR"/>
        </w:rPr>
      </w:pPr>
      <w:r w:rsidRPr="009F025B">
        <w:rPr>
          <w:bCs/>
          <w:sz w:val="22"/>
          <w:szCs w:val="22"/>
          <w:u w:val="single"/>
          <w:lang w:val="hr-HR"/>
        </w:rPr>
        <w:t>Distribucija</w:t>
      </w:r>
    </w:p>
    <w:p w14:paraId="6176DBF2" w14:textId="68BB48EB" w:rsidR="00E277A3" w:rsidRPr="009F025B" w:rsidRDefault="00E277A3" w:rsidP="00577F77">
      <w:pPr>
        <w:tabs>
          <w:tab w:val="left" w:pos="540"/>
          <w:tab w:val="left" w:pos="569"/>
        </w:tabs>
        <w:jc w:val="both"/>
        <w:rPr>
          <w:bCs/>
          <w:sz w:val="22"/>
          <w:szCs w:val="22"/>
          <w:lang w:val="hr-HR"/>
        </w:rPr>
      </w:pPr>
      <w:r w:rsidRPr="009F025B">
        <w:rPr>
          <w:bCs/>
          <w:sz w:val="22"/>
          <w:szCs w:val="22"/>
          <w:lang w:val="hr-HR"/>
        </w:rPr>
        <w:t xml:space="preserve">Ponovljena primjena ne mijenja kinetiku lijeka niti uzrokuje nakupljanje lijeka u organizmu. Ketoprofen je 95-99 % vezan </w:t>
      </w:r>
      <w:r w:rsidR="00694A81">
        <w:rPr>
          <w:bCs/>
          <w:sz w:val="22"/>
          <w:szCs w:val="22"/>
          <w:lang w:val="hr-HR"/>
        </w:rPr>
        <w:t xml:space="preserve">za </w:t>
      </w:r>
      <w:r w:rsidRPr="009F025B">
        <w:rPr>
          <w:bCs/>
          <w:sz w:val="22"/>
          <w:szCs w:val="22"/>
          <w:lang w:val="hr-HR"/>
        </w:rPr>
        <w:t>proteine plazme.</w:t>
      </w:r>
    </w:p>
    <w:p w14:paraId="27E0B8AB" w14:textId="77777777" w:rsidR="00E277A3" w:rsidRPr="009F025B" w:rsidRDefault="00E277A3" w:rsidP="00577F77">
      <w:pPr>
        <w:tabs>
          <w:tab w:val="left" w:pos="540"/>
          <w:tab w:val="left" w:pos="569"/>
        </w:tabs>
        <w:jc w:val="both"/>
        <w:rPr>
          <w:bCs/>
          <w:sz w:val="22"/>
          <w:szCs w:val="22"/>
          <w:lang w:val="hr-HR"/>
        </w:rPr>
      </w:pPr>
      <w:r w:rsidRPr="009F025B">
        <w:rPr>
          <w:bCs/>
          <w:sz w:val="22"/>
          <w:szCs w:val="22"/>
          <w:lang w:val="hr-HR"/>
        </w:rPr>
        <w:t>Značajne vrijednosti ketoprofena nakon sistemske primjene zabilježene su u tkivu tonzila i u sinovijalnoj tečnosti.</w:t>
      </w:r>
    </w:p>
    <w:p w14:paraId="73194538" w14:textId="77777777" w:rsidR="00E277A3" w:rsidRPr="009F025B" w:rsidRDefault="00E277A3" w:rsidP="00577F77">
      <w:pPr>
        <w:tabs>
          <w:tab w:val="left" w:pos="540"/>
          <w:tab w:val="left" w:pos="569"/>
        </w:tabs>
        <w:jc w:val="both"/>
        <w:rPr>
          <w:bCs/>
          <w:sz w:val="22"/>
          <w:szCs w:val="22"/>
          <w:lang w:val="hr-HR"/>
        </w:rPr>
      </w:pPr>
    </w:p>
    <w:p w14:paraId="2B817207" w14:textId="77777777" w:rsidR="00E277A3" w:rsidRPr="009F025B" w:rsidRDefault="00E277A3" w:rsidP="00577F77">
      <w:pPr>
        <w:tabs>
          <w:tab w:val="left" w:pos="540"/>
          <w:tab w:val="left" w:pos="569"/>
        </w:tabs>
        <w:jc w:val="both"/>
        <w:rPr>
          <w:bCs/>
          <w:sz w:val="22"/>
          <w:szCs w:val="22"/>
          <w:u w:val="single"/>
          <w:lang w:val="hr-HR"/>
        </w:rPr>
      </w:pPr>
      <w:r w:rsidRPr="009F025B">
        <w:rPr>
          <w:bCs/>
          <w:sz w:val="22"/>
          <w:szCs w:val="22"/>
          <w:u w:val="single"/>
          <w:lang w:val="hr-HR"/>
        </w:rPr>
        <w:t>Metabolizam</w:t>
      </w:r>
    </w:p>
    <w:p w14:paraId="2000339D" w14:textId="73E95335" w:rsidR="00E277A3" w:rsidRPr="009F025B" w:rsidRDefault="00E277A3" w:rsidP="00577F77">
      <w:pPr>
        <w:tabs>
          <w:tab w:val="left" w:pos="540"/>
          <w:tab w:val="left" w:pos="569"/>
        </w:tabs>
        <w:jc w:val="both"/>
        <w:rPr>
          <w:bCs/>
          <w:sz w:val="22"/>
          <w:szCs w:val="22"/>
          <w:lang w:val="hr-HR"/>
        </w:rPr>
      </w:pPr>
      <w:r w:rsidRPr="009F025B">
        <w:rPr>
          <w:bCs/>
          <w:sz w:val="22"/>
          <w:szCs w:val="22"/>
          <w:lang w:val="hr-HR"/>
        </w:rPr>
        <w:t>Ketoprofen se opsežno metaboliše: 60-80% aktivne susptance nakon sistemske primjene nalaz</w:t>
      </w:r>
      <w:r w:rsidR="00694A81">
        <w:rPr>
          <w:bCs/>
          <w:sz w:val="22"/>
          <w:szCs w:val="22"/>
          <w:lang w:val="hr-HR"/>
        </w:rPr>
        <w:t>i</w:t>
      </w:r>
      <w:r w:rsidRPr="009F025B">
        <w:rPr>
          <w:bCs/>
          <w:sz w:val="22"/>
          <w:szCs w:val="22"/>
          <w:lang w:val="hr-HR"/>
        </w:rPr>
        <w:t xml:space="preserve"> se u obliku metabolita u urinu.</w:t>
      </w:r>
    </w:p>
    <w:p w14:paraId="42C8C2EF" w14:textId="77777777" w:rsidR="00E277A3" w:rsidRPr="009F025B" w:rsidRDefault="00E277A3" w:rsidP="00577F77">
      <w:pPr>
        <w:tabs>
          <w:tab w:val="left" w:pos="540"/>
          <w:tab w:val="left" w:pos="569"/>
        </w:tabs>
        <w:jc w:val="both"/>
        <w:rPr>
          <w:bCs/>
          <w:sz w:val="22"/>
          <w:szCs w:val="22"/>
          <w:lang w:val="hr-HR"/>
        </w:rPr>
      </w:pPr>
    </w:p>
    <w:p w14:paraId="2AEB2DCE" w14:textId="77777777" w:rsidR="00E277A3" w:rsidRPr="009F025B" w:rsidRDefault="00E277A3" w:rsidP="00577F77">
      <w:pPr>
        <w:tabs>
          <w:tab w:val="left" w:pos="540"/>
          <w:tab w:val="left" w:pos="569"/>
        </w:tabs>
        <w:jc w:val="both"/>
        <w:rPr>
          <w:bCs/>
          <w:sz w:val="22"/>
          <w:szCs w:val="22"/>
          <w:lang w:val="hr-HR"/>
        </w:rPr>
      </w:pPr>
      <w:r w:rsidRPr="009F025B">
        <w:rPr>
          <w:bCs/>
          <w:sz w:val="22"/>
          <w:szCs w:val="22"/>
          <w:u w:val="single"/>
          <w:lang w:val="hr-HR"/>
        </w:rPr>
        <w:t>Eliminacija</w:t>
      </w:r>
    </w:p>
    <w:p w14:paraId="1B490FA8" w14:textId="77777777" w:rsidR="00E277A3" w:rsidRPr="009F025B" w:rsidRDefault="00E277A3" w:rsidP="00577F77">
      <w:pPr>
        <w:tabs>
          <w:tab w:val="left" w:pos="540"/>
          <w:tab w:val="left" w:pos="569"/>
        </w:tabs>
        <w:jc w:val="both"/>
        <w:rPr>
          <w:bCs/>
          <w:sz w:val="22"/>
          <w:szCs w:val="22"/>
          <w:lang w:val="hr-HR"/>
        </w:rPr>
      </w:pPr>
      <w:r w:rsidRPr="009F025B">
        <w:rPr>
          <w:bCs/>
          <w:sz w:val="22"/>
          <w:szCs w:val="22"/>
          <w:lang w:val="hr-HR"/>
        </w:rPr>
        <w:t>Izlučivanje je brzo i odvija se uglavnom putem bubrega: 50% aktivne supstance koja je primijenjena sistemski izlučuje se urinom tokom 6 sati.</w:t>
      </w:r>
    </w:p>
    <w:p w14:paraId="5CEA4F03" w14:textId="77777777" w:rsidR="00E277A3" w:rsidRPr="009F025B" w:rsidRDefault="00E277A3" w:rsidP="00577F77">
      <w:pPr>
        <w:tabs>
          <w:tab w:val="left" w:pos="540"/>
          <w:tab w:val="left" w:pos="569"/>
        </w:tabs>
        <w:jc w:val="both"/>
        <w:rPr>
          <w:bCs/>
          <w:sz w:val="22"/>
          <w:szCs w:val="22"/>
          <w:lang w:val="hr-HR"/>
        </w:rPr>
      </w:pPr>
    </w:p>
    <w:p w14:paraId="23E5FBA9" w14:textId="77777777" w:rsidR="00E277A3" w:rsidRPr="009F025B" w:rsidRDefault="00E277A3" w:rsidP="00577F77">
      <w:pPr>
        <w:tabs>
          <w:tab w:val="left" w:pos="540"/>
          <w:tab w:val="left" w:pos="569"/>
        </w:tabs>
        <w:jc w:val="both"/>
        <w:rPr>
          <w:bCs/>
          <w:sz w:val="22"/>
          <w:szCs w:val="22"/>
          <w:lang w:val="hr-HR"/>
        </w:rPr>
      </w:pPr>
      <w:r w:rsidRPr="009F025B">
        <w:rPr>
          <w:bCs/>
          <w:sz w:val="22"/>
          <w:szCs w:val="22"/>
          <w:u w:val="single"/>
          <w:lang w:val="hr-HR"/>
        </w:rPr>
        <w:t>Pedijatrijska populacija</w:t>
      </w:r>
    </w:p>
    <w:p w14:paraId="653D9B94" w14:textId="6A2A4EF1" w:rsidR="00E277A3" w:rsidRPr="009F025B" w:rsidRDefault="00E277A3" w:rsidP="00577F77">
      <w:pPr>
        <w:tabs>
          <w:tab w:val="left" w:pos="540"/>
          <w:tab w:val="left" w:pos="569"/>
        </w:tabs>
        <w:jc w:val="both"/>
        <w:rPr>
          <w:bCs/>
          <w:sz w:val="22"/>
          <w:szCs w:val="22"/>
          <w:lang w:val="hr-HR"/>
        </w:rPr>
      </w:pPr>
      <w:r w:rsidRPr="009F025B">
        <w:rPr>
          <w:bCs/>
          <w:sz w:val="22"/>
          <w:szCs w:val="22"/>
          <w:lang w:val="hr-HR"/>
        </w:rPr>
        <w:t xml:space="preserve">Kinetički profil kod djece </w:t>
      </w:r>
      <w:r w:rsidR="00CF2258" w:rsidRPr="009F025B">
        <w:rPr>
          <w:bCs/>
          <w:sz w:val="22"/>
          <w:szCs w:val="22"/>
          <w:lang w:val="hr-HR"/>
        </w:rPr>
        <w:t xml:space="preserve">se </w:t>
      </w:r>
      <w:r w:rsidRPr="009F025B">
        <w:rPr>
          <w:bCs/>
          <w:sz w:val="22"/>
          <w:szCs w:val="22"/>
          <w:lang w:val="hr-HR"/>
        </w:rPr>
        <w:t>ne razlikuje od onog kod odraslih.</w:t>
      </w:r>
    </w:p>
    <w:p w14:paraId="49EB9081" w14:textId="77777777" w:rsidR="00E277A3" w:rsidRPr="009F025B" w:rsidRDefault="00E277A3" w:rsidP="00577F77">
      <w:pPr>
        <w:tabs>
          <w:tab w:val="left" w:pos="540"/>
          <w:tab w:val="left" w:pos="569"/>
        </w:tabs>
        <w:jc w:val="both"/>
        <w:rPr>
          <w:bCs/>
          <w:sz w:val="22"/>
          <w:szCs w:val="22"/>
          <w:lang w:val="sr-Latn-RS"/>
        </w:rPr>
      </w:pPr>
    </w:p>
    <w:p w14:paraId="6A0D23FA"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5.3. </w:t>
      </w:r>
      <w:r w:rsidR="00480FB1" w:rsidRPr="009F025B">
        <w:rPr>
          <w:b/>
          <w:bCs/>
          <w:sz w:val="22"/>
          <w:szCs w:val="22"/>
          <w:lang w:val="sr-Latn-RS"/>
        </w:rPr>
        <w:tab/>
      </w:r>
      <w:r w:rsidRPr="009F025B">
        <w:rPr>
          <w:b/>
          <w:bCs/>
          <w:sz w:val="22"/>
          <w:szCs w:val="22"/>
          <w:lang w:val="sr-Latn-RS"/>
        </w:rPr>
        <w:t xml:space="preserve">Pretklinički podaci o bezbjednosti </w:t>
      </w:r>
    </w:p>
    <w:p w14:paraId="0C882120" w14:textId="587340AD" w:rsidR="00396DFD" w:rsidRPr="009F025B" w:rsidRDefault="00396DFD" w:rsidP="00577F77">
      <w:pPr>
        <w:tabs>
          <w:tab w:val="left" w:pos="540"/>
          <w:tab w:val="left" w:pos="569"/>
        </w:tabs>
        <w:jc w:val="both"/>
        <w:rPr>
          <w:b/>
          <w:bCs/>
          <w:sz w:val="22"/>
          <w:szCs w:val="22"/>
          <w:lang w:val="sr-Latn-RS"/>
        </w:rPr>
      </w:pPr>
    </w:p>
    <w:p w14:paraId="2732F859"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Nakon oralne primjene, LD</w:t>
      </w:r>
      <w:r w:rsidRPr="009F025B">
        <w:rPr>
          <w:sz w:val="22"/>
          <w:szCs w:val="22"/>
          <w:vertAlign w:val="subscript"/>
          <w:lang w:val="hr-HR"/>
        </w:rPr>
        <w:t>50</w:t>
      </w:r>
      <w:r w:rsidRPr="009F025B">
        <w:rPr>
          <w:sz w:val="22"/>
          <w:szCs w:val="22"/>
          <w:lang w:val="hr-HR"/>
        </w:rPr>
        <w:t xml:space="preserve"> vrijednosti ketoprofenlizinata su kod pacova bile 102 mg/kg te miševa 444 mg/kg što odgovara 30 do 120 puta više od aktivne doze koja ima antiinflamatorni i analgetski efekat kod životinja.</w:t>
      </w:r>
    </w:p>
    <w:p w14:paraId="696E2A92" w14:textId="77777777" w:rsidR="00622255" w:rsidRPr="009F025B" w:rsidRDefault="00622255" w:rsidP="00577F77">
      <w:pPr>
        <w:tabs>
          <w:tab w:val="left" w:pos="540"/>
          <w:tab w:val="left" w:pos="569"/>
        </w:tabs>
        <w:jc w:val="both"/>
        <w:rPr>
          <w:sz w:val="22"/>
          <w:szCs w:val="22"/>
          <w:lang w:val="hr-HR"/>
        </w:rPr>
      </w:pPr>
    </w:p>
    <w:p w14:paraId="426424BD"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Nakon intraperitonealne primjene, LD</w:t>
      </w:r>
      <w:r w:rsidRPr="009F025B">
        <w:rPr>
          <w:sz w:val="22"/>
          <w:szCs w:val="22"/>
          <w:vertAlign w:val="subscript"/>
          <w:lang w:val="hr-HR"/>
        </w:rPr>
        <w:t>50</w:t>
      </w:r>
      <w:r w:rsidRPr="009F025B">
        <w:rPr>
          <w:sz w:val="22"/>
          <w:szCs w:val="22"/>
          <w:lang w:val="hr-HR"/>
        </w:rPr>
        <w:t xml:space="preserve"> vrijednosti ketoprofenlizinata su kod pacova bile 104 mg/kg , odnosno 610 mg/kg kod miševa.</w:t>
      </w:r>
    </w:p>
    <w:p w14:paraId="16E2509D" w14:textId="77777777" w:rsidR="00622255" w:rsidRPr="009F025B" w:rsidRDefault="00622255" w:rsidP="00577F77">
      <w:pPr>
        <w:tabs>
          <w:tab w:val="left" w:pos="540"/>
          <w:tab w:val="left" w:pos="569"/>
        </w:tabs>
        <w:jc w:val="both"/>
        <w:rPr>
          <w:sz w:val="22"/>
          <w:szCs w:val="22"/>
          <w:lang w:val="hr-HR"/>
        </w:rPr>
      </w:pPr>
    </w:p>
    <w:p w14:paraId="033B445F" w14:textId="66407E15" w:rsidR="00622255" w:rsidRPr="009F025B" w:rsidRDefault="00622255" w:rsidP="00577F77">
      <w:pPr>
        <w:tabs>
          <w:tab w:val="left" w:pos="540"/>
          <w:tab w:val="left" w:pos="569"/>
        </w:tabs>
        <w:jc w:val="both"/>
        <w:rPr>
          <w:sz w:val="22"/>
          <w:szCs w:val="22"/>
          <w:lang w:val="hr-HR"/>
        </w:rPr>
      </w:pPr>
      <w:r w:rsidRPr="009F025B">
        <w:rPr>
          <w:sz w:val="22"/>
          <w:szCs w:val="22"/>
          <w:lang w:val="hr-HR"/>
        </w:rPr>
        <w:t>Dugotrajna oralna primjena kod pacova, p</w:t>
      </w:r>
      <w:r w:rsidR="00694A81">
        <w:rPr>
          <w:sz w:val="22"/>
          <w:szCs w:val="22"/>
          <w:lang w:val="hr-HR"/>
        </w:rPr>
        <w:t>s</w:t>
      </w:r>
      <w:r w:rsidRPr="009F025B">
        <w:rPr>
          <w:sz w:val="22"/>
          <w:szCs w:val="22"/>
          <w:lang w:val="hr-HR"/>
        </w:rPr>
        <w:t>sa i majmuna ketoprofenlizinatom, u dozama koje su jednake ili više od preporučenih terapijskih doza, nijesu uzrokovale nikakve toksične efekte.</w:t>
      </w:r>
    </w:p>
    <w:p w14:paraId="13BA9FDF"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Pri visokim dozama zabilježene su gastrointestinalne promjene i promjene na bubrezima, koje se mogu pripisati poznatim neželjenim dejstvima uzrokovanim nesteroidnim antiinflamatornim ljekovima.</w:t>
      </w:r>
    </w:p>
    <w:p w14:paraId="7993D9B2" w14:textId="77777777" w:rsidR="00622255" w:rsidRPr="009F025B" w:rsidRDefault="00622255" w:rsidP="00577F77">
      <w:pPr>
        <w:tabs>
          <w:tab w:val="left" w:pos="540"/>
          <w:tab w:val="left" w:pos="569"/>
        </w:tabs>
        <w:jc w:val="both"/>
        <w:rPr>
          <w:sz w:val="22"/>
          <w:szCs w:val="22"/>
          <w:lang w:val="hr-HR"/>
        </w:rPr>
      </w:pPr>
    </w:p>
    <w:p w14:paraId="38136E89"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U produženim ispitivanjima toksičnosti na kunićima pri oralnoj i rektalnoj primjeni dokazano je da se ketoprofen bolje podnosi kada se primjenjuje rektalno. U ispitivanjima podnošljivosti kod kunića s intramuskularnom primjenom, so ketoprofenlizinata pokazala se podnošljivom.</w:t>
      </w:r>
    </w:p>
    <w:p w14:paraId="5C8454C3" w14:textId="77777777" w:rsidR="00622255" w:rsidRPr="009F025B" w:rsidRDefault="00622255" w:rsidP="00577F77">
      <w:pPr>
        <w:tabs>
          <w:tab w:val="left" w:pos="540"/>
          <w:tab w:val="left" w:pos="569"/>
        </w:tabs>
        <w:jc w:val="both"/>
        <w:rPr>
          <w:sz w:val="22"/>
          <w:szCs w:val="22"/>
          <w:lang w:val="hr-HR"/>
        </w:rPr>
      </w:pPr>
    </w:p>
    <w:p w14:paraId="5BB49242"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 xml:space="preserve">Ketoprofenlizinat </w:t>
      </w:r>
      <w:r w:rsidRPr="009F025B">
        <w:rPr>
          <w:i/>
          <w:sz w:val="22"/>
          <w:szCs w:val="22"/>
          <w:lang w:val="hr-HR"/>
        </w:rPr>
        <w:t xml:space="preserve">u in vitro </w:t>
      </w:r>
      <w:r w:rsidRPr="009F025B">
        <w:rPr>
          <w:sz w:val="22"/>
          <w:szCs w:val="22"/>
          <w:lang w:val="hr-HR"/>
        </w:rPr>
        <w:t xml:space="preserve">i </w:t>
      </w:r>
      <w:r w:rsidRPr="009F025B">
        <w:rPr>
          <w:i/>
          <w:sz w:val="22"/>
          <w:szCs w:val="22"/>
          <w:lang w:val="hr-HR"/>
        </w:rPr>
        <w:t xml:space="preserve">in vivo </w:t>
      </w:r>
      <w:r w:rsidRPr="009F025B">
        <w:rPr>
          <w:sz w:val="22"/>
          <w:szCs w:val="22"/>
          <w:lang w:val="hr-HR"/>
        </w:rPr>
        <w:t>ispitivanjima genotoksičnosti nije pokazao mutageni efekat.</w:t>
      </w:r>
    </w:p>
    <w:p w14:paraId="395BCA84" w14:textId="77777777" w:rsidR="00622255" w:rsidRPr="009F025B" w:rsidRDefault="00622255" w:rsidP="00577F77">
      <w:pPr>
        <w:tabs>
          <w:tab w:val="left" w:pos="540"/>
          <w:tab w:val="left" w:pos="569"/>
        </w:tabs>
        <w:jc w:val="both"/>
        <w:rPr>
          <w:sz w:val="22"/>
          <w:szCs w:val="22"/>
          <w:lang w:val="hr-HR"/>
        </w:rPr>
      </w:pPr>
    </w:p>
    <w:p w14:paraId="1174E9F2"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Ispitivanja kancerogenosti na pacovima i miševima nijesu ukazala na kancerogeni potencijal ketoprofena.</w:t>
      </w:r>
    </w:p>
    <w:p w14:paraId="4D3FA109" w14:textId="77777777" w:rsidR="00622255" w:rsidRPr="009F025B" w:rsidRDefault="00622255" w:rsidP="00577F77">
      <w:pPr>
        <w:tabs>
          <w:tab w:val="left" w:pos="540"/>
          <w:tab w:val="left" w:pos="569"/>
        </w:tabs>
        <w:jc w:val="both"/>
        <w:rPr>
          <w:sz w:val="22"/>
          <w:szCs w:val="22"/>
          <w:lang w:val="hr-HR"/>
        </w:rPr>
      </w:pPr>
    </w:p>
    <w:p w14:paraId="1D11B1FC" w14:textId="77777777" w:rsidR="00622255" w:rsidRPr="009F025B" w:rsidRDefault="00622255" w:rsidP="00577F77">
      <w:pPr>
        <w:tabs>
          <w:tab w:val="left" w:pos="540"/>
          <w:tab w:val="left" w:pos="569"/>
        </w:tabs>
        <w:jc w:val="both"/>
        <w:rPr>
          <w:sz w:val="22"/>
          <w:szCs w:val="22"/>
          <w:lang w:val="hr-HR"/>
        </w:rPr>
      </w:pPr>
      <w:r w:rsidRPr="009F025B">
        <w:rPr>
          <w:sz w:val="22"/>
          <w:szCs w:val="22"/>
          <w:lang w:val="hr-HR"/>
        </w:rPr>
        <w:t>Što se tiče embrio-feto toksičnosti i teratogenosti nesteroidnih antiinflamatornih ljekova kod životinja vidjeti dio 4.6.</w:t>
      </w:r>
    </w:p>
    <w:p w14:paraId="4AE5D09C" w14:textId="77777777" w:rsidR="00622255" w:rsidRPr="009F025B" w:rsidRDefault="00622255" w:rsidP="00577F77">
      <w:pPr>
        <w:tabs>
          <w:tab w:val="left" w:pos="540"/>
          <w:tab w:val="left" w:pos="569"/>
        </w:tabs>
        <w:jc w:val="both"/>
        <w:rPr>
          <w:sz w:val="22"/>
          <w:szCs w:val="22"/>
          <w:lang w:val="hr-HR"/>
        </w:rPr>
      </w:pPr>
    </w:p>
    <w:p w14:paraId="5885252E" w14:textId="72F26107" w:rsidR="003D3322" w:rsidRDefault="003D3322" w:rsidP="00577F77">
      <w:pPr>
        <w:tabs>
          <w:tab w:val="left" w:pos="540"/>
          <w:tab w:val="left" w:pos="569"/>
        </w:tabs>
        <w:jc w:val="both"/>
        <w:rPr>
          <w:b/>
          <w:bCs/>
          <w:sz w:val="22"/>
          <w:szCs w:val="22"/>
          <w:lang w:val="hr-HR"/>
        </w:rPr>
      </w:pPr>
    </w:p>
    <w:p w14:paraId="578147F2" w14:textId="77777777" w:rsidR="00F37BB1" w:rsidRPr="009F025B" w:rsidRDefault="00F37BB1" w:rsidP="00577F77">
      <w:pPr>
        <w:tabs>
          <w:tab w:val="left" w:pos="540"/>
          <w:tab w:val="left" w:pos="569"/>
        </w:tabs>
        <w:jc w:val="both"/>
        <w:rPr>
          <w:b/>
          <w:bCs/>
          <w:sz w:val="22"/>
          <w:szCs w:val="22"/>
          <w:lang w:val="hr-HR"/>
        </w:rPr>
      </w:pPr>
    </w:p>
    <w:p w14:paraId="5D6B7BE0"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lastRenderedPageBreak/>
        <w:t xml:space="preserve">6. </w:t>
      </w:r>
      <w:r w:rsidR="00480FB1" w:rsidRPr="009F025B">
        <w:rPr>
          <w:b/>
          <w:bCs/>
          <w:sz w:val="22"/>
          <w:szCs w:val="22"/>
          <w:lang w:val="sr-Latn-RS"/>
        </w:rPr>
        <w:tab/>
      </w:r>
      <w:r w:rsidRPr="009F025B">
        <w:rPr>
          <w:b/>
          <w:bCs/>
          <w:sz w:val="22"/>
          <w:szCs w:val="22"/>
          <w:lang w:val="sr-Latn-RS"/>
        </w:rPr>
        <w:t>FARMACEUTSKI PODACI</w:t>
      </w:r>
    </w:p>
    <w:p w14:paraId="7F7C2380" w14:textId="77777777" w:rsidR="00836B35" w:rsidRPr="009F025B" w:rsidRDefault="00836B35" w:rsidP="00577F77">
      <w:pPr>
        <w:tabs>
          <w:tab w:val="left" w:pos="540"/>
          <w:tab w:val="left" w:pos="569"/>
        </w:tabs>
        <w:jc w:val="both"/>
        <w:rPr>
          <w:bCs/>
          <w:sz w:val="22"/>
          <w:szCs w:val="22"/>
          <w:lang w:val="sr-Latn-RS"/>
        </w:rPr>
      </w:pPr>
    </w:p>
    <w:p w14:paraId="586AF19D"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6.1. </w:t>
      </w:r>
      <w:r w:rsidR="00480FB1" w:rsidRPr="009F025B">
        <w:rPr>
          <w:b/>
          <w:bCs/>
          <w:sz w:val="22"/>
          <w:szCs w:val="22"/>
          <w:lang w:val="sr-Latn-RS"/>
        </w:rPr>
        <w:tab/>
      </w:r>
      <w:r w:rsidRPr="009F025B">
        <w:rPr>
          <w:b/>
          <w:bCs/>
          <w:sz w:val="22"/>
          <w:szCs w:val="22"/>
          <w:lang w:val="sr-Latn-RS"/>
        </w:rPr>
        <w:t>Lista pomoćnih supstanci</w:t>
      </w:r>
      <w:r w:rsidR="002E0135" w:rsidRPr="009F025B">
        <w:rPr>
          <w:b/>
          <w:bCs/>
          <w:sz w:val="22"/>
          <w:szCs w:val="22"/>
          <w:lang w:val="sr-Latn-RS"/>
        </w:rPr>
        <w:t xml:space="preserve"> (ekscipijenasa)</w:t>
      </w:r>
    </w:p>
    <w:p w14:paraId="19C407A7" w14:textId="190C74EC" w:rsidR="0072020E" w:rsidRPr="009F025B" w:rsidRDefault="0072020E" w:rsidP="00577F77">
      <w:pPr>
        <w:tabs>
          <w:tab w:val="left" w:pos="540"/>
          <w:tab w:val="left" w:pos="569"/>
        </w:tabs>
        <w:jc w:val="both"/>
        <w:rPr>
          <w:bCs/>
          <w:sz w:val="22"/>
          <w:szCs w:val="22"/>
          <w:lang w:val="sr-Latn-RS"/>
        </w:rPr>
      </w:pPr>
    </w:p>
    <w:p w14:paraId="340EAEF6" w14:textId="77777777" w:rsidR="000111EB" w:rsidRPr="009F025B" w:rsidRDefault="000111EB" w:rsidP="00577F77">
      <w:pPr>
        <w:tabs>
          <w:tab w:val="left" w:pos="540"/>
          <w:tab w:val="left" w:pos="569"/>
        </w:tabs>
        <w:jc w:val="both"/>
        <w:rPr>
          <w:bCs/>
          <w:sz w:val="22"/>
          <w:szCs w:val="22"/>
          <w:lang w:val="hr-HR"/>
        </w:rPr>
      </w:pPr>
      <w:r w:rsidRPr="009F025B">
        <w:rPr>
          <w:bCs/>
          <w:sz w:val="22"/>
          <w:szCs w:val="22"/>
          <w:lang w:val="hr-HR"/>
        </w:rPr>
        <w:t xml:space="preserve">manitol (E421) </w:t>
      </w:r>
    </w:p>
    <w:p w14:paraId="325AE50A" w14:textId="77777777" w:rsidR="000111EB" w:rsidRPr="009F025B" w:rsidRDefault="000111EB" w:rsidP="00577F77">
      <w:pPr>
        <w:tabs>
          <w:tab w:val="left" w:pos="540"/>
          <w:tab w:val="left" w:pos="569"/>
        </w:tabs>
        <w:jc w:val="both"/>
        <w:rPr>
          <w:bCs/>
          <w:sz w:val="22"/>
          <w:szCs w:val="22"/>
          <w:lang w:val="hr-HR"/>
        </w:rPr>
      </w:pPr>
      <w:r w:rsidRPr="009F025B">
        <w:rPr>
          <w:bCs/>
          <w:sz w:val="22"/>
          <w:szCs w:val="22"/>
          <w:lang w:val="hr-HR"/>
        </w:rPr>
        <w:t>povidon</w:t>
      </w:r>
    </w:p>
    <w:p w14:paraId="64118A05" w14:textId="5B8DCCC3" w:rsidR="000111EB" w:rsidRPr="009F025B" w:rsidRDefault="00B06E88" w:rsidP="00577F77">
      <w:pPr>
        <w:tabs>
          <w:tab w:val="left" w:pos="540"/>
          <w:tab w:val="left" w:pos="569"/>
        </w:tabs>
        <w:jc w:val="both"/>
        <w:rPr>
          <w:bCs/>
          <w:sz w:val="22"/>
          <w:szCs w:val="22"/>
          <w:lang w:val="hr-HR"/>
        </w:rPr>
      </w:pPr>
      <w:r w:rsidRPr="009F025B">
        <w:rPr>
          <w:bCs/>
          <w:sz w:val="22"/>
          <w:szCs w:val="22"/>
          <w:lang w:val="hr-HR"/>
        </w:rPr>
        <w:t xml:space="preserve">aroma </w:t>
      </w:r>
      <w:r w:rsidR="000111EB" w:rsidRPr="009F025B">
        <w:rPr>
          <w:bCs/>
          <w:sz w:val="22"/>
          <w:szCs w:val="22"/>
          <w:lang w:val="hr-HR"/>
        </w:rPr>
        <w:t xml:space="preserve">mente (sadrži maltodekstrin i arapsku gumu) </w:t>
      </w:r>
    </w:p>
    <w:p w14:paraId="0FE8D668" w14:textId="77777777" w:rsidR="000111EB" w:rsidRPr="009F025B" w:rsidRDefault="000111EB" w:rsidP="00577F77">
      <w:pPr>
        <w:tabs>
          <w:tab w:val="left" w:pos="540"/>
          <w:tab w:val="left" w:pos="569"/>
        </w:tabs>
        <w:jc w:val="both"/>
        <w:rPr>
          <w:bCs/>
          <w:sz w:val="22"/>
          <w:szCs w:val="22"/>
          <w:lang w:val="hr-HR"/>
        </w:rPr>
      </w:pPr>
      <w:r w:rsidRPr="009F025B">
        <w:rPr>
          <w:bCs/>
          <w:sz w:val="22"/>
          <w:szCs w:val="22"/>
          <w:lang w:val="hr-HR"/>
        </w:rPr>
        <w:t>natrijum hlorid</w:t>
      </w:r>
    </w:p>
    <w:p w14:paraId="72761F88" w14:textId="77777777" w:rsidR="000111EB" w:rsidRPr="009F025B" w:rsidRDefault="000111EB" w:rsidP="00577F77">
      <w:pPr>
        <w:tabs>
          <w:tab w:val="left" w:pos="540"/>
          <w:tab w:val="left" w:pos="569"/>
        </w:tabs>
        <w:jc w:val="both"/>
        <w:rPr>
          <w:bCs/>
          <w:sz w:val="22"/>
          <w:szCs w:val="22"/>
          <w:lang w:val="hr-HR"/>
        </w:rPr>
      </w:pPr>
      <w:r w:rsidRPr="009F025B">
        <w:rPr>
          <w:bCs/>
          <w:sz w:val="22"/>
          <w:szCs w:val="22"/>
          <w:lang w:val="hr-HR"/>
        </w:rPr>
        <w:t>saharin natrijum</w:t>
      </w:r>
    </w:p>
    <w:p w14:paraId="0DEE4B9E" w14:textId="04DC2CDA" w:rsidR="000111EB" w:rsidRPr="009F025B" w:rsidRDefault="000111EB" w:rsidP="00577F77">
      <w:pPr>
        <w:tabs>
          <w:tab w:val="left" w:pos="540"/>
          <w:tab w:val="left" w:pos="569"/>
        </w:tabs>
        <w:jc w:val="both"/>
        <w:rPr>
          <w:bCs/>
          <w:sz w:val="22"/>
          <w:szCs w:val="22"/>
          <w:lang w:val="hr-HR"/>
        </w:rPr>
      </w:pPr>
      <w:r w:rsidRPr="009F025B">
        <w:rPr>
          <w:bCs/>
          <w:sz w:val="22"/>
          <w:szCs w:val="22"/>
          <w:lang w:val="hr-HR"/>
        </w:rPr>
        <w:t>silicijum dioksid, koloidni, bezvodni</w:t>
      </w:r>
    </w:p>
    <w:p w14:paraId="30ACDF95" w14:textId="77777777" w:rsidR="000111EB" w:rsidRPr="009F025B" w:rsidRDefault="000111EB" w:rsidP="00577F77">
      <w:pPr>
        <w:tabs>
          <w:tab w:val="left" w:pos="540"/>
          <w:tab w:val="left" w:pos="569"/>
        </w:tabs>
        <w:jc w:val="both"/>
        <w:rPr>
          <w:bCs/>
          <w:sz w:val="22"/>
          <w:szCs w:val="22"/>
          <w:lang w:val="sr-Latn-RS"/>
        </w:rPr>
      </w:pPr>
    </w:p>
    <w:p w14:paraId="10664F90"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6.2. </w:t>
      </w:r>
      <w:r w:rsidR="00480FB1" w:rsidRPr="009F025B">
        <w:rPr>
          <w:b/>
          <w:bCs/>
          <w:sz w:val="22"/>
          <w:szCs w:val="22"/>
          <w:lang w:val="sr-Latn-RS"/>
        </w:rPr>
        <w:tab/>
      </w:r>
      <w:r w:rsidRPr="009F025B">
        <w:rPr>
          <w:b/>
          <w:bCs/>
          <w:sz w:val="22"/>
          <w:szCs w:val="22"/>
          <w:lang w:val="sr-Latn-RS"/>
        </w:rPr>
        <w:t>Inkompatibilnost</w:t>
      </w:r>
      <w:r w:rsidR="002846DB" w:rsidRPr="009F025B">
        <w:rPr>
          <w:b/>
          <w:bCs/>
          <w:sz w:val="22"/>
          <w:szCs w:val="22"/>
          <w:lang w:val="sr-Latn-RS"/>
        </w:rPr>
        <w:t>i</w:t>
      </w:r>
    </w:p>
    <w:p w14:paraId="4006FC23" w14:textId="2DF475AB" w:rsidR="0072020E" w:rsidRPr="009F025B" w:rsidRDefault="0072020E" w:rsidP="00577F77">
      <w:pPr>
        <w:tabs>
          <w:tab w:val="left" w:pos="540"/>
          <w:tab w:val="left" w:pos="569"/>
        </w:tabs>
        <w:jc w:val="both"/>
        <w:rPr>
          <w:bCs/>
          <w:sz w:val="22"/>
          <w:szCs w:val="22"/>
          <w:lang w:val="sr-Latn-RS"/>
        </w:rPr>
      </w:pPr>
    </w:p>
    <w:p w14:paraId="62FFF985" w14:textId="77777777" w:rsidR="00224E1F" w:rsidRPr="009F025B" w:rsidRDefault="00224E1F" w:rsidP="00577F77">
      <w:pPr>
        <w:tabs>
          <w:tab w:val="left" w:pos="540"/>
          <w:tab w:val="left" w:pos="569"/>
        </w:tabs>
        <w:jc w:val="both"/>
        <w:rPr>
          <w:bCs/>
          <w:sz w:val="22"/>
          <w:szCs w:val="22"/>
          <w:lang w:val="sr-Latn-RS"/>
        </w:rPr>
      </w:pPr>
      <w:r w:rsidRPr="009F025B">
        <w:rPr>
          <w:bCs/>
          <w:sz w:val="22"/>
          <w:szCs w:val="22"/>
          <w:lang w:val="sr-Latn-RS"/>
        </w:rPr>
        <w:t>Nije primjenljivo.</w:t>
      </w:r>
    </w:p>
    <w:p w14:paraId="1652F891" w14:textId="77777777" w:rsidR="00224E1F" w:rsidRPr="009F025B" w:rsidRDefault="00224E1F" w:rsidP="00577F77">
      <w:pPr>
        <w:tabs>
          <w:tab w:val="left" w:pos="540"/>
          <w:tab w:val="left" w:pos="569"/>
        </w:tabs>
        <w:jc w:val="both"/>
        <w:rPr>
          <w:bCs/>
          <w:sz w:val="22"/>
          <w:szCs w:val="22"/>
          <w:lang w:val="sr-Latn-RS"/>
        </w:rPr>
      </w:pPr>
    </w:p>
    <w:p w14:paraId="6703A6BA"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6.3.</w:t>
      </w:r>
      <w:r w:rsidR="00C05DF8" w:rsidRPr="009F025B">
        <w:rPr>
          <w:b/>
          <w:bCs/>
          <w:sz w:val="22"/>
          <w:szCs w:val="22"/>
          <w:lang w:val="sr-Latn-RS"/>
        </w:rPr>
        <w:t xml:space="preserve"> </w:t>
      </w:r>
      <w:r w:rsidR="00480FB1" w:rsidRPr="009F025B">
        <w:rPr>
          <w:b/>
          <w:bCs/>
          <w:sz w:val="22"/>
          <w:szCs w:val="22"/>
          <w:lang w:val="sr-Latn-RS"/>
        </w:rPr>
        <w:tab/>
      </w:r>
      <w:r w:rsidRPr="009F025B">
        <w:rPr>
          <w:b/>
          <w:bCs/>
          <w:sz w:val="22"/>
          <w:szCs w:val="22"/>
          <w:lang w:val="sr-Latn-RS"/>
        </w:rPr>
        <w:t>Rok upotrebe</w:t>
      </w:r>
    </w:p>
    <w:p w14:paraId="12200983" w14:textId="62F2540F" w:rsidR="0072020E" w:rsidRPr="009F025B" w:rsidRDefault="0072020E" w:rsidP="00577F77">
      <w:pPr>
        <w:tabs>
          <w:tab w:val="left" w:pos="540"/>
          <w:tab w:val="left" w:pos="569"/>
        </w:tabs>
        <w:jc w:val="both"/>
        <w:rPr>
          <w:bCs/>
          <w:sz w:val="22"/>
          <w:szCs w:val="22"/>
          <w:lang w:val="sr-Latn-RS"/>
        </w:rPr>
      </w:pPr>
    </w:p>
    <w:p w14:paraId="44DA53B4" w14:textId="77777777" w:rsidR="00A1721F" w:rsidRPr="009F025B" w:rsidRDefault="00A1721F" w:rsidP="00577F77">
      <w:pPr>
        <w:tabs>
          <w:tab w:val="left" w:pos="540"/>
          <w:tab w:val="left" w:pos="569"/>
        </w:tabs>
        <w:jc w:val="both"/>
        <w:rPr>
          <w:bCs/>
          <w:sz w:val="22"/>
          <w:szCs w:val="22"/>
          <w:lang w:val="hr-HR"/>
        </w:rPr>
      </w:pPr>
      <w:r w:rsidRPr="009F025B">
        <w:rPr>
          <w:bCs/>
          <w:sz w:val="22"/>
          <w:szCs w:val="22"/>
          <w:lang w:val="hr-HR"/>
        </w:rPr>
        <w:t>3 godine.</w:t>
      </w:r>
    </w:p>
    <w:p w14:paraId="06C9FD75" w14:textId="77777777" w:rsidR="00A1721F" w:rsidRPr="009F025B" w:rsidRDefault="00A1721F" w:rsidP="00577F77">
      <w:pPr>
        <w:tabs>
          <w:tab w:val="left" w:pos="540"/>
          <w:tab w:val="left" w:pos="569"/>
        </w:tabs>
        <w:jc w:val="both"/>
        <w:rPr>
          <w:bCs/>
          <w:sz w:val="22"/>
          <w:szCs w:val="22"/>
          <w:lang w:val="hr-HR"/>
        </w:rPr>
      </w:pPr>
    </w:p>
    <w:p w14:paraId="0E0D158C" w14:textId="77777777" w:rsidR="00A1721F" w:rsidRPr="009F025B" w:rsidRDefault="00A1721F" w:rsidP="00577F77">
      <w:pPr>
        <w:tabs>
          <w:tab w:val="left" w:pos="540"/>
          <w:tab w:val="left" w:pos="569"/>
        </w:tabs>
        <w:jc w:val="both"/>
        <w:rPr>
          <w:bCs/>
          <w:sz w:val="22"/>
          <w:szCs w:val="22"/>
          <w:lang w:val="hr-HR"/>
        </w:rPr>
      </w:pPr>
      <w:r w:rsidRPr="009F025B">
        <w:rPr>
          <w:bCs/>
          <w:sz w:val="22"/>
          <w:szCs w:val="22"/>
          <w:lang w:val="hr-HR"/>
        </w:rPr>
        <w:t>Pripremljeni rastvor treba upotrijebiti odmah nakon pripreme.</w:t>
      </w:r>
    </w:p>
    <w:p w14:paraId="058FB113" w14:textId="77777777" w:rsidR="00A1721F" w:rsidRPr="009F025B" w:rsidRDefault="00A1721F" w:rsidP="00577F77">
      <w:pPr>
        <w:tabs>
          <w:tab w:val="left" w:pos="540"/>
          <w:tab w:val="left" w:pos="569"/>
        </w:tabs>
        <w:jc w:val="both"/>
        <w:rPr>
          <w:bCs/>
          <w:sz w:val="22"/>
          <w:szCs w:val="22"/>
          <w:lang w:val="hr-HR"/>
        </w:rPr>
      </w:pPr>
    </w:p>
    <w:p w14:paraId="72199531"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6.4. </w:t>
      </w:r>
      <w:r w:rsidR="00480FB1" w:rsidRPr="009F025B">
        <w:rPr>
          <w:b/>
          <w:bCs/>
          <w:sz w:val="22"/>
          <w:szCs w:val="22"/>
          <w:lang w:val="sr-Latn-RS"/>
        </w:rPr>
        <w:tab/>
      </w:r>
      <w:r w:rsidRPr="009F025B">
        <w:rPr>
          <w:b/>
          <w:bCs/>
          <w:sz w:val="22"/>
          <w:szCs w:val="22"/>
          <w:lang w:val="sr-Latn-RS"/>
        </w:rPr>
        <w:t>Posebne mjere upozorenja pri čuvanju</w:t>
      </w:r>
      <w:r w:rsidR="00F8570A" w:rsidRPr="009F025B">
        <w:rPr>
          <w:b/>
          <w:bCs/>
          <w:sz w:val="22"/>
          <w:szCs w:val="22"/>
          <w:lang w:val="sr-Latn-RS"/>
        </w:rPr>
        <w:t xml:space="preserve"> lijeka</w:t>
      </w:r>
    </w:p>
    <w:p w14:paraId="5A7D7841" w14:textId="2EDE6C52" w:rsidR="00EC2532" w:rsidRPr="009F025B" w:rsidRDefault="00EC2532" w:rsidP="00577F77">
      <w:pPr>
        <w:tabs>
          <w:tab w:val="left" w:pos="540"/>
          <w:tab w:val="left" w:pos="569"/>
        </w:tabs>
        <w:jc w:val="both"/>
        <w:rPr>
          <w:bCs/>
          <w:sz w:val="22"/>
          <w:szCs w:val="22"/>
          <w:lang w:val="sr-Latn-RS"/>
        </w:rPr>
      </w:pPr>
    </w:p>
    <w:p w14:paraId="4BCE7495" w14:textId="77777777" w:rsidR="008E138B" w:rsidRPr="009F025B" w:rsidRDefault="008E138B" w:rsidP="00577F77">
      <w:pPr>
        <w:tabs>
          <w:tab w:val="left" w:pos="540"/>
          <w:tab w:val="left" w:pos="569"/>
        </w:tabs>
        <w:jc w:val="both"/>
        <w:rPr>
          <w:bCs/>
          <w:sz w:val="22"/>
          <w:szCs w:val="22"/>
          <w:lang w:val="sr-Latn-RS"/>
        </w:rPr>
      </w:pPr>
      <w:r w:rsidRPr="009F025B">
        <w:rPr>
          <w:bCs/>
          <w:sz w:val="22"/>
          <w:szCs w:val="22"/>
          <w:lang w:val="sr-Latn-RS"/>
        </w:rPr>
        <w:t>Ovaj lijek ne zahtijeva posebne uslove čuvanja.</w:t>
      </w:r>
    </w:p>
    <w:p w14:paraId="25EE434F" w14:textId="77777777" w:rsidR="001F6BE3" w:rsidRPr="009F025B" w:rsidRDefault="001F6BE3" w:rsidP="00577F77">
      <w:pPr>
        <w:tabs>
          <w:tab w:val="left" w:pos="540"/>
          <w:tab w:val="left" w:pos="569"/>
        </w:tabs>
        <w:jc w:val="both"/>
        <w:rPr>
          <w:bCs/>
          <w:sz w:val="22"/>
          <w:szCs w:val="22"/>
          <w:lang w:val="sr-Latn-RS"/>
        </w:rPr>
      </w:pPr>
    </w:p>
    <w:p w14:paraId="1A7B2E68"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6.5. </w:t>
      </w:r>
      <w:r w:rsidR="00480FB1" w:rsidRPr="009F025B">
        <w:rPr>
          <w:b/>
          <w:bCs/>
          <w:sz w:val="22"/>
          <w:szCs w:val="22"/>
          <w:lang w:val="sr-Latn-RS"/>
        </w:rPr>
        <w:tab/>
      </w:r>
      <w:r w:rsidR="002846DB" w:rsidRPr="009F025B">
        <w:rPr>
          <w:b/>
          <w:bCs/>
          <w:sz w:val="22"/>
          <w:szCs w:val="22"/>
          <w:lang w:val="sr-Latn-RS"/>
        </w:rPr>
        <w:t xml:space="preserve">Vrsta i sadržaj </w:t>
      </w:r>
      <w:r w:rsidR="00F8570A" w:rsidRPr="009F025B">
        <w:rPr>
          <w:b/>
          <w:bCs/>
          <w:sz w:val="22"/>
          <w:szCs w:val="22"/>
          <w:lang w:val="sr-Latn-RS"/>
        </w:rPr>
        <w:t>pakovanja</w:t>
      </w:r>
      <w:r w:rsidR="00C06864" w:rsidRPr="009F025B">
        <w:rPr>
          <w:b/>
          <w:bCs/>
          <w:sz w:val="22"/>
          <w:szCs w:val="22"/>
          <w:lang w:val="sr-Latn-RS"/>
        </w:rPr>
        <w:t xml:space="preserve"> </w:t>
      </w:r>
    </w:p>
    <w:p w14:paraId="02B008A1" w14:textId="45E56763" w:rsidR="0072020E" w:rsidRPr="009F025B" w:rsidRDefault="0072020E" w:rsidP="00577F77">
      <w:pPr>
        <w:tabs>
          <w:tab w:val="left" w:pos="540"/>
          <w:tab w:val="left" w:pos="569"/>
        </w:tabs>
        <w:jc w:val="both"/>
        <w:rPr>
          <w:bCs/>
          <w:sz w:val="22"/>
          <w:szCs w:val="22"/>
          <w:lang w:val="sr-Latn-RS"/>
        </w:rPr>
      </w:pPr>
    </w:p>
    <w:p w14:paraId="728412FF" w14:textId="77777777" w:rsidR="00DE2B85" w:rsidRPr="009F025B" w:rsidRDefault="00DE2B85" w:rsidP="00577F77">
      <w:pPr>
        <w:tabs>
          <w:tab w:val="left" w:pos="540"/>
          <w:tab w:val="left" w:pos="569"/>
        </w:tabs>
        <w:jc w:val="both"/>
        <w:rPr>
          <w:bCs/>
          <w:sz w:val="22"/>
          <w:szCs w:val="22"/>
          <w:lang w:val="hr-HR"/>
        </w:rPr>
      </w:pPr>
      <w:r w:rsidRPr="009F025B">
        <w:rPr>
          <w:bCs/>
          <w:sz w:val="22"/>
          <w:szCs w:val="22"/>
          <w:lang w:val="hr-HR"/>
        </w:rPr>
        <w:t>Ketonal Akut Rapid 50 mg granule za oralni rastvor su dostupne u papir/Al/PE kesici, u kutiji</w:t>
      </w:r>
    </w:p>
    <w:p w14:paraId="4FD9B8F9" w14:textId="77777777" w:rsidR="00DE2B85" w:rsidRPr="009F025B" w:rsidRDefault="00DE2B85" w:rsidP="00577F77">
      <w:pPr>
        <w:tabs>
          <w:tab w:val="left" w:pos="540"/>
          <w:tab w:val="left" w:pos="569"/>
        </w:tabs>
        <w:jc w:val="both"/>
        <w:rPr>
          <w:bCs/>
          <w:sz w:val="22"/>
          <w:szCs w:val="22"/>
          <w:lang w:val="hr-HR"/>
        </w:rPr>
      </w:pPr>
      <w:r w:rsidRPr="009F025B">
        <w:rPr>
          <w:bCs/>
          <w:sz w:val="22"/>
          <w:szCs w:val="22"/>
          <w:lang w:val="hr-HR"/>
        </w:rPr>
        <w:t>Veličina pakovanja: 10 dvodjelnih kesica</w:t>
      </w:r>
    </w:p>
    <w:p w14:paraId="0CBC181C" w14:textId="77777777" w:rsidR="00FC4672" w:rsidRPr="009F025B" w:rsidRDefault="00FC4672" w:rsidP="00577F77">
      <w:pPr>
        <w:tabs>
          <w:tab w:val="left" w:pos="540"/>
          <w:tab w:val="left" w:pos="569"/>
        </w:tabs>
        <w:jc w:val="both"/>
        <w:rPr>
          <w:bCs/>
          <w:sz w:val="22"/>
          <w:szCs w:val="22"/>
          <w:lang w:val="sr-Latn-RS"/>
        </w:rPr>
      </w:pPr>
    </w:p>
    <w:p w14:paraId="3647A87C" w14:textId="77777777" w:rsidR="002846DB"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6.6. </w:t>
      </w:r>
      <w:r w:rsidR="00480FB1" w:rsidRPr="009F025B">
        <w:rPr>
          <w:b/>
          <w:bCs/>
          <w:sz w:val="22"/>
          <w:szCs w:val="22"/>
          <w:lang w:val="sr-Latn-RS"/>
        </w:rPr>
        <w:tab/>
      </w:r>
      <w:r w:rsidRPr="009F025B">
        <w:rPr>
          <w:b/>
          <w:bCs/>
          <w:color w:val="000000"/>
          <w:sz w:val="22"/>
          <w:szCs w:val="22"/>
          <w:lang w:val="sr-Latn-RS"/>
        </w:rPr>
        <w:t>Posebne mjere opreza pri odlaganju materijala koji treba odbaciti nakon primjene lijeka</w:t>
      </w:r>
      <w:r w:rsidRPr="009F025B">
        <w:rPr>
          <w:b/>
          <w:bCs/>
          <w:sz w:val="22"/>
          <w:szCs w:val="22"/>
          <w:lang w:val="sr-Latn-RS"/>
        </w:rPr>
        <w:t xml:space="preserve"> </w:t>
      </w:r>
      <w:r w:rsidR="00310F03" w:rsidRPr="009F025B">
        <w:rPr>
          <w:b/>
          <w:bCs/>
          <w:sz w:val="22"/>
          <w:szCs w:val="22"/>
          <w:lang w:val="sr-Latn-RS"/>
        </w:rPr>
        <w:t>(i druga uputs</w:t>
      </w:r>
      <w:r w:rsidR="004109FA" w:rsidRPr="009F025B">
        <w:rPr>
          <w:b/>
          <w:bCs/>
          <w:sz w:val="22"/>
          <w:szCs w:val="22"/>
          <w:lang w:val="sr-Latn-RS"/>
        </w:rPr>
        <w:t>t</w:t>
      </w:r>
      <w:r w:rsidR="00310F03" w:rsidRPr="009F025B">
        <w:rPr>
          <w:b/>
          <w:bCs/>
          <w:sz w:val="22"/>
          <w:szCs w:val="22"/>
          <w:lang w:val="sr-Latn-RS"/>
        </w:rPr>
        <w:t xml:space="preserve">va za rukovanje lijekom) </w:t>
      </w:r>
    </w:p>
    <w:p w14:paraId="76176607" w14:textId="77777777" w:rsidR="00B66A70" w:rsidRPr="009F025B" w:rsidRDefault="00B66A70" w:rsidP="00577F77">
      <w:pPr>
        <w:tabs>
          <w:tab w:val="left" w:pos="540"/>
          <w:tab w:val="left" w:pos="569"/>
        </w:tabs>
        <w:jc w:val="both"/>
        <w:rPr>
          <w:b/>
          <w:bCs/>
          <w:sz w:val="22"/>
          <w:szCs w:val="22"/>
          <w:lang w:val="sr-Latn-RS"/>
        </w:rPr>
      </w:pPr>
    </w:p>
    <w:p w14:paraId="3814D051" w14:textId="18F8DD23" w:rsidR="002A496E" w:rsidRPr="009F025B" w:rsidRDefault="002A496E" w:rsidP="00577F77">
      <w:pPr>
        <w:tabs>
          <w:tab w:val="left" w:pos="540"/>
          <w:tab w:val="left" w:pos="569"/>
        </w:tabs>
        <w:jc w:val="both"/>
        <w:rPr>
          <w:sz w:val="22"/>
          <w:szCs w:val="22"/>
          <w:lang w:val="hr-HR"/>
        </w:rPr>
      </w:pPr>
      <w:r w:rsidRPr="009F025B">
        <w:rPr>
          <w:sz w:val="22"/>
          <w:szCs w:val="22"/>
          <w:lang w:val="hr-HR"/>
        </w:rPr>
        <w:t xml:space="preserve">Ispraznite sadržaj </w:t>
      </w:r>
      <w:r w:rsidR="00A641CB" w:rsidRPr="009F025B">
        <w:rPr>
          <w:sz w:val="22"/>
          <w:szCs w:val="22"/>
          <w:lang w:val="hr-HR"/>
        </w:rPr>
        <w:t xml:space="preserve">kesice </w:t>
      </w:r>
      <w:r w:rsidRPr="009F025B">
        <w:rPr>
          <w:sz w:val="22"/>
          <w:szCs w:val="22"/>
          <w:lang w:val="hr-HR"/>
        </w:rPr>
        <w:t xml:space="preserve">u punu čašu vode (100 ml) i dobro promiješajte oko 30 sekundi, dok se sve granule ne </w:t>
      </w:r>
      <w:r w:rsidR="00DF1336" w:rsidRPr="009F025B">
        <w:rPr>
          <w:sz w:val="22"/>
          <w:szCs w:val="22"/>
          <w:lang w:val="hr-HR"/>
        </w:rPr>
        <w:t>rastvore.</w:t>
      </w:r>
    </w:p>
    <w:p w14:paraId="0CDD3370" w14:textId="77777777" w:rsidR="00F3729B" w:rsidRPr="009F025B" w:rsidRDefault="00F3729B" w:rsidP="00577F77">
      <w:pPr>
        <w:tabs>
          <w:tab w:val="left" w:pos="540"/>
          <w:tab w:val="left" w:pos="569"/>
        </w:tabs>
        <w:jc w:val="both"/>
        <w:rPr>
          <w:sz w:val="22"/>
          <w:szCs w:val="22"/>
          <w:lang w:val="hr-HR"/>
        </w:rPr>
      </w:pPr>
    </w:p>
    <w:p w14:paraId="4D9E903C" w14:textId="502A276C" w:rsidR="00F3729B" w:rsidRPr="009F025B" w:rsidRDefault="00F3729B" w:rsidP="00577F77">
      <w:pPr>
        <w:tabs>
          <w:tab w:val="left" w:pos="540"/>
          <w:tab w:val="left" w:pos="569"/>
        </w:tabs>
        <w:jc w:val="both"/>
        <w:rPr>
          <w:sz w:val="22"/>
          <w:szCs w:val="22"/>
          <w:lang w:val="hr-HR"/>
        </w:rPr>
      </w:pPr>
      <w:r w:rsidRPr="009F025B">
        <w:rPr>
          <w:sz w:val="22"/>
          <w:szCs w:val="22"/>
          <w:lang w:val="hr-HR"/>
        </w:rPr>
        <w:t>Neiskoriš</w:t>
      </w:r>
      <w:r w:rsidR="00BD46DE" w:rsidRPr="009F025B">
        <w:rPr>
          <w:sz w:val="22"/>
          <w:szCs w:val="22"/>
          <w:lang w:val="hr-HR"/>
        </w:rPr>
        <w:t>ć</w:t>
      </w:r>
      <w:r w:rsidRPr="009F025B">
        <w:rPr>
          <w:sz w:val="22"/>
          <w:szCs w:val="22"/>
          <w:lang w:val="hr-HR"/>
        </w:rPr>
        <w:t>eni lijek ili otpadni materijal se uklanja u sk</w:t>
      </w:r>
      <w:r w:rsidR="00BD46DE" w:rsidRPr="009F025B">
        <w:rPr>
          <w:sz w:val="22"/>
          <w:szCs w:val="22"/>
          <w:lang w:val="hr-HR"/>
        </w:rPr>
        <w:t>l</w:t>
      </w:r>
      <w:r w:rsidRPr="009F025B">
        <w:rPr>
          <w:sz w:val="22"/>
          <w:szCs w:val="22"/>
          <w:lang w:val="hr-HR"/>
        </w:rPr>
        <w:t>adu sa važećim propisima.</w:t>
      </w:r>
    </w:p>
    <w:p w14:paraId="7AB2083C" w14:textId="6FCCFB21" w:rsidR="0072020E" w:rsidRDefault="0072020E" w:rsidP="00577F77">
      <w:pPr>
        <w:tabs>
          <w:tab w:val="left" w:pos="540"/>
          <w:tab w:val="left" w:pos="569"/>
        </w:tabs>
        <w:jc w:val="both"/>
        <w:rPr>
          <w:bCs/>
          <w:sz w:val="22"/>
          <w:szCs w:val="22"/>
          <w:lang w:val="sr-Latn-RS"/>
        </w:rPr>
      </w:pPr>
    </w:p>
    <w:p w14:paraId="25CB0AA4" w14:textId="77777777" w:rsidR="0016552E" w:rsidRPr="009F025B" w:rsidRDefault="0016552E" w:rsidP="00577F77">
      <w:pPr>
        <w:tabs>
          <w:tab w:val="left" w:pos="540"/>
          <w:tab w:val="left" w:pos="569"/>
        </w:tabs>
        <w:jc w:val="both"/>
        <w:rPr>
          <w:bCs/>
          <w:sz w:val="22"/>
          <w:szCs w:val="22"/>
          <w:lang w:val="sr-Latn-RS"/>
        </w:rPr>
      </w:pPr>
    </w:p>
    <w:p w14:paraId="1AF2E301" w14:textId="77777777" w:rsidR="00F8570A"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7. </w:t>
      </w:r>
      <w:r w:rsidR="00480FB1" w:rsidRPr="009F025B">
        <w:rPr>
          <w:b/>
          <w:bCs/>
          <w:sz w:val="22"/>
          <w:szCs w:val="22"/>
          <w:lang w:val="sr-Latn-RS"/>
        </w:rPr>
        <w:tab/>
      </w:r>
      <w:r w:rsidRPr="009F025B">
        <w:rPr>
          <w:b/>
          <w:bCs/>
          <w:sz w:val="22"/>
          <w:szCs w:val="22"/>
          <w:lang w:val="sr-Latn-RS"/>
        </w:rPr>
        <w:t>NOSILAC DOZVOLE</w:t>
      </w:r>
      <w:r w:rsidR="00483928" w:rsidRPr="009F025B">
        <w:rPr>
          <w:b/>
          <w:bCs/>
          <w:sz w:val="22"/>
          <w:szCs w:val="22"/>
          <w:lang w:val="sr-Latn-RS"/>
        </w:rPr>
        <w:t xml:space="preserve"> </w:t>
      </w:r>
    </w:p>
    <w:p w14:paraId="72FB64EB" w14:textId="7C3734AB" w:rsidR="00C61BE0" w:rsidRPr="009F025B" w:rsidRDefault="00C61BE0" w:rsidP="00577F77">
      <w:pPr>
        <w:tabs>
          <w:tab w:val="left" w:pos="540"/>
          <w:tab w:val="left" w:pos="569"/>
        </w:tabs>
        <w:jc w:val="both"/>
        <w:rPr>
          <w:bCs/>
          <w:sz w:val="22"/>
          <w:szCs w:val="22"/>
          <w:lang w:val="sr-Latn-RS"/>
        </w:rPr>
      </w:pPr>
    </w:p>
    <w:p w14:paraId="6CEC8D8A" w14:textId="73608D42" w:rsidR="00C26BD0" w:rsidRPr="009F025B" w:rsidRDefault="00C26BD0" w:rsidP="00577F77">
      <w:pPr>
        <w:tabs>
          <w:tab w:val="left" w:pos="540"/>
          <w:tab w:val="left" w:pos="569"/>
        </w:tabs>
        <w:jc w:val="both"/>
        <w:rPr>
          <w:bCs/>
          <w:sz w:val="22"/>
          <w:szCs w:val="22"/>
          <w:lang w:val="sr-Latn-RS"/>
        </w:rPr>
      </w:pPr>
      <w:r w:rsidRPr="009F025B">
        <w:rPr>
          <w:bCs/>
          <w:sz w:val="22"/>
          <w:szCs w:val="22"/>
          <w:lang w:val="sr-Latn-RS"/>
        </w:rPr>
        <w:t>Glosarij d.o.o.</w:t>
      </w:r>
    </w:p>
    <w:p w14:paraId="5A181FBA" w14:textId="16B25B12" w:rsidR="00C26BD0" w:rsidRPr="009F025B" w:rsidRDefault="00C26BD0" w:rsidP="00577F77">
      <w:pPr>
        <w:tabs>
          <w:tab w:val="left" w:pos="540"/>
          <w:tab w:val="left" w:pos="569"/>
        </w:tabs>
        <w:jc w:val="both"/>
        <w:rPr>
          <w:bCs/>
          <w:sz w:val="22"/>
          <w:szCs w:val="22"/>
          <w:lang w:val="sr-Latn-RS"/>
        </w:rPr>
      </w:pPr>
      <w:r w:rsidRPr="009F025B">
        <w:rPr>
          <w:bCs/>
          <w:sz w:val="22"/>
          <w:szCs w:val="22"/>
          <w:lang w:val="sr-Latn-RS"/>
        </w:rPr>
        <w:t>Vojislavljevića 76, 81000 Podgorica, Crna Gora</w:t>
      </w:r>
    </w:p>
    <w:p w14:paraId="315B771F" w14:textId="41568A07" w:rsidR="00C37FD7" w:rsidRDefault="00C37FD7" w:rsidP="00577F77">
      <w:pPr>
        <w:tabs>
          <w:tab w:val="left" w:pos="540"/>
          <w:tab w:val="left" w:pos="569"/>
        </w:tabs>
        <w:jc w:val="both"/>
        <w:rPr>
          <w:bCs/>
          <w:sz w:val="22"/>
          <w:szCs w:val="22"/>
          <w:lang w:val="sr-Latn-RS"/>
        </w:rPr>
      </w:pPr>
    </w:p>
    <w:p w14:paraId="2FFA150C" w14:textId="77777777" w:rsidR="0055514A" w:rsidRPr="009F025B" w:rsidRDefault="0055514A" w:rsidP="00577F77">
      <w:pPr>
        <w:tabs>
          <w:tab w:val="left" w:pos="540"/>
          <w:tab w:val="left" w:pos="569"/>
        </w:tabs>
        <w:jc w:val="both"/>
        <w:rPr>
          <w:bCs/>
          <w:sz w:val="22"/>
          <w:szCs w:val="22"/>
          <w:lang w:val="sr-Latn-RS"/>
        </w:rPr>
      </w:pPr>
    </w:p>
    <w:p w14:paraId="1CF59B88"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8. </w:t>
      </w:r>
      <w:r w:rsidR="00480FB1" w:rsidRPr="009F025B">
        <w:rPr>
          <w:b/>
          <w:bCs/>
          <w:sz w:val="22"/>
          <w:szCs w:val="22"/>
          <w:lang w:val="sr-Latn-RS"/>
        </w:rPr>
        <w:tab/>
      </w:r>
      <w:r w:rsidRPr="009F025B">
        <w:rPr>
          <w:b/>
          <w:bCs/>
          <w:sz w:val="22"/>
          <w:szCs w:val="22"/>
          <w:lang w:val="sr-Latn-RS"/>
        </w:rPr>
        <w:t>BROJ DOZVOLE</w:t>
      </w:r>
      <w:r w:rsidR="008A6D43" w:rsidRPr="009F025B">
        <w:rPr>
          <w:b/>
          <w:bCs/>
          <w:sz w:val="22"/>
          <w:szCs w:val="22"/>
          <w:lang w:val="sr-Latn-RS"/>
        </w:rPr>
        <w:t xml:space="preserve"> ZA STAVLJANJE LIJEKA U PROMET</w:t>
      </w:r>
    </w:p>
    <w:p w14:paraId="155C7DE3" w14:textId="51DDDB81" w:rsidR="0072020E" w:rsidRDefault="0072020E" w:rsidP="00577F77">
      <w:pPr>
        <w:tabs>
          <w:tab w:val="left" w:pos="540"/>
          <w:tab w:val="left" w:pos="569"/>
        </w:tabs>
        <w:jc w:val="both"/>
        <w:rPr>
          <w:bCs/>
          <w:sz w:val="22"/>
          <w:szCs w:val="22"/>
          <w:lang w:val="sr-Latn-RS"/>
        </w:rPr>
      </w:pPr>
    </w:p>
    <w:p w14:paraId="473AD5D4" w14:textId="46631254" w:rsidR="0055514A" w:rsidRPr="00BB0091" w:rsidRDefault="00BB0091" w:rsidP="00577F77">
      <w:pPr>
        <w:tabs>
          <w:tab w:val="left" w:pos="540"/>
          <w:tab w:val="left" w:pos="569"/>
        </w:tabs>
        <w:jc w:val="both"/>
        <w:rPr>
          <w:sz w:val="22"/>
          <w:szCs w:val="22"/>
          <w:lang w:val="hr-HR"/>
        </w:rPr>
      </w:pPr>
      <w:r w:rsidRPr="00BB0091">
        <w:rPr>
          <w:sz w:val="22"/>
          <w:szCs w:val="22"/>
          <w:lang w:val="hr-HR"/>
        </w:rPr>
        <w:t>2030/24/470 - 6470</w:t>
      </w:r>
    </w:p>
    <w:p w14:paraId="185619E6" w14:textId="2EB45C01" w:rsidR="00F45F77" w:rsidRDefault="00F45F77" w:rsidP="00577F77">
      <w:pPr>
        <w:tabs>
          <w:tab w:val="left" w:pos="540"/>
          <w:tab w:val="left" w:pos="569"/>
        </w:tabs>
        <w:jc w:val="both"/>
        <w:rPr>
          <w:bCs/>
          <w:sz w:val="22"/>
          <w:szCs w:val="22"/>
          <w:lang w:val="sr-Latn-RS"/>
        </w:rPr>
      </w:pPr>
    </w:p>
    <w:p w14:paraId="583A6815" w14:textId="77777777" w:rsidR="0016552E" w:rsidRPr="009F025B" w:rsidRDefault="0016552E" w:rsidP="00577F77">
      <w:pPr>
        <w:tabs>
          <w:tab w:val="left" w:pos="540"/>
          <w:tab w:val="left" w:pos="569"/>
        </w:tabs>
        <w:jc w:val="both"/>
        <w:rPr>
          <w:bCs/>
          <w:sz w:val="22"/>
          <w:szCs w:val="22"/>
          <w:lang w:val="sr-Latn-RS"/>
        </w:rPr>
      </w:pPr>
    </w:p>
    <w:p w14:paraId="3A2C5B61" w14:textId="77777777" w:rsidR="0072020E" w:rsidRPr="009F025B" w:rsidRDefault="0072020E" w:rsidP="00577F77">
      <w:pPr>
        <w:tabs>
          <w:tab w:val="left" w:pos="540"/>
          <w:tab w:val="left" w:pos="569"/>
        </w:tabs>
        <w:jc w:val="both"/>
        <w:rPr>
          <w:b/>
          <w:bCs/>
          <w:sz w:val="22"/>
          <w:szCs w:val="22"/>
          <w:lang w:val="sr-Latn-RS"/>
        </w:rPr>
      </w:pPr>
      <w:r w:rsidRPr="009F025B">
        <w:rPr>
          <w:b/>
          <w:bCs/>
          <w:sz w:val="22"/>
          <w:szCs w:val="22"/>
          <w:lang w:val="sr-Latn-RS"/>
        </w:rPr>
        <w:t xml:space="preserve">9. </w:t>
      </w:r>
      <w:r w:rsidR="00480FB1" w:rsidRPr="009F025B">
        <w:rPr>
          <w:b/>
          <w:bCs/>
          <w:sz w:val="22"/>
          <w:szCs w:val="22"/>
          <w:lang w:val="sr-Latn-RS"/>
        </w:rPr>
        <w:tab/>
      </w:r>
      <w:r w:rsidRPr="009F025B">
        <w:rPr>
          <w:b/>
          <w:bCs/>
          <w:sz w:val="22"/>
          <w:szCs w:val="22"/>
          <w:lang w:val="sr-Latn-RS"/>
        </w:rPr>
        <w:t xml:space="preserve">DATUM </w:t>
      </w:r>
      <w:r w:rsidR="00C05DF8" w:rsidRPr="009F025B">
        <w:rPr>
          <w:b/>
          <w:bCs/>
          <w:sz w:val="22"/>
          <w:szCs w:val="22"/>
          <w:lang w:val="sr-Latn-RS"/>
        </w:rPr>
        <w:t xml:space="preserve">PRVE </w:t>
      </w:r>
      <w:r w:rsidR="008A6D43" w:rsidRPr="009F025B">
        <w:rPr>
          <w:b/>
          <w:bCs/>
          <w:sz w:val="22"/>
          <w:szCs w:val="22"/>
          <w:lang w:val="sr-Latn-RS"/>
        </w:rPr>
        <w:t>DOZVOLE</w:t>
      </w:r>
      <w:r w:rsidR="00C05DF8" w:rsidRPr="009F025B">
        <w:rPr>
          <w:b/>
          <w:bCs/>
          <w:sz w:val="22"/>
          <w:szCs w:val="22"/>
          <w:lang w:val="sr-Latn-RS"/>
        </w:rPr>
        <w:t>/OBNOVE DOZVOLE</w:t>
      </w:r>
      <w:r w:rsidR="008A6D43" w:rsidRPr="009F025B">
        <w:rPr>
          <w:b/>
          <w:bCs/>
          <w:sz w:val="22"/>
          <w:szCs w:val="22"/>
          <w:lang w:val="sr-Latn-RS"/>
        </w:rPr>
        <w:t xml:space="preserve"> ZA STAVLJANJE LIJEKA U PROMET</w:t>
      </w:r>
    </w:p>
    <w:p w14:paraId="52BA7560" w14:textId="77777777" w:rsidR="0072020E" w:rsidRPr="009F025B" w:rsidRDefault="0072020E" w:rsidP="00577F77">
      <w:pPr>
        <w:tabs>
          <w:tab w:val="left" w:pos="540"/>
          <w:tab w:val="left" w:pos="569"/>
        </w:tabs>
        <w:jc w:val="both"/>
        <w:rPr>
          <w:bCs/>
          <w:sz w:val="22"/>
          <w:szCs w:val="22"/>
          <w:lang w:val="sr-Latn-RS"/>
        </w:rPr>
      </w:pPr>
    </w:p>
    <w:p w14:paraId="5635B53F" w14:textId="3D7D5D6D" w:rsidR="00836B35" w:rsidRDefault="00BB0091" w:rsidP="00577F77">
      <w:pPr>
        <w:tabs>
          <w:tab w:val="left" w:pos="540"/>
          <w:tab w:val="left" w:pos="569"/>
        </w:tabs>
        <w:jc w:val="both"/>
        <w:rPr>
          <w:bCs/>
          <w:sz w:val="22"/>
          <w:szCs w:val="22"/>
          <w:lang w:val="sr-Latn-RS"/>
        </w:rPr>
      </w:pPr>
      <w:r>
        <w:rPr>
          <w:bCs/>
          <w:sz w:val="22"/>
          <w:szCs w:val="22"/>
          <w:lang w:val="sr-Latn-RS"/>
        </w:rPr>
        <w:t>01.02.2024. godine</w:t>
      </w:r>
    </w:p>
    <w:p w14:paraId="1FD9DBF8" w14:textId="0F65602B" w:rsidR="0055514A" w:rsidRDefault="0055514A" w:rsidP="00577F77">
      <w:pPr>
        <w:tabs>
          <w:tab w:val="left" w:pos="540"/>
          <w:tab w:val="left" w:pos="569"/>
        </w:tabs>
        <w:jc w:val="both"/>
        <w:rPr>
          <w:bCs/>
          <w:sz w:val="22"/>
          <w:szCs w:val="22"/>
          <w:lang w:val="sr-Latn-RS"/>
        </w:rPr>
      </w:pPr>
    </w:p>
    <w:p w14:paraId="3F26FDE7" w14:textId="77777777" w:rsidR="0016552E" w:rsidRPr="009F025B" w:rsidRDefault="0016552E" w:rsidP="00577F77">
      <w:pPr>
        <w:tabs>
          <w:tab w:val="left" w:pos="540"/>
          <w:tab w:val="left" w:pos="569"/>
        </w:tabs>
        <w:jc w:val="both"/>
        <w:rPr>
          <w:bCs/>
          <w:sz w:val="22"/>
          <w:szCs w:val="22"/>
          <w:lang w:val="sr-Latn-RS"/>
        </w:rPr>
      </w:pPr>
    </w:p>
    <w:p w14:paraId="657715C4" w14:textId="77777777" w:rsidR="003F6A59" w:rsidRPr="009F025B" w:rsidRDefault="0072020E" w:rsidP="00577F77">
      <w:pPr>
        <w:tabs>
          <w:tab w:val="left" w:pos="540"/>
          <w:tab w:val="left" w:pos="569"/>
        </w:tabs>
        <w:ind w:left="540" w:hanging="540"/>
        <w:jc w:val="both"/>
        <w:rPr>
          <w:bCs/>
          <w:sz w:val="22"/>
          <w:szCs w:val="22"/>
          <w:lang w:val="sr-Latn-RS"/>
        </w:rPr>
      </w:pPr>
      <w:r w:rsidRPr="009F025B">
        <w:rPr>
          <w:b/>
          <w:bCs/>
          <w:sz w:val="22"/>
          <w:szCs w:val="22"/>
          <w:lang w:val="sr-Latn-RS"/>
        </w:rPr>
        <w:t xml:space="preserve">10. </w:t>
      </w:r>
      <w:r w:rsidR="00480FB1" w:rsidRPr="009F025B">
        <w:rPr>
          <w:b/>
          <w:bCs/>
          <w:sz w:val="22"/>
          <w:szCs w:val="22"/>
          <w:lang w:val="sr-Latn-RS"/>
        </w:rPr>
        <w:tab/>
      </w:r>
      <w:r w:rsidR="002846DB" w:rsidRPr="009F025B">
        <w:rPr>
          <w:b/>
          <w:bCs/>
          <w:sz w:val="22"/>
          <w:szCs w:val="22"/>
          <w:lang w:val="sr-Latn-RS"/>
        </w:rPr>
        <w:t>D</w:t>
      </w:r>
      <w:r w:rsidR="00EC2532" w:rsidRPr="009F025B">
        <w:rPr>
          <w:b/>
          <w:bCs/>
          <w:sz w:val="22"/>
          <w:szCs w:val="22"/>
          <w:lang w:val="sr-Latn-RS"/>
        </w:rPr>
        <w:t xml:space="preserve">ATUM REVIZIJE TEKSTA </w:t>
      </w:r>
    </w:p>
    <w:p w14:paraId="7E968142" w14:textId="77777777" w:rsidR="008A6D43" w:rsidRPr="009F025B" w:rsidRDefault="008A6D43" w:rsidP="00577F77">
      <w:pPr>
        <w:tabs>
          <w:tab w:val="left" w:pos="540"/>
          <w:tab w:val="left" w:pos="569"/>
        </w:tabs>
        <w:jc w:val="both"/>
        <w:rPr>
          <w:bCs/>
          <w:sz w:val="22"/>
          <w:szCs w:val="22"/>
          <w:lang w:val="sr-Latn-RS"/>
        </w:rPr>
      </w:pPr>
    </w:p>
    <w:p w14:paraId="7B2DE361" w14:textId="690A69B5" w:rsidR="003F6A59" w:rsidRPr="009F025B" w:rsidRDefault="00BB0091" w:rsidP="00577F77">
      <w:pPr>
        <w:jc w:val="both"/>
        <w:rPr>
          <w:sz w:val="22"/>
          <w:szCs w:val="22"/>
          <w:lang w:val="pl-PL"/>
        </w:rPr>
      </w:pPr>
      <w:r>
        <w:rPr>
          <w:sz w:val="22"/>
          <w:szCs w:val="22"/>
          <w:lang w:val="pl-PL"/>
        </w:rPr>
        <w:t>Februar, 2024</w:t>
      </w:r>
      <w:r w:rsidR="0055514A">
        <w:rPr>
          <w:sz w:val="22"/>
          <w:szCs w:val="22"/>
          <w:lang w:val="pl-PL"/>
        </w:rPr>
        <w:t>. godine</w:t>
      </w:r>
      <w:bookmarkStart w:id="3" w:name="_GoBack"/>
      <w:bookmarkEnd w:id="3"/>
    </w:p>
    <w:sectPr w:rsidR="003F6A59" w:rsidRPr="009F025B"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CF26D" w14:textId="77777777" w:rsidR="007C2D43" w:rsidRDefault="007C2D43">
      <w:r>
        <w:separator/>
      </w:r>
    </w:p>
  </w:endnote>
  <w:endnote w:type="continuationSeparator" w:id="0">
    <w:p w14:paraId="3E0429AB" w14:textId="77777777" w:rsidR="007C2D43" w:rsidRDefault="007C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D71D" w14:textId="03A36D1C" w:rsidR="00343CF6" w:rsidRPr="00B23F69" w:rsidRDefault="00343CF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37BB1">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37BB1">
      <w:rPr>
        <w:noProof/>
        <w:sz w:val="22"/>
        <w:szCs w:val="22"/>
      </w:rPr>
      <w:t>14</w:t>
    </w:r>
    <w:r w:rsidRPr="00B23F69">
      <w:rPr>
        <w:sz w:val="22"/>
        <w:szCs w:val="22"/>
      </w:rPr>
      <w:fldChar w:fldCharType="end"/>
    </w:r>
  </w:p>
  <w:p w14:paraId="00FC4A17" w14:textId="77777777" w:rsidR="00343CF6" w:rsidRDefault="00343CF6"/>
  <w:p w14:paraId="555A5458" w14:textId="77777777" w:rsidR="00343CF6" w:rsidRDefault="00343C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39EF4" w14:textId="77777777" w:rsidR="007C2D43" w:rsidRDefault="007C2D43">
      <w:r>
        <w:separator/>
      </w:r>
    </w:p>
  </w:footnote>
  <w:footnote w:type="continuationSeparator" w:id="0">
    <w:p w14:paraId="0FFAF28F" w14:textId="77777777" w:rsidR="007C2D43" w:rsidRDefault="007C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245C9B"/>
    <w:multiLevelType w:val="hybridMultilevel"/>
    <w:tmpl w:val="2DD0D6C4"/>
    <w:lvl w:ilvl="0" w:tplc="AB3ED9FA">
      <w:numFmt w:val="bullet"/>
      <w:lvlText w:val="−"/>
      <w:lvlJc w:val="left"/>
      <w:pPr>
        <w:ind w:left="900" w:hanging="54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C415AE7"/>
    <w:multiLevelType w:val="hybridMultilevel"/>
    <w:tmpl w:val="23A82724"/>
    <w:lvl w:ilvl="0" w:tplc="AB3ED9FA">
      <w:numFmt w:val="bullet"/>
      <w:lvlText w:val="−"/>
      <w:lvlJc w:val="left"/>
      <w:pPr>
        <w:ind w:left="900" w:hanging="54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CFB05E0"/>
    <w:multiLevelType w:val="hybridMultilevel"/>
    <w:tmpl w:val="9726212E"/>
    <w:lvl w:ilvl="0" w:tplc="1FF2EC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11AE0"/>
    <w:multiLevelType w:val="hybridMultilevel"/>
    <w:tmpl w:val="7930BEE6"/>
    <w:lvl w:ilvl="0" w:tplc="F020BF60">
      <w:numFmt w:val="bullet"/>
      <w:lvlText w:val=""/>
      <w:lvlJc w:val="left"/>
      <w:pPr>
        <w:ind w:left="576" w:hanging="358"/>
      </w:pPr>
      <w:rPr>
        <w:rFonts w:ascii="Symbol" w:eastAsia="Symbol" w:hAnsi="Symbol" w:cs="Symbol" w:hint="default"/>
        <w:w w:val="100"/>
        <w:sz w:val="22"/>
        <w:szCs w:val="22"/>
        <w:lang w:val="hr-HR" w:eastAsia="en-US" w:bidi="ar-SA"/>
      </w:rPr>
    </w:lvl>
    <w:lvl w:ilvl="1" w:tplc="59C43F44">
      <w:numFmt w:val="bullet"/>
      <w:lvlText w:val=""/>
      <w:lvlJc w:val="left"/>
      <w:pPr>
        <w:ind w:left="938" w:hanging="360"/>
      </w:pPr>
      <w:rPr>
        <w:rFonts w:ascii="Symbol" w:eastAsia="Symbol" w:hAnsi="Symbol" w:cs="Symbol" w:hint="default"/>
        <w:w w:val="100"/>
        <w:sz w:val="22"/>
        <w:szCs w:val="22"/>
        <w:lang w:val="hr-HR" w:eastAsia="en-US" w:bidi="ar-SA"/>
      </w:rPr>
    </w:lvl>
    <w:lvl w:ilvl="2" w:tplc="79F6781E">
      <w:numFmt w:val="bullet"/>
      <w:lvlText w:val="•"/>
      <w:lvlJc w:val="left"/>
      <w:pPr>
        <w:ind w:left="2019" w:hanging="360"/>
      </w:pPr>
      <w:rPr>
        <w:rFonts w:hint="default"/>
        <w:lang w:val="hr-HR" w:eastAsia="en-US" w:bidi="ar-SA"/>
      </w:rPr>
    </w:lvl>
    <w:lvl w:ilvl="3" w:tplc="B1F6AE88">
      <w:numFmt w:val="bullet"/>
      <w:lvlText w:val="•"/>
      <w:lvlJc w:val="left"/>
      <w:pPr>
        <w:ind w:left="3098" w:hanging="360"/>
      </w:pPr>
      <w:rPr>
        <w:rFonts w:hint="default"/>
        <w:lang w:val="hr-HR" w:eastAsia="en-US" w:bidi="ar-SA"/>
      </w:rPr>
    </w:lvl>
    <w:lvl w:ilvl="4" w:tplc="0C5C8F96">
      <w:numFmt w:val="bullet"/>
      <w:lvlText w:val="•"/>
      <w:lvlJc w:val="left"/>
      <w:pPr>
        <w:ind w:left="4178" w:hanging="360"/>
      </w:pPr>
      <w:rPr>
        <w:rFonts w:hint="default"/>
        <w:lang w:val="hr-HR" w:eastAsia="en-US" w:bidi="ar-SA"/>
      </w:rPr>
    </w:lvl>
    <w:lvl w:ilvl="5" w:tplc="1B387DB2">
      <w:numFmt w:val="bullet"/>
      <w:lvlText w:val="•"/>
      <w:lvlJc w:val="left"/>
      <w:pPr>
        <w:ind w:left="5257" w:hanging="360"/>
      </w:pPr>
      <w:rPr>
        <w:rFonts w:hint="default"/>
        <w:lang w:val="hr-HR" w:eastAsia="en-US" w:bidi="ar-SA"/>
      </w:rPr>
    </w:lvl>
    <w:lvl w:ilvl="6" w:tplc="A920A888">
      <w:numFmt w:val="bullet"/>
      <w:lvlText w:val="•"/>
      <w:lvlJc w:val="left"/>
      <w:pPr>
        <w:ind w:left="6336" w:hanging="360"/>
      </w:pPr>
      <w:rPr>
        <w:rFonts w:hint="default"/>
        <w:lang w:val="hr-HR" w:eastAsia="en-US" w:bidi="ar-SA"/>
      </w:rPr>
    </w:lvl>
    <w:lvl w:ilvl="7" w:tplc="D828053C">
      <w:numFmt w:val="bullet"/>
      <w:lvlText w:val="•"/>
      <w:lvlJc w:val="left"/>
      <w:pPr>
        <w:ind w:left="7416" w:hanging="360"/>
      </w:pPr>
      <w:rPr>
        <w:rFonts w:hint="default"/>
        <w:lang w:val="hr-HR" w:eastAsia="en-US" w:bidi="ar-SA"/>
      </w:rPr>
    </w:lvl>
    <w:lvl w:ilvl="8" w:tplc="25B4EC40">
      <w:numFmt w:val="bullet"/>
      <w:lvlText w:val="•"/>
      <w:lvlJc w:val="left"/>
      <w:pPr>
        <w:ind w:left="8495" w:hanging="360"/>
      </w:pPr>
      <w:rPr>
        <w:rFonts w:hint="default"/>
        <w:lang w:val="hr-HR" w:eastAsia="en-US" w:bidi="ar-SA"/>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726D8A"/>
    <w:multiLevelType w:val="hybridMultilevel"/>
    <w:tmpl w:val="0B3201AE"/>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4" w15:restartNumberingAfterBreak="0">
    <w:nsid w:val="61CF05F1"/>
    <w:multiLevelType w:val="hybridMultilevel"/>
    <w:tmpl w:val="4900FB1C"/>
    <w:lvl w:ilvl="0" w:tplc="59C43F44">
      <w:numFmt w:val="bullet"/>
      <w:lvlText w:val=""/>
      <w:lvlJc w:val="left"/>
      <w:pPr>
        <w:ind w:left="720" w:hanging="360"/>
      </w:pPr>
      <w:rPr>
        <w:rFonts w:ascii="Symbol" w:eastAsia="Symbol" w:hAnsi="Symbol" w:cs="Symbol" w:hint="default"/>
        <w:w w:val="100"/>
        <w:sz w:val="22"/>
        <w:szCs w:val="22"/>
        <w:lang w:val="hr-HR" w:eastAsia="en-US" w:bidi="ar-SA"/>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682233E1"/>
    <w:multiLevelType w:val="hybridMultilevel"/>
    <w:tmpl w:val="CCA44D16"/>
    <w:lvl w:ilvl="0" w:tplc="AB3ED9FA">
      <w:numFmt w:val="bullet"/>
      <w:lvlText w:val="−"/>
      <w:lvlJc w:val="left"/>
      <w:pPr>
        <w:ind w:left="900" w:hanging="54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867714"/>
    <w:multiLevelType w:val="multilevel"/>
    <w:tmpl w:val="26B2E88A"/>
    <w:lvl w:ilvl="0">
      <w:start w:val="1"/>
      <w:numFmt w:val="decimal"/>
      <w:lvlText w:val="%1."/>
      <w:lvlJc w:val="left"/>
      <w:pPr>
        <w:ind w:left="502" w:hanging="284"/>
      </w:pPr>
      <w:rPr>
        <w:rFonts w:ascii="Times New Roman" w:eastAsia="Times New Roman" w:hAnsi="Times New Roman" w:cs="Times New Roman" w:hint="default"/>
        <w:b/>
        <w:bCs/>
        <w:w w:val="100"/>
        <w:sz w:val="22"/>
        <w:szCs w:val="22"/>
        <w:lang w:val="hr-HR" w:eastAsia="en-US" w:bidi="ar-SA"/>
      </w:rPr>
    </w:lvl>
    <w:lvl w:ilvl="1">
      <w:start w:val="1"/>
      <w:numFmt w:val="decimal"/>
      <w:lvlText w:val="%1.%2."/>
      <w:lvlJc w:val="left"/>
      <w:pPr>
        <w:ind w:left="605" w:hanging="387"/>
      </w:pPr>
      <w:rPr>
        <w:rFonts w:ascii="Times New Roman" w:eastAsia="Times New Roman" w:hAnsi="Times New Roman" w:cs="Times New Roman" w:hint="default"/>
        <w:b/>
        <w:bCs/>
        <w:w w:val="100"/>
        <w:sz w:val="22"/>
        <w:szCs w:val="22"/>
        <w:lang w:val="hr-HR" w:eastAsia="en-US" w:bidi="ar-SA"/>
      </w:rPr>
    </w:lvl>
    <w:lvl w:ilvl="2">
      <w:numFmt w:val="bullet"/>
      <w:lvlText w:val=""/>
      <w:lvlJc w:val="left"/>
      <w:pPr>
        <w:ind w:left="938" w:hanging="360"/>
      </w:pPr>
      <w:rPr>
        <w:rFonts w:ascii="Symbol" w:eastAsia="Symbol" w:hAnsi="Symbol" w:cs="Symbol" w:hint="default"/>
        <w:w w:val="100"/>
        <w:sz w:val="22"/>
        <w:szCs w:val="22"/>
        <w:lang w:val="hr-HR" w:eastAsia="en-US" w:bidi="ar-SA"/>
      </w:rPr>
    </w:lvl>
    <w:lvl w:ilvl="3">
      <w:numFmt w:val="bullet"/>
      <w:lvlText w:val="•"/>
      <w:lvlJc w:val="left"/>
      <w:pPr>
        <w:ind w:left="940" w:hanging="360"/>
      </w:pPr>
      <w:rPr>
        <w:lang w:val="hr-HR" w:eastAsia="en-US" w:bidi="ar-SA"/>
      </w:rPr>
    </w:lvl>
    <w:lvl w:ilvl="4">
      <w:numFmt w:val="bullet"/>
      <w:lvlText w:val="•"/>
      <w:lvlJc w:val="left"/>
      <w:pPr>
        <w:ind w:left="2327" w:hanging="360"/>
      </w:pPr>
      <w:rPr>
        <w:lang w:val="hr-HR" w:eastAsia="en-US" w:bidi="ar-SA"/>
      </w:rPr>
    </w:lvl>
    <w:lvl w:ilvl="5">
      <w:numFmt w:val="bullet"/>
      <w:lvlText w:val="•"/>
      <w:lvlJc w:val="left"/>
      <w:pPr>
        <w:ind w:left="3715" w:hanging="360"/>
      </w:pPr>
      <w:rPr>
        <w:lang w:val="hr-HR" w:eastAsia="en-US" w:bidi="ar-SA"/>
      </w:rPr>
    </w:lvl>
    <w:lvl w:ilvl="6">
      <w:numFmt w:val="bullet"/>
      <w:lvlText w:val="•"/>
      <w:lvlJc w:val="left"/>
      <w:pPr>
        <w:ind w:left="5103" w:hanging="360"/>
      </w:pPr>
      <w:rPr>
        <w:lang w:val="hr-HR" w:eastAsia="en-US" w:bidi="ar-SA"/>
      </w:rPr>
    </w:lvl>
    <w:lvl w:ilvl="7">
      <w:numFmt w:val="bullet"/>
      <w:lvlText w:val="•"/>
      <w:lvlJc w:val="left"/>
      <w:pPr>
        <w:ind w:left="6491" w:hanging="360"/>
      </w:pPr>
      <w:rPr>
        <w:lang w:val="hr-HR" w:eastAsia="en-US" w:bidi="ar-SA"/>
      </w:rPr>
    </w:lvl>
    <w:lvl w:ilvl="8">
      <w:numFmt w:val="bullet"/>
      <w:lvlText w:val="•"/>
      <w:lvlJc w:val="left"/>
      <w:pPr>
        <w:ind w:left="7878" w:hanging="360"/>
      </w:pPr>
      <w:rPr>
        <w:lang w:val="hr-HR" w:eastAsia="en-US" w:bidi="ar-SA"/>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12"/>
  </w:num>
  <w:num w:numId="5">
    <w:abstractNumId w:val="5"/>
  </w:num>
  <w:num w:numId="6">
    <w:abstractNumId w:val="1"/>
  </w:num>
  <w:num w:numId="7">
    <w:abstractNumId w:val="9"/>
  </w:num>
  <w:num w:numId="8">
    <w:abstractNumId w:val="4"/>
  </w:num>
  <w:num w:numId="9">
    <w:abstractNumId w:val="7"/>
  </w:num>
  <w:num w:numId="10">
    <w:abstractNumId w:val="18"/>
  </w:num>
  <w:num w:numId="11">
    <w:abstractNumId w:val="6"/>
  </w:num>
  <w:num w:numId="12">
    <w:abstractNumId w:val="11"/>
  </w:num>
  <w:num w:numId="13">
    <w:abstractNumId w:val="14"/>
  </w:num>
  <w:num w:numId="14">
    <w:abstractNumId w:val="15"/>
  </w:num>
  <w:num w:numId="15">
    <w:abstractNumId w:val="8"/>
  </w:num>
  <w:num w:numId="16">
    <w:abstractNumId w:val="2"/>
  </w:num>
  <w:num w:numId="1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6ED"/>
    <w:rsid w:val="000111EB"/>
    <w:rsid w:val="00012561"/>
    <w:rsid w:val="000176CA"/>
    <w:rsid w:val="00036FA0"/>
    <w:rsid w:val="0003793F"/>
    <w:rsid w:val="00057E35"/>
    <w:rsid w:val="00076726"/>
    <w:rsid w:val="00080303"/>
    <w:rsid w:val="00097F16"/>
    <w:rsid w:val="000A3F58"/>
    <w:rsid w:val="000D2343"/>
    <w:rsid w:val="000D2D6F"/>
    <w:rsid w:val="000D3449"/>
    <w:rsid w:val="000D425A"/>
    <w:rsid w:val="000D60CC"/>
    <w:rsid w:val="000D772F"/>
    <w:rsid w:val="000E2084"/>
    <w:rsid w:val="000E6F55"/>
    <w:rsid w:val="000F77FA"/>
    <w:rsid w:val="00107BF7"/>
    <w:rsid w:val="001218C5"/>
    <w:rsid w:val="00126F53"/>
    <w:rsid w:val="00134C93"/>
    <w:rsid w:val="00146688"/>
    <w:rsid w:val="0014766D"/>
    <w:rsid w:val="001536CC"/>
    <w:rsid w:val="00153D62"/>
    <w:rsid w:val="0016552E"/>
    <w:rsid w:val="00166632"/>
    <w:rsid w:val="001A0A98"/>
    <w:rsid w:val="001A3FBA"/>
    <w:rsid w:val="001A5518"/>
    <w:rsid w:val="001B064F"/>
    <w:rsid w:val="001B1C6A"/>
    <w:rsid w:val="001C1263"/>
    <w:rsid w:val="001C1417"/>
    <w:rsid w:val="001C7BEA"/>
    <w:rsid w:val="001D52A5"/>
    <w:rsid w:val="001E390B"/>
    <w:rsid w:val="001F186A"/>
    <w:rsid w:val="001F42FB"/>
    <w:rsid w:val="001F6BE3"/>
    <w:rsid w:val="001F719A"/>
    <w:rsid w:val="002031B3"/>
    <w:rsid w:val="00215931"/>
    <w:rsid w:val="00224C91"/>
    <w:rsid w:val="00224E1F"/>
    <w:rsid w:val="00227466"/>
    <w:rsid w:val="00227BDB"/>
    <w:rsid w:val="00232AA2"/>
    <w:rsid w:val="00234CB1"/>
    <w:rsid w:val="002352F8"/>
    <w:rsid w:val="002510A5"/>
    <w:rsid w:val="00254A0A"/>
    <w:rsid w:val="00266046"/>
    <w:rsid w:val="00274D17"/>
    <w:rsid w:val="002846DB"/>
    <w:rsid w:val="00284CCD"/>
    <w:rsid w:val="00297EBC"/>
    <w:rsid w:val="002A496E"/>
    <w:rsid w:val="002C3D7C"/>
    <w:rsid w:val="002C6637"/>
    <w:rsid w:val="002E0135"/>
    <w:rsid w:val="002E37A5"/>
    <w:rsid w:val="002F1A9A"/>
    <w:rsid w:val="002F7955"/>
    <w:rsid w:val="0031015F"/>
    <w:rsid w:val="00310F03"/>
    <w:rsid w:val="003247D2"/>
    <w:rsid w:val="00343CF6"/>
    <w:rsid w:val="003445C1"/>
    <w:rsid w:val="00355B61"/>
    <w:rsid w:val="00355F5E"/>
    <w:rsid w:val="003567F9"/>
    <w:rsid w:val="00357720"/>
    <w:rsid w:val="00362686"/>
    <w:rsid w:val="00371510"/>
    <w:rsid w:val="003755E3"/>
    <w:rsid w:val="00396DFD"/>
    <w:rsid w:val="003A7059"/>
    <w:rsid w:val="003B7A36"/>
    <w:rsid w:val="003C17AB"/>
    <w:rsid w:val="003C43C2"/>
    <w:rsid w:val="003C7823"/>
    <w:rsid w:val="003D3322"/>
    <w:rsid w:val="003E1DCC"/>
    <w:rsid w:val="003E5792"/>
    <w:rsid w:val="003F11A1"/>
    <w:rsid w:val="003F2DFE"/>
    <w:rsid w:val="003F6A59"/>
    <w:rsid w:val="004065C8"/>
    <w:rsid w:val="004109FA"/>
    <w:rsid w:val="00411B4B"/>
    <w:rsid w:val="004152E1"/>
    <w:rsid w:val="004153C5"/>
    <w:rsid w:val="00415BEE"/>
    <w:rsid w:val="00417B4D"/>
    <w:rsid w:val="0042439D"/>
    <w:rsid w:val="00427F85"/>
    <w:rsid w:val="00430469"/>
    <w:rsid w:val="00436F42"/>
    <w:rsid w:val="004378B4"/>
    <w:rsid w:val="00451314"/>
    <w:rsid w:val="00452E9D"/>
    <w:rsid w:val="004534C7"/>
    <w:rsid w:val="00455E1B"/>
    <w:rsid w:val="00464B11"/>
    <w:rsid w:val="004650BF"/>
    <w:rsid w:val="004671AA"/>
    <w:rsid w:val="00480FB1"/>
    <w:rsid w:val="00483928"/>
    <w:rsid w:val="004B4FB4"/>
    <w:rsid w:val="004C01C0"/>
    <w:rsid w:val="004C331F"/>
    <w:rsid w:val="004D03C8"/>
    <w:rsid w:val="004D49CE"/>
    <w:rsid w:val="004D6103"/>
    <w:rsid w:val="004E3BCE"/>
    <w:rsid w:val="004E70AD"/>
    <w:rsid w:val="004F0E97"/>
    <w:rsid w:val="00501DD1"/>
    <w:rsid w:val="00515C21"/>
    <w:rsid w:val="00516189"/>
    <w:rsid w:val="00530BD7"/>
    <w:rsid w:val="005436C9"/>
    <w:rsid w:val="00545CD2"/>
    <w:rsid w:val="005476F3"/>
    <w:rsid w:val="0055514A"/>
    <w:rsid w:val="00556119"/>
    <w:rsid w:val="00565C98"/>
    <w:rsid w:val="00572527"/>
    <w:rsid w:val="00573E40"/>
    <w:rsid w:val="00576348"/>
    <w:rsid w:val="00577F77"/>
    <w:rsid w:val="005A0B2E"/>
    <w:rsid w:val="005A23D2"/>
    <w:rsid w:val="005A36CB"/>
    <w:rsid w:val="005B49B8"/>
    <w:rsid w:val="005C0741"/>
    <w:rsid w:val="005C5EF4"/>
    <w:rsid w:val="005C62B1"/>
    <w:rsid w:val="005D4671"/>
    <w:rsid w:val="005D5F86"/>
    <w:rsid w:val="005E2E0B"/>
    <w:rsid w:val="005E7A7D"/>
    <w:rsid w:val="00602457"/>
    <w:rsid w:val="00621F83"/>
    <w:rsid w:val="00622255"/>
    <w:rsid w:val="00625A48"/>
    <w:rsid w:val="00643A9B"/>
    <w:rsid w:val="00644FC3"/>
    <w:rsid w:val="00646BD1"/>
    <w:rsid w:val="006550F5"/>
    <w:rsid w:val="006561C2"/>
    <w:rsid w:val="006565D2"/>
    <w:rsid w:val="00665E82"/>
    <w:rsid w:val="00671CB3"/>
    <w:rsid w:val="00674BAF"/>
    <w:rsid w:val="006750AF"/>
    <w:rsid w:val="00682200"/>
    <w:rsid w:val="00692BF6"/>
    <w:rsid w:val="00694A81"/>
    <w:rsid w:val="006A1497"/>
    <w:rsid w:val="006B0BD1"/>
    <w:rsid w:val="006B5404"/>
    <w:rsid w:val="006D20A5"/>
    <w:rsid w:val="006D37BF"/>
    <w:rsid w:val="006E0F20"/>
    <w:rsid w:val="006E7369"/>
    <w:rsid w:val="006F3C1E"/>
    <w:rsid w:val="006F5E1C"/>
    <w:rsid w:val="007003E6"/>
    <w:rsid w:val="00702E22"/>
    <w:rsid w:val="00712BC5"/>
    <w:rsid w:val="0072020E"/>
    <w:rsid w:val="0072389A"/>
    <w:rsid w:val="00726778"/>
    <w:rsid w:val="0074644A"/>
    <w:rsid w:val="007726AA"/>
    <w:rsid w:val="0077666F"/>
    <w:rsid w:val="00786071"/>
    <w:rsid w:val="007A3ECB"/>
    <w:rsid w:val="007B31FC"/>
    <w:rsid w:val="007C2D43"/>
    <w:rsid w:val="007D387C"/>
    <w:rsid w:val="007D7BB3"/>
    <w:rsid w:val="007E0473"/>
    <w:rsid w:val="007F6F89"/>
    <w:rsid w:val="00801651"/>
    <w:rsid w:val="0082104A"/>
    <w:rsid w:val="00824AB9"/>
    <w:rsid w:val="00836B35"/>
    <w:rsid w:val="00843BDE"/>
    <w:rsid w:val="0084602C"/>
    <w:rsid w:val="00850D4A"/>
    <w:rsid w:val="00872981"/>
    <w:rsid w:val="0087588C"/>
    <w:rsid w:val="00883D8D"/>
    <w:rsid w:val="0089705C"/>
    <w:rsid w:val="008A6D43"/>
    <w:rsid w:val="008B491E"/>
    <w:rsid w:val="008C1A28"/>
    <w:rsid w:val="008C2E98"/>
    <w:rsid w:val="008E138B"/>
    <w:rsid w:val="008E49BD"/>
    <w:rsid w:val="008E53E9"/>
    <w:rsid w:val="008E5771"/>
    <w:rsid w:val="008F4ACF"/>
    <w:rsid w:val="00921CBE"/>
    <w:rsid w:val="00924166"/>
    <w:rsid w:val="00932274"/>
    <w:rsid w:val="009378A3"/>
    <w:rsid w:val="00940B9B"/>
    <w:rsid w:val="00942FAE"/>
    <w:rsid w:val="00943DBB"/>
    <w:rsid w:val="00952CE5"/>
    <w:rsid w:val="0095676E"/>
    <w:rsid w:val="00956983"/>
    <w:rsid w:val="00963CF0"/>
    <w:rsid w:val="00964BB1"/>
    <w:rsid w:val="00975DE9"/>
    <w:rsid w:val="009775D9"/>
    <w:rsid w:val="0098092C"/>
    <w:rsid w:val="00997175"/>
    <w:rsid w:val="009A1847"/>
    <w:rsid w:val="009B062A"/>
    <w:rsid w:val="009E7C6F"/>
    <w:rsid w:val="009F025B"/>
    <w:rsid w:val="009F1793"/>
    <w:rsid w:val="009F2D23"/>
    <w:rsid w:val="009F39A0"/>
    <w:rsid w:val="009F4AF4"/>
    <w:rsid w:val="009F5CB1"/>
    <w:rsid w:val="00A01D69"/>
    <w:rsid w:val="00A02335"/>
    <w:rsid w:val="00A14792"/>
    <w:rsid w:val="00A1721F"/>
    <w:rsid w:val="00A46C9A"/>
    <w:rsid w:val="00A56DC2"/>
    <w:rsid w:val="00A619F3"/>
    <w:rsid w:val="00A62A73"/>
    <w:rsid w:val="00A641CB"/>
    <w:rsid w:val="00A77838"/>
    <w:rsid w:val="00A87FF6"/>
    <w:rsid w:val="00AA0A3B"/>
    <w:rsid w:val="00AA1463"/>
    <w:rsid w:val="00AA2763"/>
    <w:rsid w:val="00AA33B6"/>
    <w:rsid w:val="00AB50CA"/>
    <w:rsid w:val="00AB6D64"/>
    <w:rsid w:val="00AC26B6"/>
    <w:rsid w:val="00AC53CE"/>
    <w:rsid w:val="00AD2193"/>
    <w:rsid w:val="00AF2AC7"/>
    <w:rsid w:val="00AF52D3"/>
    <w:rsid w:val="00AF74CE"/>
    <w:rsid w:val="00B06E88"/>
    <w:rsid w:val="00B16C3C"/>
    <w:rsid w:val="00B20614"/>
    <w:rsid w:val="00B2074D"/>
    <w:rsid w:val="00B208DB"/>
    <w:rsid w:val="00B23F69"/>
    <w:rsid w:val="00B374FD"/>
    <w:rsid w:val="00B60619"/>
    <w:rsid w:val="00B66A70"/>
    <w:rsid w:val="00B67366"/>
    <w:rsid w:val="00B80EE1"/>
    <w:rsid w:val="00B84135"/>
    <w:rsid w:val="00BA7500"/>
    <w:rsid w:val="00BB0091"/>
    <w:rsid w:val="00BD46DE"/>
    <w:rsid w:val="00C04D34"/>
    <w:rsid w:val="00C05DF8"/>
    <w:rsid w:val="00C066B0"/>
    <w:rsid w:val="00C06864"/>
    <w:rsid w:val="00C10F54"/>
    <w:rsid w:val="00C12F35"/>
    <w:rsid w:val="00C23D8D"/>
    <w:rsid w:val="00C26BD0"/>
    <w:rsid w:val="00C37AA3"/>
    <w:rsid w:val="00C37FD7"/>
    <w:rsid w:val="00C43419"/>
    <w:rsid w:val="00C44CF3"/>
    <w:rsid w:val="00C61BE0"/>
    <w:rsid w:val="00C6707E"/>
    <w:rsid w:val="00C700D9"/>
    <w:rsid w:val="00C70B0E"/>
    <w:rsid w:val="00C7647C"/>
    <w:rsid w:val="00C773CA"/>
    <w:rsid w:val="00C83785"/>
    <w:rsid w:val="00C94C0D"/>
    <w:rsid w:val="00CA09A1"/>
    <w:rsid w:val="00CA1FEB"/>
    <w:rsid w:val="00CA6D53"/>
    <w:rsid w:val="00CC4D24"/>
    <w:rsid w:val="00CD4F85"/>
    <w:rsid w:val="00CD6F02"/>
    <w:rsid w:val="00CE246D"/>
    <w:rsid w:val="00CF07A0"/>
    <w:rsid w:val="00CF2258"/>
    <w:rsid w:val="00CF3E03"/>
    <w:rsid w:val="00CF5E2A"/>
    <w:rsid w:val="00D0082A"/>
    <w:rsid w:val="00D21455"/>
    <w:rsid w:val="00D21CE5"/>
    <w:rsid w:val="00D25BDF"/>
    <w:rsid w:val="00D4355E"/>
    <w:rsid w:val="00D47634"/>
    <w:rsid w:val="00D709B3"/>
    <w:rsid w:val="00D86222"/>
    <w:rsid w:val="00D90464"/>
    <w:rsid w:val="00DA0F68"/>
    <w:rsid w:val="00DA2ED6"/>
    <w:rsid w:val="00DB76B8"/>
    <w:rsid w:val="00DC2EA1"/>
    <w:rsid w:val="00DD6AAF"/>
    <w:rsid w:val="00DD7163"/>
    <w:rsid w:val="00DE2B85"/>
    <w:rsid w:val="00DE3F5C"/>
    <w:rsid w:val="00DF1336"/>
    <w:rsid w:val="00DF1D20"/>
    <w:rsid w:val="00DF5CB5"/>
    <w:rsid w:val="00E174E3"/>
    <w:rsid w:val="00E17913"/>
    <w:rsid w:val="00E21324"/>
    <w:rsid w:val="00E246B9"/>
    <w:rsid w:val="00E277A3"/>
    <w:rsid w:val="00E31FEA"/>
    <w:rsid w:val="00E45169"/>
    <w:rsid w:val="00E47787"/>
    <w:rsid w:val="00E51C30"/>
    <w:rsid w:val="00E64180"/>
    <w:rsid w:val="00E74AEE"/>
    <w:rsid w:val="00E868E5"/>
    <w:rsid w:val="00E9237A"/>
    <w:rsid w:val="00E939FA"/>
    <w:rsid w:val="00EA5765"/>
    <w:rsid w:val="00EC2532"/>
    <w:rsid w:val="00EC7B1F"/>
    <w:rsid w:val="00ED7812"/>
    <w:rsid w:val="00EF3B86"/>
    <w:rsid w:val="00EF7D28"/>
    <w:rsid w:val="00F0447D"/>
    <w:rsid w:val="00F317E9"/>
    <w:rsid w:val="00F34502"/>
    <w:rsid w:val="00F34554"/>
    <w:rsid w:val="00F36D8B"/>
    <w:rsid w:val="00F3729B"/>
    <w:rsid w:val="00F37BB1"/>
    <w:rsid w:val="00F42384"/>
    <w:rsid w:val="00F430F5"/>
    <w:rsid w:val="00F45F77"/>
    <w:rsid w:val="00F5167F"/>
    <w:rsid w:val="00F52258"/>
    <w:rsid w:val="00F5766D"/>
    <w:rsid w:val="00F70E3F"/>
    <w:rsid w:val="00F80CD5"/>
    <w:rsid w:val="00F83B4F"/>
    <w:rsid w:val="00F8570A"/>
    <w:rsid w:val="00F91AAB"/>
    <w:rsid w:val="00F91C7B"/>
    <w:rsid w:val="00F96CCF"/>
    <w:rsid w:val="00F9752E"/>
    <w:rsid w:val="00FA2D60"/>
    <w:rsid w:val="00FC467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40B4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B16C3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C7647C"/>
    <w:pPr>
      <w:ind w:left="720"/>
      <w:contextualSpacing/>
    </w:pPr>
  </w:style>
  <w:style w:type="character" w:customStyle="1" w:styleId="Heading3Char">
    <w:name w:val="Heading 3 Char"/>
    <w:basedOn w:val="DefaultParagraphFont"/>
    <w:link w:val="Heading3"/>
    <w:semiHidden/>
    <w:rsid w:val="00B16C3C"/>
    <w:rPr>
      <w:rFonts w:asciiTheme="majorHAnsi" w:eastAsiaTheme="majorEastAsia" w:hAnsiTheme="majorHAnsi" w:cstheme="majorBidi"/>
      <w:color w:val="1F4D78" w:themeColor="accent1" w:themeShade="7F"/>
      <w:sz w:val="24"/>
      <w:szCs w:val="24"/>
      <w:lang w:val="en-US" w:eastAsia="en-US"/>
    </w:rPr>
  </w:style>
  <w:style w:type="paragraph" w:styleId="Revision">
    <w:name w:val="Revision"/>
    <w:hidden/>
    <w:uiPriority w:val="99"/>
    <w:semiHidden/>
    <w:rsid w:val="00DA0F68"/>
    <w:rPr>
      <w:sz w:val="24"/>
      <w:szCs w:val="24"/>
      <w:lang w:val="en-US" w:eastAsia="en-US"/>
    </w:rPr>
  </w:style>
  <w:style w:type="table" w:styleId="TableGrid">
    <w:name w:val="Table Grid"/>
    <w:basedOn w:val="TableNormal"/>
    <w:uiPriority w:val="39"/>
    <w:rsid w:val="0093227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3079">
      <w:bodyDiv w:val="1"/>
      <w:marLeft w:val="0"/>
      <w:marRight w:val="0"/>
      <w:marTop w:val="0"/>
      <w:marBottom w:val="0"/>
      <w:divBdr>
        <w:top w:val="none" w:sz="0" w:space="0" w:color="auto"/>
        <w:left w:val="none" w:sz="0" w:space="0" w:color="auto"/>
        <w:bottom w:val="none" w:sz="0" w:space="0" w:color="auto"/>
        <w:right w:val="none" w:sz="0" w:space="0" w:color="auto"/>
      </w:divBdr>
    </w:div>
    <w:div w:id="111215298">
      <w:bodyDiv w:val="1"/>
      <w:marLeft w:val="0"/>
      <w:marRight w:val="0"/>
      <w:marTop w:val="0"/>
      <w:marBottom w:val="0"/>
      <w:divBdr>
        <w:top w:val="none" w:sz="0" w:space="0" w:color="auto"/>
        <w:left w:val="none" w:sz="0" w:space="0" w:color="auto"/>
        <w:bottom w:val="none" w:sz="0" w:space="0" w:color="auto"/>
        <w:right w:val="none" w:sz="0" w:space="0" w:color="auto"/>
      </w:divBdr>
    </w:div>
    <w:div w:id="701396088">
      <w:bodyDiv w:val="1"/>
      <w:marLeft w:val="0"/>
      <w:marRight w:val="0"/>
      <w:marTop w:val="0"/>
      <w:marBottom w:val="0"/>
      <w:divBdr>
        <w:top w:val="none" w:sz="0" w:space="0" w:color="auto"/>
        <w:left w:val="none" w:sz="0" w:space="0" w:color="auto"/>
        <w:bottom w:val="none" w:sz="0" w:space="0" w:color="auto"/>
        <w:right w:val="none" w:sz="0" w:space="0" w:color="auto"/>
      </w:divBdr>
    </w:div>
    <w:div w:id="1357924780">
      <w:bodyDiv w:val="1"/>
      <w:marLeft w:val="0"/>
      <w:marRight w:val="0"/>
      <w:marTop w:val="0"/>
      <w:marBottom w:val="0"/>
      <w:divBdr>
        <w:top w:val="none" w:sz="0" w:space="0" w:color="auto"/>
        <w:left w:val="none" w:sz="0" w:space="0" w:color="auto"/>
        <w:bottom w:val="none" w:sz="0" w:space="0" w:color="auto"/>
        <w:right w:val="none" w:sz="0" w:space="0" w:color="auto"/>
      </w:divBdr>
    </w:div>
    <w:div w:id="1707290144">
      <w:bodyDiv w:val="1"/>
      <w:marLeft w:val="0"/>
      <w:marRight w:val="0"/>
      <w:marTop w:val="0"/>
      <w:marBottom w:val="0"/>
      <w:divBdr>
        <w:top w:val="none" w:sz="0" w:space="0" w:color="auto"/>
        <w:left w:val="none" w:sz="0" w:space="0" w:color="auto"/>
        <w:bottom w:val="none" w:sz="0" w:space="0" w:color="auto"/>
        <w:right w:val="none" w:sz="0" w:space="0" w:color="auto"/>
      </w:divBdr>
    </w:div>
    <w:div w:id="17828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soli%2B2-(3-benzofenil)%2Bpropionske%2Bkiseline&amp;tbm=isch&amp;tbo=u&amp;source=univ&amp;sa=X&amp;ved=2ahUKEwjRku7B_tHdAhXrtYsKHYMVD3kQsAR6BAgFE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0844-0C19-4F99-AE88-623CAB0A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30491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Anđela Drašković</cp:lastModifiedBy>
  <cp:revision>11</cp:revision>
  <dcterms:created xsi:type="dcterms:W3CDTF">2024-02-02T11:24:00Z</dcterms:created>
  <dcterms:modified xsi:type="dcterms:W3CDTF">2024-02-02T12:07:00Z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