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6F1A" w14:textId="77777777" w:rsidR="00C367F8" w:rsidRPr="00E21C4B" w:rsidRDefault="00C367F8" w:rsidP="00C367F8">
      <w:pPr>
        <w:rPr>
          <w:b/>
          <w:bCs/>
          <w:i/>
          <w:iCs/>
          <w:szCs w:val="22"/>
          <w:u w:val="single"/>
        </w:rPr>
      </w:pPr>
    </w:p>
    <w:p w14:paraId="5EB3271D" w14:textId="77777777" w:rsidR="00C367F8" w:rsidRPr="00E21C4B" w:rsidRDefault="00C367F8" w:rsidP="00C367F8">
      <w:pPr>
        <w:rPr>
          <w:b/>
          <w:bCs/>
          <w:i/>
          <w:iCs/>
          <w:szCs w:val="22"/>
          <w:u w:val="single"/>
        </w:rPr>
      </w:pPr>
    </w:p>
    <w:p w14:paraId="19F0683E" w14:textId="77777777" w:rsidR="00C367F8" w:rsidRPr="00E21C4B" w:rsidRDefault="00C367F8" w:rsidP="00C367F8">
      <w:pPr>
        <w:jc w:val="center"/>
        <w:rPr>
          <w:b/>
          <w:bCs/>
          <w:iCs/>
          <w:szCs w:val="22"/>
          <w:u w:val="single"/>
        </w:rPr>
      </w:pPr>
      <w:r w:rsidRPr="00E21C4B">
        <w:rPr>
          <w:b/>
          <w:bCs/>
          <w:iCs/>
          <w:szCs w:val="22"/>
          <w:u w:val="single"/>
        </w:rPr>
        <w:t>SAŽETAK KARAKTERISTIKA LIJEKA</w:t>
      </w:r>
    </w:p>
    <w:p w14:paraId="36DBCACC" w14:textId="77777777" w:rsidR="00C367F8" w:rsidRPr="00E21C4B" w:rsidRDefault="00C367F8" w:rsidP="00C367F8">
      <w:pPr>
        <w:rPr>
          <w:b/>
          <w:bCs/>
          <w:i/>
          <w:iCs/>
          <w:szCs w:val="22"/>
          <w:u w:val="single"/>
        </w:rPr>
      </w:pPr>
    </w:p>
    <w:p w14:paraId="28FFB766" w14:textId="77777777" w:rsidR="00C367F8" w:rsidRPr="00E21C4B" w:rsidRDefault="00C367F8" w:rsidP="00C367F8">
      <w:pPr>
        <w:rPr>
          <w:szCs w:val="22"/>
          <w:lang w:val="sr-Latn-CS"/>
        </w:rPr>
      </w:pPr>
    </w:p>
    <w:p w14:paraId="752B7BE0" w14:textId="77777777" w:rsidR="00C367F8" w:rsidRPr="00E21C4B" w:rsidRDefault="00C367F8" w:rsidP="00C367F8">
      <w:pPr>
        <w:tabs>
          <w:tab w:val="clear" w:pos="567"/>
          <w:tab w:val="left" w:pos="540"/>
          <w:tab w:val="left" w:pos="569"/>
        </w:tabs>
        <w:rPr>
          <w:bCs/>
          <w:szCs w:val="22"/>
        </w:rPr>
      </w:pPr>
    </w:p>
    <w:p w14:paraId="203C2694" w14:textId="77777777" w:rsidR="00C367F8" w:rsidRPr="00E21C4B" w:rsidRDefault="00C367F8" w:rsidP="00C367F8">
      <w:pPr>
        <w:tabs>
          <w:tab w:val="clear" w:pos="567"/>
          <w:tab w:val="left" w:pos="540"/>
          <w:tab w:val="left" w:pos="569"/>
        </w:tabs>
        <w:rPr>
          <w:b/>
          <w:bCs/>
          <w:szCs w:val="22"/>
        </w:rPr>
      </w:pPr>
      <w:r w:rsidRPr="00E21C4B">
        <w:rPr>
          <w:b/>
          <w:bCs/>
          <w:szCs w:val="22"/>
        </w:rPr>
        <w:t>1.</w:t>
      </w:r>
      <w:r w:rsidRPr="00E21C4B">
        <w:rPr>
          <w:b/>
          <w:bCs/>
          <w:szCs w:val="22"/>
        </w:rPr>
        <w:tab/>
        <w:t>NAZIV LIJEKA</w:t>
      </w:r>
    </w:p>
    <w:p w14:paraId="3EA0CC50" w14:textId="77777777" w:rsidR="00C367F8" w:rsidRPr="00E21C4B" w:rsidRDefault="00C367F8" w:rsidP="00C367F8">
      <w:pPr>
        <w:rPr>
          <w:szCs w:val="22"/>
          <w:lang w:val="pl-PL"/>
        </w:rPr>
      </w:pPr>
    </w:p>
    <w:p w14:paraId="39CAFD04" w14:textId="77777777" w:rsidR="00C367F8" w:rsidRPr="00E21C4B" w:rsidRDefault="00C367F8" w:rsidP="00EC6E46">
      <w:pPr>
        <w:widowControl w:val="0"/>
        <w:jc w:val="both"/>
        <w:rPr>
          <w:noProof/>
          <w:szCs w:val="22"/>
        </w:rPr>
      </w:pPr>
      <w:r w:rsidRPr="00E21C4B">
        <w:rPr>
          <w:noProof/>
          <w:szCs w:val="22"/>
        </w:rPr>
        <w:t>Co-Roswera</w:t>
      </w:r>
      <w:r w:rsidR="00DF0641">
        <w:rPr>
          <w:noProof/>
          <w:szCs w:val="22"/>
        </w:rPr>
        <w:t>,</w:t>
      </w:r>
      <w:r w:rsidRPr="00E21C4B">
        <w:rPr>
          <w:noProof/>
          <w:szCs w:val="22"/>
        </w:rPr>
        <w:t xml:space="preserve"> 10 mg</w:t>
      </w:r>
      <w:r>
        <w:rPr>
          <w:noProof/>
          <w:szCs w:val="22"/>
        </w:rPr>
        <w:t xml:space="preserve"> + </w:t>
      </w:r>
      <w:r w:rsidR="00287A79">
        <w:rPr>
          <w:noProof/>
          <w:szCs w:val="22"/>
        </w:rPr>
        <w:t>10 mg</w:t>
      </w:r>
      <w:r w:rsidR="00DF0641">
        <w:rPr>
          <w:noProof/>
          <w:szCs w:val="22"/>
        </w:rPr>
        <w:t>,</w:t>
      </w:r>
      <w:r w:rsidR="00287A79">
        <w:rPr>
          <w:noProof/>
          <w:szCs w:val="22"/>
        </w:rPr>
        <w:t xml:space="preserve"> film tableta</w:t>
      </w:r>
    </w:p>
    <w:p w14:paraId="3B596822" w14:textId="77777777" w:rsidR="00C367F8" w:rsidRPr="00E21C4B" w:rsidRDefault="00C367F8" w:rsidP="00EC6E46">
      <w:pPr>
        <w:widowControl w:val="0"/>
        <w:jc w:val="both"/>
        <w:rPr>
          <w:noProof/>
          <w:szCs w:val="22"/>
        </w:rPr>
      </w:pPr>
      <w:r w:rsidRPr="00E21C4B">
        <w:rPr>
          <w:noProof/>
          <w:szCs w:val="22"/>
        </w:rPr>
        <w:t>Co-Roswera</w:t>
      </w:r>
      <w:r w:rsidR="00DF0641">
        <w:rPr>
          <w:noProof/>
          <w:szCs w:val="22"/>
        </w:rPr>
        <w:t>,</w:t>
      </w:r>
      <w:r w:rsidRPr="00E21C4B">
        <w:rPr>
          <w:noProof/>
          <w:szCs w:val="22"/>
        </w:rPr>
        <w:t xml:space="preserve"> 20 mg</w:t>
      </w:r>
      <w:r>
        <w:rPr>
          <w:noProof/>
          <w:szCs w:val="22"/>
        </w:rPr>
        <w:t xml:space="preserve"> + </w:t>
      </w:r>
      <w:r w:rsidR="00287A79">
        <w:rPr>
          <w:noProof/>
          <w:szCs w:val="22"/>
        </w:rPr>
        <w:t>10 mg</w:t>
      </w:r>
      <w:r w:rsidR="00DF0641">
        <w:rPr>
          <w:noProof/>
          <w:szCs w:val="22"/>
        </w:rPr>
        <w:t xml:space="preserve">, </w:t>
      </w:r>
      <w:r w:rsidR="00287A79">
        <w:rPr>
          <w:noProof/>
          <w:szCs w:val="22"/>
        </w:rPr>
        <w:t>film tableta</w:t>
      </w:r>
    </w:p>
    <w:p w14:paraId="6FFCA67B" w14:textId="77777777" w:rsidR="00C367F8" w:rsidRPr="00E21C4B" w:rsidRDefault="00C367F8" w:rsidP="00EC6E46">
      <w:pPr>
        <w:widowControl w:val="0"/>
        <w:jc w:val="both"/>
        <w:rPr>
          <w:noProof/>
          <w:szCs w:val="22"/>
        </w:rPr>
      </w:pPr>
      <w:r w:rsidRPr="00E21C4B">
        <w:rPr>
          <w:noProof/>
          <w:szCs w:val="22"/>
        </w:rPr>
        <w:t>Co-Roswera</w:t>
      </w:r>
      <w:r w:rsidR="00DF0641">
        <w:rPr>
          <w:noProof/>
          <w:szCs w:val="22"/>
        </w:rPr>
        <w:t>,</w:t>
      </w:r>
      <w:r w:rsidRPr="00E21C4B">
        <w:rPr>
          <w:noProof/>
          <w:szCs w:val="22"/>
        </w:rPr>
        <w:t xml:space="preserve"> 40 mg</w:t>
      </w:r>
      <w:r>
        <w:rPr>
          <w:noProof/>
          <w:szCs w:val="22"/>
        </w:rPr>
        <w:t xml:space="preserve"> + </w:t>
      </w:r>
      <w:r w:rsidR="00287A79">
        <w:rPr>
          <w:noProof/>
          <w:szCs w:val="22"/>
        </w:rPr>
        <w:t>10 mg</w:t>
      </w:r>
      <w:r w:rsidR="00DF0641">
        <w:rPr>
          <w:noProof/>
          <w:szCs w:val="22"/>
        </w:rPr>
        <w:t>,</w:t>
      </w:r>
      <w:r w:rsidR="00287A79">
        <w:rPr>
          <w:noProof/>
          <w:szCs w:val="22"/>
        </w:rPr>
        <w:t xml:space="preserve"> film tableta</w:t>
      </w:r>
    </w:p>
    <w:p w14:paraId="4A8BBD7C" w14:textId="77777777" w:rsidR="00C367F8" w:rsidRPr="00E21C4B" w:rsidRDefault="00C367F8" w:rsidP="00C367F8">
      <w:pPr>
        <w:rPr>
          <w:szCs w:val="22"/>
          <w:lang w:val="sv-SE"/>
        </w:rPr>
      </w:pPr>
    </w:p>
    <w:p w14:paraId="6DF1212D" w14:textId="77777777" w:rsidR="00C367F8" w:rsidRPr="00E21C4B" w:rsidRDefault="00C367F8" w:rsidP="00C367F8">
      <w:pPr>
        <w:rPr>
          <w:szCs w:val="22"/>
          <w:lang w:val="sr-Latn-RS"/>
        </w:rPr>
      </w:pPr>
      <w:r w:rsidRPr="00E21C4B">
        <w:rPr>
          <w:szCs w:val="22"/>
          <w:lang w:val="sv-SE"/>
        </w:rPr>
        <w:t>INN: rosuvastatin, ezetimib</w:t>
      </w:r>
    </w:p>
    <w:p w14:paraId="5692A119" w14:textId="77777777" w:rsidR="00C367F8" w:rsidRPr="00E21C4B" w:rsidRDefault="00C367F8" w:rsidP="00C367F8">
      <w:pPr>
        <w:rPr>
          <w:bCs/>
          <w:szCs w:val="22"/>
          <w:lang w:val="sv-SE"/>
        </w:rPr>
      </w:pPr>
    </w:p>
    <w:p w14:paraId="523B2FB2" w14:textId="77777777" w:rsidR="00C367F8" w:rsidRPr="00E21C4B" w:rsidRDefault="00C367F8" w:rsidP="00C367F8">
      <w:pPr>
        <w:rPr>
          <w:bCs/>
          <w:szCs w:val="22"/>
          <w:lang w:val="sv-SE"/>
        </w:rPr>
      </w:pPr>
    </w:p>
    <w:p w14:paraId="43A1A3EB" w14:textId="77777777" w:rsidR="00C367F8" w:rsidRPr="00E21C4B" w:rsidRDefault="00C367F8" w:rsidP="00C367F8">
      <w:pPr>
        <w:tabs>
          <w:tab w:val="clear" w:pos="567"/>
          <w:tab w:val="left" w:pos="540"/>
          <w:tab w:val="left" w:pos="569"/>
        </w:tabs>
        <w:rPr>
          <w:b/>
          <w:bCs/>
          <w:szCs w:val="22"/>
        </w:rPr>
      </w:pPr>
      <w:r w:rsidRPr="00E21C4B">
        <w:rPr>
          <w:b/>
          <w:bCs/>
          <w:szCs w:val="22"/>
        </w:rPr>
        <w:t xml:space="preserve">2. </w:t>
      </w:r>
      <w:r w:rsidRPr="00E21C4B">
        <w:rPr>
          <w:b/>
          <w:bCs/>
          <w:szCs w:val="22"/>
        </w:rPr>
        <w:tab/>
        <w:t>KVALITATIVNI I KVANTITATIVNI SASTAV</w:t>
      </w:r>
    </w:p>
    <w:p w14:paraId="2B1A498F" w14:textId="77777777" w:rsidR="00C367F8" w:rsidRPr="00E21C4B" w:rsidRDefault="00C367F8" w:rsidP="00C367F8">
      <w:pPr>
        <w:tabs>
          <w:tab w:val="clear" w:pos="567"/>
          <w:tab w:val="left" w:pos="540"/>
          <w:tab w:val="left" w:pos="569"/>
        </w:tabs>
        <w:rPr>
          <w:b/>
          <w:bCs/>
          <w:szCs w:val="22"/>
        </w:rPr>
      </w:pPr>
    </w:p>
    <w:p w14:paraId="2A84CEF6" w14:textId="77777777" w:rsidR="00C367F8" w:rsidRPr="00E21C4B" w:rsidRDefault="00C367F8" w:rsidP="00EC6E46">
      <w:pPr>
        <w:tabs>
          <w:tab w:val="clear" w:pos="567"/>
          <w:tab w:val="left" w:pos="540"/>
          <w:tab w:val="left" w:pos="569"/>
        </w:tabs>
        <w:jc w:val="both"/>
        <w:rPr>
          <w:szCs w:val="22"/>
        </w:rPr>
      </w:pPr>
      <w:r w:rsidRPr="00E21C4B">
        <w:rPr>
          <w:szCs w:val="22"/>
        </w:rPr>
        <w:t>10 mg</w:t>
      </w:r>
      <w:r>
        <w:rPr>
          <w:szCs w:val="22"/>
        </w:rPr>
        <w:t xml:space="preserve"> + </w:t>
      </w:r>
      <w:r w:rsidRPr="00E21C4B">
        <w:rPr>
          <w:szCs w:val="22"/>
        </w:rPr>
        <w:t>10 mg: Svaka film</w:t>
      </w:r>
      <w:r>
        <w:rPr>
          <w:szCs w:val="22"/>
        </w:rPr>
        <w:t xml:space="preserve"> </w:t>
      </w:r>
      <w:r w:rsidRPr="00E21C4B">
        <w:rPr>
          <w:szCs w:val="22"/>
        </w:rPr>
        <w:t xml:space="preserve">tableta sadrži 10 mg rosuvastatina (u obliku rosuvastatin kalcijuma) i 10 mg ezetimiba. </w:t>
      </w:r>
    </w:p>
    <w:p w14:paraId="44048F4E" w14:textId="77777777" w:rsidR="00C367F8" w:rsidRPr="00E21C4B" w:rsidRDefault="00C367F8" w:rsidP="00EC6E46">
      <w:pPr>
        <w:tabs>
          <w:tab w:val="clear" w:pos="567"/>
          <w:tab w:val="left" w:pos="540"/>
          <w:tab w:val="left" w:pos="569"/>
        </w:tabs>
        <w:jc w:val="both"/>
        <w:rPr>
          <w:szCs w:val="22"/>
        </w:rPr>
      </w:pPr>
      <w:r w:rsidRPr="00E21C4B">
        <w:rPr>
          <w:szCs w:val="22"/>
        </w:rPr>
        <w:t>20 mg</w:t>
      </w:r>
      <w:r>
        <w:rPr>
          <w:szCs w:val="22"/>
        </w:rPr>
        <w:t xml:space="preserve"> + </w:t>
      </w:r>
      <w:r w:rsidRPr="00E21C4B">
        <w:rPr>
          <w:szCs w:val="22"/>
        </w:rPr>
        <w:t>10 mg: Svaka film</w:t>
      </w:r>
      <w:r>
        <w:rPr>
          <w:szCs w:val="22"/>
        </w:rPr>
        <w:t xml:space="preserve"> </w:t>
      </w:r>
      <w:r w:rsidRPr="00E21C4B">
        <w:rPr>
          <w:szCs w:val="22"/>
        </w:rPr>
        <w:t xml:space="preserve">tableta sadrži 20 mg rosuvastatina (u obliku rosuvastatin kalcijuma) i 10 mg ezetimiba. </w:t>
      </w:r>
    </w:p>
    <w:p w14:paraId="7DFA784D" w14:textId="77777777" w:rsidR="00C367F8" w:rsidRDefault="00C367F8" w:rsidP="00EC6E46">
      <w:pPr>
        <w:tabs>
          <w:tab w:val="clear" w:pos="567"/>
          <w:tab w:val="left" w:pos="540"/>
          <w:tab w:val="left" w:pos="569"/>
        </w:tabs>
        <w:jc w:val="both"/>
        <w:rPr>
          <w:szCs w:val="22"/>
        </w:rPr>
      </w:pPr>
      <w:r w:rsidRPr="00E21C4B">
        <w:rPr>
          <w:szCs w:val="22"/>
        </w:rPr>
        <w:t>40 mg</w:t>
      </w:r>
      <w:r>
        <w:rPr>
          <w:szCs w:val="22"/>
        </w:rPr>
        <w:t xml:space="preserve"> + </w:t>
      </w:r>
      <w:r w:rsidRPr="00E21C4B">
        <w:rPr>
          <w:szCs w:val="22"/>
        </w:rPr>
        <w:t>10 mg: Svaka film</w:t>
      </w:r>
      <w:r>
        <w:rPr>
          <w:szCs w:val="22"/>
        </w:rPr>
        <w:t xml:space="preserve"> </w:t>
      </w:r>
      <w:r w:rsidRPr="00E21C4B">
        <w:rPr>
          <w:szCs w:val="22"/>
        </w:rPr>
        <w:t>tableta sadrži 40 mg rosuvastatina (u obliku rosuvastatin kalcijuma) i 10 mg ezetimiba.</w:t>
      </w:r>
    </w:p>
    <w:p w14:paraId="0CE6216E" w14:textId="77777777" w:rsidR="00C367F8" w:rsidRDefault="00C367F8" w:rsidP="00C367F8">
      <w:pPr>
        <w:tabs>
          <w:tab w:val="clear" w:pos="567"/>
          <w:tab w:val="left" w:pos="540"/>
          <w:tab w:val="left" w:pos="569"/>
        </w:tabs>
        <w:rPr>
          <w:b/>
          <w:bCs/>
          <w:szCs w:val="22"/>
        </w:rPr>
      </w:pPr>
    </w:p>
    <w:p w14:paraId="739D2B63" w14:textId="77777777" w:rsidR="00C367F8" w:rsidRDefault="00C367F8" w:rsidP="00EC6E46">
      <w:pPr>
        <w:rPr>
          <w:szCs w:val="22"/>
        </w:rPr>
      </w:pPr>
      <w:r w:rsidRPr="0015008C">
        <w:rPr>
          <w:szCs w:val="22"/>
        </w:rPr>
        <w:t>Pomoćne supstance sa potvrđenim dejstvom:</w:t>
      </w:r>
    </w:p>
    <w:p w14:paraId="6F96582B" w14:textId="77777777" w:rsidR="00C367F8" w:rsidRDefault="00C367F8" w:rsidP="00C367F8">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721"/>
        <w:gridCol w:w="1701"/>
        <w:gridCol w:w="1842"/>
      </w:tblGrid>
      <w:tr w:rsidR="00287A79" w:rsidRPr="001E6CF9" w14:paraId="36E7971D" w14:textId="77777777" w:rsidTr="00516260">
        <w:tc>
          <w:tcPr>
            <w:tcW w:w="1535" w:type="dxa"/>
            <w:shd w:val="clear" w:color="auto" w:fill="auto"/>
          </w:tcPr>
          <w:p w14:paraId="75C15657" w14:textId="77777777" w:rsidR="00287A79" w:rsidRPr="001E6CF9" w:rsidRDefault="00287A79" w:rsidP="0064489E">
            <w:pPr>
              <w:widowControl w:val="0"/>
              <w:rPr>
                <w:rFonts w:eastAsia="Calibri"/>
                <w:szCs w:val="22"/>
              </w:rPr>
            </w:pPr>
          </w:p>
        </w:tc>
        <w:tc>
          <w:tcPr>
            <w:tcW w:w="1721" w:type="dxa"/>
            <w:shd w:val="clear" w:color="auto" w:fill="auto"/>
          </w:tcPr>
          <w:p w14:paraId="151A3707" w14:textId="77777777" w:rsidR="00287A79" w:rsidRPr="001E6CF9" w:rsidRDefault="00287A79" w:rsidP="0064489E">
            <w:pPr>
              <w:widowControl w:val="0"/>
              <w:rPr>
                <w:rFonts w:eastAsia="Calibri"/>
                <w:szCs w:val="22"/>
              </w:rPr>
            </w:pPr>
            <w:r w:rsidRPr="001E6CF9">
              <w:rPr>
                <w:rFonts w:eastAsia="Calibri"/>
                <w:szCs w:val="22"/>
              </w:rPr>
              <w:t>10 mg</w:t>
            </w:r>
            <w:r w:rsidR="00DF0641">
              <w:rPr>
                <w:rFonts w:eastAsia="Calibri"/>
                <w:szCs w:val="22"/>
              </w:rPr>
              <w:t xml:space="preserve"> </w:t>
            </w:r>
            <w:r>
              <w:rPr>
                <w:rFonts w:eastAsia="Calibri"/>
                <w:szCs w:val="22"/>
              </w:rPr>
              <w:t>+</w:t>
            </w:r>
            <w:r w:rsidR="00DF0641">
              <w:rPr>
                <w:rFonts w:eastAsia="Calibri"/>
                <w:szCs w:val="22"/>
              </w:rPr>
              <w:t xml:space="preserve"> </w:t>
            </w:r>
            <w:r w:rsidRPr="001E6CF9">
              <w:rPr>
                <w:rFonts w:eastAsia="Calibri"/>
                <w:szCs w:val="22"/>
              </w:rPr>
              <w:t>10 mg film</w:t>
            </w:r>
            <w:r>
              <w:rPr>
                <w:rFonts w:eastAsia="Calibri"/>
                <w:szCs w:val="22"/>
              </w:rPr>
              <w:t xml:space="preserve"> </w:t>
            </w:r>
            <w:r w:rsidRPr="001E6CF9">
              <w:rPr>
                <w:rFonts w:eastAsia="Calibri"/>
                <w:szCs w:val="22"/>
              </w:rPr>
              <w:t>tablet</w:t>
            </w:r>
            <w:r>
              <w:rPr>
                <w:rFonts w:eastAsia="Calibri"/>
                <w:szCs w:val="22"/>
              </w:rPr>
              <w:t>e</w:t>
            </w:r>
          </w:p>
        </w:tc>
        <w:tc>
          <w:tcPr>
            <w:tcW w:w="1701" w:type="dxa"/>
            <w:shd w:val="clear" w:color="auto" w:fill="auto"/>
          </w:tcPr>
          <w:p w14:paraId="29BDBEEB" w14:textId="77777777" w:rsidR="00287A79" w:rsidRPr="001E6CF9" w:rsidRDefault="00287A79" w:rsidP="0064489E">
            <w:pPr>
              <w:widowControl w:val="0"/>
              <w:rPr>
                <w:rFonts w:eastAsia="Calibri"/>
                <w:szCs w:val="22"/>
              </w:rPr>
            </w:pPr>
            <w:r w:rsidRPr="001E6CF9">
              <w:rPr>
                <w:rFonts w:eastAsia="Calibri"/>
                <w:szCs w:val="22"/>
              </w:rPr>
              <w:t>20 mg</w:t>
            </w:r>
            <w:r w:rsidR="00DF0641">
              <w:rPr>
                <w:rFonts w:eastAsia="Calibri"/>
                <w:szCs w:val="22"/>
              </w:rPr>
              <w:t xml:space="preserve"> </w:t>
            </w:r>
            <w:r>
              <w:rPr>
                <w:rFonts w:eastAsia="Calibri"/>
                <w:szCs w:val="22"/>
              </w:rPr>
              <w:t>+</w:t>
            </w:r>
            <w:r w:rsidR="00DF0641">
              <w:rPr>
                <w:rFonts w:eastAsia="Calibri"/>
                <w:szCs w:val="22"/>
              </w:rPr>
              <w:t xml:space="preserve"> </w:t>
            </w:r>
            <w:r w:rsidRPr="001E6CF9">
              <w:rPr>
                <w:rFonts w:eastAsia="Calibri"/>
                <w:szCs w:val="22"/>
              </w:rPr>
              <w:t>10 mg film</w:t>
            </w:r>
            <w:r>
              <w:rPr>
                <w:rFonts w:eastAsia="Calibri"/>
                <w:szCs w:val="22"/>
              </w:rPr>
              <w:t xml:space="preserve"> </w:t>
            </w:r>
            <w:r w:rsidRPr="001E6CF9">
              <w:rPr>
                <w:rFonts w:eastAsia="Calibri"/>
                <w:szCs w:val="22"/>
              </w:rPr>
              <w:t>tablet</w:t>
            </w:r>
            <w:r>
              <w:rPr>
                <w:rFonts w:eastAsia="Calibri"/>
                <w:szCs w:val="22"/>
              </w:rPr>
              <w:t>e</w:t>
            </w:r>
          </w:p>
        </w:tc>
        <w:tc>
          <w:tcPr>
            <w:tcW w:w="1842" w:type="dxa"/>
            <w:shd w:val="clear" w:color="auto" w:fill="auto"/>
          </w:tcPr>
          <w:p w14:paraId="6F51F9C3" w14:textId="77777777" w:rsidR="00287A79" w:rsidRPr="001E6CF9" w:rsidRDefault="00287A79" w:rsidP="0064489E">
            <w:pPr>
              <w:widowControl w:val="0"/>
              <w:rPr>
                <w:rFonts w:eastAsia="Calibri"/>
                <w:szCs w:val="22"/>
              </w:rPr>
            </w:pPr>
            <w:r w:rsidRPr="001E6CF9">
              <w:rPr>
                <w:rFonts w:eastAsia="Calibri"/>
                <w:szCs w:val="22"/>
              </w:rPr>
              <w:t>40 mg</w:t>
            </w:r>
            <w:r w:rsidR="00DF0641">
              <w:rPr>
                <w:rFonts w:eastAsia="Calibri"/>
                <w:szCs w:val="22"/>
              </w:rPr>
              <w:t xml:space="preserve"> </w:t>
            </w:r>
            <w:r>
              <w:rPr>
                <w:rFonts w:eastAsia="Calibri"/>
                <w:szCs w:val="22"/>
              </w:rPr>
              <w:t>+</w:t>
            </w:r>
            <w:r w:rsidR="00DF0641">
              <w:rPr>
                <w:rFonts w:eastAsia="Calibri"/>
                <w:szCs w:val="22"/>
              </w:rPr>
              <w:t xml:space="preserve"> </w:t>
            </w:r>
            <w:r w:rsidRPr="001E6CF9">
              <w:rPr>
                <w:rFonts w:eastAsia="Calibri"/>
                <w:szCs w:val="22"/>
              </w:rPr>
              <w:t>10 mg film</w:t>
            </w:r>
            <w:r>
              <w:rPr>
                <w:rFonts w:eastAsia="Calibri"/>
                <w:szCs w:val="22"/>
              </w:rPr>
              <w:t xml:space="preserve"> </w:t>
            </w:r>
            <w:r w:rsidRPr="001E6CF9">
              <w:rPr>
                <w:rFonts w:eastAsia="Calibri"/>
                <w:szCs w:val="22"/>
              </w:rPr>
              <w:t>tablet</w:t>
            </w:r>
            <w:r>
              <w:rPr>
                <w:rFonts w:eastAsia="Calibri"/>
                <w:szCs w:val="22"/>
              </w:rPr>
              <w:t>e</w:t>
            </w:r>
          </w:p>
        </w:tc>
      </w:tr>
      <w:tr w:rsidR="00287A79" w:rsidRPr="001E6CF9" w14:paraId="6887072F" w14:textId="77777777" w:rsidTr="00516260">
        <w:tc>
          <w:tcPr>
            <w:tcW w:w="1535" w:type="dxa"/>
            <w:shd w:val="clear" w:color="auto" w:fill="auto"/>
          </w:tcPr>
          <w:p w14:paraId="6D9D1550" w14:textId="77777777" w:rsidR="00287A79" w:rsidRPr="001E6CF9" w:rsidRDefault="00287A79" w:rsidP="0064489E">
            <w:pPr>
              <w:widowControl w:val="0"/>
              <w:rPr>
                <w:rFonts w:eastAsia="Calibri"/>
                <w:szCs w:val="22"/>
              </w:rPr>
            </w:pPr>
            <w:r w:rsidRPr="001E6CF9">
              <w:rPr>
                <w:rFonts w:eastAsia="Calibri"/>
                <w:szCs w:val="22"/>
              </w:rPr>
              <w:t>la</w:t>
            </w:r>
            <w:r>
              <w:rPr>
                <w:rFonts w:eastAsia="Calibri"/>
                <w:szCs w:val="22"/>
              </w:rPr>
              <w:t>ktoza</w:t>
            </w:r>
          </w:p>
        </w:tc>
        <w:tc>
          <w:tcPr>
            <w:tcW w:w="1721" w:type="dxa"/>
            <w:shd w:val="clear" w:color="auto" w:fill="auto"/>
          </w:tcPr>
          <w:p w14:paraId="3E479FD7" w14:textId="77777777" w:rsidR="00287A79" w:rsidRPr="001E6CF9" w:rsidRDefault="00287A79" w:rsidP="0064489E">
            <w:pPr>
              <w:widowControl w:val="0"/>
              <w:rPr>
                <w:rFonts w:eastAsia="Calibri"/>
                <w:szCs w:val="22"/>
              </w:rPr>
            </w:pPr>
            <w:r w:rsidRPr="001E6CF9">
              <w:rPr>
                <w:rFonts w:eastAsia="Calibri"/>
                <w:szCs w:val="22"/>
              </w:rPr>
              <w:t>62</w:t>
            </w:r>
            <w:r>
              <w:rPr>
                <w:rFonts w:eastAsia="Calibri"/>
                <w:szCs w:val="22"/>
              </w:rPr>
              <w:t>,</w:t>
            </w:r>
            <w:r w:rsidRPr="001E6CF9">
              <w:rPr>
                <w:rFonts w:eastAsia="Calibri"/>
                <w:szCs w:val="22"/>
              </w:rPr>
              <w:t>85 mg</w:t>
            </w:r>
          </w:p>
        </w:tc>
        <w:tc>
          <w:tcPr>
            <w:tcW w:w="1701" w:type="dxa"/>
            <w:shd w:val="clear" w:color="auto" w:fill="auto"/>
          </w:tcPr>
          <w:p w14:paraId="5CCBC5A8" w14:textId="77777777" w:rsidR="00287A79" w:rsidRPr="001E6CF9" w:rsidRDefault="00287A79" w:rsidP="0064489E">
            <w:pPr>
              <w:widowControl w:val="0"/>
              <w:rPr>
                <w:rFonts w:eastAsia="Calibri"/>
                <w:szCs w:val="22"/>
              </w:rPr>
            </w:pPr>
            <w:r w:rsidRPr="001E6CF9">
              <w:rPr>
                <w:rFonts w:eastAsia="Calibri"/>
                <w:szCs w:val="22"/>
              </w:rPr>
              <w:t>62</w:t>
            </w:r>
            <w:r>
              <w:rPr>
                <w:rFonts w:eastAsia="Calibri"/>
                <w:szCs w:val="22"/>
              </w:rPr>
              <w:t>,</w:t>
            </w:r>
            <w:r w:rsidRPr="001E6CF9">
              <w:rPr>
                <w:rFonts w:eastAsia="Calibri"/>
                <w:szCs w:val="22"/>
              </w:rPr>
              <w:t>85 mg</w:t>
            </w:r>
          </w:p>
        </w:tc>
        <w:tc>
          <w:tcPr>
            <w:tcW w:w="1842" w:type="dxa"/>
            <w:shd w:val="clear" w:color="auto" w:fill="auto"/>
          </w:tcPr>
          <w:p w14:paraId="106AB3F9" w14:textId="77777777" w:rsidR="00287A79" w:rsidRPr="001E6CF9" w:rsidRDefault="00287A79" w:rsidP="0064489E">
            <w:pPr>
              <w:widowControl w:val="0"/>
              <w:rPr>
                <w:rFonts w:eastAsia="Calibri"/>
                <w:szCs w:val="22"/>
              </w:rPr>
            </w:pPr>
            <w:r w:rsidRPr="001E6CF9">
              <w:rPr>
                <w:rFonts w:eastAsia="Calibri"/>
                <w:szCs w:val="22"/>
              </w:rPr>
              <w:t>62</w:t>
            </w:r>
            <w:r>
              <w:rPr>
                <w:rFonts w:eastAsia="Calibri"/>
                <w:szCs w:val="22"/>
              </w:rPr>
              <w:t>,</w:t>
            </w:r>
            <w:r w:rsidRPr="001E6CF9">
              <w:rPr>
                <w:rFonts w:eastAsia="Calibri"/>
                <w:szCs w:val="22"/>
              </w:rPr>
              <w:t>84 mg</w:t>
            </w:r>
          </w:p>
        </w:tc>
      </w:tr>
    </w:tbl>
    <w:p w14:paraId="1F2B8AF7" w14:textId="77777777" w:rsidR="00C367F8" w:rsidRPr="0015008C" w:rsidRDefault="00C367F8" w:rsidP="00C367F8">
      <w:pPr>
        <w:jc w:val="both"/>
        <w:rPr>
          <w:szCs w:val="22"/>
        </w:rPr>
      </w:pPr>
      <w:r>
        <w:rPr>
          <w:szCs w:val="22"/>
        </w:rPr>
        <w:t>Lijek sadrži natrijum u tragovima.</w:t>
      </w:r>
    </w:p>
    <w:p w14:paraId="647EE6FE" w14:textId="77777777" w:rsidR="00C367F8" w:rsidRPr="00786071" w:rsidRDefault="00C367F8" w:rsidP="00C367F8">
      <w:pPr>
        <w:rPr>
          <w:szCs w:val="22"/>
          <w:lang w:val="sr-Latn-CS"/>
        </w:rPr>
      </w:pPr>
    </w:p>
    <w:p w14:paraId="73708021" w14:textId="77777777" w:rsidR="00C367F8" w:rsidRPr="00786071" w:rsidRDefault="00C367F8" w:rsidP="00C367F8">
      <w:pPr>
        <w:rPr>
          <w:szCs w:val="22"/>
          <w:lang w:val="sr-Latn-CS"/>
        </w:rPr>
      </w:pPr>
      <w:r w:rsidRPr="00786071">
        <w:rPr>
          <w:szCs w:val="22"/>
          <w:lang w:val="sr-Latn-CS"/>
        </w:rPr>
        <w:t>Za spisak svih ekscipijenasa, pogledati dio 6.1.</w:t>
      </w:r>
    </w:p>
    <w:p w14:paraId="3DF0545F" w14:textId="77777777" w:rsidR="00C367F8" w:rsidRDefault="00C367F8" w:rsidP="00C367F8">
      <w:pPr>
        <w:rPr>
          <w:szCs w:val="22"/>
          <w:lang w:val="sr-Latn-CS"/>
        </w:rPr>
      </w:pPr>
    </w:p>
    <w:p w14:paraId="47E18705" w14:textId="77777777" w:rsidR="00C367F8" w:rsidRPr="00786071" w:rsidRDefault="00C367F8" w:rsidP="00C367F8">
      <w:pPr>
        <w:rPr>
          <w:szCs w:val="22"/>
          <w:lang w:val="sr-Latn-CS"/>
        </w:rPr>
      </w:pPr>
    </w:p>
    <w:p w14:paraId="3205A1BC" w14:textId="77777777" w:rsidR="00C367F8" w:rsidRDefault="00C367F8" w:rsidP="00C367F8">
      <w:pPr>
        <w:tabs>
          <w:tab w:val="clear" w:pos="567"/>
          <w:tab w:val="left" w:pos="540"/>
          <w:tab w:val="left" w:pos="569"/>
        </w:tabs>
        <w:rPr>
          <w:b/>
          <w:bCs/>
          <w:szCs w:val="22"/>
        </w:rPr>
      </w:pPr>
      <w:r w:rsidRPr="00786071">
        <w:rPr>
          <w:b/>
          <w:bCs/>
          <w:szCs w:val="22"/>
        </w:rPr>
        <w:t xml:space="preserve">3. </w:t>
      </w:r>
      <w:r w:rsidRPr="00786071">
        <w:rPr>
          <w:b/>
          <w:bCs/>
          <w:szCs w:val="22"/>
        </w:rPr>
        <w:tab/>
        <w:t xml:space="preserve">FARMACEUTSKI OBLIK </w:t>
      </w:r>
    </w:p>
    <w:p w14:paraId="1D1A77C0" w14:textId="77777777" w:rsidR="00C367F8" w:rsidRDefault="00C367F8" w:rsidP="00C367F8">
      <w:pPr>
        <w:tabs>
          <w:tab w:val="clear" w:pos="567"/>
          <w:tab w:val="left" w:pos="540"/>
          <w:tab w:val="left" w:pos="569"/>
        </w:tabs>
        <w:rPr>
          <w:b/>
          <w:bCs/>
          <w:szCs w:val="22"/>
        </w:rPr>
      </w:pPr>
    </w:p>
    <w:p w14:paraId="1B70BB0C" w14:textId="77777777" w:rsidR="00C367F8" w:rsidRDefault="00C367F8" w:rsidP="00EC6E46">
      <w:pPr>
        <w:tabs>
          <w:tab w:val="clear" w:pos="567"/>
          <w:tab w:val="left" w:pos="540"/>
          <w:tab w:val="left" w:pos="569"/>
        </w:tabs>
        <w:jc w:val="both"/>
        <w:rPr>
          <w:bCs/>
          <w:szCs w:val="22"/>
        </w:rPr>
      </w:pPr>
      <w:r w:rsidRPr="005C236B">
        <w:rPr>
          <w:bCs/>
          <w:szCs w:val="22"/>
        </w:rPr>
        <w:t>Film tableta (tableta).</w:t>
      </w:r>
    </w:p>
    <w:p w14:paraId="4EC47AF9" w14:textId="77777777" w:rsidR="00C367F8" w:rsidRDefault="00C367F8" w:rsidP="00EC6E46">
      <w:pPr>
        <w:tabs>
          <w:tab w:val="clear" w:pos="567"/>
          <w:tab w:val="left" w:pos="540"/>
          <w:tab w:val="left" w:pos="569"/>
        </w:tabs>
        <w:jc w:val="both"/>
        <w:rPr>
          <w:bCs/>
          <w:szCs w:val="22"/>
        </w:rPr>
      </w:pPr>
    </w:p>
    <w:p w14:paraId="62AE8476" w14:textId="77777777" w:rsidR="00C367F8" w:rsidRDefault="00C367F8" w:rsidP="00EC6E46">
      <w:pPr>
        <w:tabs>
          <w:tab w:val="clear" w:pos="567"/>
          <w:tab w:val="left" w:pos="540"/>
          <w:tab w:val="left" w:pos="569"/>
        </w:tabs>
        <w:jc w:val="both"/>
        <w:rPr>
          <w:szCs w:val="22"/>
        </w:rPr>
      </w:pPr>
      <w:r w:rsidRPr="00EA25ED">
        <w:rPr>
          <w:szCs w:val="22"/>
        </w:rPr>
        <w:t xml:space="preserve">10 mg + 10 mg: Blijedo </w:t>
      </w:r>
      <w:r>
        <w:rPr>
          <w:szCs w:val="22"/>
        </w:rPr>
        <w:t>braon</w:t>
      </w:r>
      <w:r w:rsidRPr="00EA25ED">
        <w:rPr>
          <w:szCs w:val="22"/>
        </w:rPr>
        <w:t xml:space="preserve">kastožute do blijedo </w:t>
      </w:r>
      <w:r>
        <w:rPr>
          <w:szCs w:val="22"/>
        </w:rPr>
        <w:t>braon</w:t>
      </w:r>
      <w:r w:rsidRPr="00EA25ED">
        <w:rPr>
          <w:szCs w:val="22"/>
        </w:rPr>
        <w:t xml:space="preserve">žute, okrugle, blago bikonveksne filmom obložene tablete zakošenih </w:t>
      </w:r>
      <w:r>
        <w:rPr>
          <w:szCs w:val="22"/>
        </w:rPr>
        <w:t>ivica</w:t>
      </w:r>
      <w:r w:rsidRPr="00EA25ED">
        <w:rPr>
          <w:szCs w:val="22"/>
        </w:rPr>
        <w:t>, s</w:t>
      </w:r>
      <w:r>
        <w:rPr>
          <w:szCs w:val="22"/>
        </w:rPr>
        <w:t>a</w:t>
      </w:r>
      <w:r w:rsidRPr="00EA25ED">
        <w:rPr>
          <w:szCs w:val="22"/>
        </w:rPr>
        <w:t xml:space="preserve"> utisnutom oznakom R2 na jednoj strani tablete. Prečnik tablete: oko 10 mm</w:t>
      </w:r>
      <w:r>
        <w:rPr>
          <w:szCs w:val="22"/>
        </w:rPr>
        <w:t>.</w:t>
      </w:r>
    </w:p>
    <w:p w14:paraId="5C1C932F" w14:textId="77777777" w:rsidR="00C367F8" w:rsidRDefault="00C367F8" w:rsidP="00EC6E46">
      <w:pPr>
        <w:tabs>
          <w:tab w:val="clear" w:pos="567"/>
          <w:tab w:val="left" w:pos="540"/>
          <w:tab w:val="left" w:pos="569"/>
        </w:tabs>
        <w:jc w:val="both"/>
        <w:rPr>
          <w:bCs/>
          <w:szCs w:val="22"/>
        </w:rPr>
      </w:pPr>
    </w:p>
    <w:p w14:paraId="4F4756A1" w14:textId="77777777" w:rsidR="00C367F8" w:rsidRDefault="00C367F8" w:rsidP="00EC6E46">
      <w:pPr>
        <w:tabs>
          <w:tab w:val="clear" w:pos="567"/>
          <w:tab w:val="left" w:pos="540"/>
          <w:tab w:val="left" w:pos="569"/>
        </w:tabs>
        <w:jc w:val="both"/>
        <w:rPr>
          <w:szCs w:val="22"/>
        </w:rPr>
      </w:pPr>
      <w:r w:rsidRPr="002B17A9">
        <w:rPr>
          <w:szCs w:val="22"/>
        </w:rPr>
        <w:t xml:space="preserve">20 mg + 10 mg: Blijedo ružičaste, okrugle, blago bikonveksne filmom obložene tablete zakošenih </w:t>
      </w:r>
      <w:r>
        <w:rPr>
          <w:szCs w:val="22"/>
        </w:rPr>
        <w:t>ivica</w:t>
      </w:r>
      <w:r w:rsidRPr="002B17A9">
        <w:rPr>
          <w:szCs w:val="22"/>
        </w:rPr>
        <w:t>, sa utisnutom oznakom R4 na jednoj strani tablete. Prečnik tablete: oko 10 mm</w:t>
      </w:r>
    </w:p>
    <w:p w14:paraId="7ED32F2F" w14:textId="77777777" w:rsidR="00C367F8" w:rsidRDefault="00C367F8" w:rsidP="00EC6E46">
      <w:pPr>
        <w:tabs>
          <w:tab w:val="clear" w:pos="567"/>
          <w:tab w:val="left" w:pos="540"/>
          <w:tab w:val="left" w:pos="569"/>
        </w:tabs>
        <w:jc w:val="both"/>
        <w:rPr>
          <w:bCs/>
          <w:szCs w:val="22"/>
        </w:rPr>
      </w:pPr>
    </w:p>
    <w:p w14:paraId="06C60FF8" w14:textId="77777777" w:rsidR="00C367F8" w:rsidRPr="000A47E3" w:rsidRDefault="00C367F8" w:rsidP="00EC6E46">
      <w:pPr>
        <w:tabs>
          <w:tab w:val="clear" w:pos="567"/>
          <w:tab w:val="left" w:pos="540"/>
          <w:tab w:val="left" w:pos="569"/>
        </w:tabs>
        <w:jc w:val="both"/>
        <w:rPr>
          <w:bCs/>
          <w:szCs w:val="22"/>
        </w:rPr>
      </w:pPr>
      <w:r w:rsidRPr="000A47E3">
        <w:rPr>
          <w:szCs w:val="22"/>
        </w:rPr>
        <w:t xml:space="preserve">40 mg + 10 mg: Blijedo sivkastoljubičaste do blijedo sivoljubičaste, okrugle, blago bikonveksne filmom obložene tablete zakošenih </w:t>
      </w:r>
      <w:r>
        <w:rPr>
          <w:szCs w:val="22"/>
        </w:rPr>
        <w:t>ivica</w:t>
      </w:r>
      <w:r w:rsidRPr="000A47E3">
        <w:rPr>
          <w:szCs w:val="22"/>
        </w:rPr>
        <w:t>, sa utisnutom oznakom R5 na jednoj strani tablete. Prečnik tablete: oko 10 mm</w:t>
      </w:r>
      <w:r>
        <w:rPr>
          <w:szCs w:val="22"/>
        </w:rPr>
        <w:t>.</w:t>
      </w:r>
    </w:p>
    <w:p w14:paraId="775F542A" w14:textId="77777777" w:rsidR="00C367F8" w:rsidRPr="00786071" w:rsidRDefault="00C367F8" w:rsidP="00C367F8">
      <w:pPr>
        <w:rPr>
          <w:bCs/>
          <w:szCs w:val="22"/>
          <w:lang w:val="sr-Latn-CS"/>
        </w:rPr>
      </w:pPr>
    </w:p>
    <w:p w14:paraId="1F2CBC81" w14:textId="77777777" w:rsidR="00C367F8" w:rsidRPr="00786071" w:rsidRDefault="00C367F8" w:rsidP="00C367F8">
      <w:pPr>
        <w:rPr>
          <w:bCs/>
          <w:szCs w:val="22"/>
          <w:lang w:val="sr-Latn-CS"/>
        </w:rPr>
      </w:pPr>
    </w:p>
    <w:p w14:paraId="12487469" w14:textId="77777777" w:rsidR="00EC6E46" w:rsidRDefault="00EC6E46" w:rsidP="00C367F8">
      <w:pPr>
        <w:tabs>
          <w:tab w:val="clear" w:pos="567"/>
          <w:tab w:val="left" w:pos="540"/>
          <w:tab w:val="left" w:pos="569"/>
        </w:tabs>
        <w:rPr>
          <w:b/>
          <w:bCs/>
          <w:szCs w:val="22"/>
        </w:rPr>
      </w:pPr>
    </w:p>
    <w:p w14:paraId="00A6A7EE" w14:textId="77777777" w:rsidR="00EC6E46" w:rsidRDefault="00EC6E46" w:rsidP="00C367F8">
      <w:pPr>
        <w:tabs>
          <w:tab w:val="clear" w:pos="567"/>
          <w:tab w:val="left" w:pos="540"/>
          <w:tab w:val="left" w:pos="569"/>
        </w:tabs>
        <w:rPr>
          <w:b/>
          <w:bCs/>
          <w:szCs w:val="22"/>
        </w:rPr>
      </w:pPr>
    </w:p>
    <w:p w14:paraId="14850964" w14:textId="77777777" w:rsidR="00EC6E46" w:rsidRDefault="00EC6E46" w:rsidP="00C367F8">
      <w:pPr>
        <w:tabs>
          <w:tab w:val="clear" w:pos="567"/>
          <w:tab w:val="left" w:pos="540"/>
          <w:tab w:val="left" w:pos="569"/>
        </w:tabs>
        <w:rPr>
          <w:b/>
          <w:bCs/>
          <w:szCs w:val="22"/>
        </w:rPr>
      </w:pPr>
    </w:p>
    <w:p w14:paraId="4EC5F015" w14:textId="77777777" w:rsidR="00EC6E46" w:rsidRDefault="00EC6E46" w:rsidP="00C367F8">
      <w:pPr>
        <w:tabs>
          <w:tab w:val="clear" w:pos="567"/>
          <w:tab w:val="left" w:pos="540"/>
          <w:tab w:val="left" w:pos="569"/>
        </w:tabs>
        <w:rPr>
          <w:b/>
          <w:bCs/>
          <w:szCs w:val="22"/>
        </w:rPr>
      </w:pPr>
    </w:p>
    <w:p w14:paraId="1A984829" w14:textId="77777777" w:rsidR="00EC6E46" w:rsidRDefault="00EC6E46" w:rsidP="00C367F8">
      <w:pPr>
        <w:tabs>
          <w:tab w:val="clear" w:pos="567"/>
          <w:tab w:val="left" w:pos="540"/>
          <w:tab w:val="left" w:pos="569"/>
        </w:tabs>
        <w:rPr>
          <w:b/>
          <w:bCs/>
          <w:szCs w:val="22"/>
        </w:rPr>
      </w:pPr>
    </w:p>
    <w:p w14:paraId="5F1505B0" w14:textId="77777777" w:rsidR="00C367F8" w:rsidRPr="00786071" w:rsidRDefault="00C367F8" w:rsidP="00C367F8">
      <w:pPr>
        <w:tabs>
          <w:tab w:val="clear" w:pos="567"/>
          <w:tab w:val="left" w:pos="540"/>
          <w:tab w:val="left" w:pos="569"/>
        </w:tabs>
        <w:rPr>
          <w:b/>
          <w:bCs/>
          <w:szCs w:val="22"/>
        </w:rPr>
      </w:pPr>
      <w:r w:rsidRPr="00786071">
        <w:rPr>
          <w:b/>
          <w:bCs/>
          <w:szCs w:val="22"/>
        </w:rPr>
        <w:lastRenderedPageBreak/>
        <w:t xml:space="preserve">4. </w:t>
      </w:r>
      <w:r w:rsidRPr="00786071">
        <w:rPr>
          <w:b/>
          <w:bCs/>
          <w:szCs w:val="22"/>
        </w:rPr>
        <w:tab/>
        <w:t>KLINIČKI PODACI</w:t>
      </w:r>
    </w:p>
    <w:p w14:paraId="44882500" w14:textId="77777777" w:rsidR="00C367F8" w:rsidRPr="00786071" w:rsidRDefault="00C367F8" w:rsidP="00C367F8">
      <w:pPr>
        <w:tabs>
          <w:tab w:val="clear" w:pos="567"/>
          <w:tab w:val="left" w:pos="540"/>
          <w:tab w:val="left" w:pos="569"/>
        </w:tabs>
        <w:rPr>
          <w:bCs/>
          <w:szCs w:val="22"/>
        </w:rPr>
      </w:pPr>
    </w:p>
    <w:p w14:paraId="360058B4" w14:textId="77777777" w:rsidR="00C367F8" w:rsidRDefault="00C367F8" w:rsidP="00C367F8">
      <w:pPr>
        <w:tabs>
          <w:tab w:val="clear" w:pos="567"/>
          <w:tab w:val="left" w:pos="540"/>
          <w:tab w:val="left" w:pos="569"/>
        </w:tabs>
        <w:rPr>
          <w:b/>
          <w:bCs/>
          <w:szCs w:val="22"/>
        </w:rPr>
      </w:pPr>
      <w:r w:rsidRPr="00786071">
        <w:rPr>
          <w:b/>
          <w:bCs/>
          <w:szCs w:val="22"/>
        </w:rPr>
        <w:t xml:space="preserve">4.1. </w:t>
      </w:r>
      <w:r w:rsidRPr="00786071">
        <w:rPr>
          <w:b/>
          <w:bCs/>
          <w:szCs w:val="22"/>
        </w:rPr>
        <w:tab/>
        <w:t>Terapijske indikacije</w:t>
      </w:r>
    </w:p>
    <w:p w14:paraId="4657B3DA" w14:textId="77777777" w:rsidR="00C367F8" w:rsidRDefault="00C367F8" w:rsidP="00C367F8">
      <w:pPr>
        <w:tabs>
          <w:tab w:val="clear" w:pos="567"/>
          <w:tab w:val="left" w:pos="540"/>
          <w:tab w:val="left" w:pos="569"/>
        </w:tabs>
        <w:rPr>
          <w:b/>
          <w:bCs/>
          <w:szCs w:val="22"/>
        </w:rPr>
      </w:pPr>
    </w:p>
    <w:p w14:paraId="2D9B9075" w14:textId="77777777" w:rsidR="006D6922" w:rsidRDefault="006D6922" w:rsidP="00C367F8">
      <w:pPr>
        <w:tabs>
          <w:tab w:val="clear" w:pos="567"/>
          <w:tab w:val="left" w:pos="540"/>
          <w:tab w:val="left" w:pos="569"/>
        </w:tabs>
        <w:rPr>
          <w:bCs/>
          <w:szCs w:val="22"/>
          <w:u w:val="single"/>
        </w:rPr>
      </w:pPr>
    </w:p>
    <w:p w14:paraId="44019F50" w14:textId="77777777" w:rsidR="00C367F8" w:rsidRDefault="00C367F8" w:rsidP="00C367F8">
      <w:pPr>
        <w:tabs>
          <w:tab w:val="clear" w:pos="567"/>
          <w:tab w:val="left" w:pos="540"/>
          <w:tab w:val="left" w:pos="569"/>
        </w:tabs>
        <w:rPr>
          <w:bCs/>
          <w:szCs w:val="22"/>
          <w:u w:val="single"/>
        </w:rPr>
      </w:pPr>
      <w:r w:rsidRPr="00730BD5">
        <w:rPr>
          <w:bCs/>
          <w:szCs w:val="22"/>
          <w:u w:val="single"/>
        </w:rPr>
        <w:t>Primarna hiperholesterolemija/homozigotna porodična hiperholesterolemija</w:t>
      </w:r>
    </w:p>
    <w:p w14:paraId="0D498C7E" w14:textId="77777777" w:rsidR="00C367F8" w:rsidRPr="00730BD5" w:rsidRDefault="00C367F8" w:rsidP="00C367F8">
      <w:pPr>
        <w:tabs>
          <w:tab w:val="clear" w:pos="567"/>
          <w:tab w:val="left" w:pos="540"/>
          <w:tab w:val="left" w:pos="569"/>
        </w:tabs>
        <w:rPr>
          <w:bCs/>
          <w:szCs w:val="22"/>
          <w:u w:val="single"/>
        </w:rPr>
      </w:pPr>
    </w:p>
    <w:p w14:paraId="599F7BBD" w14:textId="77777777" w:rsidR="00C367F8" w:rsidRPr="00730BD5" w:rsidRDefault="00063A6C" w:rsidP="00B641D7">
      <w:pPr>
        <w:tabs>
          <w:tab w:val="clear" w:pos="567"/>
          <w:tab w:val="left" w:pos="540"/>
          <w:tab w:val="left" w:pos="569"/>
        </w:tabs>
        <w:jc w:val="both"/>
        <w:rPr>
          <w:bCs/>
          <w:szCs w:val="22"/>
        </w:rPr>
      </w:pPr>
      <w:r>
        <w:rPr>
          <w:bCs/>
          <w:szCs w:val="22"/>
        </w:rPr>
        <w:t xml:space="preserve">Lijek </w:t>
      </w:r>
      <w:r w:rsidR="00C367F8" w:rsidRPr="00730BD5">
        <w:rPr>
          <w:bCs/>
          <w:szCs w:val="22"/>
        </w:rPr>
        <w:t>Co-Roswera je ind</w:t>
      </w:r>
      <w:r w:rsidR="00C367F8">
        <w:rPr>
          <w:bCs/>
          <w:szCs w:val="22"/>
        </w:rPr>
        <w:t>ikovan</w:t>
      </w:r>
      <w:r w:rsidR="00C367F8" w:rsidRPr="00730BD5">
        <w:rPr>
          <w:bCs/>
          <w:szCs w:val="22"/>
        </w:rPr>
        <w:t xml:space="preserve"> kao </w:t>
      </w:r>
      <w:r w:rsidR="00C367F8">
        <w:rPr>
          <w:bCs/>
          <w:szCs w:val="22"/>
        </w:rPr>
        <w:t>supstituciona</w:t>
      </w:r>
      <w:r w:rsidR="00C367F8" w:rsidRPr="00730BD5">
        <w:rPr>
          <w:bCs/>
          <w:szCs w:val="22"/>
        </w:rPr>
        <w:t xml:space="preserve"> terapija </w:t>
      </w:r>
      <w:r w:rsidR="00C367F8">
        <w:rPr>
          <w:bCs/>
          <w:szCs w:val="22"/>
        </w:rPr>
        <w:t>uz dijetu</w:t>
      </w:r>
      <w:r w:rsidR="00C367F8" w:rsidRPr="00730BD5">
        <w:rPr>
          <w:bCs/>
          <w:szCs w:val="22"/>
        </w:rPr>
        <w:t xml:space="preserve"> i drug</w:t>
      </w:r>
      <w:r w:rsidR="00C367F8">
        <w:rPr>
          <w:bCs/>
          <w:szCs w:val="22"/>
        </w:rPr>
        <w:t>e</w:t>
      </w:r>
      <w:r w:rsidR="00C367F8" w:rsidRPr="00730BD5">
        <w:rPr>
          <w:bCs/>
          <w:szCs w:val="22"/>
        </w:rPr>
        <w:t xml:space="preserve"> nefarmakološk</w:t>
      </w:r>
      <w:r w:rsidR="00C367F8">
        <w:rPr>
          <w:bCs/>
          <w:szCs w:val="22"/>
        </w:rPr>
        <w:t>e</w:t>
      </w:r>
      <w:r w:rsidR="00C367F8" w:rsidRPr="00730BD5">
        <w:rPr>
          <w:bCs/>
          <w:szCs w:val="22"/>
        </w:rPr>
        <w:t xml:space="preserve"> </w:t>
      </w:r>
      <w:r>
        <w:rPr>
          <w:bCs/>
          <w:szCs w:val="22"/>
        </w:rPr>
        <w:t>metode</w:t>
      </w:r>
    </w:p>
    <w:p w14:paraId="565AE3D1" w14:textId="77777777" w:rsidR="00C367F8" w:rsidRPr="00730BD5" w:rsidRDefault="00C367F8">
      <w:pPr>
        <w:tabs>
          <w:tab w:val="clear" w:pos="567"/>
          <w:tab w:val="left" w:pos="540"/>
          <w:tab w:val="left" w:pos="569"/>
        </w:tabs>
        <w:jc w:val="both"/>
        <w:rPr>
          <w:bCs/>
          <w:szCs w:val="22"/>
        </w:rPr>
      </w:pPr>
      <w:r w:rsidRPr="00730BD5">
        <w:rPr>
          <w:bCs/>
          <w:szCs w:val="22"/>
        </w:rPr>
        <w:t xml:space="preserve">liječenja (npr. vježbanje, smanjenje tjelesne mase), za primjenu </w:t>
      </w:r>
      <w:r>
        <w:rPr>
          <w:bCs/>
          <w:szCs w:val="22"/>
        </w:rPr>
        <w:t>kod</w:t>
      </w:r>
      <w:r w:rsidRPr="00730BD5">
        <w:rPr>
          <w:bCs/>
          <w:szCs w:val="22"/>
        </w:rPr>
        <w:t xml:space="preserve"> odraslih </w:t>
      </w:r>
      <w:r>
        <w:rPr>
          <w:bCs/>
          <w:szCs w:val="22"/>
        </w:rPr>
        <w:t>pacijenata</w:t>
      </w:r>
      <w:r w:rsidRPr="00730BD5">
        <w:rPr>
          <w:bCs/>
          <w:szCs w:val="22"/>
        </w:rPr>
        <w:t xml:space="preserve"> s</w:t>
      </w:r>
      <w:r>
        <w:rPr>
          <w:bCs/>
          <w:szCs w:val="22"/>
        </w:rPr>
        <w:t>a</w:t>
      </w:r>
      <w:r w:rsidRPr="00730BD5">
        <w:rPr>
          <w:bCs/>
          <w:szCs w:val="22"/>
        </w:rPr>
        <w:t xml:space="preserve"> primarnom</w:t>
      </w:r>
    </w:p>
    <w:p w14:paraId="77E2A0D0" w14:textId="77777777" w:rsidR="00C367F8" w:rsidRPr="00730BD5" w:rsidRDefault="00C367F8">
      <w:pPr>
        <w:tabs>
          <w:tab w:val="clear" w:pos="567"/>
          <w:tab w:val="left" w:pos="540"/>
          <w:tab w:val="left" w:pos="569"/>
        </w:tabs>
        <w:jc w:val="both"/>
        <w:rPr>
          <w:bCs/>
          <w:szCs w:val="22"/>
        </w:rPr>
      </w:pPr>
      <w:r w:rsidRPr="00730BD5">
        <w:rPr>
          <w:bCs/>
          <w:szCs w:val="22"/>
        </w:rPr>
        <w:t>hiper</w:t>
      </w:r>
      <w:r>
        <w:rPr>
          <w:bCs/>
          <w:szCs w:val="22"/>
        </w:rPr>
        <w:t>h</w:t>
      </w:r>
      <w:r w:rsidRPr="00730BD5">
        <w:rPr>
          <w:bCs/>
          <w:szCs w:val="22"/>
        </w:rPr>
        <w:t xml:space="preserve">olesterolemijom (heterozigotnom </w:t>
      </w:r>
      <w:r>
        <w:rPr>
          <w:bCs/>
          <w:szCs w:val="22"/>
        </w:rPr>
        <w:t>porodičnom</w:t>
      </w:r>
      <w:r w:rsidRPr="00730BD5">
        <w:rPr>
          <w:bCs/>
          <w:szCs w:val="22"/>
        </w:rPr>
        <w:t xml:space="preserve"> i ne</w:t>
      </w:r>
      <w:r>
        <w:rPr>
          <w:bCs/>
          <w:szCs w:val="22"/>
        </w:rPr>
        <w:t>porodičnom</w:t>
      </w:r>
      <w:r w:rsidRPr="00730BD5">
        <w:rPr>
          <w:bCs/>
          <w:szCs w:val="22"/>
        </w:rPr>
        <w:t xml:space="preserve">) ili homozigotnom </w:t>
      </w:r>
      <w:r>
        <w:rPr>
          <w:bCs/>
          <w:szCs w:val="22"/>
        </w:rPr>
        <w:t>porodičnom</w:t>
      </w:r>
    </w:p>
    <w:p w14:paraId="4C404E3D" w14:textId="77777777" w:rsidR="00C367F8" w:rsidRDefault="00C367F8">
      <w:pPr>
        <w:tabs>
          <w:tab w:val="clear" w:pos="567"/>
          <w:tab w:val="left" w:pos="540"/>
          <w:tab w:val="left" w:pos="569"/>
        </w:tabs>
        <w:jc w:val="both"/>
        <w:rPr>
          <w:bCs/>
          <w:szCs w:val="22"/>
        </w:rPr>
      </w:pPr>
      <w:r w:rsidRPr="00730BD5">
        <w:rPr>
          <w:bCs/>
          <w:szCs w:val="22"/>
        </w:rPr>
        <w:t>hiper</w:t>
      </w:r>
      <w:r>
        <w:rPr>
          <w:bCs/>
          <w:szCs w:val="22"/>
        </w:rPr>
        <w:t>h</w:t>
      </w:r>
      <w:r w:rsidRPr="00730BD5">
        <w:rPr>
          <w:bCs/>
          <w:szCs w:val="22"/>
        </w:rPr>
        <w:t xml:space="preserve">olesterolemijom, koji su </w:t>
      </w:r>
      <w:r w:rsidR="00063A6C">
        <w:rPr>
          <w:bCs/>
          <w:szCs w:val="22"/>
        </w:rPr>
        <w:t>odgovarajuće kontrolisani</w:t>
      </w:r>
      <w:r w:rsidRPr="00730BD5">
        <w:rPr>
          <w:bCs/>
          <w:szCs w:val="22"/>
        </w:rPr>
        <w:t xml:space="preserve"> s pojedinačnim komponentama</w:t>
      </w:r>
      <w:r>
        <w:rPr>
          <w:bCs/>
          <w:szCs w:val="22"/>
        </w:rPr>
        <w:t>, datim</w:t>
      </w:r>
      <w:r w:rsidRPr="00730BD5">
        <w:rPr>
          <w:bCs/>
          <w:szCs w:val="22"/>
        </w:rPr>
        <w:t xml:space="preserve"> u</w:t>
      </w:r>
      <w:r>
        <w:rPr>
          <w:bCs/>
          <w:szCs w:val="22"/>
        </w:rPr>
        <w:t xml:space="preserve"> </w:t>
      </w:r>
      <w:r w:rsidRPr="00730BD5">
        <w:rPr>
          <w:bCs/>
          <w:szCs w:val="22"/>
        </w:rPr>
        <w:t>istim dozama kao i u kombinaciji fiksnih doza</w:t>
      </w:r>
      <w:r>
        <w:rPr>
          <w:bCs/>
          <w:szCs w:val="22"/>
        </w:rPr>
        <w:t>, ali</w:t>
      </w:r>
      <w:r w:rsidRPr="00B306D6">
        <w:rPr>
          <w:bCs/>
          <w:szCs w:val="22"/>
        </w:rPr>
        <w:t xml:space="preserve"> </w:t>
      </w:r>
      <w:r>
        <w:rPr>
          <w:bCs/>
          <w:szCs w:val="22"/>
        </w:rPr>
        <w:t>u obliku pojedinačnih ljekova.</w:t>
      </w:r>
    </w:p>
    <w:p w14:paraId="5A064B9B" w14:textId="77777777" w:rsidR="00C367F8" w:rsidRPr="00730BD5" w:rsidRDefault="00C367F8" w:rsidP="00516260">
      <w:pPr>
        <w:tabs>
          <w:tab w:val="clear" w:pos="567"/>
          <w:tab w:val="left" w:pos="540"/>
          <w:tab w:val="left" w:pos="569"/>
        </w:tabs>
        <w:jc w:val="both"/>
        <w:rPr>
          <w:bCs/>
          <w:szCs w:val="22"/>
        </w:rPr>
      </w:pPr>
    </w:p>
    <w:p w14:paraId="3E8F6428" w14:textId="77777777" w:rsidR="00C367F8" w:rsidRDefault="00C367F8" w:rsidP="00C367F8">
      <w:pPr>
        <w:tabs>
          <w:tab w:val="clear" w:pos="567"/>
          <w:tab w:val="left" w:pos="540"/>
          <w:tab w:val="left" w:pos="569"/>
        </w:tabs>
        <w:rPr>
          <w:bCs/>
          <w:szCs w:val="22"/>
          <w:u w:val="single"/>
        </w:rPr>
      </w:pPr>
      <w:r w:rsidRPr="00DA2D5F">
        <w:rPr>
          <w:bCs/>
          <w:szCs w:val="22"/>
          <w:u w:val="single"/>
        </w:rPr>
        <w:t>Prevencija kardiovaskularnih događaja</w:t>
      </w:r>
    </w:p>
    <w:p w14:paraId="1E022D1F" w14:textId="77777777" w:rsidR="00C367F8" w:rsidRPr="00DA2D5F" w:rsidRDefault="00C367F8" w:rsidP="00C367F8">
      <w:pPr>
        <w:tabs>
          <w:tab w:val="clear" w:pos="567"/>
          <w:tab w:val="left" w:pos="540"/>
          <w:tab w:val="left" w:pos="569"/>
        </w:tabs>
        <w:rPr>
          <w:bCs/>
          <w:szCs w:val="22"/>
          <w:u w:val="single"/>
        </w:rPr>
      </w:pPr>
    </w:p>
    <w:p w14:paraId="5489C8E4" w14:textId="77777777" w:rsidR="00C367F8" w:rsidRPr="00730BD5" w:rsidRDefault="00063A6C" w:rsidP="00C367F8">
      <w:pPr>
        <w:tabs>
          <w:tab w:val="clear" w:pos="567"/>
          <w:tab w:val="left" w:pos="540"/>
          <w:tab w:val="left" w:pos="569"/>
        </w:tabs>
        <w:jc w:val="both"/>
        <w:rPr>
          <w:bCs/>
          <w:szCs w:val="22"/>
        </w:rPr>
      </w:pPr>
      <w:r>
        <w:rPr>
          <w:bCs/>
          <w:szCs w:val="22"/>
        </w:rPr>
        <w:t xml:space="preserve">Lijek </w:t>
      </w:r>
      <w:r w:rsidR="00C367F8" w:rsidRPr="00730BD5">
        <w:rPr>
          <w:bCs/>
          <w:szCs w:val="22"/>
        </w:rPr>
        <w:t>Co-Roswera je indi</w:t>
      </w:r>
      <w:r w:rsidR="00C367F8">
        <w:rPr>
          <w:bCs/>
          <w:szCs w:val="22"/>
        </w:rPr>
        <w:t>kovan</w:t>
      </w:r>
      <w:r w:rsidR="00C367F8" w:rsidRPr="00730BD5">
        <w:rPr>
          <w:bCs/>
          <w:szCs w:val="22"/>
        </w:rPr>
        <w:t xml:space="preserve"> </w:t>
      </w:r>
      <w:r w:rsidR="00C367F8">
        <w:rPr>
          <w:bCs/>
          <w:szCs w:val="22"/>
        </w:rPr>
        <w:t>kao supstituciona terapija</w:t>
      </w:r>
      <w:r w:rsidR="00C367F8" w:rsidRPr="00730BD5">
        <w:rPr>
          <w:bCs/>
          <w:szCs w:val="22"/>
        </w:rPr>
        <w:t xml:space="preserve"> </w:t>
      </w:r>
      <w:r w:rsidR="00C367F8">
        <w:rPr>
          <w:bCs/>
          <w:szCs w:val="22"/>
        </w:rPr>
        <w:t>kod</w:t>
      </w:r>
      <w:r w:rsidR="00C367F8" w:rsidRPr="00730BD5">
        <w:rPr>
          <w:bCs/>
          <w:szCs w:val="22"/>
        </w:rPr>
        <w:t xml:space="preserve"> odraslih </w:t>
      </w:r>
      <w:r w:rsidR="00C367F8">
        <w:rPr>
          <w:bCs/>
          <w:szCs w:val="22"/>
        </w:rPr>
        <w:t>pacijenata</w:t>
      </w:r>
      <w:r w:rsidR="00C367F8" w:rsidRPr="00730BD5">
        <w:rPr>
          <w:bCs/>
          <w:szCs w:val="22"/>
        </w:rPr>
        <w:t xml:space="preserve"> kojima je stanje odgovarajuće</w:t>
      </w:r>
      <w:r w:rsidR="00C367F8">
        <w:rPr>
          <w:bCs/>
          <w:szCs w:val="22"/>
        </w:rPr>
        <w:t xml:space="preserve"> </w:t>
      </w:r>
      <w:r w:rsidR="00C367F8" w:rsidRPr="00730BD5">
        <w:rPr>
          <w:bCs/>
          <w:szCs w:val="22"/>
        </w:rPr>
        <w:t>kontroli</w:t>
      </w:r>
      <w:r w:rsidR="00C367F8">
        <w:rPr>
          <w:bCs/>
          <w:szCs w:val="22"/>
        </w:rPr>
        <w:t>sano primjenom</w:t>
      </w:r>
      <w:r w:rsidR="00C367F8" w:rsidRPr="00730BD5">
        <w:rPr>
          <w:bCs/>
          <w:szCs w:val="22"/>
        </w:rPr>
        <w:t xml:space="preserve"> rosuvastatin</w:t>
      </w:r>
      <w:r w:rsidR="00C367F8">
        <w:rPr>
          <w:bCs/>
          <w:szCs w:val="22"/>
        </w:rPr>
        <w:t>a</w:t>
      </w:r>
      <w:r w:rsidR="00C367F8" w:rsidRPr="00730BD5">
        <w:rPr>
          <w:bCs/>
          <w:szCs w:val="22"/>
        </w:rPr>
        <w:t xml:space="preserve"> i ezetimib</w:t>
      </w:r>
      <w:r w:rsidR="00C367F8">
        <w:rPr>
          <w:bCs/>
          <w:szCs w:val="22"/>
        </w:rPr>
        <w:t>a</w:t>
      </w:r>
      <w:r w:rsidR="00C367F8" w:rsidRPr="00730BD5">
        <w:rPr>
          <w:bCs/>
          <w:szCs w:val="22"/>
        </w:rPr>
        <w:t xml:space="preserve"> </w:t>
      </w:r>
      <w:r w:rsidR="00C367F8">
        <w:rPr>
          <w:bCs/>
          <w:szCs w:val="22"/>
        </w:rPr>
        <w:t>istovremeno</w:t>
      </w:r>
      <w:r w:rsidR="00C367F8" w:rsidRPr="00730BD5">
        <w:rPr>
          <w:bCs/>
          <w:szCs w:val="22"/>
        </w:rPr>
        <w:t xml:space="preserve"> i u istim dozama kao i u fiksnoj</w:t>
      </w:r>
      <w:r w:rsidR="00C367F8">
        <w:rPr>
          <w:bCs/>
          <w:szCs w:val="22"/>
        </w:rPr>
        <w:t xml:space="preserve"> </w:t>
      </w:r>
      <w:r w:rsidR="00C367F8" w:rsidRPr="00730BD5">
        <w:rPr>
          <w:bCs/>
          <w:szCs w:val="22"/>
        </w:rPr>
        <w:t xml:space="preserve">kombinaciji, ali kao </w:t>
      </w:r>
      <w:r w:rsidR="00C367F8">
        <w:rPr>
          <w:bCs/>
          <w:szCs w:val="22"/>
        </w:rPr>
        <w:t>pojedinačnih</w:t>
      </w:r>
      <w:r w:rsidR="00C367F8" w:rsidRPr="00730BD5">
        <w:rPr>
          <w:bCs/>
          <w:szCs w:val="22"/>
        </w:rPr>
        <w:t xml:space="preserve"> ljekov</w:t>
      </w:r>
      <w:r w:rsidR="00C367F8">
        <w:rPr>
          <w:bCs/>
          <w:szCs w:val="22"/>
        </w:rPr>
        <w:t>a</w:t>
      </w:r>
      <w:r w:rsidR="00C367F8" w:rsidRPr="00730BD5">
        <w:rPr>
          <w:bCs/>
          <w:szCs w:val="22"/>
        </w:rPr>
        <w:t>, za smanjenje rizika od kardiovaskularnih doga</w:t>
      </w:r>
      <w:r w:rsidR="00C367F8">
        <w:rPr>
          <w:bCs/>
          <w:szCs w:val="22"/>
        </w:rPr>
        <w:t>đ</w:t>
      </w:r>
      <w:r w:rsidR="00C367F8" w:rsidRPr="00730BD5">
        <w:rPr>
          <w:bCs/>
          <w:szCs w:val="22"/>
        </w:rPr>
        <w:t xml:space="preserve">aja </w:t>
      </w:r>
      <w:r w:rsidR="00C367F8">
        <w:rPr>
          <w:bCs/>
          <w:szCs w:val="22"/>
        </w:rPr>
        <w:t xml:space="preserve">kod pacijenata sa </w:t>
      </w:r>
      <w:r w:rsidR="00C367F8" w:rsidRPr="00730BD5">
        <w:rPr>
          <w:bCs/>
          <w:szCs w:val="22"/>
        </w:rPr>
        <w:t>koronarnom bolešću srca (KBS) i s</w:t>
      </w:r>
      <w:r w:rsidR="00C367F8">
        <w:rPr>
          <w:bCs/>
          <w:szCs w:val="22"/>
        </w:rPr>
        <w:t>a</w:t>
      </w:r>
      <w:r w:rsidR="00C367F8" w:rsidRPr="00730BD5">
        <w:rPr>
          <w:bCs/>
          <w:szCs w:val="22"/>
        </w:rPr>
        <w:t xml:space="preserve"> akutnim koronarnim sindromom (AKS) u anamnezi.</w:t>
      </w:r>
    </w:p>
    <w:p w14:paraId="44ECA95F" w14:textId="77777777" w:rsidR="00C367F8" w:rsidRPr="00786071" w:rsidRDefault="00C367F8" w:rsidP="00C367F8">
      <w:pPr>
        <w:tabs>
          <w:tab w:val="clear" w:pos="567"/>
          <w:tab w:val="left" w:pos="540"/>
          <w:tab w:val="left" w:pos="569"/>
        </w:tabs>
        <w:jc w:val="both"/>
        <w:rPr>
          <w:bCs/>
          <w:szCs w:val="22"/>
        </w:rPr>
      </w:pPr>
    </w:p>
    <w:p w14:paraId="462A737C" w14:textId="77777777" w:rsidR="00C367F8" w:rsidRPr="00786071" w:rsidRDefault="00C367F8" w:rsidP="00C367F8">
      <w:pPr>
        <w:tabs>
          <w:tab w:val="clear" w:pos="567"/>
          <w:tab w:val="left" w:pos="540"/>
          <w:tab w:val="left" w:pos="569"/>
        </w:tabs>
        <w:rPr>
          <w:b/>
          <w:bCs/>
          <w:szCs w:val="22"/>
        </w:rPr>
      </w:pPr>
      <w:r w:rsidRPr="00786071">
        <w:rPr>
          <w:b/>
          <w:bCs/>
          <w:szCs w:val="22"/>
        </w:rPr>
        <w:t xml:space="preserve">4.2. </w:t>
      </w:r>
      <w:r w:rsidRPr="00786071">
        <w:rPr>
          <w:b/>
          <w:bCs/>
          <w:szCs w:val="22"/>
        </w:rPr>
        <w:tab/>
        <w:t>Doziranje i način primjene</w:t>
      </w:r>
    </w:p>
    <w:p w14:paraId="659D2AF2" w14:textId="77777777" w:rsidR="00C367F8" w:rsidRPr="00786071" w:rsidRDefault="00C367F8" w:rsidP="00C367F8">
      <w:pPr>
        <w:tabs>
          <w:tab w:val="clear" w:pos="567"/>
          <w:tab w:val="left" w:pos="540"/>
          <w:tab w:val="left" w:pos="569"/>
        </w:tabs>
        <w:rPr>
          <w:bCs/>
          <w:szCs w:val="22"/>
        </w:rPr>
      </w:pPr>
    </w:p>
    <w:p w14:paraId="59856A04" w14:textId="77777777" w:rsidR="00C367F8" w:rsidRDefault="00C367F8" w:rsidP="00C367F8">
      <w:pPr>
        <w:tabs>
          <w:tab w:val="clear" w:pos="567"/>
          <w:tab w:val="left" w:pos="540"/>
          <w:tab w:val="left" w:pos="569"/>
        </w:tabs>
        <w:rPr>
          <w:bCs/>
          <w:szCs w:val="22"/>
          <w:u w:val="single"/>
        </w:rPr>
      </w:pPr>
      <w:r w:rsidRPr="00786071">
        <w:rPr>
          <w:bCs/>
          <w:szCs w:val="22"/>
          <w:u w:val="single"/>
        </w:rPr>
        <w:t>Doziranje</w:t>
      </w:r>
    </w:p>
    <w:p w14:paraId="6E410F11" w14:textId="77777777" w:rsidR="00C367F8" w:rsidRDefault="00C367F8" w:rsidP="00C367F8">
      <w:pPr>
        <w:tabs>
          <w:tab w:val="clear" w:pos="567"/>
          <w:tab w:val="left" w:pos="540"/>
          <w:tab w:val="left" w:pos="569"/>
        </w:tabs>
        <w:rPr>
          <w:bCs/>
          <w:szCs w:val="22"/>
          <w:u w:val="single"/>
        </w:rPr>
      </w:pPr>
    </w:p>
    <w:p w14:paraId="50EBE36E" w14:textId="77777777" w:rsidR="00C367F8" w:rsidRDefault="00C367F8">
      <w:pPr>
        <w:tabs>
          <w:tab w:val="clear" w:pos="567"/>
          <w:tab w:val="left" w:pos="540"/>
          <w:tab w:val="left" w:pos="569"/>
        </w:tabs>
        <w:jc w:val="both"/>
        <w:rPr>
          <w:szCs w:val="22"/>
        </w:rPr>
      </w:pPr>
      <w:r w:rsidRPr="00462ECF">
        <w:rPr>
          <w:szCs w:val="22"/>
        </w:rPr>
        <w:t xml:space="preserve">Prije </w:t>
      </w:r>
      <w:r>
        <w:rPr>
          <w:szCs w:val="22"/>
        </w:rPr>
        <w:t>početka terapije</w:t>
      </w:r>
      <w:r w:rsidRPr="00462ECF">
        <w:rPr>
          <w:szCs w:val="22"/>
        </w:rPr>
        <w:t xml:space="preserve"> </w:t>
      </w:r>
      <w:r>
        <w:rPr>
          <w:szCs w:val="22"/>
        </w:rPr>
        <w:t>pacijent</w:t>
      </w:r>
      <w:r w:rsidRPr="00462ECF">
        <w:rPr>
          <w:szCs w:val="22"/>
        </w:rPr>
        <w:t xml:space="preserve"> mora biti na odgovarajućoj dijeti za snižavanje </w:t>
      </w:r>
      <w:r>
        <w:rPr>
          <w:szCs w:val="22"/>
        </w:rPr>
        <w:t>h</w:t>
      </w:r>
      <w:r w:rsidRPr="00462ECF">
        <w:rPr>
          <w:szCs w:val="22"/>
        </w:rPr>
        <w:t>olesterola i ona se mora nastaviti i t</w:t>
      </w:r>
      <w:r>
        <w:rPr>
          <w:szCs w:val="22"/>
        </w:rPr>
        <w:t>o</w:t>
      </w:r>
      <w:r w:rsidRPr="00462ECF">
        <w:rPr>
          <w:szCs w:val="22"/>
        </w:rPr>
        <w:t xml:space="preserve">kom liječenja. </w:t>
      </w:r>
    </w:p>
    <w:p w14:paraId="0480CE4D" w14:textId="77777777" w:rsidR="00C367F8" w:rsidRDefault="00C367F8">
      <w:pPr>
        <w:tabs>
          <w:tab w:val="clear" w:pos="567"/>
          <w:tab w:val="left" w:pos="540"/>
          <w:tab w:val="left" w:pos="569"/>
        </w:tabs>
        <w:jc w:val="both"/>
        <w:rPr>
          <w:szCs w:val="22"/>
        </w:rPr>
      </w:pPr>
      <w:r w:rsidRPr="00462ECF">
        <w:rPr>
          <w:szCs w:val="22"/>
        </w:rPr>
        <w:t xml:space="preserve">Preporučena doza lijeka Co-Roswera je jedna tableta dnevno. Co-Roswera se može davati u bilo koje </w:t>
      </w:r>
      <w:r>
        <w:rPr>
          <w:szCs w:val="22"/>
        </w:rPr>
        <w:t>doba</w:t>
      </w:r>
      <w:r w:rsidRPr="00462ECF">
        <w:rPr>
          <w:szCs w:val="22"/>
        </w:rPr>
        <w:t xml:space="preserve"> dana, s</w:t>
      </w:r>
      <w:r>
        <w:rPr>
          <w:szCs w:val="22"/>
        </w:rPr>
        <w:t>a</w:t>
      </w:r>
      <w:r w:rsidRPr="00462ECF">
        <w:rPr>
          <w:szCs w:val="22"/>
        </w:rPr>
        <w:t xml:space="preserve"> hranom ili bez nje. </w:t>
      </w:r>
    </w:p>
    <w:p w14:paraId="5C77238E" w14:textId="77777777" w:rsidR="00063A6C" w:rsidRDefault="00063A6C">
      <w:pPr>
        <w:tabs>
          <w:tab w:val="clear" w:pos="567"/>
          <w:tab w:val="left" w:pos="540"/>
          <w:tab w:val="left" w:pos="569"/>
        </w:tabs>
        <w:jc w:val="both"/>
        <w:rPr>
          <w:szCs w:val="22"/>
        </w:rPr>
      </w:pPr>
    </w:p>
    <w:p w14:paraId="619BF8A4" w14:textId="77777777" w:rsidR="00C367F8" w:rsidRPr="005F2918" w:rsidRDefault="00C367F8">
      <w:pPr>
        <w:tabs>
          <w:tab w:val="clear" w:pos="567"/>
          <w:tab w:val="left" w:pos="540"/>
          <w:tab w:val="left" w:pos="569"/>
        </w:tabs>
        <w:jc w:val="both"/>
        <w:rPr>
          <w:szCs w:val="22"/>
        </w:rPr>
      </w:pPr>
      <w:r w:rsidRPr="00462ECF">
        <w:rPr>
          <w:szCs w:val="22"/>
        </w:rPr>
        <w:t xml:space="preserve">Prije </w:t>
      </w:r>
      <w:r>
        <w:rPr>
          <w:szCs w:val="22"/>
        </w:rPr>
        <w:t>prelaska</w:t>
      </w:r>
      <w:r w:rsidRPr="00462ECF">
        <w:rPr>
          <w:szCs w:val="22"/>
        </w:rPr>
        <w:t xml:space="preserve"> na Co-Rosweru </w:t>
      </w:r>
      <w:r>
        <w:rPr>
          <w:szCs w:val="22"/>
        </w:rPr>
        <w:t>stanje pacijenata mora</w:t>
      </w:r>
      <w:r w:rsidRPr="00462ECF">
        <w:rPr>
          <w:szCs w:val="22"/>
        </w:rPr>
        <w:t xml:space="preserve"> biti </w:t>
      </w:r>
      <w:r>
        <w:rPr>
          <w:szCs w:val="22"/>
        </w:rPr>
        <w:t>kontrolisano</w:t>
      </w:r>
      <w:r w:rsidRPr="00462ECF">
        <w:rPr>
          <w:szCs w:val="22"/>
        </w:rPr>
        <w:t xml:space="preserve"> </w:t>
      </w:r>
      <w:r w:rsidRPr="005F2918">
        <w:rPr>
          <w:szCs w:val="22"/>
        </w:rPr>
        <w:t>pomoću utvrđenih doza</w:t>
      </w:r>
    </w:p>
    <w:p w14:paraId="379EA7A9" w14:textId="77777777" w:rsidR="00C367F8" w:rsidRDefault="00C367F8">
      <w:pPr>
        <w:tabs>
          <w:tab w:val="clear" w:pos="567"/>
          <w:tab w:val="left" w:pos="540"/>
          <w:tab w:val="left" w:pos="569"/>
        </w:tabs>
        <w:jc w:val="both"/>
        <w:rPr>
          <w:szCs w:val="22"/>
        </w:rPr>
      </w:pPr>
      <w:r w:rsidRPr="005F2918">
        <w:rPr>
          <w:szCs w:val="22"/>
        </w:rPr>
        <w:t>monokomponentnih l</w:t>
      </w:r>
      <w:r>
        <w:rPr>
          <w:szCs w:val="22"/>
        </w:rPr>
        <w:t>j</w:t>
      </w:r>
      <w:r w:rsidRPr="005F2918">
        <w:rPr>
          <w:szCs w:val="22"/>
        </w:rPr>
        <w:t xml:space="preserve">ekova, </w:t>
      </w:r>
      <w:r w:rsidR="00063A6C">
        <w:rPr>
          <w:szCs w:val="22"/>
        </w:rPr>
        <w:t>koji se daju</w:t>
      </w:r>
      <w:r w:rsidR="00063A6C" w:rsidRPr="005F2918">
        <w:rPr>
          <w:szCs w:val="22"/>
        </w:rPr>
        <w:t xml:space="preserve"> </w:t>
      </w:r>
      <w:r w:rsidRPr="005F2918">
        <w:rPr>
          <w:szCs w:val="22"/>
        </w:rPr>
        <w:t>u isto vr</w:t>
      </w:r>
      <w:r>
        <w:rPr>
          <w:szCs w:val="22"/>
        </w:rPr>
        <w:t>ij</w:t>
      </w:r>
      <w:r w:rsidRPr="005F2918">
        <w:rPr>
          <w:szCs w:val="22"/>
        </w:rPr>
        <w:t>eme</w:t>
      </w:r>
      <w:r w:rsidRPr="00462ECF">
        <w:rPr>
          <w:szCs w:val="22"/>
        </w:rPr>
        <w:t xml:space="preserve">. Doza Co-Roswere </w:t>
      </w:r>
      <w:r>
        <w:rPr>
          <w:szCs w:val="22"/>
        </w:rPr>
        <w:t>mora</w:t>
      </w:r>
      <w:r w:rsidRPr="00462ECF">
        <w:rPr>
          <w:szCs w:val="22"/>
        </w:rPr>
        <w:t xml:space="preserve"> odgovarati dozama pojedinačnih komponenti kombinacije u trenutku </w:t>
      </w:r>
      <w:r>
        <w:rPr>
          <w:szCs w:val="22"/>
        </w:rPr>
        <w:t>prelaska</w:t>
      </w:r>
      <w:r w:rsidR="00063A6C">
        <w:rPr>
          <w:szCs w:val="22"/>
        </w:rPr>
        <w:t xml:space="preserve"> na lijek Co-Roswera</w:t>
      </w:r>
      <w:r w:rsidRPr="00462ECF">
        <w:rPr>
          <w:szCs w:val="22"/>
        </w:rPr>
        <w:t xml:space="preserve">. </w:t>
      </w:r>
    </w:p>
    <w:p w14:paraId="5C92D071" w14:textId="77777777" w:rsidR="00063A6C" w:rsidRDefault="00063A6C">
      <w:pPr>
        <w:tabs>
          <w:tab w:val="clear" w:pos="567"/>
          <w:tab w:val="left" w:pos="540"/>
          <w:tab w:val="left" w:pos="569"/>
        </w:tabs>
        <w:jc w:val="both"/>
        <w:rPr>
          <w:szCs w:val="22"/>
        </w:rPr>
      </w:pPr>
    </w:p>
    <w:p w14:paraId="075354EC" w14:textId="77777777" w:rsidR="00C367F8" w:rsidRDefault="00063A6C">
      <w:pPr>
        <w:tabs>
          <w:tab w:val="clear" w:pos="567"/>
          <w:tab w:val="left" w:pos="540"/>
          <w:tab w:val="left" w:pos="569"/>
        </w:tabs>
        <w:jc w:val="both"/>
        <w:rPr>
          <w:szCs w:val="22"/>
        </w:rPr>
      </w:pPr>
      <w:r>
        <w:rPr>
          <w:szCs w:val="22"/>
        </w:rPr>
        <w:t xml:space="preserve">Lijek </w:t>
      </w:r>
      <w:r w:rsidR="00C367F8" w:rsidRPr="00462ECF">
        <w:rPr>
          <w:szCs w:val="22"/>
        </w:rPr>
        <w:t xml:space="preserve">Co-Roswera nije </w:t>
      </w:r>
      <w:r w:rsidR="00C367F8">
        <w:rPr>
          <w:szCs w:val="22"/>
        </w:rPr>
        <w:t>pogod</w:t>
      </w:r>
      <w:r>
        <w:rPr>
          <w:szCs w:val="22"/>
        </w:rPr>
        <w:t>an</w:t>
      </w:r>
      <w:r w:rsidR="00C367F8" w:rsidRPr="00462ECF">
        <w:rPr>
          <w:szCs w:val="22"/>
        </w:rPr>
        <w:t xml:space="preserve"> </w:t>
      </w:r>
      <w:r w:rsidR="00C367F8">
        <w:rPr>
          <w:szCs w:val="22"/>
        </w:rPr>
        <w:t>za započinjanje terapije</w:t>
      </w:r>
      <w:r w:rsidR="00C367F8" w:rsidRPr="00462ECF">
        <w:rPr>
          <w:szCs w:val="22"/>
        </w:rPr>
        <w:t>. Početak liječenja ili prilago</w:t>
      </w:r>
      <w:r w:rsidR="00C367F8">
        <w:rPr>
          <w:szCs w:val="22"/>
        </w:rPr>
        <w:t>đavanje</w:t>
      </w:r>
      <w:r w:rsidR="00C367F8" w:rsidRPr="00462ECF">
        <w:rPr>
          <w:szCs w:val="22"/>
        </w:rPr>
        <w:t xml:space="preserve"> doze, ako je potrebno, </w:t>
      </w:r>
      <w:r w:rsidR="00C367F8">
        <w:rPr>
          <w:szCs w:val="22"/>
        </w:rPr>
        <w:t>vrši</w:t>
      </w:r>
      <w:r w:rsidR="00C367F8" w:rsidRPr="00462ECF">
        <w:rPr>
          <w:szCs w:val="22"/>
        </w:rPr>
        <w:t xml:space="preserve"> se isključivo primjenom monokomponentnih ljekova, a nakon odre</w:t>
      </w:r>
      <w:r w:rsidR="00C367F8">
        <w:rPr>
          <w:szCs w:val="22"/>
        </w:rPr>
        <w:t>đ</w:t>
      </w:r>
      <w:r w:rsidR="00C367F8" w:rsidRPr="00462ECF">
        <w:rPr>
          <w:szCs w:val="22"/>
        </w:rPr>
        <w:t>ivanja odgovarajućih doza, može se preći na primjenu fiksne kombinacij</w:t>
      </w:r>
      <w:r w:rsidR="00C367F8">
        <w:rPr>
          <w:szCs w:val="22"/>
        </w:rPr>
        <w:t>e</w:t>
      </w:r>
      <w:r w:rsidR="00C367F8" w:rsidRPr="00462ECF">
        <w:rPr>
          <w:szCs w:val="22"/>
        </w:rPr>
        <w:t xml:space="preserve"> ljekova odgovarajuće jačine.</w:t>
      </w:r>
    </w:p>
    <w:p w14:paraId="22ED9B5B" w14:textId="77777777" w:rsidR="00C367F8" w:rsidRDefault="00C367F8">
      <w:pPr>
        <w:tabs>
          <w:tab w:val="clear" w:pos="567"/>
          <w:tab w:val="left" w:pos="540"/>
          <w:tab w:val="left" w:pos="569"/>
        </w:tabs>
        <w:jc w:val="both"/>
        <w:rPr>
          <w:bCs/>
          <w:szCs w:val="22"/>
          <w:u w:val="single"/>
        </w:rPr>
      </w:pPr>
    </w:p>
    <w:p w14:paraId="106DBFB0" w14:textId="77777777" w:rsidR="00C367F8" w:rsidRDefault="00C367F8">
      <w:pPr>
        <w:tabs>
          <w:tab w:val="clear" w:pos="567"/>
          <w:tab w:val="left" w:pos="540"/>
          <w:tab w:val="left" w:pos="569"/>
        </w:tabs>
        <w:jc w:val="both"/>
        <w:rPr>
          <w:bCs/>
          <w:szCs w:val="22"/>
          <w:u w:val="single"/>
        </w:rPr>
      </w:pPr>
      <w:r w:rsidRPr="002A4629">
        <w:rPr>
          <w:bCs/>
          <w:szCs w:val="22"/>
          <w:u w:val="single"/>
        </w:rPr>
        <w:t>Isto</w:t>
      </w:r>
      <w:r>
        <w:rPr>
          <w:bCs/>
          <w:szCs w:val="22"/>
          <w:u w:val="single"/>
        </w:rPr>
        <w:t>vreme</w:t>
      </w:r>
      <w:r w:rsidRPr="002A4629">
        <w:rPr>
          <w:bCs/>
          <w:szCs w:val="22"/>
          <w:u w:val="single"/>
        </w:rPr>
        <w:t>na primjena sa sekvestrantima (adsorbensima) žučnih kis</w:t>
      </w:r>
      <w:r>
        <w:rPr>
          <w:bCs/>
          <w:szCs w:val="22"/>
          <w:u w:val="single"/>
        </w:rPr>
        <w:t>j</w:t>
      </w:r>
      <w:r w:rsidRPr="002A4629">
        <w:rPr>
          <w:bCs/>
          <w:szCs w:val="22"/>
          <w:u w:val="single"/>
        </w:rPr>
        <w:t>elina</w:t>
      </w:r>
    </w:p>
    <w:p w14:paraId="5D5F7D4E" w14:textId="77777777" w:rsidR="00C367F8" w:rsidRPr="002A4629" w:rsidRDefault="00C367F8">
      <w:pPr>
        <w:tabs>
          <w:tab w:val="clear" w:pos="567"/>
          <w:tab w:val="left" w:pos="540"/>
          <w:tab w:val="left" w:pos="569"/>
        </w:tabs>
        <w:jc w:val="both"/>
        <w:rPr>
          <w:bCs/>
          <w:szCs w:val="22"/>
        </w:rPr>
      </w:pPr>
      <w:r w:rsidRPr="002A4629">
        <w:rPr>
          <w:bCs/>
          <w:szCs w:val="22"/>
        </w:rPr>
        <w:t>Doz</w:t>
      </w:r>
      <w:r>
        <w:rPr>
          <w:bCs/>
          <w:szCs w:val="22"/>
        </w:rPr>
        <w:t>u lijeka</w:t>
      </w:r>
      <w:r w:rsidRPr="002A4629">
        <w:rPr>
          <w:bCs/>
          <w:szCs w:val="22"/>
        </w:rPr>
        <w:t xml:space="preserve"> Co-Roswer</w:t>
      </w:r>
      <w:r>
        <w:rPr>
          <w:bCs/>
          <w:szCs w:val="22"/>
        </w:rPr>
        <w:t>a</w:t>
      </w:r>
      <w:r w:rsidRPr="002A4629">
        <w:rPr>
          <w:bCs/>
          <w:szCs w:val="22"/>
        </w:rPr>
        <w:t xml:space="preserve"> treba </w:t>
      </w:r>
      <w:r>
        <w:rPr>
          <w:bCs/>
          <w:szCs w:val="22"/>
        </w:rPr>
        <w:t xml:space="preserve">uzeti </w:t>
      </w:r>
      <w:r w:rsidRPr="002A4629">
        <w:rPr>
          <w:bCs/>
          <w:szCs w:val="22"/>
        </w:rPr>
        <w:t>najmanje 2 sata prije ili n</w:t>
      </w:r>
      <w:r>
        <w:rPr>
          <w:bCs/>
          <w:szCs w:val="22"/>
        </w:rPr>
        <w:t xml:space="preserve">ajmanje </w:t>
      </w:r>
      <w:r w:rsidRPr="002A4629">
        <w:rPr>
          <w:bCs/>
          <w:szCs w:val="22"/>
        </w:rPr>
        <w:t>4 sata nakon primjene sekvestranta (adsorbensa) žučnih kis</w:t>
      </w:r>
      <w:r>
        <w:rPr>
          <w:bCs/>
          <w:szCs w:val="22"/>
        </w:rPr>
        <w:t>j</w:t>
      </w:r>
      <w:r w:rsidRPr="002A4629">
        <w:rPr>
          <w:bCs/>
          <w:szCs w:val="22"/>
        </w:rPr>
        <w:t>elina (vidjeti dio 4.5).</w:t>
      </w:r>
    </w:p>
    <w:p w14:paraId="33570648" w14:textId="77777777" w:rsidR="00C367F8" w:rsidRPr="00786071" w:rsidRDefault="00C367F8" w:rsidP="00C367F8">
      <w:pPr>
        <w:tabs>
          <w:tab w:val="clear" w:pos="567"/>
          <w:tab w:val="left" w:pos="540"/>
          <w:tab w:val="left" w:pos="569"/>
        </w:tabs>
        <w:rPr>
          <w:bCs/>
          <w:szCs w:val="22"/>
          <w:u w:val="single"/>
        </w:rPr>
      </w:pPr>
    </w:p>
    <w:p w14:paraId="2C98D60B" w14:textId="77777777" w:rsidR="00C367F8" w:rsidRDefault="00C367F8" w:rsidP="00C367F8">
      <w:pPr>
        <w:tabs>
          <w:tab w:val="clear" w:pos="567"/>
          <w:tab w:val="left" w:pos="540"/>
          <w:tab w:val="left" w:pos="569"/>
        </w:tabs>
        <w:rPr>
          <w:i/>
          <w:szCs w:val="22"/>
        </w:rPr>
      </w:pPr>
      <w:r w:rsidRPr="006C7A46">
        <w:rPr>
          <w:i/>
          <w:szCs w:val="22"/>
        </w:rPr>
        <w:t>Posebne populacije</w:t>
      </w:r>
    </w:p>
    <w:p w14:paraId="7E582E52" w14:textId="77777777" w:rsidR="00C367F8" w:rsidRDefault="00C367F8" w:rsidP="00C367F8">
      <w:pPr>
        <w:tabs>
          <w:tab w:val="clear" w:pos="567"/>
          <w:tab w:val="left" w:pos="540"/>
          <w:tab w:val="left" w:pos="569"/>
        </w:tabs>
        <w:rPr>
          <w:bCs/>
          <w:i/>
          <w:szCs w:val="22"/>
        </w:rPr>
      </w:pPr>
    </w:p>
    <w:p w14:paraId="17F60730" w14:textId="77777777" w:rsidR="00C367F8" w:rsidRPr="005A7C86" w:rsidRDefault="00C367F8" w:rsidP="00C367F8">
      <w:pPr>
        <w:tabs>
          <w:tab w:val="clear" w:pos="567"/>
          <w:tab w:val="left" w:pos="540"/>
          <w:tab w:val="left" w:pos="569"/>
        </w:tabs>
        <w:jc w:val="both"/>
        <w:rPr>
          <w:szCs w:val="22"/>
        </w:rPr>
      </w:pPr>
      <w:r w:rsidRPr="005A7C86">
        <w:rPr>
          <w:szCs w:val="22"/>
        </w:rPr>
        <w:t xml:space="preserve">Starije osobe </w:t>
      </w:r>
    </w:p>
    <w:p w14:paraId="547E789B" w14:textId="77777777" w:rsidR="00C367F8" w:rsidRDefault="00C367F8" w:rsidP="00C367F8">
      <w:pPr>
        <w:tabs>
          <w:tab w:val="clear" w:pos="567"/>
          <w:tab w:val="left" w:pos="540"/>
          <w:tab w:val="left" w:pos="569"/>
        </w:tabs>
        <w:jc w:val="both"/>
        <w:rPr>
          <w:szCs w:val="22"/>
        </w:rPr>
      </w:pPr>
      <w:r w:rsidRPr="006C7A46">
        <w:rPr>
          <w:szCs w:val="22"/>
        </w:rPr>
        <w:t>Preporučuje se početna doza od 5 mg rosuvastatina kod pacijenata starijih od 70 godina (vid</w:t>
      </w:r>
      <w:r>
        <w:rPr>
          <w:szCs w:val="22"/>
        </w:rPr>
        <w:t>j</w:t>
      </w:r>
      <w:r w:rsidRPr="006C7A46">
        <w:rPr>
          <w:szCs w:val="22"/>
        </w:rPr>
        <w:t xml:space="preserve">eti </w:t>
      </w:r>
      <w:r>
        <w:rPr>
          <w:szCs w:val="22"/>
        </w:rPr>
        <w:t>dio</w:t>
      </w:r>
      <w:r w:rsidRPr="006C7A46">
        <w:rPr>
          <w:szCs w:val="22"/>
        </w:rPr>
        <w:t xml:space="preserve"> 4.4). Druga prilagođavanja doze nisu neophodna u vezi sa </w:t>
      </w:r>
      <w:r w:rsidR="00063A6C">
        <w:rPr>
          <w:szCs w:val="22"/>
        </w:rPr>
        <w:t>uzrastom</w:t>
      </w:r>
      <w:r w:rsidRPr="006C7A46">
        <w:rPr>
          <w:szCs w:val="22"/>
        </w:rPr>
        <w:t>.</w:t>
      </w:r>
    </w:p>
    <w:p w14:paraId="12E5A6AE" w14:textId="77777777" w:rsidR="00C367F8" w:rsidRDefault="00C367F8" w:rsidP="00C367F8">
      <w:pPr>
        <w:tabs>
          <w:tab w:val="clear" w:pos="567"/>
          <w:tab w:val="left" w:pos="540"/>
          <w:tab w:val="left" w:pos="569"/>
        </w:tabs>
        <w:jc w:val="both"/>
        <w:rPr>
          <w:szCs w:val="22"/>
        </w:rPr>
      </w:pPr>
    </w:p>
    <w:p w14:paraId="0F3828EC" w14:textId="77777777" w:rsidR="00C367F8" w:rsidRPr="005A7C86" w:rsidRDefault="00C367F8" w:rsidP="00C367F8">
      <w:pPr>
        <w:tabs>
          <w:tab w:val="clear" w:pos="567"/>
          <w:tab w:val="left" w:pos="540"/>
          <w:tab w:val="left" w:pos="569"/>
        </w:tabs>
        <w:jc w:val="both"/>
        <w:rPr>
          <w:szCs w:val="22"/>
        </w:rPr>
      </w:pPr>
      <w:r w:rsidRPr="005A7C86">
        <w:rPr>
          <w:szCs w:val="22"/>
        </w:rPr>
        <w:t xml:space="preserve">Oštećenje funkcije bubrega </w:t>
      </w:r>
    </w:p>
    <w:p w14:paraId="788692B0" w14:textId="77777777" w:rsidR="00C367F8" w:rsidRDefault="00C367F8" w:rsidP="00C367F8">
      <w:pPr>
        <w:tabs>
          <w:tab w:val="clear" w:pos="567"/>
          <w:tab w:val="left" w:pos="540"/>
          <w:tab w:val="left" w:pos="569"/>
        </w:tabs>
        <w:jc w:val="both"/>
        <w:rPr>
          <w:szCs w:val="22"/>
        </w:rPr>
      </w:pPr>
      <w:r w:rsidRPr="005A7C86">
        <w:rPr>
          <w:szCs w:val="22"/>
        </w:rPr>
        <w:t>Nije neophodno prilagođavanje doze kod pacijenata sa blagim do um</w:t>
      </w:r>
      <w:r>
        <w:rPr>
          <w:szCs w:val="22"/>
        </w:rPr>
        <w:t>j</w:t>
      </w:r>
      <w:r w:rsidRPr="005A7C86">
        <w:rPr>
          <w:szCs w:val="22"/>
        </w:rPr>
        <w:t>erenim oštećenjem funkcije bubrega. Preporučena početna doza je 5 mg rosuvastatina kod pacijenata sa um</w:t>
      </w:r>
      <w:r>
        <w:rPr>
          <w:szCs w:val="22"/>
        </w:rPr>
        <w:t>j</w:t>
      </w:r>
      <w:r w:rsidRPr="005A7C86">
        <w:rPr>
          <w:szCs w:val="22"/>
        </w:rPr>
        <w:t>erenim oštećenjem funkcije bubrega (klirens kreatinina</w:t>
      </w:r>
      <w:r>
        <w:rPr>
          <w:szCs w:val="22"/>
        </w:rPr>
        <w:t xml:space="preserve"> &lt;60ml/min). </w:t>
      </w:r>
      <w:r w:rsidRPr="000124DF">
        <w:rPr>
          <w:szCs w:val="22"/>
        </w:rPr>
        <w:t>Doza od 40 mg + 10 mg je kontraindikovana kod pacijenata sa umjerenim oštećenjem funkcije bubrega</w:t>
      </w:r>
      <w:r w:rsidRPr="00121EE1">
        <w:rPr>
          <w:szCs w:val="22"/>
        </w:rPr>
        <w:t xml:space="preserve">. Kod pacijenata sa teškim oštećenjem funkcije bubrega  primjena </w:t>
      </w:r>
      <w:r w:rsidR="00063A6C">
        <w:rPr>
          <w:szCs w:val="22"/>
        </w:rPr>
        <w:t xml:space="preserve">lijeka </w:t>
      </w:r>
      <w:r w:rsidRPr="00121EE1">
        <w:rPr>
          <w:szCs w:val="22"/>
        </w:rPr>
        <w:t>Co-Roswer</w:t>
      </w:r>
      <w:r w:rsidR="00063A6C">
        <w:rPr>
          <w:szCs w:val="22"/>
        </w:rPr>
        <w:t>a</w:t>
      </w:r>
      <w:r w:rsidRPr="00121EE1">
        <w:rPr>
          <w:szCs w:val="22"/>
        </w:rPr>
        <w:t xml:space="preserve"> u svim dozama je kontraindikovana (vidjeti djelove 4.3 i 5.2).</w:t>
      </w:r>
    </w:p>
    <w:p w14:paraId="5DB6698A" w14:textId="77777777" w:rsidR="00063A6C" w:rsidRDefault="00063A6C" w:rsidP="00C367F8">
      <w:pPr>
        <w:tabs>
          <w:tab w:val="clear" w:pos="567"/>
          <w:tab w:val="left" w:pos="540"/>
          <w:tab w:val="left" w:pos="569"/>
        </w:tabs>
        <w:jc w:val="both"/>
        <w:rPr>
          <w:szCs w:val="22"/>
        </w:rPr>
      </w:pPr>
    </w:p>
    <w:p w14:paraId="39FBB9DC" w14:textId="77777777" w:rsidR="00C367F8" w:rsidRPr="005C38B0" w:rsidRDefault="00C367F8" w:rsidP="00C367F8">
      <w:pPr>
        <w:tabs>
          <w:tab w:val="clear" w:pos="567"/>
          <w:tab w:val="left" w:pos="540"/>
          <w:tab w:val="left" w:pos="569"/>
        </w:tabs>
        <w:jc w:val="both"/>
        <w:rPr>
          <w:bCs/>
          <w:szCs w:val="22"/>
        </w:rPr>
      </w:pPr>
      <w:r w:rsidRPr="005C38B0">
        <w:rPr>
          <w:szCs w:val="22"/>
        </w:rPr>
        <w:lastRenderedPageBreak/>
        <w:t>Oštećenje funkcije jetre</w:t>
      </w:r>
    </w:p>
    <w:p w14:paraId="091607E3" w14:textId="77777777" w:rsidR="00C367F8" w:rsidRPr="005C38B0" w:rsidRDefault="00C367F8" w:rsidP="00C367F8">
      <w:pPr>
        <w:tabs>
          <w:tab w:val="clear" w:pos="567"/>
          <w:tab w:val="left" w:pos="540"/>
          <w:tab w:val="left" w:pos="569"/>
        </w:tabs>
        <w:jc w:val="both"/>
        <w:rPr>
          <w:szCs w:val="22"/>
        </w:rPr>
      </w:pPr>
      <w:r w:rsidRPr="005C38B0">
        <w:rPr>
          <w:szCs w:val="22"/>
        </w:rPr>
        <w:t xml:space="preserve">Nije potrebno prilagođavanje doze kod pacijenata sa blagim oštećenjem funkcije jetre (po Child Pugh klasifikaciji: 5 - 6 bodova). Liječenje </w:t>
      </w:r>
      <w:r w:rsidR="00063A6C">
        <w:rPr>
          <w:szCs w:val="22"/>
        </w:rPr>
        <w:t xml:space="preserve">lijekom </w:t>
      </w:r>
      <w:r w:rsidRPr="005C38B0">
        <w:rPr>
          <w:szCs w:val="22"/>
        </w:rPr>
        <w:t>Co-Roswer</w:t>
      </w:r>
      <w:r w:rsidR="00063A6C">
        <w:rPr>
          <w:szCs w:val="22"/>
        </w:rPr>
        <w:t>a</w:t>
      </w:r>
      <w:r w:rsidRPr="005C38B0">
        <w:rPr>
          <w:szCs w:val="22"/>
        </w:rPr>
        <w:t xml:space="preserve"> kod pacijenata sa umjerenim (Child Pugh klasifikacija: 7 - 9 bodova) ili teškim (Child Pugh klasifikacija: ˃9 bodova) oštećenjem funkcije jetre se ne preporučuje (vidjeti djelove 4.4 i 5.2). </w:t>
      </w:r>
    </w:p>
    <w:p w14:paraId="2D395693" w14:textId="77777777" w:rsidR="00C367F8" w:rsidRPr="005C38B0" w:rsidRDefault="00C367F8" w:rsidP="00C367F8">
      <w:pPr>
        <w:tabs>
          <w:tab w:val="clear" w:pos="567"/>
          <w:tab w:val="left" w:pos="540"/>
          <w:tab w:val="left" w:pos="569"/>
        </w:tabs>
        <w:jc w:val="both"/>
        <w:rPr>
          <w:szCs w:val="22"/>
        </w:rPr>
      </w:pPr>
    </w:p>
    <w:p w14:paraId="0BBB0758" w14:textId="77777777" w:rsidR="00C367F8" w:rsidRDefault="00C367F8" w:rsidP="00C367F8">
      <w:pPr>
        <w:tabs>
          <w:tab w:val="clear" w:pos="567"/>
          <w:tab w:val="left" w:pos="540"/>
          <w:tab w:val="left" w:pos="569"/>
        </w:tabs>
        <w:jc w:val="both"/>
        <w:rPr>
          <w:szCs w:val="22"/>
        </w:rPr>
      </w:pPr>
      <w:r>
        <w:rPr>
          <w:szCs w:val="22"/>
        </w:rPr>
        <w:t xml:space="preserve">Lijek </w:t>
      </w:r>
      <w:r w:rsidRPr="005C38B0">
        <w:rPr>
          <w:szCs w:val="22"/>
        </w:rPr>
        <w:t>Co-Roswera je kontraindikovan kod pacijenata sa aktivnom bolesti jetre (vidjeti dio 4.3).</w:t>
      </w:r>
    </w:p>
    <w:p w14:paraId="21156874" w14:textId="77777777" w:rsidR="00C367F8" w:rsidRDefault="00C367F8" w:rsidP="00C367F8">
      <w:pPr>
        <w:tabs>
          <w:tab w:val="clear" w:pos="567"/>
          <w:tab w:val="left" w:pos="540"/>
          <w:tab w:val="left" w:pos="569"/>
        </w:tabs>
        <w:jc w:val="both"/>
        <w:rPr>
          <w:bCs/>
          <w:szCs w:val="22"/>
        </w:rPr>
      </w:pPr>
    </w:p>
    <w:p w14:paraId="4D54E76E" w14:textId="77777777" w:rsidR="00C367F8" w:rsidRPr="008C6D49" w:rsidRDefault="00C367F8" w:rsidP="00C367F8">
      <w:pPr>
        <w:tabs>
          <w:tab w:val="clear" w:pos="567"/>
          <w:tab w:val="left" w:pos="540"/>
          <w:tab w:val="left" w:pos="569"/>
        </w:tabs>
        <w:jc w:val="both"/>
        <w:rPr>
          <w:szCs w:val="22"/>
          <w:u w:val="single"/>
        </w:rPr>
      </w:pPr>
      <w:r w:rsidRPr="008C6D49">
        <w:rPr>
          <w:szCs w:val="22"/>
          <w:u w:val="single"/>
        </w:rPr>
        <w:t xml:space="preserve">Rasa </w:t>
      </w:r>
    </w:p>
    <w:p w14:paraId="4D3F5721" w14:textId="77777777" w:rsidR="00C367F8" w:rsidRDefault="00C367F8" w:rsidP="00C367F8">
      <w:pPr>
        <w:tabs>
          <w:tab w:val="clear" w:pos="567"/>
          <w:tab w:val="left" w:pos="540"/>
          <w:tab w:val="left" w:pos="569"/>
        </w:tabs>
        <w:jc w:val="both"/>
        <w:rPr>
          <w:szCs w:val="22"/>
        </w:rPr>
      </w:pPr>
      <w:r w:rsidRPr="008C6D49">
        <w:rPr>
          <w:szCs w:val="22"/>
        </w:rPr>
        <w:t>Povećana sistemska izloženost rosuvastatinu uočena je kod ispitanika azijskog porijekla (vidjeti djelove 4.3, 4.4 i 5.2). Kod ovih pacijenata preporučena početna doza rosuvastatina iznosi 5 mg. Doza od 40 mg + 10 mg je kontraindikovana kod Azijata.</w:t>
      </w:r>
    </w:p>
    <w:p w14:paraId="11FE639C" w14:textId="77777777" w:rsidR="00C367F8" w:rsidRDefault="00C367F8" w:rsidP="00C367F8">
      <w:pPr>
        <w:tabs>
          <w:tab w:val="clear" w:pos="567"/>
          <w:tab w:val="left" w:pos="540"/>
          <w:tab w:val="left" w:pos="569"/>
        </w:tabs>
        <w:jc w:val="both"/>
        <w:rPr>
          <w:bCs/>
          <w:szCs w:val="22"/>
        </w:rPr>
      </w:pPr>
    </w:p>
    <w:p w14:paraId="67400A3F" w14:textId="77777777" w:rsidR="00C367F8" w:rsidRDefault="00C367F8" w:rsidP="00C367F8">
      <w:pPr>
        <w:tabs>
          <w:tab w:val="clear" w:pos="567"/>
          <w:tab w:val="left" w:pos="540"/>
          <w:tab w:val="left" w:pos="569"/>
        </w:tabs>
        <w:jc w:val="both"/>
        <w:rPr>
          <w:szCs w:val="22"/>
          <w:u w:val="single"/>
        </w:rPr>
      </w:pPr>
      <w:r w:rsidRPr="007058BB">
        <w:rPr>
          <w:szCs w:val="22"/>
          <w:u w:val="single"/>
        </w:rPr>
        <w:t>Genski polimorfizam</w:t>
      </w:r>
    </w:p>
    <w:p w14:paraId="1ED60408" w14:textId="77777777" w:rsidR="00C367F8" w:rsidRDefault="00C367F8" w:rsidP="00C367F8">
      <w:pPr>
        <w:tabs>
          <w:tab w:val="clear" w:pos="567"/>
          <w:tab w:val="left" w:pos="540"/>
          <w:tab w:val="left" w:pos="569"/>
        </w:tabs>
        <w:jc w:val="both"/>
        <w:rPr>
          <w:szCs w:val="22"/>
        </w:rPr>
      </w:pPr>
      <w:r w:rsidRPr="007058BB">
        <w:rPr>
          <w:szCs w:val="22"/>
        </w:rPr>
        <w:t xml:space="preserve">Poznati su specifični tipovi genskog polimorfizma koji mogu dovesti do povećane izloženosti rosuvastatinu (vidjeti dio 5.2). Za </w:t>
      </w:r>
      <w:r>
        <w:rPr>
          <w:szCs w:val="22"/>
        </w:rPr>
        <w:t>pacijente</w:t>
      </w:r>
      <w:r w:rsidRPr="007058BB">
        <w:rPr>
          <w:szCs w:val="22"/>
        </w:rPr>
        <w:t xml:space="preserve"> za koje je poznato da imaju te specifične tipove polimorfizma preporučuje se niža dnevna doza rosuvastatina.</w:t>
      </w:r>
    </w:p>
    <w:p w14:paraId="13656506" w14:textId="77777777" w:rsidR="00C367F8" w:rsidRDefault="00C367F8" w:rsidP="00C367F8">
      <w:pPr>
        <w:tabs>
          <w:tab w:val="clear" w:pos="567"/>
          <w:tab w:val="left" w:pos="540"/>
          <w:tab w:val="left" w:pos="569"/>
        </w:tabs>
        <w:jc w:val="both"/>
        <w:rPr>
          <w:szCs w:val="22"/>
        </w:rPr>
      </w:pPr>
    </w:p>
    <w:p w14:paraId="33E160E9" w14:textId="77777777" w:rsidR="00C367F8" w:rsidRPr="00763C47" w:rsidRDefault="00C367F8" w:rsidP="00C367F8">
      <w:pPr>
        <w:tabs>
          <w:tab w:val="clear" w:pos="567"/>
          <w:tab w:val="left" w:pos="540"/>
          <w:tab w:val="left" w:pos="569"/>
        </w:tabs>
        <w:jc w:val="both"/>
        <w:rPr>
          <w:szCs w:val="22"/>
          <w:u w:val="single"/>
        </w:rPr>
      </w:pPr>
      <w:r w:rsidRPr="00763C47">
        <w:rPr>
          <w:szCs w:val="22"/>
          <w:u w:val="single"/>
        </w:rPr>
        <w:t>Doziranje kod pacijenata sa predisponirajućim faktorima za miopatiju</w:t>
      </w:r>
    </w:p>
    <w:p w14:paraId="684F9A4B" w14:textId="77777777" w:rsidR="00C367F8" w:rsidRDefault="00C367F8" w:rsidP="00C367F8">
      <w:pPr>
        <w:tabs>
          <w:tab w:val="clear" w:pos="567"/>
          <w:tab w:val="left" w:pos="540"/>
          <w:tab w:val="left" w:pos="569"/>
        </w:tabs>
        <w:jc w:val="both"/>
        <w:rPr>
          <w:szCs w:val="22"/>
        </w:rPr>
      </w:pPr>
      <w:r w:rsidRPr="00B46D31">
        <w:rPr>
          <w:szCs w:val="22"/>
        </w:rPr>
        <w:t>Preporučena početna doza kod pacijenata sa predisponirajućim faktorima za miopatiju je 5 mg rosuvastatina (vid</w:t>
      </w:r>
      <w:r>
        <w:rPr>
          <w:szCs w:val="22"/>
        </w:rPr>
        <w:t>j</w:t>
      </w:r>
      <w:r w:rsidRPr="00B46D31">
        <w:rPr>
          <w:szCs w:val="22"/>
        </w:rPr>
        <w:t xml:space="preserve">eti </w:t>
      </w:r>
      <w:r>
        <w:rPr>
          <w:szCs w:val="22"/>
        </w:rPr>
        <w:t>dio</w:t>
      </w:r>
      <w:r w:rsidRPr="00B46D31">
        <w:rPr>
          <w:szCs w:val="22"/>
        </w:rPr>
        <w:t xml:space="preserve"> 4.4). Kod nekih od ovih pacijenata doza od 40 mg</w:t>
      </w:r>
      <w:r>
        <w:rPr>
          <w:szCs w:val="22"/>
        </w:rPr>
        <w:t xml:space="preserve"> + </w:t>
      </w:r>
      <w:r w:rsidRPr="00B46D31">
        <w:rPr>
          <w:szCs w:val="22"/>
        </w:rPr>
        <w:t>10 mg rosuvastatina je kontraindikovana (vid</w:t>
      </w:r>
      <w:r>
        <w:rPr>
          <w:szCs w:val="22"/>
        </w:rPr>
        <w:t>j</w:t>
      </w:r>
      <w:r w:rsidRPr="00B46D31">
        <w:rPr>
          <w:szCs w:val="22"/>
        </w:rPr>
        <w:t xml:space="preserve">eti </w:t>
      </w:r>
      <w:r>
        <w:rPr>
          <w:szCs w:val="22"/>
        </w:rPr>
        <w:t>dio</w:t>
      </w:r>
      <w:r w:rsidRPr="00B46D31">
        <w:rPr>
          <w:szCs w:val="22"/>
        </w:rPr>
        <w:t xml:space="preserve"> 4.3).</w:t>
      </w:r>
    </w:p>
    <w:p w14:paraId="50DF0C4E" w14:textId="77777777" w:rsidR="00C367F8" w:rsidRDefault="00C367F8" w:rsidP="00C367F8">
      <w:pPr>
        <w:tabs>
          <w:tab w:val="clear" w:pos="567"/>
          <w:tab w:val="left" w:pos="540"/>
          <w:tab w:val="left" w:pos="569"/>
        </w:tabs>
        <w:jc w:val="both"/>
        <w:rPr>
          <w:szCs w:val="22"/>
        </w:rPr>
      </w:pPr>
    </w:p>
    <w:p w14:paraId="17E7FD1B" w14:textId="77777777" w:rsidR="00C367F8" w:rsidRPr="00290B6F" w:rsidRDefault="00C367F8" w:rsidP="00C367F8">
      <w:pPr>
        <w:tabs>
          <w:tab w:val="clear" w:pos="567"/>
          <w:tab w:val="left" w:pos="540"/>
          <w:tab w:val="left" w:pos="569"/>
        </w:tabs>
        <w:jc w:val="both"/>
        <w:rPr>
          <w:szCs w:val="22"/>
          <w:u w:val="single"/>
        </w:rPr>
      </w:pPr>
      <w:r w:rsidRPr="00290B6F">
        <w:rPr>
          <w:szCs w:val="22"/>
          <w:u w:val="single"/>
        </w:rPr>
        <w:t xml:space="preserve">Istovremena terapija </w:t>
      </w:r>
    </w:p>
    <w:p w14:paraId="39E5B672" w14:textId="77777777" w:rsidR="00C367F8" w:rsidRDefault="00C367F8" w:rsidP="00C367F8">
      <w:pPr>
        <w:tabs>
          <w:tab w:val="clear" w:pos="567"/>
          <w:tab w:val="left" w:pos="540"/>
          <w:tab w:val="left" w:pos="569"/>
        </w:tabs>
        <w:jc w:val="both"/>
        <w:rPr>
          <w:szCs w:val="22"/>
        </w:rPr>
      </w:pPr>
      <w:r w:rsidRPr="00290B6F">
        <w:rPr>
          <w:szCs w:val="22"/>
        </w:rPr>
        <w:t>Rosuvastatin je supstrat različitih transportnih proteina (npr. OATP1B1 i BCRP). Rizik od miopatije (uključujući rabdomiolizu) povećava se kada se rosuvastatin uzima istovremeno sa određenim l</w:t>
      </w:r>
      <w:r>
        <w:rPr>
          <w:szCs w:val="22"/>
        </w:rPr>
        <w:t>je</w:t>
      </w:r>
      <w:r w:rsidRPr="00290B6F">
        <w:rPr>
          <w:szCs w:val="22"/>
        </w:rPr>
        <w:t>kovima koji mogu da povećaju koncentraciju rosuvastatina u plazmi usled interakcija sa ovim transportnim proteinima (npr. ciklosporin i neki inhibitori proteaze, uključujući kombinacije ritonavira sa atazanavirom, lopinavirom i/ili tipranavirom, vid</w:t>
      </w:r>
      <w:r>
        <w:rPr>
          <w:szCs w:val="22"/>
        </w:rPr>
        <w:t>j</w:t>
      </w:r>
      <w:r w:rsidRPr="00290B6F">
        <w:rPr>
          <w:szCs w:val="22"/>
        </w:rPr>
        <w:t xml:space="preserve">eti </w:t>
      </w:r>
      <w:r>
        <w:rPr>
          <w:szCs w:val="22"/>
        </w:rPr>
        <w:t>djelove</w:t>
      </w:r>
      <w:r w:rsidRPr="00290B6F">
        <w:rPr>
          <w:szCs w:val="22"/>
        </w:rPr>
        <w:t xml:space="preserve"> 4.4 i 4.5). Kada god je to moguće, trebalo bi razmotriti mogućnost</w:t>
      </w:r>
      <w:r>
        <w:rPr>
          <w:szCs w:val="22"/>
        </w:rPr>
        <w:t xml:space="preserve"> primjene alternativnih ljekova, a po potrebi razmotriti</w:t>
      </w:r>
      <w:r w:rsidRPr="00290B6F">
        <w:rPr>
          <w:szCs w:val="22"/>
        </w:rPr>
        <w:t xml:space="preserve"> privremen</w:t>
      </w:r>
      <w:r>
        <w:rPr>
          <w:szCs w:val="22"/>
        </w:rPr>
        <w:t xml:space="preserve">i </w:t>
      </w:r>
      <w:r w:rsidRPr="00290B6F">
        <w:rPr>
          <w:szCs w:val="22"/>
        </w:rPr>
        <w:t>prekid</w:t>
      </w:r>
      <w:r>
        <w:rPr>
          <w:szCs w:val="22"/>
        </w:rPr>
        <w:t xml:space="preserve"> </w:t>
      </w:r>
      <w:r w:rsidRPr="00290B6F">
        <w:rPr>
          <w:szCs w:val="22"/>
        </w:rPr>
        <w:t>terapije rosuvastatinom. U slučaju kada je istovremena primena ovih l</w:t>
      </w:r>
      <w:r>
        <w:rPr>
          <w:szCs w:val="22"/>
        </w:rPr>
        <w:t>j</w:t>
      </w:r>
      <w:r w:rsidRPr="00290B6F">
        <w:rPr>
          <w:szCs w:val="22"/>
        </w:rPr>
        <w:t>ekova sa rosuvastatinom neizb</w:t>
      </w:r>
      <w:r>
        <w:rPr>
          <w:szCs w:val="22"/>
        </w:rPr>
        <w:t>j</w:t>
      </w:r>
      <w:r w:rsidRPr="00290B6F">
        <w:rPr>
          <w:szCs w:val="22"/>
        </w:rPr>
        <w:t>ežna, mora se pažljivo proc</w:t>
      </w:r>
      <w:r>
        <w:rPr>
          <w:szCs w:val="22"/>
        </w:rPr>
        <w:t>ij</w:t>
      </w:r>
      <w:r w:rsidRPr="00290B6F">
        <w:rPr>
          <w:szCs w:val="22"/>
        </w:rPr>
        <w:t xml:space="preserve">eniti odnos </w:t>
      </w:r>
      <w:r>
        <w:t xml:space="preserve">koristi </w:t>
      </w:r>
      <w:r w:rsidRPr="00290B6F">
        <w:rPr>
          <w:szCs w:val="22"/>
        </w:rPr>
        <w:t>i rizik</w:t>
      </w:r>
      <w:r>
        <w:rPr>
          <w:szCs w:val="22"/>
        </w:rPr>
        <w:t>a</w:t>
      </w:r>
      <w:r w:rsidRPr="00290B6F">
        <w:rPr>
          <w:szCs w:val="22"/>
        </w:rPr>
        <w:t xml:space="preserve"> istovremene primjene</w:t>
      </w:r>
      <w:r>
        <w:rPr>
          <w:szCs w:val="22"/>
        </w:rPr>
        <w:t>,</w:t>
      </w:r>
      <w:r w:rsidRPr="00290B6F">
        <w:rPr>
          <w:szCs w:val="22"/>
        </w:rPr>
        <w:t xml:space="preserve"> kao i prilagođavanje doze rosuvastatina (vidjeti dio 4.5).</w:t>
      </w:r>
    </w:p>
    <w:p w14:paraId="3C9511C0" w14:textId="77777777" w:rsidR="00C367F8" w:rsidRDefault="00C367F8" w:rsidP="00C367F8">
      <w:pPr>
        <w:tabs>
          <w:tab w:val="clear" w:pos="567"/>
          <w:tab w:val="left" w:pos="540"/>
          <w:tab w:val="left" w:pos="569"/>
        </w:tabs>
        <w:jc w:val="both"/>
        <w:rPr>
          <w:szCs w:val="22"/>
        </w:rPr>
      </w:pPr>
    </w:p>
    <w:p w14:paraId="3DD6C087" w14:textId="77777777" w:rsidR="00C367F8" w:rsidRPr="00B47C28" w:rsidRDefault="00C367F8" w:rsidP="00C367F8">
      <w:pPr>
        <w:tabs>
          <w:tab w:val="clear" w:pos="567"/>
          <w:tab w:val="left" w:pos="540"/>
          <w:tab w:val="left" w:pos="569"/>
        </w:tabs>
        <w:jc w:val="both"/>
        <w:rPr>
          <w:i/>
          <w:szCs w:val="22"/>
        </w:rPr>
      </w:pPr>
      <w:r w:rsidRPr="00B47C28">
        <w:rPr>
          <w:i/>
          <w:szCs w:val="22"/>
        </w:rPr>
        <w:t xml:space="preserve">Pedijatrijska populacija </w:t>
      </w:r>
    </w:p>
    <w:p w14:paraId="72A4C359" w14:textId="77777777" w:rsidR="00C367F8" w:rsidRPr="00B47C28" w:rsidRDefault="00C367F8" w:rsidP="00C367F8">
      <w:pPr>
        <w:tabs>
          <w:tab w:val="clear" w:pos="567"/>
          <w:tab w:val="left" w:pos="540"/>
          <w:tab w:val="left" w:pos="569"/>
        </w:tabs>
        <w:jc w:val="both"/>
        <w:rPr>
          <w:szCs w:val="22"/>
        </w:rPr>
      </w:pPr>
      <w:r w:rsidRPr="00B47C28">
        <w:rPr>
          <w:szCs w:val="22"/>
        </w:rPr>
        <w:t xml:space="preserve">Bezbjednost i efikasnost primjene </w:t>
      </w:r>
      <w:r w:rsidR="00821CA7">
        <w:rPr>
          <w:szCs w:val="22"/>
        </w:rPr>
        <w:t xml:space="preserve">lijeka </w:t>
      </w:r>
      <w:r w:rsidRPr="00B47C28">
        <w:rPr>
          <w:szCs w:val="22"/>
        </w:rPr>
        <w:t>Co - Roswer</w:t>
      </w:r>
      <w:r w:rsidR="00821CA7">
        <w:rPr>
          <w:szCs w:val="22"/>
        </w:rPr>
        <w:t>a</w:t>
      </w:r>
      <w:r w:rsidRPr="00B47C28">
        <w:rPr>
          <w:szCs w:val="22"/>
        </w:rPr>
        <w:t xml:space="preserve"> kod djece mlađe od 18 godina ni</w:t>
      </w:r>
      <w:r w:rsidR="00821CA7">
        <w:rPr>
          <w:szCs w:val="22"/>
        </w:rPr>
        <w:t>jesu</w:t>
      </w:r>
      <w:r w:rsidRPr="00B47C28">
        <w:rPr>
          <w:szCs w:val="22"/>
        </w:rPr>
        <w:t xml:space="preserve"> utvrđene. Primjena </w:t>
      </w:r>
      <w:r w:rsidR="00821CA7">
        <w:rPr>
          <w:szCs w:val="22"/>
        </w:rPr>
        <w:t xml:space="preserve">lijeka </w:t>
      </w:r>
      <w:r w:rsidRPr="00B47C28">
        <w:rPr>
          <w:szCs w:val="22"/>
        </w:rPr>
        <w:t>Co - Roswer</w:t>
      </w:r>
      <w:r w:rsidR="00821CA7">
        <w:rPr>
          <w:szCs w:val="22"/>
        </w:rPr>
        <w:t>a</w:t>
      </w:r>
      <w:r w:rsidRPr="00B47C28">
        <w:rPr>
          <w:szCs w:val="22"/>
        </w:rPr>
        <w:t xml:space="preserve"> se ne preporučuje kod pacijenata mlađih od 18 godina. </w:t>
      </w:r>
    </w:p>
    <w:p w14:paraId="35E71209" w14:textId="77777777" w:rsidR="00C367F8" w:rsidRPr="00B47C28" w:rsidRDefault="00C367F8" w:rsidP="00C367F8">
      <w:pPr>
        <w:tabs>
          <w:tab w:val="clear" w:pos="567"/>
          <w:tab w:val="left" w:pos="540"/>
          <w:tab w:val="left" w:pos="569"/>
        </w:tabs>
        <w:jc w:val="both"/>
        <w:rPr>
          <w:szCs w:val="22"/>
        </w:rPr>
      </w:pPr>
    </w:p>
    <w:p w14:paraId="7CABC1E7" w14:textId="77777777" w:rsidR="00C367F8" w:rsidRPr="00B47C28" w:rsidRDefault="00C367F8" w:rsidP="00C367F8">
      <w:pPr>
        <w:tabs>
          <w:tab w:val="clear" w:pos="567"/>
          <w:tab w:val="left" w:pos="540"/>
          <w:tab w:val="left" w:pos="569"/>
        </w:tabs>
        <w:jc w:val="both"/>
        <w:rPr>
          <w:szCs w:val="22"/>
          <w:u w:val="single"/>
        </w:rPr>
      </w:pPr>
      <w:r w:rsidRPr="00B47C28">
        <w:rPr>
          <w:szCs w:val="22"/>
          <w:u w:val="single"/>
        </w:rPr>
        <w:t xml:space="preserve">Način primjene </w:t>
      </w:r>
    </w:p>
    <w:p w14:paraId="643AA491" w14:textId="77777777" w:rsidR="00C367F8" w:rsidRPr="00B47C28" w:rsidRDefault="00C367F8" w:rsidP="00C367F8">
      <w:pPr>
        <w:tabs>
          <w:tab w:val="clear" w:pos="567"/>
          <w:tab w:val="left" w:pos="540"/>
          <w:tab w:val="left" w:pos="569"/>
        </w:tabs>
        <w:jc w:val="both"/>
        <w:rPr>
          <w:szCs w:val="22"/>
        </w:rPr>
      </w:pPr>
      <w:r w:rsidRPr="00B47C28">
        <w:rPr>
          <w:szCs w:val="22"/>
        </w:rPr>
        <w:t>Za oralnu upotrebu.</w:t>
      </w:r>
    </w:p>
    <w:p w14:paraId="38C82D03" w14:textId="77777777" w:rsidR="00C367F8" w:rsidRPr="006C7A46" w:rsidRDefault="00C367F8" w:rsidP="00C367F8">
      <w:pPr>
        <w:tabs>
          <w:tab w:val="clear" w:pos="567"/>
          <w:tab w:val="left" w:pos="540"/>
          <w:tab w:val="left" w:pos="569"/>
        </w:tabs>
        <w:jc w:val="both"/>
        <w:rPr>
          <w:bCs/>
          <w:szCs w:val="22"/>
        </w:rPr>
      </w:pPr>
    </w:p>
    <w:p w14:paraId="727399DD" w14:textId="77777777" w:rsidR="00C367F8" w:rsidRDefault="00C367F8" w:rsidP="00C367F8">
      <w:pPr>
        <w:tabs>
          <w:tab w:val="clear" w:pos="567"/>
          <w:tab w:val="left" w:pos="540"/>
          <w:tab w:val="left" w:pos="569"/>
        </w:tabs>
        <w:rPr>
          <w:b/>
          <w:bCs/>
          <w:szCs w:val="22"/>
        </w:rPr>
      </w:pPr>
      <w:r w:rsidRPr="00786071">
        <w:rPr>
          <w:b/>
          <w:bCs/>
          <w:szCs w:val="22"/>
        </w:rPr>
        <w:t xml:space="preserve">4.3. </w:t>
      </w:r>
      <w:r w:rsidRPr="00786071">
        <w:rPr>
          <w:b/>
          <w:bCs/>
          <w:szCs w:val="22"/>
        </w:rPr>
        <w:tab/>
        <w:t>Kontraindikacije</w:t>
      </w:r>
    </w:p>
    <w:p w14:paraId="57E2A1F4" w14:textId="77777777" w:rsidR="00C367F8" w:rsidRDefault="00C367F8" w:rsidP="00C367F8">
      <w:pPr>
        <w:tabs>
          <w:tab w:val="clear" w:pos="567"/>
          <w:tab w:val="left" w:pos="540"/>
          <w:tab w:val="left" w:pos="569"/>
        </w:tabs>
        <w:rPr>
          <w:b/>
          <w:bCs/>
          <w:szCs w:val="22"/>
        </w:rPr>
      </w:pPr>
    </w:p>
    <w:p w14:paraId="2C6BF26C" w14:textId="77777777" w:rsidR="00C367F8" w:rsidRPr="00524036" w:rsidRDefault="00821CA7" w:rsidP="00C367F8">
      <w:pPr>
        <w:tabs>
          <w:tab w:val="clear" w:pos="567"/>
          <w:tab w:val="left" w:pos="540"/>
          <w:tab w:val="left" w:pos="569"/>
        </w:tabs>
        <w:jc w:val="both"/>
        <w:rPr>
          <w:szCs w:val="22"/>
        </w:rPr>
      </w:pPr>
      <w:r>
        <w:rPr>
          <w:szCs w:val="22"/>
        </w:rPr>
        <w:t xml:space="preserve">Lijek </w:t>
      </w:r>
      <w:r w:rsidR="00C367F8" w:rsidRPr="00524036">
        <w:rPr>
          <w:szCs w:val="22"/>
        </w:rPr>
        <w:t xml:space="preserve">Co-Roswera je kontraindikovan kod: </w:t>
      </w:r>
    </w:p>
    <w:p w14:paraId="443FD879" w14:textId="77777777" w:rsidR="00C367F8" w:rsidRPr="00524036" w:rsidRDefault="00C367F8" w:rsidP="0064489E">
      <w:pPr>
        <w:pStyle w:val="ListParagraph"/>
        <w:numPr>
          <w:ilvl w:val="0"/>
          <w:numId w:val="19"/>
        </w:numPr>
        <w:tabs>
          <w:tab w:val="left" w:pos="540"/>
          <w:tab w:val="left" w:pos="567"/>
        </w:tabs>
        <w:ind w:left="567" w:hanging="567"/>
        <w:jc w:val="both"/>
        <w:rPr>
          <w:sz w:val="22"/>
          <w:szCs w:val="22"/>
        </w:rPr>
      </w:pPr>
      <w:r w:rsidRPr="00524036">
        <w:rPr>
          <w:sz w:val="22"/>
          <w:szCs w:val="22"/>
        </w:rPr>
        <w:t xml:space="preserve">pacijenata sa preosjetljivošću na aktivne supstance ili neku od pomoćnih supstanci navedenih u dijelu 6.1, </w:t>
      </w:r>
    </w:p>
    <w:p w14:paraId="60607F7C" w14:textId="77777777" w:rsidR="00C367F8" w:rsidRPr="00524036" w:rsidRDefault="00C367F8" w:rsidP="0064489E">
      <w:pPr>
        <w:pStyle w:val="ListParagraph"/>
        <w:numPr>
          <w:ilvl w:val="0"/>
          <w:numId w:val="19"/>
        </w:numPr>
        <w:tabs>
          <w:tab w:val="left" w:pos="540"/>
          <w:tab w:val="left" w:pos="569"/>
        </w:tabs>
        <w:ind w:left="567" w:hanging="567"/>
        <w:jc w:val="both"/>
        <w:rPr>
          <w:sz w:val="22"/>
          <w:szCs w:val="22"/>
        </w:rPr>
      </w:pPr>
      <w:r w:rsidRPr="00524036">
        <w:rPr>
          <w:sz w:val="22"/>
          <w:szCs w:val="22"/>
        </w:rPr>
        <w:t xml:space="preserve">pacijenata sa aktivnom bolešću jetre, uključujući neobjašnjeno, trajno povećanje vrijednosti serumskih transaminaza ili bilo koje povećanje vrijednosti serumskih transaminaza koje je više od 3 puta iznad gornje granice normalne vrijednosti (GGN), </w:t>
      </w:r>
    </w:p>
    <w:p w14:paraId="7107969B" w14:textId="77777777" w:rsidR="00C367F8" w:rsidRPr="00524036" w:rsidRDefault="00C367F8" w:rsidP="0064489E">
      <w:pPr>
        <w:pStyle w:val="ListParagraph"/>
        <w:numPr>
          <w:ilvl w:val="0"/>
          <w:numId w:val="19"/>
        </w:numPr>
        <w:tabs>
          <w:tab w:val="left" w:pos="540"/>
          <w:tab w:val="left" w:pos="569"/>
        </w:tabs>
        <w:ind w:left="567" w:hanging="567"/>
        <w:jc w:val="both"/>
        <w:rPr>
          <w:b/>
          <w:bCs/>
          <w:sz w:val="22"/>
          <w:szCs w:val="22"/>
        </w:rPr>
      </w:pPr>
      <w:r w:rsidRPr="00524036">
        <w:rPr>
          <w:sz w:val="22"/>
          <w:szCs w:val="22"/>
        </w:rPr>
        <w:t>pacijenata sa teškim oštećenjem funkcije bubrega (klirens kreatinina &lt;30ml/min),</w:t>
      </w:r>
    </w:p>
    <w:p w14:paraId="4B299AFD" w14:textId="77777777" w:rsidR="00C367F8" w:rsidRPr="00524036" w:rsidRDefault="00C367F8" w:rsidP="0064489E">
      <w:pPr>
        <w:pStyle w:val="ListParagraph"/>
        <w:numPr>
          <w:ilvl w:val="0"/>
          <w:numId w:val="19"/>
        </w:numPr>
        <w:tabs>
          <w:tab w:val="left" w:pos="540"/>
          <w:tab w:val="left" w:pos="569"/>
        </w:tabs>
        <w:ind w:left="567" w:hanging="567"/>
        <w:jc w:val="both"/>
        <w:rPr>
          <w:b/>
          <w:bCs/>
          <w:sz w:val="22"/>
          <w:szCs w:val="22"/>
        </w:rPr>
      </w:pPr>
      <w:r w:rsidRPr="00524036">
        <w:rPr>
          <w:sz w:val="22"/>
          <w:szCs w:val="22"/>
        </w:rPr>
        <w:t>pacijenata sa miopatijom,</w:t>
      </w:r>
    </w:p>
    <w:p w14:paraId="162BBE4B" w14:textId="77777777" w:rsidR="00C367F8" w:rsidRPr="004D768E" w:rsidRDefault="00C367F8" w:rsidP="0064489E">
      <w:pPr>
        <w:pStyle w:val="ListParagraph"/>
        <w:numPr>
          <w:ilvl w:val="0"/>
          <w:numId w:val="19"/>
        </w:numPr>
        <w:tabs>
          <w:tab w:val="left" w:pos="540"/>
          <w:tab w:val="left" w:pos="569"/>
        </w:tabs>
        <w:ind w:left="567" w:hanging="567"/>
        <w:jc w:val="both"/>
        <w:rPr>
          <w:b/>
          <w:bCs/>
          <w:sz w:val="22"/>
          <w:szCs w:val="22"/>
        </w:rPr>
      </w:pPr>
      <w:r w:rsidRPr="00524036">
        <w:rPr>
          <w:sz w:val="22"/>
          <w:szCs w:val="22"/>
        </w:rPr>
        <w:t>pacijenata koji se istovremeno liječe kombinacijom sofosbuvira/velpatasvira/voksilaprevira (vidjeti dio 4.5),</w:t>
      </w:r>
    </w:p>
    <w:p w14:paraId="273009AE" w14:textId="77777777" w:rsidR="00C367F8" w:rsidRPr="004D768E" w:rsidRDefault="00C367F8" w:rsidP="0064489E">
      <w:pPr>
        <w:pStyle w:val="ListParagraph"/>
        <w:numPr>
          <w:ilvl w:val="0"/>
          <w:numId w:val="19"/>
        </w:numPr>
        <w:tabs>
          <w:tab w:val="left" w:pos="540"/>
          <w:tab w:val="left" w:pos="569"/>
        </w:tabs>
        <w:ind w:left="567" w:hanging="567"/>
        <w:jc w:val="both"/>
        <w:rPr>
          <w:b/>
          <w:bCs/>
          <w:sz w:val="22"/>
          <w:szCs w:val="22"/>
        </w:rPr>
      </w:pPr>
      <w:r w:rsidRPr="004D768E">
        <w:rPr>
          <w:sz w:val="22"/>
          <w:szCs w:val="22"/>
        </w:rPr>
        <w:t xml:space="preserve">pacijenata koji istovremeno uzimaju ciklosporin; </w:t>
      </w:r>
    </w:p>
    <w:p w14:paraId="78F02828" w14:textId="77777777" w:rsidR="00C367F8" w:rsidRPr="00CD3861" w:rsidRDefault="00C367F8" w:rsidP="0064489E">
      <w:pPr>
        <w:pStyle w:val="ListParagraph"/>
        <w:numPr>
          <w:ilvl w:val="0"/>
          <w:numId w:val="19"/>
        </w:numPr>
        <w:tabs>
          <w:tab w:val="left" w:pos="540"/>
          <w:tab w:val="left" w:pos="569"/>
        </w:tabs>
        <w:ind w:left="567" w:hanging="567"/>
        <w:jc w:val="both"/>
        <w:rPr>
          <w:b/>
          <w:bCs/>
          <w:sz w:val="22"/>
          <w:szCs w:val="22"/>
        </w:rPr>
      </w:pPr>
      <w:r w:rsidRPr="004D768E">
        <w:rPr>
          <w:sz w:val="22"/>
          <w:szCs w:val="22"/>
        </w:rPr>
        <w:t xml:space="preserve">tokom trudnoće i laktacije i kod žena u reproduktivnom periodu koje ne koriste </w:t>
      </w:r>
      <w:r>
        <w:rPr>
          <w:sz w:val="22"/>
          <w:szCs w:val="22"/>
        </w:rPr>
        <w:t>kontracepciju</w:t>
      </w:r>
    </w:p>
    <w:p w14:paraId="30417F78" w14:textId="77777777" w:rsidR="00C367F8" w:rsidRDefault="00C367F8" w:rsidP="00C367F8">
      <w:pPr>
        <w:pStyle w:val="ListParagraph"/>
        <w:tabs>
          <w:tab w:val="left" w:pos="540"/>
          <w:tab w:val="left" w:pos="569"/>
        </w:tabs>
        <w:jc w:val="both"/>
        <w:rPr>
          <w:b/>
          <w:bCs/>
          <w:sz w:val="22"/>
          <w:szCs w:val="22"/>
        </w:rPr>
      </w:pPr>
    </w:p>
    <w:p w14:paraId="5BC3D8A9" w14:textId="77777777" w:rsidR="00C367F8" w:rsidRPr="00357D60" w:rsidRDefault="00104C15" w:rsidP="00C367F8">
      <w:pPr>
        <w:tabs>
          <w:tab w:val="clear" w:pos="567"/>
          <w:tab w:val="left" w:pos="540"/>
          <w:tab w:val="left" w:pos="569"/>
        </w:tabs>
        <w:rPr>
          <w:szCs w:val="22"/>
        </w:rPr>
      </w:pPr>
      <w:r>
        <w:rPr>
          <w:szCs w:val="22"/>
        </w:rPr>
        <w:t xml:space="preserve">Lijek </w:t>
      </w:r>
      <w:r w:rsidR="00C367F8" w:rsidRPr="00357D60">
        <w:rPr>
          <w:szCs w:val="22"/>
        </w:rPr>
        <w:t>Co-Roswera 40 mg + 10 mg je kontraindikovan kod pacijenata sa predisponirajućim faktorima za miopatiju/rabdomiolizu. Takvi faktori uključuju:</w:t>
      </w:r>
    </w:p>
    <w:p w14:paraId="035BC2D6"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357D60">
        <w:rPr>
          <w:sz w:val="22"/>
          <w:szCs w:val="22"/>
        </w:rPr>
        <w:t>umjereno oštećenje funkcije bubrega (klirens kreatinina &lt;60ml/min),</w:t>
      </w:r>
    </w:p>
    <w:p w14:paraId="724E2D62" w14:textId="77777777" w:rsidR="00C367F8" w:rsidRPr="00357D60" w:rsidRDefault="00C367F8" w:rsidP="0064489E">
      <w:pPr>
        <w:pStyle w:val="ListParagraph"/>
        <w:numPr>
          <w:ilvl w:val="0"/>
          <w:numId w:val="20"/>
        </w:numPr>
        <w:tabs>
          <w:tab w:val="left" w:pos="540"/>
          <w:tab w:val="left" w:pos="569"/>
        </w:tabs>
        <w:ind w:left="567" w:hanging="567"/>
        <w:jc w:val="both"/>
        <w:rPr>
          <w:sz w:val="22"/>
          <w:szCs w:val="22"/>
        </w:rPr>
      </w:pPr>
      <w:r w:rsidRPr="00357D60">
        <w:rPr>
          <w:sz w:val="22"/>
          <w:szCs w:val="22"/>
        </w:rPr>
        <w:t>hipotiroidizam,</w:t>
      </w:r>
    </w:p>
    <w:p w14:paraId="3C2FF7CC"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7F58BA">
        <w:rPr>
          <w:sz w:val="22"/>
          <w:szCs w:val="22"/>
        </w:rPr>
        <w:t>ličnu ili porodičnu anamnezu nasledni</w:t>
      </w:r>
      <w:r w:rsidR="00104C15">
        <w:rPr>
          <w:sz w:val="22"/>
          <w:szCs w:val="22"/>
        </w:rPr>
        <w:t>h</w:t>
      </w:r>
      <w:r w:rsidRPr="007F58BA">
        <w:rPr>
          <w:sz w:val="22"/>
          <w:szCs w:val="22"/>
        </w:rPr>
        <w:t xml:space="preserve"> poremećaj</w:t>
      </w:r>
      <w:r w:rsidR="00104C15">
        <w:rPr>
          <w:sz w:val="22"/>
          <w:szCs w:val="22"/>
        </w:rPr>
        <w:t>a</w:t>
      </w:r>
      <w:r w:rsidRPr="007F58BA">
        <w:rPr>
          <w:sz w:val="22"/>
          <w:szCs w:val="22"/>
        </w:rPr>
        <w:t xml:space="preserve"> mišića</w:t>
      </w:r>
      <w:r>
        <w:rPr>
          <w:sz w:val="22"/>
          <w:szCs w:val="22"/>
        </w:rPr>
        <w:t>,</w:t>
      </w:r>
    </w:p>
    <w:p w14:paraId="174215DE"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4B05C7">
        <w:rPr>
          <w:sz w:val="22"/>
          <w:szCs w:val="22"/>
        </w:rPr>
        <w:t>raniju pojavu mišićne toksičnosti sa drugim inhibitorima HMG-CoA reduktaze ili fibratima</w:t>
      </w:r>
      <w:r>
        <w:rPr>
          <w:sz w:val="22"/>
          <w:szCs w:val="22"/>
        </w:rPr>
        <w:t>,</w:t>
      </w:r>
    </w:p>
    <w:p w14:paraId="5D4DA76F"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D96A92">
        <w:rPr>
          <w:sz w:val="22"/>
          <w:szCs w:val="22"/>
        </w:rPr>
        <w:t>zloupotrebu alkohola</w:t>
      </w:r>
      <w:r>
        <w:rPr>
          <w:sz w:val="22"/>
          <w:szCs w:val="22"/>
        </w:rPr>
        <w:t>,</w:t>
      </w:r>
    </w:p>
    <w:p w14:paraId="071D3999"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4C38AC">
        <w:rPr>
          <w:sz w:val="22"/>
          <w:szCs w:val="22"/>
        </w:rPr>
        <w:t xml:space="preserve">situacije </w:t>
      </w:r>
      <w:r w:rsidR="00104C15">
        <w:rPr>
          <w:sz w:val="22"/>
          <w:szCs w:val="22"/>
        </w:rPr>
        <w:t>u kojima</w:t>
      </w:r>
      <w:r w:rsidR="00104C15" w:rsidRPr="004C38AC">
        <w:rPr>
          <w:sz w:val="22"/>
          <w:szCs w:val="22"/>
        </w:rPr>
        <w:t xml:space="preserve"> </w:t>
      </w:r>
      <w:r w:rsidRPr="004C38AC">
        <w:rPr>
          <w:sz w:val="22"/>
          <w:szCs w:val="22"/>
        </w:rPr>
        <w:t>se može javiti povećanje koncentracije u plazmi</w:t>
      </w:r>
      <w:r>
        <w:rPr>
          <w:sz w:val="22"/>
          <w:szCs w:val="22"/>
        </w:rPr>
        <w:t>,</w:t>
      </w:r>
    </w:p>
    <w:p w14:paraId="0737681F"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Pr>
          <w:sz w:val="22"/>
          <w:szCs w:val="22"/>
        </w:rPr>
        <w:t>pacijente azijatskog porijekla,</w:t>
      </w:r>
    </w:p>
    <w:p w14:paraId="73A20FF3" w14:textId="77777777" w:rsidR="00C367F8" w:rsidRDefault="00C367F8" w:rsidP="0064489E">
      <w:pPr>
        <w:pStyle w:val="ListParagraph"/>
        <w:numPr>
          <w:ilvl w:val="0"/>
          <w:numId w:val="20"/>
        </w:numPr>
        <w:tabs>
          <w:tab w:val="left" w:pos="540"/>
          <w:tab w:val="left" w:pos="569"/>
        </w:tabs>
        <w:ind w:left="567" w:hanging="567"/>
        <w:jc w:val="both"/>
        <w:rPr>
          <w:sz w:val="22"/>
          <w:szCs w:val="22"/>
        </w:rPr>
      </w:pPr>
      <w:r w:rsidRPr="00A95168">
        <w:rPr>
          <w:sz w:val="22"/>
          <w:szCs w:val="22"/>
        </w:rPr>
        <w:t xml:space="preserve">istovremenu upotrebu </w:t>
      </w:r>
      <w:r>
        <w:rPr>
          <w:sz w:val="22"/>
          <w:szCs w:val="22"/>
        </w:rPr>
        <w:t>fibrat</w:t>
      </w:r>
      <w:r w:rsidR="00104C15">
        <w:rPr>
          <w:sz w:val="22"/>
          <w:szCs w:val="22"/>
        </w:rPr>
        <w:t>a</w:t>
      </w:r>
    </w:p>
    <w:p w14:paraId="2B4AE14D" w14:textId="77777777" w:rsidR="00C367F8" w:rsidRPr="00401460" w:rsidRDefault="00104C15" w:rsidP="00C367F8">
      <w:pPr>
        <w:tabs>
          <w:tab w:val="clear" w:pos="567"/>
          <w:tab w:val="left" w:pos="540"/>
          <w:tab w:val="left" w:pos="569"/>
        </w:tabs>
        <w:ind w:left="420"/>
        <w:jc w:val="both"/>
        <w:rPr>
          <w:szCs w:val="22"/>
        </w:rPr>
      </w:pPr>
      <w:r>
        <w:rPr>
          <w:szCs w:val="22"/>
        </w:rPr>
        <w:t xml:space="preserve">  </w:t>
      </w:r>
      <w:r w:rsidR="00C367F8" w:rsidRPr="00401460">
        <w:rPr>
          <w:szCs w:val="22"/>
        </w:rPr>
        <w:t>(vidjeti djelove 4.4, 4.5 i 5.2)</w:t>
      </w:r>
    </w:p>
    <w:p w14:paraId="72B222E8" w14:textId="77777777" w:rsidR="00C367F8" w:rsidRPr="00786071" w:rsidRDefault="00C367F8" w:rsidP="00C367F8">
      <w:pPr>
        <w:tabs>
          <w:tab w:val="clear" w:pos="567"/>
          <w:tab w:val="left" w:pos="540"/>
          <w:tab w:val="left" w:pos="569"/>
        </w:tabs>
        <w:rPr>
          <w:bCs/>
          <w:szCs w:val="22"/>
        </w:rPr>
      </w:pPr>
    </w:p>
    <w:p w14:paraId="36F2199D" w14:textId="77777777" w:rsidR="00C367F8" w:rsidRPr="00786071" w:rsidRDefault="00C367F8" w:rsidP="00C367F8">
      <w:pPr>
        <w:tabs>
          <w:tab w:val="clear" w:pos="567"/>
          <w:tab w:val="left" w:pos="540"/>
          <w:tab w:val="left" w:pos="569"/>
        </w:tabs>
        <w:rPr>
          <w:b/>
          <w:bCs/>
          <w:szCs w:val="22"/>
        </w:rPr>
      </w:pPr>
      <w:r w:rsidRPr="00786071">
        <w:rPr>
          <w:b/>
          <w:bCs/>
          <w:szCs w:val="22"/>
        </w:rPr>
        <w:t xml:space="preserve">4.4. </w:t>
      </w:r>
      <w:r w:rsidRPr="00786071">
        <w:rPr>
          <w:b/>
          <w:bCs/>
          <w:szCs w:val="22"/>
        </w:rPr>
        <w:tab/>
        <w:t>Posebna upozorenja i mjere opreza pri upotrebi lijeka</w:t>
      </w:r>
    </w:p>
    <w:p w14:paraId="00CD7547" w14:textId="77777777" w:rsidR="00C367F8" w:rsidRPr="00786071" w:rsidRDefault="00C367F8" w:rsidP="00C367F8">
      <w:pPr>
        <w:tabs>
          <w:tab w:val="clear" w:pos="567"/>
          <w:tab w:val="left" w:pos="540"/>
          <w:tab w:val="left" w:pos="569"/>
        </w:tabs>
        <w:rPr>
          <w:bCs/>
          <w:szCs w:val="22"/>
        </w:rPr>
      </w:pPr>
    </w:p>
    <w:p w14:paraId="6518E514" w14:textId="77777777" w:rsidR="00C367F8" w:rsidRPr="00005FF0" w:rsidRDefault="00C367F8" w:rsidP="00C367F8">
      <w:pPr>
        <w:tabs>
          <w:tab w:val="clear" w:pos="567"/>
          <w:tab w:val="left" w:pos="540"/>
          <w:tab w:val="left" w:pos="569"/>
        </w:tabs>
        <w:jc w:val="both"/>
        <w:rPr>
          <w:szCs w:val="22"/>
          <w:u w:val="single"/>
        </w:rPr>
      </w:pPr>
      <w:r>
        <w:rPr>
          <w:szCs w:val="22"/>
          <w:u w:val="single"/>
        </w:rPr>
        <w:t>Uticaj primjene lijeka</w:t>
      </w:r>
      <w:r w:rsidRPr="00005FF0">
        <w:rPr>
          <w:szCs w:val="22"/>
          <w:u w:val="single"/>
        </w:rPr>
        <w:t xml:space="preserve"> na bubrege </w:t>
      </w:r>
    </w:p>
    <w:p w14:paraId="07192AA1" w14:textId="77777777" w:rsidR="00C367F8" w:rsidRDefault="00C367F8" w:rsidP="00C367F8">
      <w:pPr>
        <w:tabs>
          <w:tab w:val="clear" w:pos="567"/>
          <w:tab w:val="left" w:pos="540"/>
          <w:tab w:val="left" w:pos="569"/>
        </w:tabs>
        <w:jc w:val="both"/>
        <w:rPr>
          <w:szCs w:val="22"/>
        </w:rPr>
      </w:pPr>
      <w:r w:rsidRPr="00005FF0">
        <w:rPr>
          <w:szCs w:val="22"/>
        </w:rPr>
        <w:t>Proteinurija, otkrivena test trakom, pretežno tubularnog por</w:t>
      </w:r>
      <w:r>
        <w:rPr>
          <w:szCs w:val="22"/>
        </w:rPr>
        <w:t>ij</w:t>
      </w:r>
      <w:r w:rsidRPr="00005FF0">
        <w:rPr>
          <w:szCs w:val="22"/>
        </w:rPr>
        <w:t>ekla, prim</w:t>
      </w:r>
      <w:r>
        <w:rPr>
          <w:szCs w:val="22"/>
        </w:rPr>
        <w:t>ij</w:t>
      </w:r>
      <w:r w:rsidRPr="00005FF0">
        <w:rPr>
          <w:szCs w:val="22"/>
        </w:rPr>
        <w:t>ećena je kod pacijenata koji su l</w:t>
      </w:r>
      <w:r>
        <w:rPr>
          <w:szCs w:val="22"/>
        </w:rPr>
        <w:t>ij</w:t>
      </w:r>
      <w:r w:rsidRPr="00005FF0">
        <w:rPr>
          <w:szCs w:val="22"/>
        </w:rPr>
        <w:t>ečeni</w:t>
      </w:r>
      <w:r>
        <w:rPr>
          <w:szCs w:val="22"/>
        </w:rPr>
        <w:t xml:space="preserve"> </w:t>
      </w:r>
      <w:r w:rsidRPr="00005FF0">
        <w:rPr>
          <w:szCs w:val="22"/>
        </w:rPr>
        <w:t>većim dozama rosuvastatina, naročito dozom od 40 mg, i u većini slučajeva je bila prolazna ili povremena. Pokazalo se da se sa pojavom proteinurije nije moglo predvid</w:t>
      </w:r>
      <w:r>
        <w:rPr>
          <w:szCs w:val="22"/>
        </w:rPr>
        <w:t>j</w:t>
      </w:r>
      <w:r w:rsidRPr="00005FF0">
        <w:rPr>
          <w:szCs w:val="22"/>
        </w:rPr>
        <w:t>eti akutno ili progresivno oboljenje bubrega (vid</w:t>
      </w:r>
      <w:r>
        <w:rPr>
          <w:szCs w:val="22"/>
        </w:rPr>
        <w:t>j</w:t>
      </w:r>
      <w:r w:rsidRPr="00005FF0">
        <w:rPr>
          <w:szCs w:val="22"/>
        </w:rPr>
        <w:t xml:space="preserve">eti </w:t>
      </w:r>
      <w:r>
        <w:rPr>
          <w:szCs w:val="22"/>
        </w:rPr>
        <w:t>dio</w:t>
      </w:r>
      <w:r w:rsidRPr="00005FF0">
        <w:rPr>
          <w:szCs w:val="22"/>
        </w:rPr>
        <w:t xml:space="preserve"> 4.8). Stopa prijavljivanja ozbiljnih renalnih </w:t>
      </w:r>
      <w:r w:rsidR="00104C15">
        <w:rPr>
          <w:szCs w:val="22"/>
        </w:rPr>
        <w:t>neželjenih reakcija</w:t>
      </w:r>
      <w:r w:rsidRPr="00005FF0">
        <w:rPr>
          <w:szCs w:val="22"/>
        </w:rPr>
        <w:t xml:space="preserve"> nakon </w:t>
      </w:r>
      <w:r w:rsidR="00104C15">
        <w:rPr>
          <w:szCs w:val="22"/>
        </w:rPr>
        <w:t>stavljanja</w:t>
      </w:r>
      <w:r w:rsidR="00104C15" w:rsidRPr="00005FF0">
        <w:rPr>
          <w:szCs w:val="22"/>
        </w:rPr>
        <w:t xml:space="preserve"> </w:t>
      </w:r>
      <w:r w:rsidRPr="00005FF0">
        <w:rPr>
          <w:szCs w:val="22"/>
        </w:rPr>
        <w:t>l</w:t>
      </w:r>
      <w:r>
        <w:rPr>
          <w:szCs w:val="22"/>
        </w:rPr>
        <w:t>ij</w:t>
      </w:r>
      <w:r w:rsidRPr="00005FF0">
        <w:rPr>
          <w:szCs w:val="22"/>
        </w:rPr>
        <w:t>eka</w:t>
      </w:r>
      <w:r w:rsidR="00104C15">
        <w:rPr>
          <w:szCs w:val="22"/>
        </w:rPr>
        <w:t xml:space="preserve"> u promet</w:t>
      </w:r>
      <w:r w:rsidRPr="00005FF0">
        <w:rPr>
          <w:szCs w:val="22"/>
        </w:rPr>
        <w:t xml:space="preserve"> bila je veća sa dozom od 40 mg rosuvastatina. Treba razmotriti proc</w:t>
      </w:r>
      <w:r>
        <w:rPr>
          <w:szCs w:val="22"/>
        </w:rPr>
        <w:t>j</w:t>
      </w:r>
      <w:r w:rsidRPr="00005FF0">
        <w:rPr>
          <w:szCs w:val="22"/>
        </w:rPr>
        <w:t xml:space="preserve">enu funkcije bubrega tokom rutinskih pregleda pacijenta koji </w:t>
      </w:r>
      <w:r>
        <w:rPr>
          <w:szCs w:val="22"/>
        </w:rPr>
        <w:t>su na terapiji</w:t>
      </w:r>
      <w:r w:rsidRPr="00005FF0">
        <w:rPr>
          <w:szCs w:val="22"/>
        </w:rPr>
        <w:t xml:space="preserve"> dozom rosuvastatina od 40 mg</w:t>
      </w:r>
      <w:r>
        <w:rPr>
          <w:szCs w:val="22"/>
        </w:rPr>
        <w:t>.</w:t>
      </w:r>
    </w:p>
    <w:p w14:paraId="6B8512D1" w14:textId="77777777" w:rsidR="00C367F8" w:rsidRDefault="00C367F8" w:rsidP="00C367F8">
      <w:pPr>
        <w:tabs>
          <w:tab w:val="clear" w:pos="567"/>
          <w:tab w:val="left" w:pos="540"/>
          <w:tab w:val="left" w:pos="569"/>
        </w:tabs>
        <w:jc w:val="both"/>
        <w:rPr>
          <w:szCs w:val="22"/>
        </w:rPr>
      </w:pPr>
    </w:p>
    <w:p w14:paraId="6B2FBBD5" w14:textId="77777777" w:rsidR="00C367F8" w:rsidRPr="00EB29C2" w:rsidRDefault="00C367F8" w:rsidP="00C367F8">
      <w:pPr>
        <w:tabs>
          <w:tab w:val="clear" w:pos="567"/>
          <w:tab w:val="left" w:pos="540"/>
          <w:tab w:val="left" w:pos="569"/>
        </w:tabs>
        <w:jc w:val="both"/>
        <w:rPr>
          <w:szCs w:val="22"/>
          <w:u w:val="single"/>
        </w:rPr>
      </w:pPr>
      <w:r w:rsidRPr="00EB29C2">
        <w:rPr>
          <w:szCs w:val="22"/>
          <w:u w:val="single"/>
        </w:rPr>
        <w:t>Uticaj primjene lijeka na skeletne mišiće</w:t>
      </w:r>
    </w:p>
    <w:p w14:paraId="2145C767" w14:textId="77777777" w:rsidR="00C367F8" w:rsidRDefault="00C367F8" w:rsidP="00C367F8">
      <w:pPr>
        <w:tabs>
          <w:tab w:val="clear" w:pos="567"/>
          <w:tab w:val="left" w:pos="540"/>
          <w:tab w:val="left" w:pos="569"/>
        </w:tabs>
        <w:jc w:val="both"/>
        <w:rPr>
          <w:szCs w:val="22"/>
        </w:rPr>
      </w:pPr>
      <w:r w:rsidRPr="00C27147">
        <w:rPr>
          <w:szCs w:val="22"/>
        </w:rPr>
        <w:t>Efekti rosuvastatina na skeletne mišiće npr. mijalgija, miopatija i, r</w:t>
      </w:r>
      <w:r w:rsidR="00104C15">
        <w:rPr>
          <w:szCs w:val="22"/>
        </w:rPr>
        <w:t>ij</w:t>
      </w:r>
      <w:r w:rsidRPr="00C27147">
        <w:rPr>
          <w:szCs w:val="22"/>
        </w:rPr>
        <w:t>etko, rabdomioliza zab</w:t>
      </w:r>
      <w:r>
        <w:rPr>
          <w:szCs w:val="22"/>
        </w:rPr>
        <w:t>i</w:t>
      </w:r>
      <w:r w:rsidRPr="00C27147">
        <w:rPr>
          <w:szCs w:val="22"/>
        </w:rPr>
        <w:t>l</w:t>
      </w:r>
      <w:r>
        <w:rPr>
          <w:szCs w:val="22"/>
        </w:rPr>
        <w:t>j</w:t>
      </w:r>
      <w:r w:rsidRPr="00C27147">
        <w:rPr>
          <w:szCs w:val="22"/>
        </w:rPr>
        <w:t>eženi su kod pacijenata l</w:t>
      </w:r>
      <w:r>
        <w:rPr>
          <w:szCs w:val="22"/>
        </w:rPr>
        <w:t>ij</w:t>
      </w:r>
      <w:r w:rsidRPr="00C27147">
        <w:rPr>
          <w:szCs w:val="22"/>
        </w:rPr>
        <w:t>ečenih rosuvastatinom sa svim dozama, a posebno sa dozama &gt; 20 mg</w:t>
      </w:r>
      <w:r>
        <w:rPr>
          <w:szCs w:val="22"/>
        </w:rPr>
        <w:t>.</w:t>
      </w:r>
    </w:p>
    <w:p w14:paraId="0CFF78FD" w14:textId="77777777" w:rsidR="00C367F8" w:rsidRDefault="00C367F8" w:rsidP="00C367F8">
      <w:pPr>
        <w:tabs>
          <w:tab w:val="clear" w:pos="567"/>
          <w:tab w:val="left" w:pos="540"/>
          <w:tab w:val="left" w:pos="569"/>
        </w:tabs>
        <w:jc w:val="both"/>
        <w:rPr>
          <w:bCs/>
          <w:szCs w:val="22"/>
        </w:rPr>
      </w:pPr>
    </w:p>
    <w:p w14:paraId="3FD128B9" w14:textId="43C48947" w:rsidR="00C367F8" w:rsidRDefault="00C367F8" w:rsidP="00C367F8">
      <w:pPr>
        <w:tabs>
          <w:tab w:val="clear" w:pos="567"/>
          <w:tab w:val="left" w:pos="540"/>
          <w:tab w:val="left" w:pos="569"/>
        </w:tabs>
        <w:jc w:val="both"/>
        <w:rPr>
          <w:szCs w:val="22"/>
        </w:rPr>
      </w:pPr>
      <w:r w:rsidRPr="00B4793E">
        <w:rPr>
          <w:szCs w:val="22"/>
        </w:rPr>
        <w:t>Tokom postmarketinškog praćenja primjene ezetimiba, prijavljeni su slučajevi miopatije i rabdomiolize. Većina pacijenata kod kojih se razvila rabdomioliza uzimala je statin istovremeno s ezetimibom. Međutim, rabdomioliza je vrlo rijetko bila prijavljena kod monoterapije ezetimibom i vrlo rijetko prilikom dodavanja ezetimiba drugim ljekovima za koje je poznato da su povezani s povećanim rizikom od rabdomiolize. Ako se na osnovu mišićnih simptoma sumnja na miopatiju ili je ona potvrđena na osnovu vrijednosti kreatinin fosfokinaze (CPK) 10 puta većom od gornje granice normale, neophodno je odmah obustaviti primjenu ezetimib</w:t>
      </w:r>
      <w:r w:rsidR="00104C15">
        <w:rPr>
          <w:szCs w:val="22"/>
        </w:rPr>
        <w:t>a</w:t>
      </w:r>
      <w:r w:rsidRPr="00B4793E">
        <w:rPr>
          <w:szCs w:val="22"/>
        </w:rPr>
        <w:t xml:space="preserve">, kao i svakog statina, i drugih ljekova koje pacijent istovremeno uzima. Svi pacijenti koji počinju liječenje </w:t>
      </w:r>
      <w:r w:rsidR="00104C15">
        <w:rPr>
          <w:szCs w:val="22"/>
        </w:rPr>
        <w:t xml:space="preserve">lijekom </w:t>
      </w:r>
      <w:r w:rsidRPr="00B4793E">
        <w:rPr>
          <w:szCs w:val="22"/>
        </w:rPr>
        <w:t>Co-Roswer</w:t>
      </w:r>
      <w:r w:rsidR="00104C15">
        <w:rPr>
          <w:szCs w:val="22"/>
        </w:rPr>
        <w:t>a</w:t>
      </w:r>
      <w:r w:rsidRPr="00B4793E">
        <w:rPr>
          <w:szCs w:val="22"/>
        </w:rPr>
        <w:t xml:space="preserve"> moraju biti upozoreni na rizik od miopatije i treba ih uputiti da odmah prijave svaku nerazjašnjenu slabost, bol ili osjetljivost u mišićima (vidjeti dio 4.8).</w:t>
      </w:r>
    </w:p>
    <w:p w14:paraId="65D333A5" w14:textId="72712C63" w:rsidR="00036CDD" w:rsidRDefault="00036CDD" w:rsidP="00C367F8">
      <w:pPr>
        <w:tabs>
          <w:tab w:val="clear" w:pos="567"/>
          <w:tab w:val="left" w:pos="540"/>
          <w:tab w:val="left" w:pos="569"/>
        </w:tabs>
        <w:jc w:val="both"/>
        <w:rPr>
          <w:szCs w:val="22"/>
        </w:rPr>
      </w:pPr>
    </w:p>
    <w:p w14:paraId="1012E71F" w14:textId="3E33CBAA" w:rsidR="00D01E9F" w:rsidRPr="00D01E9F" w:rsidRDefault="00D01E9F" w:rsidP="00DD0E6B">
      <w:pPr>
        <w:tabs>
          <w:tab w:val="clear" w:pos="567"/>
          <w:tab w:val="left" w:pos="540"/>
          <w:tab w:val="left" w:pos="569"/>
        </w:tabs>
        <w:jc w:val="both"/>
        <w:rPr>
          <w:szCs w:val="22"/>
          <w:lang w:val="mk-MK"/>
        </w:rPr>
      </w:pPr>
      <w:r w:rsidRPr="00D01E9F">
        <w:rPr>
          <w:szCs w:val="22"/>
          <w:lang w:val="mk-MK"/>
        </w:rPr>
        <w:t xml:space="preserve">U nekoliko slučajeva, prijavljeno je da statini izazivaju </w:t>
      </w:r>
      <w:r w:rsidRPr="00D01E9F">
        <w:rPr>
          <w:i/>
          <w:iCs/>
          <w:szCs w:val="22"/>
          <w:lang w:val="mk-MK"/>
        </w:rPr>
        <w:t>de novo</w:t>
      </w:r>
      <w:r w:rsidRPr="00D01E9F">
        <w:rPr>
          <w:szCs w:val="22"/>
          <w:lang w:val="mk-MK"/>
        </w:rPr>
        <w:t xml:space="preserve"> ili pogoršavaju već postojeć</w:t>
      </w:r>
      <w:r>
        <w:rPr>
          <w:szCs w:val="22"/>
          <w:lang w:val="sr-Latn-ME"/>
        </w:rPr>
        <w:t>u</w:t>
      </w:r>
      <w:r w:rsidR="00DD0E6B">
        <w:rPr>
          <w:szCs w:val="22"/>
          <w:lang w:val="sr-Latn-ME"/>
        </w:rPr>
        <w:t xml:space="preserve"> </w:t>
      </w:r>
      <w:r w:rsidRPr="00D01E9F">
        <w:rPr>
          <w:szCs w:val="22"/>
          <w:lang w:val="mk-MK"/>
        </w:rPr>
        <w:t>mijastenij</w:t>
      </w:r>
      <w:r>
        <w:rPr>
          <w:szCs w:val="22"/>
          <w:lang w:val="sr-Latn-ME"/>
        </w:rPr>
        <w:t>u</w:t>
      </w:r>
      <w:r w:rsidRPr="00D01E9F">
        <w:rPr>
          <w:szCs w:val="22"/>
          <w:lang w:val="mk-MK"/>
        </w:rPr>
        <w:t xml:space="preserve"> gravis ili okularn</w:t>
      </w:r>
      <w:r>
        <w:rPr>
          <w:szCs w:val="22"/>
          <w:lang w:val="sr-Latn-ME"/>
        </w:rPr>
        <w:t>u</w:t>
      </w:r>
      <w:r w:rsidRPr="00D01E9F">
        <w:rPr>
          <w:szCs w:val="22"/>
          <w:lang w:val="mk-MK"/>
        </w:rPr>
        <w:t xml:space="preserve"> mijastenij</w:t>
      </w:r>
      <w:r>
        <w:rPr>
          <w:szCs w:val="22"/>
          <w:lang w:val="sr-Latn-ME"/>
        </w:rPr>
        <w:t>u</w:t>
      </w:r>
      <w:r w:rsidRPr="00D01E9F">
        <w:rPr>
          <w:szCs w:val="22"/>
          <w:lang w:val="mk-MK"/>
        </w:rPr>
        <w:t xml:space="preserve"> (videti </w:t>
      </w:r>
      <w:r>
        <w:rPr>
          <w:szCs w:val="22"/>
          <w:lang w:val="sr-Latn-ME"/>
        </w:rPr>
        <w:t>dio</w:t>
      </w:r>
      <w:r w:rsidRPr="00D01E9F">
        <w:rPr>
          <w:szCs w:val="22"/>
          <w:lang w:val="mk-MK"/>
        </w:rPr>
        <w:t xml:space="preserve"> 4.8). Prim</w:t>
      </w:r>
      <w:r>
        <w:rPr>
          <w:szCs w:val="22"/>
          <w:lang w:val="sr-Latn-ME"/>
        </w:rPr>
        <w:t>j</w:t>
      </w:r>
      <w:r w:rsidRPr="00D01E9F">
        <w:rPr>
          <w:szCs w:val="22"/>
          <w:lang w:val="mk-MK"/>
        </w:rPr>
        <w:t>en</w:t>
      </w:r>
      <w:r>
        <w:rPr>
          <w:szCs w:val="22"/>
          <w:lang w:val="sr-Latn-ME"/>
        </w:rPr>
        <w:t>u</w:t>
      </w:r>
      <w:r w:rsidRPr="00D01E9F">
        <w:rPr>
          <w:szCs w:val="22"/>
          <w:lang w:val="mk-MK"/>
        </w:rPr>
        <w:t xml:space="preserve"> l</w:t>
      </w:r>
      <w:r>
        <w:rPr>
          <w:szCs w:val="22"/>
          <w:lang w:val="sr-Latn-ME"/>
        </w:rPr>
        <w:t>ij</w:t>
      </w:r>
      <w:r w:rsidRPr="00D01E9F">
        <w:rPr>
          <w:szCs w:val="22"/>
          <w:lang w:val="mk-MK"/>
        </w:rPr>
        <w:t>eka Co-Ros</w:t>
      </w:r>
      <w:r>
        <w:rPr>
          <w:szCs w:val="22"/>
          <w:lang w:val="sr-Latn-ME"/>
        </w:rPr>
        <w:t>w</w:t>
      </w:r>
      <w:r w:rsidRPr="00D01E9F">
        <w:rPr>
          <w:szCs w:val="22"/>
          <w:lang w:val="mk-MK"/>
        </w:rPr>
        <w:t>era je neophodn</w:t>
      </w:r>
      <w:r>
        <w:rPr>
          <w:szCs w:val="22"/>
          <w:lang w:val="sr-Latn-ME"/>
        </w:rPr>
        <w:t>o</w:t>
      </w:r>
      <w:r w:rsidR="00DD0E6B">
        <w:rPr>
          <w:szCs w:val="22"/>
          <w:lang w:val="sr-Latn-ME"/>
        </w:rPr>
        <w:t xml:space="preserve"> </w:t>
      </w:r>
      <w:r w:rsidRPr="00D01E9F">
        <w:rPr>
          <w:szCs w:val="22"/>
          <w:lang w:val="mk-MK"/>
        </w:rPr>
        <w:t>prekinuti ako se simptomi pogoršaju. Ponavljanje se prim</w:t>
      </w:r>
      <w:r>
        <w:rPr>
          <w:szCs w:val="22"/>
          <w:lang w:val="sr-Latn-ME"/>
        </w:rPr>
        <w:t>j</w:t>
      </w:r>
      <w:r w:rsidRPr="00D01E9F">
        <w:rPr>
          <w:szCs w:val="22"/>
          <w:lang w:val="mk-MK"/>
        </w:rPr>
        <w:t>ećuje kada je ist</w:t>
      </w:r>
      <w:r>
        <w:rPr>
          <w:szCs w:val="22"/>
          <w:lang w:val="sr-Latn-ME"/>
        </w:rPr>
        <w:t>i</w:t>
      </w:r>
      <w:r w:rsidRPr="00D01E9F">
        <w:rPr>
          <w:szCs w:val="22"/>
          <w:lang w:val="mk-MK"/>
        </w:rPr>
        <w:t xml:space="preserve"> ili ne</w:t>
      </w:r>
      <w:r>
        <w:rPr>
          <w:szCs w:val="22"/>
          <w:lang w:val="sr-Latn-ME"/>
        </w:rPr>
        <w:t>ki</w:t>
      </w:r>
      <w:r w:rsidR="00860C5B">
        <w:rPr>
          <w:szCs w:val="22"/>
          <w:lang w:val="sr-Latn-ME"/>
        </w:rPr>
        <w:t xml:space="preserve"> </w:t>
      </w:r>
      <w:r w:rsidRPr="00D01E9F">
        <w:rPr>
          <w:szCs w:val="22"/>
          <w:lang w:val="mk-MK"/>
        </w:rPr>
        <w:t>drugi statin (ponovo) prim</w:t>
      </w:r>
      <w:r>
        <w:rPr>
          <w:szCs w:val="22"/>
          <w:lang w:val="sr-Latn-ME"/>
        </w:rPr>
        <w:t>ij</w:t>
      </w:r>
      <w:r w:rsidRPr="00D01E9F">
        <w:rPr>
          <w:szCs w:val="22"/>
          <w:lang w:val="mk-MK"/>
        </w:rPr>
        <w:t>enjen.</w:t>
      </w:r>
    </w:p>
    <w:p w14:paraId="56141E7E" w14:textId="77777777" w:rsidR="00C367F8" w:rsidRDefault="00C367F8" w:rsidP="00C367F8">
      <w:pPr>
        <w:tabs>
          <w:tab w:val="clear" w:pos="567"/>
          <w:tab w:val="left" w:pos="540"/>
          <w:tab w:val="left" w:pos="569"/>
        </w:tabs>
        <w:jc w:val="both"/>
        <w:rPr>
          <w:bCs/>
          <w:szCs w:val="22"/>
        </w:rPr>
      </w:pPr>
    </w:p>
    <w:p w14:paraId="5CE2A715" w14:textId="77777777" w:rsidR="00C367F8" w:rsidRDefault="00C367F8" w:rsidP="00C367F8">
      <w:pPr>
        <w:tabs>
          <w:tab w:val="clear" w:pos="567"/>
          <w:tab w:val="left" w:pos="540"/>
          <w:tab w:val="left" w:pos="569"/>
        </w:tabs>
        <w:jc w:val="both"/>
        <w:rPr>
          <w:i/>
          <w:szCs w:val="22"/>
        </w:rPr>
      </w:pPr>
      <w:r w:rsidRPr="00B4793E">
        <w:rPr>
          <w:i/>
          <w:szCs w:val="22"/>
        </w:rPr>
        <w:t>M</w:t>
      </w:r>
      <w:r>
        <w:rPr>
          <w:i/>
          <w:szCs w:val="22"/>
        </w:rPr>
        <w:t>j</w:t>
      </w:r>
      <w:r w:rsidRPr="00B4793E">
        <w:rPr>
          <w:i/>
          <w:szCs w:val="22"/>
        </w:rPr>
        <w:t xml:space="preserve">erenje kreatin </w:t>
      </w:r>
      <w:r>
        <w:rPr>
          <w:i/>
          <w:szCs w:val="22"/>
        </w:rPr>
        <w:t>kinaze</w:t>
      </w:r>
    </w:p>
    <w:p w14:paraId="7E30AC43" w14:textId="77777777" w:rsidR="00C367F8" w:rsidRDefault="00C367F8" w:rsidP="00C367F8">
      <w:pPr>
        <w:tabs>
          <w:tab w:val="clear" w:pos="567"/>
          <w:tab w:val="left" w:pos="540"/>
          <w:tab w:val="left" w:pos="569"/>
        </w:tabs>
        <w:jc w:val="both"/>
        <w:rPr>
          <w:szCs w:val="22"/>
        </w:rPr>
      </w:pPr>
      <w:r w:rsidRPr="00CE27B9">
        <w:rPr>
          <w:szCs w:val="22"/>
        </w:rPr>
        <w:t xml:space="preserve">Vrijednosti kreatin kinaze (CK) ne treba mjeriti nakon fizičkog napora ili </w:t>
      </w:r>
      <w:r w:rsidR="00104C15">
        <w:rPr>
          <w:szCs w:val="22"/>
        </w:rPr>
        <w:t>kada postoji bilo kakav</w:t>
      </w:r>
      <w:r w:rsidRPr="00CE27B9">
        <w:rPr>
          <w:szCs w:val="22"/>
        </w:rPr>
        <w:t xml:space="preserve"> drugi</w:t>
      </w:r>
      <w:r w:rsidR="00104C15">
        <w:rPr>
          <w:szCs w:val="22"/>
        </w:rPr>
        <w:t>,</w:t>
      </w:r>
      <w:r w:rsidRPr="00CE27B9">
        <w:rPr>
          <w:szCs w:val="22"/>
        </w:rPr>
        <w:t xml:space="preserve"> vjerovatni alternativni uzro</w:t>
      </w:r>
      <w:r w:rsidR="00104C15">
        <w:rPr>
          <w:szCs w:val="22"/>
        </w:rPr>
        <w:t>k</w:t>
      </w:r>
      <w:r w:rsidRPr="00CE27B9">
        <w:rPr>
          <w:szCs w:val="22"/>
        </w:rPr>
        <w:t xml:space="preserve"> povećanja vrijednosti CK, koji mogu da utiču na tumačenje rezultata. Ako su vrijednosti CK značajno povećane prije uvođenja terapije (veće 5 puta od gornje granice normalnih vrijednosti GGN) poslije 5–7 dana treba ponoviti test da bi se ovi rezultati potvrdili. Ako ponovljeni test prije uvođenja terapije potvrdi da su vrijednosti CK veće 5 puta od gornje granice normalnih vrijednosti GGN, terapiju ne treba ni započinjati.</w:t>
      </w:r>
    </w:p>
    <w:p w14:paraId="2C4D8C2A" w14:textId="77777777" w:rsidR="00C367F8" w:rsidRDefault="00C367F8" w:rsidP="00C367F8">
      <w:pPr>
        <w:tabs>
          <w:tab w:val="clear" w:pos="567"/>
          <w:tab w:val="left" w:pos="540"/>
          <w:tab w:val="left" w:pos="569"/>
        </w:tabs>
        <w:jc w:val="both"/>
        <w:rPr>
          <w:bCs/>
          <w:szCs w:val="22"/>
        </w:rPr>
      </w:pPr>
    </w:p>
    <w:p w14:paraId="3606EA9F" w14:textId="77777777" w:rsidR="00C367F8" w:rsidRDefault="00C367F8" w:rsidP="00C367F8">
      <w:pPr>
        <w:tabs>
          <w:tab w:val="clear" w:pos="567"/>
          <w:tab w:val="left" w:pos="540"/>
          <w:tab w:val="left" w:pos="569"/>
        </w:tabs>
        <w:jc w:val="both"/>
        <w:rPr>
          <w:i/>
          <w:szCs w:val="22"/>
        </w:rPr>
      </w:pPr>
      <w:r w:rsidRPr="00491FC8">
        <w:rPr>
          <w:i/>
          <w:szCs w:val="22"/>
        </w:rPr>
        <w:t>Prije primjene terapije</w:t>
      </w:r>
    </w:p>
    <w:p w14:paraId="4263948D" w14:textId="77777777" w:rsidR="00C367F8" w:rsidRDefault="00C367F8" w:rsidP="00C367F8">
      <w:pPr>
        <w:tabs>
          <w:tab w:val="clear" w:pos="567"/>
          <w:tab w:val="left" w:pos="540"/>
          <w:tab w:val="left" w:pos="569"/>
        </w:tabs>
        <w:jc w:val="both"/>
        <w:rPr>
          <w:szCs w:val="22"/>
        </w:rPr>
      </w:pPr>
      <w:r w:rsidRPr="00607D15">
        <w:rPr>
          <w:bCs/>
          <w:szCs w:val="22"/>
        </w:rPr>
        <w:t xml:space="preserve">Lijek </w:t>
      </w:r>
      <w:r w:rsidRPr="00607D15">
        <w:rPr>
          <w:szCs w:val="22"/>
        </w:rPr>
        <w:t>Co-Roswera,</w:t>
      </w:r>
      <w:r>
        <w:rPr>
          <w:szCs w:val="22"/>
        </w:rPr>
        <w:t xml:space="preserve"> </w:t>
      </w:r>
      <w:r w:rsidRPr="00607D15">
        <w:rPr>
          <w:szCs w:val="22"/>
        </w:rPr>
        <w:t>kao i druge ljekove koji sadrže inhibitore HMG-CoA reduktaze, treba oprezno propisivati pacijentima sa predisponirajućim faktorima za miopatiju/rabdomiolizu. U ove faktore spadaju:</w:t>
      </w:r>
    </w:p>
    <w:p w14:paraId="0146C74F"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oštećenje funkcije bubrega,</w:t>
      </w:r>
    </w:p>
    <w:p w14:paraId="1358CC43"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lastRenderedPageBreak/>
        <w:t>hipotiroidizam,</w:t>
      </w:r>
    </w:p>
    <w:p w14:paraId="50A0E069"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lična ili porodična anamneza naslednih oboljenja mišića,</w:t>
      </w:r>
    </w:p>
    <w:p w14:paraId="46CDF8B8"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prethodna pojava mišićne toksičnosti tokom primjene nekog inhibitora HMG-CoA reduktaze ili fibrat</w:t>
      </w:r>
      <w:r w:rsidR="00104C15">
        <w:rPr>
          <w:sz w:val="22"/>
          <w:szCs w:val="22"/>
        </w:rPr>
        <w:t>a</w:t>
      </w:r>
      <w:r w:rsidRPr="00DC5181">
        <w:rPr>
          <w:sz w:val="22"/>
          <w:szCs w:val="22"/>
        </w:rPr>
        <w:t>,</w:t>
      </w:r>
    </w:p>
    <w:p w14:paraId="66CB8175"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zloupotreba alkohola,</w:t>
      </w:r>
    </w:p>
    <w:p w14:paraId="283264CF"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starost pacijenata preko 70 godina,</w:t>
      </w:r>
    </w:p>
    <w:p w14:paraId="305223FB" w14:textId="77777777" w:rsidR="00C367F8" w:rsidRPr="00DC5181"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situacije u kojima može doći do povećanja koncentracije u plazmi (vidjeti djelove 4.2., 4.5. i 5.2.),</w:t>
      </w:r>
    </w:p>
    <w:p w14:paraId="5A3B124C" w14:textId="77777777" w:rsidR="00C367F8" w:rsidRPr="0007051E" w:rsidRDefault="00C367F8" w:rsidP="0064489E">
      <w:pPr>
        <w:pStyle w:val="ListParagraph"/>
        <w:numPr>
          <w:ilvl w:val="0"/>
          <w:numId w:val="20"/>
        </w:numPr>
        <w:tabs>
          <w:tab w:val="left" w:pos="540"/>
          <w:tab w:val="left" w:pos="569"/>
        </w:tabs>
        <w:ind w:left="567" w:hanging="567"/>
        <w:jc w:val="both"/>
        <w:rPr>
          <w:bCs/>
          <w:sz w:val="22"/>
          <w:szCs w:val="22"/>
        </w:rPr>
      </w:pPr>
      <w:r w:rsidRPr="00DC5181">
        <w:rPr>
          <w:sz w:val="22"/>
          <w:szCs w:val="22"/>
        </w:rPr>
        <w:t xml:space="preserve">istovremena upotreba </w:t>
      </w:r>
      <w:r>
        <w:rPr>
          <w:sz w:val="22"/>
          <w:szCs w:val="22"/>
        </w:rPr>
        <w:t>fibrata.</w:t>
      </w:r>
    </w:p>
    <w:p w14:paraId="2739DDB4" w14:textId="77777777" w:rsidR="00C367F8" w:rsidRDefault="00C367F8" w:rsidP="00C367F8">
      <w:pPr>
        <w:tabs>
          <w:tab w:val="clear" w:pos="567"/>
          <w:tab w:val="left" w:pos="540"/>
          <w:tab w:val="left" w:pos="569"/>
        </w:tabs>
        <w:jc w:val="both"/>
        <w:rPr>
          <w:bCs/>
          <w:szCs w:val="22"/>
        </w:rPr>
      </w:pPr>
    </w:p>
    <w:p w14:paraId="71FB1209" w14:textId="77777777" w:rsidR="00C367F8" w:rsidRDefault="00C367F8" w:rsidP="00C367F8">
      <w:pPr>
        <w:tabs>
          <w:tab w:val="clear" w:pos="567"/>
          <w:tab w:val="left" w:pos="540"/>
          <w:tab w:val="left" w:pos="569"/>
        </w:tabs>
        <w:jc w:val="both"/>
        <w:rPr>
          <w:szCs w:val="22"/>
        </w:rPr>
      </w:pPr>
      <w:r w:rsidRPr="0007051E">
        <w:rPr>
          <w:szCs w:val="22"/>
        </w:rPr>
        <w:t xml:space="preserve">Kod ovih pacijenata rizik od terapije treba posmatrati u odnosu na moguće koristi, pa se preporučuje kliničko praćenje. </w:t>
      </w:r>
      <w:r w:rsidRPr="00A273C6">
        <w:rPr>
          <w:szCs w:val="22"/>
        </w:rPr>
        <w:t>Ako su CK vrijednosti značajno povećane (više od 5 puta iznad gornje granice normalne vrijednosti), liječenje se ne smije započinjati.</w:t>
      </w:r>
    </w:p>
    <w:p w14:paraId="47EFE6B2" w14:textId="77777777" w:rsidR="00C367F8" w:rsidRDefault="00C367F8" w:rsidP="00C367F8">
      <w:pPr>
        <w:tabs>
          <w:tab w:val="clear" w:pos="567"/>
          <w:tab w:val="left" w:pos="540"/>
          <w:tab w:val="left" w:pos="569"/>
        </w:tabs>
        <w:jc w:val="both"/>
        <w:rPr>
          <w:bCs/>
          <w:szCs w:val="22"/>
        </w:rPr>
      </w:pPr>
    </w:p>
    <w:p w14:paraId="59720537" w14:textId="77777777" w:rsidR="00C367F8" w:rsidRDefault="00C367F8" w:rsidP="00C367F8">
      <w:pPr>
        <w:tabs>
          <w:tab w:val="clear" w:pos="567"/>
          <w:tab w:val="left" w:pos="540"/>
          <w:tab w:val="left" w:pos="569"/>
        </w:tabs>
        <w:jc w:val="both"/>
        <w:rPr>
          <w:i/>
        </w:rPr>
      </w:pPr>
      <w:r w:rsidRPr="0031029E">
        <w:rPr>
          <w:i/>
        </w:rPr>
        <w:t>Za vrijeme trajanja terapije</w:t>
      </w:r>
    </w:p>
    <w:p w14:paraId="063F04EC" w14:textId="77777777" w:rsidR="00C367F8" w:rsidRDefault="00C367F8" w:rsidP="00C367F8">
      <w:pPr>
        <w:tabs>
          <w:tab w:val="clear" w:pos="567"/>
          <w:tab w:val="left" w:pos="540"/>
          <w:tab w:val="left" w:pos="569"/>
        </w:tabs>
        <w:jc w:val="both"/>
        <w:rPr>
          <w:szCs w:val="22"/>
        </w:rPr>
      </w:pPr>
      <w:r w:rsidRPr="0031029E">
        <w:rPr>
          <w:szCs w:val="22"/>
        </w:rPr>
        <w:t xml:space="preserve">Pacijente treba zamoliti da odmah prijave neobjašnjive mišićne bolove, slabost ili grčeve, pogotovo kad su povezani s malaksalošću ili temperaturom. Kod ovih pacijenata se mora odrediti vrijednost CK. Liječenje treba prekinuti ako su CK vrijednosti značajno povećane (&gt;5 puta iznad gornje granice normalne vrijednosti) ili ako su mišićni simptomi ozbiljni i svakodnevno uzrokuju nelagodu (čak i onda kad je CK vrijednost povišena ≤5 puta u odnosu na gornju granicu normalne vrijednosti). Kad se simptomi povuku, a CK vrijednosti se vrate na normalu, tada treba razmotriti ponovno uvođenje </w:t>
      </w:r>
      <w:r w:rsidR="004F44FC">
        <w:rPr>
          <w:szCs w:val="22"/>
        </w:rPr>
        <w:t xml:space="preserve">lijeka </w:t>
      </w:r>
      <w:r w:rsidRPr="0031029E">
        <w:rPr>
          <w:szCs w:val="22"/>
        </w:rPr>
        <w:t>Co-Roswer</w:t>
      </w:r>
      <w:r w:rsidR="004F44FC">
        <w:rPr>
          <w:szCs w:val="22"/>
        </w:rPr>
        <w:t>a</w:t>
      </w:r>
      <w:r w:rsidRPr="0031029E">
        <w:rPr>
          <w:szCs w:val="22"/>
        </w:rPr>
        <w:t xml:space="preserve"> ili nekog drugog inhibitora HMG-CoA reduktaze u najnižim dozama, uz pažljivo praćenje. Rutinsko praćenje CK vrijednosti kod asimptomatskih pacijenata nije opravdano.</w:t>
      </w:r>
    </w:p>
    <w:p w14:paraId="3AAC8177" w14:textId="77777777" w:rsidR="00C367F8" w:rsidRDefault="00C367F8" w:rsidP="00C367F8">
      <w:pPr>
        <w:tabs>
          <w:tab w:val="clear" w:pos="567"/>
          <w:tab w:val="left" w:pos="540"/>
          <w:tab w:val="left" w:pos="569"/>
        </w:tabs>
        <w:jc w:val="both"/>
        <w:rPr>
          <w:bCs/>
          <w:szCs w:val="22"/>
        </w:rPr>
      </w:pPr>
    </w:p>
    <w:p w14:paraId="06EF80C2" w14:textId="77777777" w:rsidR="00C367F8" w:rsidRDefault="00C367F8" w:rsidP="00C367F8">
      <w:pPr>
        <w:tabs>
          <w:tab w:val="clear" w:pos="567"/>
          <w:tab w:val="left" w:pos="540"/>
          <w:tab w:val="left" w:pos="569"/>
        </w:tabs>
        <w:jc w:val="both"/>
        <w:rPr>
          <w:szCs w:val="22"/>
        </w:rPr>
      </w:pPr>
      <w:r w:rsidRPr="00C356A2">
        <w:rPr>
          <w:szCs w:val="22"/>
        </w:rPr>
        <w:t>Veoma rijetko prijavljeni su slučajevi imuno posredovane nekrotizirajuće miopatije (IMNM) tokom ili nakon terapije statinima, uključujući rosuvastatin. IMNM se klinički ispoljava proksimalnom mišićnom slabošću i povećanim vrijednostima kreatinin kinaze u serumu, koji se zadržavaju i nakon prekida terapije statinima.</w:t>
      </w:r>
    </w:p>
    <w:p w14:paraId="2D2B53BE" w14:textId="77777777" w:rsidR="00C367F8" w:rsidRDefault="00C367F8" w:rsidP="00C367F8">
      <w:pPr>
        <w:tabs>
          <w:tab w:val="clear" w:pos="567"/>
          <w:tab w:val="left" w:pos="540"/>
          <w:tab w:val="left" w:pos="569"/>
        </w:tabs>
        <w:jc w:val="both"/>
        <w:rPr>
          <w:bCs/>
          <w:szCs w:val="22"/>
        </w:rPr>
      </w:pPr>
    </w:p>
    <w:p w14:paraId="72385B84" w14:textId="77777777" w:rsidR="00C367F8" w:rsidRPr="00DB2858" w:rsidRDefault="00C367F8" w:rsidP="00C367F8">
      <w:pPr>
        <w:tabs>
          <w:tab w:val="clear" w:pos="567"/>
          <w:tab w:val="left" w:pos="540"/>
          <w:tab w:val="left" w:pos="569"/>
        </w:tabs>
        <w:jc w:val="both"/>
        <w:rPr>
          <w:szCs w:val="22"/>
        </w:rPr>
      </w:pPr>
      <w:r w:rsidRPr="00DB2858">
        <w:rPr>
          <w:szCs w:val="22"/>
        </w:rPr>
        <w:t xml:space="preserve">U kliničkim ispitivanjima nije bilo dokaza o povećanom uticaju na skeletne mišiće kod malog broja pacijenata koji su istovremeno koristili rosuvastatin i neki drugi lijek. Međutim, povećana incidenca miozitisa i miopatije primijećena je kod pacijenata koji su primali neke druge inhibitore HMG-CoA reduktaze zajedno s derivatima fibrinske kiseline kao što su gemfibrozil, ciklosporin, nikotinska kiselina, azolni antimikotici, inhibitori proteaze i makrolidni antibiotici. Gemfibrozil povećava rizik od miopatije kad se uzima istovremeno s nekim inhibitorima HMG-CoA reduktaze. Kombinacija </w:t>
      </w:r>
      <w:r w:rsidR="00AC50FD">
        <w:rPr>
          <w:szCs w:val="22"/>
        </w:rPr>
        <w:t xml:space="preserve">lijeka </w:t>
      </w:r>
      <w:r w:rsidRPr="00DB2858">
        <w:rPr>
          <w:szCs w:val="22"/>
        </w:rPr>
        <w:t xml:space="preserve">Co-Roswere i gemfibrozila se ne preporučuje. Korist od daljih promjena vrijednosti lipida pri kombinovanoj upotrebi </w:t>
      </w:r>
      <w:r w:rsidR="004F44FC">
        <w:rPr>
          <w:szCs w:val="22"/>
        </w:rPr>
        <w:t xml:space="preserve">lijeka </w:t>
      </w:r>
      <w:r w:rsidRPr="00DB2858">
        <w:rPr>
          <w:szCs w:val="22"/>
        </w:rPr>
        <w:t>Co-Roswer</w:t>
      </w:r>
      <w:r w:rsidR="004F44FC">
        <w:rPr>
          <w:szCs w:val="22"/>
        </w:rPr>
        <w:t>a</w:t>
      </w:r>
      <w:r w:rsidRPr="00DB2858">
        <w:rPr>
          <w:szCs w:val="22"/>
        </w:rPr>
        <w:t xml:space="preserve"> i fibrata treba pažljivo procijeniti u odnosu na potencijalne rizike takvih kombinacija. Kontraindikovana je istovremena primjena doze od 40 mg rosuvastatina i fibrata (vidjeti djelove 4.5 i 4.8).</w:t>
      </w:r>
    </w:p>
    <w:p w14:paraId="771BB955" w14:textId="77777777" w:rsidR="00C367F8" w:rsidRPr="00DB2858" w:rsidRDefault="00C367F8" w:rsidP="00C367F8">
      <w:pPr>
        <w:tabs>
          <w:tab w:val="clear" w:pos="567"/>
          <w:tab w:val="left" w:pos="540"/>
          <w:tab w:val="left" w:pos="569"/>
        </w:tabs>
        <w:jc w:val="both"/>
        <w:rPr>
          <w:bCs/>
          <w:szCs w:val="22"/>
        </w:rPr>
      </w:pPr>
    </w:p>
    <w:p w14:paraId="7DA1DEBF" w14:textId="77777777" w:rsidR="00C367F8" w:rsidRDefault="00C367F8" w:rsidP="00C367F8">
      <w:pPr>
        <w:tabs>
          <w:tab w:val="clear" w:pos="567"/>
          <w:tab w:val="left" w:pos="540"/>
          <w:tab w:val="left" w:pos="569"/>
        </w:tabs>
        <w:jc w:val="both"/>
        <w:rPr>
          <w:szCs w:val="22"/>
        </w:rPr>
      </w:pPr>
      <w:r w:rsidRPr="00DB2858">
        <w:rPr>
          <w:bCs/>
          <w:szCs w:val="22"/>
        </w:rPr>
        <w:t xml:space="preserve">Lijek </w:t>
      </w:r>
      <w:r w:rsidRPr="00DB2858">
        <w:rPr>
          <w:szCs w:val="22"/>
        </w:rPr>
        <w:t xml:space="preserve">Co-Roswera ne smiju koristiti pacijenti s akutnim, teškim stanjima koja ukazuju na miopatiju ili predispoziciju za razvoj bubrežne insuficijencije kao posljedice rabdomiolize (npr. sepsa, hipotenzija, veći hirurški zahvati, trauma, teški metabolički, endokrini i elektrolitski poremećaji ili nekontrolisani </w:t>
      </w:r>
      <w:r>
        <w:rPr>
          <w:szCs w:val="22"/>
        </w:rPr>
        <w:t xml:space="preserve">epileptični </w:t>
      </w:r>
      <w:r w:rsidRPr="00DB2858">
        <w:rPr>
          <w:szCs w:val="22"/>
        </w:rPr>
        <w:t>napadi).</w:t>
      </w:r>
    </w:p>
    <w:p w14:paraId="45EB42BE" w14:textId="77777777" w:rsidR="00C367F8" w:rsidRDefault="00C367F8" w:rsidP="00C367F8">
      <w:pPr>
        <w:tabs>
          <w:tab w:val="clear" w:pos="567"/>
          <w:tab w:val="left" w:pos="540"/>
          <w:tab w:val="left" w:pos="569"/>
        </w:tabs>
        <w:jc w:val="both"/>
        <w:rPr>
          <w:bCs/>
          <w:szCs w:val="22"/>
        </w:rPr>
      </w:pPr>
    </w:p>
    <w:p w14:paraId="6D6C4884" w14:textId="77777777" w:rsidR="00C367F8" w:rsidRDefault="00C367F8" w:rsidP="00C367F8">
      <w:pPr>
        <w:tabs>
          <w:tab w:val="clear" w:pos="567"/>
          <w:tab w:val="left" w:pos="540"/>
          <w:tab w:val="left" w:pos="569"/>
        </w:tabs>
        <w:jc w:val="both"/>
        <w:rPr>
          <w:szCs w:val="22"/>
          <w:u w:val="single"/>
        </w:rPr>
      </w:pPr>
      <w:r w:rsidRPr="00926704">
        <w:rPr>
          <w:szCs w:val="22"/>
          <w:u w:val="single"/>
        </w:rPr>
        <w:t>Fusidinska kiselina</w:t>
      </w:r>
    </w:p>
    <w:p w14:paraId="6E26D375" w14:textId="77777777" w:rsidR="00C367F8" w:rsidRPr="00EF7A57" w:rsidRDefault="00C367F8" w:rsidP="00C367F8">
      <w:pPr>
        <w:tabs>
          <w:tab w:val="clear" w:pos="567"/>
          <w:tab w:val="left" w:pos="540"/>
          <w:tab w:val="left" w:pos="569"/>
        </w:tabs>
        <w:jc w:val="both"/>
        <w:rPr>
          <w:szCs w:val="22"/>
        </w:rPr>
      </w:pPr>
      <w:r w:rsidRPr="00EF7A57">
        <w:rPr>
          <w:szCs w:val="22"/>
        </w:rPr>
        <w:t>Lijek Co-Roswera se ne smije koristiti istovremeno sa sistemskim formulacijama fusidinske kiseline ili u roku od 7 dana od prestanka liječenja ovom kiselinom. Kod pacijenata kod kojih se sistemska primjena fusidinske kiseline smatra neophodnom, liječenje statinom se mora prekinuti tokom liječenja ovom kiselinom. Prijavljeni su slučajevi rabdomiolize (uključujući neke sa smrtnim ishodom) kod pacijenata koji su uzimali kombinaciju fusidinske kiseline i statina (vidjeti dio 4.5). Pacijenti se moraju uputiti da se odmah obrate ljekaru ako se jave simptomi slabosti mišića, bolova u mišićima ili osjetljivosti mišića na dodir.</w:t>
      </w:r>
    </w:p>
    <w:p w14:paraId="628B11BC" w14:textId="77777777" w:rsidR="00C367F8" w:rsidRPr="00EF7A57" w:rsidRDefault="00C367F8" w:rsidP="00C367F8">
      <w:pPr>
        <w:tabs>
          <w:tab w:val="clear" w:pos="567"/>
          <w:tab w:val="left" w:pos="540"/>
          <w:tab w:val="left" w:pos="569"/>
        </w:tabs>
        <w:jc w:val="both"/>
        <w:rPr>
          <w:bCs/>
          <w:szCs w:val="22"/>
          <w:u w:val="single"/>
        </w:rPr>
      </w:pPr>
    </w:p>
    <w:p w14:paraId="0C34383C" w14:textId="77777777" w:rsidR="00C367F8" w:rsidRPr="00EF7A57" w:rsidRDefault="00C367F8" w:rsidP="00C367F8">
      <w:pPr>
        <w:tabs>
          <w:tab w:val="clear" w:pos="567"/>
          <w:tab w:val="left" w:pos="540"/>
          <w:tab w:val="left" w:pos="569"/>
        </w:tabs>
        <w:jc w:val="both"/>
        <w:rPr>
          <w:szCs w:val="22"/>
        </w:rPr>
      </w:pPr>
      <w:r w:rsidRPr="00EF7A57">
        <w:rPr>
          <w:szCs w:val="22"/>
        </w:rPr>
        <w:t>Terapija statinima može ponovo da se uvede sedam dana nakon uzimanja poslednje doze fusidinske kiseline.</w:t>
      </w:r>
    </w:p>
    <w:p w14:paraId="4A5E0E98" w14:textId="77777777" w:rsidR="00C367F8" w:rsidRPr="00EF7A57" w:rsidRDefault="00C367F8" w:rsidP="00C367F8">
      <w:pPr>
        <w:tabs>
          <w:tab w:val="clear" w:pos="567"/>
          <w:tab w:val="left" w:pos="540"/>
          <w:tab w:val="left" w:pos="569"/>
        </w:tabs>
        <w:jc w:val="both"/>
        <w:rPr>
          <w:bCs/>
          <w:szCs w:val="22"/>
          <w:u w:val="single"/>
        </w:rPr>
      </w:pPr>
    </w:p>
    <w:p w14:paraId="1562AAEC" w14:textId="77777777" w:rsidR="00C367F8" w:rsidRDefault="00C367F8" w:rsidP="00C367F8">
      <w:pPr>
        <w:tabs>
          <w:tab w:val="clear" w:pos="567"/>
          <w:tab w:val="left" w:pos="540"/>
          <w:tab w:val="left" w:pos="569"/>
        </w:tabs>
        <w:jc w:val="both"/>
        <w:rPr>
          <w:szCs w:val="22"/>
        </w:rPr>
      </w:pPr>
      <w:r w:rsidRPr="00EF7A57">
        <w:rPr>
          <w:szCs w:val="22"/>
        </w:rPr>
        <w:t xml:space="preserve">U izuzetnim </w:t>
      </w:r>
      <w:r>
        <w:rPr>
          <w:szCs w:val="22"/>
        </w:rPr>
        <w:t>okolnostima</w:t>
      </w:r>
      <w:r w:rsidRPr="00EF7A57">
        <w:rPr>
          <w:szCs w:val="22"/>
        </w:rPr>
        <w:t>, kada je potrebna dugotrajna sistemska primjena fusidinske kiseline, npr. u terapiji ozbiljnih infekcija, potrebu za istovremenom primjenom lijeka Co-Roswera i fusidinske kiseline treba razmotriti individualno i primjenjivati je pod pažljivim medicinskim nadzorom.</w:t>
      </w:r>
    </w:p>
    <w:p w14:paraId="0543E113" w14:textId="77777777" w:rsidR="00C367F8" w:rsidRDefault="00C367F8" w:rsidP="00C367F8">
      <w:pPr>
        <w:tabs>
          <w:tab w:val="clear" w:pos="567"/>
          <w:tab w:val="left" w:pos="540"/>
          <w:tab w:val="left" w:pos="569"/>
        </w:tabs>
        <w:jc w:val="both"/>
        <w:rPr>
          <w:bCs/>
          <w:szCs w:val="22"/>
          <w:u w:val="single"/>
        </w:rPr>
      </w:pPr>
    </w:p>
    <w:p w14:paraId="181E585E" w14:textId="77777777" w:rsidR="00C367F8" w:rsidRDefault="00C367F8" w:rsidP="00C367F8">
      <w:pPr>
        <w:tabs>
          <w:tab w:val="clear" w:pos="567"/>
          <w:tab w:val="left" w:pos="540"/>
          <w:tab w:val="left" w:pos="569"/>
        </w:tabs>
        <w:jc w:val="both"/>
        <w:rPr>
          <w:bCs/>
          <w:szCs w:val="22"/>
          <w:u w:val="single"/>
        </w:rPr>
      </w:pPr>
      <w:r>
        <w:rPr>
          <w:bCs/>
          <w:szCs w:val="22"/>
          <w:u w:val="single"/>
        </w:rPr>
        <w:t>Uticaj primjene lijeka na jetru</w:t>
      </w:r>
    </w:p>
    <w:p w14:paraId="5F30C60B" w14:textId="77777777" w:rsidR="00C367F8" w:rsidRDefault="00C367F8" w:rsidP="00C367F8">
      <w:pPr>
        <w:tabs>
          <w:tab w:val="clear" w:pos="567"/>
          <w:tab w:val="left" w:pos="540"/>
          <w:tab w:val="left" w:pos="569"/>
        </w:tabs>
        <w:jc w:val="both"/>
        <w:rPr>
          <w:bCs/>
          <w:szCs w:val="22"/>
          <w:u w:val="single"/>
        </w:rPr>
      </w:pPr>
    </w:p>
    <w:p w14:paraId="6D2A812A" w14:textId="77777777" w:rsidR="00C367F8" w:rsidRDefault="00C367F8" w:rsidP="00C367F8">
      <w:pPr>
        <w:tabs>
          <w:tab w:val="clear" w:pos="567"/>
          <w:tab w:val="left" w:pos="540"/>
          <w:tab w:val="left" w:pos="569"/>
        </w:tabs>
        <w:jc w:val="both"/>
        <w:rPr>
          <w:szCs w:val="22"/>
        </w:rPr>
      </w:pPr>
      <w:r w:rsidRPr="00975988">
        <w:rPr>
          <w:szCs w:val="22"/>
        </w:rPr>
        <w:t xml:space="preserve">Lijek Co-Roswera, kao i druge inhibitore HMG-CoA reduktaze, treba </w:t>
      </w:r>
      <w:r>
        <w:rPr>
          <w:szCs w:val="22"/>
        </w:rPr>
        <w:t>koristiti</w:t>
      </w:r>
      <w:r w:rsidRPr="00975988">
        <w:rPr>
          <w:szCs w:val="22"/>
        </w:rPr>
        <w:t xml:space="preserve"> s oprezom kod pacijenata koji konzumiraju pretjerane količine alkohola i/ili imaju bolest jetre u anamnezi.</w:t>
      </w:r>
    </w:p>
    <w:p w14:paraId="12AA1B0D" w14:textId="77777777" w:rsidR="00C367F8" w:rsidRDefault="00C367F8" w:rsidP="00C367F8">
      <w:pPr>
        <w:tabs>
          <w:tab w:val="clear" w:pos="567"/>
          <w:tab w:val="left" w:pos="540"/>
          <w:tab w:val="left" w:pos="569"/>
        </w:tabs>
        <w:jc w:val="both"/>
        <w:rPr>
          <w:bCs/>
          <w:szCs w:val="22"/>
          <w:u w:val="single"/>
        </w:rPr>
      </w:pPr>
    </w:p>
    <w:p w14:paraId="22DC7FB1" w14:textId="77777777" w:rsidR="00C367F8" w:rsidRDefault="00C367F8" w:rsidP="00C367F8">
      <w:pPr>
        <w:tabs>
          <w:tab w:val="clear" w:pos="567"/>
          <w:tab w:val="left" w:pos="540"/>
          <w:tab w:val="left" w:pos="569"/>
        </w:tabs>
        <w:jc w:val="both"/>
        <w:rPr>
          <w:szCs w:val="22"/>
        </w:rPr>
      </w:pPr>
      <w:r w:rsidRPr="004D5DE5">
        <w:rPr>
          <w:szCs w:val="22"/>
        </w:rPr>
        <w:t>Preporučuje se da se testovi funkcije jetre urade prije započinjanja terapije i 3 mjeseca nakon započinjanja terapije. Lijek Co-Roswera se mora prestati uzimati ili se doza mora smanjiti kad su vrijednosti transaminaza u serumu 3 puta veće od gornje granice normalnih vrijednosti. Učestalost prijavljivanja ozbiljnih hepatičkih n</w:t>
      </w:r>
      <w:r w:rsidR="00AC50FD">
        <w:rPr>
          <w:szCs w:val="22"/>
        </w:rPr>
        <w:t>eželjenih reakcija</w:t>
      </w:r>
      <w:r w:rsidRPr="004D5DE5">
        <w:rPr>
          <w:szCs w:val="22"/>
        </w:rPr>
        <w:t xml:space="preserve"> (uglavnom povećanja jetrenih transaminaza) nakon stavljanja lijeka u promet je veća pri primjeni doze od 40 mg.</w:t>
      </w:r>
    </w:p>
    <w:p w14:paraId="001B6519" w14:textId="77777777" w:rsidR="00C367F8" w:rsidRDefault="00C367F8" w:rsidP="00C367F8">
      <w:pPr>
        <w:tabs>
          <w:tab w:val="clear" w:pos="567"/>
          <w:tab w:val="left" w:pos="540"/>
          <w:tab w:val="left" w:pos="569"/>
        </w:tabs>
        <w:jc w:val="both"/>
        <w:rPr>
          <w:bCs/>
          <w:szCs w:val="22"/>
          <w:u w:val="single"/>
        </w:rPr>
      </w:pPr>
    </w:p>
    <w:p w14:paraId="3602219C" w14:textId="77777777" w:rsidR="00C367F8" w:rsidRDefault="00C367F8" w:rsidP="00C367F8">
      <w:pPr>
        <w:tabs>
          <w:tab w:val="clear" w:pos="567"/>
          <w:tab w:val="left" w:pos="540"/>
          <w:tab w:val="left" w:pos="569"/>
        </w:tabs>
        <w:jc w:val="both"/>
        <w:rPr>
          <w:szCs w:val="22"/>
        </w:rPr>
      </w:pPr>
      <w:r w:rsidRPr="0049638E">
        <w:rPr>
          <w:szCs w:val="22"/>
        </w:rPr>
        <w:t>Kod pacijenata sa sekundarnom hiperholesterolemijom prouzrokovanom hipotiroidizmom ili nefrotskim sindromom, prije uvođenja terapije lijekom Co-Roswera treba prvo liječiti primarno oboljenje.</w:t>
      </w:r>
    </w:p>
    <w:p w14:paraId="0AD039FD" w14:textId="77777777" w:rsidR="00C367F8" w:rsidRDefault="00C367F8" w:rsidP="00C367F8">
      <w:pPr>
        <w:tabs>
          <w:tab w:val="clear" w:pos="567"/>
          <w:tab w:val="left" w:pos="540"/>
          <w:tab w:val="left" w:pos="569"/>
        </w:tabs>
        <w:jc w:val="both"/>
        <w:rPr>
          <w:bCs/>
          <w:szCs w:val="22"/>
          <w:u w:val="single"/>
        </w:rPr>
      </w:pPr>
    </w:p>
    <w:p w14:paraId="714D5861" w14:textId="77777777" w:rsidR="00C367F8" w:rsidRDefault="00C367F8" w:rsidP="00C367F8">
      <w:pPr>
        <w:tabs>
          <w:tab w:val="clear" w:pos="567"/>
          <w:tab w:val="left" w:pos="540"/>
          <w:tab w:val="left" w:pos="569"/>
        </w:tabs>
        <w:jc w:val="both"/>
        <w:rPr>
          <w:szCs w:val="22"/>
        </w:rPr>
      </w:pPr>
      <w:r w:rsidRPr="004431A3">
        <w:rPr>
          <w:szCs w:val="22"/>
        </w:rPr>
        <w:t>U kontrolisanim ispitivanjima istovremene primjene kod pacijenata koji su dobijali ezetimib sa statinom, primijećeno je kontinuirano povećanje transaminaza (jednako ili više od 3 puta iznad gornje granice normalne vrijednosti). Moraju se uraditi testovi funkcije jetre kod uvođenja terapije Co-Roswerom (vidjeti dio 4.8).</w:t>
      </w:r>
    </w:p>
    <w:p w14:paraId="3F44674A" w14:textId="77777777" w:rsidR="00C367F8" w:rsidRDefault="00C367F8" w:rsidP="00C367F8">
      <w:pPr>
        <w:tabs>
          <w:tab w:val="clear" w:pos="567"/>
          <w:tab w:val="left" w:pos="540"/>
          <w:tab w:val="left" w:pos="569"/>
        </w:tabs>
        <w:jc w:val="both"/>
        <w:rPr>
          <w:bCs/>
          <w:szCs w:val="22"/>
          <w:u w:val="single"/>
        </w:rPr>
      </w:pPr>
    </w:p>
    <w:p w14:paraId="3E3B6B02" w14:textId="77777777" w:rsidR="00C367F8" w:rsidRPr="009464E2" w:rsidRDefault="00C367F8" w:rsidP="00C367F8">
      <w:pPr>
        <w:tabs>
          <w:tab w:val="clear" w:pos="567"/>
          <w:tab w:val="left" w:pos="540"/>
          <w:tab w:val="left" w:pos="569"/>
        </w:tabs>
        <w:jc w:val="both"/>
        <w:rPr>
          <w:szCs w:val="22"/>
          <w:u w:val="single"/>
        </w:rPr>
      </w:pPr>
      <w:r w:rsidRPr="009464E2">
        <w:rPr>
          <w:szCs w:val="22"/>
          <w:u w:val="single"/>
        </w:rPr>
        <w:t xml:space="preserve">Rasa </w:t>
      </w:r>
    </w:p>
    <w:p w14:paraId="0884FF80" w14:textId="77777777" w:rsidR="00C367F8" w:rsidRDefault="00C367F8" w:rsidP="00C367F8">
      <w:pPr>
        <w:tabs>
          <w:tab w:val="clear" w:pos="567"/>
          <w:tab w:val="left" w:pos="540"/>
          <w:tab w:val="left" w:pos="569"/>
        </w:tabs>
        <w:jc w:val="both"/>
        <w:rPr>
          <w:szCs w:val="22"/>
        </w:rPr>
      </w:pPr>
      <w:r w:rsidRPr="009464E2">
        <w:rPr>
          <w:szCs w:val="22"/>
        </w:rPr>
        <w:t>Farmakokinetičke studije pokazuju povećanu izloženost lijeku kod Azijata u poređenju sa pripadnicima bijele rase (vidjeti djelove 4.2, 4.3 i 5.2).</w:t>
      </w:r>
    </w:p>
    <w:p w14:paraId="714A87D2" w14:textId="77777777" w:rsidR="00C367F8" w:rsidRDefault="00C367F8" w:rsidP="00C367F8">
      <w:pPr>
        <w:tabs>
          <w:tab w:val="clear" w:pos="567"/>
          <w:tab w:val="left" w:pos="540"/>
          <w:tab w:val="left" w:pos="569"/>
        </w:tabs>
        <w:jc w:val="both"/>
        <w:rPr>
          <w:bCs/>
          <w:szCs w:val="22"/>
          <w:u w:val="single"/>
        </w:rPr>
      </w:pPr>
    </w:p>
    <w:p w14:paraId="53497794" w14:textId="77777777" w:rsidR="00C367F8" w:rsidRPr="00C84FEB" w:rsidRDefault="00C367F8" w:rsidP="00C367F8">
      <w:pPr>
        <w:tabs>
          <w:tab w:val="clear" w:pos="567"/>
          <w:tab w:val="left" w:pos="540"/>
          <w:tab w:val="left" w:pos="569"/>
        </w:tabs>
        <w:jc w:val="both"/>
        <w:rPr>
          <w:szCs w:val="22"/>
          <w:u w:val="single"/>
        </w:rPr>
      </w:pPr>
      <w:r w:rsidRPr="00C84FEB">
        <w:rPr>
          <w:szCs w:val="22"/>
          <w:u w:val="single"/>
        </w:rPr>
        <w:t xml:space="preserve">Inhibitori proteaze </w:t>
      </w:r>
    </w:p>
    <w:p w14:paraId="447D3F02" w14:textId="77777777" w:rsidR="00C367F8" w:rsidRDefault="00C367F8" w:rsidP="00C367F8">
      <w:pPr>
        <w:tabs>
          <w:tab w:val="clear" w:pos="567"/>
          <w:tab w:val="left" w:pos="540"/>
          <w:tab w:val="left" w:pos="569"/>
        </w:tabs>
        <w:jc w:val="both"/>
        <w:rPr>
          <w:szCs w:val="22"/>
        </w:rPr>
      </w:pPr>
      <w:r w:rsidRPr="00C84FEB">
        <w:rPr>
          <w:szCs w:val="22"/>
        </w:rPr>
        <w:t>Primijećena je povećana sistemska izloženost rosuvastatinu kod osoba koje su rosuvastatin koristile istovremeno sa različitim inhibitorima proteaze u kombinaciji s ritonavirom. Treba razmotriti i korist od smanjenja vrijednosti lipida primjenom rosuvastatina kod pacijenata zaraženih HIV-om koji primaju inhibitore proteaze i mogućnost povećanja koncentracije rosuvastatina u plazmi prilikom uvođenja i titracije doze rosuvastatina kod pacijenata koji se liječe inhibitorima proteaze. Ne preporučuje se istovremena primjena s inhibitorima proteaze bez prethodnog prilagođavanja doze rosuvastatina (vidjeti djelove 4.2 i 4.5).</w:t>
      </w:r>
    </w:p>
    <w:p w14:paraId="13E70C31" w14:textId="77777777" w:rsidR="00C367F8" w:rsidRDefault="00C367F8" w:rsidP="00C367F8">
      <w:pPr>
        <w:tabs>
          <w:tab w:val="clear" w:pos="567"/>
          <w:tab w:val="left" w:pos="540"/>
          <w:tab w:val="left" w:pos="569"/>
        </w:tabs>
        <w:jc w:val="both"/>
        <w:rPr>
          <w:bCs/>
          <w:szCs w:val="22"/>
          <w:u w:val="single"/>
        </w:rPr>
      </w:pPr>
    </w:p>
    <w:p w14:paraId="21CB6CD3" w14:textId="77777777" w:rsidR="00C367F8" w:rsidRDefault="00C367F8" w:rsidP="00C367F8">
      <w:pPr>
        <w:tabs>
          <w:tab w:val="clear" w:pos="567"/>
          <w:tab w:val="left" w:pos="540"/>
          <w:tab w:val="left" w:pos="569"/>
        </w:tabs>
        <w:jc w:val="both"/>
        <w:rPr>
          <w:szCs w:val="22"/>
          <w:u w:val="single"/>
        </w:rPr>
      </w:pPr>
      <w:r w:rsidRPr="0079381C">
        <w:rPr>
          <w:szCs w:val="22"/>
          <w:u w:val="single"/>
        </w:rPr>
        <w:t>Intersticijalna bolest pluća</w:t>
      </w:r>
    </w:p>
    <w:p w14:paraId="141A96E6" w14:textId="77777777" w:rsidR="00C367F8" w:rsidRPr="00EF53C1" w:rsidRDefault="00C367F8" w:rsidP="00C367F8">
      <w:pPr>
        <w:tabs>
          <w:tab w:val="clear" w:pos="567"/>
          <w:tab w:val="left" w:pos="540"/>
          <w:tab w:val="left" w:pos="569"/>
        </w:tabs>
        <w:jc w:val="both"/>
        <w:rPr>
          <w:szCs w:val="22"/>
        </w:rPr>
      </w:pPr>
      <w:r w:rsidRPr="00EF53C1">
        <w:rPr>
          <w:szCs w:val="22"/>
        </w:rPr>
        <w:t xml:space="preserve">Zabilježeni su izuzetni slučajevi intersticijalne bolesti pluća prilikom upotrebe nekih statina, posebno prilikom dugotrajnih </w:t>
      </w:r>
      <w:r w:rsidR="00AC50FD">
        <w:rPr>
          <w:szCs w:val="22"/>
        </w:rPr>
        <w:t>liječenja</w:t>
      </w:r>
      <w:r w:rsidRPr="00EF53C1">
        <w:rPr>
          <w:szCs w:val="22"/>
        </w:rPr>
        <w:t xml:space="preserve"> (vidjeti dio 4.8). Simptomi bolesti mogu uključivati dispneju, neproduktivni kašalj i pogoršanje opšteg zdravstvenog stanja (umor, gubitak t</w:t>
      </w:r>
      <w:r w:rsidR="00AC50FD">
        <w:rPr>
          <w:szCs w:val="22"/>
        </w:rPr>
        <w:t>j</w:t>
      </w:r>
      <w:r w:rsidRPr="00EF53C1">
        <w:rPr>
          <w:szCs w:val="22"/>
        </w:rPr>
        <w:t>elesne mase i povišena t</w:t>
      </w:r>
      <w:r w:rsidR="00AC50FD">
        <w:rPr>
          <w:szCs w:val="22"/>
        </w:rPr>
        <w:t>j</w:t>
      </w:r>
      <w:r w:rsidRPr="00EF53C1">
        <w:rPr>
          <w:szCs w:val="22"/>
        </w:rPr>
        <w:t>elesna temperatura). Ukoliko se sumnja da se kod pacijenta razvila intersticijalna bolest pluća, treba prekinuti  terapij</w:t>
      </w:r>
      <w:r w:rsidR="00AC50FD">
        <w:rPr>
          <w:szCs w:val="22"/>
        </w:rPr>
        <w:t>u</w:t>
      </w:r>
      <w:r w:rsidRPr="00EF53C1">
        <w:rPr>
          <w:szCs w:val="22"/>
        </w:rPr>
        <w:t xml:space="preserve"> statinima.</w:t>
      </w:r>
    </w:p>
    <w:p w14:paraId="5B1BAA87" w14:textId="77777777" w:rsidR="00C367F8" w:rsidRPr="00EF53C1" w:rsidRDefault="00C367F8" w:rsidP="00C367F8">
      <w:pPr>
        <w:tabs>
          <w:tab w:val="clear" w:pos="567"/>
          <w:tab w:val="left" w:pos="540"/>
          <w:tab w:val="left" w:pos="569"/>
        </w:tabs>
        <w:jc w:val="both"/>
        <w:rPr>
          <w:bCs/>
          <w:szCs w:val="22"/>
        </w:rPr>
      </w:pPr>
    </w:p>
    <w:p w14:paraId="4F69E6FE" w14:textId="77777777" w:rsidR="00C367F8" w:rsidRPr="00EF53C1" w:rsidRDefault="00C367F8" w:rsidP="00C367F8">
      <w:pPr>
        <w:tabs>
          <w:tab w:val="clear" w:pos="567"/>
          <w:tab w:val="left" w:pos="540"/>
          <w:tab w:val="left" w:pos="569"/>
        </w:tabs>
        <w:jc w:val="both"/>
        <w:rPr>
          <w:szCs w:val="22"/>
          <w:u w:val="single"/>
        </w:rPr>
      </w:pPr>
      <w:r w:rsidRPr="00EF53C1">
        <w:rPr>
          <w:szCs w:val="22"/>
          <w:u w:val="single"/>
        </w:rPr>
        <w:t>Dijabetes melitus</w:t>
      </w:r>
    </w:p>
    <w:p w14:paraId="2CCF71F8" w14:textId="77777777" w:rsidR="00C367F8" w:rsidRPr="00EF53C1" w:rsidRDefault="00C367F8" w:rsidP="00C367F8">
      <w:pPr>
        <w:tabs>
          <w:tab w:val="clear" w:pos="567"/>
          <w:tab w:val="left" w:pos="540"/>
          <w:tab w:val="left" w:pos="569"/>
        </w:tabs>
        <w:jc w:val="both"/>
        <w:rPr>
          <w:szCs w:val="22"/>
        </w:rPr>
      </w:pPr>
      <w:r w:rsidRPr="00EF53C1">
        <w:rPr>
          <w:szCs w:val="22"/>
        </w:rPr>
        <w:t xml:space="preserve">Postoje dokazi koji ukazuju na to da ljekovi iz grupe statina podižu nivo glukoze u krvi, a kod određenih pacijenata s visokim rizikom za nastanak dijabetesa mogu uzrokovati takve vrijednosti hiperglikemije koje treba liječiti kao dijabetes. Međutim, smanjenje vaskularnog rizika primjenom statina prevazilazi po značaju ovaj rizik, i zato on ne treba da bude razlog za prekidanje terapije statinima. Pacijente sa rizikom (vrijednosti glukoze natašte od 5,6 do 6,9 mmol/l, BMI&gt;30kg/m2, povišeni trigliceridi, hipertenzija) treba nadzirati klinički i biohemijski u skladu sa nacionalnim smjernicama. </w:t>
      </w:r>
    </w:p>
    <w:p w14:paraId="2D540CD0" w14:textId="77777777" w:rsidR="00C367F8" w:rsidRPr="00EF53C1" w:rsidRDefault="00C367F8" w:rsidP="00C367F8">
      <w:pPr>
        <w:tabs>
          <w:tab w:val="clear" w:pos="567"/>
          <w:tab w:val="left" w:pos="540"/>
          <w:tab w:val="left" w:pos="569"/>
        </w:tabs>
        <w:jc w:val="both"/>
        <w:rPr>
          <w:szCs w:val="22"/>
        </w:rPr>
      </w:pPr>
    </w:p>
    <w:p w14:paraId="0C7C599D" w14:textId="77777777" w:rsidR="00C367F8" w:rsidRDefault="00C367F8" w:rsidP="00C367F8">
      <w:pPr>
        <w:tabs>
          <w:tab w:val="clear" w:pos="567"/>
          <w:tab w:val="left" w:pos="540"/>
          <w:tab w:val="left" w:pos="569"/>
        </w:tabs>
        <w:jc w:val="both"/>
        <w:rPr>
          <w:szCs w:val="22"/>
        </w:rPr>
      </w:pPr>
      <w:r w:rsidRPr="00EF53C1">
        <w:rPr>
          <w:szCs w:val="22"/>
        </w:rPr>
        <w:lastRenderedPageBreak/>
        <w:t>U studiji JUPITER zabilježena učestalost prijave diabetes mellitusa bila je 2,8% za rosuvastatin i 2,3% za placebo, uglavnom kod pacijenata kod kojih je vrijednost glukoze u krvi natašte iznosila od 5,6 do 6,9 mmol/l.</w:t>
      </w:r>
    </w:p>
    <w:p w14:paraId="19868B8B" w14:textId="77777777" w:rsidR="00C367F8" w:rsidRDefault="00C367F8" w:rsidP="00C367F8">
      <w:pPr>
        <w:tabs>
          <w:tab w:val="clear" w:pos="567"/>
          <w:tab w:val="left" w:pos="540"/>
          <w:tab w:val="left" w:pos="569"/>
        </w:tabs>
        <w:jc w:val="both"/>
        <w:rPr>
          <w:bCs/>
          <w:szCs w:val="22"/>
        </w:rPr>
      </w:pPr>
    </w:p>
    <w:p w14:paraId="59A40D1D" w14:textId="77777777" w:rsidR="00EC6E46" w:rsidRDefault="00EC6E46" w:rsidP="00C367F8">
      <w:pPr>
        <w:tabs>
          <w:tab w:val="clear" w:pos="567"/>
          <w:tab w:val="left" w:pos="540"/>
          <w:tab w:val="left" w:pos="569"/>
        </w:tabs>
        <w:jc w:val="both"/>
        <w:rPr>
          <w:szCs w:val="22"/>
          <w:u w:val="single"/>
        </w:rPr>
      </w:pPr>
    </w:p>
    <w:p w14:paraId="05980587" w14:textId="77777777" w:rsidR="00EC6E46" w:rsidRDefault="00EC6E46" w:rsidP="00C367F8">
      <w:pPr>
        <w:tabs>
          <w:tab w:val="clear" w:pos="567"/>
          <w:tab w:val="left" w:pos="540"/>
          <w:tab w:val="left" w:pos="569"/>
        </w:tabs>
        <w:jc w:val="both"/>
        <w:rPr>
          <w:szCs w:val="22"/>
          <w:u w:val="single"/>
        </w:rPr>
      </w:pPr>
    </w:p>
    <w:p w14:paraId="3418C66A" w14:textId="77777777" w:rsidR="00C367F8" w:rsidRPr="0006027D" w:rsidRDefault="00C367F8" w:rsidP="00C367F8">
      <w:pPr>
        <w:tabs>
          <w:tab w:val="clear" w:pos="567"/>
          <w:tab w:val="left" w:pos="540"/>
          <w:tab w:val="left" w:pos="569"/>
        </w:tabs>
        <w:jc w:val="both"/>
        <w:rPr>
          <w:szCs w:val="22"/>
          <w:u w:val="single"/>
        </w:rPr>
      </w:pPr>
      <w:r w:rsidRPr="0006027D">
        <w:rPr>
          <w:szCs w:val="22"/>
          <w:u w:val="single"/>
        </w:rPr>
        <w:t>Fibrati</w:t>
      </w:r>
    </w:p>
    <w:p w14:paraId="35809717" w14:textId="77777777" w:rsidR="00C367F8" w:rsidRPr="0006027D" w:rsidRDefault="00C367F8" w:rsidP="00C367F8">
      <w:pPr>
        <w:tabs>
          <w:tab w:val="clear" w:pos="567"/>
          <w:tab w:val="left" w:pos="540"/>
          <w:tab w:val="left" w:pos="569"/>
        </w:tabs>
        <w:jc w:val="both"/>
        <w:rPr>
          <w:szCs w:val="22"/>
        </w:rPr>
      </w:pPr>
      <w:r w:rsidRPr="0006027D">
        <w:rPr>
          <w:szCs w:val="22"/>
        </w:rPr>
        <w:t>Bezbjednost i efikasnost primjene ezetimiba u kombinaciji sa fibratima nije utvrđena. Ukoliko postoji sumnja na holelitijazu kod pacijenata koji primaju lijek Co-Roswera i fenofibrat, potrebno je da se urade pregledi žučne kese a terapiju ovim lijekom treba prekinuti (vidjeti djelove 4.5 i 4.8).</w:t>
      </w:r>
    </w:p>
    <w:p w14:paraId="21312B3E" w14:textId="77777777" w:rsidR="00EC6E46" w:rsidRDefault="00EC6E46" w:rsidP="00C367F8">
      <w:pPr>
        <w:tabs>
          <w:tab w:val="clear" w:pos="567"/>
          <w:tab w:val="left" w:pos="540"/>
          <w:tab w:val="left" w:pos="569"/>
        </w:tabs>
        <w:jc w:val="both"/>
        <w:rPr>
          <w:szCs w:val="22"/>
          <w:u w:val="single"/>
        </w:rPr>
      </w:pPr>
    </w:p>
    <w:p w14:paraId="7654B3D9" w14:textId="77777777" w:rsidR="00C367F8" w:rsidRPr="0006027D" w:rsidRDefault="00C367F8" w:rsidP="00C367F8">
      <w:pPr>
        <w:tabs>
          <w:tab w:val="clear" w:pos="567"/>
          <w:tab w:val="left" w:pos="540"/>
          <w:tab w:val="left" w:pos="569"/>
        </w:tabs>
        <w:jc w:val="both"/>
        <w:rPr>
          <w:szCs w:val="22"/>
          <w:u w:val="single"/>
        </w:rPr>
      </w:pPr>
      <w:r w:rsidRPr="0006027D">
        <w:rPr>
          <w:szCs w:val="22"/>
          <w:u w:val="single"/>
        </w:rPr>
        <w:t xml:space="preserve">Antikoagulansi </w:t>
      </w:r>
    </w:p>
    <w:p w14:paraId="2A84933B" w14:textId="77777777" w:rsidR="00C367F8" w:rsidRDefault="00C367F8" w:rsidP="00C367F8">
      <w:pPr>
        <w:tabs>
          <w:tab w:val="clear" w:pos="567"/>
          <w:tab w:val="left" w:pos="540"/>
          <w:tab w:val="left" w:pos="569"/>
        </w:tabs>
        <w:jc w:val="both"/>
        <w:rPr>
          <w:szCs w:val="22"/>
        </w:rPr>
      </w:pPr>
      <w:r w:rsidRPr="008105C6">
        <w:rPr>
          <w:szCs w:val="22"/>
        </w:rPr>
        <w:t xml:space="preserve">Ako se lijek Co-Roswera primjenjuje istovremeno sa varfarinom, drugim kumarinskim antikoagulansom ili fluindionom, treba na odgovarajući način pratiti internacionalni normalizovani odnos (engl. </w:t>
      </w:r>
      <w:r w:rsidR="0020275E" w:rsidRPr="00516260">
        <w:rPr>
          <w:i/>
          <w:szCs w:val="22"/>
        </w:rPr>
        <w:t>International Normalized Ratio</w:t>
      </w:r>
      <w:r w:rsidRPr="008105C6">
        <w:rPr>
          <w:szCs w:val="22"/>
        </w:rPr>
        <w:t>, INR) (vidjeti dio 4.5).</w:t>
      </w:r>
    </w:p>
    <w:p w14:paraId="3B10FA9A" w14:textId="77777777" w:rsidR="00C367F8" w:rsidRDefault="00C367F8" w:rsidP="00C367F8">
      <w:pPr>
        <w:tabs>
          <w:tab w:val="clear" w:pos="567"/>
          <w:tab w:val="left" w:pos="540"/>
          <w:tab w:val="left" w:pos="569"/>
        </w:tabs>
        <w:jc w:val="both"/>
        <w:rPr>
          <w:bCs/>
          <w:szCs w:val="22"/>
        </w:rPr>
      </w:pPr>
    </w:p>
    <w:p w14:paraId="156ABA51" w14:textId="77777777" w:rsidR="00C367F8" w:rsidRPr="00A117F8" w:rsidRDefault="0020275E" w:rsidP="00C367F8">
      <w:pPr>
        <w:tabs>
          <w:tab w:val="clear" w:pos="567"/>
          <w:tab w:val="left" w:pos="540"/>
          <w:tab w:val="left" w:pos="569"/>
        </w:tabs>
        <w:jc w:val="both"/>
        <w:rPr>
          <w:szCs w:val="22"/>
          <w:u w:val="single"/>
        </w:rPr>
      </w:pPr>
      <w:r>
        <w:rPr>
          <w:szCs w:val="22"/>
          <w:u w:val="single"/>
        </w:rPr>
        <w:t>Teške</w:t>
      </w:r>
      <w:r w:rsidR="00C367F8" w:rsidRPr="00A117F8">
        <w:rPr>
          <w:szCs w:val="22"/>
          <w:u w:val="single"/>
        </w:rPr>
        <w:t xml:space="preserve"> kož</w:t>
      </w:r>
      <w:r>
        <w:rPr>
          <w:szCs w:val="22"/>
          <w:u w:val="single"/>
        </w:rPr>
        <w:t>ne neželjene reakcije</w:t>
      </w:r>
      <w:r w:rsidR="00C367F8" w:rsidRPr="00A117F8">
        <w:rPr>
          <w:szCs w:val="22"/>
          <w:u w:val="single"/>
        </w:rPr>
        <w:t xml:space="preserve"> </w:t>
      </w:r>
    </w:p>
    <w:p w14:paraId="3A7A7D22" w14:textId="77777777" w:rsidR="00C367F8" w:rsidRDefault="00C367F8" w:rsidP="00C367F8">
      <w:pPr>
        <w:tabs>
          <w:tab w:val="clear" w:pos="567"/>
          <w:tab w:val="left" w:pos="540"/>
          <w:tab w:val="left" w:pos="569"/>
        </w:tabs>
        <w:jc w:val="both"/>
        <w:rPr>
          <w:szCs w:val="22"/>
        </w:rPr>
      </w:pPr>
      <w:r w:rsidRPr="00A117F8">
        <w:rPr>
          <w:szCs w:val="22"/>
        </w:rPr>
        <w:t>Teške kožne n</w:t>
      </w:r>
      <w:r w:rsidR="0020275E">
        <w:rPr>
          <w:szCs w:val="22"/>
        </w:rPr>
        <w:t>eželjene reakcije</w:t>
      </w:r>
      <w:r w:rsidRPr="00A117F8">
        <w:rPr>
          <w:szCs w:val="22"/>
        </w:rPr>
        <w:t xml:space="preserve">, uključujući Stevens-Johnsonov sindrom (SJS) i reakciju na lijek s eozinofilijom i sistemskim simptomima (engl. </w:t>
      </w:r>
      <w:r w:rsidRPr="00516260">
        <w:rPr>
          <w:i/>
          <w:szCs w:val="22"/>
        </w:rPr>
        <w:t>Drug reaction with eosinophilia and systemic symptoms</w:t>
      </w:r>
      <w:r w:rsidRPr="00A117F8">
        <w:rPr>
          <w:szCs w:val="22"/>
        </w:rPr>
        <w:t xml:space="preserve">, DRESS), koje mogu biti opasne po život ili fatalne, zabilježene su kod primjene rosuvastatina. Prilikom propisivanja terapije, pacijente treba savjetovati o znakovima i simptomima teških kožnih reakcija i pažljivo ih pratiti. Ako se pojave znakovi i simptomi koji upućuju na takve reakcije, liječenje lijekom Co-Roswera treba odmah prekinuti i razmotriti terapiju drugim ljekovima. Ako je prilikom primjene lijeka Co-Roswera pacijent razvio ozbiljnu reakciju poput SJS-a ili DRESSa, </w:t>
      </w:r>
      <w:r>
        <w:rPr>
          <w:szCs w:val="22"/>
        </w:rPr>
        <w:t>ovaj lijek se ne smije više koristiti u terapiji.</w:t>
      </w:r>
    </w:p>
    <w:p w14:paraId="081F54AD" w14:textId="77777777" w:rsidR="00C367F8" w:rsidRDefault="00C367F8" w:rsidP="00C367F8">
      <w:pPr>
        <w:tabs>
          <w:tab w:val="clear" w:pos="567"/>
          <w:tab w:val="left" w:pos="540"/>
          <w:tab w:val="left" w:pos="569"/>
        </w:tabs>
        <w:jc w:val="both"/>
        <w:rPr>
          <w:bCs/>
          <w:szCs w:val="22"/>
        </w:rPr>
      </w:pPr>
    </w:p>
    <w:p w14:paraId="350023BA" w14:textId="77777777" w:rsidR="00C367F8" w:rsidRPr="00BB2D66" w:rsidRDefault="00C367F8" w:rsidP="00C367F8">
      <w:pPr>
        <w:tabs>
          <w:tab w:val="clear" w:pos="567"/>
          <w:tab w:val="left" w:pos="540"/>
          <w:tab w:val="left" w:pos="569"/>
        </w:tabs>
        <w:jc w:val="both"/>
        <w:rPr>
          <w:bCs/>
          <w:szCs w:val="22"/>
          <w:u w:val="single"/>
        </w:rPr>
      </w:pPr>
      <w:r w:rsidRPr="00BB2D66">
        <w:rPr>
          <w:szCs w:val="22"/>
          <w:u w:val="single"/>
        </w:rPr>
        <w:t>Pomoćne supstance</w:t>
      </w:r>
    </w:p>
    <w:p w14:paraId="616756DB" w14:textId="77777777" w:rsidR="00C367F8" w:rsidRDefault="00C367F8" w:rsidP="00C367F8">
      <w:pPr>
        <w:tabs>
          <w:tab w:val="clear" w:pos="567"/>
          <w:tab w:val="left" w:pos="540"/>
          <w:tab w:val="left" w:pos="569"/>
        </w:tabs>
        <w:jc w:val="both"/>
        <w:rPr>
          <w:szCs w:val="22"/>
        </w:rPr>
      </w:pPr>
      <w:r w:rsidRPr="005C001D">
        <w:rPr>
          <w:szCs w:val="22"/>
        </w:rPr>
        <w:t>Lijek Co-Roswera sadrži laktozu. Pacijenti sa rijetkim nasljednim poremećajem intolerancije na galaktozu, potpunim nedostatkom laktaze ili malapsorpcijom glukoze i galaktoze ne bi smjeli koristiti ovaj lijek.</w:t>
      </w:r>
    </w:p>
    <w:p w14:paraId="547C09EA" w14:textId="77777777" w:rsidR="00C367F8" w:rsidRDefault="00C367F8" w:rsidP="00C367F8">
      <w:pPr>
        <w:tabs>
          <w:tab w:val="clear" w:pos="567"/>
          <w:tab w:val="left" w:pos="540"/>
          <w:tab w:val="left" w:pos="569"/>
        </w:tabs>
        <w:jc w:val="both"/>
        <w:rPr>
          <w:bCs/>
          <w:szCs w:val="22"/>
        </w:rPr>
      </w:pPr>
    </w:p>
    <w:p w14:paraId="3595479A" w14:textId="77777777" w:rsidR="00C367F8" w:rsidRDefault="00C367F8" w:rsidP="00C367F8">
      <w:pPr>
        <w:widowControl w:val="0"/>
        <w:autoSpaceDE w:val="0"/>
        <w:autoSpaceDN w:val="0"/>
        <w:adjustRightInd w:val="0"/>
        <w:jc w:val="both"/>
        <w:rPr>
          <w:noProof/>
          <w:szCs w:val="22"/>
          <w:lang w:val="hr-HR" w:eastAsia="sl-SI"/>
        </w:rPr>
      </w:pPr>
      <w:r>
        <w:rPr>
          <w:noProof/>
          <w:szCs w:val="22"/>
          <w:lang w:val="hr-HR"/>
        </w:rPr>
        <w:t xml:space="preserve">Ovaj lijek sadrži manje od 1 mmol (23 mg) natrijuma </w:t>
      </w:r>
      <w:r>
        <w:rPr>
          <w:iCs/>
          <w:noProof/>
          <w:szCs w:val="22"/>
          <w:lang w:val="hr-HR"/>
        </w:rPr>
        <w:t>po film tableti</w:t>
      </w:r>
      <w:r>
        <w:rPr>
          <w:noProof/>
          <w:szCs w:val="22"/>
          <w:lang w:val="hr-HR"/>
        </w:rPr>
        <w:t>, tj. zanemarljive količine natrijuma.</w:t>
      </w:r>
    </w:p>
    <w:p w14:paraId="3AE8A082" w14:textId="77777777" w:rsidR="00C367F8" w:rsidRPr="005C001D" w:rsidRDefault="00C367F8" w:rsidP="00C367F8">
      <w:pPr>
        <w:tabs>
          <w:tab w:val="clear" w:pos="567"/>
          <w:tab w:val="left" w:pos="540"/>
          <w:tab w:val="left" w:pos="569"/>
        </w:tabs>
        <w:jc w:val="both"/>
        <w:rPr>
          <w:bCs/>
          <w:szCs w:val="22"/>
        </w:rPr>
      </w:pPr>
    </w:p>
    <w:p w14:paraId="09627299" w14:textId="77777777" w:rsidR="00C367F8" w:rsidRDefault="00C367F8" w:rsidP="00C367F8">
      <w:pPr>
        <w:tabs>
          <w:tab w:val="clear" w:pos="567"/>
          <w:tab w:val="left" w:pos="540"/>
          <w:tab w:val="left" w:pos="569"/>
        </w:tabs>
        <w:rPr>
          <w:b/>
          <w:bCs/>
          <w:szCs w:val="22"/>
        </w:rPr>
      </w:pPr>
      <w:r w:rsidRPr="00786071">
        <w:rPr>
          <w:b/>
          <w:bCs/>
          <w:szCs w:val="22"/>
        </w:rPr>
        <w:t>4.5.</w:t>
      </w:r>
      <w:r>
        <w:rPr>
          <w:b/>
          <w:bCs/>
          <w:szCs w:val="22"/>
        </w:rPr>
        <w:tab/>
      </w:r>
      <w:r w:rsidRPr="00786071">
        <w:rPr>
          <w:b/>
          <w:bCs/>
          <w:szCs w:val="22"/>
        </w:rPr>
        <w:t>Interakcije sa drugim ljekovima i druge vrste interakcija</w:t>
      </w:r>
    </w:p>
    <w:p w14:paraId="20D3031E" w14:textId="77777777" w:rsidR="00C367F8" w:rsidRDefault="00C367F8" w:rsidP="00C367F8">
      <w:pPr>
        <w:tabs>
          <w:tab w:val="clear" w:pos="567"/>
          <w:tab w:val="left" w:pos="540"/>
          <w:tab w:val="left" w:pos="569"/>
        </w:tabs>
        <w:rPr>
          <w:b/>
          <w:bCs/>
          <w:szCs w:val="22"/>
        </w:rPr>
      </w:pPr>
    </w:p>
    <w:p w14:paraId="5A2B5DD4" w14:textId="77777777" w:rsidR="00C367F8" w:rsidRDefault="00C367F8" w:rsidP="00C367F8">
      <w:pPr>
        <w:tabs>
          <w:tab w:val="clear" w:pos="567"/>
          <w:tab w:val="left" w:pos="540"/>
          <w:tab w:val="left" w:pos="569"/>
        </w:tabs>
        <w:rPr>
          <w:szCs w:val="22"/>
          <w:u w:val="single"/>
        </w:rPr>
      </w:pPr>
      <w:r w:rsidRPr="00AC7E4D">
        <w:rPr>
          <w:szCs w:val="22"/>
          <w:u w:val="single"/>
        </w:rPr>
        <w:t>Kontraindikovane kombinacije:</w:t>
      </w:r>
    </w:p>
    <w:p w14:paraId="4CBB763E" w14:textId="77777777" w:rsidR="00C367F8" w:rsidRDefault="00C367F8" w:rsidP="00C367F8">
      <w:pPr>
        <w:tabs>
          <w:tab w:val="clear" w:pos="567"/>
          <w:tab w:val="left" w:pos="540"/>
          <w:tab w:val="left" w:pos="569"/>
        </w:tabs>
        <w:jc w:val="both"/>
        <w:rPr>
          <w:szCs w:val="22"/>
        </w:rPr>
      </w:pPr>
      <w:r w:rsidRPr="00D85070">
        <w:rPr>
          <w:i/>
          <w:szCs w:val="22"/>
        </w:rPr>
        <w:t>Ciklosporin:</w:t>
      </w:r>
      <w:r w:rsidRPr="00D85070">
        <w:rPr>
          <w:szCs w:val="22"/>
        </w:rPr>
        <w:t xml:space="preserve"> Primjena lijeka Co-Roswera kod pacijenata koji istovremeno uzimaju ciklosporin je kontraindikovana (vidjeti dio 4.3). Prilikom istovremene primjene rosuvastatina i ciklosporina, vrijednosti površine ispod krive (</w:t>
      </w:r>
      <w:r>
        <w:rPr>
          <w:szCs w:val="22"/>
        </w:rPr>
        <w:t>PIK</w:t>
      </w:r>
      <w:r w:rsidRPr="00D85070">
        <w:rPr>
          <w:szCs w:val="22"/>
        </w:rPr>
        <w:t>) rosuvastatina bile su prosječno 7 puta veće od onih kod zdravih dobrovoljaca (vidjeti Tabelu 1). Istovremena primjena nije uticala na koncentraciju ciklosporina u plazmi.</w:t>
      </w:r>
    </w:p>
    <w:p w14:paraId="4EB3F566" w14:textId="77777777" w:rsidR="00C367F8" w:rsidRDefault="00C367F8" w:rsidP="00C367F8">
      <w:pPr>
        <w:tabs>
          <w:tab w:val="clear" w:pos="567"/>
          <w:tab w:val="left" w:pos="540"/>
          <w:tab w:val="left" w:pos="569"/>
        </w:tabs>
        <w:jc w:val="both"/>
        <w:rPr>
          <w:b/>
          <w:bCs/>
          <w:szCs w:val="22"/>
          <w:u w:val="single"/>
        </w:rPr>
      </w:pPr>
    </w:p>
    <w:p w14:paraId="68DA31D4" w14:textId="77777777" w:rsidR="00C367F8" w:rsidRDefault="00C367F8" w:rsidP="00C367F8">
      <w:pPr>
        <w:tabs>
          <w:tab w:val="clear" w:pos="567"/>
          <w:tab w:val="left" w:pos="540"/>
          <w:tab w:val="left" w:pos="569"/>
        </w:tabs>
        <w:jc w:val="both"/>
        <w:rPr>
          <w:szCs w:val="22"/>
        </w:rPr>
      </w:pPr>
      <w:r w:rsidRPr="009A3AB2">
        <w:rPr>
          <w:szCs w:val="22"/>
        </w:rPr>
        <w:t>U studiji koja je sprovedena na osam pacijenata nakon transplantacije bubrega, koji su primali stabilnu dozu ciklosporina, a kod kojih je klirens kreatinina bio &gt; 50 mL/min, jednokratna primjena ezetimiba u dozi od 10 mg dovela je do povećanja srednje vrijednosti PIK ukupnog ezetimiba od 3,4 puta (raspon od 2,3 do 7,9</w:t>
      </w:r>
      <w:r w:rsidR="0020275E">
        <w:rPr>
          <w:szCs w:val="22"/>
        </w:rPr>
        <w:t xml:space="preserve"> puta</w:t>
      </w:r>
      <w:r w:rsidRPr="009A3AB2">
        <w:rPr>
          <w:szCs w:val="22"/>
        </w:rPr>
        <w:t xml:space="preserve">), u poređenju sa kontrolnom grupom u drugom ispitivanju u kojoj su bili zdravi ispitanici koji su primali samo ezetimib (n=17). U jednom drugom ispitivanju, jedan pacijent sa presađenim bubregom i teškom insuficijencijom bubrega koji je primao ciklosporin i više drugih ljekova, ispoljio je čak 12 puta veću izloženost ukupnom ezetimibu u poređenju sa </w:t>
      </w:r>
      <w:r w:rsidR="00FD1B42" w:rsidRPr="009A3AB2">
        <w:rPr>
          <w:szCs w:val="22"/>
        </w:rPr>
        <w:t>ispitanici</w:t>
      </w:r>
      <w:r w:rsidR="00FD1B42">
        <w:rPr>
          <w:szCs w:val="22"/>
        </w:rPr>
        <w:t>ma</w:t>
      </w:r>
      <w:r w:rsidR="00FD1B42" w:rsidRPr="009A3AB2">
        <w:rPr>
          <w:szCs w:val="22"/>
        </w:rPr>
        <w:t xml:space="preserve"> </w:t>
      </w:r>
      <w:r w:rsidR="00FD1B42">
        <w:rPr>
          <w:szCs w:val="22"/>
        </w:rPr>
        <w:t xml:space="preserve">iz </w:t>
      </w:r>
      <w:r w:rsidR="00FD1B42" w:rsidRPr="009A3AB2">
        <w:rPr>
          <w:szCs w:val="22"/>
        </w:rPr>
        <w:t>kontroln</w:t>
      </w:r>
      <w:r w:rsidR="00FD1B42">
        <w:rPr>
          <w:szCs w:val="22"/>
        </w:rPr>
        <w:t>e</w:t>
      </w:r>
      <w:r w:rsidR="00FD1B42" w:rsidRPr="009A3AB2">
        <w:rPr>
          <w:szCs w:val="22"/>
        </w:rPr>
        <w:t xml:space="preserve"> grup</w:t>
      </w:r>
      <w:r w:rsidR="00FD1B42">
        <w:rPr>
          <w:szCs w:val="22"/>
        </w:rPr>
        <w:t>e</w:t>
      </w:r>
      <w:r w:rsidR="00FD1B42" w:rsidRPr="009A3AB2">
        <w:rPr>
          <w:szCs w:val="22"/>
        </w:rPr>
        <w:t xml:space="preserve"> </w:t>
      </w:r>
      <w:r w:rsidR="00FD1B42">
        <w:rPr>
          <w:szCs w:val="22"/>
        </w:rPr>
        <w:t xml:space="preserve">koji su </w:t>
      </w:r>
      <w:r w:rsidRPr="009A3AB2">
        <w:rPr>
          <w:szCs w:val="22"/>
        </w:rPr>
        <w:t>istovremen</w:t>
      </w:r>
      <w:r w:rsidR="00FD1B42">
        <w:rPr>
          <w:szCs w:val="22"/>
        </w:rPr>
        <w:t>o</w:t>
      </w:r>
      <w:r w:rsidRPr="009A3AB2">
        <w:rPr>
          <w:szCs w:val="22"/>
        </w:rPr>
        <w:t xml:space="preserve">  primali samo ezetimib. U unakrsnom ispitivanju sprovedenom kroz dva perioda na 12 zdravih ispitanika, primjena ezetimiba u dozi od 20 mg dnevno, tokom 8 dana, sa jednokratnom dozom ciklosporina od 100 mg sedmog dana ispitivanja, rezultiralo je prosječnim povećanjem PIK vrijednosti ciklosporina od 15 % (raspon od 10% smanjenja do 51% povećanja) u poređenju sa jednokratnom primjenom samo ciklosporina u dozi od 100 mg. Nije sprovedeno </w:t>
      </w:r>
      <w:r w:rsidRPr="009A3AB2">
        <w:rPr>
          <w:szCs w:val="22"/>
        </w:rPr>
        <w:lastRenderedPageBreak/>
        <w:t>kontrolisano ispitivanje dejstva istovremeno primijenjenog ezetimiba na izloženost ciklosporinu kod pacijenata sa presađenim bubregom.</w:t>
      </w:r>
    </w:p>
    <w:p w14:paraId="15B681D0" w14:textId="77777777" w:rsidR="00C367F8" w:rsidRDefault="00C367F8" w:rsidP="00C367F8">
      <w:pPr>
        <w:tabs>
          <w:tab w:val="clear" w:pos="567"/>
          <w:tab w:val="left" w:pos="540"/>
          <w:tab w:val="left" w:pos="569"/>
        </w:tabs>
        <w:jc w:val="both"/>
        <w:rPr>
          <w:b/>
          <w:bCs/>
          <w:szCs w:val="22"/>
          <w:u w:val="single"/>
        </w:rPr>
      </w:pPr>
    </w:p>
    <w:p w14:paraId="159EBC57" w14:textId="77777777" w:rsidR="00C367F8" w:rsidRDefault="00C367F8" w:rsidP="00C367F8">
      <w:pPr>
        <w:tabs>
          <w:tab w:val="clear" w:pos="567"/>
          <w:tab w:val="left" w:pos="540"/>
          <w:tab w:val="left" w:pos="569"/>
        </w:tabs>
        <w:jc w:val="both"/>
        <w:rPr>
          <w:szCs w:val="22"/>
          <w:u w:val="single"/>
        </w:rPr>
      </w:pPr>
      <w:r w:rsidRPr="00B8223D">
        <w:rPr>
          <w:szCs w:val="22"/>
          <w:u w:val="single"/>
        </w:rPr>
        <w:t>Kombinacije koje se ne preporučuju</w:t>
      </w:r>
    </w:p>
    <w:p w14:paraId="05AC1CCB" w14:textId="77777777" w:rsidR="00C367F8" w:rsidRDefault="00C367F8" w:rsidP="00C367F8">
      <w:pPr>
        <w:tabs>
          <w:tab w:val="clear" w:pos="567"/>
          <w:tab w:val="left" w:pos="540"/>
          <w:tab w:val="left" w:pos="569"/>
        </w:tabs>
        <w:jc w:val="both"/>
        <w:rPr>
          <w:szCs w:val="22"/>
        </w:rPr>
      </w:pPr>
      <w:r w:rsidRPr="0016149D">
        <w:rPr>
          <w:i/>
          <w:szCs w:val="22"/>
        </w:rPr>
        <w:t>Inhibitori proteaze:</w:t>
      </w:r>
      <w:r w:rsidRPr="0016149D">
        <w:rPr>
          <w:szCs w:val="22"/>
        </w:rPr>
        <w:t xml:space="preserve"> Iako tačan mehanizam interakcije nije poznat, istovremena primjena inhibitora proteaze može značajno da poveća izloženost rosuvastatinu (vidjeti Tabelu 1). Na primjer, u farmakokinetičkom istraživanju istovremena primjena 10 mg rosuvastatina i kombinovanog lijeka sa dva inhibitora proteaze (300 mg atazanavira / 100 mg ritonavira) kod zdravih ispitanika bila je povezana sa približno trostrukim povećanjem vrijednosti PIK-a rosuvastatina, odnosno sedmostrukim povećanjem vrijednosti C</w:t>
      </w:r>
      <w:r w:rsidRPr="0016149D">
        <w:rPr>
          <w:szCs w:val="22"/>
          <w:vertAlign w:val="subscript"/>
        </w:rPr>
        <w:t>max</w:t>
      </w:r>
      <w:r w:rsidRPr="0016149D">
        <w:rPr>
          <w:szCs w:val="22"/>
        </w:rPr>
        <w:t xml:space="preserve"> rosuvastatina. Istovremena primjena rosuvastatina i nekih kombinacija inhibitora proteaze može se uzeti u obzir samo nakon pažljivog razmatranja prilagođavanja doze rosuvastatina na osnovu očekivanog povećanja izloženosti rosuvastatinu (vidjeti djelove 4.2, 4.4 </w:t>
      </w:r>
      <w:r w:rsidR="00FD1B42">
        <w:rPr>
          <w:szCs w:val="22"/>
        </w:rPr>
        <w:t>te</w:t>
      </w:r>
      <w:r w:rsidRPr="0016149D">
        <w:rPr>
          <w:szCs w:val="22"/>
        </w:rPr>
        <w:t xml:space="preserve"> Tabelu 1).</w:t>
      </w:r>
    </w:p>
    <w:p w14:paraId="36D93A4A" w14:textId="77777777" w:rsidR="00C367F8" w:rsidRDefault="00C367F8" w:rsidP="00C367F8">
      <w:pPr>
        <w:tabs>
          <w:tab w:val="clear" w:pos="567"/>
          <w:tab w:val="left" w:pos="540"/>
          <w:tab w:val="left" w:pos="569"/>
        </w:tabs>
        <w:jc w:val="both"/>
        <w:rPr>
          <w:b/>
          <w:bCs/>
          <w:szCs w:val="22"/>
          <w:u w:val="single"/>
        </w:rPr>
      </w:pPr>
    </w:p>
    <w:p w14:paraId="469DF89B" w14:textId="77777777" w:rsidR="00C367F8" w:rsidRDefault="00C367F8" w:rsidP="00C367F8">
      <w:pPr>
        <w:tabs>
          <w:tab w:val="clear" w:pos="567"/>
          <w:tab w:val="left" w:pos="540"/>
          <w:tab w:val="left" w:pos="569"/>
        </w:tabs>
        <w:jc w:val="both"/>
        <w:rPr>
          <w:szCs w:val="22"/>
        </w:rPr>
      </w:pPr>
      <w:r w:rsidRPr="0010273B">
        <w:rPr>
          <w:i/>
          <w:szCs w:val="22"/>
        </w:rPr>
        <w:t>Inhibitori transportnih proteina</w:t>
      </w:r>
      <w:r>
        <w:rPr>
          <w:i/>
          <w:szCs w:val="22"/>
        </w:rPr>
        <w:t xml:space="preserve">: </w:t>
      </w:r>
      <w:r w:rsidRPr="0010273B">
        <w:rPr>
          <w:szCs w:val="22"/>
        </w:rPr>
        <w:t>Rosuvastatin je supstrat određenih transportnih proteina uključujući transporter hepatičkog preuzimanja OATP1B1 i efluksni transporter BCRP. Istovremena primjena rosuvastatina sa ljekovima koji inhibiraju ove transportne proteine može da dovede do povećanih koncentracija rosuvastatina u plazmi i povećanog rizika od miopatije (vidjeti djelove 4.2, 4.4,</w:t>
      </w:r>
      <w:r w:rsidR="00FD1B42">
        <w:rPr>
          <w:szCs w:val="22"/>
        </w:rPr>
        <w:t xml:space="preserve"> te Tabelu 1</w:t>
      </w:r>
      <w:r w:rsidRPr="0010273B">
        <w:rPr>
          <w:szCs w:val="22"/>
        </w:rPr>
        <w:t xml:space="preserve"> </w:t>
      </w:r>
      <w:r w:rsidR="00FD1B42">
        <w:rPr>
          <w:szCs w:val="22"/>
        </w:rPr>
        <w:t>u</w:t>
      </w:r>
      <w:r w:rsidR="00FD1B42" w:rsidRPr="0010273B">
        <w:rPr>
          <w:szCs w:val="22"/>
        </w:rPr>
        <w:t xml:space="preserve"> </w:t>
      </w:r>
      <w:r w:rsidRPr="0010273B">
        <w:rPr>
          <w:szCs w:val="22"/>
        </w:rPr>
        <w:t>4.5).</w:t>
      </w:r>
    </w:p>
    <w:p w14:paraId="35573657" w14:textId="77777777" w:rsidR="00C367F8" w:rsidRDefault="00C367F8" w:rsidP="00C367F8">
      <w:pPr>
        <w:tabs>
          <w:tab w:val="clear" w:pos="567"/>
          <w:tab w:val="left" w:pos="540"/>
          <w:tab w:val="left" w:pos="569"/>
        </w:tabs>
        <w:jc w:val="both"/>
        <w:rPr>
          <w:i/>
          <w:szCs w:val="22"/>
        </w:rPr>
      </w:pPr>
    </w:p>
    <w:p w14:paraId="6DCC6DE3" w14:textId="77777777" w:rsidR="00C367F8" w:rsidRDefault="00C367F8" w:rsidP="00C367F8">
      <w:pPr>
        <w:tabs>
          <w:tab w:val="clear" w:pos="567"/>
          <w:tab w:val="left" w:pos="540"/>
          <w:tab w:val="left" w:pos="569"/>
        </w:tabs>
        <w:jc w:val="both"/>
        <w:rPr>
          <w:szCs w:val="22"/>
        </w:rPr>
      </w:pPr>
      <w:r w:rsidRPr="00763BAC">
        <w:rPr>
          <w:i/>
          <w:szCs w:val="22"/>
        </w:rPr>
        <w:t>Fibrati:</w:t>
      </w:r>
      <w:r w:rsidRPr="00763BAC">
        <w:rPr>
          <w:szCs w:val="22"/>
        </w:rPr>
        <w:t xml:space="preserve"> Istovremena primjena rosuvastatina i gemfibrozila dovela je do dvostrukog povećanja vrijednosti C</w:t>
      </w:r>
      <w:r w:rsidRPr="00763BAC">
        <w:rPr>
          <w:szCs w:val="22"/>
          <w:vertAlign w:val="subscript"/>
        </w:rPr>
        <w:t>max</w:t>
      </w:r>
      <w:r w:rsidRPr="00763BAC">
        <w:rPr>
          <w:szCs w:val="22"/>
        </w:rPr>
        <w:t xml:space="preserve"> i PIK-a za rosuvastatin (vidjeti dio 4.4).</w:t>
      </w:r>
    </w:p>
    <w:p w14:paraId="56A085D7" w14:textId="77777777" w:rsidR="00C367F8" w:rsidRDefault="00C367F8" w:rsidP="00C367F8">
      <w:pPr>
        <w:tabs>
          <w:tab w:val="clear" w:pos="567"/>
          <w:tab w:val="left" w:pos="540"/>
          <w:tab w:val="left" w:pos="569"/>
        </w:tabs>
        <w:jc w:val="both"/>
        <w:rPr>
          <w:i/>
          <w:szCs w:val="22"/>
        </w:rPr>
      </w:pPr>
    </w:p>
    <w:p w14:paraId="673B63FE" w14:textId="77777777" w:rsidR="00C367F8" w:rsidRDefault="00C367F8" w:rsidP="00C367F8">
      <w:pPr>
        <w:tabs>
          <w:tab w:val="clear" w:pos="567"/>
          <w:tab w:val="left" w:pos="540"/>
          <w:tab w:val="left" w:pos="569"/>
        </w:tabs>
        <w:jc w:val="both"/>
        <w:rPr>
          <w:szCs w:val="22"/>
        </w:rPr>
      </w:pPr>
      <w:r w:rsidRPr="00B95370">
        <w:rPr>
          <w:szCs w:val="22"/>
        </w:rPr>
        <w:t xml:space="preserve">Na osnovu podataka iz specifičnih interakcijskih studija ne očekuje se bilo kakva relevantna farmakokinetička interakcija s fenofibratom, iako je farmakodinamička interakcija moguća. Gemfibrozil, fenofibrat i ostali fibrati povećavaju rizik od miopatije kad se uzimaju istovremeno s inhibitorima HMG-CoA reduktaze, vjerovatno zbog njihove sposobnosti izazivanja miopatije i kada se primjenjuju kao monoterapija. Kontraindikovana je istovremena primjena doze 40 mg+10 mg sa fibratima (vidjeti djelove 4.3 i 4.4). </w:t>
      </w:r>
      <w:r>
        <w:rPr>
          <w:szCs w:val="22"/>
        </w:rPr>
        <w:t>Kod o</w:t>
      </w:r>
      <w:r w:rsidRPr="00B95370">
        <w:rPr>
          <w:szCs w:val="22"/>
        </w:rPr>
        <w:t>vi</w:t>
      </w:r>
      <w:r>
        <w:rPr>
          <w:szCs w:val="22"/>
        </w:rPr>
        <w:t>h</w:t>
      </w:r>
      <w:r w:rsidRPr="00B95370">
        <w:rPr>
          <w:szCs w:val="22"/>
        </w:rPr>
        <w:t xml:space="preserve"> pacijen</w:t>
      </w:r>
      <w:r>
        <w:rPr>
          <w:szCs w:val="22"/>
        </w:rPr>
        <w:t>ata</w:t>
      </w:r>
      <w:r w:rsidRPr="00B95370">
        <w:rPr>
          <w:szCs w:val="22"/>
        </w:rPr>
        <w:t xml:space="preserve"> treba takođe započeti terapiju dozom od 5 mg.</w:t>
      </w:r>
    </w:p>
    <w:p w14:paraId="6C77EDC6" w14:textId="77777777" w:rsidR="00C367F8" w:rsidRDefault="00C367F8" w:rsidP="00C367F8">
      <w:pPr>
        <w:tabs>
          <w:tab w:val="clear" w:pos="567"/>
          <w:tab w:val="left" w:pos="540"/>
          <w:tab w:val="left" w:pos="569"/>
        </w:tabs>
        <w:jc w:val="both"/>
        <w:rPr>
          <w:szCs w:val="22"/>
        </w:rPr>
      </w:pPr>
    </w:p>
    <w:p w14:paraId="4FE9B15A" w14:textId="77777777" w:rsidR="00C367F8" w:rsidRDefault="00C367F8" w:rsidP="00C367F8">
      <w:pPr>
        <w:tabs>
          <w:tab w:val="clear" w:pos="567"/>
          <w:tab w:val="left" w:pos="540"/>
          <w:tab w:val="left" w:pos="569"/>
        </w:tabs>
        <w:jc w:val="both"/>
        <w:rPr>
          <w:szCs w:val="22"/>
        </w:rPr>
      </w:pPr>
      <w:r w:rsidRPr="008C0C30">
        <w:rPr>
          <w:szCs w:val="22"/>
        </w:rPr>
        <w:t>Kod pacijenata koji uzimaju fenofibrate i ezetimib, ljekar bi trebao da uzme u obzir mogući rizik od holelitijaze i oboljenja žučne kese (vidjeti djelove 4.4 i 4.8).</w:t>
      </w:r>
    </w:p>
    <w:p w14:paraId="53459D3D" w14:textId="77777777" w:rsidR="00C367F8" w:rsidRDefault="00C367F8" w:rsidP="00C367F8">
      <w:pPr>
        <w:tabs>
          <w:tab w:val="clear" w:pos="567"/>
          <w:tab w:val="left" w:pos="540"/>
          <w:tab w:val="left" w:pos="569"/>
        </w:tabs>
        <w:jc w:val="both"/>
        <w:rPr>
          <w:szCs w:val="22"/>
        </w:rPr>
      </w:pPr>
    </w:p>
    <w:p w14:paraId="30AE1B4E" w14:textId="77777777" w:rsidR="00C367F8" w:rsidRDefault="00C367F8" w:rsidP="00C367F8">
      <w:pPr>
        <w:tabs>
          <w:tab w:val="clear" w:pos="567"/>
          <w:tab w:val="left" w:pos="540"/>
          <w:tab w:val="left" w:pos="569"/>
        </w:tabs>
        <w:jc w:val="both"/>
        <w:rPr>
          <w:szCs w:val="22"/>
        </w:rPr>
      </w:pPr>
      <w:r w:rsidRPr="003C4F42">
        <w:rPr>
          <w:szCs w:val="22"/>
        </w:rPr>
        <w:t>Ukoliko postoji sumnja na holelitijazu kod pacijenata koji uzimaju ezetimib i fenofibrat, potrebno je da se urade pregledi žučne kese a terapiju treba prekinuti (vid</w:t>
      </w:r>
      <w:r>
        <w:rPr>
          <w:szCs w:val="22"/>
        </w:rPr>
        <w:t>j</w:t>
      </w:r>
      <w:r w:rsidRPr="003C4F42">
        <w:rPr>
          <w:szCs w:val="22"/>
        </w:rPr>
        <w:t xml:space="preserve">eti </w:t>
      </w:r>
      <w:r w:rsidR="00933716">
        <w:rPr>
          <w:szCs w:val="22"/>
        </w:rPr>
        <w:t xml:space="preserve">dio </w:t>
      </w:r>
      <w:r w:rsidRPr="003C4F42">
        <w:rPr>
          <w:szCs w:val="22"/>
        </w:rPr>
        <w:t>4.8).</w:t>
      </w:r>
    </w:p>
    <w:p w14:paraId="225A59A0" w14:textId="77777777" w:rsidR="00C367F8" w:rsidRDefault="00C367F8" w:rsidP="00C367F8">
      <w:pPr>
        <w:tabs>
          <w:tab w:val="clear" w:pos="567"/>
          <w:tab w:val="left" w:pos="540"/>
          <w:tab w:val="left" w:pos="569"/>
        </w:tabs>
        <w:jc w:val="both"/>
        <w:rPr>
          <w:szCs w:val="22"/>
        </w:rPr>
      </w:pPr>
    </w:p>
    <w:p w14:paraId="7F2D243D" w14:textId="77777777" w:rsidR="00C367F8" w:rsidRDefault="00C367F8" w:rsidP="00C367F8">
      <w:pPr>
        <w:tabs>
          <w:tab w:val="clear" w:pos="567"/>
          <w:tab w:val="left" w:pos="540"/>
          <w:tab w:val="left" w:pos="569"/>
        </w:tabs>
        <w:jc w:val="both"/>
        <w:rPr>
          <w:b/>
          <w:szCs w:val="22"/>
        </w:rPr>
      </w:pPr>
      <w:r w:rsidRPr="00EE2C00">
        <w:rPr>
          <w:b/>
          <w:szCs w:val="22"/>
        </w:rPr>
        <w:t>Istovremena prim</w:t>
      </w:r>
      <w:r>
        <w:rPr>
          <w:b/>
          <w:szCs w:val="22"/>
        </w:rPr>
        <w:t>j</w:t>
      </w:r>
      <w:r w:rsidRPr="00EE2C00">
        <w:rPr>
          <w:b/>
          <w:szCs w:val="22"/>
        </w:rPr>
        <w:t xml:space="preserve">ena </w:t>
      </w:r>
      <w:r w:rsidR="00107C01">
        <w:rPr>
          <w:b/>
          <w:szCs w:val="22"/>
        </w:rPr>
        <w:t xml:space="preserve">s </w:t>
      </w:r>
      <w:r w:rsidRPr="00EE2C00">
        <w:rPr>
          <w:b/>
          <w:szCs w:val="22"/>
        </w:rPr>
        <w:t>fenofibrat</w:t>
      </w:r>
      <w:r w:rsidR="00107C01">
        <w:rPr>
          <w:b/>
          <w:szCs w:val="22"/>
        </w:rPr>
        <w:t>om</w:t>
      </w:r>
      <w:r w:rsidRPr="00EE2C00">
        <w:rPr>
          <w:b/>
          <w:szCs w:val="22"/>
        </w:rPr>
        <w:t xml:space="preserve"> ili gemfibrozil</w:t>
      </w:r>
      <w:r w:rsidR="00107C01">
        <w:rPr>
          <w:b/>
          <w:szCs w:val="22"/>
        </w:rPr>
        <w:t>om</w:t>
      </w:r>
      <w:r w:rsidRPr="00EE2C00">
        <w:rPr>
          <w:b/>
          <w:szCs w:val="22"/>
        </w:rPr>
        <w:t xml:space="preserve"> dovodi do </w:t>
      </w:r>
      <w:r w:rsidR="00107C01">
        <w:rPr>
          <w:b/>
          <w:szCs w:val="22"/>
        </w:rPr>
        <w:t>blagog</w:t>
      </w:r>
      <w:r w:rsidR="00107C01" w:rsidRPr="00EE2C00">
        <w:rPr>
          <w:b/>
          <w:szCs w:val="22"/>
        </w:rPr>
        <w:t xml:space="preserve"> </w:t>
      </w:r>
      <w:r w:rsidRPr="00EE2C00">
        <w:rPr>
          <w:b/>
          <w:szCs w:val="22"/>
        </w:rPr>
        <w:t>povećanja koncentracije ezetimiba (približno oko 1,5 odnosno 1,7 puta). Istovremena prim</w:t>
      </w:r>
      <w:r>
        <w:rPr>
          <w:b/>
          <w:szCs w:val="22"/>
        </w:rPr>
        <w:t>j</w:t>
      </w:r>
      <w:r w:rsidRPr="00EE2C00">
        <w:rPr>
          <w:b/>
          <w:szCs w:val="22"/>
        </w:rPr>
        <w:t>ena ezetimiba sa drugim fibratima nije ispitivana.</w:t>
      </w:r>
    </w:p>
    <w:p w14:paraId="01D4458E" w14:textId="77777777" w:rsidR="00C367F8" w:rsidRDefault="00C367F8" w:rsidP="00C367F8">
      <w:pPr>
        <w:tabs>
          <w:tab w:val="clear" w:pos="567"/>
          <w:tab w:val="left" w:pos="540"/>
          <w:tab w:val="left" w:pos="569"/>
        </w:tabs>
        <w:jc w:val="both"/>
        <w:rPr>
          <w:b/>
          <w:szCs w:val="22"/>
        </w:rPr>
      </w:pPr>
    </w:p>
    <w:p w14:paraId="477D02C5" w14:textId="77777777" w:rsidR="00C367F8" w:rsidRDefault="00C367F8" w:rsidP="00C367F8">
      <w:pPr>
        <w:tabs>
          <w:tab w:val="clear" w:pos="567"/>
          <w:tab w:val="left" w:pos="540"/>
          <w:tab w:val="left" w:pos="569"/>
        </w:tabs>
        <w:jc w:val="both"/>
        <w:rPr>
          <w:szCs w:val="22"/>
        </w:rPr>
      </w:pPr>
      <w:r w:rsidRPr="00624884">
        <w:rPr>
          <w:szCs w:val="22"/>
        </w:rPr>
        <w:t>Fibrati mogu da povećaju izlučivanje holesterola u žuč, što dovodi do pojave holelitijaze. U ispitivanjima na životinjama, ezetimib je povremeno dovodio do povećanja koncentracije holesterola u žuči ali ovaj efekat nije uočen kod svih životinjskih vrsta (vidjeti dio 5.3). Ipak, ne može se isključiti mogućnost rizika za stvaranje žučnih kamenaca tokom primene ezetimiba u terapijskim dozama.</w:t>
      </w:r>
    </w:p>
    <w:p w14:paraId="21E02386" w14:textId="77777777" w:rsidR="00C367F8" w:rsidRDefault="00C367F8" w:rsidP="00C367F8">
      <w:pPr>
        <w:tabs>
          <w:tab w:val="clear" w:pos="567"/>
          <w:tab w:val="left" w:pos="540"/>
          <w:tab w:val="left" w:pos="569"/>
        </w:tabs>
        <w:jc w:val="both"/>
        <w:rPr>
          <w:b/>
          <w:szCs w:val="22"/>
        </w:rPr>
      </w:pPr>
    </w:p>
    <w:p w14:paraId="2EBFA200" w14:textId="77777777" w:rsidR="00C367F8" w:rsidRPr="00EE7D2D" w:rsidRDefault="00C367F8" w:rsidP="00C367F8">
      <w:pPr>
        <w:tabs>
          <w:tab w:val="clear" w:pos="567"/>
          <w:tab w:val="left" w:pos="540"/>
          <w:tab w:val="left" w:pos="569"/>
        </w:tabs>
        <w:jc w:val="both"/>
        <w:rPr>
          <w:szCs w:val="22"/>
        </w:rPr>
      </w:pPr>
      <w:r w:rsidRPr="00EE7D2D">
        <w:rPr>
          <w:i/>
          <w:szCs w:val="22"/>
        </w:rPr>
        <w:t>Fusidinska kiselina</w:t>
      </w:r>
      <w:r w:rsidRPr="00EE7D2D">
        <w:rPr>
          <w:szCs w:val="22"/>
        </w:rPr>
        <w:t xml:space="preserve">: Rizik za pojavu miopatije, uključujući rabdomiolizu, može da se poveća ako se sistemska primjena fusidinske kiseline istovremeno kombinuje sa primjenom statina. Mehanizam ove interakcije (bilo da je farmakodinamska, farmakokinetička ili obije) još uvijek nije poznat. Zabilježeni su slučajevi rabdomiolize (uključujući i fatalne) kod pacijenata koji su uzimali ovu kombinaciju. </w:t>
      </w:r>
    </w:p>
    <w:p w14:paraId="08B69712" w14:textId="77777777" w:rsidR="00C367F8" w:rsidRDefault="00C367F8" w:rsidP="00C367F8">
      <w:pPr>
        <w:tabs>
          <w:tab w:val="clear" w:pos="567"/>
          <w:tab w:val="left" w:pos="540"/>
          <w:tab w:val="left" w:pos="569"/>
        </w:tabs>
        <w:jc w:val="both"/>
        <w:rPr>
          <w:b/>
          <w:szCs w:val="22"/>
        </w:rPr>
      </w:pPr>
      <w:r w:rsidRPr="00EE7D2D">
        <w:rPr>
          <w:szCs w:val="22"/>
        </w:rPr>
        <w:t xml:space="preserve">Ako je sistemska primena fusidinske kiseline neophodna treba obustaviti terapiju rosuvastatinom tokom cijelog trajanja terapije fusidinskom kiselinom. </w:t>
      </w:r>
      <w:r w:rsidRPr="00EE7D2D">
        <w:rPr>
          <w:b/>
          <w:szCs w:val="22"/>
        </w:rPr>
        <w:t>Takođe vidjeti dio 4.4.</w:t>
      </w:r>
    </w:p>
    <w:p w14:paraId="5FCE4270" w14:textId="77777777" w:rsidR="00C367F8" w:rsidRDefault="00C367F8" w:rsidP="00C367F8">
      <w:pPr>
        <w:tabs>
          <w:tab w:val="clear" w:pos="567"/>
          <w:tab w:val="left" w:pos="540"/>
          <w:tab w:val="left" w:pos="569"/>
        </w:tabs>
        <w:jc w:val="both"/>
        <w:rPr>
          <w:b/>
          <w:szCs w:val="22"/>
        </w:rPr>
      </w:pPr>
    </w:p>
    <w:p w14:paraId="06D7A5AC" w14:textId="77777777" w:rsidR="00C367F8" w:rsidRDefault="00C367F8" w:rsidP="00C367F8">
      <w:pPr>
        <w:tabs>
          <w:tab w:val="clear" w:pos="567"/>
          <w:tab w:val="left" w:pos="540"/>
          <w:tab w:val="left" w:pos="569"/>
        </w:tabs>
        <w:jc w:val="both"/>
        <w:rPr>
          <w:szCs w:val="22"/>
          <w:u w:val="single"/>
        </w:rPr>
      </w:pPr>
      <w:r w:rsidRPr="001914D9">
        <w:rPr>
          <w:szCs w:val="22"/>
          <w:u w:val="single"/>
        </w:rPr>
        <w:t>Ostale interakcije:</w:t>
      </w:r>
    </w:p>
    <w:p w14:paraId="19FB68F1" w14:textId="77777777" w:rsidR="00C367F8" w:rsidRDefault="00C367F8" w:rsidP="00C367F8">
      <w:pPr>
        <w:tabs>
          <w:tab w:val="clear" w:pos="567"/>
          <w:tab w:val="left" w:pos="540"/>
          <w:tab w:val="left" w:pos="569"/>
        </w:tabs>
        <w:jc w:val="both"/>
        <w:rPr>
          <w:szCs w:val="22"/>
          <w:u w:val="single"/>
        </w:rPr>
      </w:pPr>
    </w:p>
    <w:p w14:paraId="5CF59488" w14:textId="77777777" w:rsidR="00C367F8" w:rsidRDefault="00C367F8" w:rsidP="00C367F8">
      <w:pPr>
        <w:tabs>
          <w:tab w:val="clear" w:pos="567"/>
          <w:tab w:val="left" w:pos="540"/>
          <w:tab w:val="left" w:pos="569"/>
        </w:tabs>
        <w:jc w:val="both"/>
        <w:rPr>
          <w:szCs w:val="22"/>
        </w:rPr>
      </w:pPr>
      <w:r w:rsidRPr="00554B11">
        <w:rPr>
          <w:i/>
          <w:szCs w:val="22"/>
        </w:rPr>
        <w:t>Antacidi</w:t>
      </w:r>
      <w:r w:rsidRPr="00554B11">
        <w:rPr>
          <w:szCs w:val="22"/>
        </w:rPr>
        <w:t xml:space="preserve">: Istovremena primjena antacida smanjila je brzinu </w:t>
      </w:r>
      <w:r w:rsidR="00107C01">
        <w:rPr>
          <w:szCs w:val="22"/>
        </w:rPr>
        <w:t>resorpcije</w:t>
      </w:r>
      <w:r w:rsidRPr="00554B11">
        <w:rPr>
          <w:szCs w:val="22"/>
        </w:rPr>
        <w:t xml:space="preserve"> ezetimiba, ali nije uticala na bioraspoloživost ezetimiba. Smanjena brzina </w:t>
      </w:r>
      <w:r w:rsidR="00107C01">
        <w:rPr>
          <w:szCs w:val="22"/>
        </w:rPr>
        <w:t>resorpcije</w:t>
      </w:r>
      <w:r w:rsidRPr="00554B11">
        <w:rPr>
          <w:szCs w:val="22"/>
        </w:rPr>
        <w:t xml:space="preserve"> nije bila klinički značajna.</w:t>
      </w:r>
    </w:p>
    <w:p w14:paraId="544FFAF9" w14:textId="77777777" w:rsidR="00C367F8" w:rsidRDefault="00C367F8" w:rsidP="00C367F8">
      <w:pPr>
        <w:tabs>
          <w:tab w:val="clear" w:pos="567"/>
          <w:tab w:val="left" w:pos="540"/>
          <w:tab w:val="left" w:pos="569"/>
        </w:tabs>
        <w:jc w:val="both"/>
        <w:rPr>
          <w:b/>
          <w:szCs w:val="22"/>
          <w:u w:val="single"/>
        </w:rPr>
      </w:pPr>
    </w:p>
    <w:p w14:paraId="1B5C0CEF" w14:textId="77777777" w:rsidR="00C367F8" w:rsidRDefault="00C367F8" w:rsidP="00C367F8">
      <w:pPr>
        <w:tabs>
          <w:tab w:val="clear" w:pos="567"/>
          <w:tab w:val="left" w:pos="540"/>
          <w:tab w:val="left" w:pos="569"/>
        </w:tabs>
        <w:jc w:val="both"/>
        <w:rPr>
          <w:szCs w:val="22"/>
        </w:rPr>
      </w:pPr>
      <w:r w:rsidRPr="00FC7E2F">
        <w:rPr>
          <w:szCs w:val="22"/>
        </w:rPr>
        <w:t>Istovremena primjena rosuvastatina i suspenzije antacida koja sadrži aluminijum i magnezijum hidroksid dovodi do sman</w:t>
      </w:r>
      <w:r w:rsidR="00107C01">
        <w:rPr>
          <w:szCs w:val="22"/>
        </w:rPr>
        <w:t>j</w:t>
      </w:r>
      <w:r w:rsidRPr="00FC7E2F">
        <w:rPr>
          <w:szCs w:val="22"/>
        </w:rPr>
        <w:t>enja koncentracije rosuvastatina u plazmi za oko 50%. Ovo dejstvo je bilo ublaženo kada se antacid uzimao 2 sata nakon rosuvastatina. Klinički značaj ove interakcije se nije ispitivao.</w:t>
      </w:r>
    </w:p>
    <w:p w14:paraId="3568E492" w14:textId="77777777" w:rsidR="00C367F8" w:rsidRDefault="00C367F8" w:rsidP="00C367F8">
      <w:pPr>
        <w:tabs>
          <w:tab w:val="clear" w:pos="567"/>
          <w:tab w:val="left" w:pos="540"/>
          <w:tab w:val="left" w:pos="569"/>
        </w:tabs>
        <w:jc w:val="both"/>
        <w:rPr>
          <w:b/>
          <w:szCs w:val="22"/>
          <w:u w:val="single"/>
        </w:rPr>
      </w:pPr>
    </w:p>
    <w:p w14:paraId="14159447" w14:textId="77777777" w:rsidR="00C367F8" w:rsidRDefault="00C367F8" w:rsidP="00C367F8">
      <w:pPr>
        <w:tabs>
          <w:tab w:val="clear" w:pos="567"/>
          <w:tab w:val="left" w:pos="540"/>
          <w:tab w:val="left" w:pos="569"/>
        </w:tabs>
        <w:jc w:val="both"/>
        <w:rPr>
          <w:szCs w:val="22"/>
        </w:rPr>
      </w:pPr>
      <w:r w:rsidRPr="00A43C0D">
        <w:rPr>
          <w:i/>
          <w:szCs w:val="22"/>
        </w:rPr>
        <w:t>Antikoagulansi:</w:t>
      </w:r>
      <w:r w:rsidRPr="00A43C0D">
        <w:rPr>
          <w:szCs w:val="22"/>
        </w:rPr>
        <w:t xml:space="preserve"> U studiji u kojoj je učestvovalo dvanaest zdravih odraslih muškaraca istovremena primjena ezetimiba (10 mg jednom dnevno) nije imala značajnog efekta na bioraspoloživost varfarina i protrombinsko vrijeme. Međutim, postoje izvještaji iz perioda nakon stavljanja lijeka u promet o povećanom INR-u (engl. </w:t>
      </w:r>
      <w:r w:rsidRPr="00516260">
        <w:rPr>
          <w:i/>
          <w:szCs w:val="22"/>
        </w:rPr>
        <w:t>International Normalised Ratio</w:t>
      </w:r>
      <w:r w:rsidRPr="00A43C0D">
        <w:rPr>
          <w:szCs w:val="22"/>
        </w:rPr>
        <w:t>) kod pacijenata kojima je u terapiju uz varfarin ili fluindion uključen i ezetimib. Ako se ezetimib dodaje varfarinu, drugom kumarinskom antikoagulansu, ili fluindionu, INR treba pratiti na odgovarajući način (vidjeti dio 4.4).</w:t>
      </w:r>
    </w:p>
    <w:p w14:paraId="1AE6161A" w14:textId="77777777" w:rsidR="00C367F8" w:rsidRDefault="00C367F8" w:rsidP="00C367F8">
      <w:pPr>
        <w:tabs>
          <w:tab w:val="clear" w:pos="567"/>
          <w:tab w:val="left" w:pos="540"/>
          <w:tab w:val="left" w:pos="569"/>
        </w:tabs>
        <w:jc w:val="both"/>
        <w:rPr>
          <w:b/>
          <w:szCs w:val="22"/>
          <w:u w:val="single"/>
        </w:rPr>
      </w:pPr>
    </w:p>
    <w:p w14:paraId="07EAA0AA" w14:textId="77777777" w:rsidR="00C367F8" w:rsidRDefault="00C367F8" w:rsidP="00C367F8">
      <w:pPr>
        <w:tabs>
          <w:tab w:val="clear" w:pos="567"/>
          <w:tab w:val="left" w:pos="540"/>
          <w:tab w:val="left" w:pos="569"/>
        </w:tabs>
        <w:jc w:val="both"/>
        <w:rPr>
          <w:szCs w:val="22"/>
        </w:rPr>
      </w:pPr>
      <w:r w:rsidRPr="00FF7D48">
        <w:rPr>
          <w:szCs w:val="22"/>
        </w:rPr>
        <w:t xml:space="preserve">Kao što je slučaj i sa drugim inhibitorima HMG-CoA reduktaze, početak liječenja ili povećavanje doze rosuvastatina kod pacijenata koji istovremeno uzimaju antagoniste vitamina K (npr. varfarin ili drugi kumarinski antikoagulans) može dovesti do povećanja INR-a (eng. </w:t>
      </w:r>
      <w:r w:rsidRPr="00516260">
        <w:rPr>
          <w:i/>
          <w:szCs w:val="22"/>
        </w:rPr>
        <w:t>International Normalised Ratio</w:t>
      </w:r>
      <w:r w:rsidRPr="00FF7D48">
        <w:rPr>
          <w:szCs w:val="22"/>
        </w:rPr>
        <w:t>). Prekid uzimanja ili smanjivanje doze rosuvastatina može dovesti do smanjenja INR-a. U takvim je situacijama poželjno odgovarajuće praćenje INR-a.</w:t>
      </w:r>
    </w:p>
    <w:p w14:paraId="4F225C98" w14:textId="77777777" w:rsidR="00C367F8" w:rsidRPr="00115EF7" w:rsidRDefault="00C367F8" w:rsidP="00C367F8">
      <w:pPr>
        <w:tabs>
          <w:tab w:val="clear" w:pos="567"/>
          <w:tab w:val="left" w:pos="540"/>
          <w:tab w:val="left" w:pos="569"/>
        </w:tabs>
        <w:jc w:val="both"/>
        <w:rPr>
          <w:szCs w:val="22"/>
        </w:rPr>
      </w:pPr>
      <w:r w:rsidRPr="00115EF7">
        <w:rPr>
          <w:i/>
          <w:szCs w:val="22"/>
        </w:rPr>
        <w:t>Eritromicin:</w:t>
      </w:r>
      <w:r w:rsidRPr="00115EF7">
        <w:rPr>
          <w:szCs w:val="22"/>
        </w:rPr>
        <w:t xml:space="preserve"> Istovremena upotreba rosuvastatina i eritromicina dovela je do smanjenja od 20% vrijednosti PIK-a i smanjenja od 30% vrijednosti C</w:t>
      </w:r>
      <w:r w:rsidRPr="00115EF7">
        <w:rPr>
          <w:szCs w:val="22"/>
          <w:vertAlign w:val="subscript"/>
        </w:rPr>
        <w:t>max</w:t>
      </w:r>
      <w:r w:rsidRPr="00115EF7">
        <w:rPr>
          <w:szCs w:val="22"/>
        </w:rPr>
        <w:t xml:space="preserve"> rosuvastatina. Ova interakcija može biti posledica povećanog motiliteta crijeva izazvanog eritromicinom.</w:t>
      </w:r>
    </w:p>
    <w:p w14:paraId="74470DF4" w14:textId="77777777" w:rsidR="00C367F8" w:rsidRPr="00115EF7" w:rsidRDefault="00C367F8" w:rsidP="00C367F8">
      <w:pPr>
        <w:tabs>
          <w:tab w:val="clear" w:pos="567"/>
          <w:tab w:val="left" w:pos="540"/>
          <w:tab w:val="left" w:pos="569"/>
        </w:tabs>
        <w:jc w:val="both"/>
        <w:rPr>
          <w:szCs w:val="22"/>
        </w:rPr>
      </w:pPr>
    </w:p>
    <w:p w14:paraId="64EF4891" w14:textId="77777777" w:rsidR="00C367F8" w:rsidRPr="00115EF7" w:rsidRDefault="00C367F8" w:rsidP="00C367F8">
      <w:pPr>
        <w:tabs>
          <w:tab w:val="clear" w:pos="567"/>
          <w:tab w:val="left" w:pos="540"/>
          <w:tab w:val="left" w:pos="569"/>
        </w:tabs>
        <w:jc w:val="both"/>
        <w:rPr>
          <w:szCs w:val="22"/>
        </w:rPr>
      </w:pPr>
      <w:r w:rsidRPr="00115EF7">
        <w:rPr>
          <w:i/>
          <w:szCs w:val="22"/>
        </w:rPr>
        <w:t>Enzimi citohroma P450:</w:t>
      </w:r>
      <w:r w:rsidRPr="00115EF7">
        <w:rPr>
          <w:szCs w:val="22"/>
        </w:rPr>
        <w:t xml:space="preserve"> Rezultati istraživanja u </w:t>
      </w:r>
      <w:r w:rsidRPr="00516260">
        <w:rPr>
          <w:i/>
          <w:szCs w:val="22"/>
        </w:rPr>
        <w:t>in vitro</w:t>
      </w:r>
      <w:r w:rsidRPr="00115EF7">
        <w:rPr>
          <w:szCs w:val="22"/>
        </w:rPr>
        <w:t xml:space="preserve"> i </w:t>
      </w:r>
      <w:r w:rsidRPr="00516260">
        <w:rPr>
          <w:i/>
          <w:szCs w:val="22"/>
        </w:rPr>
        <w:t>in vivo</w:t>
      </w:r>
      <w:r w:rsidRPr="00115EF7">
        <w:rPr>
          <w:szCs w:val="22"/>
        </w:rPr>
        <w:t xml:space="preserve"> uslovima pokazuju da rosuvastatin nije ni inhibitor ni induktor izoenzima citohrom P450. Pored toga, rosuvastatin je slab supstrat ovih izoenzima. Zbog toga se ne očekuju interakcije sa ljekovima kao posledica metabolizma posredovanog enzimima citohroma P450. Nisu zabilježene klinički relevantne interakcije između rosuvastatina i/ili flukonazola (inhibitor CYP2C9 i CYP3A4) ili ketokonazola (inhibitor CYP2A6 i CYP3A4).</w:t>
      </w:r>
    </w:p>
    <w:p w14:paraId="4ABFD77D" w14:textId="77777777" w:rsidR="00C367F8" w:rsidRPr="00115EF7" w:rsidRDefault="00C367F8" w:rsidP="00C367F8">
      <w:pPr>
        <w:tabs>
          <w:tab w:val="clear" w:pos="567"/>
          <w:tab w:val="left" w:pos="540"/>
          <w:tab w:val="left" w:pos="569"/>
        </w:tabs>
        <w:jc w:val="both"/>
        <w:rPr>
          <w:b/>
          <w:szCs w:val="22"/>
          <w:u w:val="single"/>
        </w:rPr>
      </w:pPr>
    </w:p>
    <w:p w14:paraId="3CBAB711" w14:textId="77777777" w:rsidR="00C367F8" w:rsidRPr="00115EF7" w:rsidRDefault="00C367F8" w:rsidP="00C367F8">
      <w:pPr>
        <w:tabs>
          <w:tab w:val="clear" w:pos="567"/>
          <w:tab w:val="left" w:pos="540"/>
          <w:tab w:val="left" w:pos="569"/>
        </w:tabs>
        <w:jc w:val="both"/>
        <w:rPr>
          <w:szCs w:val="22"/>
        </w:rPr>
      </w:pPr>
      <w:r w:rsidRPr="00115EF7">
        <w:rPr>
          <w:szCs w:val="22"/>
        </w:rPr>
        <w:t>U pretkliničkim ispitivanjima pokazano je da ezetimib ne indukuje enzime citohroma P450 za metabolizam ljekova. Klinički značajne farmakokinetičke interakcije izme</w:t>
      </w:r>
      <w:r w:rsidRPr="00115EF7">
        <w:rPr>
          <w:szCs w:val="22"/>
          <w:lang w:val="sr-Latn-RS"/>
        </w:rPr>
        <w:t>đ</w:t>
      </w:r>
      <w:r w:rsidRPr="00115EF7">
        <w:rPr>
          <w:szCs w:val="22"/>
        </w:rPr>
        <w:t>u ezetimiba i ljekova za koje je poznato da se metabolišu putem citohroma P450 1A2, 2D6, 2C8, 2C9 i 3A4, ili N-acetiltransferaze ni</w:t>
      </w:r>
      <w:r w:rsidR="00107C01">
        <w:rPr>
          <w:szCs w:val="22"/>
        </w:rPr>
        <w:t>je</w:t>
      </w:r>
      <w:r w:rsidRPr="00115EF7">
        <w:rPr>
          <w:szCs w:val="22"/>
        </w:rPr>
        <w:t>su zapažene.</w:t>
      </w:r>
    </w:p>
    <w:p w14:paraId="620DED27" w14:textId="77777777" w:rsidR="00C367F8" w:rsidRPr="00115EF7" w:rsidRDefault="00C367F8" w:rsidP="00C367F8">
      <w:pPr>
        <w:tabs>
          <w:tab w:val="clear" w:pos="567"/>
          <w:tab w:val="left" w:pos="540"/>
          <w:tab w:val="left" w:pos="569"/>
        </w:tabs>
        <w:jc w:val="both"/>
        <w:rPr>
          <w:b/>
          <w:szCs w:val="22"/>
          <w:u w:val="single"/>
        </w:rPr>
      </w:pPr>
    </w:p>
    <w:p w14:paraId="4B4FD32C" w14:textId="77777777" w:rsidR="00C367F8" w:rsidRDefault="00C367F8" w:rsidP="00C367F8">
      <w:pPr>
        <w:tabs>
          <w:tab w:val="clear" w:pos="567"/>
          <w:tab w:val="left" w:pos="540"/>
          <w:tab w:val="left" w:pos="569"/>
        </w:tabs>
        <w:jc w:val="both"/>
        <w:rPr>
          <w:szCs w:val="22"/>
        </w:rPr>
      </w:pPr>
      <w:r w:rsidRPr="00115EF7">
        <w:rPr>
          <w:i/>
          <w:szCs w:val="22"/>
        </w:rPr>
        <w:t>Holestiramin:</w:t>
      </w:r>
      <w:r w:rsidRPr="00115EF7">
        <w:rPr>
          <w:szCs w:val="22"/>
        </w:rPr>
        <w:t xml:space="preserve"> Istovremena primjena sa holestiraminom dovela je do pada srednje vrijednosti površine ispod krive (PIK) ukupnog ezetimiba (ezetimib + ezetimib glukuronid) za oko 55%. Ukoliko se ezetimib doda holestiraminu, usled njihove interakcije može doći do slabijeg dodatnog smanjenja vrijednosti  </w:t>
      </w:r>
      <w:r w:rsidRPr="00516260">
        <w:rPr>
          <w:b/>
          <w:szCs w:val="22"/>
        </w:rPr>
        <w:t>lipoprotein</w:t>
      </w:r>
      <w:r w:rsidR="003E131E" w:rsidRPr="00516260">
        <w:rPr>
          <w:b/>
          <w:szCs w:val="22"/>
        </w:rPr>
        <w:t>a</w:t>
      </w:r>
      <w:r w:rsidRPr="00516260">
        <w:rPr>
          <w:b/>
          <w:szCs w:val="22"/>
        </w:rPr>
        <w:t xml:space="preserve"> niske gustine</w:t>
      </w:r>
      <w:r w:rsidRPr="00115EF7">
        <w:rPr>
          <w:szCs w:val="22"/>
        </w:rPr>
        <w:t xml:space="preserve"> (LD</w:t>
      </w:r>
      <w:r w:rsidR="003E131E">
        <w:rPr>
          <w:szCs w:val="22"/>
        </w:rPr>
        <w:t>L holesterol</w:t>
      </w:r>
      <w:r w:rsidRPr="00115EF7">
        <w:rPr>
          <w:szCs w:val="22"/>
        </w:rPr>
        <w:t>) (vidjeti dio 4.2).</w:t>
      </w:r>
    </w:p>
    <w:p w14:paraId="50652F4D" w14:textId="77777777" w:rsidR="00C367F8" w:rsidRDefault="00C367F8" w:rsidP="00C367F8">
      <w:pPr>
        <w:tabs>
          <w:tab w:val="clear" w:pos="567"/>
          <w:tab w:val="left" w:pos="540"/>
          <w:tab w:val="left" w:pos="569"/>
        </w:tabs>
        <w:jc w:val="both"/>
        <w:rPr>
          <w:b/>
          <w:szCs w:val="22"/>
          <w:u w:val="single"/>
        </w:rPr>
      </w:pPr>
    </w:p>
    <w:p w14:paraId="54D48187" w14:textId="77777777" w:rsidR="00C367F8" w:rsidRPr="00FD6659" w:rsidRDefault="00C367F8" w:rsidP="00C367F8">
      <w:pPr>
        <w:tabs>
          <w:tab w:val="clear" w:pos="567"/>
          <w:tab w:val="left" w:pos="540"/>
          <w:tab w:val="left" w:pos="569"/>
        </w:tabs>
        <w:jc w:val="both"/>
        <w:rPr>
          <w:szCs w:val="22"/>
        </w:rPr>
      </w:pPr>
      <w:r w:rsidRPr="00FD6659">
        <w:rPr>
          <w:i/>
          <w:szCs w:val="22"/>
        </w:rPr>
        <w:t>Digoksin:</w:t>
      </w:r>
      <w:r w:rsidRPr="00FD6659">
        <w:rPr>
          <w:szCs w:val="22"/>
        </w:rPr>
        <w:t xml:space="preserve"> Na bazi podataka iz specifičnih interakcijskih studija, ne očekuje se klinički značajna interakcija s digoksinom.</w:t>
      </w:r>
    </w:p>
    <w:p w14:paraId="7779E8BD" w14:textId="77777777" w:rsidR="00C367F8" w:rsidRPr="00FD6659" w:rsidRDefault="00C367F8" w:rsidP="00C367F8">
      <w:pPr>
        <w:tabs>
          <w:tab w:val="clear" w:pos="567"/>
          <w:tab w:val="left" w:pos="540"/>
          <w:tab w:val="left" w:pos="569"/>
        </w:tabs>
        <w:jc w:val="both"/>
        <w:rPr>
          <w:b/>
          <w:szCs w:val="22"/>
          <w:u w:val="single"/>
        </w:rPr>
      </w:pPr>
    </w:p>
    <w:p w14:paraId="1AE28C8E" w14:textId="77777777" w:rsidR="00C367F8" w:rsidRDefault="00C367F8" w:rsidP="00C367F8">
      <w:pPr>
        <w:tabs>
          <w:tab w:val="clear" w:pos="567"/>
          <w:tab w:val="left" w:pos="540"/>
          <w:tab w:val="left" w:pos="569"/>
        </w:tabs>
        <w:jc w:val="both"/>
        <w:rPr>
          <w:szCs w:val="22"/>
        </w:rPr>
      </w:pPr>
      <w:r w:rsidRPr="00FD6659">
        <w:rPr>
          <w:i/>
          <w:szCs w:val="22"/>
        </w:rPr>
        <w:t>Oraln</w:t>
      </w:r>
      <w:r w:rsidR="003E131E">
        <w:rPr>
          <w:i/>
          <w:szCs w:val="22"/>
        </w:rPr>
        <w:t>i</w:t>
      </w:r>
      <w:r w:rsidRPr="00FD6659">
        <w:rPr>
          <w:i/>
          <w:szCs w:val="22"/>
        </w:rPr>
        <w:t xml:space="preserve"> kontraceptivn</w:t>
      </w:r>
      <w:r w:rsidR="003E131E">
        <w:rPr>
          <w:i/>
          <w:szCs w:val="22"/>
        </w:rPr>
        <w:t>i</w:t>
      </w:r>
      <w:r w:rsidRPr="00FD6659">
        <w:rPr>
          <w:i/>
          <w:szCs w:val="22"/>
        </w:rPr>
        <w:t xml:space="preserve"> </w:t>
      </w:r>
      <w:r w:rsidR="003E131E">
        <w:rPr>
          <w:i/>
          <w:szCs w:val="22"/>
        </w:rPr>
        <w:t>ljekovi</w:t>
      </w:r>
      <w:r w:rsidRPr="00FD6659">
        <w:rPr>
          <w:i/>
          <w:szCs w:val="22"/>
        </w:rPr>
        <w:t xml:space="preserve"> / terapija za nadoknadu hormona (HST):</w:t>
      </w:r>
      <w:r w:rsidRPr="00FD6659">
        <w:rPr>
          <w:szCs w:val="22"/>
        </w:rPr>
        <w:t xml:space="preserve"> Istovremena primjena rosuvastatina i oralnog kontraceptiva dovela je do povećanja vrijednosti PIK-a za etinil-estradiol od 26% i za norgestrel od 34%. Ove povećane koncentracije ljekova u plazmi treba imati u vidu prilikom odabira doze oralnih kontraceptiva. Nema dostupnih farmakokinetičkih podataka za osobe koje istovremeno uzimaju rosuvastatin i terapiju za nadoknadu hormona (HST), pa se ne mogu isključiti slična dejstva. Ova kombinacija je u velikoj mjeri bila korišćena kod žena u kliničkim istraživanjima i bila je dobro podnošljiva.</w:t>
      </w:r>
    </w:p>
    <w:p w14:paraId="0036DAAA" w14:textId="77777777" w:rsidR="00C367F8" w:rsidRDefault="00C367F8" w:rsidP="00C367F8">
      <w:pPr>
        <w:tabs>
          <w:tab w:val="clear" w:pos="567"/>
          <w:tab w:val="left" w:pos="540"/>
          <w:tab w:val="left" w:pos="569"/>
        </w:tabs>
        <w:jc w:val="both"/>
        <w:rPr>
          <w:b/>
          <w:i/>
          <w:szCs w:val="22"/>
          <w:u w:val="single"/>
        </w:rPr>
      </w:pPr>
    </w:p>
    <w:p w14:paraId="536F4C47" w14:textId="77777777" w:rsidR="00C367F8" w:rsidRDefault="00C367F8" w:rsidP="00C367F8">
      <w:pPr>
        <w:tabs>
          <w:tab w:val="clear" w:pos="567"/>
          <w:tab w:val="left" w:pos="540"/>
          <w:tab w:val="left" w:pos="569"/>
        </w:tabs>
        <w:jc w:val="both"/>
      </w:pPr>
      <w:r w:rsidRPr="00E035DE">
        <w:rPr>
          <w:i/>
        </w:rPr>
        <w:t>Interakcije koje zahtijevaju prilagođavanje doze rosuvastatina (vidjeti i Tabelu 1):</w:t>
      </w:r>
      <w:r w:rsidRPr="0070389E">
        <w:t xml:space="preserve"> </w:t>
      </w:r>
      <w:r>
        <w:t xml:space="preserve">Kada je neophodna istovremena primjena rosuvastatina sa drugim ljekovima za koje se zna da povećavaju izloženost rosuvastatinu, moraju se prilagoditi doze rosuvastatina. Započinje se dozom od 5 mg rosuvastatina jednom dnevno ako je očekivano povećanje izloženosti (PIK) približno 2 puta ili veće. Maksimalna dnevna doza rosuvastatina se mora prilagoditi tako da očekivana izloženost rosuvastatinu ne bude veća od izloženosti  dnevnom dozom rosuvastatina od 40 mg kada se uzima bez </w:t>
      </w:r>
      <w:r w:rsidR="003E131E">
        <w:t xml:space="preserve">ljekova koji mogu stupiti u </w:t>
      </w:r>
      <w:r>
        <w:lastRenderedPageBreak/>
        <w:t>inter</w:t>
      </w:r>
      <w:r w:rsidR="003E131E">
        <w:t>akciju</w:t>
      </w:r>
      <w:r>
        <w:t>, na primjer, doza od 20 mg rosuvastatina sa gemfibrozilom (povećanje od 1,9 puta) i doza od 10 mg rosuvastatina sa kombinacijom atazanavir/ritonavir (povećanje od 3,1 put).</w:t>
      </w:r>
    </w:p>
    <w:p w14:paraId="6FCE1330" w14:textId="77777777" w:rsidR="00C367F8" w:rsidRDefault="00C367F8" w:rsidP="00C367F8">
      <w:pPr>
        <w:tabs>
          <w:tab w:val="clear" w:pos="567"/>
          <w:tab w:val="left" w:pos="540"/>
          <w:tab w:val="left" w:pos="569"/>
        </w:tabs>
        <w:jc w:val="both"/>
        <w:rPr>
          <w:b/>
          <w:i/>
          <w:szCs w:val="22"/>
          <w:u w:val="single"/>
        </w:rPr>
      </w:pPr>
    </w:p>
    <w:p w14:paraId="4FC30708" w14:textId="77777777" w:rsidR="00C367F8" w:rsidRDefault="00C367F8" w:rsidP="00C367F8">
      <w:pPr>
        <w:tabs>
          <w:tab w:val="clear" w:pos="567"/>
          <w:tab w:val="left" w:pos="540"/>
          <w:tab w:val="left" w:pos="569"/>
        </w:tabs>
        <w:jc w:val="both"/>
      </w:pPr>
      <w:r w:rsidRPr="005701A3">
        <w:rPr>
          <w:i/>
        </w:rPr>
        <w:t>Tikagrelor:</w:t>
      </w:r>
      <w:r>
        <w:t xml:space="preserve"> Tikagrelor može uticati na izlučivanje rosuvastatina putem bubrega, povećavajući rizik od nakupljanja rosuvastatina. Iako tačan mehanizam nije poznat, u nekim je slučajevima istovremena primjena tikagrelora i rosuvastatina dovela do smanjenja bubrežne funkcije, povišenih vrijednosti kreatin fosfokinaze i rabdomiolize.</w:t>
      </w:r>
    </w:p>
    <w:p w14:paraId="07F19BA5" w14:textId="77777777" w:rsidR="00C367F8" w:rsidRDefault="00C367F8" w:rsidP="00C367F8">
      <w:pPr>
        <w:tabs>
          <w:tab w:val="clear" w:pos="567"/>
          <w:tab w:val="left" w:pos="540"/>
          <w:tab w:val="left" w:pos="569"/>
        </w:tabs>
        <w:jc w:val="both"/>
        <w:rPr>
          <w:b/>
          <w:i/>
          <w:szCs w:val="22"/>
          <w:u w:val="single"/>
        </w:rPr>
      </w:pPr>
    </w:p>
    <w:p w14:paraId="5AECC555" w14:textId="77777777" w:rsidR="00C367F8" w:rsidRDefault="00C367F8" w:rsidP="00C367F8">
      <w:pPr>
        <w:tabs>
          <w:tab w:val="clear" w:pos="567"/>
          <w:tab w:val="left" w:pos="540"/>
          <w:tab w:val="left" w:pos="569"/>
        </w:tabs>
        <w:jc w:val="both"/>
      </w:pPr>
      <w:r>
        <w:t>Ako se primijeti da lijek povećava PIK rosuvastatina manje od dvostruko, početnu dozu ne treba smanjivati, ali potreban je oprez ako se doza rosuvastatina povećava iznad 20 mg.</w:t>
      </w:r>
    </w:p>
    <w:p w14:paraId="485B3727" w14:textId="77777777" w:rsidR="00C367F8" w:rsidRDefault="00C367F8" w:rsidP="00C367F8">
      <w:pPr>
        <w:tabs>
          <w:tab w:val="clear" w:pos="567"/>
          <w:tab w:val="left" w:pos="540"/>
          <w:tab w:val="left" w:pos="569"/>
        </w:tabs>
        <w:jc w:val="both"/>
        <w:rPr>
          <w:b/>
          <w:i/>
          <w:szCs w:val="22"/>
          <w:u w:val="single"/>
        </w:rPr>
      </w:pPr>
    </w:p>
    <w:tbl>
      <w:tblPr>
        <w:tblW w:w="9655" w:type="dxa"/>
        <w:tblLayout w:type="fixed"/>
        <w:tblLook w:val="0000" w:firstRow="0" w:lastRow="0" w:firstColumn="0" w:lastColumn="0" w:noHBand="0" w:noVBand="0"/>
      </w:tblPr>
      <w:tblGrid>
        <w:gridCol w:w="4253"/>
        <w:gridCol w:w="3120"/>
        <w:gridCol w:w="2272"/>
        <w:gridCol w:w="10"/>
      </w:tblGrid>
      <w:tr w:rsidR="00C367F8" w:rsidRPr="001E6CF9" w14:paraId="68AAC9D1" w14:textId="77777777" w:rsidTr="00516260">
        <w:tc>
          <w:tcPr>
            <w:tcW w:w="9655" w:type="dxa"/>
            <w:gridSpan w:val="4"/>
            <w:tcBorders>
              <w:top w:val="nil"/>
              <w:left w:val="nil"/>
              <w:bottom w:val="single" w:sz="12" w:space="0" w:color="auto"/>
              <w:right w:val="nil"/>
            </w:tcBorders>
          </w:tcPr>
          <w:p w14:paraId="6E5FB4DF" w14:textId="77777777" w:rsidR="00C367F8" w:rsidRPr="008478C6" w:rsidRDefault="00C367F8" w:rsidP="006E29F9">
            <w:pPr>
              <w:pStyle w:val="A-TableTitle"/>
              <w:widowControl w:val="0"/>
              <w:spacing w:after="0" w:line="240" w:lineRule="auto"/>
              <w:ind w:left="0" w:firstLine="0"/>
              <w:jc w:val="both"/>
              <w:rPr>
                <w:b w:val="0"/>
                <w:sz w:val="22"/>
                <w:szCs w:val="22"/>
                <w:lang w:val="en-US" w:eastAsia="zh-CN"/>
              </w:rPr>
            </w:pPr>
            <w:r w:rsidRPr="008478C6">
              <w:rPr>
                <w:b w:val="0"/>
                <w:sz w:val="22"/>
                <w:szCs w:val="22"/>
              </w:rPr>
              <w:t>Tabela 1. Dejstva istovremeno prim</w:t>
            </w:r>
            <w:r>
              <w:rPr>
                <w:b w:val="0"/>
                <w:sz w:val="22"/>
                <w:szCs w:val="22"/>
              </w:rPr>
              <w:t>ij</w:t>
            </w:r>
            <w:r w:rsidRPr="008478C6">
              <w:rPr>
                <w:b w:val="0"/>
                <w:sz w:val="22"/>
                <w:szCs w:val="22"/>
              </w:rPr>
              <w:t>enjenih l</w:t>
            </w:r>
            <w:r>
              <w:rPr>
                <w:b w:val="0"/>
                <w:sz w:val="22"/>
                <w:szCs w:val="22"/>
              </w:rPr>
              <w:t>j</w:t>
            </w:r>
            <w:r w:rsidRPr="008478C6">
              <w:rPr>
                <w:b w:val="0"/>
                <w:sz w:val="22"/>
                <w:szCs w:val="22"/>
              </w:rPr>
              <w:t>ekova na izloženost rosuvastatinu (PIK; u opadajućem redosledu) iz objavljenih kliničkih ispitivanja</w:t>
            </w:r>
          </w:p>
        </w:tc>
      </w:tr>
      <w:tr w:rsidR="00C367F8" w:rsidRPr="001E6CF9" w14:paraId="482AF1CD" w14:textId="77777777" w:rsidTr="00516260">
        <w:tc>
          <w:tcPr>
            <w:tcW w:w="9655" w:type="dxa"/>
            <w:gridSpan w:val="4"/>
            <w:tcBorders>
              <w:top w:val="nil"/>
              <w:left w:val="nil"/>
              <w:bottom w:val="single" w:sz="12" w:space="0" w:color="auto"/>
              <w:right w:val="nil"/>
            </w:tcBorders>
          </w:tcPr>
          <w:p w14:paraId="7B0D4C09" w14:textId="77777777" w:rsidR="00C367F8" w:rsidRPr="00EA25C5" w:rsidRDefault="00C367F8" w:rsidP="006E29F9">
            <w:pPr>
              <w:pStyle w:val="A-TableTitle"/>
              <w:widowControl w:val="0"/>
              <w:spacing w:after="0" w:line="240" w:lineRule="auto"/>
              <w:ind w:left="0" w:firstLine="0"/>
              <w:rPr>
                <w:b w:val="0"/>
                <w:sz w:val="22"/>
                <w:szCs w:val="22"/>
              </w:rPr>
            </w:pPr>
            <w:r w:rsidRPr="00EA25C5">
              <w:rPr>
                <w:b w:val="0"/>
                <w:sz w:val="22"/>
                <w:szCs w:val="22"/>
              </w:rPr>
              <w:t xml:space="preserve">Dvostruko ili više od dvostrukog povećanja </w:t>
            </w:r>
            <w:r>
              <w:rPr>
                <w:b w:val="0"/>
                <w:sz w:val="22"/>
                <w:szCs w:val="22"/>
              </w:rPr>
              <w:t>PIK vrijednosti</w:t>
            </w:r>
            <w:r w:rsidRPr="00EA25C5">
              <w:rPr>
                <w:b w:val="0"/>
                <w:sz w:val="22"/>
                <w:szCs w:val="22"/>
              </w:rPr>
              <w:t xml:space="preserve"> rosuvastatina</w:t>
            </w:r>
          </w:p>
        </w:tc>
      </w:tr>
      <w:tr w:rsidR="00C367F8" w:rsidRPr="001E6CF9" w14:paraId="5999CCCE" w14:textId="77777777" w:rsidTr="00516260">
        <w:tc>
          <w:tcPr>
            <w:tcW w:w="4253" w:type="dxa"/>
            <w:tcBorders>
              <w:top w:val="single" w:sz="12" w:space="0" w:color="auto"/>
              <w:left w:val="nil"/>
              <w:bottom w:val="single" w:sz="6" w:space="0" w:color="auto"/>
              <w:right w:val="nil"/>
            </w:tcBorders>
          </w:tcPr>
          <w:p w14:paraId="328B1B1E" w14:textId="77777777" w:rsidR="00C367F8" w:rsidRPr="00D40413" w:rsidRDefault="00C367F8" w:rsidP="006E29F9">
            <w:pPr>
              <w:pStyle w:val="A-TableHeader"/>
              <w:widowControl w:val="0"/>
              <w:spacing w:before="0" w:after="0"/>
              <w:rPr>
                <w:b w:val="0"/>
                <w:lang w:val="en-US" w:eastAsia="zh-CN"/>
              </w:rPr>
            </w:pPr>
            <w:r w:rsidRPr="00D40413">
              <w:rPr>
                <w:b w:val="0"/>
              </w:rPr>
              <w:t>Režim doziranja lijeka koji izaziva interakciju</w:t>
            </w:r>
          </w:p>
        </w:tc>
        <w:tc>
          <w:tcPr>
            <w:tcW w:w="3120" w:type="dxa"/>
            <w:tcBorders>
              <w:top w:val="single" w:sz="12" w:space="0" w:color="auto"/>
              <w:left w:val="nil"/>
              <w:bottom w:val="single" w:sz="6" w:space="0" w:color="auto"/>
              <w:right w:val="nil"/>
            </w:tcBorders>
          </w:tcPr>
          <w:p w14:paraId="1D9C18FB" w14:textId="77777777" w:rsidR="00C367F8" w:rsidRPr="00D40413" w:rsidRDefault="00C367F8" w:rsidP="006E29F9">
            <w:pPr>
              <w:pStyle w:val="A-TableHeader"/>
              <w:widowControl w:val="0"/>
              <w:spacing w:before="0" w:after="0"/>
              <w:rPr>
                <w:b w:val="0"/>
                <w:lang w:val="en-US" w:eastAsia="zh-CN"/>
              </w:rPr>
            </w:pPr>
            <w:r w:rsidRPr="00D40413">
              <w:rPr>
                <w:b w:val="0"/>
              </w:rPr>
              <w:t>Režim doziranja rosuvastatina</w:t>
            </w:r>
          </w:p>
        </w:tc>
        <w:tc>
          <w:tcPr>
            <w:tcW w:w="2282" w:type="dxa"/>
            <w:gridSpan w:val="2"/>
            <w:tcBorders>
              <w:top w:val="single" w:sz="12" w:space="0" w:color="auto"/>
              <w:left w:val="nil"/>
              <w:bottom w:val="single" w:sz="6" w:space="0" w:color="auto"/>
              <w:right w:val="nil"/>
            </w:tcBorders>
          </w:tcPr>
          <w:p w14:paraId="087708D0" w14:textId="77777777" w:rsidR="00C367F8" w:rsidRPr="00D40413" w:rsidRDefault="00C367F8" w:rsidP="006E29F9">
            <w:pPr>
              <w:pStyle w:val="A-TableHeader"/>
              <w:widowControl w:val="0"/>
              <w:spacing w:before="0" w:after="0"/>
              <w:rPr>
                <w:b w:val="0"/>
                <w:lang w:val="en-US" w:eastAsia="zh-CN"/>
              </w:rPr>
            </w:pPr>
            <w:r w:rsidRPr="00D40413">
              <w:rPr>
                <w:b w:val="0"/>
              </w:rPr>
              <w:t>Promjena PIK rosuvastatina*</w:t>
            </w:r>
          </w:p>
        </w:tc>
      </w:tr>
      <w:tr w:rsidR="00C367F8" w:rsidRPr="003F2746" w14:paraId="7A9B5B03" w14:textId="77777777" w:rsidTr="00516260">
        <w:tc>
          <w:tcPr>
            <w:tcW w:w="4253" w:type="dxa"/>
            <w:tcBorders>
              <w:top w:val="single" w:sz="6" w:space="0" w:color="auto"/>
              <w:left w:val="nil"/>
              <w:right w:val="nil"/>
            </w:tcBorders>
          </w:tcPr>
          <w:p w14:paraId="7C52F258" w14:textId="77777777" w:rsidR="00C367F8" w:rsidRPr="003F2746" w:rsidRDefault="00C367F8" w:rsidP="006E29F9">
            <w:pPr>
              <w:pStyle w:val="A-TableText"/>
              <w:keepNext/>
              <w:rPr>
                <w:lang w:val="en-US" w:eastAsia="zh-CN"/>
              </w:rPr>
            </w:pPr>
            <w:r w:rsidRPr="006C4CCF">
              <w:rPr>
                <w:lang w:val="en-US" w:eastAsia="zh-CN"/>
              </w:rPr>
              <w:t>Sofosbuvir/velpatasvir/vo</w:t>
            </w:r>
            <w:r>
              <w:rPr>
                <w:lang w:val="en-US" w:eastAsia="zh-CN"/>
              </w:rPr>
              <w:t>ks</w:t>
            </w:r>
            <w:r w:rsidRPr="006C4CCF">
              <w:rPr>
                <w:lang w:val="en-US" w:eastAsia="zh-CN"/>
              </w:rPr>
              <w:t>ilaprevir (400</w:t>
            </w:r>
            <w:r>
              <w:rPr>
                <w:lang w:val="en-US" w:eastAsia="zh-CN"/>
              </w:rPr>
              <w:t xml:space="preserve"> </w:t>
            </w:r>
            <w:r w:rsidRPr="006C4CCF">
              <w:rPr>
                <w:lang w:val="en-US" w:eastAsia="zh-CN"/>
              </w:rPr>
              <w:t xml:space="preserve">mg-100 mg-100 mg) + </w:t>
            </w:r>
            <w:r>
              <w:rPr>
                <w:lang w:val="en-US" w:eastAsia="zh-CN"/>
              </w:rPr>
              <w:t>v</w:t>
            </w:r>
            <w:r w:rsidRPr="006C4CCF">
              <w:rPr>
                <w:lang w:val="en-US" w:eastAsia="zh-CN"/>
              </w:rPr>
              <w:t>o</w:t>
            </w:r>
            <w:r>
              <w:rPr>
                <w:lang w:val="en-US" w:eastAsia="zh-CN"/>
              </w:rPr>
              <w:t>ks</w:t>
            </w:r>
            <w:r w:rsidRPr="006C4CCF">
              <w:rPr>
                <w:lang w:val="en-US" w:eastAsia="zh-CN"/>
              </w:rPr>
              <w:t>ilaprevir</w:t>
            </w:r>
            <w:r>
              <w:rPr>
                <w:lang w:val="en-US" w:eastAsia="zh-CN"/>
              </w:rPr>
              <w:t xml:space="preserve"> </w:t>
            </w:r>
            <w:r w:rsidRPr="006C4CCF">
              <w:rPr>
                <w:lang w:val="en-US" w:eastAsia="zh-CN"/>
              </w:rPr>
              <w:t xml:space="preserve">(100 mg) </w:t>
            </w:r>
            <w:r w:rsidR="006D2E97">
              <w:rPr>
                <w:lang w:val="en-US" w:eastAsia="zh-CN"/>
              </w:rPr>
              <w:t>OD</w:t>
            </w:r>
            <w:r>
              <w:rPr>
                <w:lang w:val="en-US" w:eastAsia="zh-CN"/>
              </w:rPr>
              <w:t xml:space="preserve">, </w:t>
            </w:r>
            <w:r w:rsidRPr="006C4CCF">
              <w:rPr>
                <w:lang w:val="en-US" w:eastAsia="zh-CN"/>
              </w:rPr>
              <w:t xml:space="preserve">15 </w:t>
            </w:r>
            <w:r>
              <w:rPr>
                <w:lang w:val="en-US" w:eastAsia="zh-CN"/>
              </w:rPr>
              <w:t>dana</w:t>
            </w:r>
          </w:p>
        </w:tc>
        <w:tc>
          <w:tcPr>
            <w:tcW w:w="3120" w:type="dxa"/>
            <w:tcBorders>
              <w:top w:val="single" w:sz="6" w:space="0" w:color="auto"/>
              <w:left w:val="nil"/>
              <w:right w:val="nil"/>
            </w:tcBorders>
          </w:tcPr>
          <w:p w14:paraId="15280F4F" w14:textId="77777777" w:rsidR="00C367F8" w:rsidRPr="003F2746" w:rsidRDefault="00C367F8" w:rsidP="006E29F9">
            <w:pPr>
              <w:pStyle w:val="A-TableText"/>
              <w:keepNext/>
              <w:spacing w:before="0" w:after="0"/>
              <w:rPr>
                <w:lang w:val="en-US" w:eastAsia="zh-CN"/>
              </w:rPr>
            </w:pPr>
            <w:r w:rsidRPr="006C4CCF">
              <w:rPr>
                <w:lang w:val="en-US" w:eastAsia="zh-CN"/>
              </w:rPr>
              <w:t xml:space="preserve">10 mg </w:t>
            </w:r>
            <w:r>
              <w:rPr>
                <w:lang w:val="en-US" w:eastAsia="zh-CN"/>
              </w:rPr>
              <w:t>jedna doza</w:t>
            </w:r>
          </w:p>
        </w:tc>
        <w:tc>
          <w:tcPr>
            <w:tcW w:w="2282" w:type="dxa"/>
            <w:gridSpan w:val="2"/>
            <w:tcBorders>
              <w:top w:val="single" w:sz="6" w:space="0" w:color="auto"/>
              <w:left w:val="nil"/>
              <w:right w:val="nil"/>
            </w:tcBorders>
          </w:tcPr>
          <w:p w14:paraId="3CE00E8F" w14:textId="77777777" w:rsidR="00C367F8" w:rsidRPr="003F2746" w:rsidRDefault="00C367F8" w:rsidP="006E29F9">
            <w:pPr>
              <w:pStyle w:val="A-TableText"/>
              <w:keepNext/>
              <w:spacing w:before="0" w:after="0"/>
              <w:rPr>
                <w:lang w:val="en-US" w:eastAsia="zh-CN"/>
              </w:rPr>
            </w:pPr>
            <w:r w:rsidRPr="003F2746">
              <w:rPr>
                <w:lang w:val="en-US" w:eastAsia="zh-CN"/>
              </w:rPr>
              <w:t>7.</w:t>
            </w:r>
            <w:r>
              <w:rPr>
                <w:lang w:val="en-US" w:eastAsia="zh-CN"/>
              </w:rPr>
              <w:t>4 puta</w:t>
            </w:r>
            <w:r w:rsidRPr="003F2746">
              <w:rPr>
                <w:lang w:val="en-US" w:eastAsia="zh-CN"/>
              </w:rPr>
              <w:t xml:space="preserve"> </w:t>
            </w:r>
            <w:r w:rsidRPr="003F2746">
              <w:rPr>
                <w:lang w:val="en-US" w:eastAsia="zh-CN"/>
              </w:rPr>
              <w:sym w:font="Symbol" w:char="F0AD"/>
            </w:r>
          </w:p>
        </w:tc>
      </w:tr>
      <w:tr w:rsidR="00C367F8" w:rsidRPr="001E6CF9" w14:paraId="432F6FDA" w14:textId="77777777" w:rsidTr="00516260">
        <w:tc>
          <w:tcPr>
            <w:tcW w:w="4253" w:type="dxa"/>
            <w:tcBorders>
              <w:left w:val="nil"/>
              <w:right w:val="nil"/>
            </w:tcBorders>
          </w:tcPr>
          <w:p w14:paraId="34FF84D7" w14:textId="77777777" w:rsidR="00C367F8" w:rsidRPr="001E6CF9" w:rsidRDefault="00C367F8" w:rsidP="006E29F9">
            <w:pPr>
              <w:pStyle w:val="A-TableText"/>
              <w:keepNext/>
              <w:widowControl w:val="0"/>
              <w:spacing w:before="0" w:after="0"/>
              <w:rPr>
                <w:lang w:val="en-US" w:eastAsia="zh-CN"/>
              </w:rPr>
            </w:pPr>
            <w:r w:rsidRPr="001E6CF9">
              <w:rPr>
                <w:lang w:val="en-US" w:eastAsia="zh-CN"/>
              </w:rPr>
              <w:t>Ci</w:t>
            </w:r>
            <w:r>
              <w:rPr>
                <w:lang w:val="en-US" w:eastAsia="zh-CN"/>
              </w:rPr>
              <w:t>k</w:t>
            </w:r>
            <w:r w:rsidRPr="001E6CF9">
              <w:rPr>
                <w:lang w:val="en-US" w:eastAsia="zh-CN"/>
              </w:rPr>
              <w:t xml:space="preserve">losporin 75 mg BID </w:t>
            </w:r>
            <w:r>
              <w:rPr>
                <w:lang w:val="en-US" w:eastAsia="zh-CN"/>
              </w:rPr>
              <w:t>d</w:t>
            </w:r>
            <w:r w:rsidRPr="001E6CF9">
              <w:rPr>
                <w:lang w:val="en-US" w:eastAsia="zh-CN"/>
              </w:rPr>
              <w:t xml:space="preserve">o 200 mg BID, 6 </w:t>
            </w:r>
            <w:r>
              <w:rPr>
                <w:lang w:val="en-US" w:eastAsia="zh-CN"/>
              </w:rPr>
              <w:t>mjeseci</w:t>
            </w:r>
          </w:p>
        </w:tc>
        <w:tc>
          <w:tcPr>
            <w:tcW w:w="3120" w:type="dxa"/>
            <w:tcBorders>
              <w:left w:val="nil"/>
              <w:right w:val="nil"/>
            </w:tcBorders>
          </w:tcPr>
          <w:p w14:paraId="49980498" w14:textId="77777777" w:rsidR="00C367F8" w:rsidRPr="001E6CF9" w:rsidRDefault="00C367F8" w:rsidP="006E29F9">
            <w:pPr>
              <w:pStyle w:val="A-TableText"/>
              <w:keepNext/>
              <w:widowControl w:val="0"/>
              <w:spacing w:before="0" w:after="0"/>
              <w:rPr>
                <w:lang w:val="en-US" w:eastAsia="zh-CN"/>
              </w:rPr>
            </w:pPr>
            <w:r w:rsidRPr="001E6CF9">
              <w:rPr>
                <w:lang w:val="en-US" w:eastAsia="zh-CN"/>
              </w:rPr>
              <w:t xml:space="preserve">10 mg OD, 10 </w:t>
            </w:r>
            <w:r>
              <w:rPr>
                <w:lang w:val="en-US" w:eastAsia="zh-CN"/>
              </w:rPr>
              <w:t>dana</w:t>
            </w:r>
          </w:p>
        </w:tc>
        <w:tc>
          <w:tcPr>
            <w:tcW w:w="2282" w:type="dxa"/>
            <w:gridSpan w:val="2"/>
            <w:tcBorders>
              <w:left w:val="nil"/>
              <w:right w:val="nil"/>
            </w:tcBorders>
          </w:tcPr>
          <w:p w14:paraId="67F528E9" w14:textId="77777777" w:rsidR="00C367F8" w:rsidRPr="001E6CF9" w:rsidRDefault="00C367F8" w:rsidP="006E29F9">
            <w:pPr>
              <w:pStyle w:val="A-TableText"/>
              <w:keepNext/>
              <w:widowControl w:val="0"/>
              <w:spacing w:before="0" w:after="0"/>
              <w:rPr>
                <w:lang w:val="en-US" w:eastAsia="zh-CN"/>
              </w:rPr>
            </w:pPr>
            <w:r w:rsidRPr="001E6CF9">
              <w:rPr>
                <w:lang w:val="en-US" w:eastAsia="zh-CN"/>
              </w:rPr>
              <w:t>7.1</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3F2746" w14:paraId="27C4BA1A" w14:textId="77777777" w:rsidTr="00516260">
        <w:tc>
          <w:tcPr>
            <w:tcW w:w="4253" w:type="dxa"/>
            <w:tcBorders>
              <w:left w:val="nil"/>
              <w:bottom w:val="nil"/>
              <w:right w:val="nil"/>
            </w:tcBorders>
          </w:tcPr>
          <w:p w14:paraId="0DE2C5AE" w14:textId="77777777" w:rsidR="00C367F8" w:rsidRPr="003F2746" w:rsidRDefault="00C367F8" w:rsidP="0064489E">
            <w:pPr>
              <w:pStyle w:val="A-TableText"/>
              <w:spacing w:before="0" w:after="0"/>
              <w:rPr>
                <w:lang w:val="en-US" w:eastAsia="zh-CN"/>
              </w:rPr>
            </w:pPr>
            <w:r w:rsidRPr="00D26AA2">
              <w:rPr>
                <w:lang w:val="en-US" w:eastAsia="zh-CN"/>
              </w:rPr>
              <w:t>Darolutamid 600 mg BID, 5 da</w:t>
            </w:r>
            <w:r>
              <w:rPr>
                <w:lang w:val="en-US" w:eastAsia="zh-CN"/>
              </w:rPr>
              <w:t>na</w:t>
            </w:r>
          </w:p>
        </w:tc>
        <w:tc>
          <w:tcPr>
            <w:tcW w:w="3120" w:type="dxa"/>
            <w:tcBorders>
              <w:left w:val="nil"/>
              <w:bottom w:val="nil"/>
              <w:right w:val="nil"/>
            </w:tcBorders>
          </w:tcPr>
          <w:p w14:paraId="4FC662A0" w14:textId="77777777" w:rsidR="00C367F8" w:rsidRPr="003F2746" w:rsidRDefault="00C367F8" w:rsidP="0064489E">
            <w:pPr>
              <w:pStyle w:val="A-TableText"/>
              <w:spacing w:before="0" w:after="0"/>
              <w:rPr>
                <w:lang w:val="en-US" w:eastAsia="zh-CN"/>
              </w:rPr>
            </w:pPr>
            <w:r w:rsidRPr="00D26AA2">
              <w:rPr>
                <w:lang w:val="en-US" w:eastAsia="zh-CN"/>
              </w:rPr>
              <w:t xml:space="preserve">5 mg, </w:t>
            </w:r>
            <w:r>
              <w:rPr>
                <w:lang w:val="en-US" w:eastAsia="zh-CN"/>
              </w:rPr>
              <w:t>jedna</w:t>
            </w:r>
            <w:r w:rsidRPr="00D26AA2">
              <w:rPr>
                <w:lang w:val="en-US" w:eastAsia="zh-CN"/>
              </w:rPr>
              <w:t xml:space="preserve"> do</w:t>
            </w:r>
            <w:r>
              <w:rPr>
                <w:lang w:val="en-US" w:eastAsia="zh-CN"/>
              </w:rPr>
              <w:t>za</w:t>
            </w:r>
          </w:p>
        </w:tc>
        <w:tc>
          <w:tcPr>
            <w:tcW w:w="2282" w:type="dxa"/>
            <w:gridSpan w:val="2"/>
            <w:tcBorders>
              <w:left w:val="nil"/>
              <w:bottom w:val="nil"/>
              <w:right w:val="nil"/>
            </w:tcBorders>
          </w:tcPr>
          <w:p w14:paraId="08C279BB" w14:textId="77777777" w:rsidR="00C367F8" w:rsidRPr="003F2746" w:rsidRDefault="00C367F8" w:rsidP="0064489E">
            <w:pPr>
              <w:pStyle w:val="A-TableText"/>
              <w:spacing w:before="0" w:after="0"/>
              <w:rPr>
                <w:lang w:val="en-US" w:eastAsia="zh-CN"/>
              </w:rPr>
            </w:pPr>
            <w:r>
              <w:rPr>
                <w:lang w:val="en-US" w:eastAsia="zh-CN"/>
              </w:rPr>
              <w:t>5.2 puta</w:t>
            </w:r>
            <w:r w:rsidRPr="003F2746">
              <w:rPr>
                <w:lang w:val="en-US" w:eastAsia="zh-CN"/>
              </w:rPr>
              <w:t xml:space="preserve"> </w:t>
            </w:r>
            <w:r w:rsidRPr="003F2746">
              <w:rPr>
                <w:lang w:val="en-US" w:eastAsia="zh-CN"/>
              </w:rPr>
              <w:sym w:font="Symbol" w:char="F0AD"/>
            </w:r>
          </w:p>
        </w:tc>
      </w:tr>
      <w:tr w:rsidR="00C367F8" w:rsidRPr="00F37943" w14:paraId="1DB62EFC" w14:textId="77777777" w:rsidTr="005162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0" w:type="dxa"/>
        </w:trPr>
        <w:tc>
          <w:tcPr>
            <w:tcW w:w="4253" w:type="dxa"/>
            <w:tcBorders>
              <w:top w:val="nil"/>
              <w:left w:val="nil"/>
              <w:bottom w:val="nil"/>
              <w:right w:val="nil"/>
            </w:tcBorders>
            <w:shd w:val="clear" w:color="auto" w:fill="auto"/>
          </w:tcPr>
          <w:p w14:paraId="41242FA4" w14:textId="77777777" w:rsidR="00C367F8" w:rsidRPr="00F37943" w:rsidRDefault="00C367F8" w:rsidP="0064489E">
            <w:pPr>
              <w:pStyle w:val="A-TableText"/>
              <w:spacing w:before="0" w:after="0"/>
              <w:rPr>
                <w:lang w:val="en-US" w:eastAsia="zh-CN"/>
              </w:rPr>
            </w:pPr>
            <w:r w:rsidRPr="00F37943">
              <w:rPr>
                <w:lang w:val="en-US" w:eastAsia="zh-CN"/>
              </w:rPr>
              <w:t xml:space="preserve">Regorafenib 160 mg, OD, 14 </w:t>
            </w:r>
            <w:r>
              <w:rPr>
                <w:lang w:val="en-US" w:eastAsia="zh-CN"/>
              </w:rPr>
              <w:t>dana</w:t>
            </w:r>
          </w:p>
        </w:tc>
        <w:tc>
          <w:tcPr>
            <w:tcW w:w="3120" w:type="dxa"/>
            <w:tcBorders>
              <w:top w:val="nil"/>
              <w:left w:val="nil"/>
              <w:bottom w:val="nil"/>
              <w:right w:val="nil"/>
            </w:tcBorders>
            <w:shd w:val="clear" w:color="auto" w:fill="auto"/>
          </w:tcPr>
          <w:p w14:paraId="24448943" w14:textId="77777777" w:rsidR="00C367F8" w:rsidRPr="00F37943" w:rsidRDefault="00C367F8" w:rsidP="0064489E">
            <w:pPr>
              <w:pStyle w:val="A-TableText"/>
              <w:spacing w:before="0" w:after="0"/>
              <w:rPr>
                <w:lang w:val="en-US" w:eastAsia="zh-CN"/>
              </w:rPr>
            </w:pPr>
            <w:r w:rsidRPr="00F37943">
              <w:rPr>
                <w:lang w:val="en-US" w:eastAsia="zh-CN"/>
              </w:rPr>
              <w:t>5 mg</w:t>
            </w:r>
            <w:r>
              <w:rPr>
                <w:lang w:val="en-US" w:eastAsia="zh-CN"/>
              </w:rPr>
              <w:t>,</w:t>
            </w:r>
            <w:r w:rsidRPr="00F37943">
              <w:rPr>
                <w:lang w:val="en-US" w:eastAsia="zh-CN"/>
              </w:rPr>
              <w:t xml:space="preserve"> </w:t>
            </w:r>
            <w:r>
              <w:rPr>
                <w:lang w:val="en-US" w:eastAsia="zh-CN"/>
              </w:rPr>
              <w:t>jedna</w:t>
            </w:r>
            <w:r w:rsidRPr="00F37943">
              <w:rPr>
                <w:lang w:val="en-US" w:eastAsia="zh-CN"/>
              </w:rPr>
              <w:t xml:space="preserve"> </w:t>
            </w:r>
            <w:r>
              <w:rPr>
                <w:lang w:val="en-US" w:eastAsia="zh-CN"/>
              </w:rPr>
              <w:t>doza</w:t>
            </w:r>
          </w:p>
        </w:tc>
        <w:tc>
          <w:tcPr>
            <w:tcW w:w="2272" w:type="dxa"/>
            <w:tcBorders>
              <w:top w:val="nil"/>
              <w:left w:val="nil"/>
              <w:bottom w:val="nil"/>
              <w:right w:val="nil"/>
            </w:tcBorders>
            <w:shd w:val="clear" w:color="auto" w:fill="auto"/>
          </w:tcPr>
          <w:p w14:paraId="74528B48" w14:textId="77777777" w:rsidR="00C367F8" w:rsidRPr="00F37943" w:rsidRDefault="00C367F8" w:rsidP="0064489E">
            <w:pPr>
              <w:pStyle w:val="A-TableText"/>
              <w:spacing w:before="0" w:after="0"/>
              <w:rPr>
                <w:lang w:val="en-US" w:eastAsia="zh-CN"/>
              </w:rPr>
            </w:pPr>
            <w:r w:rsidRPr="00F37943">
              <w:rPr>
                <w:lang w:val="en-US" w:eastAsia="zh-CN"/>
              </w:rPr>
              <w:t>3.8</w:t>
            </w:r>
            <w:r>
              <w:rPr>
                <w:lang w:val="en-US" w:eastAsia="zh-CN"/>
              </w:rPr>
              <w:t xml:space="preserve"> puta</w:t>
            </w:r>
            <w:r w:rsidRPr="00F37943">
              <w:rPr>
                <w:lang w:val="en-US" w:eastAsia="zh-CN"/>
              </w:rPr>
              <w:t xml:space="preserve"> ↑</w:t>
            </w:r>
          </w:p>
        </w:tc>
      </w:tr>
      <w:tr w:rsidR="00C367F8" w:rsidRPr="001E6CF9" w14:paraId="195424DE" w14:textId="77777777" w:rsidTr="00516260">
        <w:tc>
          <w:tcPr>
            <w:tcW w:w="4253" w:type="dxa"/>
            <w:tcBorders>
              <w:left w:val="nil"/>
              <w:bottom w:val="nil"/>
              <w:right w:val="nil"/>
            </w:tcBorders>
          </w:tcPr>
          <w:p w14:paraId="71354DB0"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Atazanavir 300 mg/ritonavir 100 mg OD, 8 </w:t>
            </w:r>
            <w:r>
              <w:rPr>
                <w:lang w:val="en-US" w:eastAsia="zh-CN"/>
              </w:rPr>
              <w:t>dana</w:t>
            </w:r>
          </w:p>
        </w:tc>
        <w:tc>
          <w:tcPr>
            <w:tcW w:w="3120" w:type="dxa"/>
            <w:tcBorders>
              <w:left w:val="nil"/>
              <w:bottom w:val="nil"/>
              <w:right w:val="nil"/>
            </w:tcBorders>
          </w:tcPr>
          <w:p w14:paraId="24F25878"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left w:val="nil"/>
              <w:bottom w:val="nil"/>
              <w:right w:val="nil"/>
            </w:tcBorders>
          </w:tcPr>
          <w:p w14:paraId="0038AD11" w14:textId="77777777" w:rsidR="00C367F8" w:rsidRPr="001E6CF9" w:rsidRDefault="00C367F8" w:rsidP="0064489E">
            <w:pPr>
              <w:pStyle w:val="A-TableText"/>
              <w:widowControl w:val="0"/>
              <w:spacing w:before="0" w:after="0"/>
              <w:rPr>
                <w:lang w:val="en-US" w:eastAsia="zh-CN"/>
              </w:rPr>
            </w:pPr>
            <w:r w:rsidRPr="001E6CF9">
              <w:rPr>
                <w:lang w:val="en-US" w:eastAsia="zh-CN"/>
              </w:rPr>
              <w:t>3.1</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05EF49B1" w14:textId="77777777" w:rsidTr="00516260">
        <w:tc>
          <w:tcPr>
            <w:tcW w:w="4253" w:type="dxa"/>
            <w:tcBorders>
              <w:top w:val="nil"/>
              <w:left w:val="nil"/>
              <w:right w:val="nil"/>
            </w:tcBorders>
          </w:tcPr>
          <w:p w14:paraId="4C171B43" w14:textId="77777777" w:rsidR="00C367F8" w:rsidRPr="001E6CF9" w:rsidRDefault="00C367F8" w:rsidP="0064489E">
            <w:pPr>
              <w:pStyle w:val="A-TableText"/>
              <w:widowControl w:val="0"/>
              <w:spacing w:before="0" w:after="0"/>
              <w:rPr>
                <w:lang w:val="en-US" w:eastAsia="zh-CN"/>
              </w:rPr>
            </w:pPr>
            <w:r w:rsidRPr="001E6CF9">
              <w:rPr>
                <w:lang w:val="en-US" w:eastAsia="zh-CN"/>
              </w:rPr>
              <w:t>Velpatasvir 100 mg OD</w:t>
            </w:r>
          </w:p>
        </w:tc>
        <w:tc>
          <w:tcPr>
            <w:tcW w:w="3120" w:type="dxa"/>
            <w:tcBorders>
              <w:top w:val="nil"/>
              <w:left w:val="nil"/>
              <w:bottom w:val="nil"/>
              <w:right w:val="nil"/>
            </w:tcBorders>
          </w:tcPr>
          <w:p w14:paraId="2D7DAD8B"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49776F22" w14:textId="77777777" w:rsidR="00C367F8" w:rsidRPr="001E6CF9" w:rsidRDefault="00C367F8" w:rsidP="0064489E">
            <w:pPr>
              <w:pStyle w:val="A-TableText"/>
              <w:widowControl w:val="0"/>
              <w:spacing w:before="0" w:after="0"/>
              <w:rPr>
                <w:lang w:val="en-US" w:eastAsia="zh-CN"/>
              </w:rPr>
            </w:pPr>
            <w:r w:rsidRPr="001E6CF9">
              <w:rPr>
                <w:lang w:val="en-US" w:eastAsia="zh-CN"/>
              </w:rPr>
              <w:t>2.7</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21D4FCD8" w14:textId="77777777" w:rsidTr="00516260">
        <w:tc>
          <w:tcPr>
            <w:tcW w:w="4253" w:type="dxa"/>
            <w:tcBorders>
              <w:top w:val="nil"/>
              <w:left w:val="nil"/>
              <w:right w:val="nil"/>
            </w:tcBorders>
          </w:tcPr>
          <w:p w14:paraId="47EAB2B7"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Ombitasvir 25 mg/paritaprevir 150 mg/ Ritonavir 100 mg OD/ dasabuvir 400 mg BID, 14 </w:t>
            </w:r>
            <w:r>
              <w:rPr>
                <w:lang w:val="en-US" w:eastAsia="zh-CN"/>
              </w:rPr>
              <w:t>dana</w:t>
            </w:r>
          </w:p>
        </w:tc>
        <w:tc>
          <w:tcPr>
            <w:tcW w:w="3120" w:type="dxa"/>
            <w:tcBorders>
              <w:top w:val="nil"/>
              <w:left w:val="nil"/>
              <w:bottom w:val="nil"/>
              <w:right w:val="nil"/>
            </w:tcBorders>
          </w:tcPr>
          <w:p w14:paraId="11D6DECA"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5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7B2DA9B8" w14:textId="77777777" w:rsidR="00C367F8" w:rsidRPr="001E6CF9" w:rsidRDefault="00C367F8" w:rsidP="0064489E">
            <w:pPr>
              <w:pStyle w:val="A-TableText"/>
              <w:widowControl w:val="0"/>
              <w:spacing w:before="0" w:after="0"/>
              <w:rPr>
                <w:lang w:val="en-US" w:eastAsia="zh-CN"/>
              </w:rPr>
            </w:pPr>
            <w:r w:rsidRPr="001E6CF9">
              <w:rPr>
                <w:lang w:val="en-US" w:eastAsia="zh-CN"/>
              </w:rPr>
              <w:t>2.6</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4201E351" w14:textId="77777777" w:rsidTr="00516260">
        <w:tc>
          <w:tcPr>
            <w:tcW w:w="4253" w:type="dxa"/>
            <w:tcBorders>
              <w:top w:val="nil"/>
              <w:left w:val="nil"/>
              <w:right w:val="nil"/>
            </w:tcBorders>
          </w:tcPr>
          <w:p w14:paraId="02F4ADD5"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Grazoprevir 200 mg/elbasvir 50mg OD, 11 </w:t>
            </w:r>
            <w:r>
              <w:rPr>
                <w:lang w:val="en-US" w:eastAsia="zh-CN"/>
              </w:rPr>
              <w:t>dana</w:t>
            </w:r>
          </w:p>
        </w:tc>
        <w:tc>
          <w:tcPr>
            <w:tcW w:w="3120" w:type="dxa"/>
            <w:tcBorders>
              <w:top w:val="nil"/>
              <w:left w:val="nil"/>
              <w:bottom w:val="nil"/>
              <w:right w:val="nil"/>
            </w:tcBorders>
          </w:tcPr>
          <w:p w14:paraId="7FBD832A"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245DEAB5" w14:textId="77777777" w:rsidR="00C367F8" w:rsidRPr="001E6CF9" w:rsidRDefault="00C367F8" w:rsidP="0064489E">
            <w:pPr>
              <w:pStyle w:val="A-TableText"/>
              <w:widowControl w:val="0"/>
              <w:spacing w:before="0" w:after="0"/>
              <w:rPr>
                <w:lang w:val="en-US" w:eastAsia="zh-CN"/>
              </w:rPr>
            </w:pPr>
            <w:r w:rsidRPr="001E6CF9">
              <w:rPr>
                <w:lang w:val="en-US" w:eastAsia="zh-CN"/>
              </w:rPr>
              <w:t>2.3</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6B9C4A3C" w14:textId="77777777" w:rsidTr="00516260">
        <w:tc>
          <w:tcPr>
            <w:tcW w:w="4253" w:type="dxa"/>
            <w:tcBorders>
              <w:top w:val="nil"/>
              <w:left w:val="nil"/>
              <w:right w:val="nil"/>
            </w:tcBorders>
          </w:tcPr>
          <w:p w14:paraId="5D7A71CA" w14:textId="77777777" w:rsidR="00C367F8" w:rsidRPr="001E6CF9" w:rsidRDefault="00C367F8" w:rsidP="0064489E">
            <w:pPr>
              <w:pStyle w:val="A-TableText"/>
              <w:widowControl w:val="0"/>
              <w:spacing w:before="0" w:after="0"/>
              <w:rPr>
                <w:lang w:val="en-US" w:eastAsia="zh-CN"/>
              </w:rPr>
            </w:pPr>
            <w:r w:rsidRPr="001E6CF9">
              <w:rPr>
                <w:lang w:val="en-US" w:eastAsia="zh-CN"/>
              </w:rPr>
              <w:t>Gle</w:t>
            </w:r>
            <w:r>
              <w:rPr>
                <w:lang w:val="en-US" w:eastAsia="zh-CN"/>
              </w:rPr>
              <w:t>k</w:t>
            </w:r>
            <w:r w:rsidRPr="001E6CF9">
              <w:rPr>
                <w:lang w:val="en-US" w:eastAsia="zh-CN"/>
              </w:rPr>
              <w:t xml:space="preserve">aprevir 400 mg/pibrentasvir 120 mg OD, 7 </w:t>
            </w:r>
            <w:r>
              <w:rPr>
                <w:lang w:val="en-US" w:eastAsia="zh-CN"/>
              </w:rPr>
              <w:t>dana</w:t>
            </w:r>
          </w:p>
        </w:tc>
        <w:tc>
          <w:tcPr>
            <w:tcW w:w="3120" w:type="dxa"/>
            <w:tcBorders>
              <w:top w:val="nil"/>
              <w:left w:val="nil"/>
              <w:bottom w:val="nil"/>
              <w:right w:val="nil"/>
            </w:tcBorders>
          </w:tcPr>
          <w:p w14:paraId="3D6C4AA5"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5 mg OD, 7 </w:t>
            </w:r>
            <w:r>
              <w:rPr>
                <w:lang w:val="en-US" w:eastAsia="zh-CN"/>
              </w:rPr>
              <w:t>dana</w:t>
            </w:r>
          </w:p>
        </w:tc>
        <w:tc>
          <w:tcPr>
            <w:tcW w:w="2282" w:type="dxa"/>
            <w:gridSpan w:val="2"/>
            <w:tcBorders>
              <w:top w:val="nil"/>
              <w:left w:val="nil"/>
              <w:bottom w:val="nil"/>
              <w:right w:val="nil"/>
            </w:tcBorders>
          </w:tcPr>
          <w:p w14:paraId="7E7863DE" w14:textId="77777777" w:rsidR="00C367F8" w:rsidRPr="001E6CF9" w:rsidRDefault="00C367F8" w:rsidP="0064489E">
            <w:pPr>
              <w:pStyle w:val="A-TableText"/>
              <w:widowControl w:val="0"/>
              <w:spacing w:before="0" w:after="0"/>
              <w:rPr>
                <w:lang w:val="en-US" w:eastAsia="zh-CN"/>
              </w:rPr>
            </w:pPr>
            <w:r w:rsidRPr="001E6CF9">
              <w:rPr>
                <w:lang w:val="en-US" w:eastAsia="zh-CN"/>
              </w:rPr>
              <w:t>2.2</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196A229E" w14:textId="77777777" w:rsidTr="00516260">
        <w:trPr>
          <w:trHeight w:val="246"/>
        </w:trPr>
        <w:tc>
          <w:tcPr>
            <w:tcW w:w="4253" w:type="dxa"/>
            <w:tcBorders>
              <w:top w:val="nil"/>
              <w:left w:val="nil"/>
              <w:bottom w:val="nil"/>
              <w:right w:val="nil"/>
            </w:tcBorders>
          </w:tcPr>
          <w:p w14:paraId="65D8D31C"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Lopinavir 400 mg/ritonavir 100 mg BID, 17 </w:t>
            </w:r>
            <w:r>
              <w:rPr>
                <w:lang w:val="en-US" w:eastAsia="zh-CN"/>
              </w:rPr>
              <w:t>dana</w:t>
            </w:r>
          </w:p>
        </w:tc>
        <w:tc>
          <w:tcPr>
            <w:tcW w:w="3120" w:type="dxa"/>
            <w:tcBorders>
              <w:top w:val="nil"/>
              <w:left w:val="nil"/>
              <w:bottom w:val="nil"/>
              <w:right w:val="nil"/>
            </w:tcBorders>
          </w:tcPr>
          <w:p w14:paraId="4A27C7FE"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20 mg OD, 7 </w:t>
            </w:r>
            <w:r>
              <w:rPr>
                <w:lang w:val="en-US" w:eastAsia="zh-CN"/>
              </w:rPr>
              <w:t>dana</w:t>
            </w:r>
          </w:p>
        </w:tc>
        <w:tc>
          <w:tcPr>
            <w:tcW w:w="2282" w:type="dxa"/>
            <w:gridSpan w:val="2"/>
            <w:tcBorders>
              <w:top w:val="nil"/>
              <w:left w:val="nil"/>
              <w:bottom w:val="nil"/>
              <w:right w:val="nil"/>
            </w:tcBorders>
          </w:tcPr>
          <w:p w14:paraId="7330278C" w14:textId="77777777" w:rsidR="00C367F8" w:rsidRPr="001E6CF9" w:rsidRDefault="00C367F8" w:rsidP="0064489E">
            <w:pPr>
              <w:pStyle w:val="A-TableText"/>
              <w:widowControl w:val="0"/>
              <w:spacing w:before="0" w:after="0"/>
              <w:rPr>
                <w:lang w:val="en-US" w:eastAsia="zh-CN"/>
              </w:rPr>
            </w:pPr>
            <w:r w:rsidRPr="001E6CF9">
              <w:rPr>
                <w:lang w:val="en-US" w:eastAsia="zh-CN"/>
              </w:rPr>
              <w:t>2.1</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31B36EFE" w14:textId="77777777" w:rsidTr="00516260">
        <w:trPr>
          <w:trHeight w:val="86"/>
        </w:trPr>
        <w:tc>
          <w:tcPr>
            <w:tcW w:w="4253" w:type="dxa"/>
            <w:tcBorders>
              <w:top w:val="nil"/>
              <w:left w:val="nil"/>
              <w:bottom w:val="nil"/>
              <w:right w:val="nil"/>
            </w:tcBorders>
          </w:tcPr>
          <w:p w14:paraId="17BECB83" w14:textId="77777777" w:rsidR="006D2E97" w:rsidRPr="001E6CF9" w:rsidRDefault="00C367F8" w:rsidP="0064489E">
            <w:pPr>
              <w:pStyle w:val="A-TableText"/>
              <w:widowControl w:val="0"/>
              <w:spacing w:before="0" w:after="0"/>
              <w:rPr>
                <w:lang w:val="en-US" w:eastAsia="zh-CN"/>
              </w:rPr>
            </w:pPr>
            <w:r>
              <w:rPr>
                <w:lang w:val="en-US" w:eastAsia="zh-CN"/>
              </w:rPr>
              <w:t>K</w:t>
            </w:r>
            <w:r w:rsidRPr="001E6CF9">
              <w:rPr>
                <w:lang w:val="en-US" w:eastAsia="zh-CN"/>
              </w:rPr>
              <w:t xml:space="preserve">lopidogrel 300 mg </w:t>
            </w:r>
            <w:r>
              <w:t>udarna doza, praćena dozom od</w:t>
            </w:r>
            <w:r w:rsidRPr="001E6CF9">
              <w:rPr>
                <w:lang w:val="en-US" w:eastAsia="zh-CN"/>
              </w:rPr>
              <w:t xml:space="preserve"> 75 mg </w:t>
            </w:r>
            <w:r>
              <w:rPr>
                <w:lang w:val="en-US" w:eastAsia="zh-CN"/>
              </w:rPr>
              <w:t>za</w:t>
            </w:r>
            <w:r w:rsidRPr="001E6CF9">
              <w:rPr>
                <w:lang w:val="en-US" w:eastAsia="zh-CN"/>
              </w:rPr>
              <w:t xml:space="preserve"> 24 </w:t>
            </w:r>
            <w:r>
              <w:rPr>
                <w:lang w:val="en-US" w:eastAsia="zh-CN"/>
              </w:rPr>
              <w:t>sata</w:t>
            </w:r>
          </w:p>
        </w:tc>
        <w:tc>
          <w:tcPr>
            <w:tcW w:w="3120" w:type="dxa"/>
            <w:tcBorders>
              <w:top w:val="nil"/>
              <w:left w:val="nil"/>
              <w:bottom w:val="nil"/>
              <w:right w:val="nil"/>
            </w:tcBorders>
          </w:tcPr>
          <w:p w14:paraId="0D921857"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20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38BC7A7A" w14:textId="77777777" w:rsidR="006D2E97" w:rsidRPr="001E6CF9" w:rsidRDefault="00C367F8" w:rsidP="0064489E">
            <w:pPr>
              <w:pStyle w:val="A-TableText"/>
              <w:widowControl w:val="0"/>
              <w:spacing w:before="0" w:after="0"/>
              <w:rPr>
                <w:lang w:val="en-US" w:eastAsia="zh-CN"/>
              </w:rPr>
            </w:pPr>
            <w:r w:rsidRPr="001E6CF9">
              <w:rPr>
                <w:lang w:val="en-US" w:eastAsia="zh-CN"/>
              </w:rPr>
              <w:t>2</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781C34" w14:paraId="17197B9D" w14:textId="77777777" w:rsidTr="00516260">
        <w:trPr>
          <w:trHeight w:val="194"/>
        </w:trPr>
        <w:tc>
          <w:tcPr>
            <w:tcW w:w="9655" w:type="dxa"/>
            <w:gridSpan w:val="4"/>
            <w:tcBorders>
              <w:top w:val="single" w:sz="12" w:space="0" w:color="auto"/>
              <w:left w:val="nil"/>
              <w:bottom w:val="single" w:sz="12" w:space="0" w:color="auto"/>
              <w:right w:val="nil"/>
            </w:tcBorders>
          </w:tcPr>
          <w:p w14:paraId="4BB5C37D" w14:textId="77777777" w:rsidR="00C367F8" w:rsidRPr="00BB1C9E" w:rsidRDefault="00C367F8" w:rsidP="0064489E">
            <w:pPr>
              <w:pStyle w:val="A-TableTitle"/>
              <w:keepNext w:val="0"/>
              <w:widowControl w:val="0"/>
              <w:spacing w:after="0" w:line="240" w:lineRule="auto"/>
              <w:ind w:left="0" w:firstLine="0"/>
              <w:rPr>
                <w:b w:val="0"/>
                <w:sz w:val="22"/>
                <w:szCs w:val="22"/>
              </w:rPr>
            </w:pPr>
            <w:r w:rsidRPr="00BB1C9E">
              <w:rPr>
                <w:b w:val="0"/>
                <w:sz w:val="22"/>
                <w:szCs w:val="22"/>
              </w:rPr>
              <w:t>Manje od dvostrukog povećanja PIK vrijednosti rosuvastatina</w:t>
            </w:r>
          </w:p>
        </w:tc>
      </w:tr>
      <w:tr w:rsidR="00C367F8" w:rsidRPr="001E6CF9" w14:paraId="2D6FE598" w14:textId="77777777" w:rsidTr="00516260">
        <w:tc>
          <w:tcPr>
            <w:tcW w:w="4253" w:type="dxa"/>
            <w:tcBorders>
              <w:top w:val="single" w:sz="12" w:space="0" w:color="auto"/>
              <w:left w:val="nil"/>
              <w:bottom w:val="single" w:sz="4" w:space="0" w:color="auto"/>
              <w:right w:val="nil"/>
            </w:tcBorders>
          </w:tcPr>
          <w:p w14:paraId="47A7EA69" w14:textId="77777777" w:rsidR="00C367F8" w:rsidRPr="001E6CF9" w:rsidRDefault="00C367F8" w:rsidP="0064489E">
            <w:pPr>
              <w:pStyle w:val="A-TableText"/>
              <w:widowControl w:val="0"/>
              <w:spacing w:before="0" w:after="0"/>
              <w:rPr>
                <w:lang w:val="en-US" w:eastAsia="zh-CN"/>
              </w:rPr>
            </w:pPr>
            <w:r>
              <w:t>Režim doziranja lijeka koji izaziva interakciju</w:t>
            </w:r>
          </w:p>
        </w:tc>
        <w:tc>
          <w:tcPr>
            <w:tcW w:w="3120" w:type="dxa"/>
            <w:tcBorders>
              <w:top w:val="single" w:sz="12" w:space="0" w:color="auto"/>
              <w:left w:val="nil"/>
              <w:bottom w:val="single" w:sz="4" w:space="0" w:color="auto"/>
              <w:right w:val="nil"/>
            </w:tcBorders>
          </w:tcPr>
          <w:p w14:paraId="0FD896B7" w14:textId="77777777" w:rsidR="00C367F8" w:rsidRPr="001E6CF9" w:rsidRDefault="00C367F8" w:rsidP="0064489E">
            <w:pPr>
              <w:pStyle w:val="A-TableText"/>
              <w:widowControl w:val="0"/>
              <w:spacing w:before="0" w:after="0"/>
              <w:rPr>
                <w:lang w:val="en-US" w:eastAsia="zh-CN"/>
              </w:rPr>
            </w:pPr>
            <w:r>
              <w:t>Režim doziranja rosuvastatina</w:t>
            </w:r>
          </w:p>
        </w:tc>
        <w:tc>
          <w:tcPr>
            <w:tcW w:w="2282" w:type="dxa"/>
            <w:gridSpan w:val="2"/>
            <w:tcBorders>
              <w:top w:val="single" w:sz="12" w:space="0" w:color="auto"/>
              <w:left w:val="nil"/>
              <w:bottom w:val="single" w:sz="4" w:space="0" w:color="auto"/>
              <w:right w:val="nil"/>
            </w:tcBorders>
          </w:tcPr>
          <w:p w14:paraId="031A926C" w14:textId="77777777" w:rsidR="00C367F8" w:rsidRPr="001E6CF9" w:rsidRDefault="00C367F8" w:rsidP="0064489E">
            <w:pPr>
              <w:pStyle w:val="A-TableText"/>
              <w:widowControl w:val="0"/>
              <w:spacing w:before="0" w:after="0"/>
              <w:rPr>
                <w:lang w:val="en-US" w:eastAsia="zh-CN"/>
              </w:rPr>
            </w:pPr>
            <w:r>
              <w:t>Promjena PIK rosuvastatina*</w:t>
            </w:r>
          </w:p>
        </w:tc>
      </w:tr>
      <w:tr w:rsidR="00240000" w:rsidRPr="001E6CF9" w14:paraId="0B72D9AB" w14:textId="77777777" w:rsidTr="00516260">
        <w:trPr>
          <w:trHeight w:val="423"/>
        </w:trPr>
        <w:tc>
          <w:tcPr>
            <w:tcW w:w="4253" w:type="dxa"/>
            <w:tcBorders>
              <w:top w:val="single" w:sz="4" w:space="0" w:color="auto"/>
              <w:left w:val="nil"/>
              <w:right w:val="nil"/>
            </w:tcBorders>
          </w:tcPr>
          <w:p w14:paraId="38C7C014" w14:textId="77777777" w:rsidR="00240000" w:rsidRPr="00667E61" w:rsidRDefault="00240000" w:rsidP="00063A6C">
            <w:pPr>
              <w:pStyle w:val="A-TableText"/>
              <w:widowControl w:val="0"/>
              <w:spacing w:before="0" w:after="0"/>
              <w:rPr>
                <w:lang w:val="en-US" w:eastAsia="zh-CN"/>
              </w:rPr>
            </w:pPr>
            <w:r w:rsidRPr="00667E61">
              <w:rPr>
                <w:lang w:val="en-US" w:eastAsia="zh-CN"/>
              </w:rPr>
              <w:t>Gemfibrozil 600 mg BID, 7 dana</w:t>
            </w:r>
          </w:p>
        </w:tc>
        <w:tc>
          <w:tcPr>
            <w:tcW w:w="3120" w:type="dxa"/>
            <w:tcBorders>
              <w:top w:val="single" w:sz="4" w:space="0" w:color="auto"/>
              <w:left w:val="nil"/>
              <w:right w:val="nil"/>
            </w:tcBorders>
          </w:tcPr>
          <w:p w14:paraId="62209129" w14:textId="77777777" w:rsidR="00240000" w:rsidRPr="00667E61" w:rsidRDefault="00240000" w:rsidP="00063A6C">
            <w:pPr>
              <w:pStyle w:val="A-TableText"/>
              <w:widowControl w:val="0"/>
              <w:spacing w:before="0" w:after="0"/>
              <w:rPr>
                <w:lang w:val="en-US" w:eastAsia="zh-CN"/>
              </w:rPr>
            </w:pPr>
            <w:r w:rsidRPr="00667E61">
              <w:rPr>
                <w:lang w:val="en-US" w:eastAsia="zh-CN"/>
              </w:rPr>
              <w:t>80 mg, jedna doza</w:t>
            </w:r>
          </w:p>
        </w:tc>
        <w:tc>
          <w:tcPr>
            <w:tcW w:w="2282" w:type="dxa"/>
            <w:gridSpan w:val="2"/>
            <w:tcBorders>
              <w:top w:val="single" w:sz="4" w:space="0" w:color="auto"/>
              <w:left w:val="nil"/>
              <w:right w:val="nil"/>
            </w:tcBorders>
          </w:tcPr>
          <w:p w14:paraId="166DC031" w14:textId="77777777" w:rsidR="00240000" w:rsidRPr="00667E61" w:rsidRDefault="00240000" w:rsidP="00063A6C">
            <w:pPr>
              <w:pStyle w:val="A-TableText"/>
              <w:widowControl w:val="0"/>
              <w:spacing w:before="0" w:after="0"/>
              <w:rPr>
                <w:lang w:val="en-US" w:eastAsia="zh-CN"/>
              </w:rPr>
            </w:pPr>
            <w:r w:rsidRPr="00667E61">
              <w:rPr>
                <w:lang w:val="en-US" w:eastAsia="zh-CN"/>
              </w:rPr>
              <w:t xml:space="preserve">1.9 puta </w:t>
            </w:r>
            <w:r w:rsidRPr="00667E61">
              <w:rPr>
                <w:lang w:val="en-US" w:eastAsia="zh-CN"/>
              </w:rPr>
              <w:sym w:font="Symbol" w:char="F0AD"/>
            </w:r>
          </w:p>
        </w:tc>
      </w:tr>
      <w:tr w:rsidR="00C367F8" w:rsidRPr="001E6CF9" w14:paraId="55D75B82" w14:textId="77777777" w:rsidTr="00516260">
        <w:tc>
          <w:tcPr>
            <w:tcW w:w="4253" w:type="dxa"/>
            <w:tcBorders>
              <w:left w:val="nil"/>
              <w:bottom w:val="nil"/>
              <w:right w:val="nil"/>
            </w:tcBorders>
          </w:tcPr>
          <w:p w14:paraId="50151BA2"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Eltrombopag 75 mg OD, 5 </w:t>
            </w:r>
            <w:r>
              <w:rPr>
                <w:lang w:val="en-US" w:eastAsia="zh-CN"/>
              </w:rPr>
              <w:t>dana</w:t>
            </w:r>
          </w:p>
        </w:tc>
        <w:tc>
          <w:tcPr>
            <w:tcW w:w="3120" w:type="dxa"/>
            <w:tcBorders>
              <w:left w:val="nil"/>
              <w:bottom w:val="nil"/>
              <w:right w:val="nil"/>
            </w:tcBorders>
          </w:tcPr>
          <w:p w14:paraId="54D1FDA0"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left w:val="nil"/>
              <w:bottom w:val="nil"/>
              <w:right w:val="nil"/>
            </w:tcBorders>
          </w:tcPr>
          <w:p w14:paraId="16FBD2EC" w14:textId="77777777" w:rsidR="00C367F8" w:rsidRPr="001E6CF9" w:rsidRDefault="00C367F8" w:rsidP="0064489E">
            <w:pPr>
              <w:pStyle w:val="A-TableText"/>
              <w:widowControl w:val="0"/>
              <w:spacing w:before="0" w:after="0"/>
              <w:rPr>
                <w:lang w:val="en-US" w:eastAsia="zh-CN"/>
              </w:rPr>
            </w:pPr>
            <w:r w:rsidRPr="001E6CF9">
              <w:rPr>
                <w:lang w:val="en-US" w:eastAsia="zh-CN"/>
              </w:rPr>
              <w:t>1.6</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071BDD43" w14:textId="77777777" w:rsidTr="00516260">
        <w:tc>
          <w:tcPr>
            <w:tcW w:w="4253" w:type="dxa"/>
            <w:tcBorders>
              <w:top w:val="nil"/>
              <w:left w:val="nil"/>
              <w:bottom w:val="nil"/>
              <w:right w:val="nil"/>
            </w:tcBorders>
          </w:tcPr>
          <w:p w14:paraId="41DE77C6"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Darunavir 600 mg/ritonavir 100 mg BID, 7 </w:t>
            </w:r>
            <w:r>
              <w:rPr>
                <w:lang w:val="en-US" w:eastAsia="zh-CN"/>
              </w:rPr>
              <w:t>dana</w:t>
            </w:r>
          </w:p>
        </w:tc>
        <w:tc>
          <w:tcPr>
            <w:tcW w:w="3120" w:type="dxa"/>
            <w:tcBorders>
              <w:top w:val="nil"/>
              <w:left w:val="nil"/>
              <w:bottom w:val="nil"/>
              <w:right w:val="nil"/>
            </w:tcBorders>
          </w:tcPr>
          <w:p w14:paraId="0EA5AFD7"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OD, 7 </w:t>
            </w:r>
            <w:r>
              <w:rPr>
                <w:lang w:val="en-US" w:eastAsia="zh-CN"/>
              </w:rPr>
              <w:t>dana</w:t>
            </w:r>
          </w:p>
        </w:tc>
        <w:tc>
          <w:tcPr>
            <w:tcW w:w="2282" w:type="dxa"/>
            <w:gridSpan w:val="2"/>
            <w:tcBorders>
              <w:top w:val="nil"/>
              <w:left w:val="nil"/>
              <w:bottom w:val="nil"/>
              <w:right w:val="nil"/>
            </w:tcBorders>
          </w:tcPr>
          <w:p w14:paraId="05577478" w14:textId="77777777" w:rsidR="00C367F8" w:rsidRPr="001E6CF9" w:rsidRDefault="00C367F8" w:rsidP="0064489E">
            <w:pPr>
              <w:pStyle w:val="A-TableText"/>
              <w:widowControl w:val="0"/>
              <w:spacing w:before="0" w:after="0"/>
              <w:rPr>
                <w:lang w:val="en-US" w:eastAsia="zh-CN"/>
              </w:rPr>
            </w:pPr>
            <w:r w:rsidRPr="001E6CF9">
              <w:rPr>
                <w:lang w:val="en-US" w:eastAsia="zh-CN"/>
              </w:rPr>
              <w:t>1.5</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40AA4894" w14:textId="77777777" w:rsidTr="00516260">
        <w:tc>
          <w:tcPr>
            <w:tcW w:w="4253" w:type="dxa"/>
            <w:tcBorders>
              <w:top w:val="nil"/>
              <w:left w:val="nil"/>
              <w:bottom w:val="nil"/>
              <w:right w:val="nil"/>
            </w:tcBorders>
          </w:tcPr>
          <w:p w14:paraId="5304199F"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Tipranavir 500 mg/ritonavir 200 mg BID, 11 </w:t>
            </w:r>
            <w:r>
              <w:rPr>
                <w:lang w:val="en-US" w:eastAsia="zh-CN"/>
              </w:rPr>
              <w:t>dana</w:t>
            </w:r>
          </w:p>
        </w:tc>
        <w:tc>
          <w:tcPr>
            <w:tcW w:w="3120" w:type="dxa"/>
            <w:tcBorders>
              <w:top w:val="nil"/>
              <w:left w:val="nil"/>
              <w:bottom w:val="nil"/>
              <w:right w:val="nil"/>
            </w:tcBorders>
          </w:tcPr>
          <w:p w14:paraId="5F57D123"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46FF0687" w14:textId="77777777" w:rsidR="00C367F8" w:rsidRPr="001E6CF9" w:rsidRDefault="00C367F8" w:rsidP="0064489E">
            <w:pPr>
              <w:pStyle w:val="A-TableText"/>
              <w:widowControl w:val="0"/>
              <w:spacing w:before="0" w:after="0"/>
              <w:rPr>
                <w:lang w:val="en-US" w:eastAsia="zh-CN"/>
              </w:rPr>
            </w:pPr>
            <w:r w:rsidRPr="001E6CF9">
              <w:rPr>
                <w:lang w:val="en-US" w:eastAsia="zh-CN"/>
              </w:rPr>
              <w:t>1.4</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613DC73F" w14:textId="77777777" w:rsidTr="00516260">
        <w:tc>
          <w:tcPr>
            <w:tcW w:w="4253" w:type="dxa"/>
            <w:tcBorders>
              <w:top w:val="nil"/>
              <w:left w:val="nil"/>
              <w:bottom w:val="nil"/>
              <w:right w:val="nil"/>
            </w:tcBorders>
          </w:tcPr>
          <w:p w14:paraId="5FAF1FF1" w14:textId="77777777" w:rsidR="00C367F8" w:rsidRPr="001E6CF9" w:rsidRDefault="00C367F8" w:rsidP="0064489E">
            <w:pPr>
              <w:pStyle w:val="A-TableText"/>
              <w:widowControl w:val="0"/>
              <w:spacing w:before="0" w:after="0"/>
              <w:rPr>
                <w:lang w:val="en-US" w:eastAsia="zh-CN"/>
              </w:rPr>
            </w:pPr>
            <w:r w:rsidRPr="001E6CF9">
              <w:rPr>
                <w:lang w:val="en-US" w:eastAsia="zh-CN"/>
              </w:rPr>
              <w:t>Dronedaron 400 mg BID</w:t>
            </w:r>
          </w:p>
        </w:tc>
        <w:tc>
          <w:tcPr>
            <w:tcW w:w="3120" w:type="dxa"/>
            <w:tcBorders>
              <w:top w:val="nil"/>
              <w:left w:val="nil"/>
              <w:bottom w:val="nil"/>
              <w:right w:val="nil"/>
            </w:tcBorders>
          </w:tcPr>
          <w:p w14:paraId="5C695A02" w14:textId="77777777" w:rsidR="00C367F8" w:rsidRPr="001E6CF9" w:rsidRDefault="00C367F8" w:rsidP="0064489E">
            <w:pPr>
              <w:pStyle w:val="A-TableText"/>
              <w:widowControl w:val="0"/>
              <w:spacing w:before="0" w:after="0"/>
              <w:rPr>
                <w:lang w:val="en-US" w:eastAsia="zh-CN"/>
              </w:rPr>
            </w:pPr>
            <w:r>
              <w:rPr>
                <w:lang w:val="en-US" w:eastAsia="zh-CN"/>
              </w:rPr>
              <w:t>Nije dostupno</w:t>
            </w:r>
          </w:p>
        </w:tc>
        <w:tc>
          <w:tcPr>
            <w:tcW w:w="2282" w:type="dxa"/>
            <w:gridSpan w:val="2"/>
            <w:tcBorders>
              <w:top w:val="nil"/>
              <w:left w:val="nil"/>
              <w:bottom w:val="nil"/>
              <w:right w:val="nil"/>
            </w:tcBorders>
          </w:tcPr>
          <w:p w14:paraId="50AEE96C" w14:textId="77777777" w:rsidR="00C367F8" w:rsidRPr="001E6CF9" w:rsidRDefault="00C367F8" w:rsidP="0064489E">
            <w:pPr>
              <w:pStyle w:val="A-TableText"/>
              <w:widowControl w:val="0"/>
              <w:spacing w:before="0" w:after="0"/>
              <w:rPr>
                <w:lang w:val="en-US" w:eastAsia="zh-CN"/>
              </w:rPr>
            </w:pPr>
            <w:r w:rsidRPr="001E6CF9">
              <w:rPr>
                <w:lang w:val="en-US" w:eastAsia="zh-CN"/>
              </w:rPr>
              <w:t>1.4</w:t>
            </w:r>
            <w:r>
              <w:rPr>
                <w:lang w:val="en-US" w:eastAsia="zh-CN"/>
              </w:rPr>
              <w:t xml:space="preserve"> puta</w:t>
            </w:r>
            <w:r w:rsidRPr="001E6CF9">
              <w:rPr>
                <w:lang w:val="en-US" w:eastAsia="zh-CN"/>
              </w:rPr>
              <w:t xml:space="preserve"> </w:t>
            </w:r>
            <w:r w:rsidRPr="001E6CF9">
              <w:rPr>
                <w:lang w:val="en-US" w:eastAsia="zh-CN"/>
              </w:rPr>
              <w:sym w:font="Symbol" w:char="F0AD"/>
            </w:r>
          </w:p>
        </w:tc>
      </w:tr>
      <w:tr w:rsidR="00C367F8" w:rsidRPr="001E6CF9" w14:paraId="1BB3BD32" w14:textId="77777777" w:rsidTr="00516260">
        <w:tc>
          <w:tcPr>
            <w:tcW w:w="4253" w:type="dxa"/>
            <w:tcBorders>
              <w:top w:val="nil"/>
              <w:left w:val="nil"/>
              <w:bottom w:val="nil"/>
              <w:right w:val="nil"/>
            </w:tcBorders>
          </w:tcPr>
          <w:p w14:paraId="1A11B520" w14:textId="77777777" w:rsidR="00C367F8" w:rsidRPr="001E6CF9" w:rsidRDefault="00C367F8" w:rsidP="0064489E">
            <w:pPr>
              <w:pStyle w:val="A-TableText"/>
              <w:widowControl w:val="0"/>
              <w:spacing w:before="0" w:after="0"/>
              <w:rPr>
                <w:lang w:val="en-US" w:eastAsia="zh-CN"/>
              </w:rPr>
            </w:pPr>
            <w:r w:rsidRPr="001E6CF9">
              <w:rPr>
                <w:lang w:val="en-US" w:eastAsia="zh-CN"/>
              </w:rPr>
              <w:t>Itra</w:t>
            </w:r>
            <w:r>
              <w:rPr>
                <w:lang w:val="en-US" w:eastAsia="zh-CN"/>
              </w:rPr>
              <w:t>k</w:t>
            </w:r>
            <w:r w:rsidRPr="001E6CF9">
              <w:rPr>
                <w:lang w:val="en-US" w:eastAsia="zh-CN"/>
              </w:rPr>
              <w:t xml:space="preserve">onazol 200 mg OD, 5 </w:t>
            </w:r>
            <w:r>
              <w:rPr>
                <w:lang w:val="en-US" w:eastAsia="zh-CN"/>
              </w:rPr>
              <w:t>dana</w:t>
            </w:r>
          </w:p>
        </w:tc>
        <w:tc>
          <w:tcPr>
            <w:tcW w:w="3120" w:type="dxa"/>
            <w:tcBorders>
              <w:top w:val="nil"/>
              <w:left w:val="nil"/>
              <w:bottom w:val="nil"/>
              <w:right w:val="nil"/>
            </w:tcBorders>
          </w:tcPr>
          <w:p w14:paraId="345E3C0E"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10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1E32BE1A" w14:textId="77777777" w:rsidR="00C367F8" w:rsidRPr="001E6CF9" w:rsidRDefault="00C367F8" w:rsidP="0064489E">
            <w:pPr>
              <w:pStyle w:val="A-TableText"/>
              <w:widowControl w:val="0"/>
              <w:spacing w:before="0" w:after="0"/>
              <w:rPr>
                <w:lang w:val="en-US" w:eastAsia="zh-CN"/>
              </w:rPr>
            </w:pPr>
            <w:r w:rsidRPr="001E6CF9">
              <w:rPr>
                <w:lang w:val="en-US" w:eastAsia="zh-CN"/>
              </w:rPr>
              <w:t>1.4</w:t>
            </w:r>
            <w:r>
              <w:rPr>
                <w:lang w:val="en-US" w:eastAsia="zh-CN"/>
              </w:rPr>
              <w:t xml:space="preserve"> puta</w:t>
            </w:r>
            <w:r w:rsidRPr="001E6CF9">
              <w:rPr>
                <w:lang w:val="en-US" w:eastAsia="zh-CN"/>
              </w:rPr>
              <w:t xml:space="preserve"> </w:t>
            </w:r>
            <w:r w:rsidRPr="001E6CF9">
              <w:rPr>
                <w:lang w:val="en-US" w:eastAsia="zh-CN"/>
              </w:rPr>
              <w:sym w:font="Symbol" w:char="F0AD"/>
            </w:r>
            <w:r w:rsidRPr="001E6CF9">
              <w:rPr>
                <w:vertAlign w:val="superscript"/>
                <w:lang w:val="en-US" w:eastAsia="zh-CN"/>
              </w:rPr>
              <w:t>**</w:t>
            </w:r>
          </w:p>
        </w:tc>
      </w:tr>
      <w:tr w:rsidR="00C367F8" w:rsidRPr="001E6CF9" w14:paraId="6C3DE271" w14:textId="77777777" w:rsidTr="00516260">
        <w:tc>
          <w:tcPr>
            <w:tcW w:w="4253" w:type="dxa"/>
            <w:tcBorders>
              <w:top w:val="nil"/>
              <w:left w:val="nil"/>
              <w:bottom w:val="nil"/>
              <w:right w:val="nil"/>
            </w:tcBorders>
          </w:tcPr>
          <w:p w14:paraId="596DE128" w14:textId="77777777" w:rsidR="00C367F8" w:rsidRPr="001E6CF9" w:rsidRDefault="00C367F8" w:rsidP="0064489E">
            <w:pPr>
              <w:pStyle w:val="A-TableText"/>
              <w:widowControl w:val="0"/>
              <w:spacing w:before="0" w:after="0"/>
              <w:rPr>
                <w:lang w:val="en-US" w:eastAsia="zh-CN"/>
              </w:rPr>
            </w:pPr>
            <w:r w:rsidRPr="0010472D">
              <w:rPr>
                <w:lang w:val="en-US" w:eastAsia="zh-CN"/>
              </w:rPr>
              <w:t xml:space="preserve">Ezetimib 10 mg OD, 14 </w:t>
            </w:r>
            <w:r>
              <w:rPr>
                <w:lang w:val="en-US" w:eastAsia="zh-CN"/>
              </w:rPr>
              <w:t>dana</w:t>
            </w:r>
          </w:p>
        </w:tc>
        <w:tc>
          <w:tcPr>
            <w:tcW w:w="3120" w:type="dxa"/>
            <w:tcBorders>
              <w:top w:val="nil"/>
              <w:left w:val="nil"/>
              <w:bottom w:val="nil"/>
              <w:right w:val="nil"/>
            </w:tcBorders>
          </w:tcPr>
          <w:p w14:paraId="6763ABFF" w14:textId="77777777" w:rsidR="00C367F8" w:rsidRPr="001E6CF9" w:rsidRDefault="00C367F8" w:rsidP="0064489E">
            <w:pPr>
              <w:pStyle w:val="A-TableText"/>
              <w:widowControl w:val="0"/>
              <w:spacing w:before="0" w:after="0"/>
              <w:rPr>
                <w:lang w:val="en-US" w:eastAsia="zh-CN"/>
              </w:rPr>
            </w:pPr>
            <w:r w:rsidRPr="0010472D">
              <w:rPr>
                <w:lang w:val="en-US" w:eastAsia="zh-CN"/>
              </w:rPr>
              <w:t xml:space="preserve">10 mg, OD, 14 </w:t>
            </w:r>
            <w:r>
              <w:rPr>
                <w:lang w:val="en-US" w:eastAsia="zh-CN"/>
              </w:rPr>
              <w:t>dana</w:t>
            </w:r>
          </w:p>
        </w:tc>
        <w:tc>
          <w:tcPr>
            <w:tcW w:w="2282" w:type="dxa"/>
            <w:gridSpan w:val="2"/>
            <w:tcBorders>
              <w:top w:val="nil"/>
              <w:left w:val="nil"/>
              <w:bottom w:val="nil"/>
              <w:right w:val="nil"/>
            </w:tcBorders>
          </w:tcPr>
          <w:p w14:paraId="75CA4820" w14:textId="77777777" w:rsidR="00C367F8" w:rsidRPr="001E6CF9" w:rsidRDefault="00C367F8" w:rsidP="0064489E">
            <w:pPr>
              <w:pStyle w:val="A-TableText"/>
              <w:widowControl w:val="0"/>
              <w:spacing w:before="0" w:after="0"/>
              <w:rPr>
                <w:lang w:val="en-US" w:eastAsia="zh-CN"/>
              </w:rPr>
            </w:pPr>
            <w:r w:rsidRPr="0010472D">
              <w:rPr>
                <w:lang w:val="en-US" w:eastAsia="zh-CN"/>
              </w:rPr>
              <w:t>1.2</w:t>
            </w:r>
            <w:r>
              <w:rPr>
                <w:lang w:val="en-US" w:eastAsia="zh-CN"/>
              </w:rPr>
              <w:t xml:space="preserve"> puta</w:t>
            </w:r>
            <w:r w:rsidRPr="0010472D">
              <w:rPr>
                <w:lang w:val="en-US" w:eastAsia="zh-CN"/>
              </w:rPr>
              <w:t xml:space="preserve"> </w:t>
            </w:r>
            <w:r w:rsidRPr="001E6CF9">
              <w:rPr>
                <w:lang w:val="en-US" w:eastAsia="zh-CN"/>
              </w:rPr>
              <w:sym w:font="Symbol" w:char="F0AD"/>
            </w:r>
            <w:r w:rsidRPr="001E6CF9">
              <w:rPr>
                <w:vertAlign w:val="superscript"/>
                <w:lang w:val="en-US" w:eastAsia="zh-CN"/>
              </w:rPr>
              <w:t>**</w:t>
            </w:r>
          </w:p>
        </w:tc>
      </w:tr>
      <w:tr w:rsidR="00C367F8" w:rsidRPr="001E6CF9" w14:paraId="2EDB6BA4" w14:textId="77777777" w:rsidTr="00516260">
        <w:tc>
          <w:tcPr>
            <w:tcW w:w="9655" w:type="dxa"/>
            <w:gridSpan w:val="4"/>
            <w:tcBorders>
              <w:top w:val="single" w:sz="12" w:space="0" w:color="auto"/>
              <w:left w:val="nil"/>
              <w:bottom w:val="single" w:sz="12" w:space="0" w:color="auto"/>
              <w:right w:val="nil"/>
            </w:tcBorders>
          </w:tcPr>
          <w:p w14:paraId="1D24FBC5" w14:textId="77777777" w:rsidR="00C367F8" w:rsidRPr="001E6CF9" w:rsidRDefault="00C367F8" w:rsidP="0064489E">
            <w:pPr>
              <w:pStyle w:val="A-TableText"/>
              <w:widowControl w:val="0"/>
              <w:spacing w:before="0" w:after="0"/>
              <w:rPr>
                <w:lang w:val="en-US" w:eastAsia="zh-CN"/>
              </w:rPr>
            </w:pPr>
            <w:r>
              <w:t>Smanjenje PIK vrijednosti rosuvastatina</w:t>
            </w:r>
          </w:p>
        </w:tc>
      </w:tr>
      <w:tr w:rsidR="00C367F8" w:rsidRPr="001E6CF9" w14:paraId="75590E63" w14:textId="77777777" w:rsidTr="00516260">
        <w:tc>
          <w:tcPr>
            <w:tcW w:w="4253" w:type="dxa"/>
            <w:tcBorders>
              <w:top w:val="single" w:sz="12" w:space="0" w:color="auto"/>
              <w:left w:val="nil"/>
              <w:bottom w:val="single" w:sz="2" w:space="0" w:color="auto"/>
              <w:right w:val="nil"/>
            </w:tcBorders>
          </w:tcPr>
          <w:p w14:paraId="32BD3976" w14:textId="77777777" w:rsidR="00C367F8" w:rsidRPr="001E6CF9" w:rsidRDefault="00C367F8" w:rsidP="0064489E">
            <w:pPr>
              <w:pStyle w:val="A-TableText"/>
              <w:widowControl w:val="0"/>
              <w:spacing w:before="0" w:after="0"/>
              <w:rPr>
                <w:lang w:val="en-US" w:eastAsia="zh-CN"/>
              </w:rPr>
            </w:pPr>
            <w:r>
              <w:t>Režim doziranja lijeka koji izaziva interakciju</w:t>
            </w:r>
          </w:p>
        </w:tc>
        <w:tc>
          <w:tcPr>
            <w:tcW w:w="3120" w:type="dxa"/>
            <w:tcBorders>
              <w:top w:val="single" w:sz="12" w:space="0" w:color="auto"/>
              <w:left w:val="nil"/>
              <w:bottom w:val="single" w:sz="2" w:space="0" w:color="auto"/>
              <w:right w:val="nil"/>
            </w:tcBorders>
          </w:tcPr>
          <w:p w14:paraId="20523744" w14:textId="77777777" w:rsidR="00C367F8" w:rsidRPr="001E6CF9" w:rsidRDefault="00C367F8" w:rsidP="0064489E">
            <w:pPr>
              <w:pStyle w:val="A-TableText"/>
              <w:widowControl w:val="0"/>
              <w:spacing w:before="0" w:after="0"/>
              <w:rPr>
                <w:lang w:val="en-US" w:eastAsia="zh-CN"/>
              </w:rPr>
            </w:pPr>
            <w:r>
              <w:t>Režim doziranja rosuvastatina</w:t>
            </w:r>
          </w:p>
        </w:tc>
        <w:tc>
          <w:tcPr>
            <w:tcW w:w="2282" w:type="dxa"/>
            <w:gridSpan w:val="2"/>
            <w:tcBorders>
              <w:top w:val="single" w:sz="12" w:space="0" w:color="auto"/>
              <w:left w:val="nil"/>
              <w:bottom w:val="single" w:sz="2" w:space="0" w:color="auto"/>
              <w:right w:val="nil"/>
            </w:tcBorders>
          </w:tcPr>
          <w:p w14:paraId="0D1EE58D" w14:textId="77777777" w:rsidR="00C367F8" w:rsidRPr="001E6CF9" w:rsidRDefault="00C367F8" w:rsidP="0064489E">
            <w:pPr>
              <w:pStyle w:val="A-TableText"/>
              <w:widowControl w:val="0"/>
              <w:spacing w:before="0" w:after="0"/>
              <w:rPr>
                <w:lang w:val="en-US" w:eastAsia="zh-CN"/>
              </w:rPr>
            </w:pPr>
            <w:r>
              <w:t>Promjena PIK rosuvastatina*</w:t>
            </w:r>
          </w:p>
        </w:tc>
      </w:tr>
      <w:tr w:rsidR="00C367F8" w:rsidRPr="001E6CF9" w14:paraId="749E454A" w14:textId="77777777" w:rsidTr="00516260">
        <w:tc>
          <w:tcPr>
            <w:tcW w:w="4253" w:type="dxa"/>
            <w:tcBorders>
              <w:top w:val="single" w:sz="2" w:space="0" w:color="auto"/>
              <w:left w:val="nil"/>
              <w:bottom w:val="nil"/>
              <w:right w:val="nil"/>
            </w:tcBorders>
          </w:tcPr>
          <w:p w14:paraId="7489E6B2" w14:textId="77777777" w:rsidR="00C367F8" w:rsidRPr="001E6CF9" w:rsidRDefault="00C367F8" w:rsidP="0064489E">
            <w:pPr>
              <w:pStyle w:val="A-TableText"/>
              <w:widowControl w:val="0"/>
              <w:spacing w:before="0" w:after="0"/>
              <w:rPr>
                <w:lang w:val="en-US" w:eastAsia="zh-CN"/>
              </w:rPr>
            </w:pPr>
            <w:r w:rsidRPr="001E6CF9">
              <w:rPr>
                <w:lang w:val="en-US" w:eastAsia="zh-CN"/>
              </w:rPr>
              <w:t>Er</w:t>
            </w:r>
            <w:r>
              <w:rPr>
                <w:lang w:val="en-US" w:eastAsia="zh-CN"/>
              </w:rPr>
              <w:t>i</w:t>
            </w:r>
            <w:r w:rsidRPr="001E6CF9">
              <w:rPr>
                <w:lang w:val="en-US" w:eastAsia="zh-CN"/>
              </w:rPr>
              <w:t>trom</w:t>
            </w:r>
            <w:r>
              <w:rPr>
                <w:lang w:val="en-US" w:eastAsia="zh-CN"/>
              </w:rPr>
              <w:t>i</w:t>
            </w:r>
            <w:r w:rsidRPr="001E6CF9">
              <w:rPr>
                <w:lang w:val="en-US" w:eastAsia="zh-CN"/>
              </w:rPr>
              <w:t xml:space="preserve">cin 500 mg QID, 7 </w:t>
            </w:r>
            <w:r>
              <w:rPr>
                <w:lang w:val="en-US" w:eastAsia="zh-CN"/>
              </w:rPr>
              <w:t>dana</w:t>
            </w:r>
          </w:p>
        </w:tc>
        <w:tc>
          <w:tcPr>
            <w:tcW w:w="3120" w:type="dxa"/>
            <w:tcBorders>
              <w:top w:val="single" w:sz="2" w:space="0" w:color="auto"/>
              <w:left w:val="nil"/>
              <w:bottom w:val="nil"/>
              <w:right w:val="nil"/>
            </w:tcBorders>
          </w:tcPr>
          <w:p w14:paraId="696428E2"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80 mg, </w:t>
            </w:r>
            <w:r>
              <w:rPr>
                <w:lang w:val="en-US" w:eastAsia="zh-CN"/>
              </w:rPr>
              <w:t>jedna</w:t>
            </w:r>
            <w:r w:rsidRPr="001E6CF9">
              <w:rPr>
                <w:lang w:val="en-US" w:eastAsia="zh-CN"/>
              </w:rPr>
              <w:t xml:space="preserve"> </w:t>
            </w:r>
            <w:r>
              <w:rPr>
                <w:lang w:val="en-US" w:eastAsia="zh-CN"/>
              </w:rPr>
              <w:t>doza</w:t>
            </w:r>
          </w:p>
        </w:tc>
        <w:tc>
          <w:tcPr>
            <w:tcW w:w="2282" w:type="dxa"/>
            <w:gridSpan w:val="2"/>
            <w:tcBorders>
              <w:top w:val="single" w:sz="2" w:space="0" w:color="auto"/>
              <w:left w:val="nil"/>
              <w:bottom w:val="nil"/>
              <w:right w:val="nil"/>
            </w:tcBorders>
          </w:tcPr>
          <w:p w14:paraId="4281476F"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20% </w:t>
            </w:r>
            <w:r w:rsidRPr="001E6CF9">
              <w:rPr>
                <w:lang w:val="en-US" w:eastAsia="zh-CN"/>
              </w:rPr>
              <w:sym w:font="Symbol" w:char="F0AF"/>
            </w:r>
          </w:p>
        </w:tc>
      </w:tr>
      <w:tr w:rsidR="00C367F8" w:rsidRPr="001E6CF9" w14:paraId="37028F86" w14:textId="77777777" w:rsidTr="00516260">
        <w:tc>
          <w:tcPr>
            <w:tcW w:w="4253" w:type="dxa"/>
            <w:tcBorders>
              <w:top w:val="nil"/>
              <w:left w:val="nil"/>
              <w:right w:val="nil"/>
            </w:tcBorders>
          </w:tcPr>
          <w:p w14:paraId="76D50B29" w14:textId="77777777" w:rsidR="00C367F8" w:rsidRPr="001E6CF9" w:rsidRDefault="00C367F8" w:rsidP="0064489E">
            <w:pPr>
              <w:pStyle w:val="A-TableText"/>
              <w:widowControl w:val="0"/>
              <w:spacing w:before="0" w:after="0"/>
              <w:rPr>
                <w:lang w:val="en-US" w:eastAsia="zh-CN"/>
              </w:rPr>
            </w:pPr>
            <w:r w:rsidRPr="001E6CF9">
              <w:rPr>
                <w:lang w:val="en-US" w:eastAsia="zh-CN"/>
              </w:rPr>
              <w:t>Bai</w:t>
            </w:r>
            <w:r>
              <w:rPr>
                <w:lang w:val="en-US" w:eastAsia="zh-CN"/>
              </w:rPr>
              <w:t>k</w:t>
            </w:r>
            <w:r w:rsidRPr="001E6CF9">
              <w:rPr>
                <w:lang w:val="en-US" w:eastAsia="zh-CN"/>
              </w:rPr>
              <w:t xml:space="preserve">alin 50 mg TID, 14 </w:t>
            </w:r>
            <w:r>
              <w:rPr>
                <w:lang w:val="en-US" w:eastAsia="zh-CN"/>
              </w:rPr>
              <w:t>dana</w:t>
            </w:r>
          </w:p>
        </w:tc>
        <w:tc>
          <w:tcPr>
            <w:tcW w:w="3120" w:type="dxa"/>
            <w:tcBorders>
              <w:top w:val="nil"/>
              <w:left w:val="nil"/>
              <w:bottom w:val="nil"/>
              <w:right w:val="nil"/>
            </w:tcBorders>
          </w:tcPr>
          <w:p w14:paraId="661A17A8"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20 mg, </w:t>
            </w:r>
            <w:r>
              <w:rPr>
                <w:lang w:val="en-US" w:eastAsia="zh-CN"/>
              </w:rPr>
              <w:t>jedna</w:t>
            </w:r>
            <w:r w:rsidRPr="001E6CF9">
              <w:rPr>
                <w:lang w:val="en-US" w:eastAsia="zh-CN"/>
              </w:rPr>
              <w:t xml:space="preserve"> </w:t>
            </w:r>
            <w:r>
              <w:rPr>
                <w:lang w:val="en-US" w:eastAsia="zh-CN"/>
              </w:rPr>
              <w:t>doza</w:t>
            </w:r>
          </w:p>
        </w:tc>
        <w:tc>
          <w:tcPr>
            <w:tcW w:w="2282" w:type="dxa"/>
            <w:gridSpan w:val="2"/>
            <w:tcBorders>
              <w:top w:val="nil"/>
              <w:left w:val="nil"/>
              <w:bottom w:val="nil"/>
              <w:right w:val="nil"/>
            </w:tcBorders>
          </w:tcPr>
          <w:p w14:paraId="120A7A4D" w14:textId="77777777" w:rsidR="00C367F8" w:rsidRPr="001E6CF9" w:rsidRDefault="00C367F8" w:rsidP="0064489E">
            <w:pPr>
              <w:pStyle w:val="A-TableText"/>
              <w:widowControl w:val="0"/>
              <w:spacing w:before="0" w:after="0"/>
              <w:rPr>
                <w:lang w:val="en-US" w:eastAsia="zh-CN"/>
              </w:rPr>
            </w:pPr>
            <w:r w:rsidRPr="001E6CF9">
              <w:rPr>
                <w:lang w:val="en-US" w:eastAsia="zh-CN"/>
              </w:rPr>
              <w:t xml:space="preserve">47% </w:t>
            </w:r>
            <w:r w:rsidRPr="001E6CF9">
              <w:rPr>
                <w:lang w:val="en-US" w:eastAsia="zh-CN"/>
              </w:rPr>
              <w:sym w:font="Symbol" w:char="F0AF"/>
            </w:r>
          </w:p>
        </w:tc>
      </w:tr>
      <w:tr w:rsidR="00C367F8" w:rsidRPr="001E6CF9" w14:paraId="04304D29" w14:textId="77777777" w:rsidTr="00516260">
        <w:tc>
          <w:tcPr>
            <w:tcW w:w="9655" w:type="dxa"/>
            <w:gridSpan w:val="4"/>
            <w:tcBorders>
              <w:top w:val="single" w:sz="8" w:space="0" w:color="auto"/>
              <w:left w:val="nil"/>
              <w:bottom w:val="single" w:sz="12" w:space="0" w:color="auto"/>
              <w:right w:val="nil"/>
            </w:tcBorders>
          </w:tcPr>
          <w:p w14:paraId="7848E051" w14:textId="77777777" w:rsidR="00C367F8" w:rsidRPr="00457D5E" w:rsidRDefault="00C367F8" w:rsidP="0064489E">
            <w:pPr>
              <w:widowControl w:val="0"/>
              <w:ind w:left="180" w:hanging="180"/>
              <w:rPr>
                <w:szCs w:val="22"/>
                <w:lang w:eastAsia="zh-CN"/>
              </w:rPr>
            </w:pPr>
            <w:r w:rsidRPr="00457D5E">
              <w:rPr>
                <w:szCs w:val="22"/>
              </w:rPr>
              <w:lastRenderedPageBreak/>
              <w:t>* Podaci izraženi kao višestruke promjene predstavljaju jednostavan odnos između primjene rosuvastatina u navedenoj kombinaciji i samostalno. Podaci izraženi kao % promjene predstavljaju % razlike u odnosu na primjenu rosuvastatina samog.</w:t>
            </w:r>
          </w:p>
          <w:p w14:paraId="1ED27F0F" w14:textId="77777777" w:rsidR="00C367F8" w:rsidRDefault="00C367F8" w:rsidP="0064489E">
            <w:pPr>
              <w:widowControl w:val="0"/>
            </w:pPr>
            <w:r w:rsidRPr="00457D5E">
              <w:rPr>
                <w:szCs w:val="22"/>
              </w:rPr>
              <w:t>Povećanje je prikazano kao “</w:t>
            </w:r>
            <w:r w:rsidRPr="00457D5E">
              <w:rPr>
                <w:szCs w:val="22"/>
              </w:rPr>
              <w:sym w:font="Symbol" w:char="F0AD"/>
            </w:r>
            <w:r w:rsidRPr="00457D5E">
              <w:rPr>
                <w:szCs w:val="22"/>
              </w:rPr>
              <w:t>”, sniženje kao “</w:t>
            </w:r>
            <w:r w:rsidRPr="00457D5E">
              <w:rPr>
                <w:szCs w:val="22"/>
              </w:rPr>
              <w:sym w:font="Symbol" w:char="F0AF"/>
            </w:r>
            <w:r w:rsidRPr="00457D5E">
              <w:rPr>
                <w:szCs w:val="22"/>
              </w:rPr>
              <w:t>”</w:t>
            </w:r>
            <w:r>
              <w:t>.</w:t>
            </w:r>
          </w:p>
          <w:p w14:paraId="0C613134" w14:textId="77777777" w:rsidR="00C367F8" w:rsidRPr="00457D5E" w:rsidRDefault="00C367F8" w:rsidP="0064489E">
            <w:pPr>
              <w:widowControl w:val="0"/>
              <w:rPr>
                <w:szCs w:val="22"/>
              </w:rPr>
            </w:pPr>
            <w:r w:rsidRPr="00457D5E">
              <w:rPr>
                <w:szCs w:val="22"/>
              </w:rPr>
              <w:t>**Sprovedeno je nekoliko studija sa različitim dozama rosuvastatina, u tabeli su prikazani najznačajniji odnosi.</w:t>
            </w:r>
          </w:p>
          <w:p w14:paraId="07A947B3" w14:textId="77777777" w:rsidR="00C367F8" w:rsidRPr="00AD6009" w:rsidRDefault="00C367F8" w:rsidP="0064489E">
            <w:pPr>
              <w:widowControl w:val="0"/>
              <w:rPr>
                <w:szCs w:val="22"/>
                <w:lang w:eastAsia="zh-CN"/>
              </w:rPr>
            </w:pPr>
            <w:r w:rsidRPr="00AD6009">
              <w:rPr>
                <w:szCs w:val="22"/>
              </w:rPr>
              <w:t>PIK = površina ispod krive; OD = jednom dnevno; BID = dva puta dnevno; TID = tri puta dnevno; QID = četiri puta dnevno</w:t>
            </w:r>
          </w:p>
        </w:tc>
      </w:tr>
    </w:tbl>
    <w:p w14:paraId="4C0CDB09" w14:textId="77777777" w:rsidR="00C367F8" w:rsidRPr="00BA1FAF" w:rsidRDefault="00C367F8" w:rsidP="00C367F8">
      <w:pPr>
        <w:tabs>
          <w:tab w:val="clear" w:pos="567"/>
          <w:tab w:val="left" w:pos="540"/>
          <w:tab w:val="left" w:pos="569"/>
        </w:tabs>
        <w:jc w:val="both"/>
        <w:rPr>
          <w:szCs w:val="22"/>
        </w:rPr>
      </w:pPr>
    </w:p>
    <w:p w14:paraId="243BCA81" w14:textId="77777777" w:rsidR="00C367F8" w:rsidRDefault="00C367F8" w:rsidP="00C367F8">
      <w:pPr>
        <w:tabs>
          <w:tab w:val="clear" w:pos="567"/>
          <w:tab w:val="left" w:pos="540"/>
          <w:tab w:val="left" w:pos="569"/>
        </w:tabs>
        <w:jc w:val="both"/>
        <w:rPr>
          <w:szCs w:val="22"/>
        </w:rPr>
      </w:pPr>
      <w:r w:rsidRPr="00C61A4A">
        <w:rPr>
          <w:szCs w:val="22"/>
        </w:rPr>
        <w:t>Sljedeći lijekovi/kombinacije ni</w:t>
      </w:r>
      <w:r w:rsidR="006D2E97">
        <w:rPr>
          <w:szCs w:val="22"/>
        </w:rPr>
        <w:t>je</w:t>
      </w:r>
      <w:r w:rsidRPr="00C61A4A">
        <w:rPr>
          <w:szCs w:val="22"/>
        </w:rPr>
        <w:t>su imali klinički značajan uticaj na vrijednost PIK rosuvastatina u istovremenoj primjeni: aleglitazar 0,3 mg 7 dana; fenofibrat 67 mg 7 dana TID doziranje; flukonazol 200 mg 11 dana OD doziranje; fosamprenavir 700 mg/ritonavir 100 mg 8 dana BID doziranje; ketokonazol 200 mg 7 dana BID doziranje; rifampicin 450 mg 7 dana OD doziranje; silimarin 140 mg 5 dana TID doziranje.</w:t>
      </w:r>
    </w:p>
    <w:p w14:paraId="24D46F5C" w14:textId="77777777" w:rsidR="00C367F8" w:rsidRDefault="00C367F8" w:rsidP="00C367F8">
      <w:pPr>
        <w:tabs>
          <w:tab w:val="clear" w:pos="567"/>
          <w:tab w:val="left" w:pos="540"/>
          <w:tab w:val="left" w:pos="569"/>
        </w:tabs>
        <w:jc w:val="both"/>
        <w:rPr>
          <w:b/>
          <w:szCs w:val="22"/>
          <w:u w:val="single"/>
        </w:rPr>
      </w:pPr>
    </w:p>
    <w:p w14:paraId="04C0F49E" w14:textId="77777777" w:rsidR="00C367F8" w:rsidRDefault="00C367F8" w:rsidP="00C367F8">
      <w:pPr>
        <w:tabs>
          <w:tab w:val="clear" w:pos="567"/>
          <w:tab w:val="left" w:pos="540"/>
          <w:tab w:val="left" w:pos="569"/>
        </w:tabs>
        <w:jc w:val="both"/>
        <w:rPr>
          <w:szCs w:val="22"/>
        </w:rPr>
      </w:pPr>
      <w:r w:rsidRPr="00FB7F8E">
        <w:rPr>
          <w:szCs w:val="22"/>
        </w:rPr>
        <w:t>U kliničkim ispitivanjima interakcija ljekova, ezetimib nije uticao na farmakokinetiku dapsona, dekstrometorfana, digoksina, oralnih kontraceptiva (etinil estradiol i levonogestrel), glipizida, tolbutamida ili midazolama, tokom istovremene primjene. Kada je cimetidin primjenjivan istovremeno sa ezetimibom, nije uticao na bioraspoloživost ezetimiba.</w:t>
      </w:r>
    </w:p>
    <w:p w14:paraId="7974FCDB" w14:textId="77777777" w:rsidR="00C367F8" w:rsidRDefault="00C367F8" w:rsidP="00C367F8">
      <w:pPr>
        <w:tabs>
          <w:tab w:val="clear" w:pos="567"/>
          <w:tab w:val="left" w:pos="540"/>
          <w:tab w:val="left" w:pos="569"/>
        </w:tabs>
        <w:jc w:val="both"/>
        <w:rPr>
          <w:b/>
          <w:szCs w:val="22"/>
          <w:u w:val="single"/>
        </w:rPr>
      </w:pPr>
    </w:p>
    <w:p w14:paraId="181544E3" w14:textId="77777777" w:rsidR="00C367F8" w:rsidRDefault="00C367F8" w:rsidP="00C367F8">
      <w:pPr>
        <w:tabs>
          <w:tab w:val="clear" w:pos="567"/>
          <w:tab w:val="left" w:pos="540"/>
          <w:tab w:val="left" w:pos="569"/>
        </w:tabs>
        <w:jc w:val="both"/>
        <w:rPr>
          <w:szCs w:val="22"/>
        </w:rPr>
      </w:pPr>
      <w:r w:rsidRPr="000C7428">
        <w:rPr>
          <w:i/>
          <w:szCs w:val="22"/>
        </w:rPr>
        <w:t>Pedijatrijska populacija:</w:t>
      </w:r>
      <w:r w:rsidRPr="000C7428">
        <w:rPr>
          <w:szCs w:val="22"/>
        </w:rPr>
        <w:t xml:space="preserve"> Studije interakcije su sprovedene samo na odraslim pacijentima. Stepen interakcija u pedijatrijskoj populaciji nije poznat.</w:t>
      </w:r>
    </w:p>
    <w:p w14:paraId="03007E87" w14:textId="77777777" w:rsidR="00C367F8" w:rsidRPr="000C7428" w:rsidRDefault="00C367F8" w:rsidP="00C367F8">
      <w:pPr>
        <w:tabs>
          <w:tab w:val="clear" w:pos="567"/>
          <w:tab w:val="left" w:pos="540"/>
          <w:tab w:val="left" w:pos="569"/>
        </w:tabs>
        <w:jc w:val="both"/>
        <w:rPr>
          <w:b/>
          <w:szCs w:val="22"/>
          <w:u w:val="single"/>
        </w:rPr>
      </w:pPr>
    </w:p>
    <w:p w14:paraId="4502AE26" w14:textId="77777777" w:rsidR="00C367F8" w:rsidRDefault="00C367F8" w:rsidP="00C367F8">
      <w:pPr>
        <w:tabs>
          <w:tab w:val="clear" w:pos="567"/>
          <w:tab w:val="left" w:pos="540"/>
          <w:tab w:val="left" w:pos="569"/>
        </w:tabs>
        <w:rPr>
          <w:b/>
          <w:szCs w:val="22"/>
          <w:lang w:val="sr-Latn-CS"/>
        </w:rPr>
      </w:pPr>
      <w:r w:rsidRPr="00786071">
        <w:rPr>
          <w:b/>
          <w:bCs/>
          <w:szCs w:val="22"/>
        </w:rPr>
        <w:t xml:space="preserve">4.6. </w:t>
      </w:r>
      <w:r w:rsidRPr="00786071">
        <w:rPr>
          <w:b/>
          <w:bCs/>
          <w:szCs w:val="22"/>
        </w:rPr>
        <w:tab/>
      </w:r>
      <w:r>
        <w:rPr>
          <w:b/>
          <w:szCs w:val="22"/>
          <w:lang w:val="sr-Latn-CS"/>
        </w:rPr>
        <w:t>Plodnost, trudnoća i dojenje</w:t>
      </w:r>
    </w:p>
    <w:p w14:paraId="12DFCEFD" w14:textId="77777777" w:rsidR="00C367F8" w:rsidRDefault="00C367F8" w:rsidP="00C367F8">
      <w:pPr>
        <w:tabs>
          <w:tab w:val="clear" w:pos="567"/>
          <w:tab w:val="left" w:pos="540"/>
          <w:tab w:val="left" w:pos="569"/>
        </w:tabs>
        <w:rPr>
          <w:b/>
          <w:szCs w:val="22"/>
          <w:lang w:val="sr-Latn-CS"/>
        </w:rPr>
      </w:pPr>
    </w:p>
    <w:p w14:paraId="2F146899" w14:textId="77777777" w:rsidR="00C367F8" w:rsidRPr="00BF3194" w:rsidRDefault="00C367F8" w:rsidP="00C367F8">
      <w:pPr>
        <w:tabs>
          <w:tab w:val="clear" w:pos="567"/>
          <w:tab w:val="left" w:pos="540"/>
          <w:tab w:val="left" w:pos="569"/>
        </w:tabs>
        <w:rPr>
          <w:b/>
          <w:szCs w:val="22"/>
          <w:lang w:val="sr-Latn-CS"/>
        </w:rPr>
      </w:pPr>
      <w:r w:rsidRPr="00BF3194">
        <w:rPr>
          <w:szCs w:val="22"/>
        </w:rPr>
        <w:t>Lijek Co-Roswera je kontraindikovan tokom trudnoće i za vrijeme dojenja (vidjeti dio 4.3).</w:t>
      </w:r>
    </w:p>
    <w:p w14:paraId="3CFD8143" w14:textId="77777777" w:rsidR="00C367F8" w:rsidRPr="007A3ECB" w:rsidRDefault="00C367F8" w:rsidP="00C367F8">
      <w:pPr>
        <w:tabs>
          <w:tab w:val="clear" w:pos="567"/>
          <w:tab w:val="left" w:pos="540"/>
          <w:tab w:val="left" w:pos="569"/>
        </w:tabs>
        <w:rPr>
          <w:szCs w:val="22"/>
          <w:u w:val="single"/>
        </w:rPr>
      </w:pPr>
    </w:p>
    <w:p w14:paraId="6454AC59" w14:textId="77777777" w:rsidR="00C367F8" w:rsidRPr="007A3ECB" w:rsidRDefault="00C367F8" w:rsidP="00C367F8">
      <w:pPr>
        <w:tabs>
          <w:tab w:val="clear" w:pos="567"/>
          <w:tab w:val="left" w:pos="540"/>
          <w:tab w:val="left" w:pos="569"/>
        </w:tabs>
        <w:rPr>
          <w:szCs w:val="22"/>
          <w:u w:val="single"/>
        </w:rPr>
      </w:pPr>
      <w:r w:rsidRPr="007A3ECB">
        <w:rPr>
          <w:szCs w:val="22"/>
          <w:u w:val="single"/>
        </w:rPr>
        <w:t>Trudnoća</w:t>
      </w:r>
    </w:p>
    <w:p w14:paraId="1F64B756" w14:textId="77777777" w:rsidR="00C367F8" w:rsidRDefault="00C367F8" w:rsidP="00C367F8">
      <w:pPr>
        <w:tabs>
          <w:tab w:val="clear" w:pos="567"/>
          <w:tab w:val="left" w:pos="540"/>
          <w:tab w:val="left" w:pos="569"/>
        </w:tabs>
        <w:jc w:val="both"/>
        <w:rPr>
          <w:szCs w:val="22"/>
        </w:rPr>
      </w:pPr>
      <w:r w:rsidRPr="000C1B64">
        <w:rPr>
          <w:szCs w:val="22"/>
        </w:rPr>
        <w:t>Žene u reproduktivnom periodu moraju da koriste odgovarajuću kontracepciju. Pošto su holesterol i drugi proizvodi biosinteze holesterola neophodni za razvoj fetusa, potencijalni rizik od inhibicije HMG-CoA reduktaze prevazilazi prednosti terapije tokom trudnoće. Istraživanja na životinjama pružila su ograničene dokaze o reproduktivnoj toksičnosti (vidjeti dio 5.3). Ukoliko dođe do trudnoće tokom upotrebe l</w:t>
      </w:r>
      <w:r w:rsidR="00553F61">
        <w:rPr>
          <w:szCs w:val="22"/>
        </w:rPr>
        <w:t>ij</w:t>
      </w:r>
      <w:r w:rsidRPr="000C1B64">
        <w:rPr>
          <w:szCs w:val="22"/>
        </w:rPr>
        <w:t>eka Co-Roswera, terapiju treba odmah prekinuti.</w:t>
      </w:r>
    </w:p>
    <w:p w14:paraId="75DA3262" w14:textId="77777777" w:rsidR="00C367F8" w:rsidRDefault="00C367F8" w:rsidP="00C367F8">
      <w:pPr>
        <w:tabs>
          <w:tab w:val="clear" w:pos="567"/>
          <w:tab w:val="left" w:pos="540"/>
          <w:tab w:val="left" w:pos="569"/>
        </w:tabs>
        <w:jc w:val="both"/>
        <w:rPr>
          <w:szCs w:val="22"/>
        </w:rPr>
      </w:pPr>
    </w:p>
    <w:p w14:paraId="4ECBD921" w14:textId="77777777" w:rsidR="00C367F8" w:rsidRDefault="00C367F8" w:rsidP="00C367F8">
      <w:pPr>
        <w:tabs>
          <w:tab w:val="clear" w:pos="567"/>
          <w:tab w:val="left" w:pos="540"/>
          <w:tab w:val="left" w:pos="569"/>
        </w:tabs>
        <w:jc w:val="both"/>
        <w:rPr>
          <w:szCs w:val="22"/>
        </w:rPr>
      </w:pPr>
      <w:r w:rsidRPr="00A53859">
        <w:rPr>
          <w:szCs w:val="22"/>
        </w:rPr>
        <w:t>Nema dostupnih kliničkih podataka o primjeni ezetimiba u periodu trudnoće. Ispitivanja ezetimiba na životinjama primijenjenog kao monoterapija, nisu pokazala direktno ili indirektno štetno dejstvo lijeka na trudnoću, razvoj embriona i ploda, porođaj ili postnatalni razvoj (vidjeti dio 5.3)</w:t>
      </w:r>
    </w:p>
    <w:p w14:paraId="7D55A6D1" w14:textId="77777777" w:rsidR="00C367F8" w:rsidRPr="00A53859" w:rsidRDefault="00C367F8" w:rsidP="00C367F8">
      <w:pPr>
        <w:tabs>
          <w:tab w:val="clear" w:pos="567"/>
          <w:tab w:val="left" w:pos="540"/>
          <w:tab w:val="left" w:pos="569"/>
        </w:tabs>
        <w:jc w:val="both"/>
        <w:rPr>
          <w:szCs w:val="22"/>
          <w:u w:val="single"/>
        </w:rPr>
      </w:pPr>
    </w:p>
    <w:p w14:paraId="59EDAC57" w14:textId="77777777" w:rsidR="00C367F8" w:rsidRPr="000761C0" w:rsidRDefault="00C367F8" w:rsidP="00C367F8">
      <w:pPr>
        <w:tabs>
          <w:tab w:val="clear" w:pos="567"/>
          <w:tab w:val="left" w:pos="540"/>
          <w:tab w:val="left" w:pos="569"/>
        </w:tabs>
        <w:rPr>
          <w:szCs w:val="22"/>
          <w:u w:val="single"/>
        </w:rPr>
      </w:pPr>
      <w:r w:rsidRPr="000761C0">
        <w:rPr>
          <w:szCs w:val="22"/>
          <w:u w:val="single"/>
        </w:rPr>
        <w:t xml:space="preserve">Dojenje </w:t>
      </w:r>
    </w:p>
    <w:p w14:paraId="0DF96EBC" w14:textId="77777777" w:rsidR="00C367F8" w:rsidRPr="000761C0" w:rsidRDefault="00C367F8" w:rsidP="00C367F8">
      <w:pPr>
        <w:tabs>
          <w:tab w:val="clear" w:pos="567"/>
          <w:tab w:val="left" w:pos="540"/>
          <w:tab w:val="left" w:pos="569"/>
        </w:tabs>
        <w:rPr>
          <w:szCs w:val="22"/>
        </w:rPr>
      </w:pPr>
      <w:r w:rsidRPr="000761C0">
        <w:rPr>
          <w:szCs w:val="22"/>
        </w:rPr>
        <w:t xml:space="preserve">Co-Roswera se ne smije primjenjivati za vrijeme dojenja. Rosuvastatin se izlučuje u mlijeko ženki pacova. Nema podataka o izlučivanju rosuvastatina u majčino mlijeko kod ljudi (vidjeti dio 4.3). </w:t>
      </w:r>
    </w:p>
    <w:p w14:paraId="3519CFB4" w14:textId="77777777" w:rsidR="00C367F8" w:rsidRPr="000761C0" w:rsidRDefault="00C367F8" w:rsidP="00C367F8">
      <w:pPr>
        <w:tabs>
          <w:tab w:val="clear" w:pos="567"/>
          <w:tab w:val="left" w:pos="540"/>
          <w:tab w:val="left" w:pos="569"/>
        </w:tabs>
        <w:rPr>
          <w:szCs w:val="22"/>
        </w:rPr>
      </w:pPr>
    </w:p>
    <w:p w14:paraId="3A420914" w14:textId="77777777" w:rsidR="00C367F8" w:rsidRPr="000761C0" w:rsidRDefault="00C367F8" w:rsidP="00C367F8">
      <w:pPr>
        <w:tabs>
          <w:tab w:val="clear" w:pos="567"/>
          <w:tab w:val="left" w:pos="540"/>
          <w:tab w:val="left" w:pos="569"/>
        </w:tabs>
        <w:rPr>
          <w:szCs w:val="22"/>
        </w:rPr>
      </w:pPr>
      <w:r w:rsidRPr="000761C0">
        <w:rPr>
          <w:szCs w:val="22"/>
        </w:rPr>
        <w:t>Ispitivanja na pacovima su pokazala da se ezetimib izlučuje u mlijeko. Nije poznato izlučuje li se ezetimib u majčino mlijeko kod ljudi.</w:t>
      </w:r>
    </w:p>
    <w:p w14:paraId="12631232" w14:textId="77777777" w:rsidR="00C367F8" w:rsidRPr="000761C0" w:rsidRDefault="00C367F8" w:rsidP="00C367F8">
      <w:pPr>
        <w:tabs>
          <w:tab w:val="clear" w:pos="567"/>
          <w:tab w:val="left" w:pos="540"/>
          <w:tab w:val="left" w:pos="569"/>
        </w:tabs>
        <w:rPr>
          <w:b/>
          <w:bCs/>
          <w:szCs w:val="22"/>
        </w:rPr>
      </w:pPr>
    </w:p>
    <w:p w14:paraId="7DBDB80A" w14:textId="77777777" w:rsidR="00C367F8" w:rsidRPr="000761C0" w:rsidRDefault="00C367F8" w:rsidP="00C367F8">
      <w:pPr>
        <w:tabs>
          <w:tab w:val="clear" w:pos="567"/>
          <w:tab w:val="left" w:pos="540"/>
          <w:tab w:val="left" w:pos="569"/>
        </w:tabs>
        <w:rPr>
          <w:szCs w:val="22"/>
          <w:u w:val="single"/>
        </w:rPr>
      </w:pPr>
      <w:r w:rsidRPr="000761C0">
        <w:rPr>
          <w:szCs w:val="22"/>
          <w:u w:val="single"/>
        </w:rPr>
        <w:t xml:space="preserve">Plodnost </w:t>
      </w:r>
    </w:p>
    <w:p w14:paraId="724A5A74" w14:textId="77777777" w:rsidR="00C367F8" w:rsidRPr="000761C0" w:rsidRDefault="00C367F8" w:rsidP="00C367F8">
      <w:pPr>
        <w:tabs>
          <w:tab w:val="clear" w:pos="567"/>
          <w:tab w:val="left" w:pos="540"/>
          <w:tab w:val="left" w:pos="569"/>
        </w:tabs>
        <w:rPr>
          <w:b/>
          <w:bCs/>
          <w:szCs w:val="22"/>
        </w:rPr>
      </w:pPr>
      <w:r w:rsidRPr="000761C0">
        <w:rPr>
          <w:szCs w:val="22"/>
        </w:rPr>
        <w:t>Nema dostupnih podataka iz kliničkih ispitivanja o uticaju ezetimiba na plodnost kod ljudi. Ezetimib nije pokazao uticaj na plodnost kod mužjaka i ženki pacova, rosuvastatin u većim dozama ispoljava toksično dejstvo na testise kod majmuna i pasa (vidjeti dio 5.3).</w:t>
      </w:r>
    </w:p>
    <w:p w14:paraId="297D1A0A" w14:textId="77777777" w:rsidR="00C367F8" w:rsidRDefault="00C367F8" w:rsidP="00C367F8">
      <w:pPr>
        <w:tabs>
          <w:tab w:val="clear" w:pos="567"/>
          <w:tab w:val="left" w:pos="540"/>
          <w:tab w:val="left" w:pos="569"/>
        </w:tabs>
        <w:ind w:left="540" w:hanging="540"/>
        <w:rPr>
          <w:b/>
          <w:bCs/>
          <w:szCs w:val="22"/>
        </w:rPr>
      </w:pPr>
    </w:p>
    <w:p w14:paraId="3F5CBBE3" w14:textId="77777777" w:rsidR="00C367F8" w:rsidRDefault="00C367F8" w:rsidP="00C367F8">
      <w:pPr>
        <w:tabs>
          <w:tab w:val="clear" w:pos="567"/>
          <w:tab w:val="left" w:pos="540"/>
          <w:tab w:val="left" w:pos="569"/>
        </w:tabs>
        <w:ind w:left="540" w:hanging="540"/>
        <w:rPr>
          <w:b/>
          <w:bCs/>
          <w:szCs w:val="22"/>
        </w:rPr>
      </w:pPr>
      <w:r w:rsidRPr="00786071">
        <w:rPr>
          <w:b/>
          <w:bCs/>
          <w:szCs w:val="22"/>
        </w:rPr>
        <w:t xml:space="preserve">4.7. </w:t>
      </w:r>
      <w:r w:rsidRPr="00786071">
        <w:rPr>
          <w:b/>
          <w:bCs/>
          <w:szCs w:val="22"/>
        </w:rPr>
        <w:tab/>
        <w:t xml:space="preserve">Uticaj na </w:t>
      </w:r>
      <w:r>
        <w:rPr>
          <w:b/>
          <w:bCs/>
          <w:szCs w:val="22"/>
        </w:rPr>
        <w:t xml:space="preserve">sposobnost </w:t>
      </w:r>
      <w:r w:rsidRPr="00786071">
        <w:rPr>
          <w:b/>
          <w:bCs/>
          <w:szCs w:val="22"/>
        </w:rPr>
        <w:t>upravljanja vozilima i rukovanj</w:t>
      </w:r>
      <w:r>
        <w:rPr>
          <w:b/>
          <w:bCs/>
          <w:szCs w:val="22"/>
        </w:rPr>
        <w:t>e</w:t>
      </w:r>
      <w:r w:rsidRPr="00786071">
        <w:rPr>
          <w:b/>
          <w:bCs/>
          <w:szCs w:val="22"/>
        </w:rPr>
        <w:t xml:space="preserve"> mašinama</w:t>
      </w:r>
    </w:p>
    <w:p w14:paraId="63A0CD87" w14:textId="77777777" w:rsidR="00C367F8" w:rsidRDefault="00C367F8" w:rsidP="00C367F8">
      <w:pPr>
        <w:tabs>
          <w:tab w:val="clear" w:pos="567"/>
          <w:tab w:val="left" w:pos="540"/>
          <w:tab w:val="left" w:pos="569"/>
        </w:tabs>
        <w:ind w:left="540" w:hanging="540"/>
        <w:rPr>
          <w:b/>
          <w:bCs/>
          <w:szCs w:val="22"/>
        </w:rPr>
      </w:pPr>
    </w:p>
    <w:p w14:paraId="2AF99A9F" w14:textId="77777777" w:rsidR="00C367F8" w:rsidRDefault="00C367F8" w:rsidP="00C367F8">
      <w:pPr>
        <w:tabs>
          <w:tab w:val="clear" w:pos="567"/>
          <w:tab w:val="left" w:pos="540"/>
          <w:tab w:val="left" w:pos="569"/>
        </w:tabs>
        <w:rPr>
          <w:szCs w:val="22"/>
        </w:rPr>
      </w:pPr>
      <w:r w:rsidRPr="002C27A0">
        <w:rPr>
          <w:szCs w:val="22"/>
        </w:rPr>
        <w:t>Ispitivanja uticaja rosuvastatina ili ezetimiba na sposobnost upravljanja vozilima i rukovanja mašinama ni</w:t>
      </w:r>
      <w:r w:rsidR="00553F61">
        <w:rPr>
          <w:szCs w:val="22"/>
        </w:rPr>
        <w:t>je</w:t>
      </w:r>
      <w:r w:rsidRPr="002C27A0">
        <w:rPr>
          <w:szCs w:val="22"/>
        </w:rPr>
        <w:t>su sprovedena. Međutim, pri upravljanju vozilima i rukovanjem mašinama treba uzeti u obzir da se pri uzimanju lijeka povremeno može javiti vrtoglavica.</w:t>
      </w:r>
    </w:p>
    <w:p w14:paraId="44AD92CA" w14:textId="77777777" w:rsidR="00C367F8" w:rsidRPr="002C27A0" w:rsidRDefault="00C367F8" w:rsidP="00C367F8">
      <w:pPr>
        <w:tabs>
          <w:tab w:val="clear" w:pos="567"/>
          <w:tab w:val="left" w:pos="540"/>
          <w:tab w:val="left" w:pos="569"/>
        </w:tabs>
        <w:rPr>
          <w:b/>
          <w:bCs/>
          <w:szCs w:val="22"/>
        </w:rPr>
      </w:pPr>
    </w:p>
    <w:p w14:paraId="51E51EBB" w14:textId="77777777" w:rsidR="00C367F8" w:rsidRDefault="00C367F8" w:rsidP="00C367F8">
      <w:pPr>
        <w:tabs>
          <w:tab w:val="clear" w:pos="567"/>
          <w:tab w:val="left" w:pos="540"/>
          <w:tab w:val="left" w:pos="569"/>
        </w:tabs>
        <w:rPr>
          <w:b/>
          <w:bCs/>
          <w:szCs w:val="22"/>
        </w:rPr>
      </w:pPr>
      <w:r w:rsidRPr="00786071">
        <w:rPr>
          <w:b/>
          <w:bCs/>
          <w:szCs w:val="22"/>
        </w:rPr>
        <w:t xml:space="preserve">4.8. </w:t>
      </w:r>
      <w:r w:rsidRPr="00786071">
        <w:rPr>
          <w:b/>
          <w:bCs/>
          <w:szCs w:val="22"/>
        </w:rPr>
        <w:tab/>
        <w:t>Neželjena dejstva</w:t>
      </w:r>
    </w:p>
    <w:p w14:paraId="5DD8D37C" w14:textId="77777777" w:rsidR="00C367F8" w:rsidRDefault="00C367F8" w:rsidP="00C367F8">
      <w:pPr>
        <w:tabs>
          <w:tab w:val="clear" w:pos="567"/>
          <w:tab w:val="left" w:pos="540"/>
          <w:tab w:val="left" w:pos="569"/>
        </w:tabs>
        <w:rPr>
          <w:b/>
          <w:bCs/>
          <w:szCs w:val="22"/>
        </w:rPr>
      </w:pPr>
    </w:p>
    <w:p w14:paraId="623616EF" w14:textId="77777777" w:rsidR="00C367F8" w:rsidRPr="00290C94" w:rsidRDefault="00C367F8" w:rsidP="0064489E">
      <w:pPr>
        <w:numPr>
          <w:ilvl w:val="0"/>
          <w:numId w:val="20"/>
        </w:numPr>
        <w:tabs>
          <w:tab w:val="clear" w:pos="567"/>
          <w:tab w:val="left" w:pos="540"/>
          <w:tab w:val="left" w:pos="569"/>
        </w:tabs>
        <w:ind w:left="567" w:hanging="567"/>
        <w:rPr>
          <w:szCs w:val="22"/>
        </w:rPr>
      </w:pPr>
      <w:r w:rsidRPr="00290C94">
        <w:rPr>
          <w:szCs w:val="22"/>
        </w:rPr>
        <w:t>Veoma česta (</w:t>
      </w:r>
      <w:r w:rsidRPr="00290C94">
        <w:rPr>
          <w:szCs w:val="22"/>
        </w:rPr>
        <w:sym w:font="Symbol" w:char="F0B3"/>
      </w:r>
      <w:r w:rsidRPr="00290C94">
        <w:rPr>
          <w:szCs w:val="22"/>
        </w:rPr>
        <w:t xml:space="preserve"> 1/10) </w:t>
      </w:r>
    </w:p>
    <w:p w14:paraId="501AB553" w14:textId="77777777" w:rsidR="00C367F8" w:rsidRPr="00290C94" w:rsidRDefault="00C367F8" w:rsidP="0064489E">
      <w:pPr>
        <w:numPr>
          <w:ilvl w:val="0"/>
          <w:numId w:val="20"/>
        </w:numPr>
        <w:tabs>
          <w:tab w:val="clear" w:pos="567"/>
          <w:tab w:val="left" w:pos="540"/>
          <w:tab w:val="left" w:pos="569"/>
        </w:tabs>
        <w:ind w:left="567" w:hanging="567"/>
        <w:rPr>
          <w:szCs w:val="22"/>
        </w:rPr>
      </w:pPr>
      <w:r w:rsidRPr="00290C94">
        <w:rPr>
          <w:szCs w:val="22"/>
        </w:rPr>
        <w:t>Česta (</w:t>
      </w:r>
      <w:r w:rsidRPr="00290C94">
        <w:rPr>
          <w:szCs w:val="22"/>
        </w:rPr>
        <w:sym w:font="Symbol" w:char="F0B3"/>
      </w:r>
      <w:r w:rsidRPr="00290C94">
        <w:rPr>
          <w:szCs w:val="22"/>
        </w:rPr>
        <w:t xml:space="preserve"> 1/100 i &lt; 1/10) </w:t>
      </w:r>
    </w:p>
    <w:p w14:paraId="2BAB1D93" w14:textId="77777777" w:rsidR="00C367F8" w:rsidRPr="00290C94" w:rsidRDefault="00553F61" w:rsidP="0064489E">
      <w:pPr>
        <w:numPr>
          <w:ilvl w:val="0"/>
          <w:numId w:val="20"/>
        </w:numPr>
        <w:tabs>
          <w:tab w:val="clear" w:pos="567"/>
          <w:tab w:val="left" w:pos="540"/>
          <w:tab w:val="left" w:pos="569"/>
        </w:tabs>
        <w:ind w:left="567" w:hanging="567"/>
        <w:rPr>
          <w:szCs w:val="22"/>
        </w:rPr>
      </w:pPr>
      <w:r>
        <w:rPr>
          <w:szCs w:val="22"/>
        </w:rPr>
        <w:t>Povremena</w:t>
      </w:r>
      <w:r w:rsidR="00C367F8" w:rsidRPr="00290C94">
        <w:rPr>
          <w:szCs w:val="22"/>
        </w:rPr>
        <w:t xml:space="preserve"> (</w:t>
      </w:r>
      <w:r w:rsidR="00C367F8" w:rsidRPr="00290C94">
        <w:rPr>
          <w:szCs w:val="22"/>
        </w:rPr>
        <w:sym w:font="Symbol" w:char="F0B3"/>
      </w:r>
      <w:r w:rsidR="00C367F8" w:rsidRPr="00290C94">
        <w:rPr>
          <w:szCs w:val="22"/>
        </w:rPr>
        <w:t xml:space="preserve"> 1/1000 i &lt; 1/100) </w:t>
      </w:r>
    </w:p>
    <w:p w14:paraId="5E9A63DF" w14:textId="77777777" w:rsidR="00C367F8" w:rsidRPr="00290C94" w:rsidRDefault="00C367F8" w:rsidP="0064489E">
      <w:pPr>
        <w:numPr>
          <w:ilvl w:val="0"/>
          <w:numId w:val="20"/>
        </w:numPr>
        <w:tabs>
          <w:tab w:val="clear" w:pos="567"/>
          <w:tab w:val="left" w:pos="540"/>
          <w:tab w:val="left" w:pos="569"/>
        </w:tabs>
        <w:ind w:left="567" w:hanging="567"/>
        <w:rPr>
          <w:szCs w:val="22"/>
        </w:rPr>
      </w:pPr>
      <w:r w:rsidRPr="00290C94">
        <w:rPr>
          <w:szCs w:val="22"/>
        </w:rPr>
        <w:t>Rijetka (</w:t>
      </w:r>
      <w:r w:rsidRPr="00290C94">
        <w:rPr>
          <w:szCs w:val="22"/>
        </w:rPr>
        <w:sym w:font="Symbol" w:char="F0B3"/>
      </w:r>
      <w:r w:rsidRPr="00290C94">
        <w:rPr>
          <w:szCs w:val="22"/>
        </w:rPr>
        <w:t xml:space="preserve"> 1/10 000 i &lt; 1/1000) </w:t>
      </w:r>
    </w:p>
    <w:p w14:paraId="63F64930" w14:textId="77777777" w:rsidR="00C367F8" w:rsidRPr="00290C94" w:rsidRDefault="00C367F8" w:rsidP="0064489E">
      <w:pPr>
        <w:numPr>
          <w:ilvl w:val="0"/>
          <w:numId w:val="20"/>
        </w:numPr>
        <w:tabs>
          <w:tab w:val="clear" w:pos="567"/>
          <w:tab w:val="left" w:pos="540"/>
          <w:tab w:val="left" w:pos="569"/>
        </w:tabs>
        <w:ind w:left="567" w:hanging="567"/>
        <w:rPr>
          <w:szCs w:val="22"/>
        </w:rPr>
      </w:pPr>
      <w:r w:rsidRPr="00290C94">
        <w:rPr>
          <w:szCs w:val="22"/>
        </w:rPr>
        <w:t xml:space="preserve">Veoma rijetka (&lt; 1/10 000) </w:t>
      </w:r>
    </w:p>
    <w:p w14:paraId="7A6294D8" w14:textId="77777777" w:rsidR="00C367F8" w:rsidRDefault="00C367F8" w:rsidP="0064489E">
      <w:pPr>
        <w:numPr>
          <w:ilvl w:val="0"/>
          <w:numId w:val="20"/>
        </w:numPr>
        <w:tabs>
          <w:tab w:val="clear" w:pos="567"/>
          <w:tab w:val="left" w:pos="540"/>
          <w:tab w:val="left" w:pos="569"/>
        </w:tabs>
        <w:ind w:left="567" w:hanging="567"/>
        <w:rPr>
          <w:szCs w:val="22"/>
        </w:rPr>
      </w:pPr>
      <w:r w:rsidRPr="00290C94">
        <w:rPr>
          <w:szCs w:val="22"/>
        </w:rPr>
        <w:t>Nepoznata (ne može se procijeniti iz dostupnih podataka)</w:t>
      </w:r>
    </w:p>
    <w:p w14:paraId="32F51D94" w14:textId="77777777" w:rsidR="00C367F8" w:rsidRDefault="00C367F8" w:rsidP="00C367F8">
      <w:pPr>
        <w:tabs>
          <w:tab w:val="clear" w:pos="567"/>
          <w:tab w:val="left" w:pos="540"/>
          <w:tab w:val="left" w:pos="569"/>
        </w:tabs>
        <w:rPr>
          <w:b/>
          <w:bCs/>
          <w:szCs w:val="22"/>
        </w:rPr>
      </w:pPr>
    </w:p>
    <w:p w14:paraId="007C7B08" w14:textId="77777777" w:rsidR="00C367F8" w:rsidRPr="00512639" w:rsidRDefault="00C367F8" w:rsidP="00C367F8">
      <w:pPr>
        <w:tabs>
          <w:tab w:val="clear" w:pos="567"/>
          <w:tab w:val="left" w:pos="540"/>
          <w:tab w:val="left" w:pos="569"/>
        </w:tabs>
        <w:rPr>
          <w:szCs w:val="22"/>
          <w:u w:val="single"/>
        </w:rPr>
      </w:pPr>
      <w:r w:rsidRPr="00512639">
        <w:rPr>
          <w:szCs w:val="22"/>
          <w:u w:val="single"/>
        </w:rPr>
        <w:t>Sažetak bezbjednosnog profila</w:t>
      </w:r>
    </w:p>
    <w:p w14:paraId="4288813A" w14:textId="77777777" w:rsidR="00C367F8" w:rsidRDefault="00C367F8" w:rsidP="00C367F8">
      <w:pPr>
        <w:tabs>
          <w:tab w:val="clear" w:pos="567"/>
          <w:tab w:val="left" w:pos="540"/>
          <w:tab w:val="left" w:pos="569"/>
        </w:tabs>
        <w:jc w:val="both"/>
        <w:rPr>
          <w:szCs w:val="22"/>
        </w:rPr>
      </w:pPr>
      <w:r w:rsidRPr="008E0C7A">
        <w:rPr>
          <w:szCs w:val="22"/>
        </w:rPr>
        <w:t>Neželjene reakcije na lijek koje se javljaju pri uzimanju rosuvastatina su obično blage i prolazne. U kontrolisanim kliničkim istraživanjima manje od 4% pacijenata liječenih rosuvastatinom prestalo je da uzima terapiju usled neželjenih reakcija.</w:t>
      </w:r>
    </w:p>
    <w:p w14:paraId="09D26511" w14:textId="77777777" w:rsidR="00C367F8" w:rsidRDefault="00C367F8" w:rsidP="00C367F8">
      <w:pPr>
        <w:tabs>
          <w:tab w:val="clear" w:pos="567"/>
          <w:tab w:val="left" w:pos="540"/>
          <w:tab w:val="left" w:pos="569"/>
        </w:tabs>
        <w:jc w:val="both"/>
        <w:rPr>
          <w:b/>
          <w:bCs/>
          <w:szCs w:val="22"/>
        </w:rPr>
      </w:pPr>
    </w:p>
    <w:p w14:paraId="677BF7B1" w14:textId="77777777" w:rsidR="00C367F8" w:rsidRDefault="00C367F8" w:rsidP="00C367F8">
      <w:pPr>
        <w:tabs>
          <w:tab w:val="clear" w:pos="567"/>
          <w:tab w:val="left" w:pos="540"/>
          <w:tab w:val="left" w:pos="569"/>
        </w:tabs>
        <w:jc w:val="both"/>
        <w:rPr>
          <w:szCs w:val="22"/>
        </w:rPr>
      </w:pPr>
      <w:r w:rsidRPr="00756EE3">
        <w:rPr>
          <w:szCs w:val="22"/>
        </w:rPr>
        <w:t>Profil neželjenih reakcija za rosuvastatin je zasnovan na podacima iz kliničkih ispitivanja i obimnog iskustva nakon pojave l</w:t>
      </w:r>
      <w:r>
        <w:rPr>
          <w:szCs w:val="22"/>
        </w:rPr>
        <w:t>ij</w:t>
      </w:r>
      <w:r w:rsidRPr="00756EE3">
        <w:rPr>
          <w:szCs w:val="22"/>
        </w:rPr>
        <w:t>eka na tržištu. Prim</w:t>
      </w:r>
      <w:r>
        <w:rPr>
          <w:szCs w:val="22"/>
        </w:rPr>
        <w:t>ij</w:t>
      </w:r>
      <w:r w:rsidRPr="00756EE3">
        <w:rPr>
          <w:szCs w:val="22"/>
        </w:rPr>
        <w:t xml:space="preserve">ećene su neželjene reakcije </w:t>
      </w:r>
      <w:r w:rsidR="00553F61">
        <w:rPr>
          <w:szCs w:val="22"/>
        </w:rPr>
        <w:t>na</w:t>
      </w:r>
      <w:r w:rsidR="00553F61" w:rsidRPr="00756EE3">
        <w:rPr>
          <w:szCs w:val="22"/>
        </w:rPr>
        <w:t xml:space="preserve"> </w:t>
      </w:r>
      <w:r w:rsidRPr="00756EE3">
        <w:rPr>
          <w:szCs w:val="22"/>
        </w:rPr>
        <w:t>ezetimib kod pacijenata l</w:t>
      </w:r>
      <w:r>
        <w:rPr>
          <w:szCs w:val="22"/>
        </w:rPr>
        <w:t>ij</w:t>
      </w:r>
      <w:r w:rsidRPr="00756EE3">
        <w:rPr>
          <w:szCs w:val="22"/>
        </w:rPr>
        <w:t>ečenih ezetimibom (N=2396), a sa većom incidencom nego sa placebom (N=1159) ili kod pacijenata l</w:t>
      </w:r>
      <w:r>
        <w:rPr>
          <w:szCs w:val="22"/>
        </w:rPr>
        <w:t>ij</w:t>
      </w:r>
      <w:r w:rsidRPr="00756EE3">
        <w:rPr>
          <w:szCs w:val="22"/>
        </w:rPr>
        <w:t>ečenih ezetimibom i statinom zajedno (N=11308), a sa većom incidencom nego kad je statin prim</w:t>
      </w:r>
      <w:r>
        <w:rPr>
          <w:szCs w:val="22"/>
        </w:rPr>
        <w:t>ij</w:t>
      </w:r>
      <w:r w:rsidRPr="00756EE3">
        <w:rPr>
          <w:szCs w:val="22"/>
        </w:rPr>
        <w:t>enjen samostalno (N=9361). Neželjene reakcije zab</w:t>
      </w:r>
      <w:r>
        <w:rPr>
          <w:szCs w:val="22"/>
        </w:rPr>
        <w:t>i</w:t>
      </w:r>
      <w:r w:rsidRPr="00756EE3">
        <w:rPr>
          <w:szCs w:val="22"/>
        </w:rPr>
        <w:t>l</w:t>
      </w:r>
      <w:r>
        <w:rPr>
          <w:szCs w:val="22"/>
        </w:rPr>
        <w:t>j</w:t>
      </w:r>
      <w:r w:rsidRPr="00756EE3">
        <w:rPr>
          <w:szCs w:val="22"/>
        </w:rPr>
        <w:t>ežene nakon pojave l</w:t>
      </w:r>
      <w:r>
        <w:rPr>
          <w:szCs w:val="22"/>
        </w:rPr>
        <w:t>ij</w:t>
      </w:r>
      <w:r w:rsidRPr="00756EE3">
        <w:rPr>
          <w:szCs w:val="22"/>
        </w:rPr>
        <w:t xml:space="preserve">eka na tržištu za ezetimib su zasnovane na </w:t>
      </w:r>
      <w:r w:rsidR="00553F61">
        <w:rPr>
          <w:szCs w:val="22"/>
        </w:rPr>
        <w:t>prijavama</w:t>
      </w:r>
      <w:r w:rsidR="00553F61" w:rsidRPr="00756EE3">
        <w:rPr>
          <w:szCs w:val="22"/>
        </w:rPr>
        <w:t xml:space="preserve"> </w:t>
      </w:r>
      <w:r w:rsidRPr="00756EE3">
        <w:rPr>
          <w:szCs w:val="22"/>
        </w:rPr>
        <w:t>vezanim za ezetimib koji je bio prim</w:t>
      </w:r>
      <w:r>
        <w:rPr>
          <w:szCs w:val="22"/>
        </w:rPr>
        <w:t>ij</w:t>
      </w:r>
      <w:r w:rsidRPr="00756EE3">
        <w:rPr>
          <w:szCs w:val="22"/>
        </w:rPr>
        <w:t>enjen sa</w:t>
      </w:r>
      <w:r w:rsidR="00553F61">
        <w:rPr>
          <w:szCs w:val="22"/>
        </w:rPr>
        <w:t>m</w:t>
      </w:r>
      <w:r w:rsidRPr="00756EE3">
        <w:rPr>
          <w:szCs w:val="22"/>
        </w:rPr>
        <w:t xml:space="preserve"> ili sa statinom.</w:t>
      </w:r>
    </w:p>
    <w:p w14:paraId="19DA3C30" w14:textId="77777777" w:rsidR="00C367F8" w:rsidRDefault="00C367F8" w:rsidP="00C367F8">
      <w:pPr>
        <w:tabs>
          <w:tab w:val="clear" w:pos="567"/>
          <w:tab w:val="left" w:pos="540"/>
          <w:tab w:val="left" w:pos="569"/>
        </w:tabs>
        <w:jc w:val="both"/>
        <w:rPr>
          <w:b/>
          <w:bCs/>
          <w:szCs w:val="22"/>
        </w:rPr>
      </w:pPr>
    </w:p>
    <w:p w14:paraId="6443ACB7" w14:textId="77777777" w:rsidR="00C367F8" w:rsidRDefault="00C367F8" w:rsidP="00C367F8">
      <w:pPr>
        <w:tabs>
          <w:tab w:val="clear" w:pos="567"/>
          <w:tab w:val="left" w:pos="540"/>
          <w:tab w:val="left" w:pos="569"/>
        </w:tabs>
        <w:jc w:val="both"/>
        <w:rPr>
          <w:szCs w:val="22"/>
          <w:u w:val="single"/>
        </w:rPr>
      </w:pPr>
      <w:r w:rsidRPr="0025311E">
        <w:rPr>
          <w:szCs w:val="22"/>
          <w:u w:val="single"/>
        </w:rPr>
        <w:t>Tabelarni prikaz neželjenih reakcija</w:t>
      </w:r>
    </w:p>
    <w:p w14:paraId="1345D9ED" w14:textId="77777777" w:rsidR="00C367F8" w:rsidRDefault="00C367F8" w:rsidP="00C367F8">
      <w:pPr>
        <w:tabs>
          <w:tab w:val="clear" w:pos="567"/>
          <w:tab w:val="left" w:pos="540"/>
          <w:tab w:val="left" w:pos="569"/>
        </w:tabs>
        <w:jc w:val="both"/>
        <w:rPr>
          <w:b/>
          <w:bCs/>
          <w:szCs w:val="22"/>
          <w:u w:val="single"/>
        </w:rPr>
      </w:pPr>
    </w:p>
    <w:p w14:paraId="79C60CB8" w14:textId="77777777" w:rsidR="00C367F8" w:rsidRPr="00512639" w:rsidRDefault="00C367F8" w:rsidP="00C367F8">
      <w:pPr>
        <w:tabs>
          <w:tab w:val="clear" w:pos="567"/>
          <w:tab w:val="left" w:pos="540"/>
          <w:tab w:val="left" w:pos="569"/>
        </w:tabs>
        <w:jc w:val="both"/>
        <w:rPr>
          <w:szCs w:val="22"/>
        </w:rPr>
      </w:pPr>
      <w:r w:rsidRPr="00512639">
        <w:rPr>
          <w:szCs w:val="22"/>
        </w:rPr>
        <w:t>Tabela 2. Neželjene reakcije zasnovane na podacima iz kliničkih ispitivanja i iz iskustva nakon pojave lijeka na tržištu.</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969"/>
        <w:gridCol w:w="1503"/>
        <w:gridCol w:w="1439"/>
        <w:gridCol w:w="46"/>
      </w:tblGrid>
      <w:tr w:rsidR="00C367F8" w:rsidRPr="00742F04" w14:paraId="7AA812E7" w14:textId="77777777" w:rsidTr="0064489E">
        <w:trPr>
          <w:gridAfter w:val="1"/>
          <w:wAfter w:w="46" w:type="dxa"/>
        </w:trPr>
        <w:tc>
          <w:tcPr>
            <w:tcW w:w="2376" w:type="dxa"/>
            <w:vMerge w:val="restart"/>
            <w:shd w:val="clear" w:color="auto" w:fill="auto"/>
          </w:tcPr>
          <w:p w14:paraId="3DE2F4D1" w14:textId="77777777" w:rsidR="00C367F8" w:rsidRPr="00742F04" w:rsidRDefault="00C367F8" w:rsidP="0064489E">
            <w:pPr>
              <w:widowControl w:val="0"/>
              <w:rPr>
                <w:b/>
                <w:szCs w:val="22"/>
              </w:rPr>
            </w:pPr>
            <w:r w:rsidRPr="00742F04">
              <w:rPr>
                <w:b/>
                <w:szCs w:val="22"/>
              </w:rPr>
              <w:t>MedDRA</w:t>
            </w:r>
          </w:p>
          <w:p w14:paraId="46D6C713" w14:textId="77777777" w:rsidR="00C367F8" w:rsidRPr="00742F04" w:rsidRDefault="00C367F8" w:rsidP="0064489E">
            <w:pPr>
              <w:widowControl w:val="0"/>
              <w:rPr>
                <w:b/>
                <w:szCs w:val="22"/>
              </w:rPr>
            </w:pPr>
            <w:r w:rsidRPr="00742F04">
              <w:rPr>
                <w:b/>
                <w:szCs w:val="22"/>
              </w:rPr>
              <w:t>klasifikacija po sistemima organa</w:t>
            </w:r>
          </w:p>
        </w:tc>
        <w:tc>
          <w:tcPr>
            <w:tcW w:w="3969" w:type="dxa"/>
            <w:vMerge w:val="restart"/>
            <w:shd w:val="clear" w:color="auto" w:fill="auto"/>
            <w:vAlign w:val="center"/>
          </w:tcPr>
          <w:p w14:paraId="389FF2E1" w14:textId="77777777" w:rsidR="00C367F8" w:rsidRPr="00742F04" w:rsidRDefault="00C367F8" w:rsidP="0064489E">
            <w:pPr>
              <w:widowControl w:val="0"/>
              <w:rPr>
                <w:b/>
                <w:szCs w:val="22"/>
              </w:rPr>
            </w:pPr>
            <w:r w:rsidRPr="00742F04">
              <w:rPr>
                <w:b/>
                <w:szCs w:val="22"/>
              </w:rPr>
              <w:t>Neželjena dejstva</w:t>
            </w:r>
          </w:p>
        </w:tc>
        <w:tc>
          <w:tcPr>
            <w:tcW w:w="2942" w:type="dxa"/>
            <w:gridSpan w:val="2"/>
            <w:shd w:val="clear" w:color="auto" w:fill="auto"/>
            <w:vAlign w:val="center"/>
          </w:tcPr>
          <w:p w14:paraId="6B356672" w14:textId="77777777" w:rsidR="00C367F8" w:rsidRPr="00742F04" w:rsidRDefault="00C367F8" w:rsidP="0064489E">
            <w:pPr>
              <w:widowControl w:val="0"/>
              <w:rPr>
                <w:b/>
                <w:szCs w:val="22"/>
              </w:rPr>
            </w:pPr>
            <w:r w:rsidRPr="00742F04">
              <w:rPr>
                <w:b/>
                <w:szCs w:val="22"/>
              </w:rPr>
              <w:t>Učestalost</w:t>
            </w:r>
          </w:p>
        </w:tc>
      </w:tr>
      <w:tr w:rsidR="00C367F8" w:rsidRPr="00742F04" w14:paraId="2AC8FE6C" w14:textId="77777777" w:rsidTr="0064489E">
        <w:trPr>
          <w:gridAfter w:val="1"/>
          <w:wAfter w:w="46" w:type="dxa"/>
        </w:trPr>
        <w:tc>
          <w:tcPr>
            <w:tcW w:w="2376" w:type="dxa"/>
            <w:vMerge/>
            <w:shd w:val="clear" w:color="auto" w:fill="auto"/>
          </w:tcPr>
          <w:p w14:paraId="1CEA32EA" w14:textId="77777777" w:rsidR="00C367F8" w:rsidRPr="00742F04" w:rsidRDefault="00C367F8" w:rsidP="0064489E">
            <w:pPr>
              <w:widowControl w:val="0"/>
              <w:rPr>
                <w:b/>
                <w:szCs w:val="22"/>
              </w:rPr>
            </w:pPr>
          </w:p>
        </w:tc>
        <w:tc>
          <w:tcPr>
            <w:tcW w:w="3969" w:type="dxa"/>
            <w:vMerge/>
            <w:shd w:val="clear" w:color="auto" w:fill="auto"/>
            <w:vAlign w:val="center"/>
          </w:tcPr>
          <w:p w14:paraId="5FAFEC62" w14:textId="77777777" w:rsidR="00C367F8" w:rsidRPr="00742F04" w:rsidRDefault="00C367F8" w:rsidP="0064489E">
            <w:pPr>
              <w:widowControl w:val="0"/>
              <w:rPr>
                <w:b/>
                <w:szCs w:val="22"/>
              </w:rPr>
            </w:pPr>
          </w:p>
        </w:tc>
        <w:tc>
          <w:tcPr>
            <w:tcW w:w="1503" w:type="dxa"/>
            <w:shd w:val="clear" w:color="auto" w:fill="auto"/>
            <w:vAlign w:val="center"/>
          </w:tcPr>
          <w:p w14:paraId="7B0C6056" w14:textId="77777777" w:rsidR="00C367F8" w:rsidRPr="00742F04" w:rsidRDefault="00C367F8" w:rsidP="0064489E">
            <w:pPr>
              <w:widowControl w:val="0"/>
              <w:rPr>
                <w:b/>
                <w:szCs w:val="22"/>
              </w:rPr>
            </w:pPr>
            <w:r w:rsidRPr="00742F04">
              <w:rPr>
                <w:b/>
                <w:szCs w:val="22"/>
              </w:rPr>
              <w:t>Rosuvastatin</w:t>
            </w:r>
          </w:p>
        </w:tc>
        <w:tc>
          <w:tcPr>
            <w:tcW w:w="1439" w:type="dxa"/>
            <w:vAlign w:val="center"/>
          </w:tcPr>
          <w:p w14:paraId="24D8C34C" w14:textId="77777777" w:rsidR="00C367F8" w:rsidRPr="00742F04" w:rsidRDefault="00C367F8" w:rsidP="0064489E">
            <w:pPr>
              <w:widowControl w:val="0"/>
              <w:rPr>
                <w:b/>
                <w:szCs w:val="22"/>
              </w:rPr>
            </w:pPr>
            <w:r w:rsidRPr="00742F04">
              <w:rPr>
                <w:b/>
                <w:szCs w:val="22"/>
              </w:rPr>
              <w:t>Ezetimib</w:t>
            </w:r>
          </w:p>
        </w:tc>
      </w:tr>
      <w:tr w:rsidR="00C367F8" w:rsidRPr="00742F04" w14:paraId="0687EADF" w14:textId="77777777" w:rsidTr="0064489E">
        <w:trPr>
          <w:gridAfter w:val="1"/>
          <w:wAfter w:w="46" w:type="dxa"/>
        </w:trPr>
        <w:tc>
          <w:tcPr>
            <w:tcW w:w="2376" w:type="dxa"/>
            <w:shd w:val="clear" w:color="auto" w:fill="auto"/>
          </w:tcPr>
          <w:p w14:paraId="7BD53778" w14:textId="77777777" w:rsidR="00C367F8" w:rsidRPr="00742F04" w:rsidRDefault="00C367F8" w:rsidP="0064489E">
            <w:pPr>
              <w:widowControl w:val="0"/>
              <w:rPr>
                <w:i/>
                <w:szCs w:val="22"/>
              </w:rPr>
            </w:pPr>
            <w:r w:rsidRPr="00742F04">
              <w:rPr>
                <w:i/>
                <w:szCs w:val="22"/>
              </w:rPr>
              <w:t>Poremećaji krvi i limfnog sistema</w:t>
            </w:r>
          </w:p>
        </w:tc>
        <w:tc>
          <w:tcPr>
            <w:tcW w:w="3969" w:type="dxa"/>
            <w:shd w:val="clear" w:color="auto" w:fill="auto"/>
            <w:vAlign w:val="center"/>
          </w:tcPr>
          <w:p w14:paraId="3DBDE650" w14:textId="77777777" w:rsidR="00C367F8" w:rsidRPr="00742F04" w:rsidRDefault="00C367F8" w:rsidP="0064489E">
            <w:pPr>
              <w:widowControl w:val="0"/>
              <w:tabs>
                <w:tab w:val="left" w:pos="1315"/>
              </w:tabs>
              <w:rPr>
                <w:szCs w:val="22"/>
              </w:rPr>
            </w:pPr>
            <w:r w:rsidRPr="00742F04">
              <w:rPr>
                <w:szCs w:val="22"/>
              </w:rPr>
              <w:t>Trombocitopenija</w:t>
            </w:r>
          </w:p>
        </w:tc>
        <w:tc>
          <w:tcPr>
            <w:tcW w:w="1503" w:type="dxa"/>
            <w:shd w:val="clear" w:color="auto" w:fill="auto"/>
            <w:vAlign w:val="center"/>
          </w:tcPr>
          <w:p w14:paraId="39395E4F" w14:textId="77777777" w:rsidR="00C367F8" w:rsidRPr="00742F04" w:rsidRDefault="00C367F8" w:rsidP="0064489E">
            <w:pPr>
              <w:widowControl w:val="0"/>
              <w:rPr>
                <w:szCs w:val="22"/>
              </w:rPr>
            </w:pPr>
            <w:r w:rsidRPr="00742F04">
              <w:rPr>
                <w:szCs w:val="22"/>
              </w:rPr>
              <w:t>Rijetko</w:t>
            </w:r>
          </w:p>
        </w:tc>
        <w:tc>
          <w:tcPr>
            <w:tcW w:w="1439" w:type="dxa"/>
            <w:vAlign w:val="center"/>
          </w:tcPr>
          <w:p w14:paraId="68E3CEF8" w14:textId="77777777" w:rsidR="00C367F8" w:rsidRPr="00742F04" w:rsidRDefault="00C367F8" w:rsidP="0064489E">
            <w:pPr>
              <w:widowControl w:val="0"/>
              <w:rPr>
                <w:szCs w:val="22"/>
              </w:rPr>
            </w:pPr>
            <w:r w:rsidRPr="00742F04">
              <w:rPr>
                <w:szCs w:val="22"/>
              </w:rPr>
              <w:t>Nepoznato</w:t>
            </w:r>
          </w:p>
        </w:tc>
      </w:tr>
      <w:tr w:rsidR="00C367F8" w:rsidRPr="00742F04" w14:paraId="66E54C1F" w14:textId="77777777" w:rsidTr="0064489E">
        <w:trPr>
          <w:gridAfter w:val="1"/>
          <w:wAfter w:w="46" w:type="dxa"/>
        </w:trPr>
        <w:tc>
          <w:tcPr>
            <w:tcW w:w="2376" w:type="dxa"/>
            <w:vMerge w:val="restart"/>
            <w:shd w:val="clear" w:color="auto" w:fill="auto"/>
          </w:tcPr>
          <w:p w14:paraId="274A1A45" w14:textId="77777777" w:rsidR="00C367F8" w:rsidRPr="00742F04" w:rsidRDefault="00C367F8" w:rsidP="0064489E">
            <w:pPr>
              <w:widowControl w:val="0"/>
              <w:rPr>
                <w:i/>
                <w:szCs w:val="22"/>
              </w:rPr>
            </w:pPr>
            <w:r w:rsidRPr="00742F04">
              <w:rPr>
                <w:i/>
                <w:szCs w:val="22"/>
              </w:rPr>
              <w:t>Poremećaji imunog sistema</w:t>
            </w:r>
          </w:p>
        </w:tc>
        <w:tc>
          <w:tcPr>
            <w:tcW w:w="3969" w:type="dxa"/>
            <w:shd w:val="clear" w:color="auto" w:fill="auto"/>
            <w:vAlign w:val="center"/>
          </w:tcPr>
          <w:p w14:paraId="60DE97D0" w14:textId="77777777" w:rsidR="00C367F8" w:rsidRPr="00742F04" w:rsidRDefault="00C367F8" w:rsidP="0064489E">
            <w:pPr>
              <w:widowControl w:val="0"/>
              <w:tabs>
                <w:tab w:val="left" w:pos="1315"/>
              </w:tabs>
              <w:rPr>
                <w:szCs w:val="22"/>
              </w:rPr>
            </w:pPr>
            <w:r w:rsidRPr="00742F04">
              <w:rPr>
                <w:szCs w:val="22"/>
              </w:rPr>
              <w:t>Reakcije preosjetljivosti uključujući angioedem</w:t>
            </w:r>
          </w:p>
        </w:tc>
        <w:tc>
          <w:tcPr>
            <w:tcW w:w="1503" w:type="dxa"/>
            <w:shd w:val="clear" w:color="auto" w:fill="auto"/>
            <w:vAlign w:val="center"/>
          </w:tcPr>
          <w:p w14:paraId="56730318" w14:textId="77777777" w:rsidR="00C367F8" w:rsidRPr="00742F04" w:rsidRDefault="00C367F8" w:rsidP="0064489E">
            <w:pPr>
              <w:widowControl w:val="0"/>
              <w:rPr>
                <w:szCs w:val="22"/>
              </w:rPr>
            </w:pPr>
            <w:r w:rsidRPr="00742F04">
              <w:rPr>
                <w:szCs w:val="22"/>
              </w:rPr>
              <w:t>Rijetko</w:t>
            </w:r>
          </w:p>
        </w:tc>
        <w:tc>
          <w:tcPr>
            <w:tcW w:w="1439" w:type="dxa"/>
            <w:vAlign w:val="center"/>
          </w:tcPr>
          <w:p w14:paraId="154A8537" w14:textId="77777777" w:rsidR="00C367F8" w:rsidRPr="00742F04" w:rsidRDefault="00C367F8" w:rsidP="0064489E">
            <w:pPr>
              <w:widowControl w:val="0"/>
              <w:rPr>
                <w:szCs w:val="22"/>
              </w:rPr>
            </w:pPr>
          </w:p>
        </w:tc>
      </w:tr>
      <w:tr w:rsidR="00C367F8" w:rsidRPr="00742F04" w14:paraId="58761E40" w14:textId="77777777" w:rsidTr="0064489E">
        <w:trPr>
          <w:gridAfter w:val="1"/>
          <w:wAfter w:w="46" w:type="dxa"/>
        </w:trPr>
        <w:tc>
          <w:tcPr>
            <w:tcW w:w="2376" w:type="dxa"/>
            <w:vMerge/>
            <w:shd w:val="clear" w:color="auto" w:fill="auto"/>
          </w:tcPr>
          <w:p w14:paraId="05A6237F" w14:textId="77777777" w:rsidR="00C367F8" w:rsidRPr="00742F04" w:rsidRDefault="00C367F8" w:rsidP="0064489E">
            <w:pPr>
              <w:widowControl w:val="0"/>
              <w:rPr>
                <w:i/>
                <w:szCs w:val="22"/>
              </w:rPr>
            </w:pPr>
          </w:p>
        </w:tc>
        <w:tc>
          <w:tcPr>
            <w:tcW w:w="3969" w:type="dxa"/>
            <w:shd w:val="clear" w:color="auto" w:fill="auto"/>
            <w:vAlign w:val="center"/>
          </w:tcPr>
          <w:p w14:paraId="51AC77A2" w14:textId="77777777" w:rsidR="00C367F8" w:rsidRPr="00742F04" w:rsidRDefault="00C367F8" w:rsidP="0064489E">
            <w:pPr>
              <w:widowControl w:val="0"/>
              <w:tabs>
                <w:tab w:val="left" w:pos="1315"/>
              </w:tabs>
              <w:rPr>
                <w:szCs w:val="22"/>
              </w:rPr>
            </w:pPr>
            <w:r w:rsidRPr="00742F04">
              <w:rPr>
                <w:szCs w:val="22"/>
              </w:rPr>
              <w:t>Reakcije preosjetljivosti uključujući osip, urtikariju i anafilaksu</w:t>
            </w:r>
          </w:p>
        </w:tc>
        <w:tc>
          <w:tcPr>
            <w:tcW w:w="1503" w:type="dxa"/>
            <w:shd w:val="clear" w:color="auto" w:fill="auto"/>
            <w:vAlign w:val="center"/>
          </w:tcPr>
          <w:p w14:paraId="60765A0A" w14:textId="77777777" w:rsidR="00C367F8" w:rsidRPr="00742F04" w:rsidRDefault="00C367F8" w:rsidP="0064489E">
            <w:pPr>
              <w:widowControl w:val="0"/>
              <w:rPr>
                <w:szCs w:val="22"/>
              </w:rPr>
            </w:pPr>
            <w:r w:rsidRPr="00742F04">
              <w:rPr>
                <w:szCs w:val="22"/>
              </w:rPr>
              <w:t>–</w:t>
            </w:r>
          </w:p>
        </w:tc>
        <w:tc>
          <w:tcPr>
            <w:tcW w:w="1439" w:type="dxa"/>
            <w:vAlign w:val="center"/>
          </w:tcPr>
          <w:p w14:paraId="376929D2" w14:textId="77777777" w:rsidR="00C367F8" w:rsidRPr="00742F04" w:rsidRDefault="00C367F8" w:rsidP="0064489E">
            <w:pPr>
              <w:widowControl w:val="0"/>
              <w:rPr>
                <w:szCs w:val="22"/>
              </w:rPr>
            </w:pPr>
            <w:r w:rsidRPr="00742F04">
              <w:rPr>
                <w:szCs w:val="22"/>
              </w:rPr>
              <w:t>Nepoznato</w:t>
            </w:r>
          </w:p>
        </w:tc>
      </w:tr>
      <w:tr w:rsidR="00C367F8" w:rsidRPr="00742F04" w14:paraId="0818759F" w14:textId="77777777" w:rsidTr="0064489E">
        <w:trPr>
          <w:gridAfter w:val="1"/>
          <w:wAfter w:w="46" w:type="dxa"/>
        </w:trPr>
        <w:tc>
          <w:tcPr>
            <w:tcW w:w="2376" w:type="dxa"/>
            <w:shd w:val="clear" w:color="auto" w:fill="auto"/>
          </w:tcPr>
          <w:p w14:paraId="46736999" w14:textId="77777777" w:rsidR="00C367F8" w:rsidRPr="00742F04" w:rsidRDefault="00C367F8" w:rsidP="0064489E">
            <w:pPr>
              <w:widowControl w:val="0"/>
              <w:rPr>
                <w:i/>
                <w:szCs w:val="22"/>
              </w:rPr>
            </w:pPr>
            <w:r w:rsidRPr="00742F04">
              <w:rPr>
                <w:i/>
                <w:szCs w:val="22"/>
              </w:rPr>
              <w:t>Endokrini poremećaji</w:t>
            </w:r>
          </w:p>
        </w:tc>
        <w:tc>
          <w:tcPr>
            <w:tcW w:w="3969" w:type="dxa"/>
            <w:shd w:val="clear" w:color="auto" w:fill="auto"/>
            <w:vAlign w:val="center"/>
          </w:tcPr>
          <w:p w14:paraId="54A6DF15" w14:textId="77777777" w:rsidR="00C367F8" w:rsidRPr="00742F04" w:rsidRDefault="00C367F8" w:rsidP="0064489E">
            <w:pPr>
              <w:widowControl w:val="0"/>
              <w:tabs>
                <w:tab w:val="left" w:pos="1315"/>
              </w:tabs>
              <w:rPr>
                <w:szCs w:val="22"/>
              </w:rPr>
            </w:pPr>
            <w:r w:rsidRPr="00742F04">
              <w:rPr>
                <w:szCs w:val="22"/>
              </w:rPr>
              <w:t>Diabetes mellitus</w:t>
            </w:r>
            <w:r w:rsidRPr="00742F04">
              <w:rPr>
                <w:szCs w:val="22"/>
                <w:vertAlign w:val="superscript"/>
              </w:rPr>
              <w:t>1</w:t>
            </w:r>
          </w:p>
        </w:tc>
        <w:tc>
          <w:tcPr>
            <w:tcW w:w="1503" w:type="dxa"/>
            <w:shd w:val="clear" w:color="auto" w:fill="auto"/>
            <w:vAlign w:val="center"/>
          </w:tcPr>
          <w:p w14:paraId="20C913EE" w14:textId="77777777" w:rsidR="00C367F8" w:rsidRPr="00742F04" w:rsidRDefault="00C367F8" w:rsidP="0064489E">
            <w:pPr>
              <w:widowControl w:val="0"/>
              <w:rPr>
                <w:szCs w:val="22"/>
              </w:rPr>
            </w:pPr>
            <w:r w:rsidRPr="00742F04">
              <w:rPr>
                <w:szCs w:val="22"/>
              </w:rPr>
              <w:t>Često</w:t>
            </w:r>
          </w:p>
        </w:tc>
        <w:tc>
          <w:tcPr>
            <w:tcW w:w="1439" w:type="dxa"/>
            <w:vAlign w:val="center"/>
          </w:tcPr>
          <w:p w14:paraId="5D0E4922" w14:textId="77777777" w:rsidR="00C367F8" w:rsidRPr="00742F04" w:rsidRDefault="00C367F8" w:rsidP="0064489E">
            <w:pPr>
              <w:widowControl w:val="0"/>
              <w:rPr>
                <w:szCs w:val="22"/>
              </w:rPr>
            </w:pPr>
            <w:r w:rsidRPr="00742F04">
              <w:rPr>
                <w:szCs w:val="22"/>
              </w:rPr>
              <w:t>–</w:t>
            </w:r>
          </w:p>
        </w:tc>
      </w:tr>
      <w:tr w:rsidR="00C367F8" w:rsidRPr="00742F04" w14:paraId="5774CC55" w14:textId="77777777" w:rsidTr="0064489E">
        <w:trPr>
          <w:gridAfter w:val="1"/>
          <w:wAfter w:w="46" w:type="dxa"/>
        </w:trPr>
        <w:tc>
          <w:tcPr>
            <w:tcW w:w="2376" w:type="dxa"/>
            <w:shd w:val="clear" w:color="auto" w:fill="auto"/>
          </w:tcPr>
          <w:p w14:paraId="2D650731" w14:textId="77777777" w:rsidR="00C367F8" w:rsidRPr="00742F04" w:rsidRDefault="00C367F8" w:rsidP="0064489E">
            <w:pPr>
              <w:widowControl w:val="0"/>
              <w:rPr>
                <w:i/>
                <w:szCs w:val="22"/>
              </w:rPr>
            </w:pPr>
            <w:r w:rsidRPr="00742F04">
              <w:rPr>
                <w:i/>
                <w:szCs w:val="22"/>
              </w:rPr>
              <w:t>Poremećaji metabolizma i ishrane</w:t>
            </w:r>
          </w:p>
        </w:tc>
        <w:tc>
          <w:tcPr>
            <w:tcW w:w="3969" w:type="dxa"/>
            <w:shd w:val="clear" w:color="auto" w:fill="auto"/>
            <w:vAlign w:val="center"/>
          </w:tcPr>
          <w:p w14:paraId="17D19FA5" w14:textId="77777777" w:rsidR="00C367F8" w:rsidRPr="00742F04" w:rsidRDefault="00C367F8" w:rsidP="0064489E">
            <w:pPr>
              <w:widowControl w:val="0"/>
              <w:tabs>
                <w:tab w:val="left" w:pos="1315"/>
              </w:tabs>
              <w:rPr>
                <w:szCs w:val="22"/>
              </w:rPr>
            </w:pPr>
            <w:r w:rsidRPr="00742F04">
              <w:rPr>
                <w:szCs w:val="22"/>
              </w:rPr>
              <w:t>Smanjenje apetita</w:t>
            </w:r>
          </w:p>
        </w:tc>
        <w:tc>
          <w:tcPr>
            <w:tcW w:w="1503" w:type="dxa"/>
            <w:shd w:val="clear" w:color="auto" w:fill="auto"/>
            <w:vAlign w:val="center"/>
          </w:tcPr>
          <w:p w14:paraId="5FE6434C" w14:textId="77777777" w:rsidR="00C367F8" w:rsidRPr="00742F04" w:rsidRDefault="00C367F8" w:rsidP="0064489E">
            <w:pPr>
              <w:widowControl w:val="0"/>
              <w:rPr>
                <w:szCs w:val="22"/>
              </w:rPr>
            </w:pPr>
            <w:r w:rsidRPr="00742F04">
              <w:rPr>
                <w:szCs w:val="22"/>
              </w:rPr>
              <w:t>–</w:t>
            </w:r>
          </w:p>
        </w:tc>
        <w:tc>
          <w:tcPr>
            <w:tcW w:w="1439" w:type="dxa"/>
            <w:vAlign w:val="center"/>
          </w:tcPr>
          <w:p w14:paraId="1FB0A9F5" w14:textId="77777777" w:rsidR="00C367F8" w:rsidRPr="00742F04" w:rsidRDefault="00553F61" w:rsidP="0064489E">
            <w:pPr>
              <w:widowControl w:val="0"/>
              <w:rPr>
                <w:szCs w:val="22"/>
              </w:rPr>
            </w:pPr>
            <w:r>
              <w:rPr>
                <w:szCs w:val="22"/>
              </w:rPr>
              <w:t>Povremeno</w:t>
            </w:r>
          </w:p>
        </w:tc>
      </w:tr>
      <w:tr w:rsidR="00C367F8" w:rsidRPr="00742F04" w14:paraId="7CB163CD" w14:textId="77777777" w:rsidTr="0064489E">
        <w:trPr>
          <w:gridAfter w:val="1"/>
          <w:wAfter w:w="46" w:type="dxa"/>
        </w:trPr>
        <w:tc>
          <w:tcPr>
            <w:tcW w:w="2376" w:type="dxa"/>
            <w:shd w:val="clear" w:color="auto" w:fill="auto"/>
          </w:tcPr>
          <w:p w14:paraId="36CFB8CA" w14:textId="77777777" w:rsidR="00C367F8" w:rsidRPr="00742F04" w:rsidRDefault="00C367F8" w:rsidP="0064489E">
            <w:pPr>
              <w:widowControl w:val="0"/>
              <w:rPr>
                <w:i/>
                <w:szCs w:val="22"/>
              </w:rPr>
            </w:pPr>
            <w:r w:rsidRPr="00742F04">
              <w:rPr>
                <w:i/>
                <w:szCs w:val="22"/>
              </w:rPr>
              <w:t>Psihijatrijski poremećaji</w:t>
            </w:r>
          </w:p>
        </w:tc>
        <w:tc>
          <w:tcPr>
            <w:tcW w:w="3969" w:type="dxa"/>
            <w:shd w:val="clear" w:color="auto" w:fill="auto"/>
            <w:vAlign w:val="center"/>
          </w:tcPr>
          <w:p w14:paraId="59F0E40A" w14:textId="77777777" w:rsidR="00C367F8" w:rsidRPr="00742F04" w:rsidRDefault="00C367F8" w:rsidP="0064489E">
            <w:pPr>
              <w:widowControl w:val="0"/>
              <w:tabs>
                <w:tab w:val="left" w:pos="1315"/>
              </w:tabs>
              <w:rPr>
                <w:szCs w:val="22"/>
              </w:rPr>
            </w:pPr>
            <w:r w:rsidRPr="00742F04">
              <w:rPr>
                <w:szCs w:val="22"/>
              </w:rPr>
              <w:t>Depresija</w:t>
            </w:r>
          </w:p>
        </w:tc>
        <w:tc>
          <w:tcPr>
            <w:tcW w:w="1503" w:type="dxa"/>
            <w:shd w:val="clear" w:color="auto" w:fill="auto"/>
            <w:vAlign w:val="center"/>
          </w:tcPr>
          <w:p w14:paraId="0969387D" w14:textId="77777777" w:rsidR="00C367F8" w:rsidRPr="00742F04" w:rsidRDefault="00C367F8" w:rsidP="0064489E">
            <w:pPr>
              <w:widowControl w:val="0"/>
              <w:rPr>
                <w:szCs w:val="22"/>
              </w:rPr>
            </w:pPr>
            <w:r w:rsidRPr="00742F04">
              <w:rPr>
                <w:szCs w:val="22"/>
              </w:rPr>
              <w:t>Nepoznato</w:t>
            </w:r>
          </w:p>
        </w:tc>
        <w:tc>
          <w:tcPr>
            <w:tcW w:w="1439" w:type="dxa"/>
            <w:vAlign w:val="center"/>
          </w:tcPr>
          <w:p w14:paraId="24A8D99F" w14:textId="77777777" w:rsidR="00C367F8" w:rsidRPr="00742F04" w:rsidRDefault="00C367F8" w:rsidP="0064489E">
            <w:pPr>
              <w:widowControl w:val="0"/>
              <w:rPr>
                <w:szCs w:val="22"/>
              </w:rPr>
            </w:pPr>
            <w:r w:rsidRPr="00742F04">
              <w:rPr>
                <w:szCs w:val="22"/>
              </w:rPr>
              <w:t>Nepoznato</w:t>
            </w:r>
          </w:p>
        </w:tc>
      </w:tr>
      <w:tr w:rsidR="00D46E3B" w:rsidRPr="00742F04" w14:paraId="4F65DB3B" w14:textId="77777777" w:rsidTr="0064489E">
        <w:trPr>
          <w:gridAfter w:val="1"/>
          <w:wAfter w:w="46" w:type="dxa"/>
        </w:trPr>
        <w:tc>
          <w:tcPr>
            <w:tcW w:w="2376" w:type="dxa"/>
            <w:vMerge w:val="restart"/>
            <w:shd w:val="clear" w:color="auto" w:fill="auto"/>
          </w:tcPr>
          <w:p w14:paraId="3C4EB4C5" w14:textId="77777777" w:rsidR="00D46E3B" w:rsidRPr="00742F04" w:rsidRDefault="00D46E3B" w:rsidP="0064489E">
            <w:pPr>
              <w:widowControl w:val="0"/>
              <w:rPr>
                <w:i/>
                <w:szCs w:val="22"/>
              </w:rPr>
            </w:pPr>
            <w:r w:rsidRPr="00742F04">
              <w:rPr>
                <w:i/>
                <w:szCs w:val="22"/>
              </w:rPr>
              <w:t>Poremećaji nervnog sistema</w:t>
            </w:r>
          </w:p>
        </w:tc>
        <w:tc>
          <w:tcPr>
            <w:tcW w:w="3969" w:type="dxa"/>
            <w:shd w:val="clear" w:color="auto" w:fill="auto"/>
            <w:vAlign w:val="center"/>
          </w:tcPr>
          <w:p w14:paraId="3279C8CD" w14:textId="77777777" w:rsidR="00D46E3B" w:rsidRPr="00742F04" w:rsidRDefault="00D46E3B" w:rsidP="0064489E">
            <w:pPr>
              <w:widowControl w:val="0"/>
              <w:rPr>
                <w:szCs w:val="22"/>
              </w:rPr>
            </w:pPr>
            <w:r w:rsidRPr="00742F04">
              <w:rPr>
                <w:szCs w:val="22"/>
              </w:rPr>
              <w:t>Glavobolja</w:t>
            </w:r>
          </w:p>
        </w:tc>
        <w:tc>
          <w:tcPr>
            <w:tcW w:w="1503" w:type="dxa"/>
            <w:shd w:val="clear" w:color="auto" w:fill="auto"/>
            <w:vAlign w:val="center"/>
          </w:tcPr>
          <w:p w14:paraId="05193525" w14:textId="77777777" w:rsidR="00D46E3B" w:rsidRPr="00742F04" w:rsidRDefault="00D46E3B" w:rsidP="0064489E">
            <w:pPr>
              <w:widowControl w:val="0"/>
              <w:rPr>
                <w:szCs w:val="22"/>
              </w:rPr>
            </w:pPr>
            <w:r w:rsidRPr="00742F04">
              <w:rPr>
                <w:szCs w:val="22"/>
              </w:rPr>
              <w:t>Često</w:t>
            </w:r>
          </w:p>
        </w:tc>
        <w:tc>
          <w:tcPr>
            <w:tcW w:w="1439" w:type="dxa"/>
            <w:vAlign w:val="center"/>
          </w:tcPr>
          <w:p w14:paraId="331889A9" w14:textId="77777777" w:rsidR="00D46E3B" w:rsidRPr="00742F04" w:rsidRDefault="00D46E3B" w:rsidP="0064489E">
            <w:pPr>
              <w:widowControl w:val="0"/>
              <w:rPr>
                <w:szCs w:val="22"/>
              </w:rPr>
            </w:pPr>
            <w:r w:rsidRPr="00742F04">
              <w:rPr>
                <w:szCs w:val="22"/>
              </w:rPr>
              <w:t>Često</w:t>
            </w:r>
          </w:p>
        </w:tc>
      </w:tr>
      <w:tr w:rsidR="00D46E3B" w:rsidRPr="00742F04" w14:paraId="4AC70A46" w14:textId="77777777" w:rsidTr="0064489E">
        <w:trPr>
          <w:gridAfter w:val="1"/>
          <w:wAfter w:w="46" w:type="dxa"/>
        </w:trPr>
        <w:tc>
          <w:tcPr>
            <w:tcW w:w="2376" w:type="dxa"/>
            <w:vMerge/>
            <w:shd w:val="clear" w:color="auto" w:fill="auto"/>
          </w:tcPr>
          <w:p w14:paraId="1198412D" w14:textId="77777777" w:rsidR="00D46E3B" w:rsidRPr="00742F04" w:rsidRDefault="00D46E3B" w:rsidP="0064489E">
            <w:pPr>
              <w:widowControl w:val="0"/>
              <w:rPr>
                <w:i/>
                <w:szCs w:val="22"/>
              </w:rPr>
            </w:pPr>
          </w:p>
        </w:tc>
        <w:tc>
          <w:tcPr>
            <w:tcW w:w="3969" w:type="dxa"/>
            <w:shd w:val="clear" w:color="auto" w:fill="auto"/>
            <w:vAlign w:val="center"/>
          </w:tcPr>
          <w:p w14:paraId="19090D8D" w14:textId="77777777" w:rsidR="00D46E3B" w:rsidRPr="00742F04" w:rsidRDefault="00D46E3B" w:rsidP="0064489E">
            <w:pPr>
              <w:widowControl w:val="0"/>
              <w:tabs>
                <w:tab w:val="left" w:pos="1315"/>
              </w:tabs>
              <w:rPr>
                <w:szCs w:val="22"/>
              </w:rPr>
            </w:pPr>
            <w:r w:rsidRPr="00742F04">
              <w:rPr>
                <w:szCs w:val="22"/>
              </w:rPr>
              <w:t>Vrtoglavica</w:t>
            </w:r>
          </w:p>
        </w:tc>
        <w:tc>
          <w:tcPr>
            <w:tcW w:w="1503" w:type="dxa"/>
            <w:shd w:val="clear" w:color="auto" w:fill="auto"/>
            <w:vAlign w:val="center"/>
          </w:tcPr>
          <w:p w14:paraId="0B59A887" w14:textId="77777777" w:rsidR="00D46E3B" w:rsidRPr="00742F04" w:rsidRDefault="00D46E3B" w:rsidP="0064489E">
            <w:pPr>
              <w:widowControl w:val="0"/>
              <w:rPr>
                <w:szCs w:val="22"/>
              </w:rPr>
            </w:pPr>
            <w:r w:rsidRPr="00742F04">
              <w:rPr>
                <w:szCs w:val="22"/>
              </w:rPr>
              <w:t>Često</w:t>
            </w:r>
          </w:p>
        </w:tc>
        <w:tc>
          <w:tcPr>
            <w:tcW w:w="1439" w:type="dxa"/>
            <w:vAlign w:val="center"/>
          </w:tcPr>
          <w:p w14:paraId="09A2EF67" w14:textId="77777777" w:rsidR="00D46E3B" w:rsidRPr="00742F04" w:rsidRDefault="00D46E3B" w:rsidP="0064489E">
            <w:pPr>
              <w:widowControl w:val="0"/>
              <w:rPr>
                <w:szCs w:val="22"/>
              </w:rPr>
            </w:pPr>
            <w:r w:rsidRPr="00742F04">
              <w:rPr>
                <w:szCs w:val="22"/>
              </w:rPr>
              <w:t>Nepoznato</w:t>
            </w:r>
          </w:p>
        </w:tc>
      </w:tr>
      <w:tr w:rsidR="00D46E3B" w:rsidRPr="00742F04" w14:paraId="676EDC8F" w14:textId="77777777" w:rsidTr="0064489E">
        <w:trPr>
          <w:gridAfter w:val="1"/>
          <w:wAfter w:w="46" w:type="dxa"/>
        </w:trPr>
        <w:tc>
          <w:tcPr>
            <w:tcW w:w="2376" w:type="dxa"/>
            <w:vMerge/>
            <w:shd w:val="clear" w:color="auto" w:fill="auto"/>
          </w:tcPr>
          <w:p w14:paraId="50E200B0" w14:textId="77777777" w:rsidR="00D46E3B" w:rsidRPr="00742F04" w:rsidRDefault="00D46E3B" w:rsidP="0064489E">
            <w:pPr>
              <w:widowControl w:val="0"/>
              <w:rPr>
                <w:i/>
                <w:szCs w:val="22"/>
              </w:rPr>
            </w:pPr>
          </w:p>
        </w:tc>
        <w:tc>
          <w:tcPr>
            <w:tcW w:w="3969" w:type="dxa"/>
            <w:shd w:val="clear" w:color="auto" w:fill="auto"/>
            <w:vAlign w:val="center"/>
          </w:tcPr>
          <w:p w14:paraId="094130F0" w14:textId="77777777" w:rsidR="00D46E3B" w:rsidRPr="00742F04" w:rsidRDefault="00D46E3B" w:rsidP="0064489E">
            <w:pPr>
              <w:widowControl w:val="0"/>
              <w:rPr>
                <w:szCs w:val="22"/>
              </w:rPr>
            </w:pPr>
            <w:r w:rsidRPr="00742F04">
              <w:rPr>
                <w:szCs w:val="22"/>
              </w:rPr>
              <w:t>Polineuropatija</w:t>
            </w:r>
          </w:p>
        </w:tc>
        <w:tc>
          <w:tcPr>
            <w:tcW w:w="1503" w:type="dxa"/>
            <w:shd w:val="clear" w:color="auto" w:fill="auto"/>
            <w:vAlign w:val="center"/>
          </w:tcPr>
          <w:p w14:paraId="24FF283A" w14:textId="77777777" w:rsidR="00D46E3B" w:rsidRPr="00742F04" w:rsidRDefault="00D46E3B" w:rsidP="0064489E">
            <w:pPr>
              <w:widowControl w:val="0"/>
              <w:rPr>
                <w:szCs w:val="22"/>
              </w:rPr>
            </w:pPr>
            <w:r w:rsidRPr="00742F04">
              <w:rPr>
                <w:szCs w:val="22"/>
              </w:rPr>
              <w:t>Veoma rijetko</w:t>
            </w:r>
          </w:p>
        </w:tc>
        <w:tc>
          <w:tcPr>
            <w:tcW w:w="1439" w:type="dxa"/>
            <w:vAlign w:val="center"/>
          </w:tcPr>
          <w:p w14:paraId="6BB70605" w14:textId="77777777" w:rsidR="00D46E3B" w:rsidRPr="00742F04" w:rsidRDefault="00D46E3B" w:rsidP="0064489E">
            <w:pPr>
              <w:widowControl w:val="0"/>
              <w:rPr>
                <w:szCs w:val="22"/>
              </w:rPr>
            </w:pPr>
            <w:r w:rsidRPr="00742F04">
              <w:rPr>
                <w:szCs w:val="22"/>
              </w:rPr>
              <w:t>–</w:t>
            </w:r>
          </w:p>
        </w:tc>
      </w:tr>
      <w:tr w:rsidR="00D46E3B" w:rsidRPr="00742F04" w14:paraId="4A6EC52C" w14:textId="77777777" w:rsidTr="0064489E">
        <w:trPr>
          <w:gridAfter w:val="1"/>
          <w:wAfter w:w="46" w:type="dxa"/>
        </w:trPr>
        <w:tc>
          <w:tcPr>
            <w:tcW w:w="2376" w:type="dxa"/>
            <w:vMerge/>
            <w:shd w:val="clear" w:color="auto" w:fill="auto"/>
          </w:tcPr>
          <w:p w14:paraId="231045C6" w14:textId="77777777" w:rsidR="00D46E3B" w:rsidRPr="00742F04" w:rsidRDefault="00D46E3B" w:rsidP="0064489E">
            <w:pPr>
              <w:widowControl w:val="0"/>
              <w:rPr>
                <w:i/>
                <w:szCs w:val="22"/>
              </w:rPr>
            </w:pPr>
          </w:p>
        </w:tc>
        <w:tc>
          <w:tcPr>
            <w:tcW w:w="3969" w:type="dxa"/>
            <w:shd w:val="clear" w:color="auto" w:fill="auto"/>
            <w:vAlign w:val="center"/>
          </w:tcPr>
          <w:p w14:paraId="42517F04" w14:textId="77777777" w:rsidR="00D46E3B" w:rsidRPr="00742F04" w:rsidRDefault="00D46E3B" w:rsidP="0064489E">
            <w:pPr>
              <w:widowControl w:val="0"/>
              <w:tabs>
                <w:tab w:val="left" w:pos="1315"/>
              </w:tabs>
              <w:rPr>
                <w:szCs w:val="22"/>
              </w:rPr>
            </w:pPr>
            <w:r w:rsidRPr="00742F04">
              <w:rPr>
                <w:szCs w:val="22"/>
              </w:rPr>
              <w:t>Gubitak pamćenja</w:t>
            </w:r>
          </w:p>
        </w:tc>
        <w:tc>
          <w:tcPr>
            <w:tcW w:w="1503" w:type="dxa"/>
            <w:shd w:val="clear" w:color="auto" w:fill="auto"/>
            <w:vAlign w:val="center"/>
          </w:tcPr>
          <w:p w14:paraId="4B829E3C" w14:textId="77777777" w:rsidR="00D46E3B" w:rsidRPr="00742F04" w:rsidRDefault="00D46E3B" w:rsidP="0064489E">
            <w:pPr>
              <w:widowControl w:val="0"/>
              <w:rPr>
                <w:szCs w:val="22"/>
              </w:rPr>
            </w:pPr>
            <w:r w:rsidRPr="00742F04">
              <w:rPr>
                <w:szCs w:val="22"/>
              </w:rPr>
              <w:t>Veoma rijetko</w:t>
            </w:r>
          </w:p>
        </w:tc>
        <w:tc>
          <w:tcPr>
            <w:tcW w:w="1439" w:type="dxa"/>
            <w:vAlign w:val="center"/>
          </w:tcPr>
          <w:p w14:paraId="6CFD3F35" w14:textId="77777777" w:rsidR="00D46E3B" w:rsidRPr="00742F04" w:rsidRDefault="00D46E3B" w:rsidP="0064489E">
            <w:pPr>
              <w:widowControl w:val="0"/>
              <w:rPr>
                <w:szCs w:val="22"/>
              </w:rPr>
            </w:pPr>
            <w:r w:rsidRPr="00742F04">
              <w:rPr>
                <w:szCs w:val="22"/>
              </w:rPr>
              <w:t>–</w:t>
            </w:r>
          </w:p>
        </w:tc>
      </w:tr>
      <w:tr w:rsidR="00D46E3B" w:rsidRPr="00742F04" w14:paraId="1BA617C7" w14:textId="77777777" w:rsidTr="0064489E">
        <w:trPr>
          <w:gridAfter w:val="1"/>
          <w:wAfter w:w="46" w:type="dxa"/>
        </w:trPr>
        <w:tc>
          <w:tcPr>
            <w:tcW w:w="2376" w:type="dxa"/>
            <w:vMerge/>
            <w:shd w:val="clear" w:color="auto" w:fill="auto"/>
          </w:tcPr>
          <w:p w14:paraId="168EF8A3" w14:textId="77777777" w:rsidR="00D46E3B" w:rsidRPr="00742F04" w:rsidRDefault="00D46E3B" w:rsidP="0064489E">
            <w:pPr>
              <w:widowControl w:val="0"/>
              <w:rPr>
                <w:i/>
                <w:szCs w:val="22"/>
              </w:rPr>
            </w:pPr>
          </w:p>
        </w:tc>
        <w:tc>
          <w:tcPr>
            <w:tcW w:w="3969" w:type="dxa"/>
            <w:shd w:val="clear" w:color="auto" w:fill="auto"/>
            <w:vAlign w:val="center"/>
          </w:tcPr>
          <w:p w14:paraId="05E53BEB" w14:textId="77777777" w:rsidR="00D46E3B" w:rsidRPr="00742F04" w:rsidRDefault="00D46E3B" w:rsidP="0064489E">
            <w:pPr>
              <w:widowControl w:val="0"/>
              <w:ind w:left="187" w:hanging="187"/>
              <w:rPr>
                <w:szCs w:val="22"/>
              </w:rPr>
            </w:pPr>
            <w:r w:rsidRPr="00742F04">
              <w:rPr>
                <w:szCs w:val="22"/>
              </w:rPr>
              <w:t>Periferna neuropatija</w:t>
            </w:r>
          </w:p>
        </w:tc>
        <w:tc>
          <w:tcPr>
            <w:tcW w:w="1503" w:type="dxa"/>
            <w:shd w:val="clear" w:color="auto" w:fill="auto"/>
            <w:vAlign w:val="center"/>
          </w:tcPr>
          <w:p w14:paraId="46384A69" w14:textId="77777777" w:rsidR="00D46E3B" w:rsidRPr="00742F04" w:rsidRDefault="00D46E3B" w:rsidP="0064489E">
            <w:pPr>
              <w:widowControl w:val="0"/>
              <w:rPr>
                <w:szCs w:val="22"/>
              </w:rPr>
            </w:pPr>
            <w:r w:rsidRPr="00742F04">
              <w:rPr>
                <w:szCs w:val="22"/>
              </w:rPr>
              <w:t>Nepoznato</w:t>
            </w:r>
          </w:p>
        </w:tc>
        <w:tc>
          <w:tcPr>
            <w:tcW w:w="1439" w:type="dxa"/>
            <w:vAlign w:val="center"/>
          </w:tcPr>
          <w:p w14:paraId="788B8624" w14:textId="77777777" w:rsidR="00D46E3B" w:rsidRPr="00742F04" w:rsidRDefault="00D46E3B" w:rsidP="0064489E">
            <w:pPr>
              <w:widowControl w:val="0"/>
              <w:rPr>
                <w:szCs w:val="22"/>
              </w:rPr>
            </w:pPr>
            <w:r w:rsidRPr="00742F04">
              <w:rPr>
                <w:szCs w:val="22"/>
              </w:rPr>
              <w:t>–</w:t>
            </w:r>
          </w:p>
        </w:tc>
      </w:tr>
      <w:tr w:rsidR="00D46E3B" w:rsidRPr="00742F04" w14:paraId="4DCD346A" w14:textId="77777777" w:rsidTr="0064489E">
        <w:trPr>
          <w:gridAfter w:val="1"/>
          <w:wAfter w:w="46" w:type="dxa"/>
        </w:trPr>
        <w:tc>
          <w:tcPr>
            <w:tcW w:w="2376" w:type="dxa"/>
            <w:vMerge/>
            <w:shd w:val="clear" w:color="auto" w:fill="auto"/>
          </w:tcPr>
          <w:p w14:paraId="4DEAFB25" w14:textId="77777777" w:rsidR="00D46E3B" w:rsidRPr="00742F04" w:rsidRDefault="00D46E3B" w:rsidP="0064489E">
            <w:pPr>
              <w:widowControl w:val="0"/>
              <w:rPr>
                <w:i/>
                <w:szCs w:val="22"/>
              </w:rPr>
            </w:pPr>
          </w:p>
        </w:tc>
        <w:tc>
          <w:tcPr>
            <w:tcW w:w="3969" w:type="dxa"/>
            <w:shd w:val="clear" w:color="auto" w:fill="auto"/>
            <w:vAlign w:val="center"/>
          </w:tcPr>
          <w:p w14:paraId="4AB189B7" w14:textId="77777777" w:rsidR="00D46E3B" w:rsidRPr="00742F04" w:rsidRDefault="00D46E3B" w:rsidP="0064489E">
            <w:pPr>
              <w:widowControl w:val="0"/>
              <w:tabs>
                <w:tab w:val="left" w:pos="1315"/>
              </w:tabs>
              <w:rPr>
                <w:szCs w:val="22"/>
              </w:rPr>
            </w:pPr>
            <w:r w:rsidRPr="00742F04">
              <w:rPr>
                <w:szCs w:val="22"/>
              </w:rPr>
              <w:t>Poremećaji sna (uključujući nesanicu i noćne more)</w:t>
            </w:r>
          </w:p>
        </w:tc>
        <w:tc>
          <w:tcPr>
            <w:tcW w:w="1503" w:type="dxa"/>
            <w:shd w:val="clear" w:color="auto" w:fill="auto"/>
            <w:vAlign w:val="center"/>
          </w:tcPr>
          <w:p w14:paraId="17FD1211" w14:textId="77777777" w:rsidR="00D46E3B" w:rsidRPr="00742F04" w:rsidRDefault="00D46E3B" w:rsidP="0064489E">
            <w:pPr>
              <w:widowControl w:val="0"/>
              <w:rPr>
                <w:szCs w:val="22"/>
              </w:rPr>
            </w:pPr>
            <w:r w:rsidRPr="00742F04">
              <w:rPr>
                <w:szCs w:val="22"/>
              </w:rPr>
              <w:t>Nepoznato</w:t>
            </w:r>
          </w:p>
        </w:tc>
        <w:tc>
          <w:tcPr>
            <w:tcW w:w="1439" w:type="dxa"/>
            <w:vAlign w:val="center"/>
          </w:tcPr>
          <w:p w14:paraId="62AACED2" w14:textId="77777777" w:rsidR="00D46E3B" w:rsidRPr="00742F04" w:rsidRDefault="00D46E3B" w:rsidP="0064489E">
            <w:pPr>
              <w:widowControl w:val="0"/>
              <w:rPr>
                <w:szCs w:val="22"/>
              </w:rPr>
            </w:pPr>
            <w:r w:rsidRPr="00742F04">
              <w:rPr>
                <w:szCs w:val="22"/>
              </w:rPr>
              <w:t>–</w:t>
            </w:r>
          </w:p>
        </w:tc>
      </w:tr>
      <w:tr w:rsidR="00D46E3B" w:rsidRPr="00742F04" w14:paraId="16B33437" w14:textId="77777777" w:rsidTr="0064489E">
        <w:trPr>
          <w:gridAfter w:val="1"/>
          <w:wAfter w:w="46" w:type="dxa"/>
        </w:trPr>
        <w:tc>
          <w:tcPr>
            <w:tcW w:w="2376" w:type="dxa"/>
            <w:vMerge/>
            <w:shd w:val="clear" w:color="auto" w:fill="auto"/>
          </w:tcPr>
          <w:p w14:paraId="5460B673" w14:textId="77777777" w:rsidR="00D46E3B" w:rsidRPr="00742F04" w:rsidRDefault="00D46E3B" w:rsidP="0064489E">
            <w:pPr>
              <w:widowControl w:val="0"/>
              <w:rPr>
                <w:i/>
                <w:szCs w:val="22"/>
              </w:rPr>
            </w:pPr>
          </w:p>
        </w:tc>
        <w:tc>
          <w:tcPr>
            <w:tcW w:w="3969" w:type="dxa"/>
            <w:shd w:val="clear" w:color="auto" w:fill="auto"/>
            <w:vAlign w:val="center"/>
          </w:tcPr>
          <w:p w14:paraId="1D4441DB" w14:textId="77777777" w:rsidR="00D46E3B" w:rsidRPr="00742F04" w:rsidRDefault="00D46E3B" w:rsidP="0064489E">
            <w:pPr>
              <w:widowControl w:val="0"/>
              <w:rPr>
                <w:szCs w:val="22"/>
              </w:rPr>
            </w:pPr>
            <w:r w:rsidRPr="00742F04">
              <w:rPr>
                <w:szCs w:val="22"/>
              </w:rPr>
              <w:t>Parestezija</w:t>
            </w:r>
          </w:p>
        </w:tc>
        <w:tc>
          <w:tcPr>
            <w:tcW w:w="1503" w:type="dxa"/>
            <w:shd w:val="clear" w:color="auto" w:fill="auto"/>
            <w:vAlign w:val="center"/>
          </w:tcPr>
          <w:p w14:paraId="5E9F2D7F" w14:textId="77777777" w:rsidR="00D46E3B" w:rsidRPr="00742F04" w:rsidRDefault="00D46E3B" w:rsidP="0064489E">
            <w:pPr>
              <w:widowControl w:val="0"/>
              <w:rPr>
                <w:szCs w:val="22"/>
              </w:rPr>
            </w:pPr>
            <w:r w:rsidRPr="00742F04">
              <w:rPr>
                <w:szCs w:val="22"/>
              </w:rPr>
              <w:t>–</w:t>
            </w:r>
          </w:p>
        </w:tc>
        <w:tc>
          <w:tcPr>
            <w:tcW w:w="1439" w:type="dxa"/>
            <w:vAlign w:val="center"/>
          </w:tcPr>
          <w:p w14:paraId="1BA15128" w14:textId="77777777" w:rsidR="00D46E3B" w:rsidRPr="00742F04" w:rsidRDefault="00D46E3B" w:rsidP="0064489E">
            <w:pPr>
              <w:widowControl w:val="0"/>
              <w:rPr>
                <w:szCs w:val="22"/>
              </w:rPr>
            </w:pPr>
            <w:r>
              <w:rPr>
                <w:szCs w:val="22"/>
              </w:rPr>
              <w:t>Povremeno</w:t>
            </w:r>
          </w:p>
        </w:tc>
      </w:tr>
      <w:tr w:rsidR="00D46E3B" w:rsidRPr="00742F04" w14:paraId="05F81CC1" w14:textId="77777777" w:rsidTr="0064489E">
        <w:trPr>
          <w:gridAfter w:val="1"/>
          <w:wAfter w:w="46" w:type="dxa"/>
        </w:trPr>
        <w:tc>
          <w:tcPr>
            <w:tcW w:w="2376" w:type="dxa"/>
            <w:vMerge/>
            <w:shd w:val="clear" w:color="auto" w:fill="auto"/>
          </w:tcPr>
          <w:p w14:paraId="4EEE8772" w14:textId="77777777" w:rsidR="00D46E3B" w:rsidRPr="00742F04" w:rsidRDefault="00D46E3B" w:rsidP="0064489E">
            <w:pPr>
              <w:widowControl w:val="0"/>
              <w:rPr>
                <w:i/>
                <w:szCs w:val="22"/>
              </w:rPr>
            </w:pPr>
          </w:p>
        </w:tc>
        <w:tc>
          <w:tcPr>
            <w:tcW w:w="3969" w:type="dxa"/>
            <w:shd w:val="clear" w:color="auto" w:fill="auto"/>
            <w:vAlign w:val="center"/>
          </w:tcPr>
          <w:p w14:paraId="2FCF0ABD" w14:textId="2E2194A5" w:rsidR="00D46E3B" w:rsidRPr="00742F04" w:rsidRDefault="00D46E3B" w:rsidP="0064489E">
            <w:pPr>
              <w:widowControl w:val="0"/>
              <w:rPr>
                <w:szCs w:val="22"/>
              </w:rPr>
            </w:pPr>
            <w:r>
              <w:rPr>
                <w:szCs w:val="22"/>
              </w:rPr>
              <w:t>M</w:t>
            </w:r>
            <w:r w:rsidR="00860C5B">
              <w:rPr>
                <w:szCs w:val="22"/>
              </w:rPr>
              <w:t>iast</w:t>
            </w:r>
            <w:r w:rsidRPr="00D46E3B">
              <w:rPr>
                <w:szCs w:val="22"/>
              </w:rPr>
              <w:t>enia gravis</w:t>
            </w:r>
          </w:p>
        </w:tc>
        <w:tc>
          <w:tcPr>
            <w:tcW w:w="1503" w:type="dxa"/>
            <w:shd w:val="clear" w:color="auto" w:fill="auto"/>
            <w:vAlign w:val="center"/>
          </w:tcPr>
          <w:p w14:paraId="34DBD04C" w14:textId="2BA05438" w:rsidR="00D46E3B" w:rsidRPr="00742F04" w:rsidRDefault="00D46E3B" w:rsidP="0064489E">
            <w:pPr>
              <w:widowControl w:val="0"/>
              <w:rPr>
                <w:szCs w:val="22"/>
              </w:rPr>
            </w:pPr>
            <w:r w:rsidRPr="00742F04">
              <w:rPr>
                <w:szCs w:val="22"/>
              </w:rPr>
              <w:t>Nepoznato</w:t>
            </w:r>
          </w:p>
        </w:tc>
        <w:tc>
          <w:tcPr>
            <w:tcW w:w="1439" w:type="dxa"/>
            <w:vAlign w:val="center"/>
          </w:tcPr>
          <w:p w14:paraId="6FD2D311" w14:textId="4368B103" w:rsidR="00D46E3B" w:rsidRDefault="00D46E3B" w:rsidP="0064489E">
            <w:pPr>
              <w:widowControl w:val="0"/>
              <w:rPr>
                <w:szCs w:val="22"/>
              </w:rPr>
            </w:pPr>
            <w:r>
              <w:rPr>
                <w:szCs w:val="22"/>
              </w:rPr>
              <w:t>–</w:t>
            </w:r>
          </w:p>
        </w:tc>
      </w:tr>
      <w:tr w:rsidR="00D46E3B" w:rsidRPr="00742F04" w14:paraId="0D933600" w14:textId="77777777" w:rsidTr="0064489E">
        <w:trPr>
          <w:gridAfter w:val="1"/>
          <w:wAfter w:w="46" w:type="dxa"/>
        </w:trPr>
        <w:tc>
          <w:tcPr>
            <w:tcW w:w="2376" w:type="dxa"/>
            <w:shd w:val="clear" w:color="auto" w:fill="auto"/>
          </w:tcPr>
          <w:p w14:paraId="6B916616" w14:textId="5C8F6FFD" w:rsidR="00D46E3B" w:rsidRPr="00742F04" w:rsidRDefault="00860C5B" w:rsidP="00D46E3B">
            <w:pPr>
              <w:widowControl w:val="0"/>
              <w:rPr>
                <w:i/>
                <w:szCs w:val="22"/>
              </w:rPr>
            </w:pPr>
            <w:r>
              <w:rPr>
                <w:i/>
                <w:szCs w:val="22"/>
              </w:rPr>
              <w:t>Poremećaji oka</w:t>
            </w:r>
          </w:p>
        </w:tc>
        <w:tc>
          <w:tcPr>
            <w:tcW w:w="3969" w:type="dxa"/>
            <w:shd w:val="clear" w:color="auto" w:fill="auto"/>
            <w:vAlign w:val="center"/>
          </w:tcPr>
          <w:p w14:paraId="44064D75" w14:textId="6A485C76" w:rsidR="00D46E3B" w:rsidRDefault="00860C5B" w:rsidP="00D46E3B">
            <w:pPr>
              <w:widowControl w:val="0"/>
              <w:rPr>
                <w:szCs w:val="22"/>
              </w:rPr>
            </w:pPr>
            <w:r>
              <w:rPr>
                <w:szCs w:val="22"/>
              </w:rPr>
              <w:t>Okularna miastenija</w:t>
            </w:r>
          </w:p>
        </w:tc>
        <w:tc>
          <w:tcPr>
            <w:tcW w:w="1503" w:type="dxa"/>
            <w:shd w:val="clear" w:color="auto" w:fill="auto"/>
            <w:vAlign w:val="center"/>
          </w:tcPr>
          <w:p w14:paraId="40D657E6" w14:textId="7F84CB79" w:rsidR="00D46E3B" w:rsidRPr="00742F04" w:rsidRDefault="00D46E3B" w:rsidP="00D46E3B">
            <w:pPr>
              <w:widowControl w:val="0"/>
              <w:rPr>
                <w:szCs w:val="22"/>
              </w:rPr>
            </w:pPr>
            <w:r w:rsidRPr="00742F04">
              <w:rPr>
                <w:szCs w:val="22"/>
              </w:rPr>
              <w:t>Nepoznato</w:t>
            </w:r>
          </w:p>
        </w:tc>
        <w:tc>
          <w:tcPr>
            <w:tcW w:w="1439" w:type="dxa"/>
            <w:vAlign w:val="center"/>
          </w:tcPr>
          <w:p w14:paraId="79F6D696" w14:textId="247EDF5D" w:rsidR="00D46E3B" w:rsidRDefault="00D46E3B" w:rsidP="00D46E3B">
            <w:pPr>
              <w:widowControl w:val="0"/>
              <w:rPr>
                <w:szCs w:val="22"/>
              </w:rPr>
            </w:pPr>
            <w:r>
              <w:rPr>
                <w:szCs w:val="22"/>
              </w:rPr>
              <w:t>–</w:t>
            </w:r>
          </w:p>
        </w:tc>
      </w:tr>
      <w:tr w:rsidR="00D46E3B" w:rsidRPr="00742F04" w14:paraId="0A5FF841" w14:textId="77777777" w:rsidTr="0064489E">
        <w:trPr>
          <w:gridAfter w:val="1"/>
          <w:wAfter w:w="46" w:type="dxa"/>
          <w:trHeight w:val="275"/>
        </w:trPr>
        <w:tc>
          <w:tcPr>
            <w:tcW w:w="2376" w:type="dxa"/>
            <w:shd w:val="clear" w:color="auto" w:fill="auto"/>
          </w:tcPr>
          <w:p w14:paraId="73E6DCCC" w14:textId="77777777" w:rsidR="00D46E3B" w:rsidRPr="00742F04" w:rsidRDefault="00D46E3B" w:rsidP="00D46E3B">
            <w:pPr>
              <w:widowControl w:val="0"/>
              <w:rPr>
                <w:i/>
                <w:szCs w:val="22"/>
              </w:rPr>
            </w:pPr>
            <w:r w:rsidRPr="00742F04">
              <w:rPr>
                <w:i/>
                <w:szCs w:val="22"/>
              </w:rPr>
              <w:t>Vaskularni poremećaji</w:t>
            </w:r>
          </w:p>
        </w:tc>
        <w:tc>
          <w:tcPr>
            <w:tcW w:w="3969" w:type="dxa"/>
            <w:shd w:val="clear" w:color="auto" w:fill="auto"/>
            <w:vAlign w:val="center"/>
          </w:tcPr>
          <w:p w14:paraId="7AB16E80" w14:textId="77777777" w:rsidR="00D46E3B" w:rsidRPr="00742F04" w:rsidRDefault="00D46E3B" w:rsidP="00D46E3B">
            <w:pPr>
              <w:widowControl w:val="0"/>
              <w:rPr>
                <w:szCs w:val="22"/>
              </w:rPr>
            </w:pPr>
            <w:r w:rsidRPr="00742F04">
              <w:rPr>
                <w:szCs w:val="22"/>
              </w:rPr>
              <w:t>Naleti vrućine, hipertenzija</w:t>
            </w:r>
          </w:p>
        </w:tc>
        <w:tc>
          <w:tcPr>
            <w:tcW w:w="1503" w:type="dxa"/>
            <w:shd w:val="clear" w:color="auto" w:fill="auto"/>
            <w:vAlign w:val="center"/>
          </w:tcPr>
          <w:p w14:paraId="03E91007" w14:textId="77777777" w:rsidR="00D46E3B" w:rsidRPr="00742F04" w:rsidRDefault="00D46E3B" w:rsidP="00D46E3B">
            <w:pPr>
              <w:widowControl w:val="0"/>
              <w:rPr>
                <w:szCs w:val="22"/>
              </w:rPr>
            </w:pPr>
            <w:r w:rsidRPr="00742F04">
              <w:rPr>
                <w:szCs w:val="22"/>
              </w:rPr>
              <w:t>–</w:t>
            </w:r>
          </w:p>
        </w:tc>
        <w:tc>
          <w:tcPr>
            <w:tcW w:w="1439" w:type="dxa"/>
            <w:vAlign w:val="center"/>
          </w:tcPr>
          <w:p w14:paraId="1F1882D5" w14:textId="77777777" w:rsidR="00D46E3B" w:rsidRPr="00742F04" w:rsidRDefault="00D46E3B" w:rsidP="00D46E3B">
            <w:pPr>
              <w:widowControl w:val="0"/>
              <w:rPr>
                <w:szCs w:val="22"/>
              </w:rPr>
            </w:pPr>
            <w:r>
              <w:rPr>
                <w:szCs w:val="22"/>
              </w:rPr>
              <w:t>Povremeno</w:t>
            </w:r>
          </w:p>
        </w:tc>
      </w:tr>
      <w:tr w:rsidR="00D46E3B" w:rsidRPr="00742F04" w14:paraId="5A920D8C" w14:textId="77777777" w:rsidTr="0064489E">
        <w:trPr>
          <w:gridAfter w:val="1"/>
          <w:wAfter w:w="46" w:type="dxa"/>
          <w:trHeight w:val="275"/>
        </w:trPr>
        <w:tc>
          <w:tcPr>
            <w:tcW w:w="2376" w:type="dxa"/>
            <w:vMerge w:val="restart"/>
            <w:shd w:val="clear" w:color="auto" w:fill="auto"/>
          </w:tcPr>
          <w:p w14:paraId="1EC3850C" w14:textId="77777777" w:rsidR="00D46E3B" w:rsidRPr="00742F04" w:rsidRDefault="00D46E3B" w:rsidP="00D46E3B">
            <w:pPr>
              <w:widowControl w:val="0"/>
              <w:rPr>
                <w:i/>
                <w:szCs w:val="22"/>
              </w:rPr>
            </w:pPr>
            <w:r w:rsidRPr="00742F04">
              <w:rPr>
                <w:i/>
                <w:szCs w:val="22"/>
              </w:rPr>
              <w:t>Respiratorni, torakalni i medijastinalni poremećaji</w:t>
            </w:r>
          </w:p>
        </w:tc>
        <w:tc>
          <w:tcPr>
            <w:tcW w:w="3969" w:type="dxa"/>
            <w:shd w:val="clear" w:color="auto" w:fill="auto"/>
            <w:vAlign w:val="center"/>
          </w:tcPr>
          <w:p w14:paraId="4DD3D003" w14:textId="77777777" w:rsidR="00D46E3B" w:rsidRPr="00742F04" w:rsidRDefault="00D46E3B" w:rsidP="00D46E3B">
            <w:pPr>
              <w:widowControl w:val="0"/>
              <w:rPr>
                <w:szCs w:val="22"/>
              </w:rPr>
            </w:pPr>
            <w:r w:rsidRPr="00742F04">
              <w:rPr>
                <w:szCs w:val="22"/>
              </w:rPr>
              <w:t>Kašalj</w:t>
            </w:r>
          </w:p>
        </w:tc>
        <w:tc>
          <w:tcPr>
            <w:tcW w:w="1503" w:type="dxa"/>
            <w:shd w:val="clear" w:color="auto" w:fill="auto"/>
            <w:vAlign w:val="center"/>
          </w:tcPr>
          <w:p w14:paraId="51DFD4D6" w14:textId="77777777" w:rsidR="00D46E3B" w:rsidRPr="00742F04" w:rsidRDefault="00D46E3B" w:rsidP="00D46E3B">
            <w:pPr>
              <w:widowControl w:val="0"/>
              <w:rPr>
                <w:szCs w:val="22"/>
              </w:rPr>
            </w:pPr>
            <w:r w:rsidRPr="00742F04">
              <w:rPr>
                <w:szCs w:val="22"/>
              </w:rPr>
              <w:t>Nepoznato</w:t>
            </w:r>
          </w:p>
        </w:tc>
        <w:tc>
          <w:tcPr>
            <w:tcW w:w="1439" w:type="dxa"/>
            <w:vAlign w:val="center"/>
          </w:tcPr>
          <w:p w14:paraId="12F4F61A" w14:textId="77777777" w:rsidR="00D46E3B" w:rsidRPr="00742F04" w:rsidRDefault="00D46E3B" w:rsidP="00D46E3B">
            <w:pPr>
              <w:widowControl w:val="0"/>
              <w:rPr>
                <w:szCs w:val="22"/>
              </w:rPr>
            </w:pPr>
            <w:r>
              <w:rPr>
                <w:szCs w:val="22"/>
              </w:rPr>
              <w:t>Povremeno</w:t>
            </w:r>
            <w:r w:rsidRPr="00742F04" w:rsidDel="0064040E">
              <w:rPr>
                <w:szCs w:val="22"/>
              </w:rPr>
              <w:t xml:space="preserve"> </w:t>
            </w:r>
          </w:p>
        </w:tc>
      </w:tr>
      <w:tr w:rsidR="00D46E3B" w:rsidRPr="00742F04" w14:paraId="10DDCB3D" w14:textId="77777777" w:rsidTr="0064489E">
        <w:trPr>
          <w:gridAfter w:val="1"/>
          <w:wAfter w:w="46" w:type="dxa"/>
        </w:trPr>
        <w:tc>
          <w:tcPr>
            <w:tcW w:w="2376" w:type="dxa"/>
            <w:vMerge/>
            <w:shd w:val="clear" w:color="auto" w:fill="auto"/>
          </w:tcPr>
          <w:p w14:paraId="301EA65A" w14:textId="77777777" w:rsidR="00D46E3B" w:rsidRPr="00742F04" w:rsidRDefault="00D46E3B" w:rsidP="00D46E3B">
            <w:pPr>
              <w:widowControl w:val="0"/>
              <w:rPr>
                <w:i/>
                <w:szCs w:val="22"/>
              </w:rPr>
            </w:pPr>
          </w:p>
        </w:tc>
        <w:tc>
          <w:tcPr>
            <w:tcW w:w="3969" w:type="dxa"/>
            <w:shd w:val="clear" w:color="auto" w:fill="auto"/>
            <w:vAlign w:val="center"/>
          </w:tcPr>
          <w:p w14:paraId="22E09327" w14:textId="77777777" w:rsidR="00D46E3B" w:rsidRPr="00742F04" w:rsidRDefault="00D46E3B" w:rsidP="00D46E3B">
            <w:pPr>
              <w:widowControl w:val="0"/>
              <w:tabs>
                <w:tab w:val="left" w:pos="1315"/>
              </w:tabs>
              <w:rPr>
                <w:szCs w:val="22"/>
              </w:rPr>
            </w:pPr>
            <w:r w:rsidRPr="00742F04">
              <w:rPr>
                <w:szCs w:val="22"/>
              </w:rPr>
              <w:t>Dispneja</w:t>
            </w:r>
          </w:p>
        </w:tc>
        <w:tc>
          <w:tcPr>
            <w:tcW w:w="1503" w:type="dxa"/>
            <w:shd w:val="clear" w:color="auto" w:fill="auto"/>
            <w:vAlign w:val="center"/>
          </w:tcPr>
          <w:p w14:paraId="1C7A0B73" w14:textId="77777777" w:rsidR="00D46E3B" w:rsidRPr="00742F04" w:rsidRDefault="00D46E3B" w:rsidP="00D46E3B">
            <w:pPr>
              <w:widowControl w:val="0"/>
              <w:rPr>
                <w:szCs w:val="22"/>
              </w:rPr>
            </w:pPr>
            <w:r w:rsidRPr="00742F04">
              <w:rPr>
                <w:szCs w:val="22"/>
              </w:rPr>
              <w:t>Nepoznato</w:t>
            </w:r>
          </w:p>
        </w:tc>
        <w:tc>
          <w:tcPr>
            <w:tcW w:w="1439" w:type="dxa"/>
            <w:vAlign w:val="center"/>
          </w:tcPr>
          <w:p w14:paraId="1115EACF" w14:textId="77777777" w:rsidR="00D46E3B" w:rsidRPr="00742F04" w:rsidRDefault="00D46E3B" w:rsidP="00D46E3B">
            <w:pPr>
              <w:widowControl w:val="0"/>
              <w:rPr>
                <w:szCs w:val="22"/>
              </w:rPr>
            </w:pPr>
            <w:r>
              <w:rPr>
                <w:szCs w:val="22"/>
              </w:rPr>
              <w:t>Nepoznato</w:t>
            </w:r>
          </w:p>
        </w:tc>
      </w:tr>
      <w:tr w:rsidR="00D46E3B" w:rsidRPr="00742F04" w14:paraId="1E96957E" w14:textId="77777777" w:rsidTr="0064489E">
        <w:trPr>
          <w:gridAfter w:val="1"/>
          <w:wAfter w:w="46" w:type="dxa"/>
        </w:trPr>
        <w:tc>
          <w:tcPr>
            <w:tcW w:w="2376" w:type="dxa"/>
            <w:vMerge w:val="restart"/>
            <w:shd w:val="clear" w:color="auto" w:fill="auto"/>
          </w:tcPr>
          <w:p w14:paraId="27CA93F1" w14:textId="77777777" w:rsidR="00D46E3B" w:rsidRPr="00742F04" w:rsidRDefault="00D46E3B" w:rsidP="00D46E3B">
            <w:pPr>
              <w:widowControl w:val="0"/>
              <w:rPr>
                <w:i/>
                <w:szCs w:val="22"/>
              </w:rPr>
            </w:pPr>
            <w:r w:rsidRPr="00742F04">
              <w:rPr>
                <w:i/>
                <w:szCs w:val="22"/>
              </w:rPr>
              <w:lastRenderedPageBreak/>
              <w:t>Gastrointestinalni poremećaji</w:t>
            </w:r>
          </w:p>
        </w:tc>
        <w:tc>
          <w:tcPr>
            <w:tcW w:w="3969" w:type="dxa"/>
            <w:shd w:val="clear" w:color="auto" w:fill="auto"/>
            <w:vAlign w:val="center"/>
          </w:tcPr>
          <w:p w14:paraId="219A418B" w14:textId="77777777" w:rsidR="00D46E3B" w:rsidRPr="00742F04" w:rsidRDefault="00D46E3B" w:rsidP="00D46E3B">
            <w:pPr>
              <w:widowControl w:val="0"/>
              <w:rPr>
                <w:szCs w:val="22"/>
              </w:rPr>
            </w:pPr>
            <w:r w:rsidRPr="00742F04">
              <w:rPr>
                <w:szCs w:val="22"/>
              </w:rPr>
              <w:t>Konstipacija</w:t>
            </w:r>
          </w:p>
        </w:tc>
        <w:tc>
          <w:tcPr>
            <w:tcW w:w="1503" w:type="dxa"/>
            <w:shd w:val="clear" w:color="auto" w:fill="auto"/>
            <w:vAlign w:val="center"/>
          </w:tcPr>
          <w:p w14:paraId="35D145CB" w14:textId="77777777" w:rsidR="00D46E3B" w:rsidRPr="00742F04" w:rsidRDefault="00D46E3B" w:rsidP="00D46E3B">
            <w:pPr>
              <w:widowControl w:val="0"/>
              <w:rPr>
                <w:szCs w:val="22"/>
              </w:rPr>
            </w:pPr>
            <w:r w:rsidRPr="00742F04">
              <w:rPr>
                <w:szCs w:val="22"/>
              </w:rPr>
              <w:t>Često</w:t>
            </w:r>
          </w:p>
        </w:tc>
        <w:tc>
          <w:tcPr>
            <w:tcW w:w="1439" w:type="dxa"/>
            <w:vAlign w:val="center"/>
          </w:tcPr>
          <w:p w14:paraId="386F3D7C" w14:textId="77777777" w:rsidR="00D46E3B" w:rsidRPr="00742F04" w:rsidRDefault="00D46E3B" w:rsidP="00D46E3B">
            <w:pPr>
              <w:widowControl w:val="0"/>
              <w:rPr>
                <w:szCs w:val="22"/>
              </w:rPr>
            </w:pPr>
            <w:r w:rsidRPr="00742F04">
              <w:rPr>
                <w:szCs w:val="22"/>
              </w:rPr>
              <w:t>Nepoznato</w:t>
            </w:r>
          </w:p>
        </w:tc>
      </w:tr>
      <w:tr w:rsidR="00D46E3B" w:rsidRPr="00742F04" w14:paraId="18D2F4A7" w14:textId="77777777" w:rsidTr="0064489E">
        <w:trPr>
          <w:gridAfter w:val="1"/>
          <w:wAfter w:w="46" w:type="dxa"/>
        </w:trPr>
        <w:tc>
          <w:tcPr>
            <w:tcW w:w="2376" w:type="dxa"/>
            <w:vMerge/>
            <w:shd w:val="clear" w:color="auto" w:fill="auto"/>
          </w:tcPr>
          <w:p w14:paraId="11F1B547" w14:textId="77777777" w:rsidR="00D46E3B" w:rsidRPr="00742F04" w:rsidRDefault="00D46E3B" w:rsidP="00D46E3B">
            <w:pPr>
              <w:widowControl w:val="0"/>
              <w:rPr>
                <w:i/>
                <w:szCs w:val="22"/>
              </w:rPr>
            </w:pPr>
          </w:p>
        </w:tc>
        <w:tc>
          <w:tcPr>
            <w:tcW w:w="3969" w:type="dxa"/>
            <w:shd w:val="clear" w:color="auto" w:fill="auto"/>
            <w:vAlign w:val="center"/>
          </w:tcPr>
          <w:p w14:paraId="00C4289B" w14:textId="77777777" w:rsidR="00D46E3B" w:rsidRPr="00742F04" w:rsidRDefault="00D46E3B" w:rsidP="00D46E3B">
            <w:pPr>
              <w:widowControl w:val="0"/>
              <w:rPr>
                <w:szCs w:val="22"/>
              </w:rPr>
            </w:pPr>
            <w:r w:rsidRPr="00742F04">
              <w:rPr>
                <w:szCs w:val="22"/>
              </w:rPr>
              <w:t>Mučnina</w:t>
            </w:r>
          </w:p>
        </w:tc>
        <w:tc>
          <w:tcPr>
            <w:tcW w:w="1503" w:type="dxa"/>
            <w:shd w:val="clear" w:color="auto" w:fill="auto"/>
            <w:vAlign w:val="center"/>
          </w:tcPr>
          <w:p w14:paraId="0056848D" w14:textId="77777777" w:rsidR="00D46E3B" w:rsidRPr="00742F04" w:rsidRDefault="00D46E3B" w:rsidP="00D46E3B">
            <w:pPr>
              <w:widowControl w:val="0"/>
              <w:rPr>
                <w:szCs w:val="22"/>
              </w:rPr>
            </w:pPr>
            <w:r w:rsidRPr="00742F04">
              <w:rPr>
                <w:szCs w:val="22"/>
              </w:rPr>
              <w:t>Često</w:t>
            </w:r>
          </w:p>
        </w:tc>
        <w:tc>
          <w:tcPr>
            <w:tcW w:w="1439" w:type="dxa"/>
            <w:vAlign w:val="center"/>
          </w:tcPr>
          <w:p w14:paraId="1227B838" w14:textId="77777777" w:rsidR="00D46E3B" w:rsidRPr="00742F04" w:rsidRDefault="00D46E3B" w:rsidP="00D46E3B">
            <w:pPr>
              <w:widowControl w:val="0"/>
              <w:rPr>
                <w:szCs w:val="22"/>
              </w:rPr>
            </w:pPr>
            <w:r>
              <w:rPr>
                <w:szCs w:val="22"/>
              </w:rPr>
              <w:t>Povrmeno</w:t>
            </w:r>
          </w:p>
        </w:tc>
      </w:tr>
      <w:tr w:rsidR="00D46E3B" w:rsidRPr="00742F04" w14:paraId="4BD69533" w14:textId="77777777" w:rsidTr="0064489E">
        <w:trPr>
          <w:gridAfter w:val="1"/>
          <w:wAfter w:w="46" w:type="dxa"/>
        </w:trPr>
        <w:tc>
          <w:tcPr>
            <w:tcW w:w="2376" w:type="dxa"/>
            <w:vMerge/>
            <w:shd w:val="clear" w:color="auto" w:fill="auto"/>
          </w:tcPr>
          <w:p w14:paraId="70007080" w14:textId="77777777" w:rsidR="00D46E3B" w:rsidRPr="00742F04" w:rsidRDefault="00D46E3B" w:rsidP="00D46E3B">
            <w:pPr>
              <w:widowControl w:val="0"/>
              <w:rPr>
                <w:i/>
                <w:szCs w:val="22"/>
              </w:rPr>
            </w:pPr>
          </w:p>
        </w:tc>
        <w:tc>
          <w:tcPr>
            <w:tcW w:w="3969" w:type="dxa"/>
            <w:shd w:val="clear" w:color="auto" w:fill="auto"/>
            <w:vAlign w:val="center"/>
          </w:tcPr>
          <w:p w14:paraId="5BE8C36D" w14:textId="77777777" w:rsidR="00D46E3B" w:rsidRPr="00742F04" w:rsidRDefault="00D46E3B" w:rsidP="00D46E3B">
            <w:pPr>
              <w:widowControl w:val="0"/>
              <w:tabs>
                <w:tab w:val="left" w:pos="1315"/>
              </w:tabs>
              <w:rPr>
                <w:szCs w:val="22"/>
              </w:rPr>
            </w:pPr>
            <w:r w:rsidRPr="00742F04">
              <w:rPr>
                <w:szCs w:val="22"/>
              </w:rPr>
              <w:t>Bol u stomaku</w:t>
            </w:r>
          </w:p>
        </w:tc>
        <w:tc>
          <w:tcPr>
            <w:tcW w:w="1503" w:type="dxa"/>
            <w:shd w:val="clear" w:color="auto" w:fill="auto"/>
            <w:vAlign w:val="center"/>
          </w:tcPr>
          <w:p w14:paraId="0B9E2037" w14:textId="77777777" w:rsidR="00D46E3B" w:rsidRPr="00742F04" w:rsidRDefault="00D46E3B" w:rsidP="00D46E3B">
            <w:pPr>
              <w:widowControl w:val="0"/>
              <w:rPr>
                <w:szCs w:val="22"/>
              </w:rPr>
            </w:pPr>
            <w:r w:rsidRPr="00742F04">
              <w:rPr>
                <w:szCs w:val="22"/>
              </w:rPr>
              <w:t>Često</w:t>
            </w:r>
          </w:p>
        </w:tc>
        <w:tc>
          <w:tcPr>
            <w:tcW w:w="1439" w:type="dxa"/>
            <w:vAlign w:val="center"/>
          </w:tcPr>
          <w:p w14:paraId="4C469BDF" w14:textId="77777777" w:rsidR="00D46E3B" w:rsidRPr="00742F04" w:rsidRDefault="00D46E3B" w:rsidP="00D46E3B">
            <w:pPr>
              <w:widowControl w:val="0"/>
              <w:rPr>
                <w:szCs w:val="22"/>
              </w:rPr>
            </w:pPr>
            <w:r w:rsidRPr="00742F04">
              <w:rPr>
                <w:szCs w:val="22"/>
              </w:rPr>
              <w:t>Često</w:t>
            </w:r>
          </w:p>
        </w:tc>
      </w:tr>
      <w:tr w:rsidR="00D46E3B" w:rsidRPr="00742F04" w14:paraId="1A661A71" w14:textId="77777777" w:rsidTr="0064489E">
        <w:trPr>
          <w:gridAfter w:val="1"/>
          <w:wAfter w:w="46" w:type="dxa"/>
        </w:trPr>
        <w:tc>
          <w:tcPr>
            <w:tcW w:w="2376" w:type="dxa"/>
            <w:vMerge/>
            <w:shd w:val="clear" w:color="auto" w:fill="auto"/>
          </w:tcPr>
          <w:p w14:paraId="0226A18B" w14:textId="77777777" w:rsidR="00D46E3B" w:rsidRPr="00742F04" w:rsidRDefault="00D46E3B" w:rsidP="00D46E3B">
            <w:pPr>
              <w:widowControl w:val="0"/>
              <w:rPr>
                <w:i/>
                <w:szCs w:val="22"/>
              </w:rPr>
            </w:pPr>
          </w:p>
        </w:tc>
        <w:tc>
          <w:tcPr>
            <w:tcW w:w="3969" w:type="dxa"/>
            <w:shd w:val="clear" w:color="auto" w:fill="auto"/>
            <w:vAlign w:val="center"/>
          </w:tcPr>
          <w:p w14:paraId="1F100712" w14:textId="77777777" w:rsidR="00D46E3B" w:rsidRPr="00742F04" w:rsidRDefault="00D46E3B" w:rsidP="00D46E3B">
            <w:pPr>
              <w:widowControl w:val="0"/>
              <w:tabs>
                <w:tab w:val="left" w:pos="1315"/>
              </w:tabs>
              <w:rPr>
                <w:szCs w:val="22"/>
              </w:rPr>
            </w:pPr>
            <w:r w:rsidRPr="00742F04">
              <w:rPr>
                <w:szCs w:val="22"/>
              </w:rPr>
              <w:t>Pankreatitis</w:t>
            </w:r>
          </w:p>
        </w:tc>
        <w:tc>
          <w:tcPr>
            <w:tcW w:w="1503" w:type="dxa"/>
            <w:shd w:val="clear" w:color="auto" w:fill="auto"/>
            <w:vAlign w:val="center"/>
          </w:tcPr>
          <w:p w14:paraId="44EC1283" w14:textId="77777777" w:rsidR="00D46E3B" w:rsidRPr="00742F04" w:rsidRDefault="00D46E3B" w:rsidP="00D46E3B">
            <w:pPr>
              <w:widowControl w:val="0"/>
              <w:rPr>
                <w:szCs w:val="22"/>
              </w:rPr>
            </w:pPr>
            <w:r w:rsidRPr="00742F04">
              <w:rPr>
                <w:szCs w:val="22"/>
              </w:rPr>
              <w:t>Rijetko</w:t>
            </w:r>
          </w:p>
        </w:tc>
        <w:tc>
          <w:tcPr>
            <w:tcW w:w="1439" w:type="dxa"/>
            <w:vAlign w:val="center"/>
          </w:tcPr>
          <w:p w14:paraId="2F8EF552" w14:textId="77777777" w:rsidR="00D46E3B" w:rsidRPr="00742F04" w:rsidRDefault="00D46E3B" w:rsidP="00D46E3B">
            <w:pPr>
              <w:widowControl w:val="0"/>
              <w:rPr>
                <w:szCs w:val="22"/>
              </w:rPr>
            </w:pPr>
            <w:r w:rsidRPr="00742F04">
              <w:rPr>
                <w:szCs w:val="22"/>
              </w:rPr>
              <w:t>Nepoznato</w:t>
            </w:r>
          </w:p>
        </w:tc>
      </w:tr>
      <w:tr w:rsidR="00D46E3B" w:rsidRPr="00742F04" w14:paraId="20EC8EC8" w14:textId="77777777" w:rsidTr="0064489E">
        <w:trPr>
          <w:gridAfter w:val="1"/>
          <w:wAfter w:w="46" w:type="dxa"/>
        </w:trPr>
        <w:tc>
          <w:tcPr>
            <w:tcW w:w="2376" w:type="dxa"/>
            <w:vMerge/>
            <w:shd w:val="clear" w:color="auto" w:fill="auto"/>
          </w:tcPr>
          <w:p w14:paraId="5A1117BF" w14:textId="77777777" w:rsidR="00D46E3B" w:rsidRPr="00742F04" w:rsidRDefault="00D46E3B" w:rsidP="00D46E3B">
            <w:pPr>
              <w:widowControl w:val="0"/>
              <w:rPr>
                <w:i/>
                <w:szCs w:val="22"/>
              </w:rPr>
            </w:pPr>
          </w:p>
        </w:tc>
        <w:tc>
          <w:tcPr>
            <w:tcW w:w="3969" w:type="dxa"/>
            <w:shd w:val="clear" w:color="auto" w:fill="auto"/>
            <w:vAlign w:val="center"/>
          </w:tcPr>
          <w:p w14:paraId="5CC8EB27" w14:textId="77777777" w:rsidR="00D46E3B" w:rsidRPr="00742F04" w:rsidRDefault="00D46E3B" w:rsidP="00D46E3B">
            <w:pPr>
              <w:widowControl w:val="0"/>
              <w:tabs>
                <w:tab w:val="left" w:pos="1315"/>
              </w:tabs>
              <w:rPr>
                <w:szCs w:val="22"/>
              </w:rPr>
            </w:pPr>
            <w:r w:rsidRPr="00742F04">
              <w:rPr>
                <w:szCs w:val="22"/>
              </w:rPr>
              <w:t>Dijareja</w:t>
            </w:r>
          </w:p>
        </w:tc>
        <w:tc>
          <w:tcPr>
            <w:tcW w:w="1503" w:type="dxa"/>
            <w:shd w:val="clear" w:color="auto" w:fill="auto"/>
            <w:vAlign w:val="center"/>
          </w:tcPr>
          <w:p w14:paraId="22F21F2C" w14:textId="77777777" w:rsidR="00D46E3B" w:rsidRPr="00742F04" w:rsidRDefault="00D46E3B" w:rsidP="00D46E3B">
            <w:pPr>
              <w:widowControl w:val="0"/>
              <w:rPr>
                <w:szCs w:val="22"/>
              </w:rPr>
            </w:pPr>
            <w:r w:rsidRPr="00742F04">
              <w:rPr>
                <w:szCs w:val="22"/>
              </w:rPr>
              <w:t>Nepoznato</w:t>
            </w:r>
          </w:p>
        </w:tc>
        <w:tc>
          <w:tcPr>
            <w:tcW w:w="1439" w:type="dxa"/>
            <w:vAlign w:val="center"/>
          </w:tcPr>
          <w:p w14:paraId="3DA292F5" w14:textId="77777777" w:rsidR="00D46E3B" w:rsidRPr="00742F04" w:rsidRDefault="00D46E3B" w:rsidP="00D46E3B">
            <w:pPr>
              <w:widowControl w:val="0"/>
              <w:rPr>
                <w:szCs w:val="22"/>
              </w:rPr>
            </w:pPr>
            <w:r w:rsidRPr="00742F04">
              <w:rPr>
                <w:szCs w:val="22"/>
              </w:rPr>
              <w:t>Često</w:t>
            </w:r>
          </w:p>
        </w:tc>
      </w:tr>
      <w:tr w:rsidR="00D46E3B" w:rsidRPr="00742F04" w14:paraId="289DDB0A" w14:textId="77777777" w:rsidTr="0064489E">
        <w:trPr>
          <w:gridAfter w:val="1"/>
          <w:wAfter w:w="46" w:type="dxa"/>
        </w:trPr>
        <w:tc>
          <w:tcPr>
            <w:tcW w:w="2376" w:type="dxa"/>
            <w:vMerge/>
            <w:shd w:val="clear" w:color="auto" w:fill="auto"/>
          </w:tcPr>
          <w:p w14:paraId="2E2E56F7" w14:textId="77777777" w:rsidR="00D46E3B" w:rsidRPr="00742F04" w:rsidRDefault="00D46E3B" w:rsidP="00D46E3B">
            <w:pPr>
              <w:widowControl w:val="0"/>
              <w:rPr>
                <w:i/>
                <w:szCs w:val="22"/>
              </w:rPr>
            </w:pPr>
          </w:p>
        </w:tc>
        <w:tc>
          <w:tcPr>
            <w:tcW w:w="3969" w:type="dxa"/>
            <w:shd w:val="clear" w:color="auto" w:fill="auto"/>
            <w:vAlign w:val="center"/>
          </w:tcPr>
          <w:p w14:paraId="42CB0012" w14:textId="77777777" w:rsidR="00D46E3B" w:rsidRPr="00742F04" w:rsidRDefault="00D46E3B" w:rsidP="00D46E3B">
            <w:pPr>
              <w:widowControl w:val="0"/>
              <w:tabs>
                <w:tab w:val="left" w:pos="1315"/>
              </w:tabs>
              <w:rPr>
                <w:szCs w:val="22"/>
              </w:rPr>
            </w:pPr>
            <w:r w:rsidRPr="00742F04">
              <w:rPr>
                <w:szCs w:val="22"/>
              </w:rPr>
              <w:t>Suva usta</w:t>
            </w:r>
          </w:p>
        </w:tc>
        <w:tc>
          <w:tcPr>
            <w:tcW w:w="1503" w:type="dxa"/>
            <w:shd w:val="clear" w:color="auto" w:fill="auto"/>
            <w:vAlign w:val="center"/>
          </w:tcPr>
          <w:p w14:paraId="00CE912D" w14:textId="77777777" w:rsidR="00D46E3B" w:rsidRPr="00742F04" w:rsidRDefault="00D46E3B" w:rsidP="00D46E3B">
            <w:pPr>
              <w:widowControl w:val="0"/>
              <w:rPr>
                <w:szCs w:val="22"/>
              </w:rPr>
            </w:pPr>
            <w:r w:rsidRPr="00742F04">
              <w:rPr>
                <w:szCs w:val="22"/>
              </w:rPr>
              <w:t>–</w:t>
            </w:r>
          </w:p>
        </w:tc>
        <w:tc>
          <w:tcPr>
            <w:tcW w:w="1439" w:type="dxa"/>
            <w:vAlign w:val="center"/>
          </w:tcPr>
          <w:p w14:paraId="0FA42EA3" w14:textId="77777777" w:rsidR="00D46E3B" w:rsidRPr="00742F04" w:rsidRDefault="00D46E3B" w:rsidP="00D46E3B">
            <w:pPr>
              <w:widowControl w:val="0"/>
              <w:rPr>
                <w:szCs w:val="22"/>
              </w:rPr>
            </w:pPr>
            <w:r>
              <w:rPr>
                <w:szCs w:val="22"/>
              </w:rPr>
              <w:t>Povremeno</w:t>
            </w:r>
          </w:p>
        </w:tc>
      </w:tr>
      <w:tr w:rsidR="00D46E3B" w:rsidRPr="00742F04" w14:paraId="56333387" w14:textId="77777777" w:rsidTr="0064489E">
        <w:trPr>
          <w:gridAfter w:val="1"/>
          <w:wAfter w:w="46" w:type="dxa"/>
        </w:trPr>
        <w:tc>
          <w:tcPr>
            <w:tcW w:w="2376" w:type="dxa"/>
            <w:vMerge/>
            <w:shd w:val="clear" w:color="auto" w:fill="auto"/>
          </w:tcPr>
          <w:p w14:paraId="4AE8D9F9" w14:textId="77777777" w:rsidR="00D46E3B" w:rsidRPr="00742F04" w:rsidRDefault="00D46E3B" w:rsidP="00D46E3B">
            <w:pPr>
              <w:widowControl w:val="0"/>
              <w:rPr>
                <w:i/>
                <w:szCs w:val="22"/>
              </w:rPr>
            </w:pPr>
          </w:p>
        </w:tc>
        <w:tc>
          <w:tcPr>
            <w:tcW w:w="3969" w:type="dxa"/>
            <w:shd w:val="clear" w:color="auto" w:fill="auto"/>
            <w:vAlign w:val="center"/>
          </w:tcPr>
          <w:p w14:paraId="61FF04A7" w14:textId="77777777" w:rsidR="00D46E3B" w:rsidRPr="00742F04" w:rsidRDefault="00D46E3B" w:rsidP="00D46E3B">
            <w:pPr>
              <w:widowControl w:val="0"/>
              <w:tabs>
                <w:tab w:val="left" w:pos="1315"/>
              </w:tabs>
              <w:rPr>
                <w:szCs w:val="22"/>
              </w:rPr>
            </w:pPr>
            <w:r w:rsidRPr="00742F04">
              <w:rPr>
                <w:szCs w:val="22"/>
              </w:rPr>
              <w:t>Gastritis</w:t>
            </w:r>
          </w:p>
        </w:tc>
        <w:tc>
          <w:tcPr>
            <w:tcW w:w="1503" w:type="dxa"/>
            <w:shd w:val="clear" w:color="auto" w:fill="auto"/>
            <w:vAlign w:val="center"/>
          </w:tcPr>
          <w:p w14:paraId="0F625F13" w14:textId="77777777" w:rsidR="00D46E3B" w:rsidRPr="00742F04" w:rsidRDefault="00D46E3B" w:rsidP="00D46E3B">
            <w:pPr>
              <w:widowControl w:val="0"/>
              <w:rPr>
                <w:szCs w:val="22"/>
              </w:rPr>
            </w:pPr>
            <w:r w:rsidRPr="00742F04">
              <w:rPr>
                <w:szCs w:val="22"/>
              </w:rPr>
              <w:t>–</w:t>
            </w:r>
          </w:p>
        </w:tc>
        <w:tc>
          <w:tcPr>
            <w:tcW w:w="1439" w:type="dxa"/>
            <w:vAlign w:val="center"/>
          </w:tcPr>
          <w:p w14:paraId="4BE61EAA" w14:textId="77777777" w:rsidR="00D46E3B" w:rsidRPr="00742F04" w:rsidRDefault="00D46E3B" w:rsidP="00D46E3B">
            <w:pPr>
              <w:widowControl w:val="0"/>
              <w:rPr>
                <w:szCs w:val="22"/>
              </w:rPr>
            </w:pPr>
            <w:r>
              <w:rPr>
                <w:szCs w:val="22"/>
              </w:rPr>
              <w:t>Povremeno</w:t>
            </w:r>
          </w:p>
        </w:tc>
      </w:tr>
      <w:tr w:rsidR="00D46E3B" w:rsidRPr="00742F04" w14:paraId="5FB7783A" w14:textId="77777777" w:rsidTr="0064489E">
        <w:trPr>
          <w:gridAfter w:val="1"/>
          <w:wAfter w:w="46" w:type="dxa"/>
        </w:trPr>
        <w:tc>
          <w:tcPr>
            <w:tcW w:w="2376" w:type="dxa"/>
            <w:vMerge/>
            <w:shd w:val="clear" w:color="auto" w:fill="auto"/>
          </w:tcPr>
          <w:p w14:paraId="054C9EBC" w14:textId="77777777" w:rsidR="00D46E3B" w:rsidRPr="00742F04" w:rsidRDefault="00D46E3B" w:rsidP="00D46E3B">
            <w:pPr>
              <w:widowControl w:val="0"/>
              <w:rPr>
                <w:i/>
                <w:szCs w:val="22"/>
              </w:rPr>
            </w:pPr>
          </w:p>
        </w:tc>
        <w:tc>
          <w:tcPr>
            <w:tcW w:w="3969" w:type="dxa"/>
            <w:shd w:val="clear" w:color="auto" w:fill="auto"/>
            <w:vAlign w:val="center"/>
          </w:tcPr>
          <w:p w14:paraId="677239DB" w14:textId="77777777" w:rsidR="00D46E3B" w:rsidRPr="00742F04" w:rsidRDefault="00D46E3B" w:rsidP="00D46E3B">
            <w:pPr>
              <w:widowControl w:val="0"/>
              <w:tabs>
                <w:tab w:val="left" w:pos="1315"/>
              </w:tabs>
              <w:rPr>
                <w:szCs w:val="22"/>
              </w:rPr>
            </w:pPr>
            <w:r w:rsidRPr="00742F04">
              <w:rPr>
                <w:szCs w:val="22"/>
              </w:rPr>
              <w:t>Nadutost</w:t>
            </w:r>
          </w:p>
        </w:tc>
        <w:tc>
          <w:tcPr>
            <w:tcW w:w="1503" w:type="dxa"/>
            <w:shd w:val="clear" w:color="auto" w:fill="auto"/>
            <w:vAlign w:val="center"/>
          </w:tcPr>
          <w:p w14:paraId="2422832B" w14:textId="77777777" w:rsidR="00D46E3B" w:rsidRPr="00742F04" w:rsidRDefault="00D46E3B" w:rsidP="00D46E3B">
            <w:pPr>
              <w:widowControl w:val="0"/>
              <w:rPr>
                <w:szCs w:val="22"/>
              </w:rPr>
            </w:pPr>
            <w:r w:rsidRPr="00742F04">
              <w:rPr>
                <w:szCs w:val="22"/>
              </w:rPr>
              <w:t>–</w:t>
            </w:r>
          </w:p>
        </w:tc>
        <w:tc>
          <w:tcPr>
            <w:tcW w:w="1439" w:type="dxa"/>
            <w:vAlign w:val="center"/>
          </w:tcPr>
          <w:p w14:paraId="5B0EBEB8" w14:textId="77777777" w:rsidR="00D46E3B" w:rsidRPr="00742F04" w:rsidRDefault="00D46E3B" w:rsidP="00D46E3B">
            <w:pPr>
              <w:widowControl w:val="0"/>
              <w:rPr>
                <w:szCs w:val="22"/>
              </w:rPr>
            </w:pPr>
            <w:r w:rsidRPr="00742F04">
              <w:rPr>
                <w:szCs w:val="22"/>
              </w:rPr>
              <w:t>Često</w:t>
            </w:r>
          </w:p>
        </w:tc>
      </w:tr>
      <w:tr w:rsidR="00D46E3B" w:rsidRPr="00742F04" w14:paraId="01EAFC19" w14:textId="77777777" w:rsidTr="0064489E">
        <w:trPr>
          <w:gridAfter w:val="1"/>
          <w:wAfter w:w="46" w:type="dxa"/>
        </w:trPr>
        <w:tc>
          <w:tcPr>
            <w:tcW w:w="2376" w:type="dxa"/>
            <w:vMerge/>
            <w:shd w:val="clear" w:color="auto" w:fill="auto"/>
          </w:tcPr>
          <w:p w14:paraId="1C8C2BAE" w14:textId="77777777" w:rsidR="00D46E3B" w:rsidRPr="00742F04" w:rsidRDefault="00D46E3B" w:rsidP="00D46E3B">
            <w:pPr>
              <w:widowControl w:val="0"/>
              <w:rPr>
                <w:i/>
                <w:szCs w:val="22"/>
              </w:rPr>
            </w:pPr>
          </w:p>
        </w:tc>
        <w:tc>
          <w:tcPr>
            <w:tcW w:w="3969" w:type="dxa"/>
            <w:shd w:val="clear" w:color="auto" w:fill="auto"/>
            <w:vAlign w:val="center"/>
          </w:tcPr>
          <w:p w14:paraId="4874672F" w14:textId="77777777" w:rsidR="00D46E3B" w:rsidRPr="00742F04" w:rsidRDefault="00D46E3B" w:rsidP="00D46E3B">
            <w:pPr>
              <w:widowControl w:val="0"/>
              <w:tabs>
                <w:tab w:val="left" w:pos="1315"/>
              </w:tabs>
              <w:rPr>
                <w:szCs w:val="22"/>
              </w:rPr>
            </w:pPr>
            <w:r w:rsidRPr="00742F04">
              <w:rPr>
                <w:szCs w:val="22"/>
              </w:rPr>
              <w:t xml:space="preserve">Dispepsija, gastroezofagealni refluks </w:t>
            </w:r>
          </w:p>
        </w:tc>
        <w:tc>
          <w:tcPr>
            <w:tcW w:w="1503" w:type="dxa"/>
            <w:shd w:val="clear" w:color="auto" w:fill="auto"/>
            <w:vAlign w:val="center"/>
          </w:tcPr>
          <w:p w14:paraId="34A76006" w14:textId="77777777" w:rsidR="00D46E3B" w:rsidRPr="00742F04" w:rsidRDefault="00D46E3B" w:rsidP="00D46E3B">
            <w:pPr>
              <w:widowControl w:val="0"/>
              <w:rPr>
                <w:szCs w:val="22"/>
              </w:rPr>
            </w:pPr>
            <w:r w:rsidRPr="00742F04">
              <w:rPr>
                <w:szCs w:val="22"/>
              </w:rPr>
              <w:t>–</w:t>
            </w:r>
          </w:p>
        </w:tc>
        <w:tc>
          <w:tcPr>
            <w:tcW w:w="1439" w:type="dxa"/>
            <w:vAlign w:val="center"/>
          </w:tcPr>
          <w:p w14:paraId="141B99E1" w14:textId="77777777" w:rsidR="00D46E3B" w:rsidRPr="00742F04" w:rsidRDefault="00D46E3B" w:rsidP="00D46E3B">
            <w:pPr>
              <w:widowControl w:val="0"/>
              <w:rPr>
                <w:szCs w:val="22"/>
              </w:rPr>
            </w:pPr>
            <w:r>
              <w:rPr>
                <w:szCs w:val="22"/>
              </w:rPr>
              <w:t>Povremeno</w:t>
            </w:r>
          </w:p>
        </w:tc>
      </w:tr>
      <w:tr w:rsidR="00D46E3B" w:rsidRPr="00742F04" w14:paraId="04EE2882" w14:textId="77777777" w:rsidTr="0064489E">
        <w:trPr>
          <w:gridAfter w:val="1"/>
          <w:wAfter w:w="46" w:type="dxa"/>
        </w:trPr>
        <w:tc>
          <w:tcPr>
            <w:tcW w:w="2376" w:type="dxa"/>
            <w:vMerge w:val="restart"/>
            <w:shd w:val="clear" w:color="auto" w:fill="auto"/>
          </w:tcPr>
          <w:p w14:paraId="2ED5F6C4" w14:textId="77777777" w:rsidR="00D46E3B" w:rsidRPr="00742F04" w:rsidRDefault="00D46E3B" w:rsidP="00D46E3B">
            <w:pPr>
              <w:widowControl w:val="0"/>
              <w:rPr>
                <w:i/>
                <w:szCs w:val="22"/>
              </w:rPr>
            </w:pPr>
            <w:r w:rsidRPr="00742F04">
              <w:rPr>
                <w:i/>
                <w:szCs w:val="22"/>
              </w:rPr>
              <w:t>Hepatobilijarni poremećaji</w:t>
            </w:r>
          </w:p>
        </w:tc>
        <w:tc>
          <w:tcPr>
            <w:tcW w:w="3969" w:type="dxa"/>
            <w:shd w:val="clear" w:color="auto" w:fill="auto"/>
            <w:vAlign w:val="center"/>
          </w:tcPr>
          <w:p w14:paraId="61689312" w14:textId="77777777" w:rsidR="00D46E3B" w:rsidRPr="00742F04" w:rsidRDefault="00D46E3B" w:rsidP="00D46E3B">
            <w:pPr>
              <w:widowControl w:val="0"/>
              <w:tabs>
                <w:tab w:val="left" w:pos="1315"/>
              </w:tabs>
              <w:rPr>
                <w:szCs w:val="22"/>
              </w:rPr>
            </w:pPr>
            <w:r w:rsidRPr="00742F04">
              <w:rPr>
                <w:szCs w:val="22"/>
              </w:rPr>
              <w:t>Povećanje vrijednosti transaminaza jetre</w:t>
            </w:r>
          </w:p>
        </w:tc>
        <w:tc>
          <w:tcPr>
            <w:tcW w:w="1503" w:type="dxa"/>
            <w:shd w:val="clear" w:color="auto" w:fill="auto"/>
            <w:vAlign w:val="center"/>
          </w:tcPr>
          <w:p w14:paraId="03DF1087" w14:textId="77777777" w:rsidR="00D46E3B" w:rsidRPr="00742F04" w:rsidRDefault="00D46E3B" w:rsidP="00D46E3B">
            <w:pPr>
              <w:widowControl w:val="0"/>
              <w:rPr>
                <w:szCs w:val="22"/>
              </w:rPr>
            </w:pPr>
            <w:r w:rsidRPr="00742F04">
              <w:rPr>
                <w:szCs w:val="22"/>
              </w:rPr>
              <w:t>Rijetko</w:t>
            </w:r>
          </w:p>
        </w:tc>
        <w:tc>
          <w:tcPr>
            <w:tcW w:w="1439" w:type="dxa"/>
            <w:vAlign w:val="center"/>
          </w:tcPr>
          <w:p w14:paraId="1F89CF9B" w14:textId="77777777" w:rsidR="00D46E3B" w:rsidRPr="00742F04" w:rsidRDefault="00D46E3B" w:rsidP="00D46E3B">
            <w:pPr>
              <w:widowControl w:val="0"/>
              <w:rPr>
                <w:szCs w:val="22"/>
              </w:rPr>
            </w:pPr>
            <w:r w:rsidRPr="00742F04">
              <w:rPr>
                <w:szCs w:val="22"/>
              </w:rPr>
              <w:t>–</w:t>
            </w:r>
          </w:p>
        </w:tc>
      </w:tr>
      <w:tr w:rsidR="00D46E3B" w:rsidRPr="00742F04" w14:paraId="40A6D673" w14:textId="77777777" w:rsidTr="0064489E">
        <w:trPr>
          <w:gridAfter w:val="1"/>
          <w:wAfter w:w="46" w:type="dxa"/>
          <w:trHeight w:val="112"/>
        </w:trPr>
        <w:tc>
          <w:tcPr>
            <w:tcW w:w="2376" w:type="dxa"/>
            <w:vMerge/>
            <w:shd w:val="clear" w:color="auto" w:fill="auto"/>
          </w:tcPr>
          <w:p w14:paraId="3F94A35F" w14:textId="77777777" w:rsidR="00D46E3B" w:rsidRPr="00742F04" w:rsidRDefault="00D46E3B" w:rsidP="00D46E3B">
            <w:pPr>
              <w:widowControl w:val="0"/>
              <w:rPr>
                <w:i/>
                <w:szCs w:val="22"/>
              </w:rPr>
            </w:pPr>
          </w:p>
        </w:tc>
        <w:tc>
          <w:tcPr>
            <w:tcW w:w="3969" w:type="dxa"/>
            <w:shd w:val="clear" w:color="auto" w:fill="auto"/>
            <w:vAlign w:val="center"/>
          </w:tcPr>
          <w:p w14:paraId="444C4A6E" w14:textId="77777777" w:rsidR="00D46E3B" w:rsidRPr="00742F04" w:rsidRDefault="00D46E3B" w:rsidP="00D46E3B">
            <w:pPr>
              <w:widowControl w:val="0"/>
              <w:rPr>
                <w:szCs w:val="22"/>
              </w:rPr>
            </w:pPr>
            <w:r w:rsidRPr="00742F04">
              <w:rPr>
                <w:szCs w:val="22"/>
              </w:rPr>
              <w:t>Žutica</w:t>
            </w:r>
          </w:p>
        </w:tc>
        <w:tc>
          <w:tcPr>
            <w:tcW w:w="1503" w:type="dxa"/>
            <w:shd w:val="clear" w:color="auto" w:fill="auto"/>
            <w:vAlign w:val="center"/>
          </w:tcPr>
          <w:p w14:paraId="3DD02C69" w14:textId="77777777" w:rsidR="00D46E3B" w:rsidRPr="00742F04" w:rsidRDefault="00D46E3B" w:rsidP="00D46E3B">
            <w:pPr>
              <w:widowControl w:val="0"/>
              <w:rPr>
                <w:szCs w:val="22"/>
              </w:rPr>
            </w:pPr>
            <w:r w:rsidRPr="00742F04">
              <w:rPr>
                <w:szCs w:val="22"/>
              </w:rPr>
              <w:t>Veoma rijetko</w:t>
            </w:r>
          </w:p>
        </w:tc>
        <w:tc>
          <w:tcPr>
            <w:tcW w:w="1439" w:type="dxa"/>
            <w:vAlign w:val="center"/>
          </w:tcPr>
          <w:p w14:paraId="764498CD" w14:textId="77777777" w:rsidR="00D46E3B" w:rsidRPr="00742F04" w:rsidRDefault="00D46E3B" w:rsidP="00D46E3B">
            <w:pPr>
              <w:widowControl w:val="0"/>
              <w:rPr>
                <w:szCs w:val="22"/>
              </w:rPr>
            </w:pPr>
            <w:r w:rsidRPr="00742F04">
              <w:rPr>
                <w:szCs w:val="22"/>
              </w:rPr>
              <w:t>–</w:t>
            </w:r>
          </w:p>
        </w:tc>
      </w:tr>
      <w:tr w:rsidR="00D46E3B" w:rsidRPr="00742F04" w14:paraId="5E0F2F6E" w14:textId="77777777" w:rsidTr="0064489E">
        <w:trPr>
          <w:gridAfter w:val="1"/>
          <w:wAfter w:w="46" w:type="dxa"/>
        </w:trPr>
        <w:tc>
          <w:tcPr>
            <w:tcW w:w="2376" w:type="dxa"/>
            <w:vMerge/>
            <w:shd w:val="clear" w:color="auto" w:fill="auto"/>
          </w:tcPr>
          <w:p w14:paraId="5B7DDBDB" w14:textId="77777777" w:rsidR="00D46E3B" w:rsidRPr="00742F04" w:rsidRDefault="00D46E3B" w:rsidP="00D46E3B">
            <w:pPr>
              <w:widowControl w:val="0"/>
              <w:rPr>
                <w:i/>
                <w:szCs w:val="22"/>
              </w:rPr>
            </w:pPr>
          </w:p>
        </w:tc>
        <w:tc>
          <w:tcPr>
            <w:tcW w:w="3969" w:type="dxa"/>
            <w:shd w:val="clear" w:color="auto" w:fill="auto"/>
            <w:vAlign w:val="center"/>
          </w:tcPr>
          <w:p w14:paraId="066857D9" w14:textId="77777777" w:rsidR="00D46E3B" w:rsidRPr="00742F04" w:rsidRDefault="00D46E3B" w:rsidP="00D46E3B">
            <w:pPr>
              <w:widowControl w:val="0"/>
              <w:tabs>
                <w:tab w:val="left" w:pos="1315"/>
              </w:tabs>
              <w:rPr>
                <w:szCs w:val="22"/>
              </w:rPr>
            </w:pPr>
            <w:r w:rsidRPr="00742F04">
              <w:rPr>
                <w:szCs w:val="22"/>
              </w:rPr>
              <w:t>Hepatitis</w:t>
            </w:r>
          </w:p>
        </w:tc>
        <w:tc>
          <w:tcPr>
            <w:tcW w:w="1503" w:type="dxa"/>
            <w:shd w:val="clear" w:color="auto" w:fill="auto"/>
            <w:vAlign w:val="center"/>
          </w:tcPr>
          <w:p w14:paraId="6BFED9E6" w14:textId="77777777" w:rsidR="00D46E3B" w:rsidRPr="00742F04" w:rsidRDefault="00D46E3B" w:rsidP="00D46E3B">
            <w:pPr>
              <w:widowControl w:val="0"/>
              <w:rPr>
                <w:szCs w:val="22"/>
              </w:rPr>
            </w:pPr>
            <w:r w:rsidRPr="00742F04">
              <w:rPr>
                <w:szCs w:val="22"/>
              </w:rPr>
              <w:t>Veoma rijetko</w:t>
            </w:r>
          </w:p>
        </w:tc>
        <w:tc>
          <w:tcPr>
            <w:tcW w:w="1439" w:type="dxa"/>
            <w:vAlign w:val="center"/>
          </w:tcPr>
          <w:p w14:paraId="2AFA43FE" w14:textId="77777777" w:rsidR="00D46E3B" w:rsidRPr="00742F04" w:rsidRDefault="00D46E3B" w:rsidP="00D46E3B">
            <w:pPr>
              <w:widowControl w:val="0"/>
              <w:rPr>
                <w:szCs w:val="22"/>
              </w:rPr>
            </w:pPr>
            <w:r w:rsidRPr="00742F04">
              <w:rPr>
                <w:szCs w:val="22"/>
              </w:rPr>
              <w:t>Nepoznato</w:t>
            </w:r>
          </w:p>
        </w:tc>
      </w:tr>
      <w:tr w:rsidR="00D46E3B" w:rsidRPr="00742F04" w14:paraId="05BCDAF0" w14:textId="77777777" w:rsidTr="0064489E">
        <w:trPr>
          <w:gridAfter w:val="1"/>
          <w:wAfter w:w="46" w:type="dxa"/>
        </w:trPr>
        <w:tc>
          <w:tcPr>
            <w:tcW w:w="2376" w:type="dxa"/>
            <w:vMerge/>
            <w:shd w:val="clear" w:color="auto" w:fill="auto"/>
          </w:tcPr>
          <w:p w14:paraId="079B65BB" w14:textId="77777777" w:rsidR="00D46E3B" w:rsidRPr="00742F04" w:rsidRDefault="00D46E3B" w:rsidP="00D46E3B">
            <w:pPr>
              <w:widowControl w:val="0"/>
              <w:rPr>
                <w:i/>
                <w:szCs w:val="22"/>
              </w:rPr>
            </w:pPr>
          </w:p>
        </w:tc>
        <w:tc>
          <w:tcPr>
            <w:tcW w:w="3969" w:type="dxa"/>
            <w:shd w:val="clear" w:color="auto" w:fill="auto"/>
            <w:vAlign w:val="center"/>
          </w:tcPr>
          <w:p w14:paraId="6F9A7772" w14:textId="77777777" w:rsidR="00D46E3B" w:rsidRPr="00742F04" w:rsidRDefault="00D46E3B" w:rsidP="00D46E3B">
            <w:pPr>
              <w:widowControl w:val="0"/>
              <w:tabs>
                <w:tab w:val="left" w:pos="1315"/>
              </w:tabs>
              <w:rPr>
                <w:szCs w:val="22"/>
              </w:rPr>
            </w:pPr>
            <w:r w:rsidRPr="00742F04">
              <w:rPr>
                <w:szCs w:val="22"/>
              </w:rPr>
              <w:t>Holelitijaza</w:t>
            </w:r>
          </w:p>
        </w:tc>
        <w:tc>
          <w:tcPr>
            <w:tcW w:w="1503" w:type="dxa"/>
            <w:shd w:val="clear" w:color="auto" w:fill="auto"/>
            <w:vAlign w:val="center"/>
          </w:tcPr>
          <w:p w14:paraId="13E53951" w14:textId="77777777" w:rsidR="00D46E3B" w:rsidRPr="00742F04" w:rsidRDefault="00D46E3B" w:rsidP="00D46E3B">
            <w:pPr>
              <w:widowControl w:val="0"/>
              <w:rPr>
                <w:szCs w:val="22"/>
              </w:rPr>
            </w:pPr>
            <w:r w:rsidRPr="00742F04">
              <w:rPr>
                <w:szCs w:val="22"/>
              </w:rPr>
              <w:t>–</w:t>
            </w:r>
          </w:p>
        </w:tc>
        <w:tc>
          <w:tcPr>
            <w:tcW w:w="1439" w:type="dxa"/>
            <w:vAlign w:val="center"/>
          </w:tcPr>
          <w:p w14:paraId="5BD4974A" w14:textId="77777777" w:rsidR="00D46E3B" w:rsidRPr="00742F04" w:rsidRDefault="00D46E3B" w:rsidP="00D46E3B">
            <w:pPr>
              <w:widowControl w:val="0"/>
              <w:rPr>
                <w:szCs w:val="22"/>
              </w:rPr>
            </w:pPr>
            <w:r w:rsidRPr="00742F04">
              <w:rPr>
                <w:szCs w:val="22"/>
              </w:rPr>
              <w:t>Nepoznato</w:t>
            </w:r>
          </w:p>
        </w:tc>
      </w:tr>
      <w:tr w:rsidR="00D46E3B" w:rsidRPr="00742F04" w14:paraId="2C957948" w14:textId="77777777" w:rsidTr="0064489E">
        <w:trPr>
          <w:gridAfter w:val="1"/>
          <w:wAfter w:w="46" w:type="dxa"/>
        </w:trPr>
        <w:tc>
          <w:tcPr>
            <w:tcW w:w="2376" w:type="dxa"/>
            <w:vMerge/>
            <w:tcBorders>
              <w:bottom w:val="single" w:sz="4" w:space="0" w:color="auto"/>
            </w:tcBorders>
            <w:shd w:val="clear" w:color="auto" w:fill="auto"/>
          </w:tcPr>
          <w:p w14:paraId="3927CFA0" w14:textId="77777777" w:rsidR="00D46E3B" w:rsidRPr="00742F04" w:rsidRDefault="00D46E3B" w:rsidP="00D46E3B">
            <w:pPr>
              <w:widowControl w:val="0"/>
              <w:rPr>
                <w:i/>
                <w:szCs w:val="22"/>
              </w:rPr>
            </w:pPr>
          </w:p>
        </w:tc>
        <w:tc>
          <w:tcPr>
            <w:tcW w:w="3969" w:type="dxa"/>
            <w:shd w:val="clear" w:color="auto" w:fill="auto"/>
            <w:vAlign w:val="center"/>
          </w:tcPr>
          <w:p w14:paraId="47550DEF" w14:textId="77777777" w:rsidR="00D46E3B" w:rsidRPr="00742F04" w:rsidRDefault="00D46E3B" w:rsidP="00D46E3B">
            <w:pPr>
              <w:widowControl w:val="0"/>
              <w:tabs>
                <w:tab w:val="left" w:pos="1315"/>
              </w:tabs>
              <w:rPr>
                <w:szCs w:val="22"/>
              </w:rPr>
            </w:pPr>
            <w:r w:rsidRPr="00742F04">
              <w:rPr>
                <w:szCs w:val="22"/>
              </w:rPr>
              <w:t>Holecistitis</w:t>
            </w:r>
          </w:p>
        </w:tc>
        <w:tc>
          <w:tcPr>
            <w:tcW w:w="1503" w:type="dxa"/>
            <w:shd w:val="clear" w:color="auto" w:fill="auto"/>
            <w:vAlign w:val="center"/>
          </w:tcPr>
          <w:p w14:paraId="25045761" w14:textId="77777777" w:rsidR="00D46E3B" w:rsidRPr="00742F04" w:rsidRDefault="00D46E3B" w:rsidP="00D46E3B">
            <w:pPr>
              <w:widowControl w:val="0"/>
              <w:rPr>
                <w:szCs w:val="22"/>
              </w:rPr>
            </w:pPr>
            <w:r w:rsidRPr="00742F04">
              <w:rPr>
                <w:szCs w:val="22"/>
              </w:rPr>
              <w:t>–</w:t>
            </w:r>
          </w:p>
        </w:tc>
        <w:tc>
          <w:tcPr>
            <w:tcW w:w="1439" w:type="dxa"/>
            <w:vAlign w:val="center"/>
          </w:tcPr>
          <w:p w14:paraId="3298D7A4" w14:textId="77777777" w:rsidR="00D46E3B" w:rsidRPr="00742F04" w:rsidRDefault="00D46E3B" w:rsidP="00D46E3B">
            <w:pPr>
              <w:widowControl w:val="0"/>
              <w:rPr>
                <w:szCs w:val="22"/>
              </w:rPr>
            </w:pPr>
            <w:r w:rsidRPr="00742F04">
              <w:rPr>
                <w:szCs w:val="22"/>
              </w:rPr>
              <w:t>Nepoznato</w:t>
            </w:r>
          </w:p>
        </w:tc>
      </w:tr>
      <w:tr w:rsidR="00D46E3B" w:rsidRPr="00742F04" w14:paraId="254972DB" w14:textId="77777777" w:rsidTr="0064489E">
        <w:trPr>
          <w:gridAfter w:val="1"/>
          <w:wAfter w:w="46" w:type="dxa"/>
        </w:trPr>
        <w:tc>
          <w:tcPr>
            <w:tcW w:w="2376" w:type="dxa"/>
            <w:vMerge w:val="restart"/>
            <w:shd w:val="clear" w:color="auto" w:fill="auto"/>
          </w:tcPr>
          <w:p w14:paraId="7D5A9CAA" w14:textId="77777777" w:rsidR="00D46E3B" w:rsidRPr="00742F04" w:rsidRDefault="00D46E3B" w:rsidP="00D46E3B">
            <w:pPr>
              <w:widowControl w:val="0"/>
              <w:rPr>
                <w:i/>
                <w:szCs w:val="22"/>
              </w:rPr>
            </w:pPr>
            <w:r w:rsidRPr="00742F04">
              <w:rPr>
                <w:i/>
                <w:szCs w:val="22"/>
              </w:rPr>
              <w:t>Poremećaji kože i potkožnog tkiva</w:t>
            </w:r>
          </w:p>
        </w:tc>
        <w:tc>
          <w:tcPr>
            <w:tcW w:w="3969" w:type="dxa"/>
            <w:shd w:val="clear" w:color="auto" w:fill="auto"/>
            <w:vAlign w:val="center"/>
          </w:tcPr>
          <w:p w14:paraId="183919F9" w14:textId="77777777" w:rsidR="00D46E3B" w:rsidRPr="00742F04" w:rsidRDefault="00D46E3B" w:rsidP="00D46E3B">
            <w:pPr>
              <w:widowControl w:val="0"/>
              <w:rPr>
                <w:szCs w:val="22"/>
              </w:rPr>
            </w:pPr>
            <w:r w:rsidRPr="00742F04">
              <w:rPr>
                <w:szCs w:val="22"/>
              </w:rPr>
              <w:t>Pruritus</w:t>
            </w:r>
          </w:p>
        </w:tc>
        <w:tc>
          <w:tcPr>
            <w:tcW w:w="1503" w:type="dxa"/>
            <w:shd w:val="clear" w:color="auto" w:fill="auto"/>
            <w:vAlign w:val="center"/>
          </w:tcPr>
          <w:p w14:paraId="61A634CE" w14:textId="77777777" w:rsidR="00D46E3B" w:rsidRPr="00742F04" w:rsidRDefault="00D46E3B" w:rsidP="00D46E3B">
            <w:pPr>
              <w:widowControl w:val="0"/>
              <w:rPr>
                <w:szCs w:val="22"/>
              </w:rPr>
            </w:pPr>
            <w:r>
              <w:rPr>
                <w:szCs w:val="22"/>
              </w:rPr>
              <w:t>Povremeno</w:t>
            </w:r>
          </w:p>
        </w:tc>
        <w:tc>
          <w:tcPr>
            <w:tcW w:w="1439" w:type="dxa"/>
            <w:vAlign w:val="center"/>
          </w:tcPr>
          <w:p w14:paraId="4044AA63" w14:textId="77777777" w:rsidR="00D46E3B" w:rsidRPr="00742F04" w:rsidRDefault="00D46E3B" w:rsidP="00D46E3B">
            <w:pPr>
              <w:widowControl w:val="0"/>
              <w:rPr>
                <w:szCs w:val="22"/>
              </w:rPr>
            </w:pPr>
            <w:r>
              <w:rPr>
                <w:szCs w:val="22"/>
              </w:rPr>
              <w:t>Povremeno</w:t>
            </w:r>
          </w:p>
        </w:tc>
      </w:tr>
      <w:tr w:rsidR="00D46E3B" w:rsidRPr="00742F04" w14:paraId="6F894167" w14:textId="77777777" w:rsidTr="0064489E">
        <w:trPr>
          <w:gridAfter w:val="1"/>
          <w:wAfter w:w="46" w:type="dxa"/>
        </w:trPr>
        <w:tc>
          <w:tcPr>
            <w:tcW w:w="2376" w:type="dxa"/>
            <w:vMerge/>
            <w:shd w:val="clear" w:color="auto" w:fill="auto"/>
          </w:tcPr>
          <w:p w14:paraId="0DC7FBB3" w14:textId="77777777" w:rsidR="00D46E3B" w:rsidRPr="00742F04" w:rsidRDefault="00D46E3B" w:rsidP="00D46E3B">
            <w:pPr>
              <w:widowControl w:val="0"/>
              <w:rPr>
                <w:i/>
                <w:szCs w:val="22"/>
              </w:rPr>
            </w:pPr>
          </w:p>
        </w:tc>
        <w:tc>
          <w:tcPr>
            <w:tcW w:w="3969" w:type="dxa"/>
            <w:shd w:val="clear" w:color="auto" w:fill="auto"/>
            <w:vAlign w:val="center"/>
          </w:tcPr>
          <w:p w14:paraId="4C0FC816" w14:textId="77777777" w:rsidR="00D46E3B" w:rsidRPr="00742F04" w:rsidRDefault="00D46E3B" w:rsidP="00D46E3B">
            <w:pPr>
              <w:widowControl w:val="0"/>
              <w:rPr>
                <w:szCs w:val="22"/>
              </w:rPr>
            </w:pPr>
            <w:r w:rsidRPr="00742F04">
              <w:rPr>
                <w:szCs w:val="22"/>
              </w:rPr>
              <w:t>Osi</w:t>
            </w:r>
            <w:r>
              <w:rPr>
                <w:szCs w:val="22"/>
              </w:rPr>
              <w:t>p</w:t>
            </w:r>
          </w:p>
        </w:tc>
        <w:tc>
          <w:tcPr>
            <w:tcW w:w="1503" w:type="dxa"/>
            <w:shd w:val="clear" w:color="auto" w:fill="auto"/>
            <w:vAlign w:val="center"/>
          </w:tcPr>
          <w:p w14:paraId="147BC777" w14:textId="77777777" w:rsidR="00D46E3B" w:rsidRPr="00742F04" w:rsidRDefault="00D46E3B" w:rsidP="00D46E3B">
            <w:pPr>
              <w:widowControl w:val="0"/>
              <w:rPr>
                <w:szCs w:val="22"/>
              </w:rPr>
            </w:pPr>
            <w:r>
              <w:rPr>
                <w:szCs w:val="22"/>
              </w:rPr>
              <w:t>Povremeno</w:t>
            </w:r>
          </w:p>
        </w:tc>
        <w:tc>
          <w:tcPr>
            <w:tcW w:w="1439" w:type="dxa"/>
            <w:vAlign w:val="center"/>
          </w:tcPr>
          <w:p w14:paraId="6B9FE10B" w14:textId="77777777" w:rsidR="00D46E3B" w:rsidRPr="00742F04" w:rsidRDefault="00D46E3B" w:rsidP="00D46E3B">
            <w:pPr>
              <w:widowControl w:val="0"/>
              <w:rPr>
                <w:szCs w:val="22"/>
              </w:rPr>
            </w:pPr>
            <w:r>
              <w:rPr>
                <w:szCs w:val="22"/>
              </w:rPr>
              <w:t>Povremeno</w:t>
            </w:r>
          </w:p>
        </w:tc>
      </w:tr>
      <w:tr w:rsidR="00D46E3B" w:rsidRPr="00742F04" w14:paraId="497B1A82" w14:textId="77777777" w:rsidTr="0064489E">
        <w:trPr>
          <w:gridAfter w:val="1"/>
          <w:wAfter w:w="46" w:type="dxa"/>
        </w:trPr>
        <w:tc>
          <w:tcPr>
            <w:tcW w:w="2376" w:type="dxa"/>
            <w:vMerge/>
            <w:shd w:val="clear" w:color="auto" w:fill="auto"/>
          </w:tcPr>
          <w:p w14:paraId="7F9F0786" w14:textId="77777777" w:rsidR="00D46E3B" w:rsidRPr="00742F04" w:rsidRDefault="00D46E3B" w:rsidP="00D46E3B">
            <w:pPr>
              <w:widowControl w:val="0"/>
              <w:rPr>
                <w:i/>
                <w:szCs w:val="22"/>
              </w:rPr>
            </w:pPr>
          </w:p>
        </w:tc>
        <w:tc>
          <w:tcPr>
            <w:tcW w:w="3969" w:type="dxa"/>
            <w:shd w:val="clear" w:color="auto" w:fill="auto"/>
            <w:vAlign w:val="center"/>
          </w:tcPr>
          <w:p w14:paraId="12F08A4E" w14:textId="77777777" w:rsidR="00D46E3B" w:rsidRPr="00742F04" w:rsidRDefault="00D46E3B" w:rsidP="00D46E3B">
            <w:pPr>
              <w:widowControl w:val="0"/>
              <w:tabs>
                <w:tab w:val="left" w:pos="1315"/>
              </w:tabs>
              <w:rPr>
                <w:szCs w:val="22"/>
              </w:rPr>
            </w:pPr>
            <w:r w:rsidRPr="00742F04">
              <w:rPr>
                <w:szCs w:val="22"/>
              </w:rPr>
              <w:t>Urtikarija</w:t>
            </w:r>
          </w:p>
        </w:tc>
        <w:tc>
          <w:tcPr>
            <w:tcW w:w="1503" w:type="dxa"/>
            <w:shd w:val="clear" w:color="auto" w:fill="auto"/>
            <w:vAlign w:val="center"/>
          </w:tcPr>
          <w:p w14:paraId="30F69818" w14:textId="77777777" w:rsidR="00D46E3B" w:rsidRPr="00742F04" w:rsidRDefault="00D46E3B" w:rsidP="00D46E3B">
            <w:pPr>
              <w:widowControl w:val="0"/>
              <w:rPr>
                <w:szCs w:val="22"/>
              </w:rPr>
            </w:pPr>
            <w:r>
              <w:rPr>
                <w:szCs w:val="22"/>
              </w:rPr>
              <w:t>Povremeno</w:t>
            </w:r>
          </w:p>
        </w:tc>
        <w:tc>
          <w:tcPr>
            <w:tcW w:w="1439" w:type="dxa"/>
            <w:vAlign w:val="center"/>
          </w:tcPr>
          <w:p w14:paraId="7F35AEAD" w14:textId="77777777" w:rsidR="00D46E3B" w:rsidRPr="00742F04" w:rsidRDefault="00D46E3B" w:rsidP="00D46E3B">
            <w:pPr>
              <w:widowControl w:val="0"/>
              <w:rPr>
                <w:szCs w:val="22"/>
              </w:rPr>
            </w:pPr>
            <w:r>
              <w:rPr>
                <w:szCs w:val="22"/>
              </w:rPr>
              <w:t>Povremeno</w:t>
            </w:r>
          </w:p>
        </w:tc>
      </w:tr>
      <w:tr w:rsidR="00D46E3B" w:rsidRPr="00742F04" w14:paraId="3B06003A" w14:textId="77777777" w:rsidTr="0064489E">
        <w:trPr>
          <w:gridAfter w:val="1"/>
          <w:wAfter w:w="46" w:type="dxa"/>
        </w:trPr>
        <w:tc>
          <w:tcPr>
            <w:tcW w:w="2376" w:type="dxa"/>
            <w:vMerge/>
            <w:shd w:val="clear" w:color="auto" w:fill="auto"/>
          </w:tcPr>
          <w:p w14:paraId="12B4CA37" w14:textId="77777777" w:rsidR="00D46E3B" w:rsidRPr="00742F04" w:rsidRDefault="00D46E3B" w:rsidP="00D46E3B">
            <w:pPr>
              <w:widowControl w:val="0"/>
              <w:rPr>
                <w:i/>
                <w:szCs w:val="22"/>
              </w:rPr>
            </w:pPr>
          </w:p>
        </w:tc>
        <w:tc>
          <w:tcPr>
            <w:tcW w:w="3969" w:type="dxa"/>
            <w:shd w:val="clear" w:color="auto" w:fill="auto"/>
            <w:vAlign w:val="center"/>
          </w:tcPr>
          <w:p w14:paraId="3CBE636B" w14:textId="77777777" w:rsidR="00D46E3B" w:rsidRPr="00742F04" w:rsidRDefault="00D46E3B" w:rsidP="00D46E3B">
            <w:pPr>
              <w:widowControl w:val="0"/>
              <w:tabs>
                <w:tab w:val="left" w:pos="1315"/>
              </w:tabs>
              <w:rPr>
                <w:szCs w:val="22"/>
              </w:rPr>
            </w:pPr>
            <w:r w:rsidRPr="00742F04">
              <w:rPr>
                <w:szCs w:val="22"/>
              </w:rPr>
              <w:t>Stevens-Johnsonov sindrom</w:t>
            </w:r>
          </w:p>
        </w:tc>
        <w:tc>
          <w:tcPr>
            <w:tcW w:w="1503" w:type="dxa"/>
            <w:shd w:val="clear" w:color="auto" w:fill="auto"/>
            <w:vAlign w:val="center"/>
          </w:tcPr>
          <w:p w14:paraId="6EF8C5A0" w14:textId="77777777" w:rsidR="00D46E3B" w:rsidRPr="00742F04" w:rsidRDefault="00D46E3B" w:rsidP="00D46E3B">
            <w:pPr>
              <w:widowControl w:val="0"/>
              <w:rPr>
                <w:szCs w:val="22"/>
              </w:rPr>
            </w:pPr>
            <w:r w:rsidRPr="00742F04">
              <w:rPr>
                <w:szCs w:val="22"/>
              </w:rPr>
              <w:t>Nepoznato</w:t>
            </w:r>
          </w:p>
        </w:tc>
        <w:tc>
          <w:tcPr>
            <w:tcW w:w="1439" w:type="dxa"/>
            <w:vAlign w:val="center"/>
          </w:tcPr>
          <w:p w14:paraId="58C28F72" w14:textId="77777777" w:rsidR="00D46E3B" w:rsidRPr="00742F04" w:rsidRDefault="00D46E3B" w:rsidP="00D46E3B">
            <w:pPr>
              <w:widowControl w:val="0"/>
              <w:rPr>
                <w:szCs w:val="22"/>
              </w:rPr>
            </w:pPr>
            <w:r w:rsidRPr="00742F04">
              <w:rPr>
                <w:szCs w:val="22"/>
              </w:rPr>
              <w:t>–</w:t>
            </w:r>
          </w:p>
        </w:tc>
      </w:tr>
      <w:tr w:rsidR="00D46E3B" w:rsidRPr="00742F04" w14:paraId="2B331BA6" w14:textId="77777777" w:rsidTr="0064489E">
        <w:trPr>
          <w:gridAfter w:val="1"/>
          <w:wAfter w:w="46" w:type="dxa"/>
        </w:trPr>
        <w:tc>
          <w:tcPr>
            <w:tcW w:w="2376" w:type="dxa"/>
            <w:vMerge/>
            <w:shd w:val="clear" w:color="auto" w:fill="auto"/>
          </w:tcPr>
          <w:p w14:paraId="7043758D" w14:textId="77777777" w:rsidR="00D46E3B" w:rsidRPr="00742F04" w:rsidRDefault="00D46E3B" w:rsidP="00D46E3B">
            <w:pPr>
              <w:widowControl w:val="0"/>
              <w:rPr>
                <w:i/>
                <w:szCs w:val="22"/>
              </w:rPr>
            </w:pPr>
          </w:p>
        </w:tc>
        <w:tc>
          <w:tcPr>
            <w:tcW w:w="3969" w:type="dxa"/>
            <w:shd w:val="clear" w:color="auto" w:fill="auto"/>
            <w:vAlign w:val="center"/>
          </w:tcPr>
          <w:p w14:paraId="6701A32C" w14:textId="77777777" w:rsidR="00D46E3B" w:rsidRPr="00742F04" w:rsidRDefault="00D46E3B" w:rsidP="00D46E3B">
            <w:pPr>
              <w:widowControl w:val="0"/>
              <w:tabs>
                <w:tab w:val="left" w:pos="1315"/>
              </w:tabs>
              <w:rPr>
                <w:szCs w:val="22"/>
              </w:rPr>
            </w:pPr>
            <w:r w:rsidRPr="00742F04">
              <w:rPr>
                <w:szCs w:val="22"/>
              </w:rPr>
              <w:t xml:space="preserve">Multiformni eritem </w:t>
            </w:r>
          </w:p>
        </w:tc>
        <w:tc>
          <w:tcPr>
            <w:tcW w:w="1503" w:type="dxa"/>
            <w:shd w:val="clear" w:color="auto" w:fill="auto"/>
            <w:vAlign w:val="center"/>
          </w:tcPr>
          <w:p w14:paraId="44DDC00D" w14:textId="77777777" w:rsidR="00D46E3B" w:rsidRPr="00742F04" w:rsidRDefault="00D46E3B" w:rsidP="00D46E3B">
            <w:pPr>
              <w:widowControl w:val="0"/>
              <w:rPr>
                <w:szCs w:val="22"/>
              </w:rPr>
            </w:pPr>
            <w:r w:rsidRPr="00742F04">
              <w:rPr>
                <w:szCs w:val="22"/>
              </w:rPr>
              <w:t>–</w:t>
            </w:r>
          </w:p>
        </w:tc>
        <w:tc>
          <w:tcPr>
            <w:tcW w:w="1439" w:type="dxa"/>
            <w:vAlign w:val="center"/>
          </w:tcPr>
          <w:p w14:paraId="0A1D903D" w14:textId="77777777" w:rsidR="00D46E3B" w:rsidRPr="00742F04" w:rsidRDefault="00D46E3B" w:rsidP="00D46E3B">
            <w:pPr>
              <w:widowControl w:val="0"/>
              <w:rPr>
                <w:szCs w:val="22"/>
              </w:rPr>
            </w:pPr>
            <w:r w:rsidRPr="00742F04">
              <w:rPr>
                <w:szCs w:val="22"/>
              </w:rPr>
              <w:t>Nepoznato</w:t>
            </w:r>
          </w:p>
        </w:tc>
      </w:tr>
      <w:tr w:rsidR="00D46E3B" w:rsidRPr="00742F04" w14:paraId="00B389E1" w14:textId="77777777" w:rsidTr="0064489E">
        <w:trPr>
          <w:gridAfter w:val="1"/>
          <w:wAfter w:w="46" w:type="dxa"/>
        </w:trPr>
        <w:tc>
          <w:tcPr>
            <w:tcW w:w="2376" w:type="dxa"/>
            <w:vMerge/>
            <w:shd w:val="clear" w:color="auto" w:fill="auto"/>
          </w:tcPr>
          <w:p w14:paraId="62B87E94" w14:textId="77777777" w:rsidR="00D46E3B" w:rsidRPr="00742F04" w:rsidRDefault="00D46E3B" w:rsidP="00D46E3B">
            <w:pPr>
              <w:widowControl w:val="0"/>
              <w:rPr>
                <w:i/>
                <w:szCs w:val="22"/>
              </w:rPr>
            </w:pPr>
          </w:p>
        </w:tc>
        <w:tc>
          <w:tcPr>
            <w:tcW w:w="3969" w:type="dxa"/>
            <w:shd w:val="clear" w:color="auto" w:fill="auto"/>
            <w:vAlign w:val="center"/>
          </w:tcPr>
          <w:p w14:paraId="5ADCD459" w14:textId="77777777" w:rsidR="00D46E3B" w:rsidRPr="00742F04" w:rsidRDefault="00D46E3B" w:rsidP="00D46E3B">
            <w:pPr>
              <w:widowControl w:val="0"/>
              <w:tabs>
                <w:tab w:val="left" w:pos="1315"/>
              </w:tabs>
              <w:rPr>
                <w:szCs w:val="22"/>
              </w:rPr>
            </w:pPr>
            <w:r w:rsidRPr="00742F04">
              <w:rPr>
                <w:szCs w:val="22"/>
              </w:rPr>
              <w:t>Reakcija na lijek sa eozinofilijom i sistemskim simptomima (DRESS)</w:t>
            </w:r>
          </w:p>
        </w:tc>
        <w:tc>
          <w:tcPr>
            <w:tcW w:w="1503" w:type="dxa"/>
            <w:shd w:val="clear" w:color="auto" w:fill="auto"/>
            <w:vAlign w:val="center"/>
          </w:tcPr>
          <w:p w14:paraId="64CB3957" w14:textId="77777777" w:rsidR="00D46E3B" w:rsidRPr="00742F04" w:rsidRDefault="00D46E3B" w:rsidP="00D46E3B">
            <w:pPr>
              <w:widowControl w:val="0"/>
              <w:rPr>
                <w:szCs w:val="22"/>
              </w:rPr>
            </w:pPr>
            <w:r w:rsidRPr="00742F04">
              <w:rPr>
                <w:szCs w:val="22"/>
              </w:rPr>
              <w:t>Nepoznato</w:t>
            </w:r>
          </w:p>
        </w:tc>
        <w:tc>
          <w:tcPr>
            <w:tcW w:w="1439" w:type="dxa"/>
            <w:vAlign w:val="center"/>
          </w:tcPr>
          <w:p w14:paraId="6363A4BB" w14:textId="77777777" w:rsidR="00D46E3B" w:rsidRPr="00742F04" w:rsidRDefault="00D46E3B" w:rsidP="00D46E3B">
            <w:pPr>
              <w:widowControl w:val="0"/>
              <w:rPr>
                <w:szCs w:val="22"/>
              </w:rPr>
            </w:pPr>
            <w:r w:rsidRPr="00742F04">
              <w:rPr>
                <w:szCs w:val="22"/>
              </w:rPr>
              <w:t>–</w:t>
            </w:r>
          </w:p>
        </w:tc>
      </w:tr>
      <w:tr w:rsidR="00D46E3B" w:rsidRPr="00742F04" w14:paraId="4CB4AAA1" w14:textId="77777777" w:rsidTr="0064489E">
        <w:trPr>
          <w:gridAfter w:val="1"/>
          <w:wAfter w:w="46" w:type="dxa"/>
        </w:trPr>
        <w:tc>
          <w:tcPr>
            <w:tcW w:w="2376" w:type="dxa"/>
            <w:vMerge w:val="restart"/>
            <w:shd w:val="clear" w:color="auto" w:fill="auto"/>
          </w:tcPr>
          <w:p w14:paraId="02BD3E74" w14:textId="77777777" w:rsidR="00D46E3B" w:rsidRPr="00742F04" w:rsidRDefault="00D46E3B" w:rsidP="00D46E3B">
            <w:pPr>
              <w:widowControl w:val="0"/>
              <w:rPr>
                <w:i/>
                <w:szCs w:val="22"/>
              </w:rPr>
            </w:pPr>
            <w:r w:rsidRPr="00742F04">
              <w:rPr>
                <w:i/>
                <w:szCs w:val="22"/>
              </w:rPr>
              <w:t>Poremećaji mišićnokoštanog sistema i vezivnog tkiva</w:t>
            </w:r>
          </w:p>
        </w:tc>
        <w:tc>
          <w:tcPr>
            <w:tcW w:w="3969" w:type="dxa"/>
            <w:shd w:val="clear" w:color="auto" w:fill="auto"/>
            <w:vAlign w:val="center"/>
          </w:tcPr>
          <w:p w14:paraId="3111A715" w14:textId="77777777" w:rsidR="00D46E3B" w:rsidRPr="00742F04" w:rsidRDefault="00D46E3B" w:rsidP="00D46E3B">
            <w:pPr>
              <w:widowControl w:val="0"/>
              <w:tabs>
                <w:tab w:val="left" w:pos="1315"/>
              </w:tabs>
              <w:rPr>
                <w:szCs w:val="22"/>
              </w:rPr>
            </w:pPr>
            <w:r w:rsidRPr="00742F04">
              <w:rPr>
                <w:szCs w:val="22"/>
              </w:rPr>
              <w:t>Mijalgija</w:t>
            </w:r>
          </w:p>
        </w:tc>
        <w:tc>
          <w:tcPr>
            <w:tcW w:w="1503" w:type="dxa"/>
            <w:shd w:val="clear" w:color="auto" w:fill="auto"/>
            <w:vAlign w:val="center"/>
          </w:tcPr>
          <w:p w14:paraId="0D43A5C9" w14:textId="77777777" w:rsidR="00D46E3B" w:rsidRPr="00742F04" w:rsidRDefault="00D46E3B" w:rsidP="00D46E3B">
            <w:pPr>
              <w:widowControl w:val="0"/>
              <w:rPr>
                <w:szCs w:val="22"/>
              </w:rPr>
            </w:pPr>
            <w:r w:rsidRPr="00742F04">
              <w:rPr>
                <w:szCs w:val="22"/>
              </w:rPr>
              <w:t>Često</w:t>
            </w:r>
          </w:p>
        </w:tc>
        <w:tc>
          <w:tcPr>
            <w:tcW w:w="1439" w:type="dxa"/>
            <w:vAlign w:val="center"/>
          </w:tcPr>
          <w:p w14:paraId="773BD058" w14:textId="77777777" w:rsidR="00D46E3B" w:rsidRPr="00742F04" w:rsidRDefault="00D46E3B" w:rsidP="00D46E3B">
            <w:pPr>
              <w:widowControl w:val="0"/>
              <w:rPr>
                <w:szCs w:val="22"/>
              </w:rPr>
            </w:pPr>
            <w:r w:rsidRPr="00742F04">
              <w:rPr>
                <w:szCs w:val="22"/>
              </w:rPr>
              <w:t>Često</w:t>
            </w:r>
          </w:p>
        </w:tc>
      </w:tr>
      <w:tr w:rsidR="00D46E3B" w:rsidRPr="00742F04" w14:paraId="1C3275D3" w14:textId="77777777" w:rsidTr="0064489E">
        <w:trPr>
          <w:gridAfter w:val="1"/>
          <w:wAfter w:w="46" w:type="dxa"/>
        </w:trPr>
        <w:tc>
          <w:tcPr>
            <w:tcW w:w="2376" w:type="dxa"/>
            <w:vMerge/>
            <w:shd w:val="clear" w:color="auto" w:fill="auto"/>
          </w:tcPr>
          <w:p w14:paraId="4A02BEE0" w14:textId="77777777" w:rsidR="00D46E3B" w:rsidRPr="00742F04" w:rsidRDefault="00D46E3B" w:rsidP="00D46E3B">
            <w:pPr>
              <w:widowControl w:val="0"/>
              <w:rPr>
                <w:i/>
                <w:szCs w:val="22"/>
              </w:rPr>
            </w:pPr>
          </w:p>
        </w:tc>
        <w:tc>
          <w:tcPr>
            <w:tcW w:w="3969" w:type="dxa"/>
            <w:shd w:val="clear" w:color="auto" w:fill="auto"/>
            <w:vAlign w:val="center"/>
          </w:tcPr>
          <w:p w14:paraId="66616FCA" w14:textId="77777777" w:rsidR="00D46E3B" w:rsidRPr="00742F04" w:rsidRDefault="00D46E3B" w:rsidP="00D46E3B">
            <w:pPr>
              <w:widowControl w:val="0"/>
              <w:ind w:left="143" w:hanging="143"/>
              <w:rPr>
                <w:szCs w:val="22"/>
              </w:rPr>
            </w:pPr>
            <w:r w:rsidRPr="00742F04">
              <w:rPr>
                <w:szCs w:val="22"/>
              </w:rPr>
              <w:t xml:space="preserve">Miopatija (uključujući miozitis) </w:t>
            </w:r>
          </w:p>
        </w:tc>
        <w:tc>
          <w:tcPr>
            <w:tcW w:w="1503" w:type="dxa"/>
            <w:shd w:val="clear" w:color="auto" w:fill="auto"/>
            <w:vAlign w:val="center"/>
          </w:tcPr>
          <w:p w14:paraId="430A7F1C" w14:textId="77777777" w:rsidR="00D46E3B" w:rsidRPr="00742F04" w:rsidRDefault="00D46E3B" w:rsidP="00D46E3B">
            <w:pPr>
              <w:widowControl w:val="0"/>
              <w:rPr>
                <w:szCs w:val="22"/>
              </w:rPr>
            </w:pPr>
            <w:r w:rsidRPr="00742F04">
              <w:rPr>
                <w:szCs w:val="22"/>
              </w:rPr>
              <w:t>Rijetko</w:t>
            </w:r>
          </w:p>
        </w:tc>
        <w:tc>
          <w:tcPr>
            <w:tcW w:w="1439" w:type="dxa"/>
            <w:vAlign w:val="center"/>
          </w:tcPr>
          <w:p w14:paraId="04BB3024" w14:textId="77777777" w:rsidR="00D46E3B" w:rsidRPr="00742F04" w:rsidRDefault="00D46E3B" w:rsidP="00D46E3B">
            <w:pPr>
              <w:widowControl w:val="0"/>
              <w:rPr>
                <w:szCs w:val="22"/>
              </w:rPr>
            </w:pPr>
            <w:r w:rsidRPr="00742F04">
              <w:rPr>
                <w:szCs w:val="22"/>
              </w:rPr>
              <w:t>Nepoznato</w:t>
            </w:r>
          </w:p>
        </w:tc>
      </w:tr>
      <w:tr w:rsidR="00D46E3B" w:rsidRPr="00742F04" w14:paraId="3F1351DB" w14:textId="77777777" w:rsidTr="0064489E">
        <w:trPr>
          <w:gridAfter w:val="1"/>
          <w:wAfter w:w="46" w:type="dxa"/>
        </w:trPr>
        <w:tc>
          <w:tcPr>
            <w:tcW w:w="2376" w:type="dxa"/>
            <w:vMerge/>
            <w:shd w:val="clear" w:color="auto" w:fill="auto"/>
          </w:tcPr>
          <w:p w14:paraId="56DEE197" w14:textId="77777777" w:rsidR="00D46E3B" w:rsidRPr="00742F04" w:rsidRDefault="00D46E3B" w:rsidP="00D46E3B">
            <w:pPr>
              <w:widowControl w:val="0"/>
              <w:rPr>
                <w:i/>
                <w:szCs w:val="22"/>
              </w:rPr>
            </w:pPr>
          </w:p>
        </w:tc>
        <w:tc>
          <w:tcPr>
            <w:tcW w:w="3969" w:type="dxa"/>
            <w:shd w:val="clear" w:color="auto" w:fill="auto"/>
            <w:vAlign w:val="center"/>
          </w:tcPr>
          <w:p w14:paraId="3F8131B3" w14:textId="77777777" w:rsidR="00D46E3B" w:rsidRPr="00742F04" w:rsidRDefault="00D46E3B" w:rsidP="00D46E3B">
            <w:pPr>
              <w:widowControl w:val="0"/>
              <w:tabs>
                <w:tab w:val="left" w:pos="1315"/>
              </w:tabs>
              <w:rPr>
                <w:szCs w:val="22"/>
              </w:rPr>
            </w:pPr>
            <w:r w:rsidRPr="00742F04">
              <w:rPr>
                <w:szCs w:val="22"/>
              </w:rPr>
              <w:t>Rabdomioliza</w:t>
            </w:r>
          </w:p>
        </w:tc>
        <w:tc>
          <w:tcPr>
            <w:tcW w:w="1503" w:type="dxa"/>
            <w:shd w:val="clear" w:color="auto" w:fill="auto"/>
            <w:vAlign w:val="center"/>
          </w:tcPr>
          <w:p w14:paraId="5A5C83AE" w14:textId="77777777" w:rsidR="00D46E3B" w:rsidRPr="00742F04" w:rsidRDefault="00D46E3B" w:rsidP="00D46E3B">
            <w:pPr>
              <w:widowControl w:val="0"/>
              <w:rPr>
                <w:szCs w:val="22"/>
              </w:rPr>
            </w:pPr>
            <w:r w:rsidRPr="00742F04">
              <w:rPr>
                <w:szCs w:val="22"/>
              </w:rPr>
              <w:t>Rijetko</w:t>
            </w:r>
          </w:p>
        </w:tc>
        <w:tc>
          <w:tcPr>
            <w:tcW w:w="1439" w:type="dxa"/>
            <w:vAlign w:val="center"/>
          </w:tcPr>
          <w:p w14:paraId="2A349A61" w14:textId="77777777" w:rsidR="00D46E3B" w:rsidRPr="00742F04" w:rsidRDefault="00D46E3B" w:rsidP="00D46E3B">
            <w:pPr>
              <w:widowControl w:val="0"/>
              <w:rPr>
                <w:szCs w:val="22"/>
              </w:rPr>
            </w:pPr>
            <w:r w:rsidRPr="00742F04">
              <w:rPr>
                <w:szCs w:val="22"/>
              </w:rPr>
              <w:t>Nepoznato</w:t>
            </w:r>
          </w:p>
        </w:tc>
      </w:tr>
      <w:tr w:rsidR="00D46E3B" w:rsidRPr="00742F04" w14:paraId="332A0B6A" w14:textId="77777777" w:rsidTr="0064489E">
        <w:trPr>
          <w:gridAfter w:val="1"/>
          <w:wAfter w:w="46" w:type="dxa"/>
        </w:trPr>
        <w:tc>
          <w:tcPr>
            <w:tcW w:w="2376" w:type="dxa"/>
            <w:vMerge/>
            <w:shd w:val="clear" w:color="auto" w:fill="auto"/>
          </w:tcPr>
          <w:p w14:paraId="6338177F" w14:textId="77777777" w:rsidR="00D46E3B" w:rsidRPr="00742F04" w:rsidRDefault="00D46E3B" w:rsidP="00D46E3B">
            <w:pPr>
              <w:widowControl w:val="0"/>
              <w:rPr>
                <w:i/>
                <w:szCs w:val="22"/>
              </w:rPr>
            </w:pPr>
          </w:p>
        </w:tc>
        <w:tc>
          <w:tcPr>
            <w:tcW w:w="3969" w:type="dxa"/>
            <w:shd w:val="clear" w:color="auto" w:fill="auto"/>
            <w:vAlign w:val="center"/>
          </w:tcPr>
          <w:p w14:paraId="79EA5446" w14:textId="77777777" w:rsidR="00D46E3B" w:rsidRPr="00742F04" w:rsidRDefault="00D46E3B" w:rsidP="00D46E3B">
            <w:pPr>
              <w:widowControl w:val="0"/>
              <w:tabs>
                <w:tab w:val="left" w:pos="1315"/>
              </w:tabs>
              <w:rPr>
                <w:szCs w:val="22"/>
              </w:rPr>
            </w:pPr>
            <w:r w:rsidRPr="00742F04">
              <w:rPr>
                <w:szCs w:val="22"/>
              </w:rPr>
              <w:t>Artralgija</w:t>
            </w:r>
          </w:p>
        </w:tc>
        <w:tc>
          <w:tcPr>
            <w:tcW w:w="1503" w:type="dxa"/>
            <w:shd w:val="clear" w:color="auto" w:fill="auto"/>
            <w:vAlign w:val="center"/>
          </w:tcPr>
          <w:p w14:paraId="2DB00C46" w14:textId="77777777" w:rsidR="00D46E3B" w:rsidRPr="00742F04" w:rsidRDefault="00D46E3B" w:rsidP="00D46E3B">
            <w:pPr>
              <w:widowControl w:val="0"/>
              <w:rPr>
                <w:szCs w:val="22"/>
              </w:rPr>
            </w:pPr>
            <w:r w:rsidRPr="00742F04">
              <w:rPr>
                <w:szCs w:val="22"/>
              </w:rPr>
              <w:t>Veoma rijetko</w:t>
            </w:r>
          </w:p>
        </w:tc>
        <w:tc>
          <w:tcPr>
            <w:tcW w:w="1439" w:type="dxa"/>
            <w:vAlign w:val="center"/>
          </w:tcPr>
          <w:p w14:paraId="55D3A33C" w14:textId="77777777" w:rsidR="00D46E3B" w:rsidRPr="00742F04" w:rsidRDefault="00D46E3B" w:rsidP="00D46E3B">
            <w:pPr>
              <w:widowControl w:val="0"/>
              <w:rPr>
                <w:szCs w:val="22"/>
              </w:rPr>
            </w:pPr>
            <w:r>
              <w:rPr>
                <w:szCs w:val="22"/>
              </w:rPr>
              <w:t>Povremeno</w:t>
            </w:r>
          </w:p>
        </w:tc>
      </w:tr>
      <w:tr w:rsidR="00D46E3B" w:rsidRPr="00742F04" w14:paraId="2734CCB7" w14:textId="77777777" w:rsidTr="0064489E">
        <w:trPr>
          <w:gridAfter w:val="1"/>
          <w:wAfter w:w="46" w:type="dxa"/>
        </w:trPr>
        <w:tc>
          <w:tcPr>
            <w:tcW w:w="2376" w:type="dxa"/>
            <w:vMerge/>
            <w:shd w:val="clear" w:color="auto" w:fill="auto"/>
          </w:tcPr>
          <w:p w14:paraId="6F04BA72" w14:textId="77777777" w:rsidR="00D46E3B" w:rsidRPr="00742F04" w:rsidRDefault="00D46E3B" w:rsidP="00D46E3B">
            <w:pPr>
              <w:widowControl w:val="0"/>
              <w:rPr>
                <w:i/>
                <w:szCs w:val="22"/>
              </w:rPr>
            </w:pPr>
          </w:p>
        </w:tc>
        <w:tc>
          <w:tcPr>
            <w:tcW w:w="3969" w:type="dxa"/>
            <w:shd w:val="clear" w:color="auto" w:fill="auto"/>
            <w:vAlign w:val="center"/>
          </w:tcPr>
          <w:p w14:paraId="2371988F" w14:textId="77777777" w:rsidR="00D46E3B" w:rsidRPr="00742F04" w:rsidRDefault="00D46E3B" w:rsidP="00D46E3B">
            <w:pPr>
              <w:widowControl w:val="0"/>
              <w:rPr>
                <w:szCs w:val="22"/>
              </w:rPr>
            </w:pPr>
            <w:r w:rsidRPr="00742F04">
              <w:rPr>
                <w:szCs w:val="22"/>
              </w:rPr>
              <w:t>Imunološki posredovana nekrotizirajuća miopatija</w:t>
            </w:r>
          </w:p>
        </w:tc>
        <w:tc>
          <w:tcPr>
            <w:tcW w:w="1503" w:type="dxa"/>
            <w:shd w:val="clear" w:color="auto" w:fill="auto"/>
            <w:vAlign w:val="center"/>
          </w:tcPr>
          <w:p w14:paraId="57F66437" w14:textId="77777777" w:rsidR="00D46E3B" w:rsidRPr="00742F04" w:rsidRDefault="00D46E3B" w:rsidP="00D46E3B">
            <w:pPr>
              <w:widowControl w:val="0"/>
              <w:rPr>
                <w:szCs w:val="22"/>
              </w:rPr>
            </w:pPr>
            <w:r w:rsidRPr="00742F04">
              <w:rPr>
                <w:szCs w:val="22"/>
              </w:rPr>
              <w:t>Nepoznato</w:t>
            </w:r>
          </w:p>
        </w:tc>
        <w:tc>
          <w:tcPr>
            <w:tcW w:w="1439" w:type="dxa"/>
            <w:vAlign w:val="center"/>
          </w:tcPr>
          <w:p w14:paraId="226F69A6" w14:textId="77777777" w:rsidR="00D46E3B" w:rsidRPr="00742F04" w:rsidRDefault="00D46E3B" w:rsidP="00D46E3B">
            <w:pPr>
              <w:widowControl w:val="0"/>
              <w:rPr>
                <w:szCs w:val="22"/>
              </w:rPr>
            </w:pPr>
            <w:r w:rsidRPr="00742F04">
              <w:rPr>
                <w:szCs w:val="22"/>
              </w:rPr>
              <w:t>–</w:t>
            </w:r>
          </w:p>
        </w:tc>
      </w:tr>
      <w:tr w:rsidR="00D46E3B" w:rsidRPr="00742F04" w14:paraId="7B0F6B45" w14:textId="77777777" w:rsidTr="0064489E">
        <w:trPr>
          <w:gridAfter w:val="1"/>
          <w:wAfter w:w="46" w:type="dxa"/>
        </w:trPr>
        <w:tc>
          <w:tcPr>
            <w:tcW w:w="2376" w:type="dxa"/>
            <w:vMerge/>
            <w:shd w:val="clear" w:color="auto" w:fill="auto"/>
          </w:tcPr>
          <w:p w14:paraId="2F9E3FEE" w14:textId="77777777" w:rsidR="00D46E3B" w:rsidRPr="00742F04" w:rsidRDefault="00D46E3B" w:rsidP="00D46E3B">
            <w:pPr>
              <w:widowControl w:val="0"/>
              <w:rPr>
                <w:i/>
                <w:szCs w:val="22"/>
              </w:rPr>
            </w:pPr>
          </w:p>
        </w:tc>
        <w:tc>
          <w:tcPr>
            <w:tcW w:w="3969" w:type="dxa"/>
            <w:shd w:val="clear" w:color="auto" w:fill="auto"/>
            <w:vAlign w:val="center"/>
          </w:tcPr>
          <w:p w14:paraId="650750D2" w14:textId="77777777" w:rsidR="00D46E3B" w:rsidRPr="00742F04" w:rsidRDefault="00D46E3B" w:rsidP="00D46E3B">
            <w:pPr>
              <w:widowControl w:val="0"/>
              <w:rPr>
                <w:szCs w:val="22"/>
              </w:rPr>
            </w:pPr>
            <w:r w:rsidRPr="00742F04">
              <w:rPr>
                <w:szCs w:val="22"/>
              </w:rPr>
              <w:t>Poremećaji tetiva, ponekad komplikovani rupturom</w:t>
            </w:r>
          </w:p>
        </w:tc>
        <w:tc>
          <w:tcPr>
            <w:tcW w:w="1503" w:type="dxa"/>
            <w:shd w:val="clear" w:color="auto" w:fill="auto"/>
            <w:vAlign w:val="center"/>
          </w:tcPr>
          <w:p w14:paraId="64B46D71" w14:textId="77777777" w:rsidR="00D46E3B" w:rsidRPr="00742F04" w:rsidRDefault="00D46E3B" w:rsidP="00D46E3B">
            <w:pPr>
              <w:widowControl w:val="0"/>
              <w:rPr>
                <w:szCs w:val="22"/>
              </w:rPr>
            </w:pPr>
            <w:r w:rsidRPr="00742F04">
              <w:rPr>
                <w:szCs w:val="22"/>
              </w:rPr>
              <w:t>Nepoznato</w:t>
            </w:r>
          </w:p>
        </w:tc>
        <w:tc>
          <w:tcPr>
            <w:tcW w:w="1439" w:type="dxa"/>
            <w:vAlign w:val="center"/>
          </w:tcPr>
          <w:p w14:paraId="78D76A21" w14:textId="77777777" w:rsidR="00D46E3B" w:rsidRPr="00742F04" w:rsidRDefault="00D46E3B" w:rsidP="00D46E3B">
            <w:pPr>
              <w:widowControl w:val="0"/>
              <w:rPr>
                <w:szCs w:val="22"/>
              </w:rPr>
            </w:pPr>
            <w:r w:rsidRPr="00742F04">
              <w:rPr>
                <w:szCs w:val="22"/>
              </w:rPr>
              <w:t>–</w:t>
            </w:r>
          </w:p>
        </w:tc>
      </w:tr>
      <w:tr w:rsidR="00D46E3B" w:rsidRPr="00742F04" w14:paraId="6A0FB8B4" w14:textId="77777777" w:rsidTr="0064489E">
        <w:trPr>
          <w:gridAfter w:val="1"/>
          <w:wAfter w:w="46" w:type="dxa"/>
        </w:trPr>
        <w:tc>
          <w:tcPr>
            <w:tcW w:w="2376" w:type="dxa"/>
            <w:vMerge/>
            <w:shd w:val="clear" w:color="auto" w:fill="auto"/>
          </w:tcPr>
          <w:p w14:paraId="19933CDD" w14:textId="77777777" w:rsidR="00D46E3B" w:rsidRPr="00742F04" w:rsidRDefault="00D46E3B" w:rsidP="00D46E3B">
            <w:pPr>
              <w:widowControl w:val="0"/>
              <w:rPr>
                <w:i/>
                <w:szCs w:val="22"/>
              </w:rPr>
            </w:pPr>
          </w:p>
        </w:tc>
        <w:tc>
          <w:tcPr>
            <w:tcW w:w="3969" w:type="dxa"/>
            <w:shd w:val="clear" w:color="auto" w:fill="auto"/>
            <w:vAlign w:val="center"/>
          </w:tcPr>
          <w:p w14:paraId="4092BB6F" w14:textId="77777777" w:rsidR="00D46E3B" w:rsidRPr="00742F04" w:rsidRDefault="00D46E3B" w:rsidP="00D46E3B">
            <w:pPr>
              <w:widowControl w:val="0"/>
              <w:rPr>
                <w:szCs w:val="22"/>
              </w:rPr>
            </w:pPr>
            <w:r w:rsidRPr="00742F04">
              <w:rPr>
                <w:szCs w:val="22"/>
              </w:rPr>
              <w:t>Bol u leđima</w:t>
            </w:r>
          </w:p>
        </w:tc>
        <w:tc>
          <w:tcPr>
            <w:tcW w:w="1503" w:type="dxa"/>
            <w:shd w:val="clear" w:color="auto" w:fill="auto"/>
            <w:vAlign w:val="center"/>
          </w:tcPr>
          <w:p w14:paraId="582D604C" w14:textId="77777777" w:rsidR="00D46E3B" w:rsidRPr="00742F04" w:rsidRDefault="00D46E3B" w:rsidP="00D46E3B">
            <w:pPr>
              <w:widowControl w:val="0"/>
              <w:rPr>
                <w:szCs w:val="22"/>
              </w:rPr>
            </w:pPr>
            <w:r w:rsidRPr="00742F04">
              <w:rPr>
                <w:szCs w:val="22"/>
              </w:rPr>
              <w:t>–</w:t>
            </w:r>
          </w:p>
        </w:tc>
        <w:tc>
          <w:tcPr>
            <w:tcW w:w="1439" w:type="dxa"/>
            <w:vAlign w:val="center"/>
          </w:tcPr>
          <w:p w14:paraId="5FD42EAE" w14:textId="77777777" w:rsidR="00D46E3B" w:rsidRPr="00742F04" w:rsidRDefault="00D46E3B" w:rsidP="00D46E3B">
            <w:pPr>
              <w:widowControl w:val="0"/>
              <w:rPr>
                <w:szCs w:val="22"/>
              </w:rPr>
            </w:pPr>
            <w:r>
              <w:rPr>
                <w:szCs w:val="22"/>
              </w:rPr>
              <w:t>Povremeno</w:t>
            </w:r>
          </w:p>
        </w:tc>
      </w:tr>
      <w:tr w:rsidR="00D46E3B" w:rsidRPr="00742F04" w14:paraId="4167CFC8" w14:textId="77777777" w:rsidTr="0064489E">
        <w:trPr>
          <w:gridAfter w:val="1"/>
          <w:wAfter w:w="46" w:type="dxa"/>
        </w:trPr>
        <w:tc>
          <w:tcPr>
            <w:tcW w:w="2376" w:type="dxa"/>
            <w:vMerge/>
            <w:shd w:val="clear" w:color="auto" w:fill="auto"/>
          </w:tcPr>
          <w:p w14:paraId="782DB604" w14:textId="77777777" w:rsidR="00D46E3B" w:rsidRPr="00742F04" w:rsidRDefault="00D46E3B" w:rsidP="00D46E3B">
            <w:pPr>
              <w:widowControl w:val="0"/>
              <w:rPr>
                <w:i/>
                <w:szCs w:val="22"/>
              </w:rPr>
            </w:pPr>
          </w:p>
        </w:tc>
        <w:tc>
          <w:tcPr>
            <w:tcW w:w="3969" w:type="dxa"/>
            <w:shd w:val="clear" w:color="auto" w:fill="auto"/>
            <w:vAlign w:val="center"/>
          </w:tcPr>
          <w:p w14:paraId="0CACB57C" w14:textId="77777777" w:rsidR="00D46E3B" w:rsidRPr="00742F04" w:rsidRDefault="00D46E3B" w:rsidP="00D46E3B">
            <w:pPr>
              <w:widowControl w:val="0"/>
              <w:rPr>
                <w:szCs w:val="22"/>
              </w:rPr>
            </w:pPr>
            <w:r w:rsidRPr="00742F04">
              <w:rPr>
                <w:szCs w:val="22"/>
              </w:rPr>
              <w:t>Mišićna slabost</w:t>
            </w:r>
          </w:p>
        </w:tc>
        <w:tc>
          <w:tcPr>
            <w:tcW w:w="1503" w:type="dxa"/>
            <w:shd w:val="clear" w:color="auto" w:fill="auto"/>
            <w:vAlign w:val="center"/>
          </w:tcPr>
          <w:p w14:paraId="58BB1D9A" w14:textId="77777777" w:rsidR="00D46E3B" w:rsidRPr="00742F04" w:rsidRDefault="00D46E3B" w:rsidP="00D46E3B">
            <w:pPr>
              <w:widowControl w:val="0"/>
              <w:rPr>
                <w:szCs w:val="22"/>
              </w:rPr>
            </w:pPr>
            <w:r w:rsidRPr="00742F04">
              <w:rPr>
                <w:szCs w:val="22"/>
              </w:rPr>
              <w:t>–</w:t>
            </w:r>
          </w:p>
        </w:tc>
        <w:tc>
          <w:tcPr>
            <w:tcW w:w="1439" w:type="dxa"/>
            <w:vAlign w:val="center"/>
          </w:tcPr>
          <w:p w14:paraId="1D6B88B2" w14:textId="77777777" w:rsidR="00D46E3B" w:rsidRPr="00742F04" w:rsidRDefault="00D46E3B" w:rsidP="00D46E3B">
            <w:pPr>
              <w:widowControl w:val="0"/>
              <w:rPr>
                <w:szCs w:val="22"/>
              </w:rPr>
            </w:pPr>
            <w:r>
              <w:rPr>
                <w:szCs w:val="22"/>
              </w:rPr>
              <w:t>Povremeno</w:t>
            </w:r>
          </w:p>
        </w:tc>
      </w:tr>
      <w:tr w:rsidR="00D46E3B" w:rsidRPr="00742F04" w14:paraId="26A156CB" w14:textId="77777777" w:rsidTr="0064489E">
        <w:trPr>
          <w:gridAfter w:val="1"/>
          <w:wAfter w:w="46" w:type="dxa"/>
        </w:trPr>
        <w:tc>
          <w:tcPr>
            <w:tcW w:w="2376" w:type="dxa"/>
            <w:vMerge/>
            <w:shd w:val="clear" w:color="auto" w:fill="auto"/>
          </w:tcPr>
          <w:p w14:paraId="469B118F" w14:textId="77777777" w:rsidR="00D46E3B" w:rsidRPr="00742F04" w:rsidRDefault="00D46E3B" w:rsidP="00D46E3B">
            <w:pPr>
              <w:widowControl w:val="0"/>
              <w:rPr>
                <w:i/>
                <w:szCs w:val="22"/>
              </w:rPr>
            </w:pPr>
          </w:p>
        </w:tc>
        <w:tc>
          <w:tcPr>
            <w:tcW w:w="3969" w:type="dxa"/>
            <w:shd w:val="clear" w:color="auto" w:fill="auto"/>
            <w:vAlign w:val="center"/>
          </w:tcPr>
          <w:p w14:paraId="45FD75FD" w14:textId="77777777" w:rsidR="00D46E3B" w:rsidRPr="00742F04" w:rsidRDefault="00D46E3B" w:rsidP="00D46E3B">
            <w:pPr>
              <w:widowControl w:val="0"/>
              <w:rPr>
                <w:szCs w:val="22"/>
              </w:rPr>
            </w:pPr>
            <w:r w:rsidRPr="00742F04">
              <w:rPr>
                <w:szCs w:val="22"/>
              </w:rPr>
              <w:t>Bol u ekstremitetima</w:t>
            </w:r>
          </w:p>
        </w:tc>
        <w:tc>
          <w:tcPr>
            <w:tcW w:w="1503" w:type="dxa"/>
            <w:shd w:val="clear" w:color="auto" w:fill="auto"/>
            <w:vAlign w:val="center"/>
          </w:tcPr>
          <w:p w14:paraId="27A438FD" w14:textId="77777777" w:rsidR="00D46E3B" w:rsidRPr="00742F04" w:rsidRDefault="00D46E3B" w:rsidP="00D46E3B">
            <w:pPr>
              <w:widowControl w:val="0"/>
              <w:rPr>
                <w:szCs w:val="22"/>
              </w:rPr>
            </w:pPr>
            <w:r w:rsidRPr="00742F04">
              <w:rPr>
                <w:szCs w:val="22"/>
              </w:rPr>
              <w:t>–</w:t>
            </w:r>
          </w:p>
        </w:tc>
        <w:tc>
          <w:tcPr>
            <w:tcW w:w="1439" w:type="dxa"/>
            <w:vAlign w:val="center"/>
          </w:tcPr>
          <w:p w14:paraId="622AFFB9" w14:textId="77777777" w:rsidR="00D46E3B" w:rsidRPr="00742F04" w:rsidRDefault="00D46E3B" w:rsidP="00D46E3B">
            <w:pPr>
              <w:widowControl w:val="0"/>
              <w:rPr>
                <w:szCs w:val="22"/>
              </w:rPr>
            </w:pPr>
            <w:r>
              <w:rPr>
                <w:szCs w:val="22"/>
              </w:rPr>
              <w:t>Povremeno</w:t>
            </w:r>
          </w:p>
        </w:tc>
      </w:tr>
      <w:tr w:rsidR="00D46E3B" w:rsidRPr="00742F04" w14:paraId="6306E419" w14:textId="77777777" w:rsidTr="0064489E">
        <w:trPr>
          <w:gridAfter w:val="1"/>
          <w:wAfter w:w="46" w:type="dxa"/>
        </w:trPr>
        <w:tc>
          <w:tcPr>
            <w:tcW w:w="2376" w:type="dxa"/>
            <w:vMerge/>
            <w:shd w:val="clear" w:color="auto" w:fill="auto"/>
          </w:tcPr>
          <w:p w14:paraId="168B6385" w14:textId="77777777" w:rsidR="00D46E3B" w:rsidRPr="00742F04" w:rsidRDefault="00D46E3B" w:rsidP="00D46E3B">
            <w:pPr>
              <w:widowControl w:val="0"/>
              <w:rPr>
                <w:i/>
                <w:szCs w:val="22"/>
              </w:rPr>
            </w:pPr>
          </w:p>
        </w:tc>
        <w:tc>
          <w:tcPr>
            <w:tcW w:w="3969" w:type="dxa"/>
            <w:shd w:val="clear" w:color="auto" w:fill="auto"/>
            <w:vAlign w:val="center"/>
          </w:tcPr>
          <w:p w14:paraId="7C759A83" w14:textId="77777777" w:rsidR="00D46E3B" w:rsidRPr="00742F04" w:rsidRDefault="00D46E3B" w:rsidP="00D46E3B">
            <w:pPr>
              <w:widowControl w:val="0"/>
              <w:rPr>
                <w:szCs w:val="22"/>
              </w:rPr>
            </w:pPr>
            <w:r w:rsidRPr="00742F04">
              <w:rPr>
                <w:szCs w:val="22"/>
              </w:rPr>
              <w:t>Mišićni spazam, bol u vratu</w:t>
            </w:r>
          </w:p>
        </w:tc>
        <w:tc>
          <w:tcPr>
            <w:tcW w:w="1503" w:type="dxa"/>
            <w:shd w:val="clear" w:color="auto" w:fill="auto"/>
            <w:vAlign w:val="center"/>
          </w:tcPr>
          <w:p w14:paraId="46B59272" w14:textId="77777777" w:rsidR="00D46E3B" w:rsidRPr="00742F04" w:rsidRDefault="00D46E3B" w:rsidP="00D46E3B">
            <w:pPr>
              <w:widowControl w:val="0"/>
              <w:rPr>
                <w:szCs w:val="22"/>
              </w:rPr>
            </w:pPr>
            <w:r w:rsidRPr="00742F04">
              <w:rPr>
                <w:szCs w:val="22"/>
              </w:rPr>
              <w:t>–</w:t>
            </w:r>
          </w:p>
        </w:tc>
        <w:tc>
          <w:tcPr>
            <w:tcW w:w="1439" w:type="dxa"/>
            <w:vAlign w:val="center"/>
          </w:tcPr>
          <w:p w14:paraId="3EBFE6D2" w14:textId="77777777" w:rsidR="00D46E3B" w:rsidRPr="00742F04" w:rsidRDefault="00D46E3B" w:rsidP="00D46E3B">
            <w:pPr>
              <w:widowControl w:val="0"/>
              <w:rPr>
                <w:szCs w:val="22"/>
              </w:rPr>
            </w:pPr>
            <w:r>
              <w:rPr>
                <w:szCs w:val="22"/>
              </w:rPr>
              <w:t>Povremeno</w:t>
            </w:r>
          </w:p>
        </w:tc>
      </w:tr>
      <w:tr w:rsidR="00D46E3B" w:rsidRPr="00742F04" w14:paraId="4BEB8999" w14:textId="77777777" w:rsidTr="0064489E">
        <w:trPr>
          <w:gridAfter w:val="1"/>
          <w:wAfter w:w="46" w:type="dxa"/>
        </w:trPr>
        <w:tc>
          <w:tcPr>
            <w:tcW w:w="2376" w:type="dxa"/>
            <w:vMerge/>
            <w:shd w:val="clear" w:color="auto" w:fill="auto"/>
          </w:tcPr>
          <w:p w14:paraId="1A697CCF" w14:textId="77777777" w:rsidR="00D46E3B" w:rsidRPr="00742F04" w:rsidRDefault="00D46E3B" w:rsidP="00D46E3B">
            <w:pPr>
              <w:widowControl w:val="0"/>
              <w:rPr>
                <w:i/>
                <w:szCs w:val="22"/>
              </w:rPr>
            </w:pPr>
          </w:p>
        </w:tc>
        <w:tc>
          <w:tcPr>
            <w:tcW w:w="3969" w:type="dxa"/>
            <w:shd w:val="clear" w:color="auto" w:fill="auto"/>
            <w:vAlign w:val="center"/>
          </w:tcPr>
          <w:p w14:paraId="5BE5CFFD" w14:textId="77777777" w:rsidR="00D46E3B" w:rsidRPr="00742F04" w:rsidRDefault="00D46E3B" w:rsidP="00D46E3B">
            <w:pPr>
              <w:widowControl w:val="0"/>
              <w:rPr>
                <w:szCs w:val="22"/>
              </w:rPr>
            </w:pPr>
            <w:r w:rsidRPr="00742F04">
              <w:rPr>
                <w:szCs w:val="22"/>
              </w:rPr>
              <w:t>Sindrom sličan lupusu</w:t>
            </w:r>
          </w:p>
        </w:tc>
        <w:tc>
          <w:tcPr>
            <w:tcW w:w="1503" w:type="dxa"/>
            <w:shd w:val="clear" w:color="auto" w:fill="auto"/>
            <w:vAlign w:val="center"/>
          </w:tcPr>
          <w:p w14:paraId="1A68FEFE" w14:textId="77777777" w:rsidR="00D46E3B" w:rsidRPr="00742F04" w:rsidRDefault="00D46E3B" w:rsidP="00D46E3B">
            <w:pPr>
              <w:widowControl w:val="0"/>
              <w:rPr>
                <w:szCs w:val="22"/>
              </w:rPr>
            </w:pPr>
            <w:r w:rsidRPr="00742F04">
              <w:rPr>
                <w:szCs w:val="22"/>
              </w:rPr>
              <w:t>Rijetko</w:t>
            </w:r>
          </w:p>
        </w:tc>
        <w:tc>
          <w:tcPr>
            <w:tcW w:w="1439" w:type="dxa"/>
            <w:vAlign w:val="center"/>
          </w:tcPr>
          <w:p w14:paraId="490B2732" w14:textId="77777777" w:rsidR="00D46E3B" w:rsidRPr="00742F04" w:rsidRDefault="00D46E3B" w:rsidP="00D46E3B">
            <w:pPr>
              <w:widowControl w:val="0"/>
              <w:rPr>
                <w:szCs w:val="22"/>
              </w:rPr>
            </w:pPr>
            <w:r w:rsidRPr="00742F04">
              <w:rPr>
                <w:szCs w:val="22"/>
              </w:rPr>
              <w:t>–</w:t>
            </w:r>
          </w:p>
        </w:tc>
      </w:tr>
      <w:tr w:rsidR="00D46E3B" w:rsidRPr="00742F04" w14:paraId="496DF8C6" w14:textId="77777777" w:rsidTr="0064489E">
        <w:trPr>
          <w:gridAfter w:val="1"/>
          <w:wAfter w:w="46" w:type="dxa"/>
        </w:trPr>
        <w:tc>
          <w:tcPr>
            <w:tcW w:w="2376" w:type="dxa"/>
            <w:vMerge/>
            <w:shd w:val="clear" w:color="auto" w:fill="auto"/>
          </w:tcPr>
          <w:p w14:paraId="260A83A8" w14:textId="77777777" w:rsidR="00D46E3B" w:rsidRPr="00742F04" w:rsidRDefault="00D46E3B" w:rsidP="00D46E3B">
            <w:pPr>
              <w:widowControl w:val="0"/>
              <w:rPr>
                <w:i/>
                <w:szCs w:val="22"/>
              </w:rPr>
            </w:pPr>
          </w:p>
        </w:tc>
        <w:tc>
          <w:tcPr>
            <w:tcW w:w="3969" w:type="dxa"/>
            <w:shd w:val="clear" w:color="auto" w:fill="auto"/>
            <w:vAlign w:val="center"/>
          </w:tcPr>
          <w:p w14:paraId="7C698C09" w14:textId="77777777" w:rsidR="00D46E3B" w:rsidRPr="00742F04" w:rsidRDefault="00D46E3B" w:rsidP="00D46E3B">
            <w:pPr>
              <w:widowControl w:val="0"/>
              <w:rPr>
                <w:szCs w:val="22"/>
              </w:rPr>
            </w:pPr>
            <w:r w:rsidRPr="00742F04">
              <w:rPr>
                <w:szCs w:val="22"/>
              </w:rPr>
              <w:t>Ruptura mišića</w:t>
            </w:r>
          </w:p>
        </w:tc>
        <w:tc>
          <w:tcPr>
            <w:tcW w:w="1503" w:type="dxa"/>
            <w:shd w:val="clear" w:color="auto" w:fill="auto"/>
            <w:vAlign w:val="center"/>
          </w:tcPr>
          <w:p w14:paraId="782E2476" w14:textId="77777777" w:rsidR="00D46E3B" w:rsidRPr="00742F04" w:rsidRDefault="00D46E3B" w:rsidP="00D46E3B">
            <w:pPr>
              <w:widowControl w:val="0"/>
              <w:rPr>
                <w:szCs w:val="22"/>
              </w:rPr>
            </w:pPr>
            <w:r w:rsidRPr="00742F04">
              <w:rPr>
                <w:szCs w:val="22"/>
              </w:rPr>
              <w:t>Rijetko</w:t>
            </w:r>
          </w:p>
        </w:tc>
        <w:tc>
          <w:tcPr>
            <w:tcW w:w="1439" w:type="dxa"/>
            <w:vAlign w:val="center"/>
          </w:tcPr>
          <w:p w14:paraId="1D39B1FD" w14:textId="77777777" w:rsidR="00D46E3B" w:rsidRPr="00742F04" w:rsidRDefault="00D46E3B" w:rsidP="00D46E3B">
            <w:pPr>
              <w:widowControl w:val="0"/>
              <w:rPr>
                <w:szCs w:val="22"/>
              </w:rPr>
            </w:pPr>
            <w:r w:rsidRPr="00742F04">
              <w:rPr>
                <w:szCs w:val="22"/>
              </w:rPr>
              <w:t>–</w:t>
            </w:r>
          </w:p>
        </w:tc>
      </w:tr>
      <w:tr w:rsidR="00D46E3B" w:rsidRPr="00742F04" w14:paraId="4F3AD4C5" w14:textId="77777777" w:rsidTr="0064489E">
        <w:trPr>
          <w:gridAfter w:val="1"/>
          <w:wAfter w:w="46" w:type="dxa"/>
        </w:trPr>
        <w:tc>
          <w:tcPr>
            <w:tcW w:w="2376" w:type="dxa"/>
            <w:shd w:val="clear" w:color="auto" w:fill="auto"/>
          </w:tcPr>
          <w:p w14:paraId="1AED90CF" w14:textId="77777777" w:rsidR="00D46E3B" w:rsidRPr="00742F04" w:rsidRDefault="00D46E3B" w:rsidP="00D46E3B">
            <w:pPr>
              <w:widowControl w:val="0"/>
              <w:rPr>
                <w:i/>
                <w:szCs w:val="22"/>
              </w:rPr>
            </w:pPr>
            <w:r w:rsidRPr="00742F04">
              <w:rPr>
                <w:i/>
                <w:szCs w:val="22"/>
              </w:rPr>
              <w:t>Poremećaji bubrega i urinarnog sistema</w:t>
            </w:r>
          </w:p>
        </w:tc>
        <w:tc>
          <w:tcPr>
            <w:tcW w:w="3969" w:type="dxa"/>
            <w:shd w:val="clear" w:color="auto" w:fill="auto"/>
            <w:vAlign w:val="center"/>
          </w:tcPr>
          <w:p w14:paraId="26D9169D" w14:textId="77777777" w:rsidR="00D46E3B" w:rsidRPr="00742F04" w:rsidRDefault="00D46E3B" w:rsidP="00D46E3B">
            <w:pPr>
              <w:widowControl w:val="0"/>
              <w:tabs>
                <w:tab w:val="left" w:pos="1315"/>
              </w:tabs>
              <w:rPr>
                <w:szCs w:val="22"/>
              </w:rPr>
            </w:pPr>
            <w:r w:rsidRPr="00742F04">
              <w:rPr>
                <w:szCs w:val="22"/>
              </w:rPr>
              <w:t>Hematurija</w:t>
            </w:r>
          </w:p>
        </w:tc>
        <w:tc>
          <w:tcPr>
            <w:tcW w:w="1503" w:type="dxa"/>
            <w:shd w:val="clear" w:color="auto" w:fill="auto"/>
            <w:vAlign w:val="center"/>
          </w:tcPr>
          <w:p w14:paraId="71454E76" w14:textId="77777777" w:rsidR="00D46E3B" w:rsidRPr="00742F04" w:rsidRDefault="00D46E3B" w:rsidP="00D46E3B">
            <w:pPr>
              <w:widowControl w:val="0"/>
              <w:rPr>
                <w:szCs w:val="22"/>
              </w:rPr>
            </w:pPr>
            <w:r w:rsidRPr="00742F04">
              <w:rPr>
                <w:szCs w:val="22"/>
              </w:rPr>
              <w:t>Veoma rijetko</w:t>
            </w:r>
          </w:p>
        </w:tc>
        <w:tc>
          <w:tcPr>
            <w:tcW w:w="1439" w:type="dxa"/>
            <w:vAlign w:val="center"/>
          </w:tcPr>
          <w:p w14:paraId="0AE0055F" w14:textId="77777777" w:rsidR="00D46E3B" w:rsidRPr="00742F04" w:rsidRDefault="00D46E3B" w:rsidP="00D46E3B">
            <w:pPr>
              <w:widowControl w:val="0"/>
              <w:rPr>
                <w:szCs w:val="22"/>
              </w:rPr>
            </w:pPr>
            <w:r w:rsidRPr="00742F04">
              <w:rPr>
                <w:szCs w:val="22"/>
              </w:rPr>
              <w:t>–</w:t>
            </w:r>
          </w:p>
        </w:tc>
      </w:tr>
      <w:tr w:rsidR="00D46E3B" w:rsidRPr="00742F04" w14:paraId="6EE56A86" w14:textId="77777777" w:rsidTr="0064489E">
        <w:trPr>
          <w:gridAfter w:val="1"/>
          <w:wAfter w:w="46" w:type="dxa"/>
        </w:trPr>
        <w:tc>
          <w:tcPr>
            <w:tcW w:w="2376" w:type="dxa"/>
            <w:shd w:val="clear" w:color="auto" w:fill="auto"/>
          </w:tcPr>
          <w:p w14:paraId="1F015971" w14:textId="77777777" w:rsidR="00D46E3B" w:rsidRPr="00742F04" w:rsidRDefault="00D46E3B" w:rsidP="00D46E3B">
            <w:pPr>
              <w:widowControl w:val="0"/>
              <w:rPr>
                <w:i/>
                <w:szCs w:val="22"/>
              </w:rPr>
            </w:pPr>
            <w:r w:rsidRPr="00742F04">
              <w:rPr>
                <w:i/>
                <w:szCs w:val="22"/>
              </w:rPr>
              <w:t>Poremećaji reproduktivnog sistema i dojki</w:t>
            </w:r>
          </w:p>
        </w:tc>
        <w:tc>
          <w:tcPr>
            <w:tcW w:w="3969" w:type="dxa"/>
            <w:shd w:val="clear" w:color="auto" w:fill="auto"/>
            <w:vAlign w:val="center"/>
          </w:tcPr>
          <w:p w14:paraId="11D10FA8" w14:textId="77777777" w:rsidR="00D46E3B" w:rsidRPr="00742F04" w:rsidRDefault="00D46E3B" w:rsidP="00D46E3B">
            <w:pPr>
              <w:widowControl w:val="0"/>
              <w:tabs>
                <w:tab w:val="left" w:pos="1315"/>
              </w:tabs>
              <w:rPr>
                <w:szCs w:val="22"/>
              </w:rPr>
            </w:pPr>
            <w:r w:rsidRPr="00742F04">
              <w:rPr>
                <w:szCs w:val="22"/>
              </w:rPr>
              <w:t>Ginekomastija</w:t>
            </w:r>
          </w:p>
        </w:tc>
        <w:tc>
          <w:tcPr>
            <w:tcW w:w="1503" w:type="dxa"/>
            <w:shd w:val="clear" w:color="auto" w:fill="auto"/>
            <w:vAlign w:val="center"/>
          </w:tcPr>
          <w:p w14:paraId="1C525E13" w14:textId="77777777" w:rsidR="00D46E3B" w:rsidRPr="00742F04" w:rsidRDefault="00D46E3B" w:rsidP="00D46E3B">
            <w:pPr>
              <w:widowControl w:val="0"/>
              <w:rPr>
                <w:szCs w:val="22"/>
              </w:rPr>
            </w:pPr>
            <w:r w:rsidRPr="00742F04">
              <w:rPr>
                <w:szCs w:val="22"/>
              </w:rPr>
              <w:t>Veoma rijetko</w:t>
            </w:r>
          </w:p>
        </w:tc>
        <w:tc>
          <w:tcPr>
            <w:tcW w:w="1439" w:type="dxa"/>
            <w:vAlign w:val="center"/>
          </w:tcPr>
          <w:p w14:paraId="1EEFC1AA" w14:textId="77777777" w:rsidR="00D46E3B" w:rsidRPr="00742F04" w:rsidRDefault="00D46E3B" w:rsidP="00D46E3B">
            <w:pPr>
              <w:widowControl w:val="0"/>
              <w:rPr>
                <w:szCs w:val="22"/>
              </w:rPr>
            </w:pPr>
            <w:r w:rsidRPr="00742F04">
              <w:rPr>
                <w:szCs w:val="22"/>
              </w:rPr>
              <w:t>–</w:t>
            </w:r>
          </w:p>
        </w:tc>
      </w:tr>
      <w:tr w:rsidR="00D46E3B" w:rsidRPr="00742F04" w14:paraId="70AB1D51" w14:textId="77777777" w:rsidTr="0064489E">
        <w:trPr>
          <w:gridAfter w:val="1"/>
          <w:wAfter w:w="46" w:type="dxa"/>
        </w:trPr>
        <w:tc>
          <w:tcPr>
            <w:tcW w:w="2376" w:type="dxa"/>
            <w:vMerge w:val="restart"/>
            <w:shd w:val="clear" w:color="auto" w:fill="auto"/>
          </w:tcPr>
          <w:p w14:paraId="723499BA" w14:textId="77777777" w:rsidR="00D46E3B" w:rsidRPr="00742F04" w:rsidRDefault="00D46E3B" w:rsidP="00D46E3B">
            <w:pPr>
              <w:widowControl w:val="0"/>
              <w:rPr>
                <w:i/>
                <w:szCs w:val="22"/>
              </w:rPr>
            </w:pPr>
            <w:r w:rsidRPr="00742F04">
              <w:rPr>
                <w:i/>
                <w:szCs w:val="22"/>
              </w:rPr>
              <w:t>Opšti poremećaji i reakcije na mjestu primjene</w:t>
            </w:r>
          </w:p>
        </w:tc>
        <w:tc>
          <w:tcPr>
            <w:tcW w:w="3969" w:type="dxa"/>
            <w:shd w:val="clear" w:color="auto" w:fill="auto"/>
            <w:vAlign w:val="center"/>
          </w:tcPr>
          <w:p w14:paraId="66FA68EF" w14:textId="77777777" w:rsidR="00D46E3B" w:rsidRPr="00742F04" w:rsidRDefault="00D46E3B" w:rsidP="00D46E3B">
            <w:pPr>
              <w:widowControl w:val="0"/>
              <w:tabs>
                <w:tab w:val="left" w:pos="1315"/>
              </w:tabs>
              <w:rPr>
                <w:szCs w:val="22"/>
              </w:rPr>
            </w:pPr>
            <w:r w:rsidRPr="00742F04">
              <w:rPr>
                <w:szCs w:val="22"/>
              </w:rPr>
              <w:t>Astenija</w:t>
            </w:r>
          </w:p>
        </w:tc>
        <w:tc>
          <w:tcPr>
            <w:tcW w:w="1503" w:type="dxa"/>
            <w:shd w:val="clear" w:color="auto" w:fill="auto"/>
            <w:vAlign w:val="center"/>
          </w:tcPr>
          <w:p w14:paraId="2F98761C" w14:textId="77777777" w:rsidR="00D46E3B" w:rsidRPr="00742F04" w:rsidRDefault="00D46E3B" w:rsidP="00D46E3B">
            <w:pPr>
              <w:widowControl w:val="0"/>
              <w:rPr>
                <w:szCs w:val="22"/>
              </w:rPr>
            </w:pPr>
            <w:r w:rsidRPr="00742F04">
              <w:rPr>
                <w:szCs w:val="22"/>
              </w:rPr>
              <w:t>Često</w:t>
            </w:r>
          </w:p>
        </w:tc>
        <w:tc>
          <w:tcPr>
            <w:tcW w:w="1439" w:type="dxa"/>
            <w:vAlign w:val="center"/>
          </w:tcPr>
          <w:p w14:paraId="06F7EF7C" w14:textId="77777777" w:rsidR="00D46E3B" w:rsidRPr="00742F04" w:rsidRDefault="00D46E3B" w:rsidP="00D46E3B">
            <w:pPr>
              <w:widowControl w:val="0"/>
              <w:rPr>
                <w:szCs w:val="22"/>
              </w:rPr>
            </w:pPr>
            <w:r>
              <w:rPr>
                <w:szCs w:val="22"/>
              </w:rPr>
              <w:t>Povremeno</w:t>
            </w:r>
          </w:p>
        </w:tc>
      </w:tr>
      <w:tr w:rsidR="00D46E3B" w:rsidRPr="00742F04" w14:paraId="4D842842" w14:textId="77777777" w:rsidTr="0064489E">
        <w:trPr>
          <w:gridAfter w:val="1"/>
          <w:wAfter w:w="46" w:type="dxa"/>
        </w:trPr>
        <w:tc>
          <w:tcPr>
            <w:tcW w:w="2376" w:type="dxa"/>
            <w:vMerge/>
            <w:shd w:val="clear" w:color="auto" w:fill="auto"/>
          </w:tcPr>
          <w:p w14:paraId="6F90B23F" w14:textId="77777777" w:rsidR="00D46E3B" w:rsidRPr="00742F04" w:rsidRDefault="00D46E3B" w:rsidP="00D46E3B">
            <w:pPr>
              <w:widowControl w:val="0"/>
              <w:rPr>
                <w:szCs w:val="22"/>
              </w:rPr>
            </w:pPr>
          </w:p>
        </w:tc>
        <w:tc>
          <w:tcPr>
            <w:tcW w:w="3969" w:type="dxa"/>
            <w:shd w:val="clear" w:color="auto" w:fill="auto"/>
            <w:vAlign w:val="center"/>
          </w:tcPr>
          <w:p w14:paraId="1D13049D" w14:textId="77777777" w:rsidR="00D46E3B" w:rsidRPr="00742F04" w:rsidRDefault="00D46E3B" w:rsidP="00D46E3B">
            <w:pPr>
              <w:widowControl w:val="0"/>
              <w:tabs>
                <w:tab w:val="left" w:pos="1315"/>
              </w:tabs>
              <w:rPr>
                <w:szCs w:val="22"/>
              </w:rPr>
            </w:pPr>
            <w:r w:rsidRPr="00742F04">
              <w:rPr>
                <w:szCs w:val="22"/>
              </w:rPr>
              <w:t>Edem</w:t>
            </w:r>
          </w:p>
        </w:tc>
        <w:tc>
          <w:tcPr>
            <w:tcW w:w="1503" w:type="dxa"/>
            <w:shd w:val="clear" w:color="auto" w:fill="auto"/>
            <w:vAlign w:val="center"/>
          </w:tcPr>
          <w:p w14:paraId="7DA4B9E6" w14:textId="77777777" w:rsidR="00D46E3B" w:rsidRPr="00742F04" w:rsidRDefault="00D46E3B" w:rsidP="00D46E3B">
            <w:pPr>
              <w:widowControl w:val="0"/>
              <w:rPr>
                <w:szCs w:val="22"/>
              </w:rPr>
            </w:pPr>
            <w:r w:rsidRPr="00742F04">
              <w:rPr>
                <w:szCs w:val="22"/>
              </w:rPr>
              <w:t>Nepoznato</w:t>
            </w:r>
          </w:p>
        </w:tc>
        <w:tc>
          <w:tcPr>
            <w:tcW w:w="1439" w:type="dxa"/>
            <w:vAlign w:val="center"/>
          </w:tcPr>
          <w:p w14:paraId="337C959B" w14:textId="77777777" w:rsidR="00D46E3B" w:rsidRPr="00742F04" w:rsidRDefault="00D46E3B" w:rsidP="00D46E3B">
            <w:pPr>
              <w:widowControl w:val="0"/>
              <w:rPr>
                <w:szCs w:val="22"/>
              </w:rPr>
            </w:pPr>
            <w:r w:rsidRPr="00742F04">
              <w:rPr>
                <w:szCs w:val="22"/>
              </w:rPr>
              <w:t>–</w:t>
            </w:r>
          </w:p>
        </w:tc>
      </w:tr>
      <w:tr w:rsidR="00D46E3B" w:rsidRPr="00742F04" w14:paraId="58E81D47" w14:textId="77777777" w:rsidTr="0064489E">
        <w:trPr>
          <w:gridAfter w:val="1"/>
          <w:wAfter w:w="46" w:type="dxa"/>
        </w:trPr>
        <w:tc>
          <w:tcPr>
            <w:tcW w:w="2376" w:type="dxa"/>
            <w:vMerge/>
            <w:shd w:val="clear" w:color="auto" w:fill="auto"/>
          </w:tcPr>
          <w:p w14:paraId="62095AB8" w14:textId="77777777" w:rsidR="00D46E3B" w:rsidRPr="00742F04" w:rsidRDefault="00D46E3B" w:rsidP="00D46E3B">
            <w:pPr>
              <w:widowControl w:val="0"/>
              <w:rPr>
                <w:szCs w:val="22"/>
              </w:rPr>
            </w:pPr>
          </w:p>
        </w:tc>
        <w:tc>
          <w:tcPr>
            <w:tcW w:w="3969" w:type="dxa"/>
            <w:shd w:val="clear" w:color="auto" w:fill="auto"/>
            <w:vAlign w:val="center"/>
          </w:tcPr>
          <w:p w14:paraId="1BEA3085" w14:textId="77777777" w:rsidR="00D46E3B" w:rsidRPr="00742F04" w:rsidRDefault="00D46E3B" w:rsidP="00D46E3B">
            <w:pPr>
              <w:widowControl w:val="0"/>
              <w:tabs>
                <w:tab w:val="left" w:pos="1315"/>
              </w:tabs>
              <w:rPr>
                <w:szCs w:val="22"/>
              </w:rPr>
            </w:pPr>
            <w:r w:rsidRPr="00742F04">
              <w:rPr>
                <w:szCs w:val="22"/>
              </w:rPr>
              <w:t>Periferni edem</w:t>
            </w:r>
          </w:p>
        </w:tc>
        <w:tc>
          <w:tcPr>
            <w:tcW w:w="1503" w:type="dxa"/>
            <w:shd w:val="clear" w:color="auto" w:fill="auto"/>
            <w:vAlign w:val="center"/>
          </w:tcPr>
          <w:p w14:paraId="02541278" w14:textId="77777777" w:rsidR="00D46E3B" w:rsidRPr="00742F04" w:rsidRDefault="00D46E3B" w:rsidP="00D46E3B">
            <w:pPr>
              <w:widowControl w:val="0"/>
              <w:rPr>
                <w:szCs w:val="22"/>
              </w:rPr>
            </w:pPr>
            <w:r w:rsidRPr="00742F04">
              <w:rPr>
                <w:szCs w:val="22"/>
              </w:rPr>
              <w:t>–</w:t>
            </w:r>
          </w:p>
        </w:tc>
        <w:tc>
          <w:tcPr>
            <w:tcW w:w="1439" w:type="dxa"/>
            <w:vAlign w:val="center"/>
          </w:tcPr>
          <w:p w14:paraId="6E554940" w14:textId="77777777" w:rsidR="00D46E3B" w:rsidRPr="00742F04" w:rsidRDefault="00D46E3B" w:rsidP="00D46E3B">
            <w:pPr>
              <w:widowControl w:val="0"/>
              <w:rPr>
                <w:szCs w:val="22"/>
              </w:rPr>
            </w:pPr>
            <w:r>
              <w:rPr>
                <w:szCs w:val="22"/>
              </w:rPr>
              <w:t>Povremeno</w:t>
            </w:r>
          </w:p>
        </w:tc>
      </w:tr>
      <w:tr w:rsidR="00D46E3B" w:rsidRPr="00742F04" w14:paraId="01E37A05" w14:textId="77777777" w:rsidTr="0064489E">
        <w:trPr>
          <w:gridAfter w:val="1"/>
          <w:wAfter w:w="46" w:type="dxa"/>
        </w:trPr>
        <w:tc>
          <w:tcPr>
            <w:tcW w:w="2376" w:type="dxa"/>
            <w:vMerge/>
            <w:shd w:val="clear" w:color="auto" w:fill="auto"/>
          </w:tcPr>
          <w:p w14:paraId="5BB81577" w14:textId="77777777" w:rsidR="00D46E3B" w:rsidRPr="00742F04" w:rsidRDefault="00D46E3B" w:rsidP="00D46E3B">
            <w:pPr>
              <w:widowControl w:val="0"/>
              <w:rPr>
                <w:szCs w:val="22"/>
              </w:rPr>
            </w:pPr>
          </w:p>
        </w:tc>
        <w:tc>
          <w:tcPr>
            <w:tcW w:w="3969" w:type="dxa"/>
            <w:shd w:val="clear" w:color="auto" w:fill="auto"/>
            <w:vAlign w:val="center"/>
          </w:tcPr>
          <w:p w14:paraId="401C6CEB" w14:textId="77777777" w:rsidR="00D46E3B" w:rsidRPr="00742F04" w:rsidRDefault="00D46E3B" w:rsidP="00D46E3B">
            <w:pPr>
              <w:widowControl w:val="0"/>
              <w:tabs>
                <w:tab w:val="left" w:pos="1315"/>
              </w:tabs>
              <w:rPr>
                <w:szCs w:val="22"/>
              </w:rPr>
            </w:pPr>
            <w:r w:rsidRPr="00742F04">
              <w:rPr>
                <w:szCs w:val="22"/>
              </w:rPr>
              <w:t>Zamor</w:t>
            </w:r>
          </w:p>
        </w:tc>
        <w:tc>
          <w:tcPr>
            <w:tcW w:w="1503" w:type="dxa"/>
            <w:shd w:val="clear" w:color="auto" w:fill="auto"/>
            <w:vAlign w:val="center"/>
          </w:tcPr>
          <w:p w14:paraId="1D8B426C" w14:textId="77777777" w:rsidR="00D46E3B" w:rsidRPr="00742F04" w:rsidRDefault="00D46E3B" w:rsidP="00D46E3B">
            <w:pPr>
              <w:widowControl w:val="0"/>
              <w:rPr>
                <w:szCs w:val="22"/>
              </w:rPr>
            </w:pPr>
            <w:r w:rsidRPr="00742F04">
              <w:rPr>
                <w:szCs w:val="22"/>
              </w:rPr>
              <w:t>–</w:t>
            </w:r>
          </w:p>
        </w:tc>
        <w:tc>
          <w:tcPr>
            <w:tcW w:w="1439" w:type="dxa"/>
            <w:vAlign w:val="center"/>
          </w:tcPr>
          <w:p w14:paraId="027FF4EB" w14:textId="77777777" w:rsidR="00D46E3B" w:rsidRPr="00742F04" w:rsidRDefault="00D46E3B" w:rsidP="00D46E3B">
            <w:pPr>
              <w:widowControl w:val="0"/>
              <w:rPr>
                <w:szCs w:val="22"/>
              </w:rPr>
            </w:pPr>
            <w:r w:rsidRPr="00742F04">
              <w:rPr>
                <w:szCs w:val="22"/>
              </w:rPr>
              <w:t>Često</w:t>
            </w:r>
          </w:p>
        </w:tc>
      </w:tr>
      <w:tr w:rsidR="00D46E3B" w:rsidRPr="00742F04" w14:paraId="5E92FFDF" w14:textId="77777777" w:rsidTr="0064489E">
        <w:trPr>
          <w:gridAfter w:val="1"/>
          <w:wAfter w:w="46" w:type="dxa"/>
        </w:trPr>
        <w:tc>
          <w:tcPr>
            <w:tcW w:w="2376" w:type="dxa"/>
            <w:vMerge/>
            <w:shd w:val="clear" w:color="auto" w:fill="auto"/>
          </w:tcPr>
          <w:p w14:paraId="0ECCD076" w14:textId="77777777" w:rsidR="00D46E3B" w:rsidRPr="00742F04" w:rsidRDefault="00D46E3B" w:rsidP="00D46E3B">
            <w:pPr>
              <w:widowControl w:val="0"/>
              <w:rPr>
                <w:szCs w:val="22"/>
              </w:rPr>
            </w:pPr>
          </w:p>
        </w:tc>
        <w:tc>
          <w:tcPr>
            <w:tcW w:w="3969" w:type="dxa"/>
            <w:shd w:val="clear" w:color="auto" w:fill="auto"/>
            <w:vAlign w:val="center"/>
          </w:tcPr>
          <w:p w14:paraId="626603A5" w14:textId="77777777" w:rsidR="00D46E3B" w:rsidRPr="00742F04" w:rsidRDefault="00D46E3B" w:rsidP="00D46E3B">
            <w:pPr>
              <w:widowControl w:val="0"/>
              <w:tabs>
                <w:tab w:val="left" w:pos="1315"/>
              </w:tabs>
              <w:rPr>
                <w:szCs w:val="22"/>
              </w:rPr>
            </w:pPr>
            <w:r w:rsidRPr="00742F04">
              <w:rPr>
                <w:szCs w:val="22"/>
              </w:rPr>
              <w:t>Bol u grudima, bol</w:t>
            </w:r>
          </w:p>
        </w:tc>
        <w:tc>
          <w:tcPr>
            <w:tcW w:w="1503" w:type="dxa"/>
            <w:shd w:val="clear" w:color="auto" w:fill="auto"/>
            <w:vAlign w:val="center"/>
          </w:tcPr>
          <w:p w14:paraId="7EA6BFC7" w14:textId="77777777" w:rsidR="00D46E3B" w:rsidRPr="00742F04" w:rsidRDefault="00D46E3B" w:rsidP="00D46E3B">
            <w:pPr>
              <w:widowControl w:val="0"/>
              <w:rPr>
                <w:szCs w:val="22"/>
              </w:rPr>
            </w:pPr>
            <w:r w:rsidRPr="00742F04">
              <w:rPr>
                <w:szCs w:val="22"/>
              </w:rPr>
              <w:t>–</w:t>
            </w:r>
          </w:p>
        </w:tc>
        <w:tc>
          <w:tcPr>
            <w:tcW w:w="1439" w:type="dxa"/>
            <w:vAlign w:val="center"/>
          </w:tcPr>
          <w:p w14:paraId="5E182010" w14:textId="77777777" w:rsidR="00D46E3B" w:rsidRPr="00742F04" w:rsidRDefault="00D46E3B" w:rsidP="00D46E3B">
            <w:pPr>
              <w:widowControl w:val="0"/>
              <w:rPr>
                <w:szCs w:val="22"/>
              </w:rPr>
            </w:pPr>
            <w:r>
              <w:rPr>
                <w:szCs w:val="22"/>
              </w:rPr>
              <w:t>Povremeno</w:t>
            </w:r>
          </w:p>
        </w:tc>
      </w:tr>
      <w:tr w:rsidR="00D46E3B" w:rsidRPr="00742F04" w14:paraId="4DDA0861" w14:textId="77777777" w:rsidTr="0064489E">
        <w:trPr>
          <w:gridAfter w:val="1"/>
          <w:wAfter w:w="46" w:type="dxa"/>
        </w:trPr>
        <w:tc>
          <w:tcPr>
            <w:tcW w:w="2376" w:type="dxa"/>
            <w:vMerge w:val="restart"/>
            <w:shd w:val="clear" w:color="auto" w:fill="auto"/>
          </w:tcPr>
          <w:p w14:paraId="486EE3BB" w14:textId="77777777" w:rsidR="00D46E3B" w:rsidRPr="00742F04" w:rsidRDefault="00D46E3B" w:rsidP="00D46E3B">
            <w:pPr>
              <w:widowControl w:val="0"/>
              <w:rPr>
                <w:i/>
                <w:szCs w:val="22"/>
              </w:rPr>
            </w:pPr>
            <w:r w:rsidRPr="00742F04">
              <w:rPr>
                <w:i/>
                <w:szCs w:val="22"/>
              </w:rPr>
              <w:t>Ispitivanja</w:t>
            </w:r>
          </w:p>
        </w:tc>
        <w:tc>
          <w:tcPr>
            <w:tcW w:w="3969" w:type="dxa"/>
            <w:tcBorders>
              <w:bottom w:val="single" w:sz="4" w:space="0" w:color="auto"/>
            </w:tcBorders>
            <w:shd w:val="clear" w:color="auto" w:fill="auto"/>
            <w:vAlign w:val="center"/>
          </w:tcPr>
          <w:p w14:paraId="61234EFA" w14:textId="77777777" w:rsidR="00D46E3B" w:rsidRPr="00742F04" w:rsidRDefault="00D46E3B" w:rsidP="00D46E3B">
            <w:pPr>
              <w:widowControl w:val="0"/>
              <w:tabs>
                <w:tab w:val="left" w:pos="1315"/>
              </w:tabs>
              <w:rPr>
                <w:szCs w:val="22"/>
              </w:rPr>
            </w:pPr>
            <w:r w:rsidRPr="00742F04">
              <w:rPr>
                <w:szCs w:val="22"/>
              </w:rPr>
              <w:t xml:space="preserve">Povećanje vrijednosti ALT i/ili AST </w:t>
            </w:r>
          </w:p>
        </w:tc>
        <w:tc>
          <w:tcPr>
            <w:tcW w:w="1503" w:type="dxa"/>
            <w:tcBorders>
              <w:bottom w:val="single" w:sz="4" w:space="0" w:color="auto"/>
            </w:tcBorders>
            <w:shd w:val="clear" w:color="auto" w:fill="auto"/>
            <w:vAlign w:val="center"/>
          </w:tcPr>
          <w:p w14:paraId="2299C90E" w14:textId="77777777" w:rsidR="00D46E3B" w:rsidRPr="00742F04" w:rsidRDefault="00D46E3B" w:rsidP="00D46E3B">
            <w:pPr>
              <w:widowControl w:val="0"/>
              <w:rPr>
                <w:szCs w:val="22"/>
              </w:rPr>
            </w:pPr>
            <w:r w:rsidRPr="00742F04">
              <w:rPr>
                <w:szCs w:val="22"/>
              </w:rPr>
              <w:t>–</w:t>
            </w:r>
          </w:p>
        </w:tc>
        <w:tc>
          <w:tcPr>
            <w:tcW w:w="1439" w:type="dxa"/>
            <w:tcBorders>
              <w:bottom w:val="single" w:sz="4" w:space="0" w:color="auto"/>
            </w:tcBorders>
            <w:vAlign w:val="center"/>
          </w:tcPr>
          <w:p w14:paraId="00C2D7B6" w14:textId="77777777" w:rsidR="00D46E3B" w:rsidRPr="00742F04" w:rsidRDefault="00D46E3B" w:rsidP="00D46E3B">
            <w:pPr>
              <w:widowControl w:val="0"/>
              <w:rPr>
                <w:szCs w:val="22"/>
              </w:rPr>
            </w:pPr>
            <w:r w:rsidRPr="00742F04">
              <w:rPr>
                <w:szCs w:val="22"/>
              </w:rPr>
              <w:t>Često</w:t>
            </w:r>
          </w:p>
        </w:tc>
      </w:tr>
      <w:tr w:rsidR="00D46E3B" w:rsidRPr="00742F04" w14:paraId="0E2FFB00" w14:textId="77777777" w:rsidTr="0064489E">
        <w:trPr>
          <w:gridAfter w:val="1"/>
          <w:wAfter w:w="46" w:type="dxa"/>
        </w:trPr>
        <w:tc>
          <w:tcPr>
            <w:tcW w:w="2376" w:type="dxa"/>
            <w:vMerge/>
            <w:tcBorders>
              <w:bottom w:val="single" w:sz="4" w:space="0" w:color="auto"/>
            </w:tcBorders>
            <w:shd w:val="clear" w:color="auto" w:fill="auto"/>
          </w:tcPr>
          <w:p w14:paraId="408051F9" w14:textId="77777777" w:rsidR="00D46E3B" w:rsidRPr="00742F04" w:rsidRDefault="00D46E3B" w:rsidP="00D46E3B">
            <w:pPr>
              <w:widowControl w:val="0"/>
              <w:rPr>
                <w:i/>
                <w:szCs w:val="22"/>
              </w:rPr>
            </w:pPr>
          </w:p>
        </w:tc>
        <w:tc>
          <w:tcPr>
            <w:tcW w:w="3969" w:type="dxa"/>
            <w:tcBorders>
              <w:bottom w:val="single" w:sz="4" w:space="0" w:color="auto"/>
            </w:tcBorders>
            <w:shd w:val="clear" w:color="auto" w:fill="auto"/>
            <w:vAlign w:val="center"/>
          </w:tcPr>
          <w:p w14:paraId="15D58F82" w14:textId="77777777" w:rsidR="00D46E3B" w:rsidRPr="00742F04" w:rsidRDefault="00D46E3B" w:rsidP="00D46E3B">
            <w:pPr>
              <w:widowControl w:val="0"/>
              <w:tabs>
                <w:tab w:val="left" w:pos="1315"/>
              </w:tabs>
              <w:rPr>
                <w:szCs w:val="22"/>
              </w:rPr>
            </w:pPr>
            <w:r w:rsidRPr="00742F04">
              <w:rPr>
                <w:szCs w:val="22"/>
              </w:rPr>
              <w:t>Povećanje vrijednosti kreatin fosfokinaze, gama-glutamiltransferaze, poremećaj laboratorijskih testova funkcije jetre</w:t>
            </w:r>
          </w:p>
        </w:tc>
        <w:tc>
          <w:tcPr>
            <w:tcW w:w="1503" w:type="dxa"/>
            <w:tcBorders>
              <w:bottom w:val="single" w:sz="4" w:space="0" w:color="auto"/>
            </w:tcBorders>
            <w:shd w:val="clear" w:color="auto" w:fill="auto"/>
            <w:vAlign w:val="center"/>
          </w:tcPr>
          <w:p w14:paraId="3CEF1DBB" w14:textId="77777777" w:rsidR="00D46E3B" w:rsidRPr="00742F04" w:rsidRDefault="00D46E3B" w:rsidP="00D46E3B">
            <w:pPr>
              <w:widowControl w:val="0"/>
              <w:rPr>
                <w:szCs w:val="22"/>
              </w:rPr>
            </w:pPr>
            <w:r w:rsidRPr="00742F04">
              <w:rPr>
                <w:szCs w:val="22"/>
              </w:rPr>
              <w:t>–</w:t>
            </w:r>
          </w:p>
        </w:tc>
        <w:tc>
          <w:tcPr>
            <w:tcW w:w="1439" w:type="dxa"/>
            <w:tcBorders>
              <w:bottom w:val="single" w:sz="4" w:space="0" w:color="auto"/>
            </w:tcBorders>
            <w:vAlign w:val="center"/>
          </w:tcPr>
          <w:p w14:paraId="3C546EEB" w14:textId="77777777" w:rsidR="00D46E3B" w:rsidRPr="00742F04" w:rsidRDefault="00D46E3B" w:rsidP="00D46E3B">
            <w:pPr>
              <w:widowControl w:val="0"/>
              <w:rPr>
                <w:szCs w:val="22"/>
              </w:rPr>
            </w:pPr>
            <w:r>
              <w:rPr>
                <w:szCs w:val="22"/>
              </w:rPr>
              <w:t>Povremeno</w:t>
            </w:r>
          </w:p>
        </w:tc>
      </w:tr>
      <w:tr w:rsidR="00D46E3B" w:rsidRPr="00742F04" w14:paraId="2751A819" w14:textId="77777777" w:rsidTr="006448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41"/>
        </w:trPr>
        <w:tc>
          <w:tcPr>
            <w:tcW w:w="9333" w:type="dxa"/>
            <w:gridSpan w:val="5"/>
            <w:tcBorders>
              <w:left w:val="nil"/>
              <w:bottom w:val="nil"/>
              <w:right w:val="nil"/>
            </w:tcBorders>
          </w:tcPr>
          <w:p w14:paraId="61BCE95E" w14:textId="77777777" w:rsidR="00D46E3B" w:rsidRPr="00742F04" w:rsidRDefault="00D46E3B" w:rsidP="00D46E3B">
            <w:pPr>
              <w:widowControl w:val="0"/>
              <w:pBdr>
                <w:top w:val="single" w:sz="4" w:space="0" w:color="000000"/>
              </w:pBdr>
              <w:tabs>
                <w:tab w:val="left" w:pos="0"/>
              </w:tabs>
              <w:ind w:left="144" w:hanging="144"/>
              <w:rPr>
                <w:szCs w:val="22"/>
              </w:rPr>
            </w:pPr>
            <w:r w:rsidRPr="00742F04">
              <w:rPr>
                <w:szCs w:val="22"/>
                <w:vertAlign w:val="superscript"/>
              </w:rPr>
              <w:t xml:space="preserve">1 </w:t>
            </w:r>
            <w:r w:rsidRPr="00742F04">
              <w:rPr>
                <w:szCs w:val="22"/>
              </w:rPr>
              <w:t>Učestalost će zavisiti od prisustva ili odsustva faktora rizika (preprandijalna glukoza ≥ 5,6 mmol/L, BMI &gt;30 kg/m2 , povećani nivo triglicerida, hipertenzija u anamnezi).</w:t>
            </w:r>
          </w:p>
        </w:tc>
      </w:tr>
    </w:tbl>
    <w:p w14:paraId="02AA7E9C" w14:textId="77777777" w:rsidR="00C367F8" w:rsidRPr="00512639" w:rsidRDefault="00C367F8" w:rsidP="00C367F8">
      <w:pPr>
        <w:tabs>
          <w:tab w:val="clear" w:pos="567"/>
          <w:tab w:val="left" w:pos="540"/>
          <w:tab w:val="left" w:pos="569"/>
        </w:tabs>
        <w:jc w:val="both"/>
        <w:rPr>
          <w:b/>
          <w:bCs/>
          <w:szCs w:val="22"/>
          <w:u w:val="single"/>
        </w:rPr>
      </w:pPr>
    </w:p>
    <w:p w14:paraId="61C7CAA3" w14:textId="77777777" w:rsidR="00C367F8" w:rsidRDefault="00C367F8" w:rsidP="00C367F8">
      <w:pPr>
        <w:tabs>
          <w:tab w:val="clear" w:pos="567"/>
          <w:tab w:val="left" w:pos="540"/>
          <w:tab w:val="left" w:pos="569"/>
        </w:tabs>
        <w:jc w:val="both"/>
        <w:rPr>
          <w:szCs w:val="22"/>
        </w:rPr>
      </w:pPr>
      <w:r w:rsidRPr="00B230F9">
        <w:rPr>
          <w:szCs w:val="22"/>
        </w:rPr>
        <w:lastRenderedPageBreak/>
        <w:t>Kao i kod drugih inhibitora HMG-CoA reduktaze, incidenca neželjenih reakcija  rosuvastatin</w:t>
      </w:r>
      <w:r w:rsidR="00D40144">
        <w:rPr>
          <w:szCs w:val="22"/>
        </w:rPr>
        <w:t>a</w:t>
      </w:r>
      <w:r w:rsidRPr="00B230F9">
        <w:rPr>
          <w:szCs w:val="22"/>
        </w:rPr>
        <w:t xml:space="preserve"> zavisna </w:t>
      </w:r>
      <w:r w:rsidR="00D40144">
        <w:rPr>
          <w:szCs w:val="22"/>
        </w:rPr>
        <w:t xml:space="preserve">je </w:t>
      </w:r>
      <w:r w:rsidRPr="00B230F9">
        <w:rPr>
          <w:szCs w:val="22"/>
        </w:rPr>
        <w:t>od doze.</w:t>
      </w:r>
    </w:p>
    <w:p w14:paraId="48B5B040" w14:textId="77777777" w:rsidR="00C367F8" w:rsidRDefault="00C367F8" w:rsidP="00C367F8">
      <w:pPr>
        <w:tabs>
          <w:tab w:val="clear" w:pos="567"/>
          <w:tab w:val="left" w:pos="540"/>
          <w:tab w:val="left" w:pos="569"/>
        </w:tabs>
        <w:jc w:val="both"/>
        <w:rPr>
          <w:b/>
          <w:bCs/>
          <w:szCs w:val="22"/>
          <w:u w:val="single"/>
        </w:rPr>
      </w:pPr>
    </w:p>
    <w:p w14:paraId="7D375A58" w14:textId="77777777" w:rsidR="00C367F8" w:rsidRDefault="00C367F8" w:rsidP="00C367F8">
      <w:pPr>
        <w:tabs>
          <w:tab w:val="clear" w:pos="567"/>
          <w:tab w:val="left" w:pos="540"/>
          <w:tab w:val="left" w:pos="569"/>
        </w:tabs>
        <w:jc w:val="both"/>
        <w:rPr>
          <w:szCs w:val="22"/>
          <w:u w:val="single"/>
        </w:rPr>
      </w:pPr>
      <w:r w:rsidRPr="00093713">
        <w:rPr>
          <w:szCs w:val="22"/>
          <w:u w:val="single"/>
        </w:rPr>
        <w:t>Opis odabranih neželjenih reakcija</w:t>
      </w:r>
    </w:p>
    <w:p w14:paraId="4F91CCAA" w14:textId="77777777" w:rsidR="00C367F8" w:rsidRDefault="00C367F8" w:rsidP="00C367F8">
      <w:pPr>
        <w:tabs>
          <w:tab w:val="clear" w:pos="567"/>
          <w:tab w:val="left" w:pos="540"/>
          <w:tab w:val="left" w:pos="569"/>
        </w:tabs>
        <w:jc w:val="both"/>
        <w:rPr>
          <w:b/>
          <w:bCs/>
          <w:szCs w:val="22"/>
          <w:u w:val="single"/>
        </w:rPr>
      </w:pPr>
    </w:p>
    <w:p w14:paraId="276588C6" w14:textId="77777777" w:rsidR="00C367F8" w:rsidRDefault="00C367F8" w:rsidP="00C367F8">
      <w:pPr>
        <w:tabs>
          <w:tab w:val="clear" w:pos="567"/>
          <w:tab w:val="left" w:pos="540"/>
          <w:tab w:val="left" w:pos="569"/>
        </w:tabs>
        <w:jc w:val="both"/>
        <w:rPr>
          <w:szCs w:val="22"/>
        </w:rPr>
      </w:pPr>
      <w:r w:rsidRPr="00B36B84">
        <w:rPr>
          <w:i/>
          <w:szCs w:val="22"/>
        </w:rPr>
        <w:t>Uticaj na funkciju bubrega</w:t>
      </w:r>
      <w:r w:rsidRPr="00B36B84">
        <w:rPr>
          <w:szCs w:val="22"/>
        </w:rPr>
        <w:t>: Proteinurija, otkrivena indikatorskom trakom i uglavnom tubularnog porijekla, primijećena je kod pacijenata koji su se liječili rosuvastatinom. Promjene vrijednosti proteina u urinu od „negativnog“ ili „u tragovima“ do ++ (vrlo pozitivno) ili više primijećene su kod &lt;1% pacijenata tokom liječenja  dozama od 10 mg i 20 mg, i približno 3% kod pacijenata koji su uzimali dozu od 40 mg. Manje povećanje od „negativnog“ ili „u tragovima“ do + (pozitivno) primijećeno je pri dozi od 20 mg. U većini slučajeva proteinurija slabi ili nestaje spontano tokom liječenja. Pregledom podataka iz kliničkih ispitivanja i podataka nakon stavljanja lijeka u promet, do sada nije utvrđena uzročna povezanost između</w:t>
      </w:r>
      <w:r>
        <w:rPr>
          <w:szCs w:val="22"/>
        </w:rPr>
        <w:t xml:space="preserve"> </w:t>
      </w:r>
      <w:r w:rsidRPr="00B36B84">
        <w:rPr>
          <w:szCs w:val="22"/>
        </w:rPr>
        <w:t>proteinurije i akutne ili progresivne bubrežne bolesti.</w:t>
      </w:r>
    </w:p>
    <w:p w14:paraId="7D3CE6CC" w14:textId="77777777" w:rsidR="00C367F8" w:rsidRDefault="00C367F8" w:rsidP="00C367F8">
      <w:pPr>
        <w:tabs>
          <w:tab w:val="clear" w:pos="567"/>
          <w:tab w:val="left" w:pos="540"/>
          <w:tab w:val="left" w:pos="569"/>
        </w:tabs>
        <w:jc w:val="both"/>
        <w:rPr>
          <w:szCs w:val="22"/>
        </w:rPr>
      </w:pPr>
    </w:p>
    <w:p w14:paraId="246F1C44" w14:textId="77777777" w:rsidR="00C367F8" w:rsidRDefault="00C367F8" w:rsidP="00C367F8">
      <w:pPr>
        <w:tabs>
          <w:tab w:val="clear" w:pos="567"/>
          <w:tab w:val="left" w:pos="540"/>
          <w:tab w:val="left" w:pos="569"/>
        </w:tabs>
        <w:jc w:val="both"/>
        <w:rPr>
          <w:szCs w:val="22"/>
        </w:rPr>
      </w:pPr>
      <w:r w:rsidRPr="00E70FD5">
        <w:rPr>
          <w:szCs w:val="22"/>
        </w:rPr>
        <w:t xml:space="preserve">Hematurija je takođe bila primijećena kod pacijenata liječenih rosuvastatinom, a podaci iz kliničkih ispitivanja pokazuju da je učestalost ove pojave </w:t>
      </w:r>
      <w:r>
        <w:rPr>
          <w:szCs w:val="22"/>
        </w:rPr>
        <w:t>niska</w:t>
      </w:r>
      <w:r w:rsidRPr="00E70FD5">
        <w:rPr>
          <w:szCs w:val="22"/>
        </w:rPr>
        <w:t>.</w:t>
      </w:r>
    </w:p>
    <w:p w14:paraId="559C35CB" w14:textId="77777777" w:rsidR="00C367F8" w:rsidRDefault="00C367F8" w:rsidP="00C367F8">
      <w:pPr>
        <w:tabs>
          <w:tab w:val="clear" w:pos="567"/>
          <w:tab w:val="left" w:pos="540"/>
          <w:tab w:val="left" w:pos="569"/>
        </w:tabs>
        <w:jc w:val="both"/>
        <w:rPr>
          <w:szCs w:val="22"/>
        </w:rPr>
      </w:pPr>
    </w:p>
    <w:p w14:paraId="64C88576" w14:textId="77777777" w:rsidR="00C367F8" w:rsidRDefault="00C367F8" w:rsidP="00C367F8">
      <w:pPr>
        <w:tabs>
          <w:tab w:val="clear" w:pos="567"/>
          <w:tab w:val="left" w:pos="540"/>
          <w:tab w:val="left" w:pos="569"/>
        </w:tabs>
        <w:jc w:val="both"/>
        <w:rPr>
          <w:szCs w:val="22"/>
        </w:rPr>
      </w:pPr>
      <w:r w:rsidRPr="00110FF1">
        <w:rPr>
          <w:i/>
          <w:szCs w:val="22"/>
        </w:rPr>
        <w:t>Uticaj na skeletne mišiće:</w:t>
      </w:r>
      <w:r w:rsidRPr="00110FF1">
        <w:rPr>
          <w:szCs w:val="22"/>
        </w:rPr>
        <w:t xml:space="preserve"> Dejstvo na skeletne mišiće, npr. mijalgija, miopatija (uključujući miozitis) i, rijetko, rabdomioliza sa ili bez akutne insuficijencije bubrega prijavljeni su kod pacijenata koji su se liječili bilo kojom dozom rosuvastatina, a pogotovo dozom većom od 20 mg.</w:t>
      </w:r>
    </w:p>
    <w:p w14:paraId="7BB4DC1A" w14:textId="77777777" w:rsidR="00C367F8" w:rsidRDefault="00C367F8" w:rsidP="00C367F8">
      <w:pPr>
        <w:tabs>
          <w:tab w:val="clear" w:pos="567"/>
          <w:tab w:val="left" w:pos="540"/>
          <w:tab w:val="left" w:pos="569"/>
        </w:tabs>
        <w:jc w:val="both"/>
        <w:rPr>
          <w:i/>
          <w:szCs w:val="22"/>
        </w:rPr>
      </w:pPr>
    </w:p>
    <w:p w14:paraId="646CC249" w14:textId="77777777" w:rsidR="00C367F8" w:rsidRDefault="00C367F8" w:rsidP="00C367F8">
      <w:pPr>
        <w:tabs>
          <w:tab w:val="clear" w:pos="567"/>
          <w:tab w:val="left" w:pos="540"/>
          <w:tab w:val="left" w:pos="569"/>
        </w:tabs>
        <w:jc w:val="both"/>
        <w:rPr>
          <w:szCs w:val="22"/>
        </w:rPr>
      </w:pPr>
      <w:r w:rsidRPr="007E1010">
        <w:rPr>
          <w:szCs w:val="22"/>
        </w:rPr>
        <w:t>Primijećeno je povećanje vrijednosti kreatin kinaze (CK) zavisno od doze kod pacijenata koji uzimaju rosuvastatin. Većina ovih slučajeva je bila blaga, asimptomatska i prolazna. Ako su vrijednosti CK povećane (više od 5 puta od gornje granice normalnih vrijednosti GGN), terapiju treba obustaviti (vidjeti dio 4.4)</w:t>
      </w:r>
    </w:p>
    <w:p w14:paraId="3B6659A4" w14:textId="77777777" w:rsidR="00C367F8" w:rsidRDefault="00C367F8" w:rsidP="00C367F8">
      <w:pPr>
        <w:tabs>
          <w:tab w:val="clear" w:pos="567"/>
          <w:tab w:val="left" w:pos="540"/>
          <w:tab w:val="left" w:pos="569"/>
        </w:tabs>
        <w:jc w:val="both"/>
        <w:rPr>
          <w:i/>
          <w:szCs w:val="22"/>
        </w:rPr>
      </w:pPr>
    </w:p>
    <w:p w14:paraId="6089AA5D" w14:textId="77777777" w:rsidR="00C367F8" w:rsidRDefault="00C367F8" w:rsidP="00C367F8">
      <w:pPr>
        <w:tabs>
          <w:tab w:val="clear" w:pos="567"/>
          <w:tab w:val="left" w:pos="540"/>
          <w:tab w:val="left" w:pos="569"/>
        </w:tabs>
        <w:jc w:val="both"/>
      </w:pPr>
      <w:r w:rsidRPr="00013F15">
        <w:rPr>
          <w:i/>
          <w:szCs w:val="22"/>
        </w:rPr>
        <w:t>Uticaj na jetru</w:t>
      </w:r>
      <w:r w:rsidRPr="00013F15">
        <w:rPr>
          <w:szCs w:val="22"/>
        </w:rPr>
        <w:t>: Kao i u slučaju svih ostalih inhibitora HMG-CoA reduktaze, dozno zavisno povećanje transaminaza primijećeno je kod malog broja pacijenata koji su uzimali rosuvastatin; većina slučajeva bila je blaga, asimptomatska i prolazna</w:t>
      </w:r>
      <w:r>
        <w:t>.</w:t>
      </w:r>
    </w:p>
    <w:p w14:paraId="1C599E0F" w14:textId="77777777" w:rsidR="00C367F8" w:rsidRDefault="00C367F8" w:rsidP="00C367F8">
      <w:pPr>
        <w:tabs>
          <w:tab w:val="clear" w:pos="567"/>
          <w:tab w:val="left" w:pos="540"/>
          <w:tab w:val="left" w:pos="569"/>
        </w:tabs>
        <w:jc w:val="both"/>
        <w:rPr>
          <w:i/>
          <w:szCs w:val="22"/>
        </w:rPr>
      </w:pPr>
    </w:p>
    <w:p w14:paraId="35116AFC" w14:textId="77777777" w:rsidR="00C367F8" w:rsidRPr="00807459" w:rsidRDefault="00C367F8" w:rsidP="00C367F8">
      <w:pPr>
        <w:tabs>
          <w:tab w:val="clear" w:pos="567"/>
          <w:tab w:val="left" w:pos="540"/>
          <w:tab w:val="left" w:pos="569"/>
        </w:tabs>
        <w:jc w:val="both"/>
        <w:rPr>
          <w:szCs w:val="22"/>
        </w:rPr>
      </w:pPr>
      <w:r w:rsidRPr="00807459">
        <w:rPr>
          <w:szCs w:val="22"/>
        </w:rPr>
        <w:t xml:space="preserve">Sljedeće neželjene reakcije su prijavljene tokom liječenja pojedinim statinima: </w:t>
      </w:r>
    </w:p>
    <w:p w14:paraId="78420E99" w14:textId="77777777" w:rsidR="00C367F8" w:rsidRPr="00807459" w:rsidRDefault="00C367F8" w:rsidP="0064489E">
      <w:pPr>
        <w:pStyle w:val="ListParagraph"/>
        <w:numPr>
          <w:ilvl w:val="0"/>
          <w:numId w:val="21"/>
        </w:numPr>
        <w:tabs>
          <w:tab w:val="left" w:pos="540"/>
          <w:tab w:val="left" w:pos="567"/>
        </w:tabs>
        <w:ind w:left="567" w:hanging="567"/>
        <w:jc w:val="both"/>
        <w:rPr>
          <w:sz w:val="22"/>
          <w:szCs w:val="22"/>
        </w:rPr>
      </w:pPr>
      <w:r w:rsidRPr="00807459">
        <w:rPr>
          <w:sz w:val="22"/>
          <w:szCs w:val="22"/>
        </w:rPr>
        <w:t>poremećaji seksualne funkcije</w:t>
      </w:r>
    </w:p>
    <w:p w14:paraId="1937079C" w14:textId="77777777" w:rsidR="00C367F8" w:rsidRPr="00607362" w:rsidRDefault="00C367F8" w:rsidP="0064489E">
      <w:pPr>
        <w:pStyle w:val="ListParagraph"/>
        <w:numPr>
          <w:ilvl w:val="0"/>
          <w:numId w:val="21"/>
        </w:numPr>
        <w:tabs>
          <w:tab w:val="left" w:pos="540"/>
          <w:tab w:val="left" w:pos="567"/>
        </w:tabs>
        <w:ind w:left="567" w:hanging="567"/>
        <w:jc w:val="both"/>
        <w:rPr>
          <w:i/>
          <w:sz w:val="22"/>
          <w:szCs w:val="22"/>
        </w:rPr>
      </w:pPr>
      <w:r w:rsidRPr="00807459">
        <w:rPr>
          <w:sz w:val="22"/>
          <w:szCs w:val="22"/>
        </w:rPr>
        <w:t>izuzetni slučajevi intersticijske bolesti pluća, pogotovo prilikom dugotrajnog liječenja (vidjeti dio 4.4).</w:t>
      </w:r>
    </w:p>
    <w:p w14:paraId="6F2BA13E" w14:textId="77777777" w:rsidR="00C367F8" w:rsidRDefault="00C367F8" w:rsidP="00C367F8">
      <w:pPr>
        <w:tabs>
          <w:tab w:val="clear" w:pos="567"/>
          <w:tab w:val="left" w:pos="540"/>
          <w:tab w:val="left" w:pos="569"/>
        </w:tabs>
        <w:jc w:val="both"/>
        <w:rPr>
          <w:szCs w:val="22"/>
        </w:rPr>
      </w:pPr>
      <w:r w:rsidRPr="00607362">
        <w:rPr>
          <w:szCs w:val="22"/>
        </w:rPr>
        <w:t xml:space="preserve">Učestalost prijavljivanja rabdomiolize i ozbiljnih </w:t>
      </w:r>
      <w:r w:rsidR="00D40144">
        <w:rPr>
          <w:szCs w:val="22"/>
        </w:rPr>
        <w:t>neželjenih reakcija</w:t>
      </w:r>
      <w:r w:rsidR="00D40144" w:rsidRPr="00607362">
        <w:rPr>
          <w:szCs w:val="22"/>
        </w:rPr>
        <w:t xml:space="preserve"> </w:t>
      </w:r>
      <w:r w:rsidRPr="00607362">
        <w:rPr>
          <w:szCs w:val="22"/>
        </w:rPr>
        <w:t>povezanih sa bubrezima i jetrom (uglavnom  povećan</w:t>
      </w:r>
      <w:r w:rsidR="00D40144">
        <w:rPr>
          <w:szCs w:val="22"/>
        </w:rPr>
        <w:t>je</w:t>
      </w:r>
      <w:r w:rsidRPr="00607362">
        <w:rPr>
          <w:szCs w:val="22"/>
        </w:rPr>
        <w:t xml:space="preserve"> vrijednosti transaminaza jetre) ve</w:t>
      </w:r>
      <w:r>
        <w:rPr>
          <w:szCs w:val="22"/>
        </w:rPr>
        <w:t>ća</w:t>
      </w:r>
      <w:r w:rsidRPr="00607362">
        <w:rPr>
          <w:szCs w:val="22"/>
        </w:rPr>
        <w:t xml:space="preserve"> </w:t>
      </w:r>
      <w:r>
        <w:rPr>
          <w:szCs w:val="22"/>
        </w:rPr>
        <w:t>je</w:t>
      </w:r>
      <w:r w:rsidRPr="00607362">
        <w:rPr>
          <w:szCs w:val="22"/>
        </w:rPr>
        <w:t xml:space="preserve"> kod primjene doze od 40 mg rosuvastatina.</w:t>
      </w:r>
    </w:p>
    <w:p w14:paraId="77D5C2DA" w14:textId="77777777" w:rsidR="00C367F8" w:rsidRDefault="00C367F8" w:rsidP="00C367F8">
      <w:pPr>
        <w:tabs>
          <w:tab w:val="clear" w:pos="567"/>
          <w:tab w:val="left" w:pos="540"/>
          <w:tab w:val="left" w:pos="569"/>
        </w:tabs>
        <w:jc w:val="both"/>
        <w:rPr>
          <w:i/>
          <w:szCs w:val="22"/>
        </w:rPr>
      </w:pPr>
    </w:p>
    <w:p w14:paraId="5EA124CC" w14:textId="77777777" w:rsidR="00C367F8" w:rsidRPr="00715BBA" w:rsidRDefault="00C367F8" w:rsidP="00C367F8">
      <w:pPr>
        <w:tabs>
          <w:tab w:val="clear" w:pos="567"/>
          <w:tab w:val="left" w:pos="540"/>
          <w:tab w:val="left" w:pos="569"/>
          <w:tab w:val="left" w:pos="2240"/>
        </w:tabs>
        <w:jc w:val="both"/>
        <w:rPr>
          <w:szCs w:val="22"/>
          <w:u w:val="single"/>
        </w:rPr>
      </w:pPr>
      <w:r w:rsidRPr="00715BBA">
        <w:rPr>
          <w:szCs w:val="22"/>
          <w:u w:val="single"/>
        </w:rPr>
        <w:t>Laboratorijski nalazi</w:t>
      </w:r>
    </w:p>
    <w:p w14:paraId="670D8CD6" w14:textId="77777777" w:rsidR="00C367F8" w:rsidRDefault="00C367F8" w:rsidP="00C367F8">
      <w:pPr>
        <w:tabs>
          <w:tab w:val="clear" w:pos="567"/>
          <w:tab w:val="left" w:pos="540"/>
          <w:tab w:val="left" w:pos="569"/>
          <w:tab w:val="left" w:pos="2240"/>
        </w:tabs>
        <w:jc w:val="both"/>
        <w:rPr>
          <w:szCs w:val="22"/>
        </w:rPr>
      </w:pPr>
      <w:r w:rsidRPr="00715BBA">
        <w:rPr>
          <w:szCs w:val="22"/>
        </w:rPr>
        <w:t>U kontrolisanim kliničkim ispitivanjima monoterapije ezetimibom, incidenca klinički značajnih povećanja vrijednosti transaminaza u serumu (ALT i/ili AST ≥ 3 puta iznad gornje granice normalih vrijednosti</w:t>
      </w:r>
      <w:r w:rsidR="0030683C">
        <w:rPr>
          <w:szCs w:val="22"/>
        </w:rPr>
        <w:t xml:space="preserve"> </w:t>
      </w:r>
      <w:r w:rsidRPr="00715BBA">
        <w:rPr>
          <w:szCs w:val="22"/>
        </w:rPr>
        <w:t>GGN) bila je slična između grupa koje su uzimale ezetimibe (0,5%) i placebo (0,3%). U ispitivanjima istovremene terapije, incidenca povećanja vrijednosti transaminaza kod pacijenata koji su uz ezetimib uzimali neki statin bila je 1,3% dok je kod pacijenata koji su uzimali samo statin ta incidenca bila 0,4%. Ova povećanja su bila obično asimptomatska, i nisu bila povezana sa holestazom a vrijednosti su se vratile na početnu nakon prekida terapije ili nastavka kontinuiranog liječenja (vidjeti dio 4.4).</w:t>
      </w:r>
    </w:p>
    <w:p w14:paraId="0DE0C8B5" w14:textId="77777777" w:rsidR="00C367F8" w:rsidRDefault="00C367F8" w:rsidP="00C367F8">
      <w:pPr>
        <w:tabs>
          <w:tab w:val="clear" w:pos="567"/>
          <w:tab w:val="left" w:pos="540"/>
          <w:tab w:val="left" w:pos="569"/>
          <w:tab w:val="left" w:pos="2240"/>
        </w:tabs>
        <w:jc w:val="both"/>
        <w:rPr>
          <w:szCs w:val="22"/>
        </w:rPr>
      </w:pPr>
    </w:p>
    <w:p w14:paraId="03808EDD" w14:textId="77777777" w:rsidR="00C367F8" w:rsidRPr="007F7D78" w:rsidRDefault="00C367F8" w:rsidP="00C367F8">
      <w:pPr>
        <w:tabs>
          <w:tab w:val="clear" w:pos="567"/>
          <w:tab w:val="left" w:pos="540"/>
          <w:tab w:val="left" w:pos="569"/>
          <w:tab w:val="left" w:pos="2240"/>
        </w:tabs>
        <w:jc w:val="both"/>
        <w:rPr>
          <w:szCs w:val="22"/>
        </w:rPr>
      </w:pPr>
      <w:r w:rsidRPr="007F7D78">
        <w:rPr>
          <w:szCs w:val="22"/>
        </w:rPr>
        <w:t>U kliničkim ispitivanjima zabilježene su povećane vrijednosti kreatinin fosfokinaze CPK (više od 10 puta iznad gornje granice normalnih vrijednosti) kod 4 od 1674 (0,2%) pacijenata koji su uzimali samo ezetimib u poređenju sa 1 od 786 (0,1%) pacijenata koji su uzimali placebo i kod 1 od 917 (0,1%) pacijenata koji su istovremeno uzimali ezetimib i statin u poređenju sa 4 od 929 (0,4%) pacijenata koji su uzimali samo statin. Nije zabilježen porast miopatije ili rabdomiolize povezane sa primjenom ezetimiba u poređenju sa odgovarajućom kontrolnom grupom (placebo ili sam statin) (vidjeti dio 4.4)</w:t>
      </w:r>
      <w:r>
        <w:rPr>
          <w:szCs w:val="22"/>
        </w:rPr>
        <w:t>.</w:t>
      </w:r>
    </w:p>
    <w:p w14:paraId="75F57638" w14:textId="77777777" w:rsidR="00C367F8" w:rsidRPr="00715BBA" w:rsidRDefault="00C367F8" w:rsidP="00C367F8">
      <w:pPr>
        <w:tabs>
          <w:tab w:val="clear" w:pos="567"/>
          <w:tab w:val="left" w:pos="540"/>
          <w:tab w:val="left" w:pos="569"/>
          <w:tab w:val="left" w:pos="2240"/>
        </w:tabs>
        <w:jc w:val="both"/>
        <w:rPr>
          <w:szCs w:val="22"/>
          <w:u w:val="single"/>
        </w:rPr>
      </w:pPr>
    </w:p>
    <w:p w14:paraId="64C53C8D" w14:textId="77777777" w:rsidR="00C367F8" w:rsidRPr="006027CF" w:rsidRDefault="00C367F8" w:rsidP="00C367F8">
      <w:pPr>
        <w:tabs>
          <w:tab w:val="clear" w:pos="567"/>
          <w:tab w:val="left" w:pos="540"/>
          <w:tab w:val="left" w:pos="569"/>
          <w:tab w:val="left" w:pos="2240"/>
        </w:tabs>
        <w:jc w:val="both"/>
        <w:rPr>
          <w:szCs w:val="22"/>
          <w:u w:val="single"/>
        </w:rPr>
      </w:pPr>
      <w:r w:rsidRPr="006027CF">
        <w:rPr>
          <w:szCs w:val="22"/>
          <w:u w:val="single"/>
        </w:rPr>
        <w:t>Pedijatrijska populacija</w:t>
      </w:r>
    </w:p>
    <w:p w14:paraId="7DB0D0F3" w14:textId="77777777" w:rsidR="00C367F8" w:rsidRDefault="00C367F8" w:rsidP="00C367F8">
      <w:pPr>
        <w:tabs>
          <w:tab w:val="clear" w:pos="567"/>
          <w:tab w:val="left" w:pos="540"/>
          <w:tab w:val="left" w:pos="569"/>
          <w:tab w:val="left" w:pos="2240"/>
        </w:tabs>
        <w:jc w:val="both"/>
        <w:rPr>
          <w:szCs w:val="22"/>
        </w:rPr>
      </w:pPr>
      <w:r w:rsidRPr="006027CF">
        <w:rPr>
          <w:szCs w:val="22"/>
        </w:rPr>
        <w:lastRenderedPageBreak/>
        <w:t>Povećanje koncentracije kreatin kinaze veće od 10 puta iznad gornje granice normalnih vrijednosti (GGN) i mišićni simptomi koji se javljaju nakon fizičkog napora ili povećane fizičke aktivnosti, češće se javljaju kod djece i adolescenata nego kod odraslih u kliničkom ispitivanju koje je trajalo 52 nedjelje (vidjeti dio 4.4). Bezbjednosni profil rosuvastatina kod djece i adolescenata bio je sličan kao i kod odrasl</w:t>
      </w:r>
      <w:r>
        <w:rPr>
          <w:szCs w:val="22"/>
        </w:rPr>
        <w:t>ih.</w:t>
      </w:r>
    </w:p>
    <w:p w14:paraId="034CF16B" w14:textId="77777777" w:rsidR="00C367F8" w:rsidRDefault="00C367F8" w:rsidP="00C367F8">
      <w:pPr>
        <w:tabs>
          <w:tab w:val="clear" w:pos="567"/>
          <w:tab w:val="left" w:pos="540"/>
          <w:tab w:val="left" w:pos="569"/>
          <w:tab w:val="left" w:pos="2240"/>
        </w:tabs>
        <w:jc w:val="both"/>
        <w:rPr>
          <w:szCs w:val="22"/>
          <w:u w:val="single"/>
        </w:rPr>
      </w:pPr>
    </w:p>
    <w:p w14:paraId="39D64228" w14:textId="77777777" w:rsidR="00C367F8" w:rsidRPr="00925174" w:rsidRDefault="00C367F8" w:rsidP="00C367F8">
      <w:pPr>
        <w:tabs>
          <w:tab w:val="clear" w:pos="567"/>
          <w:tab w:val="left" w:pos="540"/>
          <w:tab w:val="left" w:pos="569"/>
          <w:tab w:val="left" w:pos="2240"/>
        </w:tabs>
        <w:jc w:val="both"/>
        <w:rPr>
          <w:szCs w:val="22"/>
          <w:u w:val="single"/>
        </w:rPr>
      </w:pPr>
      <w:r w:rsidRPr="00925174">
        <w:rPr>
          <w:szCs w:val="22"/>
        </w:rPr>
        <w:t>U ispitivanju sa ezetimibom koje je uključivalo pedijatrijsku populaciju (uzrasta od 6 do 10 godina) sa heterozigotnom familijarnom ili nefamilijarnom hiperholesterolemijom (n = 138), povećanje vrijednosti ALT i/ili AST (≥ 3 puta iznad gornje granice normalih vrijednosti, GGN, uzastopno) uočeno je kod 1,1% (1 pacijent) koji su uzimali ezetimib u poređenju sa 0% pacijenata u grupi koja je uzimala placebo. Nisu uočena povećanja vrijednosti kreatinin fosfokinaze (≥ 10 puta iznad GGN). Nije bilo prijavljenih slučajeva miopatije.</w:t>
      </w:r>
    </w:p>
    <w:p w14:paraId="6BB4B96B" w14:textId="77777777" w:rsidR="00C367F8" w:rsidRPr="00E70FD5" w:rsidRDefault="00C367F8" w:rsidP="00C367F8">
      <w:pPr>
        <w:tabs>
          <w:tab w:val="clear" w:pos="567"/>
          <w:tab w:val="left" w:pos="540"/>
          <w:tab w:val="left" w:pos="569"/>
        </w:tabs>
        <w:jc w:val="both"/>
        <w:rPr>
          <w:szCs w:val="22"/>
        </w:rPr>
      </w:pPr>
    </w:p>
    <w:p w14:paraId="0F3A3A41" w14:textId="77777777" w:rsidR="00C367F8" w:rsidRPr="00786071" w:rsidRDefault="00C367F8" w:rsidP="00C367F8">
      <w:pPr>
        <w:spacing w:after="200" w:line="276" w:lineRule="auto"/>
        <w:rPr>
          <w:rFonts w:eastAsia="Calibri"/>
          <w:szCs w:val="22"/>
          <w:u w:val="single"/>
          <w:lang w:val="sr-Latn-RS"/>
        </w:rPr>
      </w:pPr>
      <w:r w:rsidRPr="00786071">
        <w:rPr>
          <w:rFonts w:eastAsia="Calibri"/>
          <w:szCs w:val="22"/>
          <w:u w:val="single"/>
          <w:lang w:val="sr-Latn-RS"/>
        </w:rPr>
        <w:t>Prijavljivanje sumnji na neželjena dejstva</w:t>
      </w:r>
    </w:p>
    <w:p w14:paraId="47D9972B" w14:textId="77777777" w:rsidR="00C367F8" w:rsidRPr="00786071" w:rsidRDefault="00C367F8" w:rsidP="00C367F8">
      <w:pPr>
        <w:spacing w:after="200"/>
        <w:jc w:val="both"/>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0189385F" w14:textId="77777777" w:rsidR="00C367F8" w:rsidRPr="00786071" w:rsidRDefault="00C367F8" w:rsidP="00C367F8">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08444FA2" w14:textId="77777777" w:rsidR="00C367F8" w:rsidRPr="00786071" w:rsidRDefault="00C367F8" w:rsidP="00C367F8">
      <w:pPr>
        <w:pStyle w:val="NoSpacing"/>
        <w:jc w:val="both"/>
        <w:rPr>
          <w:rFonts w:eastAsia="Calibri"/>
          <w:sz w:val="22"/>
          <w:szCs w:val="22"/>
          <w:lang w:val="sr-Latn-RS"/>
        </w:rPr>
      </w:pPr>
      <w:r w:rsidRPr="00786071">
        <w:rPr>
          <w:rFonts w:eastAsia="Calibri"/>
          <w:sz w:val="22"/>
          <w:szCs w:val="22"/>
          <w:lang w:val="sr-Latn-RS"/>
        </w:rPr>
        <w:t>Odjeljenje za farmakovigilancu</w:t>
      </w:r>
    </w:p>
    <w:p w14:paraId="3FAFB964" w14:textId="77777777" w:rsidR="00C367F8" w:rsidRPr="00786071" w:rsidRDefault="00C367F8" w:rsidP="00C367F8">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36817DE" w14:textId="77777777" w:rsidR="00C367F8" w:rsidRPr="00786071" w:rsidRDefault="00C367F8" w:rsidP="00C367F8">
      <w:pPr>
        <w:pStyle w:val="NoSpacing"/>
        <w:rPr>
          <w:rFonts w:eastAsia="Calibri"/>
          <w:sz w:val="22"/>
          <w:szCs w:val="22"/>
          <w:lang w:val="sr-Latn-RS"/>
        </w:rPr>
      </w:pPr>
    </w:p>
    <w:p w14:paraId="5B687C69" w14:textId="77777777" w:rsidR="00C367F8" w:rsidRPr="00786071" w:rsidRDefault="00C367F8" w:rsidP="00C367F8">
      <w:pPr>
        <w:pStyle w:val="NoSpacing"/>
        <w:jc w:val="both"/>
        <w:rPr>
          <w:rFonts w:eastAsia="Calibri"/>
          <w:sz w:val="22"/>
          <w:szCs w:val="22"/>
          <w:lang w:val="sr-Latn-RS"/>
        </w:rPr>
      </w:pPr>
      <w:r w:rsidRPr="00786071">
        <w:rPr>
          <w:rFonts w:eastAsia="Calibri"/>
          <w:sz w:val="22"/>
          <w:szCs w:val="22"/>
          <w:lang w:val="sr-Latn-RS"/>
        </w:rPr>
        <w:t>tel: +382 (0) 20 310 280</w:t>
      </w:r>
    </w:p>
    <w:p w14:paraId="52799D0A" w14:textId="77777777" w:rsidR="00C367F8" w:rsidRPr="00786071" w:rsidRDefault="00C367F8" w:rsidP="00C367F8">
      <w:pPr>
        <w:pStyle w:val="NoSpacing"/>
        <w:jc w:val="both"/>
        <w:rPr>
          <w:rFonts w:eastAsia="Calibri"/>
          <w:sz w:val="22"/>
          <w:szCs w:val="22"/>
          <w:lang w:val="sr-Latn-RS"/>
        </w:rPr>
      </w:pPr>
      <w:r w:rsidRPr="00786071">
        <w:rPr>
          <w:rFonts w:eastAsia="Calibri"/>
          <w:sz w:val="22"/>
          <w:szCs w:val="22"/>
          <w:lang w:val="sr-Latn-RS"/>
        </w:rPr>
        <w:t>fax: +382 (0) 20 310 581</w:t>
      </w:r>
    </w:p>
    <w:p w14:paraId="1E8A5AC2" w14:textId="77777777" w:rsidR="00C367F8" w:rsidRPr="00786071" w:rsidRDefault="00257882" w:rsidP="00C367F8">
      <w:pPr>
        <w:pStyle w:val="NoSpacing"/>
        <w:jc w:val="both"/>
        <w:rPr>
          <w:rFonts w:eastAsia="Calibri"/>
          <w:sz w:val="22"/>
          <w:szCs w:val="22"/>
          <w:lang w:val="sr-Latn-RS"/>
        </w:rPr>
      </w:pPr>
      <w:hyperlink r:id="rId7" w:history="1">
        <w:r w:rsidR="00C367F8" w:rsidRPr="00B664A0">
          <w:rPr>
            <w:rStyle w:val="Hyperlink"/>
            <w:rFonts w:eastAsia="Calibri"/>
            <w:sz w:val="22"/>
            <w:szCs w:val="22"/>
            <w:lang w:val="sr-Latn-RS"/>
          </w:rPr>
          <w:t>www.cinmed.me</w:t>
        </w:r>
      </w:hyperlink>
    </w:p>
    <w:p w14:paraId="3CC87AF3" w14:textId="77777777" w:rsidR="00C367F8" w:rsidRPr="00786071" w:rsidRDefault="00257882" w:rsidP="00C367F8">
      <w:pPr>
        <w:pStyle w:val="NoSpacing"/>
        <w:jc w:val="both"/>
        <w:rPr>
          <w:rFonts w:eastAsia="Calibri"/>
          <w:color w:val="0000FF"/>
          <w:sz w:val="22"/>
          <w:szCs w:val="22"/>
          <w:u w:val="single"/>
          <w:lang w:val="sr-Latn-RS"/>
        </w:rPr>
      </w:pPr>
      <w:hyperlink r:id="rId8" w:history="1">
        <w:r w:rsidR="00C367F8" w:rsidRPr="00B664A0">
          <w:rPr>
            <w:rStyle w:val="Hyperlink"/>
            <w:rFonts w:eastAsia="Calibri"/>
            <w:sz w:val="22"/>
            <w:szCs w:val="22"/>
            <w:lang w:val="sr-Latn-RS"/>
          </w:rPr>
          <w:t>nezeljenadejstva@cinmed.me</w:t>
        </w:r>
      </w:hyperlink>
    </w:p>
    <w:p w14:paraId="72219823" w14:textId="77777777" w:rsidR="00C367F8" w:rsidRPr="00786071" w:rsidRDefault="00C367F8" w:rsidP="00C367F8">
      <w:pPr>
        <w:pStyle w:val="NoSpacing"/>
        <w:jc w:val="both"/>
        <w:rPr>
          <w:rFonts w:eastAsia="Calibri"/>
          <w:sz w:val="22"/>
          <w:szCs w:val="22"/>
          <w:lang w:val="sr-Latn-RS"/>
        </w:rPr>
      </w:pPr>
      <w:r w:rsidRPr="00786071">
        <w:rPr>
          <w:rFonts w:eastAsia="Calibri"/>
          <w:sz w:val="22"/>
          <w:szCs w:val="22"/>
          <w:lang w:val="sr-Latn-RS"/>
        </w:rPr>
        <w:t>putem IS zdravstvene zaštite</w:t>
      </w:r>
    </w:p>
    <w:p w14:paraId="0DD66B15" w14:textId="77777777" w:rsidR="00AF360B" w:rsidRDefault="00AF360B" w:rsidP="00AF360B">
      <w:pPr>
        <w:tabs>
          <w:tab w:val="clear" w:pos="567"/>
        </w:tabs>
        <w:spacing w:line="240" w:lineRule="auto"/>
        <w:jc w:val="both"/>
        <w:rPr>
          <w:rFonts w:eastAsia="Calibri"/>
          <w:szCs w:val="22"/>
          <w:lang w:val="sr-Latn-RS"/>
        </w:rPr>
      </w:pPr>
      <w:r w:rsidRPr="008E1631">
        <w:rPr>
          <w:rFonts w:eastAsia="Calibri"/>
          <w:szCs w:val="22"/>
          <w:lang w:val="sr-Latn-RS"/>
        </w:rPr>
        <w:t>QR kod za online prijavu sumnje na neželjeno dejstvo lijeka:</w:t>
      </w:r>
    </w:p>
    <w:p w14:paraId="75D6BB8C" w14:textId="77777777" w:rsidR="00AF360B" w:rsidRPr="008E1631" w:rsidRDefault="00AF360B" w:rsidP="00AF360B">
      <w:pPr>
        <w:tabs>
          <w:tab w:val="clear" w:pos="567"/>
        </w:tabs>
        <w:spacing w:line="240" w:lineRule="auto"/>
        <w:jc w:val="both"/>
        <w:rPr>
          <w:rFonts w:eastAsia="Calibri"/>
          <w:szCs w:val="22"/>
          <w:lang w:val="sr-Latn-RS"/>
        </w:rPr>
      </w:pPr>
    </w:p>
    <w:p w14:paraId="49E5EF88" w14:textId="77777777" w:rsidR="00AF360B" w:rsidRPr="00786071" w:rsidRDefault="00384640" w:rsidP="00AF360B">
      <w:pPr>
        <w:pStyle w:val="NoSpacing"/>
        <w:jc w:val="both"/>
        <w:rPr>
          <w:rFonts w:eastAsia="Calibri"/>
          <w:sz w:val="22"/>
          <w:szCs w:val="22"/>
          <w:lang w:val="sr-Latn-RS"/>
        </w:rPr>
      </w:pPr>
      <w:r>
        <w:rPr>
          <w:noProof/>
        </w:rPr>
        <w:drawing>
          <wp:inline distT="0" distB="0" distL="0" distR="0" wp14:anchorId="73130512" wp14:editId="3BB67DAC">
            <wp:extent cx="969010" cy="96901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inline>
        </w:drawing>
      </w:r>
    </w:p>
    <w:p w14:paraId="1523100C" w14:textId="77777777" w:rsidR="00C367F8" w:rsidRPr="001E1EEC" w:rsidRDefault="00C367F8" w:rsidP="00C367F8">
      <w:pPr>
        <w:tabs>
          <w:tab w:val="clear" w:pos="567"/>
          <w:tab w:val="left" w:pos="540"/>
          <w:tab w:val="left" w:pos="569"/>
        </w:tabs>
        <w:rPr>
          <w:b/>
          <w:bCs/>
          <w:szCs w:val="22"/>
          <w:lang w:val="sr-Latn-RS"/>
        </w:rPr>
      </w:pPr>
    </w:p>
    <w:p w14:paraId="7D2B5574" w14:textId="77777777" w:rsidR="00C367F8" w:rsidRPr="001E1EEC" w:rsidRDefault="00C367F8" w:rsidP="00C367F8">
      <w:pPr>
        <w:tabs>
          <w:tab w:val="clear" w:pos="567"/>
          <w:tab w:val="left" w:pos="540"/>
          <w:tab w:val="left" w:pos="569"/>
        </w:tabs>
        <w:rPr>
          <w:b/>
          <w:bCs/>
          <w:szCs w:val="22"/>
          <w:lang w:val="sr-Latn-RS"/>
        </w:rPr>
      </w:pPr>
      <w:r w:rsidRPr="001E1EEC">
        <w:rPr>
          <w:b/>
          <w:bCs/>
          <w:szCs w:val="22"/>
          <w:lang w:val="sr-Latn-RS"/>
        </w:rPr>
        <w:t xml:space="preserve">4.9. </w:t>
      </w:r>
      <w:r w:rsidRPr="001E1EEC">
        <w:rPr>
          <w:b/>
          <w:bCs/>
          <w:szCs w:val="22"/>
          <w:lang w:val="sr-Latn-RS"/>
        </w:rPr>
        <w:tab/>
        <w:t>Predoziranje</w:t>
      </w:r>
    </w:p>
    <w:p w14:paraId="027A2CB8" w14:textId="77777777" w:rsidR="00C367F8" w:rsidRPr="001E1EEC" w:rsidRDefault="00C367F8" w:rsidP="00C367F8">
      <w:pPr>
        <w:tabs>
          <w:tab w:val="clear" w:pos="567"/>
          <w:tab w:val="left" w:pos="540"/>
          <w:tab w:val="left" w:pos="569"/>
        </w:tabs>
        <w:rPr>
          <w:b/>
          <w:bCs/>
          <w:szCs w:val="22"/>
          <w:lang w:val="sr-Latn-RS"/>
        </w:rPr>
      </w:pPr>
    </w:p>
    <w:p w14:paraId="24123FC6" w14:textId="77777777" w:rsidR="00C367F8" w:rsidRPr="001E1EEC" w:rsidRDefault="00C367F8" w:rsidP="00C367F8">
      <w:pPr>
        <w:tabs>
          <w:tab w:val="clear" w:pos="567"/>
          <w:tab w:val="left" w:pos="540"/>
          <w:tab w:val="left" w:pos="569"/>
        </w:tabs>
        <w:jc w:val="both"/>
        <w:rPr>
          <w:szCs w:val="22"/>
          <w:lang w:val="sr-Latn-RS"/>
        </w:rPr>
      </w:pPr>
      <w:r w:rsidRPr="001E1EEC">
        <w:rPr>
          <w:bCs/>
          <w:szCs w:val="22"/>
          <w:lang w:val="sr-Latn-RS"/>
        </w:rPr>
        <w:t>U slu</w:t>
      </w:r>
      <w:r w:rsidRPr="00F702FF">
        <w:rPr>
          <w:bCs/>
          <w:szCs w:val="22"/>
          <w:lang w:val="sr-Latn-RS"/>
        </w:rPr>
        <w:t>čaju</w:t>
      </w:r>
      <w:r w:rsidRPr="001E1EEC">
        <w:rPr>
          <w:szCs w:val="22"/>
          <w:lang w:val="sr-Latn-RS"/>
        </w:rPr>
        <w:t xml:space="preserve"> predoziranja, pacijenta treba liječiti simptomatski i, po potrebi, preduzeti suportivne mjere.</w:t>
      </w:r>
    </w:p>
    <w:p w14:paraId="6B2559DC" w14:textId="77777777" w:rsidR="00C367F8" w:rsidRPr="001E1EEC" w:rsidRDefault="00C367F8" w:rsidP="00C367F8">
      <w:pPr>
        <w:tabs>
          <w:tab w:val="clear" w:pos="567"/>
          <w:tab w:val="left" w:pos="540"/>
          <w:tab w:val="left" w:pos="569"/>
        </w:tabs>
        <w:jc w:val="both"/>
        <w:rPr>
          <w:bCs/>
          <w:szCs w:val="22"/>
          <w:lang w:val="sr-Latn-RS"/>
        </w:rPr>
      </w:pPr>
    </w:p>
    <w:p w14:paraId="12F52FFB" w14:textId="77777777" w:rsidR="00C367F8" w:rsidRPr="00A47DD2" w:rsidRDefault="00C367F8" w:rsidP="00C367F8">
      <w:pPr>
        <w:tabs>
          <w:tab w:val="clear" w:pos="567"/>
          <w:tab w:val="left" w:pos="540"/>
          <w:tab w:val="left" w:pos="569"/>
        </w:tabs>
        <w:jc w:val="both"/>
        <w:rPr>
          <w:u w:val="single"/>
        </w:rPr>
      </w:pPr>
      <w:r w:rsidRPr="00A47DD2">
        <w:rPr>
          <w:u w:val="single"/>
        </w:rPr>
        <w:t xml:space="preserve">Rosuvastatin </w:t>
      </w:r>
    </w:p>
    <w:p w14:paraId="633E68C1" w14:textId="77777777" w:rsidR="00C367F8" w:rsidRDefault="00C367F8" w:rsidP="00C367F8">
      <w:pPr>
        <w:tabs>
          <w:tab w:val="clear" w:pos="567"/>
          <w:tab w:val="left" w:pos="540"/>
          <w:tab w:val="left" w:pos="569"/>
        </w:tabs>
        <w:jc w:val="both"/>
      </w:pPr>
      <w:r>
        <w:t>Treba pratiti funkciju jetre i koncentraciju kreatin kinaze (CK). Nije vjerovatno da hemodijaliza može biti od koristi za eliminaciju rosuvastatina.</w:t>
      </w:r>
    </w:p>
    <w:p w14:paraId="6C459345" w14:textId="77777777" w:rsidR="00C367F8" w:rsidRDefault="00C367F8" w:rsidP="00C367F8">
      <w:pPr>
        <w:tabs>
          <w:tab w:val="clear" w:pos="567"/>
          <w:tab w:val="left" w:pos="540"/>
          <w:tab w:val="left" w:pos="569"/>
        </w:tabs>
        <w:jc w:val="both"/>
        <w:rPr>
          <w:bCs/>
          <w:szCs w:val="22"/>
        </w:rPr>
      </w:pPr>
    </w:p>
    <w:p w14:paraId="442FB221" w14:textId="77777777" w:rsidR="00C367F8" w:rsidRPr="008F17CC" w:rsidRDefault="00C367F8" w:rsidP="00C367F8">
      <w:pPr>
        <w:tabs>
          <w:tab w:val="clear" w:pos="567"/>
          <w:tab w:val="left" w:pos="540"/>
          <w:tab w:val="left" w:pos="569"/>
        </w:tabs>
        <w:jc w:val="both"/>
        <w:rPr>
          <w:u w:val="single"/>
        </w:rPr>
      </w:pPr>
      <w:r w:rsidRPr="008F17CC">
        <w:rPr>
          <w:u w:val="single"/>
        </w:rPr>
        <w:t xml:space="preserve">Ezetimib </w:t>
      </w:r>
    </w:p>
    <w:p w14:paraId="74D183C3" w14:textId="77777777" w:rsidR="00C367F8" w:rsidRDefault="00C367F8" w:rsidP="00C367F8">
      <w:pPr>
        <w:tabs>
          <w:tab w:val="clear" w:pos="567"/>
          <w:tab w:val="left" w:pos="540"/>
          <w:tab w:val="left" w:pos="569"/>
        </w:tabs>
        <w:jc w:val="both"/>
      </w:pPr>
      <w:r>
        <w:t>U kliničkim ispitivanjima, primjena ezetimiba od 50 mg/dnevno kod 15 zdravih ispitanika do 14 dana ili 40 mg/dnevno kod 18 pacijenata sa primarnom hiperholesterolemijom  do 56 dana, bila je uopšteno dobro tolerisana. Kod životinja nije zabilježena toksičnost nakon pojedinačnih oralnih doza od 5 000 mg/kg ezetimiba kod pacova i miševa i 3 000 mg/kg kod pasa.</w:t>
      </w:r>
    </w:p>
    <w:p w14:paraId="24B8BFA3" w14:textId="77777777" w:rsidR="00C367F8" w:rsidRDefault="00C367F8" w:rsidP="00C367F8">
      <w:pPr>
        <w:tabs>
          <w:tab w:val="clear" w:pos="567"/>
          <w:tab w:val="left" w:pos="540"/>
          <w:tab w:val="left" w:pos="569"/>
        </w:tabs>
        <w:jc w:val="both"/>
        <w:rPr>
          <w:bCs/>
          <w:szCs w:val="22"/>
        </w:rPr>
      </w:pPr>
    </w:p>
    <w:p w14:paraId="5E9C83FD" w14:textId="77777777" w:rsidR="00C367F8" w:rsidRPr="00F702FF" w:rsidRDefault="00C367F8" w:rsidP="00C367F8">
      <w:pPr>
        <w:tabs>
          <w:tab w:val="clear" w:pos="567"/>
          <w:tab w:val="left" w:pos="540"/>
          <w:tab w:val="left" w:pos="569"/>
        </w:tabs>
        <w:jc w:val="both"/>
        <w:rPr>
          <w:bCs/>
          <w:szCs w:val="22"/>
        </w:rPr>
      </w:pPr>
      <w:r>
        <w:t>Prijavljeno je nekoliko slučajeva predoziranja ezetimibom. Većina nije bila povezana sa štetnim događajima. Prijavljeni štetni događaji ni</w:t>
      </w:r>
      <w:r w:rsidR="0030683C">
        <w:t>je</w:t>
      </w:r>
      <w:r>
        <w:t>su bili ozbiljni.</w:t>
      </w:r>
    </w:p>
    <w:p w14:paraId="35806E75" w14:textId="77777777" w:rsidR="00C367F8" w:rsidRDefault="00C367F8" w:rsidP="00C367F8">
      <w:pPr>
        <w:tabs>
          <w:tab w:val="clear" w:pos="567"/>
          <w:tab w:val="left" w:pos="540"/>
          <w:tab w:val="left" w:pos="569"/>
        </w:tabs>
        <w:rPr>
          <w:b/>
          <w:bCs/>
          <w:szCs w:val="22"/>
        </w:rPr>
      </w:pPr>
    </w:p>
    <w:p w14:paraId="1B1A4769" w14:textId="77777777" w:rsidR="00C367F8" w:rsidRPr="00786071" w:rsidRDefault="00C367F8" w:rsidP="00C367F8">
      <w:pPr>
        <w:tabs>
          <w:tab w:val="clear" w:pos="567"/>
          <w:tab w:val="left" w:pos="540"/>
          <w:tab w:val="left" w:pos="569"/>
        </w:tabs>
        <w:rPr>
          <w:b/>
          <w:bCs/>
          <w:szCs w:val="22"/>
        </w:rPr>
      </w:pPr>
    </w:p>
    <w:p w14:paraId="5A3256DE" w14:textId="77777777" w:rsidR="00C367F8" w:rsidRPr="00786071" w:rsidRDefault="00C367F8" w:rsidP="00C367F8">
      <w:pPr>
        <w:tabs>
          <w:tab w:val="clear" w:pos="567"/>
          <w:tab w:val="left" w:pos="540"/>
          <w:tab w:val="left" w:pos="569"/>
        </w:tabs>
        <w:rPr>
          <w:b/>
          <w:bCs/>
          <w:szCs w:val="22"/>
        </w:rPr>
      </w:pPr>
      <w:r w:rsidRPr="00786071">
        <w:rPr>
          <w:b/>
          <w:bCs/>
          <w:szCs w:val="22"/>
        </w:rPr>
        <w:t xml:space="preserve">5. </w:t>
      </w:r>
      <w:r w:rsidRPr="00786071">
        <w:rPr>
          <w:b/>
          <w:bCs/>
          <w:szCs w:val="22"/>
        </w:rPr>
        <w:tab/>
        <w:t>FARMAKOLOŠKI PODACI</w:t>
      </w:r>
    </w:p>
    <w:p w14:paraId="583B66AD" w14:textId="77777777" w:rsidR="00C367F8" w:rsidRPr="00786071" w:rsidRDefault="00C367F8" w:rsidP="00C367F8">
      <w:pPr>
        <w:tabs>
          <w:tab w:val="clear" w:pos="567"/>
          <w:tab w:val="left" w:pos="540"/>
          <w:tab w:val="left" w:pos="569"/>
        </w:tabs>
        <w:rPr>
          <w:b/>
          <w:bCs/>
          <w:szCs w:val="22"/>
        </w:rPr>
      </w:pPr>
    </w:p>
    <w:p w14:paraId="79DEE77E" w14:textId="77777777" w:rsidR="00C367F8" w:rsidRPr="00786071" w:rsidRDefault="00C367F8" w:rsidP="00C367F8">
      <w:pPr>
        <w:tabs>
          <w:tab w:val="clear" w:pos="567"/>
          <w:tab w:val="left" w:pos="540"/>
          <w:tab w:val="left" w:pos="569"/>
        </w:tabs>
        <w:rPr>
          <w:b/>
          <w:bCs/>
          <w:szCs w:val="22"/>
        </w:rPr>
      </w:pPr>
      <w:r w:rsidRPr="00786071">
        <w:rPr>
          <w:b/>
          <w:bCs/>
          <w:szCs w:val="22"/>
        </w:rPr>
        <w:t xml:space="preserve">5.1. </w:t>
      </w:r>
      <w:r w:rsidRPr="00786071">
        <w:rPr>
          <w:b/>
          <w:bCs/>
          <w:szCs w:val="22"/>
        </w:rPr>
        <w:tab/>
        <w:t xml:space="preserve">Farmakodinamski podaci </w:t>
      </w:r>
    </w:p>
    <w:p w14:paraId="7763B525" w14:textId="77777777" w:rsidR="00C367F8" w:rsidRPr="00786071" w:rsidRDefault="00C367F8" w:rsidP="00C367F8">
      <w:pPr>
        <w:tabs>
          <w:tab w:val="clear" w:pos="567"/>
          <w:tab w:val="left" w:pos="540"/>
          <w:tab w:val="left" w:pos="569"/>
        </w:tabs>
        <w:rPr>
          <w:b/>
          <w:bCs/>
          <w:szCs w:val="22"/>
        </w:rPr>
      </w:pPr>
    </w:p>
    <w:p w14:paraId="47294DB1" w14:textId="77777777" w:rsidR="00C367F8" w:rsidRPr="00F554C1" w:rsidRDefault="00C367F8" w:rsidP="00C367F8">
      <w:pPr>
        <w:tabs>
          <w:tab w:val="clear" w:pos="567"/>
          <w:tab w:val="left" w:pos="540"/>
          <w:tab w:val="left" w:pos="569"/>
        </w:tabs>
        <w:rPr>
          <w:bCs/>
          <w:szCs w:val="22"/>
        </w:rPr>
      </w:pPr>
      <w:r w:rsidRPr="00F554C1">
        <w:rPr>
          <w:bCs/>
          <w:szCs w:val="22"/>
        </w:rPr>
        <w:t xml:space="preserve">Farmakoterapijska grupa: </w:t>
      </w:r>
      <w:r w:rsidRPr="00F554C1">
        <w:rPr>
          <w:szCs w:val="22"/>
        </w:rPr>
        <w:t xml:space="preserve">ljekovi koja smanjuju nivoe lipida u serumu; inhibitori HMG CoA reduktaze u kombinaciji sa drugim ljekovima koji </w:t>
      </w:r>
      <w:r w:rsidR="0030683C">
        <w:rPr>
          <w:szCs w:val="22"/>
        </w:rPr>
        <w:t>smanjuju–</w:t>
      </w:r>
      <w:r w:rsidRPr="00F554C1">
        <w:rPr>
          <w:szCs w:val="22"/>
        </w:rPr>
        <w:t xml:space="preserve"> nivo lipida u serumu</w:t>
      </w:r>
    </w:p>
    <w:p w14:paraId="169665E1" w14:textId="77777777" w:rsidR="00C367F8" w:rsidRPr="00F554C1" w:rsidRDefault="00C367F8" w:rsidP="00C367F8">
      <w:pPr>
        <w:tabs>
          <w:tab w:val="clear" w:pos="567"/>
          <w:tab w:val="left" w:pos="540"/>
          <w:tab w:val="left" w:pos="569"/>
        </w:tabs>
        <w:rPr>
          <w:bCs/>
          <w:szCs w:val="22"/>
        </w:rPr>
      </w:pPr>
    </w:p>
    <w:p w14:paraId="22CF35C4" w14:textId="77777777" w:rsidR="00C367F8" w:rsidRDefault="00C367F8" w:rsidP="00C367F8">
      <w:pPr>
        <w:tabs>
          <w:tab w:val="clear" w:pos="567"/>
          <w:tab w:val="left" w:pos="540"/>
          <w:tab w:val="left" w:pos="569"/>
        </w:tabs>
        <w:rPr>
          <w:szCs w:val="22"/>
        </w:rPr>
      </w:pPr>
      <w:r w:rsidRPr="00F554C1">
        <w:rPr>
          <w:bCs/>
          <w:szCs w:val="22"/>
        </w:rPr>
        <w:t>ATC kod:</w:t>
      </w:r>
      <w:r w:rsidRPr="00F554C1">
        <w:rPr>
          <w:szCs w:val="22"/>
        </w:rPr>
        <w:t xml:space="preserve"> C10BA06</w:t>
      </w:r>
    </w:p>
    <w:p w14:paraId="024E6F8E" w14:textId="77777777" w:rsidR="00C367F8" w:rsidRDefault="00C367F8" w:rsidP="00C367F8">
      <w:pPr>
        <w:tabs>
          <w:tab w:val="clear" w:pos="567"/>
          <w:tab w:val="left" w:pos="540"/>
          <w:tab w:val="left" w:pos="569"/>
        </w:tabs>
        <w:rPr>
          <w:bCs/>
          <w:szCs w:val="22"/>
        </w:rPr>
      </w:pPr>
    </w:p>
    <w:p w14:paraId="161A5BC7" w14:textId="77777777" w:rsidR="00EC6E46" w:rsidRDefault="00EC6E46" w:rsidP="00C367F8">
      <w:pPr>
        <w:tabs>
          <w:tab w:val="clear" w:pos="567"/>
          <w:tab w:val="left" w:pos="540"/>
          <w:tab w:val="left" w:pos="569"/>
        </w:tabs>
        <w:rPr>
          <w:szCs w:val="22"/>
          <w:u w:val="single"/>
        </w:rPr>
      </w:pPr>
    </w:p>
    <w:p w14:paraId="0C3F95D3" w14:textId="77777777" w:rsidR="00EC6E46" w:rsidRDefault="00EC6E46" w:rsidP="00C367F8">
      <w:pPr>
        <w:tabs>
          <w:tab w:val="clear" w:pos="567"/>
          <w:tab w:val="left" w:pos="540"/>
          <w:tab w:val="left" w:pos="569"/>
        </w:tabs>
        <w:rPr>
          <w:szCs w:val="22"/>
          <w:u w:val="single"/>
        </w:rPr>
      </w:pPr>
    </w:p>
    <w:p w14:paraId="7E63706D" w14:textId="77777777" w:rsidR="00C367F8" w:rsidRDefault="00C367F8" w:rsidP="00C367F8">
      <w:pPr>
        <w:tabs>
          <w:tab w:val="clear" w:pos="567"/>
          <w:tab w:val="left" w:pos="540"/>
          <w:tab w:val="left" w:pos="569"/>
        </w:tabs>
        <w:rPr>
          <w:szCs w:val="22"/>
          <w:u w:val="single"/>
        </w:rPr>
      </w:pPr>
      <w:r w:rsidRPr="00EB405C">
        <w:rPr>
          <w:szCs w:val="22"/>
          <w:u w:val="single"/>
        </w:rPr>
        <w:t>Rosuvastatin</w:t>
      </w:r>
    </w:p>
    <w:p w14:paraId="47DD0F51" w14:textId="77777777" w:rsidR="00C367F8" w:rsidRDefault="00C367F8" w:rsidP="00C367F8">
      <w:pPr>
        <w:tabs>
          <w:tab w:val="clear" w:pos="567"/>
          <w:tab w:val="left" w:pos="540"/>
          <w:tab w:val="left" w:pos="569"/>
        </w:tabs>
        <w:rPr>
          <w:bCs/>
          <w:szCs w:val="22"/>
          <w:u w:val="single"/>
        </w:rPr>
      </w:pPr>
    </w:p>
    <w:p w14:paraId="06A16AE0" w14:textId="77777777" w:rsidR="00C367F8" w:rsidRPr="00FB2C15" w:rsidRDefault="00C367F8" w:rsidP="00C367F8">
      <w:pPr>
        <w:tabs>
          <w:tab w:val="clear" w:pos="567"/>
          <w:tab w:val="left" w:pos="540"/>
          <w:tab w:val="left" w:pos="569"/>
        </w:tabs>
        <w:rPr>
          <w:i/>
          <w:u w:val="single"/>
        </w:rPr>
      </w:pPr>
      <w:r w:rsidRPr="00FB2C15">
        <w:rPr>
          <w:i/>
          <w:u w:val="single"/>
        </w:rPr>
        <w:t>Mehanizam dejstva</w:t>
      </w:r>
    </w:p>
    <w:p w14:paraId="798DBBAF" w14:textId="77777777" w:rsidR="00C367F8" w:rsidRDefault="00C367F8" w:rsidP="00C367F8">
      <w:pPr>
        <w:tabs>
          <w:tab w:val="clear" w:pos="567"/>
          <w:tab w:val="left" w:pos="540"/>
          <w:tab w:val="left" w:pos="569"/>
        </w:tabs>
        <w:jc w:val="both"/>
      </w:pPr>
      <w:r w:rsidRPr="00FB2C15">
        <w:t>Rosuvastatin je selektivni i kompetitivni inhibitor HMG-CoA reduktaze, enzima koji  pretvara 3-hidroksi-3-metil-glutaril koenzima A u mevalonat, prekursor za holesterol. Primarno m</w:t>
      </w:r>
      <w:r>
        <w:t>j</w:t>
      </w:r>
      <w:r w:rsidRPr="00FB2C15">
        <w:t>esto d</w:t>
      </w:r>
      <w:r>
        <w:t>j</w:t>
      </w:r>
      <w:r w:rsidRPr="00FB2C15">
        <w:t>elovanja rosuvastatina je jetra, ciljni organ za smanjenje vr</w:t>
      </w:r>
      <w:r>
        <w:t>ij</w:t>
      </w:r>
      <w:r w:rsidRPr="00FB2C15">
        <w:t xml:space="preserve">ednosti holesterola. </w:t>
      </w:r>
    </w:p>
    <w:p w14:paraId="4D661E23" w14:textId="77777777" w:rsidR="00C367F8" w:rsidRDefault="00C367F8" w:rsidP="00C367F8">
      <w:pPr>
        <w:tabs>
          <w:tab w:val="clear" w:pos="567"/>
          <w:tab w:val="left" w:pos="540"/>
          <w:tab w:val="left" w:pos="569"/>
        </w:tabs>
        <w:jc w:val="both"/>
      </w:pPr>
      <w:r w:rsidRPr="00FB2C15">
        <w:t>Rosuvastatin povećava broj hepatičkih LDL receptora na površini ćelija, pojačavajući preuzimanje i katabolizam LDL-a i inhibira hepatičku sintezu VLDL-a</w:t>
      </w:r>
      <w:r w:rsidR="0030683C">
        <w:t xml:space="preserve"> (lipoprotein vrlo niske gustine)</w:t>
      </w:r>
      <w:r w:rsidRPr="00FB2C15">
        <w:t>, smanjujući na taj način ukupan broj VLDL i LDL čestica.</w:t>
      </w:r>
    </w:p>
    <w:p w14:paraId="619EFE67" w14:textId="77777777" w:rsidR="00C367F8" w:rsidRDefault="00C367F8" w:rsidP="00C367F8">
      <w:pPr>
        <w:tabs>
          <w:tab w:val="clear" w:pos="567"/>
          <w:tab w:val="left" w:pos="540"/>
          <w:tab w:val="left" w:pos="569"/>
        </w:tabs>
        <w:jc w:val="both"/>
        <w:rPr>
          <w:bCs/>
          <w:sz w:val="20"/>
          <w:szCs w:val="22"/>
        </w:rPr>
      </w:pPr>
    </w:p>
    <w:p w14:paraId="2B929F85" w14:textId="77777777" w:rsidR="00C367F8" w:rsidRPr="00087350" w:rsidRDefault="00C367F8" w:rsidP="00C367F8">
      <w:pPr>
        <w:tabs>
          <w:tab w:val="clear" w:pos="567"/>
          <w:tab w:val="left" w:pos="540"/>
          <w:tab w:val="left" w:pos="569"/>
        </w:tabs>
        <w:jc w:val="both"/>
        <w:rPr>
          <w:i/>
          <w:szCs w:val="22"/>
          <w:u w:val="single"/>
        </w:rPr>
      </w:pPr>
      <w:r w:rsidRPr="00087350">
        <w:rPr>
          <w:i/>
          <w:szCs w:val="22"/>
          <w:u w:val="single"/>
        </w:rPr>
        <w:t xml:space="preserve">Farmakodinamska dejstva </w:t>
      </w:r>
    </w:p>
    <w:p w14:paraId="32FE6C96" w14:textId="77777777" w:rsidR="00C367F8" w:rsidRPr="00087350" w:rsidRDefault="00C367F8" w:rsidP="00C367F8">
      <w:pPr>
        <w:tabs>
          <w:tab w:val="clear" w:pos="567"/>
          <w:tab w:val="left" w:pos="540"/>
          <w:tab w:val="left" w:pos="569"/>
        </w:tabs>
        <w:jc w:val="both"/>
        <w:rPr>
          <w:szCs w:val="22"/>
        </w:rPr>
      </w:pPr>
      <w:r w:rsidRPr="00087350">
        <w:rPr>
          <w:szCs w:val="22"/>
        </w:rPr>
        <w:t>Rosuvastatin smanjuje povećane vrijednosti LDL holesterola, ukupni holesterol i trigliceride i povećava nivoe HDL holesterola. On takođe smanjuje vrijednosti ApoB, holesterol koji ne potiče iz HDL-C, VLDL-C, VLDL-TG a povećava vrijednosti ApoA-I (vidjeti Tabelu 3). Rosuvastatin takođe smanjuje odnose LDL-C/HDL-C, ukupni C/HDL-C i odnos neHDL-C/HDL-C kao i odnos ApoB/ApoA-I.</w:t>
      </w:r>
    </w:p>
    <w:p w14:paraId="659883F7" w14:textId="77777777" w:rsidR="00C367F8" w:rsidRDefault="00C367F8" w:rsidP="00C367F8">
      <w:pPr>
        <w:tabs>
          <w:tab w:val="clear" w:pos="567"/>
          <w:tab w:val="left" w:pos="540"/>
          <w:tab w:val="left" w:pos="569"/>
        </w:tabs>
        <w:jc w:val="both"/>
        <w:rPr>
          <w:bCs/>
          <w:sz w:val="20"/>
          <w:szCs w:val="22"/>
        </w:rPr>
      </w:pPr>
    </w:p>
    <w:p w14:paraId="270B93E4" w14:textId="77777777" w:rsidR="00C367F8" w:rsidRPr="00087350" w:rsidRDefault="00C367F8" w:rsidP="00C367F8">
      <w:pPr>
        <w:tabs>
          <w:tab w:val="clear" w:pos="567"/>
          <w:tab w:val="left" w:pos="540"/>
          <w:tab w:val="left" w:pos="569"/>
        </w:tabs>
        <w:jc w:val="both"/>
        <w:rPr>
          <w:b/>
          <w:bCs/>
          <w:szCs w:val="22"/>
        </w:rPr>
      </w:pPr>
      <w:r w:rsidRPr="00087350">
        <w:rPr>
          <w:b/>
          <w:szCs w:val="22"/>
        </w:rPr>
        <w:t xml:space="preserve">Tabela 3: Odgovor na dozu </w:t>
      </w:r>
      <w:r w:rsidR="0030683C">
        <w:rPr>
          <w:b/>
          <w:szCs w:val="22"/>
        </w:rPr>
        <w:t xml:space="preserve">lijeka </w:t>
      </w:r>
      <w:r w:rsidRPr="00087350">
        <w:rPr>
          <w:b/>
          <w:szCs w:val="22"/>
        </w:rPr>
        <w:t>kod pacijenata sa primarnom hiperholesterolemijom (tipa IIa i IIb) (prilagođen pros</w:t>
      </w:r>
      <w:r>
        <w:rPr>
          <w:b/>
          <w:szCs w:val="22"/>
        </w:rPr>
        <w:t>j</w:t>
      </w:r>
      <w:r w:rsidRPr="00087350">
        <w:rPr>
          <w:b/>
          <w:szCs w:val="22"/>
        </w:rPr>
        <w:t>ečan procenat prom</w:t>
      </w:r>
      <w:r>
        <w:rPr>
          <w:b/>
          <w:szCs w:val="22"/>
        </w:rPr>
        <w:t>j</w:t>
      </w:r>
      <w:r w:rsidRPr="00087350">
        <w:rPr>
          <w:b/>
          <w:szCs w:val="22"/>
        </w:rPr>
        <w:t>ene u odnosu na vr</w:t>
      </w:r>
      <w:r>
        <w:rPr>
          <w:b/>
          <w:szCs w:val="22"/>
        </w:rPr>
        <w:t>ij</w:t>
      </w:r>
      <w:r w:rsidRPr="00087350">
        <w:rPr>
          <w:b/>
          <w:szCs w:val="22"/>
        </w:rPr>
        <w:t>ednost pr</w:t>
      </w:r>
      <w:r>
        <w:rPr>
          <w:b/>
          <w:szCs w:val="22"/>
        </w:rPr>
        <w:t>ij</w:t>
      </w:r>
      <w:r w:rsidRPr="00087350">
        <w:rPr>
          <w:b/>
          <w:szCs w:val="22"/>
        </w:rPr>
        <w:t>e početka l</w:t>
      </w:r>
      <w:r>
        <w:rPr>
          <w:b/>
          <w:szCs w:val="22"/>
        </w:rPr>
        <w:t>ij</w:t>
      </w:r>
      <w:r w:rsidRPr="00087350">
        <w:rPr>
          <w:b/>
          <w:szCs w:val="22"/>
        </w:rPr>
        <w:t>ečenja)</w:t>
      </w:r>
    </w:p>
    <w:tbl>
      <w:tblPr>
        <w:tblW w:w="5000" w:type="pct"/>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136"/>
        <w:gridCol w:w="741"/>
        <w:gridCol w:w="977"/>
        <w:gridCol w:w="1027"/>
        <w:gridCol w:w="1002"/>
        <w:gridCol w:w="716"/>
        <w:gridCol w:w="1317"/>
        <w:gridCol w:w="850"/>
        <w:gridCol w:w="1259"/>
      </w:tblGrid>
      <w:tr w:rsidR="00C367F8" w:rsidRPr="001E6CF9" w14:paraId="7A539C46" w14:textId="77777777" w:rsidTr="0064489E">
        <w:tc>
          <w:tcPr>
            <w:tcW w:w="1137" w:type="dxa"/>
            <w:shd w:val="clear" w:color="auto" w:fill="auto"/>
          </w:tcPr>
          <w:p w14:paraId="023560A8"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Do</w:t>
            </w:r>
            <w:r>
              <w:rPr>
                <w:b/>
                <w:bCs/>
                <w:sz w:val="22"/>
                <w:szCs w:val="22"/>
                <w:lang w:val="en-GB"/>
              </w:rPr>
              <w:t>za</w:t>
            </w:r>
          </w:p>
        </w:tc>
        <w:tc>
          <w:tcPr>
            <w:tcW w:w="742" w:type="dxa"/>
            <w:shd w:val="clear" w:color="auto" w:fill="auto"/>
          </w:tcPr>
          <w:p w14:paraId="54C9C3CE"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N</w:t>
            </w:r>
          </w:p>
        </w:tc>
        <w:tc>
          <w:tcPr>
            <w:tcW w:w="977" w:type="dxa"/>
            <w:shd w:val="clear" w:color="auto" w:fill="auto"/>
          </w:tcPr>
          <w:p w14:paraId="5B698736"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LDL-C</w:t>
            </w:r>
          </w:p>
        </w:tc>
        <w:tc>
          <w:tcPr>
            <w:tcW w:w="1027" w:type="dxa"/>
            <w:shd w:val="clear" w:color="auto" w:fill="auto"/>
          </w:tcPr>
          <w:p w14:paraId="7A74F722"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Total-C</w:t>
            </w:r>
          </w:p>
        </w:tc>
        <w:tc>
          <w:tcPr>
            <w:tcW w:w="1002" w:type="dxa"/>
            <w:shd w:val="clear" w:color="auto" w:fill="auto"/>
          </w:tcPr>
          <w:p w14:paraId="7439CF5B"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HDL-C</w:t>
            </w:r>
          </w:p>
        </w:tc>
        <w:tc>
          <w:tcPr>
            <w:tcW w:w="716" w:type="dxa"/>
            <w:shd w:val="clear" w:color="auto" w:fill="auto"/>
          </w:tcPr>
          <w:p w14:paraId="68D4C793"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TG</w:t>
            </w:r>
          </w:p>
        </w:tc>
        <w:tc>
          <w:tcPr>
            <w:tcW w:w="1317" w:type="dxa"/>
            <w:shd w:val="clear" w:color="auto" w:fill="auto"/>
          </w:tcPr>
          <w:p w14:paraId="45F9336F"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N</w:t>
            </w:r>
            <w:r>
              <w:rPr>
                <w:b/>
                <w:bCs/>
                <w:sz w:val="22"/>
                <w:szCs w:val="22"/>
                <w:lang w:val="en-GB"/>
              </w:rPr>
              <w:t>e-</w:t>
            </w:r>
            <w:r w:rsidRPr="001E6CF9">
              <w:rPr>
                <w:b/>
                <w:bCs/>
                <w:sz w:val="22"/>
                <w:szCs w:val="22"/>
                <w:lang w:val="en-GB"/>
              </w:rPr>
              <w:t>HDL-C</w:t>
            </w:r>
          </w:p>
        </w:tc>
        <w:tc>
          <w:tcPr>
            <w:tcW w:w="850" w:type="dxa"/>
            <w:shd w:val="clear" w:color="auto" w:fill="auto"/>
          </w:tcPr>
          <w:p w14:paraId="04370BC9"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ApoB</w:t>
            </w:r>
          </w:p>
        </w:tc>
        <w:tc>
          <w:tcPr>
            <w:tcW w:w="1259" w:type="dxa"/>
            <w:shd w:val="clear" w:color="auto" w:fill="auto"/>
          </w:tcPr>
          <w:p w14:paraId="4ECBC50E" w14:textId="77777777" w:rsidR="00C367F8" w:rsidRPr="001E6CF9" w:rsidRDefault="00C367F8" w:rsidP="0064489E">
            <w:pPr>
              <w:pStyle w:val="NormalWeb"/>
              <w:widowControl w:val="0"/>
              <w:spacing w:before="0" w:beforeAutospacing="0" w:after="0"/>
              <w:rPr>
                <w:sz w:val="22"/>
                <w:szCs w:val="22"/>
                <w:lang w:val="en-GB"/>
              </w:rPr>
            </w:pPr>
            <w:r w:rsidRPr="001E6CF9">
              <w:rPr>
                <w:b/>
                <w:bCs/>
                <w:sz w:val="22"/>
                <w:szCs w:val="22"/>
                <w:lang w:val="en-GB"/>
              </w:rPr>
              <w:t>ApoA-I</w:t>
            </w:r>
          </w:p>
        </w:tc>
      </w:tr>
      <w:tr w:rsidR="00C367F8" w:rsidRPr="001E6CF9" w14:paraId="2FE412E7" w14:textId="77777777" w:rsidTr="0064489E">
        <w:tc>
          <w:tcPr>
            <w:tcW w:w="1137" w:type="dxa"/>
            <w:shd w:val="clear" w:color="auto" w:fill="auto"/>
          </w:tcPr>
          <w:p w14:paraId="749F22BC"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Placebo</w:t>
            </w:r>
          </w:p>
        </w:tc>
        <w:tc>
          <w:tcPr>
            <w:tcW w:w="742" w:type="dxa"/>
            <w:shd w:val="clear" w:color="auto" w:fill="auto"/>
          </w:tcPr>
          <w:p w14:paraId="18048980"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13</w:t>
            </w:r>
          </w:p>
        </w:tc>
        <w:tc>
          <w:tcPr>
            <w:tcW w:w="977" w:type="dxa"/>
            <w:shd w:val="clear" w:color="auto" w:fill="auto"/>
          </w:tcPr>
          <w:p w14:paraId="011BA914"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-7</w:t>
            </w:r>
          </w:p>
        </w:tc>
        <w:tc>
          <w:tcPr>
            <w:tcW w:w="1027" w:type="dxa"/>
            <w:shd w:val="clear" w:color="auto" w:fill="auto"/>
          </w:tcPr>
          <w:p w14:paraId="1D3212E0"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w:t>
            </w:r>
          </w:p>
        </w:tc>
        <w:tc>
          <w:tcPr>
            <w:tcW w:w="1002" w:type="dxa"/>
            <w:shd w:val="clear" w:color="auto" w:fill="auto"/>
          </w:tcPr>
          <w:p w14:paraId="250ACE1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w:t>
            </w:r>
          </w:p>
        </w:tc>
        <w:tc>
          <w:tcPr>
            <w:tcW w:w="716" w:type="dxa"/>
            <w:shd w:val="clear" w:color="auto" w:fill="auto"/>
          </w:tcPr>
          <w:p w14:paraId="2A919FA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w:t>
            </w:r>
          </w:p>
        </w:tc>
        <w:tc>
          <w:tcPr>
            <w:tcW w:w="1317" w:type="dxa"/>
            <w:shd w:val="clear" w:color="auto" w:fill="auto"/>
          </w:tcPr>
          <w:p w14:paraId="2FA70148"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-7</w:t>
            </w:r>
          </w:p>
        </w:tc>
        <w:tc>
          <w:tcPr>
            <w:tcW w:w="850" w:type="dxa"/>
            <w:shd w:val="clear" w:color="auto" w:fill="auto"/>
          </w:tcPr>
          <w:p w14:paraId="34E8F20C"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w:t>
            </w:r>
          </w:p>
        </w:tc>
        <w:tc>
          <w:tcPr>
            <w:tcW w:w="1259" w:type="dxa"/>
            <w:shd w:val="clear" w:color="auto" w:fill="auto"/>
          </w:tcPr>
          <w:p w14:paraId="679A921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0</w:t>
            </w:r>
          </w:p>
        </w:tc>
      </w:tr>
      <w:tr w:rsidR="00C367F8" w:rsidRPr="001E6CF9" w14:paraId="0C1F36F3" w14:textId="77777777" w:rsidTr="0064489E">
        <w:tc>
          <w:tcPr>
            <w:tcW w:w="1137" w:type="dxa"/>
            <w:shd w:val="clear" w:color="auto" w:fill="auto"/>
          </w:tcPr>
          <w:p w14:paraId="5BB5F817"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w:t>
            </w:r>
          </w:p>
        </w:tc>
        <w:tc>
          <w:tcPr>
            <w:tcW w:w="742" w:type="dxa"/>
            <w:shd w:val="clear" w:color="auto" w:fill="auto"/>
          </w:tcPr>
          <w:p w14:paraId="6EFB71D4"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17</w:t>
            </w:r>
          </w:p>
        </w:tc>
        <w:tc>
          <w:tcPr>
            <w:tcW w:w="977" w:type="dxa"/>
            <w:shd w:val="clear" w:color="auto" w:fill="auto"/>
          </w:tcPr>
          <w:p w14:paraId="3F4ACC4D"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-45</w:t>
            </w:r>
          </w:p>
        </w:tc>
        <w:tc>
          <w:tcPr>
            <w:tcW w:w="1027" w:type="dxa"/>
            <w:shd w:val="clear" w:color="auto" w:fill="auto"/>
          </w:tcPr>
          <w:p w14:paraId="338C6A3C"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-33</w:t>
            </w:r>
          </w:p>
        </w:tc>
        <w:tc>
          <w:tcPr>
            <w:tcW w:w="1002" w:type="dxa"/>
            <w:shd w:val="clear" w:color="auto" w:fill="auto"/>
          </w:tcPr>
          <w:p w14:paraId="2CD4457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13</w:t>
            </w:r>
          </w:p>
        </w:tc>
        <w:tc>
          <w:tcPr>
            <w:tcW w:w="716" w:type="dxa"/>
            <w:shd w:val="clear" w:color="auto" w:fill="auto"/>
          </w:tcPr>
          <w:p w14:paraId="667A56AC"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-35</w:t>
            </w:r>
          </w:p>
        </w:tc>
        <w:tc>
          <w:tcPr>
            <w:tcW w:w="1317" w:type="dxa"/>
            <w:shd w:val="clear" w:color="auto" w:fill="auto"/>
          </w:tcPr>
          <w:p w14:paraId="7E5C0043"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-44</w:t>
            </w:r>
          </w:p>
        </w:tc>
        <w:tc>
          <w:tcPr>
            <w:tcW w:w="850" w:type="dxa"/>
            <w:shd w:val="clear" w:color="auto" w:fill="auto"/>
          </w:tcPr>
          <w:p w14:paraId="2A830D3E"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-38</w:t>
            </w:r>
          </w:p>
        </w:tc>
        <w:tc>
          <w:tcPr>
            <w:tcW w:w="1259" w:type="dxa"/>
            <w:shd w:val="clear" w:color="auto" w:fill="auto"/>
          </w:tcPr>
          <w:p w14:paraId="009FC397"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w:t>
            </w:r>
          </w:p>
        </w:tc>
      </w:tr>
      <w:tr w:rsidR="00C367F8" w:rsidRPr="001E6CF9" w14:paraId="32674332" w14:textId="77777777" w:rsidTr="0064489E">
        <w:tc>
          <w:tcPr>
            <w:tcW w:w="1137" w:type="dxa"/>
            <w:shd w:val="clear" w:color="auto" w:fill="auto"/>
          </w:tcPr>
          <w:p w14:paraId="248BB982"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10</w:t>
            </w:r>
          </w:p>
        </w:tc>
        <w:tc>
          <w:tcPr>
            <w:tcW w:w="742" w:type="dxa"/>
            <w:shd w:val="clear" w:color="auto" w:fill="auto"/>
          </w:tcPr>
          <w:p w14:paraId="1F587C2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17</w:t>
            </w:r>
          </w:p>
        </w:tc>
        <w:tc>
          <w:tcPr>
            <w:tcW w:w="977" w:type="dxa"/>
            <w:shd w:val="clear" w:color="auto" w:fill="auto"/>
          </w:tcPr>
          <w:p w14:paraId="20A047D7"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-52</w:t>
            </w:r>
          </w:p>
        </w:tc>
        <w:tc>
          <w:tcPr>
            <w:tcW w:w="1027" w:type="dxa"/>
            <w:shd w:val="clear" w:color="auto" w:fill="auto"/>
          </w:tcPr>
          <w:p w14:paraId="3FF0C681"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-36</w:t>
            </w:r>
          </w:p>
        </w:tc>
        <w:tc>
          <w:tcPr>
            <w:tcW w:w="1002" w:type="dxa"/>
            <w:shd w:val="clear" w:color="auto" w:fill="auto"/>
          </w:tcPr>
          <w:p w14:paraId="12FC1852"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14</w:t>
            </w:r>
          </w:p>
        </w:tc>
        <w:tc>
          <w:tcPr>
            <w:tcW w:w="716" w:type="dxa"/>
            <w:shd w:val="clear" w:color="auto" w:fill="auto"/>
          </w:tcPr>
          <w:p w14:paraId="6C3DCEA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-10</w:t>
            </w:r>
          </w:p>
        </w:tc>
        <w:tc>
          <w:tcPr>
            <w:tcW w:w="1317" w:type="dxa"/>
            <w:shd w:val="clear" w:color="auto" w:fill="auto"/>
          </w:tcPr>
          <w:p w14:paraId="1A2E3789"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-48</w:t>
            </w:r>
          </w:p>
        </w:tc>
        <w:tc>
          <w:tcPr>
            <w:tcW w:w="850" w:type="dxa"/>
            <w:shd w:val="clear" w:color="auto" w:fill="auto"/>
          </w:tcPr>
          <w:p w14:paraId="7A154C45"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-42</w:t>
            </w:r>
          </w:p>
        </w:tc>
        <w:tc>
          <w:tcPr>
            <w:tcW w:w="1259" w:type="dxa"/>
            <w:shd w:val="clear" w:color="auto" w:fill="auto"/>
          </w:tcPr>
          <w:p w14:paraId="1E1BFA8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w:t>
            </w:r>
          </w:p>
        </w:tc>
      </w:tr>
      <w:tr w:rsidR="00C367F8" w:rsidRPr="001E6CF9" w14:paraId="49B31E01" w14:textId="77777777" w:rsidTr="0064489E">
        <w:tc>
          <w:tcPr>
            <w:tcW w:w="1137" w:type="dxa"/>
            <w:shd w:val="clear" w:color="auto" w:fill="auto"/>
          </w:tcPr>
          <w:p w14:paraId="3E899E72"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20</w:t>
            </w:r>
          </w:p>
        </w:tc>
        <w:tc>
          <w:tcPr>
            <w:tcW w:w="742" w:type="dxa"/>
            <w:shd w:val="clear" w:color="auto" w:fill="auto"/>
          </w:tcPr>
          <w:p w14:paraId="4090479E"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17</w:t>
            </w:r>
          </w:p>
        </w:tc>
        <w:tc>
          <w:tcPr>
            <w:tcW w:w="977" w:type="dxa"/>
            <w:shd w:val="clear" w:color="auto" w:fill="auto"/>
          </w:tcPr>
          <w:p w14:paraId="7A1847D2"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-55</w:t>
            </w:r>
          </w:p>
        </w:tc>
        <w:tc>
          <w:tcPr>
            <w:tcW w:w="1027" w:type="dxa"/>
            <w:shd w:val="clear" w:color="auto" w:fill="auto"/>
          </w:tcPr>
          <w:p w14:paraId="108831D0"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-40</w:t>
            </w:r>
          </w:p>
        </w:tc>
        <w:tc>
          <w:tcPr>
            <w:tcW w:w="1002" w:type="dxa"/>
            <w:shd w:val="clear" w:color="auto" w:fill="auto"/>
          </w:tcPr>
          <w:p w14:paraId="53EBA90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8</w:t>
            </w:r>
          </w:p>
        </w:tc>
        <w:tc>
          <w:tcPr>
            <w:tcW w:w="716" w:type="dxa"/>
            <w:shd w:val="clear" w:color="auto" w:fill="auto"/>
          </w:tcPr>
          <w:p w14:paraId="12C0D27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-23</w:t>
            </w:r>
          </w:p>
        </w:tc>
        <w:tc>
          <w:tcPr>
            <w:tcW w:w="1317" w:type="dxa"/>
            <w:shd w:val="clear" w:color="auto" w:fill="auto"/>
          </w:tcPr>
          <w:p w14:paraId="0A57771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-51</w:t>
            </w:r>
          </w:p>
        </w:tc>
        <w:tc>
          <w:tcPr>
            <w:tcW w:w="850" w:type="dxa"/>
            <w:shd w:val="clear" w:color="auto" w:fill="auto"/>
          </w:tcPr>
          <w:p w14:paraId="5880DFAF"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-46</w:t>
            </w:r>
          </w:p>
        </w:tc>
        <w:tc>
          <w:tcPr>
            <w:tcW w:w="1259" w:type="dxa"/>
            <w:shd w:val="clear" w:color="auto" w:fill="auto"/>
          </w:tcPr>
          <w:p w14:paraId="6312221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w:t>
            </w:r>
          </w:p>
        </w:tc>
      </w:tr>
      <w:tr w:rsidR="00C367F8" w:rsidRPr="001E6CF9" w14:paraId="5E5D25ED" w14:textId="77777777" w:rsidTr="0064489E">
        <w:tc>
          <w:tcPr>
            <w:tcW w:w="1137" w:type="dxa"/>
            <w:shd w:val="clear" w:color="auto" w:fill="auto"/>
          </w:tcPr>
          <w:p w14:paraId="7792EF0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40</w:t>
            </w:r>
          </w:p>
        </w:tc>
        <w:tc>
          <w:tcPr>
            <w:tcW w:w="742" w:type="dxa"/>
            <w:shd w:val="clear" w:color="auto" w:fill="auto"/>
          </w:tcPr>
          <w:p w14:paraId="5AE95B4D"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18</w:t>
            </w:r>
          </w:p>
        </w:tc>
        <w:tc>
          <w:tcPr>
            <w:tcW w:w="977" w:type="dxa"/>
            <w:shd w:val="clear" w:color="auto" w:fill="auto"/>
          </w:tcPr>
          <w:p w14:paraId="45607ECD"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-63</w:t>
            </w:r>
          </w:p>
        </w:tc>
        <w:tc>
          <w:tcPr>
            <w:tcW w:w="1027" w:type="dxa"/>
            <w:shd w:val="clear" w:color="auto" w:fill="auto"/>
          </w:tcPr>
          <w:p w14:paraId="21ED528B"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-46</w:t>
            </w:r>
          </w:p>
        </w:tc>
        <w:tc>
          <w:tcPr>
            <w:tcW w:w="1002" w:type="dxa"/>
            <w:shd w:val="clear" w:color="auto" w:fill="auto"/>
          </w:tcPr>
          <w:p w14:paraId="288470B2"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10</w:t>
            </w:r>
          </w:p>
        </w:tc>
        <w:tc>
          <w:tcPr>
            <w:tcW w:w="716" w:type="dxa"/>
            <w:shd w:val="clear" w:color="auto" w:fill="auto"/>
          </w:tcPr>
          <w:p w14:paraId="7BE41A1A"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-28</w:t>
            </w:r>
          </w:p>
        </w:tc>
        <w:tc>
          <w:tcPr>
            <w:tcW w:w="1317" w:type="dxa"/>
            <w:shd w:val="clear" w:color="auto" w:fill="auto"/>
          </w:tcPr>
          <w:p w14:paraId="78CA558C"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-60</w:t>
            </w:r>
          </w:p>
        </w:tc>
        <w:tc>
          <w:tcPr>
            <w:tcW w:w="850" w:type="dxa"/>
            <w:shd w:val="clear" w:color="auto" w:fill="auto"/>
          </w:tcPr>
          <w:p w14:paraId="0540D0AD"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-54</w:t>
            </w:r>
          </w:p>
        </w:tc>
        <w:tc>
          <w:tcPr>
            <w:tcW w:w="1259" w:type="dxa"/>
            <w:shd w:val="clear" w:color="auto" w:fill="auto"/>
          </w:tcPr>
          <w:p w14:paraId="22923738" w14:textId="77777777" w:rsidR="00C367F8" w:rsidRPr="001E6CF9" w:rsidRDefault="00C367F8" w:rsidP="0064489E">
            <w:pPr>
              <w:pStyle w:val="NormalWeb"/>
              <w:widowControl w:val="0"/>
              <w:spacing w:before="0" w:beforeAutospacing="0" w:after="0"/>
              <w:rPr>
                <w:sz w:val="22"/>
                <w:szCs w:val="22"/>
                <w:lang w:val="en-GB"/>
              </w:rPr>
            </w:pPr>
            <w:r w:rsidRPr="001E6CF9">
              <w:rPr>
                <w:sz w:val="22"/>
                <w:szCs w:val="22"/>
                <w:lang w:val="en-GB"/>
              </w:rPr>
              <w:t>0</w:t>
            </w:r>
          </w:p>
        </w:tc>
      </w:tr>
    </w:tbl>
    <w:p w14:paraId="3684D2FC" w14:textId="77777777" w:rsidR="00C367F8" w:rsidRPr="00341C81" w:rsidRDefault="00C367F8" w:rsidP="00C367F8">
      <w:pPr>
        <w:tabs>
          <w:tab w:val="clear" w:pos="567"/>
          <w:tab w:val="left" w:pos="540"/>
          <w:tab w:val="left" w:pos="569"/>
        </w:tabs>
        <w:jc w:val="both"/>
        <w:rPr>
          <w:szCs w:val="22"/>
        </w:rPr>
      </w:pPr>
      <w:r w:rsidRPr="00341C81">
        <w:rPr>
          <w:szCs w:val="22"/>
        </w:rPr>
        <w:t>Terapijsko dejstvo je postignuto u roku od nedelju dana nakon započinjanja terapije, a 90% maksimalnog odgovora dostignuto je za 2 nedelje. Maksimalni odgovor se obično dostiže za 4 nedelje i održava se nakon toga.</w:t>
      </w:r>
    </w:p>
    <w:p w14:paraId="209ED7E1" w14:textId="77777777" w:rsidR="00C367F8" w:rsidRPr="00341C81" w:rsidRDefault="00C367F8" w:rsidP="00C367F8">
      <w:pPr>
        <w:tabs>
          <w:tab w:val="clear" w:pos="567"/>
          <w:tab w:val="left" w:pos="540"/>
          <w:tab w:val="left" w:pos="569"/>
        </w:tabs>
        <w:rPr>
          <w:szCs w:val="22"/>
        </w:rPr>
      </w:pPr>
    </w:p>
    <w:p w14:paraId="08CC8D69" w14:textId="77777777" w:rsidR="00C367F8" w:rsidRPr="00341C81" w:rsidRDefault="00C367F8" w:rsidP="00C367F8">
      <w:pPr>
        <w:tabs>
          <w:tab w:val="clear" w:pos="567"/>
          <w:tab w:val="left" w:pos="540"/>
          <w:tab w:val="left" w:pos="569"/>
        </w:tabs>
        <w:jc w:val="both"/>
        <w:rPr>
          <w:szCs w:val="22"/>
        </w:rPr>
      </w:pPr>
      <w:r w:rsidRPr="00341C81">
        <w:rPr>
          <w:i/>
          <w:szCs w:val="22"/>
          <w:u w:val="single"/>
        </w:rPr>
        <w:t>Klinička efikasnost i bezbijednost</w:t>
      </w:r>
      <w:r w:rsidRPr="00341C81">
        <w:rPr>
          <w:szCs w:val="22"/>
        </w:rPr>
        <w:t xml:space="preserve"> Rosuvastatin je efikasan kod odraslih osoba sa hiperholesterolemijom, sa hipertrigliceridemijom ili bez nje, bez obzira na rasu, pol ili starost, kao i kod posebnih populacija kao što su pacijenti sa dijabetesom ili familijarnom hiperholesterolemijom.</w:t>
      </w:r>
    </w:p>
    <w:p w14:paraId="2A59B13D" w14:textId="77777777" w:rsidR="00C367F8" w:rsidRPr="00341C81" w:rsidRDefault="00C367F8" w:rsidP="00C367F8">
      <w:pPr>
        <w:tabs>
          <w:tab w:val="clear" w:pos="567"/>
          <w:tab w:val="left" w:pos="540"/>
          <w:tab w:val="left" w:pos="569"/>
        </w:tabs>
        <w:jc w:val="both"/>
        <w:rPr>
          <w:szCs w:val="22"/>
        </w:rPr>
      </w:pPr>
    </w:p>
    <w:p w14:paraId="4DF13E90" w14:textId="77777777" w:rsidR="00C367F8" w:rsidRDefault="00C367F8" w:rsidP="00C367F8">
      <w:pPr>
        <w:tabs>
          <w:tab w:val="clear" w:pos="567"/>
          <w:tab w:val="left" w:pos="540"/>
          <w:tab w:val="left" w:pos="569"/>
        </w:tabs>
        <w:jc w:val="both"/>
        <w:rPr>
          <w:szCs w:val="22"/>
        </w:rPr>
      </w:pPr>
      <w:r w:rsidRPr="00341C81">
        <w:rPr>
          <w:szCs w:val="22"/>
        </w:rPr>
        <w:t xml:space="preserve">Na osnovu podataka </w:t>
      </w:r>
      <w:r w:rsidR="003268C8">
        <w:rPr>
          <w:szCs w:val="22"/>
        </w:rPr>
        <w:t>iz kliničkih istraživanja</w:t>
      </w:r>
      <w:r w:rsidRPr="00341C81">
        <w:rPr>
          <w:szCs w:val="22"/>
        </w:rPr>
        <w:t xml:space="preserve"> faze III, pokazalo se da je rosuvastatin efikasan u liječenju većine pacijenata sa hiperholesterolemijom tipa IIa i IIb (prosječna vrijednost prije terapije LDL-C oko 4,8 mmol/L) do ciljnih vrijednosti </w:t>
      </w:r>
      <w:r w:rsidR="003268C8">
        <w:rPr>
          <w:szCs w:val="22"/>
        </w:rPr>
        <w:t xml:space="preserve">po smjernicama </w:t>
      </w:r>
      <w:r w:rsidRPr="00341C81">
        <w:rPr>
          <w:szCs w:val="22"/>
        </w:rPr>
        <w:t>Evropskog udruženja za aterosklerozu (engl. European Atherosclerosis Society – EAS; 1998); oko 80% pacijenata liječenih sa 10 mg dostiglo je ciljnu vrijednost prema EAS za nivo LDL-C (&lt; 3 mmol/L).</w:t>
      </w:r>
    </w:p>
    <w:p w14:paraId="3AF9E624" w14:textId="77777777" w:rsidR="00C367F8" w:rsidRDefault="00C367F8" w:rsidP="00C367F8">
      <w:pPr>
        <w:tabs>
          <w:tab w:val="clear" w:pos="567"/>
          <w:tab w:val="left" w:pos="540"/>
          <w:tab w:val="left" w:pos="569"/>
        </w:tabs>
        <w:jc w:val="both"/>
        <w:rPr>
          <w:szCs w:val="22"/>
        </w:rPr>
      </w:pPr>
    </w:p>
    <w:p w14:paraId="1FFEC607" w14:textId="77777777" w:rsidR="00C367F8" w:rsidRPr="00F25C8F" w:rsidRDefault="00C367F8" w:rsidP="00C367F8">
      <w:pPr>
        <w:tabs>
          <w:tab w:val="clear" w:pos="567"/>
          <w:tab w:val="left" w:pos="540"/>
          <w:tab w:val="left" w:pos="569"/>
        </w:tabs>
        <w:jc w:val="both"/>
        <w:rPr>
          <w:szCs w:val="22"/>
        </w:rPr>
      </w:pPr>
      <w:r w:rsidRPr="00F25C8F">
        <w:rPr>
          <w:szCs w:val="22"/>
        </w:rPr>
        <w:t xml:space="preserve">U velikoj studiji, 435 pacijenta sa heterozigotnom porodičnom hiperholesterolemijom uzimalo je rosuvastatin u dozi od 20 mg do 80 mg po režimu ubrzane titracije. Pokazalo se da sve doze imaju korisna dejstva na parametre lipida i postizanje ciljnih vrijednosti. Nakon titracije </w:t>
      </w:r>
      <w:r w:rsidR="003268C8">
        <w:rPr>
          <w:szCs w:val="22"/>
        </w:rPr>
        <w:t>do</w:t>
      </w:r>
      <w:r w:rsidR="003268C8" w:rsidRPr="00F25C8F">
        <w:rPr>
          <w:szCs w:val="22"/>
        </w:rPr>
        <w:t xml:space="preserve"> </w:t>
      </w:r>
      <w:r w:rsidRPr="00F25C8F">
        <w:rPr>
          <w:szCs w:val="22"/>
        </w:rPr>
        <w:t>dnevn</w:t>
      </w:r>
      <w:r w:rsidR="003268C8">
        <w:rPr>
          <w:szCs w:val="22"/>
        </w:rPr>
        <w:t>e</w:t>
      </w:r>
      <w:r w:rsidRPr="00F25C8F">
        <w:rPr>
          <w:szCs w:val="22"/>
        </w:rPr>
        <w:t xml:space="preserve"> doz</w:t>
      </w:r>
      <w:r w:rsidR="003268C8">
        <w:rPr>
          <w:szCs w:val="22"/>
        </w:rPr>
        <w:t>e</w:t>
      </w:r>
      <w:r w:rsidRPr="00F25C8F">
        <w:rPr>
          <w:szCs w:val="22"/>
        </w:rPr>
        <w:t xml:space="preserve"> od 40 mg (12 nedelja terapije), LDL-C je bio smanjen za 53%. 33% pacijenata dostiglo je smjernice EAS za nivo LDL-C (&lt; 3 mmol/L).</w:t>
      </w:r>
    </w:p>
    <w:p w14:paraId="0BFFB0F2" w14:textId="77777777" w:rsidR="00C367F8" w:rsidRPr="00F25C8F" w:rsidRDefault="00C367F8" w:rsidP="00C367F8">
      <w:pPr>
        <w:tabs>
          <w:tab w:val="clear" w:pos="567"/>
          <w:tab w:val="left" w:pos="540"/>
          <w:tab w:val="left" w:pos="569"/>
        </w:tabs>
        <w:jc w:val="both"/>
        <w:rPr>
          <w:szCs w:val="22"/>
        </w:rPr>
      </w:pPr>
    </w:p>
    <w:p w14:paraId="6B33E271" w14:textId="77777777" w:rsidR="00C367F8" w:rsidRDefault="00C367F8" w:rsidP="00C367F8">
      <w:pPr>
        <w:tabs>
          <w:tab w:val="clear" w:pos="567"/>
          <w:tab w:val="left" w:pos="540"/>
          <w:tab w:val="left" w:pos="569"/>
        </w:tabs>
        <w:jc w:val="both"/>
        <w:rPr>
          <w:szCs w:val="22"/>
        </w:rPr>
      </w:pPr>
      <w:r w:rsidRPr="00F25C8F">
        <w:rPr>
          <w:szCs w:val="22"/>
        </w:rPr>
        <w:lastRenderedPageBreak/>
        <w:t>U otvorenom ispitivanju sa ubrzanom titracijom kod 42 pacijenta sa homozigotnom familijarnom hiperholesterolemijom praćen je odgovor na</w:t>
      </w:r>
      <w:r w:rsidR="003268C8">
        <w:rPr>
          <w:szCs w:val="22"/>
        </w:rPr>
        <w:t xml:space="preserve"> liječenje</w:t>
      </w:r>
      <w:r w:rsidRPr="00F25C8F">
        <w:rPr>
          <w:szCs w:val="22"/>
        </w:rPr>
        <w:t xml:space="preserve"> rosuvastatin</w:t>
      </w:r>
      <w:r w:rsidR="003268C8">
        <w:rPr>
          <w:szCs w:val="22"/>
        </w:rPr>
        <w:t>om u dozi od</w:t>
      </w:r>
      <w:r w:rsidRPr="00F25C8F">
        <w:rPr>
          <w:szCs w:val="22"/>
        </w:rPr>
        <w:t xml:space="preserve"> 20–40 mg. U ukupnoj populaciji, prosječno smanjenje LDL-C bilo je 22%.</w:t>
      </w:r>
    </w:p>
    <w:p w14:paraId="40830189" w14:textId="77777777" w:rsidR="00C367F8" w:rsidRDefault="00C367F8" w:rsidP="00C367F8">
      <w:pPr>
        <w:tabs>
          <w:tab w:val="clear" w:pos="567"/>
          <w:tab w:val="left" w:pos="540"/>
          <w:tab w:val="left" w:pos="569"/>
        </w:tabs>
        <w:jc w:val="both"/>
        <w:rPr>
          <w:szCs w:val="22"/>
        </w:rPr>
      </w:pPr>
    </w:p>
    <w:p w14:paraId="7CDEC19A" w14:textId="77777777" w:rsidR="00C367F8" w:rsidRPr="00EE7083" w:rsidRDefault="00C367F8" w:rsidP="00C367F8">
      <w:pPr>
        <w:tabs>
          <w:tab w:val="clear" w:pos="567"/>
          <w:tab w:val="left" w:pos="540"/>
          <w:tab w:val="left" w:pos="569"/>
        </w:tabs>
        <w:jc w:val="both"/>
        <w:rPr>
          <w:szCs w:val="22"/>
          <w:u w:val="single"/>
        </w:rPr>
      </w:pPr>
      <w:r w:rsidRPr="00EE7083">
        <w:rPr>
          <w:szCs w:val="22"/>
          <w:u w:val="single"/>
        </w:rPr>
        <w:t xml:space="preserve">Ezetimib </w:t>
      </w:r>
    </w:p>
    <w:p w14:paraId="08B6332D" w14:textId="77777777" w:rsidR="00C367F8" w:rsidRPr="00EE7083" w:rsidRDefault="00C367F8" w:rsidP="00C367F8">
      <w:pPr>
        <w:tabs>
          <w:tab w:val="clear" w:pos="567"/>
          <w:tab w:val="left" w:pos="540"/>
          <w:tab w:val="left" w:pos="569"/>
        </w:tabs>
        <w:jc w:val="both"/>
        <w:rPr>
          <w:szCs w:val="22"/>
        </w:rPr>
      </w:pPr>
    </w:p>
    <w:p w14:paraId="50D5ED22" w14:textId="77777777" w:rsidR="00C367F8" w:rsidRPr="00EE7083" w:rsidRDefault="00C367F8" w:rsidP="00C367F8">
      <w:pPr>
        <w:tabs>
          <w:tab w:val="clear" w:pos="567"/>
          <w:tab w:val="left" w:pos="540"/>
          <w:tab w:val="left" w:pos="569"/>
        </w:tabs>
        <w:jc w:val="both"/>
        <w:rPr>
          <w:i/>
          <w:szCs w:val="22"/>
          <w:u w:val="single"/>
        </w:rPr>
      </w:pPr>
      <w:r w:rsidRPr="00EE7083">
        <w:rPr>
          <w:i/>
          <w:szCs w:val="22"/>
          <w:u w:val="single"/>
        </w:rPr>
        <w:t>Mehanizam dejstva</w:t>
      </w:r>
    </w:p>
    <w:p w14:paraId="39F71C80" w14:textId="77777777" w:rsidR="00C367F8" w:rsidRPr="00EE7083" w:rsidRDefault="00C367F8" w:rsidP="00C367F8">
      <w:pPr>
        <w:tabs>
          <w:tab w:val="clear" w:pos="567"/>
          <w:tab w:val="left" w:pos="540"/>
          <w:tab w:val="left" w:pos="569"/>
        </w:tabs>
        <w:jc w:val="both"/>
        <w:rPr>
          <w:szCs w:val="22"/>
        </w:rPr>
      </w:pPr>
      <w:r w:rsidRPr="00EE7083">
        <w:rPr>
          <w:szCs w:val="22"/>
        </w:rPr>
        <w:t xml:space="preserve">Ezetimib predstavlja novu klasu jedinjenja za snižavanje lipida koji selektivno inhibira intestinalnu resorpciju holesterola i </w:t>
      </w:r>
      <w:r w:rsidR="00D54AD6">
        <w:rPr>
          <w:szCs w:val="22"/>
        </w:rPr>
        <w:t>srodnih</w:t>
      </w:r>
      <w:r w:rsidR="00D54AD6" w:rsidRPr="00EE7083">
        <w:rPr>
          <w:szCs w:val="22"/>
        </w:rPr>
        <w:t xml:space="preserve"> </w:t>
      </w:r>
      <w:r w:rsidRPr="00EE7083">
        <w:rPr>
          <w:szCs w:val="22"/>
        </w:rPr>
        <w:t xml:space="preserve">biljnih sterola. Ezetimib je oralno aktivan, ima mehanizam dejstva koji se razlikuje od drugih klasa </w:t>
      </w:r>
      <w:r w:rsidR="00D54AD6">
        <w:rPr>
          <w:szCs w:val="22"/>
        </w:rPr>
        <w:t>ljekova</w:t>
      </w:r>
      <w:r w:rsidRPr="00EE7083">
        <w:rPr>
          <w:szCs w:val="22"/>
        </w:rPr>
        <w:t xml:space="preserve"> za snižavanje holesterola (npr. statini, sekvestranti žučne kiseline [smole], derivati fibrinske kiseline i biljni stanoli). </w:t>
      </w:r>
      <w:r w:rsidR="00D54AD6">
        <w:rPr>
          <w:szCs w:val="22"/>
        </w:rPr>
        <w:t>C</w:t>
      </w:r>
      <w:r w:rsidR="00D54AD6" w:rsidRPr="00EE7083">
        <w:rPr>
          <w:szCs w:val="22"/>
        </w:rPr>
        <w:t>ilj</w:t>
      </w:r>
      <w:r w:rsidR="00D54AD6">
        <w:rPr>
          <w:szCs w:val="22"/>
        </w:rPr>
        <w:t>ni</w:t>
      </w:r>
      <w:r w:rsidR="00D54AD6" w:rsidRPr="00EE7083">
        <w:rPr>
          <w:szCs w:val="22"/>
        </w:rPr>
        <w:t xml:space="preserve"> </w:t>
      </w:r>
      <w:r w:rsidR="00D54AD6">
        <w:rPr>
          <w:szCs w:val="22"/>
        </w:rPr>
        <w:t>molekul</w:t>
      </w:r>
      <w:r w:rsidR="00D54AD6" w:rsidRPr="00EE7083">
        <w:rPr>
          <w:szCs w:val="22"/>
        </w:rPr>
        <w:t xml:space="preserve"> </w:t>
      </w:r>
      <w:r w:rsidRPr="00EE7083">
        <w:rPr>
          <w:szCs w:val="22"/>
        </w:rPr>
        <w:t>ezetimiba je transporter sterola NPC1L1 (Niemann-Pick C1-Like 1), koji je odgovoran za intestinalno preuzimanje holesterola i fitosterola.</w:t>
      </w:r>
    </w:p>
    <w:p w14:paraId="580D2A99" w14:textId="77777777" w:rsidR="00C367F8" w:rsidRPr="00EE7083" w:rsidRDefault="00C367F8" w:rsidP="00C367F8">
      <w:pPr>
        <w:tabs>
          <w:tab w:val="clear" w:pos="567"/>
          <w:tab w:val="left" w:pos="540"/>
          <w:tab w:val="left" w:pos="569"/>
        </w:tabs>
        <w:jc w:val="both"/>
        <w:rPr>
          <w:szCs w:val="22"/>
        </w:rPr>
      </w:pPr>
    </w:p>
    <w:p w14:paraId="0C281018" w14:textId="77777777" w:rsidR="00C367F8" w:rsidRDefault="00C367F8" w:rsidP="00C367F8">
      <w:pPr>
        <w:tabs>
          <w:tab w:val="clear" w:pos="567"/>
          <w:tab w:val="left" w:pos="540"/>
          <w:tab w:val="left" w:pos="569"/>
        </w:tabs>
        <w:jc w:val="both"/>
        <w:rPr>
          <w:szCs w:val="22"/>
        </w:rPr>
      </w:pPr>
      <w:r w:rsidRPr="00EE7083">
        <w:rPr>
          <w:szCs w:val="22"/>
        </w:rPr>
        <w:t>Ezetimib koji se lokalizuje na mikroresicama tankog crijeva i inhibira resorpciju holesterola dovodi do smanjenja prenosa intestinalnog holesterola u jetru. Statini smanjuju sintezu holesterola u jetri i zajedno sa ovim odvojenim mehanizmom obezbjeđuju komplementarno smanjenje vrijednosti holesterola. U kliničkom ispitivanju u trajanju od 2 nedelje sa 18 hiperholesterolemičkih pacijenata, ezetimib je inhibirao intestinalnu resorpciju holesterola za 54% u poređenju sa placebom.</w:t>
      </w:r>
    </w:p>
    <w:p w14:paraId="77FE1A65" w14:textId="77777777" w:rsidR="00C367F8" w:rsidRDefault="00C367F8" w:rsidP="00C367F8">
      <w:pPr>
        <w:tabs>
          <w:tab w:val="clear" w:pos="567"/>
          <w:tab w:val="left" w:pos="540"/>
          <w:tab w:val="left" w:pos="569"/>
        </w:tabs>
        <w:jc w:val="both"/>
        <w:rPr>
          <w:szCs w:val="22"/>
        </w:rPr>
      </w:pPr>
    </w:p>
    <w:p w14:paraId="6A477EF0" w14:textId="77777777" w:rsidR="00C367F8" w:rsidRDefault="00C367F8" w:rsidP="00C367F8">
      <w:pPr>
        <w:tabs>
          <w:tab w:val="clear" w:pos="567"/>
          <w:tab w:val="left" w:pos="540"/>
          <w:tab w:val="left" w:pos="569"/>
        </w:tabs>
        <w:jc w:val="both"/>
        <w:rPr>
          <w:i/>
          <w:szCs w:val="22"/>
          <w:u w:val="single"/>
        </w:rPr>
      </w:pPr>
      <w:r w:rsidRPr="00AC7F6D">
        <w:rPr>
          <w:i/>
          <w:szCs w:val="22"/>
          <w:u w:val="single"/>
        </w:rPr>
        <w:t>Farmakodinamski efekti</w:t>
      </w:r>
    </w:p>
    <w:p w14:paraId="53DDACE8" w14:textId="77777777" w:rsidR="00C367F8" w:rsidRPr="00E82237" w:rsidRDefault="00C367F8" w:rsidP="00C367F8">
      <w:pPr>
        <w:tabs>
          <w:tab w:val="clear" w:pos="567"/>
          <w:tab w:val="left" w:pos="540"/>
          <w:tab w:val="left" w:pos="569"/>
        </w:tabs>
        <w:jc w:val="both"/>
        <w:rPr>
          <w:szCs w:val="22"/>
        </w:rPr>
      </w:pPr>
      <w:r w:rsidRPr="00E82237">
        <w:rPr>
          <w:szCs w:val="22"/>
        </w:rPr>
        <w:t>Izvršena je serija pretkliničkih ispitivanja kako bi se odredila selektivnost ezetimiba za inhibiranje resorpcije holesterola. Ezetimib je inhibirao resorpciju [14C] obilježenog holesterola bez dejstva na resorpciju triglicerida, masnih kiselina, žučnih kiselina, progesterona, etinil-estradiola ili liposolubilnih vitamina A i D.</w:t>
      </w:r>
    </w:p>
    <w:p w14:paraId="7A3F1373" w14:textId="77777777" w:rsidR="00C367F8" w:rsidRPr="00E82237" w:rsidRDefault="00C367F8" w:rsidP="00C367F8">
      <w:pPr>
        <w:tabs>
          <w:tab w:val="clear" w:pos="567"/>
          <w:tab w:val="left" w:pos="540"/>
          <w:tab w:val="left" w:pos="569"/>
        </w:tabs>
        <w:jc w:val="both"/>
        <w:rPr>
          <w:szCs w:val="22"/>
        </w:rPr>
      </w:pPr>
    </w:p>
    <w:p w14:paraId="60DA1471" w14:textId="77777777" w:rsidR="00C367F8" w:rsidRDefault="00C367F8" w:rsidP="00C367F8">
      <w:pPr>
        <w:tabs>
          <w:tab w:val="clear" w:pos="567"/>
          <w:tab w:val="left" w:pos="540"/>
          <w:tab w:val="left" w:pos="569"/>
        </w:tabs>
        <w:jc w:val="both"/>
        <w:rPr>
          <w:szCs w:val="22"/>
        </w:rPr>
      </w:pPr>
      <w:r w:rsidRPr="00E82237">
        <w:rPr>
          <w:szCs w:val="22"/>
        </w:rPr>
        <w:t>U epidemiološkim ispitivanjima je ustanovljeno da kardiovaskularni morbiditet i mortalitet variraju u direktnoj zavisnosti od ukupnog i LDL holesterola i da su obrnuto proporcionalni koncentraciji HDL holesterola.</w:t>
      </w:r>
    </w:p>
    <w:p w14:paraId="294F2205" w14:textId="77777777" w:rsidR="00C367F8" w:rsidRDefault="00C367F8" w:rsidP="00C367F8">
      <w:pPr>
        <w:tabs>
          <w:tab w:val="clear" w:pos="567"/>
          <w:tab w:val="left" w:pos="540"/>
          <w:tab w:val="left" w:pos="569"/>
        </w:tabs>
        <w:jc w:val="both"/>
        <w:rPr>
          <w:szCs w:val="22"/>
        </w:rPr>
      </w:pPr>
    </w:p>
    <w:p w14:paraId="5BD8F407" w14:textId="77777777" w:rsidR="00C367F8" w:rsidRDefault="00C367F8" w:rsidP="00C367F8">
      <w:pPr>
        <w:tabs>
          <w:tab w:val="clear" w:pos="567"/>
          <w:tab w:val="left" w:pos="540"/>
          <w:tab w:val="left" w:pos="569"/>
        </w:tabs>
        <w:jc w:val="both"/>
        <w:rPr>
          <w:szCs w:val="22"/>
        </w:rPr>
      </w:pPr>
      <w:r w:rsidRPr="000D5933">
        <w:rPr>
          <w:szCs w:val="22"/>
        </w:rPr>
        <w:t>Primjena ezetimiba sa statinom je efikasna u smanjenju rizika od kardiovaskularnih događaja kod pacijenata sa koronarnom bolešću srca i događajima povezanim sa akutnim koronarnim sindromom u anamnezi.</w:t>
      </w:r>
    </w:p>
    <w:p w14:paraId="2D16A50F" w14:textId="77777777" w:rsidR="00C367F8" w:rsidRDefault="00C367F8" w:rsidP="00C367F8">
      <w:pPr>
        <w:tabs>
          <w:tab w:val="clear" w:pos="567"/>
          <w:tab w:val="left" w:pos="540"/>
          <w:tab w:val="left" w:pos="569"/>
        </w:tabs>
        <w:jc w:val="both"/>
        <w:rPr>
          <w:szCs w:val="22"/>
        </w:rPr>
      </w:pPr>
    </w:p>
    <w:p w14:paraId="58C6F53B" w14:textId="77777777" w:rsidR="00C367F8" w:rsidRPr="004B70DB" w:rsidRDefault="00C367F8" w:rsidP="00C367F8">
      <w:pPr>
        <w:tabs>
          <w:tab w:val="clear" w:pos="567"/>
          <w:tab w:val="left" w:pos="540"/>
          <w:tab w:val="left" w:pos="569"/>
        </w:tabs>
        <w:jc w:val="both"/>
        <w:rPr>
          <w:i/>
          <w:szCs w:val="22"/>
          <w:u w:val="single"/>
        </w:rPr>
      </w:pPr>
      <w:r w:rsidRPr="004B70DB">
        <w:rPr>
          <w:i/>
          <w:szCs w:val="22"/>
          <w:u w:val="single"/>
        </w:rPr>
        <w:t>Klinička efikasnost i bezbijednost</w:t>
      </w:r>
    </w:p>
    <w:p w14:paraId="63BACEE5" w14:textId="77777777" w:rsidR="00C367F8" w:rsidRPr="004B70DB" w:rsidRDefault="00C367F8" w:rsidP="00C367F8">
      <w:pPr>
        <w:tabs>
          <w:tab w:val="clear" w:pos="567"/>
          <w:tab w:val="left" w:pos="540"/>
          <w:tab w:val="left" w:pos="569"/>
        </w:tabs>
        <w:jc w:val="both"/>
        <w:rPr>
          <w:szCs w:val="22"/>
        </w:rPr>
      </w:pPr>
      <w:r w:rsidRPr="004B70DB">
        <w:rPr>
          <w:szCs w:val="22"/>
        </w:rPr>
        <w:t>U kontrolisanim kliničkim istraživanjima, ezetimib, kao monoterapija ili primijenjen zajedno sa statinom, značajno je smanjio ukupni holesterol (total C), LDL-C, apolipoprotein B (Apo B) i trigliceride (TG), a povećao HDL-C kod pacijenata sa hiperholesterolemijom.</w:t>
      </w:r>
    </w:p>
    <w:p w14:paraId="10A007B4" w14:textId="77777777" w:rsidR="00C367F8" w:rsidRPr="004B70DB" w:rsidRDefault="00C367F8" w:rsidP="00C367F8">
      <w:pPr>
        <w:tabs>
          <w:tab w:val="clear" w:pos="567"/>
          <w:tab w:val="left" w:pos="540"/>
          <w:tab w:val="left" w:pos="569"/>
        </w:tabs>
        <w:jc w:val="both"/>
        <w:rPr>
          <w:bCs/>
          <w:szCs w:val="22"/>
        </w:rPr>
      </w:pPr>
    </w:p>
    <w:p w14:paraId="66543611" w14:textId="77777777" w:rsidR="00C367F8" w:rsidRPr="004B70DB" w:rsidRDefault="00C367F8" w:rsidP="00C367F8">
      <w:pPr>
        <w:tabs>
          <w:tab w:val="clear" w:pos="567"/>
          <w:tab w:val="left" w:pos="540"/>
          <w:tab w:val="left" w:pos="569"/>
        </w:tabs>
        <w:jc w:val="both"/>
        <w:rPr>
          <w:i/>
          <w:szCs w:val="22"/>
          <w:u w:val="single"/>
        </w:rPr>
      </w:pPr>
      <w:r w:rsidRPr="004B70DB">
        <w:rPr>
          <w:i/>
          <w:szCs w:val="22"/>
          <w:u w:val="single"/>
        </w:rPr>
        <w:t>Primarna hiperholesterolemija</w:t>
      </w:r>
    </w:p>
    <w:p w14:paraId="47AB146D" w14:textId="77777777" w:rsidR="00C367F8" w:rsidRDefault="00C367F8" w:rsidP="00C367F8">
      <w:pPr>
        <w:tabs>
          <w:tab w:val="clear" w:pos="567"/>
          <w:tab w:val="left" w:pos="540"/>
          <w:tab w:val="left" w:pos="569"/>
        </w:tabs>
        <w:jc w:val="both"/>
        <w:rPr>
          <w:szCs w:val="22"/>
        </w:rPr>
      </w:pPr>
      <w:r w:rsidRPr="004B70DB">
        <w:rPr>
          <w:szCs w:val="22"/>
        </w:rPr>
        <w:t>U dvostruko slijepom ispitivanju kontrolisanom placebom u trajanju od 8 nedelja, 769 pacijenata sa hiperholesterolemijom koji su već dobijali monoterapiju statinom i nisu ostvarili ciljne vrijednosti za LDL-C po Nacionalnom programu za edukaciju o holesterolu (</w:t>
      </w:r>
      <w:r w:rsidRPr="00516260">
        <w:rPr>
          <w:i/>
          <w:szCs w:val="22"/>
        </w:rPr>
        <w:t>National Cholesterol Education Program</w:t>
      </w:r>
      <w:r w:rsidRPr="004B70DB">
        <w:rPr>
          <w:szCs w:val="22"/>
        </w:rPr>
        <w:t xml:space="preserve"> – NCEP; 2,6 do 4,1 mmol/l [100 do 160 mg/dl], u zavisnosti od karakteristika prije početka liječenja), slučajnim uzorkom su raspoređeni ili u grupu koja je primala ezetimib od 10 mg ili placebo, kao dodatak njihovoj tekućoj terapiji statinom.</w:t>
      </w:r>
    </w:p>
    <w:p w14:paraId="093B62CE" w14:textId="77777777" w:rsidR="00C367F8" w:rsidRPr="004B70DB" w:rsidRDefault="00C367F8" w:rsidP="00C367F8">
      <w:pPr>
        <w:tabs>
          <w:tab w:val="clear" w:pos="567"/>
          <w:tab w:val="left" w:pos="540"/>
          <w:tab w:val="left" w:pos="569"/>
        </w:tabs>
        <w:jc w:val="both"/>
        <w:rPr>
          <w:bCs/>
          <w:szCs w:val="22"/>
        </w:rPr>
      </w:pPr>
    </w:p>
    <w:p w14:paraId="464A3E12" w14:textId="77777777" w:rsidR="00C367F8" w:rsidRDefault="00C367F8" w:rsidP="00C367F8">
      <w:pPr>
        <w:tabs>
          <w:tab w:val="clear" w:pos="567"/>
          <w:tab w:val="left" w:pos="540"/>
          <w:tab w:val="left" w:pos="569"/>
        </w:tabs>
        <w:jc w:val="both"/>
        <w:rPr>
          <w:szCs w:val="22"/>
        </w:rPr>
      </w:pPr>
      <w:r w:rsidRPr="00B55B01">
        <w:rPr>
          <w:szCs w:val="22"/>
        </w:rPr>
        <w:t>Među pacijentima liječenim statinima koji nisu postigli ciljnu vrijednost LDL-C na početku liječenja (~82%), značajno više pacijenata raspoređenih na ezetimib dostiglo je ciljni nivo LDL-C na kraju istraživanja (72%) u poređenju sa pacijentima koji su raspoređeni na placebo (19%). Odgovarajuće smanjenje LDL-C bilo je značajno različito (25% za ezetimib u odnosu na 4% za placebo). Osim toga, ezetimib, dodat u tekuću terapiju statinom, značajno je smanjio ukupni holesterol, Apo B, TG i povećao HDL-C u poređenju sa placebom. Kada je ezetimib dodat terapiji statinom, smanjio je srednju vrijednost C reaktivnog proteina za 10%, dok je placebo imao rezultat od 0% smanjenja u odnosu na početne vrijednosti</w:t>
      </w:r>
      <w:r>
        <w:rPr>
          <w:szCs w:val="22"/>
        </w:rPr>
        <w:t>.</w:t>
      </w:r>
    </w:p>
    <w:p w14:paraId="293C0C16" w14:textId="77777777" w:rsidR="00C367F8" w:rsidRDefault="00C367F8" w:rsidP="00C367F8">
      <w:pPr>
        <w:tabs>
          <w:tab w:val="clear" w:pos="567"/>
          <w:tab w:val="left" w:pos="540"/>
          <w:tab w:val="left" w:pos="569"/>
        </w:tabs>
        <w:jc w:val="both"/>
        <w:rPr>
          <w:bCs/>
          <w:szCs w:val="22"/>
        </w:rPr>
      </w:pPr>
    </w:p>
    <w:p w14:paraId="7FA86FC5" w14:textId="77777777" w:rsidR="00C367F8" w:rsidRDefault="00C367F8" w:rsidP="00C367F8">
      <w:pPr>
        <w:tabs>
          <w:tab w:val="clear" w:pos="567"/>
          <w:tab w:val="left" w:pos="540"/>
          <w:tab w:val="left" w:pos="569"/>
        </w:tabs>
        <w:jc w:val="both"/>
        <w:rPr>
          <w:szCs w:val="22"/>
        </w:rPr>
      </w:pPr>
      <w:r w:rsidRPr="000E554A">
        <w:rPr>
          <w:szCs w:val="22"/>
        </w:rPr>
        <w:t>U dva dvostruko slijepa, randomizovana ispitivanja kontrolisana placebom, u tajanju od 12 nedelja, na 1.719 pacijenata sa primarnom hiperholesterolemijom, ezetimib od 10 mg značajno je smanjio ukupni holesterol (Total C) (13%), LDL-C (19%), Apo B (14%) i TG (8%) te povećao HDL-C (3%) u poređenju sa placebom. Osim toga, ezetimib nije imao uticaja na koncentracije u plazmi liposolubilnih vitamina A, D i E, nije imao dejstva na protrombinsko vrijeme i, kao i drugi ljekovi za snižavanje lipida, nije umanjio produkciju adrenokortikalnih steroidnih hormona.</w:t>
      </w:r>
    </w:p>
    <w:p w14:paraId="7BD4D937" w14:textId="77777777" w:rsidR="00C367F8" w:rsidRDefault="00C367F8" w:rsidP="00C367F8">
      <w:pPr>
        <w:tabs>
          <w:tab w:val="clear" w:pos="567"/>
          <w:tab w:val="left" w:pos="540"/>
          <w:tab w:val="left" w:pos="569"/>
        </w:tabs>
        <w:jc w:val="both"/>
        <w:rPr>
          <w:bCs/>
          <w:szCs w:val="22"/>
        </w:rPr>
      </w:pPr>
    </w:p>
    <w:p w14:paraId="2F9E0E8A" w14:textId="77777777" w:rsidR="00EC6E46" w:rsidRDefault="00EC6E46" w:rsidP="00C367F8">
      <w:pPr>
        <w:tabs>
          <w:tab w:val="clear" w:pos="567"/>
          <w:tab w:val="left" w:pos="540"/>
          <w:tab w:val="left" w:pos="569"/>
        </w:tabs>
        <w:jc w:val="both"/>
        <w:rPr>
          <w:szCs w:val="22"/>
          <w:u w:val="single"/>
        </w:rPr>
      </w:pPr>
    </w:p>
    <w:p w14:paraId="5DA08BD6" w14:textId="77777777" w:rsidR="00EC6E46" w:rsidRDefault="00EC6E46" w:rsidP="00C367F8">
      <w:pPr>
        <w:tabs>
          <w:tab w:val="clear" w:pos="567"/>
          <w:tab w:val="left" w:pos="540"/>
          <w:tab w:val="left" w:pos="569"/>
        </w:tabs>
        <w:jc w:val="both"/>
        <w:rPr>
          <w:szCs w:val="22"/>
          <w:u w:val="single"/>
        </w:rPr>
      </w:pPr>
    </w:p>
    <w:p w14:paraId="73218A6C" w14:textId="77777777" w:rsidR="00EC6E46" w:rsidRDefault="00EC6E46" w:rsidP="00C367F8">
      <w:pPr>
        <w:tabs>
          <w:tab w:val="clear" w:pos="567"/>
          <w:tab w:val="left" w:pos="540"/>
          <w:tab w:val="left" w:pos="569"/>
        </w:tabs>
        <w:jc w:val="both"/>
        <w:rPr>
          <w:szCs w:val="22"/>
          <w:u w:val="single"/>
        </w:rPr>
      </w:pPr>
    </w:p>
    <w:p w14:paraId="68C850D6" w14:textId="77777777" w:rsidR="00C367F8" w:rsidRDefault="00C367F8" w:rsidP="00C367F8">
      <w:pPr>
        <w:tabs>
          <w:tab w:val="clear" w:pos="567"/>
          <w:tab w:val="left" w:pos="540"/>
          <w:tab w:val="left" w:pos="569"/>
        </w:tabs>
        <w:jc w:val="both"/>
        <w:rPr>
          <w:szCs w:val="22"/>
          <w:u w:val="single"/>
        </w:rPr>
      </w:pPr>
      <w:r w:rsidRPr="006C6B53">
        <w:rPr>
          <w:szCs w:val="22"/>
          <w:u w:val="single"/>
        </w:rPr>
        <w:t>Rosuvastatin/ezetimib</w:t>
      </w:r>
    </w:p>
    <w:p w14:paraId="67D20877" w14:textId="77777777" w:rsidR="00C367F8" w:rsidRDefault="00C367F8" w:rsidP="00C367F8">
      <w:pPr>
        <w:tabs>
          <w:tab w:val="clear" w:pos="567"/>
          <w:tab w:val="left" w:pos="540"/>
          <w:tab w:val="left" w:pos="569"/>
        </w:tabs>
        <w:jc w:val="both"/>
        <w:rPr>
          <w:szCs w:val="22"/>
          <w:u w:val="single"/>
        </w:rPr>
      </w:pPr>
    </w:p>
    <w:p w14:paraId="7F9BBE8E" w14:textId="77777777" w:rsidR="00C367F8" w:rsidRPr="005A2F59" w:rsidRDefault="00C367F8" w:rsidP="00C367F8">
      <w:pPr>
        <w:tabs>
          <w:tab w:val="clear" w:pos="567"/>
          <w:tab w:val="left" w:pos="540"/>
          <w:tab w:val="left" w:pos="569"/>
        </w:tabs>
        <w:jc w:val="both"/>
        <w:rPr>
          <w:i/>
          <w:szCs w:val="22"/>
          <w:u w:val="single"/>
        </w:rPr>
      </w:pPr>
      <w:r w:rsidRPr="005A2F59">
        <w:rPr>
          <w:i/>
          <w:szCs w:val="22"/>
          <w:u w:val="single"/>
        </w:rPr>
        <w:t>Klinička efikasnost i bezbijednost</w:t>
      </w:r>
    </w:p>
    <w:p w14:paraId="14EA3B0F" w14:textId="77777777" w:rsidR="00C367F8" w:rsidRPr="005A2F59" w:rsidRDefault="00C367F8" w:rsidP="00C367F8">
      <w:pPr>
        <w:tabs>
          <w:tab w:val="clear" w:pos="567"/>
          <w:tab w:val="left" w:pos="540"/>
          <w:tab w:val="left" w:pos="569"/>
        </w:tabs>
        <w:jc w:val="both"/>
        <w:rPr>
          <w:szCs w:val="22"/>
        </w:rPr>
      </w:pPr>
      <w:r w:rsidRPr="005A2F59">
        <w:rPr>
          <w:szCs w:val="22"/>
        </w:rPr>
        <w:t>U 6-nedeljnom, randomizovanom, dvostruko-slijepom kliničkom ispitivanju sa paralelnim grupama, procjenjivana je bezbijednost i efikasnost ezetimiba 10 mg, koji je primjenjivan kao dopuna terapiji rosuvastatinom u stabilnoj dozi, a u poređenju sa rosuvastatinom čija je doza titriranjem povećana sa 5 mg na 10 mg ili sa 10 mg na 20 mg (n=440). Zbirni podaci pokazuju da ezetimib, primjenjivan kao dopuna terapiji rosuvastatinom u stabilnoj dozi od 5 mg ili 10 mg, smanjuje vrijednosti LDL holesterola za 21%. Nasuprot tome, dvostruko povećanje doze rosuvastatina na 10 mg ili 20 mg, dovelo je do smanjenja vrijednosti LDL holesterola za 5,7% (razlika između grupa je bila 15,2%, p&lt;0,001). Pojedinačno, terapija ezetimibom u kombinaciji sa rosuvastatinom u dozi od 5 mg dovela je do većeg smanjenja vrijednosti LDL holesterola nego terapija rosuvastatinom u dozi od 10 mg (razlika od 12,3%, p&lt;0,001) i ezetimiba sa rosuvastatinom 10 mg smanjuje LDL holesterol više nego sam rosuvastatin 20 mg (razlika od 17,5% p&lt;0,001).</w:t>
      </w:r>
    </w:p>
    <w:p w14:paraId="78E87075" w14:textId="77777777" w:rsidR="00C367F8" w:rsidRPr="005A2F59" w:rsidRDefault="00C367F8" w:rsidP="00C367F8">
      <w:pPr>
        <w:tabs>
          <w:tab w:val="clear" w:pos="567"/>
          <w:tab w:val="left" w:pos="540"/>
          <w:tab w:val="left" w:pos="569"/>
        </w:tabs>
        <w:jc w:val="both"/>
        <w:rPr>
          <w:szCs w:val="22"/>
        </w:rPr>
      </w:pPr>
    </w:p>
    <w:p w14:paraId="082F39AF" w14:textId="77777777" w:rsidR="00C367F8" w:rsidRDefault="00C367F8" w:rsidP="00C367F8">
      <w:pPr>
        <w:tabs>
          <w:tab w:val="clear" w:pos="567"/>
          <w:tab w:val="left" w:pos="540"/>
          <w:tab w:val="left" w:pos="569"/>
        </w:tabs>
        <w:jc w:val="both"/>
        <w:rPr>
          <w:szCs w:val="22"/>
        </w:rPr>
      </w:pPr>
      <w:r w:rsidRPr="005A2F59">
        <w:rPr>
          <w:szCs w:val="22"/>
        </w:rPr>
        <w:t xml:space="preserve">Randomizovana studija u trajanju od šest nedelja, dizajnirana je da ispita efikasnost i bezbjednost rosuvastatina datog u monoterapiji u dozi od 40 mg, ili u kombinovanoj terapiji sa ezetimibom u dozi od 10 mg, kod pacijenata sa visokim rizikom za razvoj koronarne bolesti srca (n=469). Kod značajno većeg broja pacijenata koji su primali kombinovanu terapiju rosuvastatin/ezetimib, u odnosu na pacijente koji su dobijali monoterapiju rosuvastatinom, postignute su ciljne vrijednosti </w:t>
      </w:r>
      <w:r w:rsidR="005F27D4" w:rsidRPr="005A2F59">
        <w:rPr>
          <w:szCs w:val="22"/>
        </w:rPr>
        <w:t xml:space="preserve">LDL holesterola </w:t>
      </w:r>
      <w:r w:rsidR="00E52C63">
        <w:rPr>
          <w:szCs w:val="22"/>
        </w:rPr>
        <w:t xml:space="preserve">prema smjernicama </w:t>
      </w:r>
      <w:r w:rsidRPr="005A2F59">
        <w:rPr>
          <w:szCs w:val="22"/>
        </w:rPr>
        <w:t>ATP III (&lt; 100 mg/dL, 94,0% vs 79,1%, p&lt;0,001). Kombinovana terapija rosuvastatin/ezetimib smanjuje LDL holesterol značajno više nego rosuvastatin (69,8% vs 57,1%, p&lt;0,001). Ostale komponente lipidno/lipoproteinskog profila bile su značajno (p&lt;0,001) poboljšane sa kombinacijom rosuvastatin/ezetimib.</w:t>
      </w:r>
    </w:p>
    <w:p w14:paraId="16C4A7BF" w14:textId="77777777" w:rsidR="00C367F8" w:rsidRDefault="00C367F8" w:rsidP="00C367F8">
      <w:pPr>
        <w:tabs>
          <w:tab w:val="clear" w:pos="567"/>
          <w:tab w:val="left" w:pos="540"/>
          <w:tab w:val="left" w:pos="569"/>
        </w:tabs>
        <w:jc w:val="both"/>
        <w:rPr>
          <w:szCs w:val="22"/>
        </w:rPr>
      </w:pPr>
    </w:p>
    <w:p w14:paraId="11641492" w14:textId="77777777" w:rsidR="00C367F8" w:rsidRPr="00011F66" w:rsidRDefault="00C367F8" w:rsidP="00C367F8">
      <w:pPr>
        <w:tabs>
          <w:tab w:val="clear" w:pos="567"/>
          <w:tab w:val="left" w:pos="540"/>
          <w:tab w:val="left" w:pos="569"/>
        </w:tabs>
        <w:jc w:val="both"/>
        <w:rPr>
          <w:szCs w:val="22"/>
        </w:rPr>
      </w:pPr>
      <w:r w:rsidRPr="00011F66">
        <w:rPr>
          <w:i/>
          <w:szCs w:val="22"/>
          <w:u w:val="single"/>
        </w:rPr>
        <w:t>Pedijatrijska populacija</w:t>
      </w:r>
      <w:r w:rsidRPr="00011F66">
        <w:rPr>
          <w:szCs w:val="22"/>
        </w:rPr>
        <w:t xml:space="preserve"> </w:t>
      </w:r>
    </w:p>
    <w:p w14:paraId="4775D1C5" w14:textId="77777777" w:rsidR="00C367F8" w:rsidRPr="005A2F59" w:rsidRDefault="00C367F8" w:rsidP="00C367F8">
      <w:pPr>
        <w:tabs>
          <w:tab w:val="clear" w:pos="567"/>
          <w:tab w:val="left" w:pos="540"/>
          <w:tab w:val="left" w:pos="569"/>
        </w:tabs>
        <w:jc w:val="both"/>
        <w:rPr>
          <w:szCs w:val="22"/>
        </w:rPr>
      </w:pPr>
      <w:r>
        <w:t xml:space="preserve">Evropska agencija za ljekove </w:t>
      </w:r>
      <w:r w:rsidR="002A5D3B">
        <w:t>izuzela je obavezu</w:t>
      </w:r>
      <w:r>
        <w:t xml:space="preserve"> podnošenj</w:t>
      </w:r>
      <w:r w:rsidR="002A5D3B">
        <w:t>a</w:t>
      </w:r>
      <w:r>
        <w:t xml:space="preserve"> rezultata ispitivanja s lijekom Co-Roswera u svim podgrupana pedijatrijske populacije u liječenju povišenog holesterola (vidjeti dio 4.2. sa informacijama o pedijatrijskoj primjeni).</w:t>
      </w:r>
    </w:p>
    <w:p w14:paraId="0DFD5D45" w14:textId="77777777" w:rsidR="00C367F8" w:rsidRPr="00B55B01" w:rsidRDefault="00C367F8" w:rsidP="00C367F8">
      <w:pPr>
        <w:tabs>
          <w:tab w:val="clear" w:pos="567"/>
          <w:tab w:val="left" w:pos="540"/>
          <w:tab w:val="left" w:pos="569"/>
        </w:tabs>
        <w:jc w:val="both"/>
        <w:rPr>
          <w:bCs/>
          <w:szCs w:val="22"/>
        </w:rPr>
      </w:pPr>
    </w:p>
    <w:p w14:paraId="4BEFC65B" w14:textId="77777777" w:rsidR="00C367F8" w:rsidRDefault="00C367F8" w:rsidP="00C367F8">
      <w:pPr>
        <w:tabs>
          <w:tab w:val="clear" w:pos="567"/>
          <w:tab w:val="left" w:pos="540"/>
          <w:tab w:val="left" w:pos="569"/>
        </w:tabs>
        <w:rPr>
          <w:b/>
          <w:bCs/>
          <w:szCs w:val="22"/>
        </w:rPr>
      </w:pPr>
      <w:r w:rsidRPr="00991AB2">
        <w:rPr>
          <w:b/>
          <w:bCs/>
          <w:szCs w:val="22"/>
        </w:rPr>
        <w:t xml:space="preserve">5.2. </w:t>
      </w:r>
      <w:r w:rsidRPr="00991AB2">
        <w:rPr>
          <w:b/>
          <w:bCs/>
          <w:szCs w:val="22"/>
        </w:rPr>
        <w:tab/>
        <w:t>Farmakokinetički podaci</w:t>
      </w:r>
    </w:p>
    <w:p w14:paraId="489963EE" w14:textId="77777777" w:rsidR="00C367F8" w:rsidRDefault="00C367F8" w:rsidP="00C367F8">
      <w:pPr>
        <w:tabs>
          <w:tab w:val="clear" w:pos="567"/>
          <w:tab w:val="left" w:pos="540"/>
          <w:tab w:val="left" w:pos="569"/>
        </w:tabs>
        <w:rPr>
          <w:b/>
          <w:bCs/>
          <w:szCs w:val="22"/>
        </w:rPr>
      </w:pPr>
    </w:p>
    <w:p w14:paraId="3F9B7741" w14:textId="77777777" w:rsidR="00C367F8" w:rsidRDefault="00C367F8" w:rsidP="00C367F8">
      <w:pPr>
        <w:tabs>
          <w:tab w:val="clear" w:pos="567"/>
          <w:tab w:val="left" w:pos="540"/>
          <w:tab w:val="left" w:pos="569"/>
        </w:tabs>
        <w:rPr>
          <w:bCs/>
          <w:color w:val="000000"/>
          <w:szCs w:val="22"/>
          <w:u w:val="single"/>
        </w:rPr>
      </w:pPr>
      <w:r w:rsidRPr="00991AB2">
        <w:rPr>
          <w:bCs/>
          <w:color w:val="000000"/>
          <w:szCs w:val="22"/>
          <w:u w:val="single"/>
        </w:rPr>
        <w:t>Rosuvastatin</w:t>
      </w:r>
    </w:p>
    <w:p w14:paraId="4A3AD1A1" w14:textId="77777777" w:rsidR="00C367F8" w:rsidRDefault="00C367F8" w:rsidP="00C367F8">
      <w:pPr>
        <w:tabs>
          <w:tab w:val="clear" w:pos="567"/>
          <w:tab w:val="left" w:pos="540"/>
          <w:tab w:val="left" w:pos="569"/>
        </w:tabs>
        <w:rPr>
          <w:b/>
          <w:bCs/>
          <w:szCs w:val="22"/>
        </w:rPr>
      </w:pPr>
    </w:p>
    <w:p w14:paraId="4D88DF3C" w14:textId="77777777" w:rsidR="00C367F8" w:rsidRDefault="00C367F8" w:rsidP="00C367F8">
      <w:pPr>
        <w:tabs>
          <w:tab w:val="clear" w:pos="567"/>
          <w:tab w:val="left" w:pos="540"/>
          <w:tab w:val="left" w:pos="569"/>
        </w:tabs>
        <w:rPr>
          <w:i/>
          <w:szCs w:val="22"/>
          <w:u w:val="single"/>
        </w:rPr>
      </w:pPr>
      <w:r w:rsidRPr="00991AB2">
        <w:rPr>
          <w:i/>
          <w:szCs w:val="22"/>
          <w:u w:val="single"/>
        </w:rPr>
        <w:t>Resorpcija</w:t>
      </w:r>
    </w:p>
    <w:p w14:paraId="16E8E128" w14:textId="77777777" w:rsidR="00C367F8" w:rsidRPr="00991AB2" w:rsidRDefault="00C367F8" w:rsidP="00C367F8">
      <w:pPr>
        <w:tabs>
          <w:tab w:val="clear" w:pos="567"/>
          <w:tab w:val="left" w:pos="540"/>
          <w:tab w:val="left" w:pos="569"/>
        </w:tabs>
        <w:rPr>
          <w:bCs/>
          <w:szCs w:val="22"/>
        </w:rPr>
      </w:pPr>
      <w:r>
        <w:rPr>
          <w:szCs w:val="22"/>
        </w:rPr>
        <w:t>Maksimalna koncentracija rosuvastatina u plazmi postiže se za približno 5 sati nakon oralne primjene. Apsolutna bioraspoloživost iznosi približno 20%.</w:t>
      </w:r>
    </w:p>
    <w:p w14:paraId="7F1285A2" w14:textId="77777777" w:rsidR="00C367F8" w:rsidRPr="00786071" w:rsidRDefault="00C367F8" w:rsidP="00C367F8">
      <w:pPr>
        <w:tabs>
          <w:tab w:val="clear" w:pos="567"/>
          <w:tab w:val="left" w:pos="540"/>
          <w:tab w:val="left" w:pos="569"/>
        </w:tabs>
        <w:rPr>
          <w:b/>
          <w:bCs/>
          <w:szCs w:val="22"/>
        </w:rPr>
      </w:pPr>
    </w:p>
    <w:p w14:paraId="049D8A59" w14:textId="77777777" w:rsidR="00C367F8" w:rsidRPr="00991AB2" w:rsidRDefault="00C367F8" w:rsidP="00C367F8">
      <w:pPr>
        <w:tabs>
          <w:tab w:val="clear" w:pos="567"/>
          <w:tab w:val="left" w:pos="540"/>
          <w:tab w:val="left" w:pos="569"/>
        </w:tabs>
        <w:rPr>
          <w:i/>
          <w:szCs w:val="22"/>
          <w:u w:val="single"/>
        </w:rPr>
      </w:pPr>
      <w:r w:rsidRPr="00991AB2">
        <w:rPr>
          <w:i/>
          <w:szCs w:val="22"/>
          <w:u w:val="single"/>
        </w:rPr>
        <w:t>Distribucija</w:t>
      </w:r>
    </w:p>
    <w:p w14:paraId="2AD11A6D" w14:textId="77777777" w:rsidR="00C367F8" w:rsidRDefault="00C367F8" w:rsidP="00C367F8">
      <w:pPr>
        <w:tabs>
          <w:tab w:val="clear" w:pos="567"/>
          <w:tab w:val="left" w:pos="540"/>
          <w:tab w:val="left" w:pos="569"/>
        </w:tabs>
        <w:rPr>
          <w:szCs w:val="22"/>
        </w:rPr>
      </w:pPr>
      <w:r w:rsidRPr="00991AB2">
        <w:rPr>
          <w:szCs w:val="22"/>
        </w:rPr>
        <w:t>Rosuvastatin se brzo preuzima u jetri, koja je primarno mjesto sinteze holesterola i klirensa LDL-C. Volumen distribucije rosuvastatina je približno 134 L. Približno 90% rosuvastatina se vezuje za proteine plazme, uglavnom za albumin.</w:t>
      </w:r>
    </w:p>
    <w:p w14:paraId="32EF93E0" w14:textId="77777777" w:rsidR="00C367F8" w:rsidRDefault="00C367F8" w:rsidP="00C367F8">
      <w:pPr>
        <w:tabs>
          <w:tab w:val="clear" w:pos="567"/>
          <w:tab w:val="left" w:pos="540"/>
          <w:tab w:val="left" w:pos="569"/>
        </w:tabs>
        <w:rPr>
          <w:bCs/>
          <w:szCs w:val="22"/>
        </w:rPr>
      </w:pPr>
    </w:p>
    <w:p w14:paraId="2C08CEC5" w14:textId="77777777" w:rsidR="00C367F8" w:rsidRPr="000759C7" w:rsidRDefault="00C367F8" w:rsidP="00C367F8">
      <w:pPr>
        <w:pStyle w:val="Default"/>
        <w:rPr>
          <w:sz w:val="22"/>
          <w:szCs w:val="22"/>
          <w:u w:val="single"/>
        </w:rPr>
      </w:pPr>
      <w:r w:rsidRPr="000759C7">
        <w:rPr>
          <w:i/>
          <w:iCs/>
          <w:sz w:val="22"/>
          <w:szCs w:val="22"/>
          <w:u w:val="single"/>
        </w:rPr>
        <w:t xml:space="preserve">Biotransformacija </w:t>
      </w:r>
    </w:p>
    <w:p w14:paraId="68F11F99" w14:textId="77777777" w:rsidR="00C367F8" w:rsidRDefault="00C367F8" w:rsidP="00C367F8">
      <w:pPr>
        <w:tabs>
          <w:tab w:val="clear" w:pos="567"/>
          <w:tab w:val="left" w:pos="540"/>
          <w:tab w:val="left" w:pos="569"/>
        </w:tabs>
        <w:rPr>
          <w:szCs w:val="22"/>
        </w:rPr>
      </w:pPr>
      <w:r>
        <w:rPr>
          <w:szCs w:val="22"/>
        </w:rPr>
        <w:lastRenderedPageBreak/>
        <w:t xml:space="preserve">Rosuvastatin se djelimično metaboliše (otprilike 10%). Studije metabolizma </w:t>
      </w:r>
      <w:r>
        <w:rPr>
          <w:i/>
          <w:iCs/>
          <w:szCs w:val="22"/>
        </w:rPr>
        <w:t xml:space="preserve">in vitro </w:t>
      </w:r>
      <w:r>
        <w:rPr>
          <w:szCs w:val="22"/>
        </w:rPr>
        <w:t>na humanim hepatocitima ukazuju da je rosuvastatin slab supstrat za metabolizam pomoću citohroma P450. CYP2C9 je glavni izoenzim koji je uključen u metabolisanje rosuvastatina, dok su izoenzimi 2C19, 3A4 i 2D6 uključeni u manjoj mjeri. Glavni identifikovani metaboliti su N-desmetil i metaboliti laktona. N-desmetil je za približno 50% manje aktivan od rosuvastatina dok se lakton smatra klinički neaktivnim. Rosuvastatin je odgovoran za više od 90% aktivnosti cirkulišućeg inhibitora HMG-CoA reduktaze.</w:t>
      </w:r>
    </w:p>
    <w:p w14:paraId="05562E17" w14:textId="77777777" w:rsidR="00C367F8" w:rsidRDefault="00C367F8" w:rsidP="00C367F8">
      <w:pPr>
        <w:tabs>
          <w:tab w:val="clear" w:pos="567"/>
          <w:tab w:val="left" w:pos="540"/>
          <w:tab w:val="left" w:pos="569"/>
        </w:tabs>
        <w:rPr>
          <w:bCs/>
          <w:szCs w:val="22"/>
        </w:rPr>
      </w:pPr>
    </w:p>
    <w:p w14:paraId="5632E559" w14:textId="77777777" w:rsidR="00C367F8" w:rsidRPr="00557346" w:rsidRDefault="00C367F8" w:rsidP="00C367F8">
      <w:pPr>
        <w:tabs>
          <w:tab w:val="clear" w:pos="567"/>
          <w:tab w:val="left" w:pos="540"/>
          <w:tab w:val="left" w:pos="569"/>
        </w:tabs>
        <w:jc w:val="both"/>
        <w:rPr>
          <w:i/>
          <w:szCs w:val="22"/>
          <w:u w:val="single"/>
        </w:rPr>
      </w:pPr>
      <w:r w:rsidRPr="00557346">
        <w:rPr>
          <w:i/>
          <w:szCs w:val="22"/>
          <w:u w:val="single"/>
        </w:rPr>
        <w:t xml:space="preserve">Eliminacija </w:t>
      </w:r>
    </w:p>
    <w:p w14:paraId="79955BA0" w14:textId="77777777" w:rsidR="00C367F8" w:rsidRDefault="00C367F8" w:rsidP="00C367F8">
      <w:pPr>
        <w:tabs>
          <w:tab w:val="clear" w:pos="567"/>
          <w:tab w:val="left" w:pos="540"/>
          <w:tab w:val="left" w:pos="569"/>
        </w:tabs>
        <w:jc w:val="both"/>
        <w:rPr>
          <w:szCs w:val="22"/>
        </w:rPr>
      </w:pPr>
      <w:r w:rsidRPr="00557346">
        <w:rPr>
          <w:szCs w:val="22"/>
        </w:rPr>
        <w:t>Približno 90% doze rosuvastatina se izlučuje u neizmijenjenom obliku u feces (sastavljeno od apsorbovane i neapsorbovane supstance), dok se ostatak izlučuje urinom u nepromijenjenom obliku. Približno 5% se izlučuje neizmijenjeno urinom. Poluvrijeme eliminacije u plazmi je približno 19 sati. Poluvrijeme eliminacije se ne povećava pri većim dozama. Geometrijska sredina klirensa u plazmi je približno 50 litara/sat (koeficijent varijacije 21,7%). Kao i sa drugim inhibitorima HMG-CoA reduktaze, hepatičko preuzimanje rosuvastatina uključuje membranski transporter OATP-C. Ovaj transporter je važan za hepatičku eliminaciju rosuvastatina.</w:t>
      </w:r>
    </w:p>
    <w:p w14:paraId="71E8F039" w14:textId="77777777" w:rsidR="00C367F8" w:rsidRDefault="00C367F8" w:rsidP="00C367F8">
      <w:pPr>
        <w:tabs>
          <w:tab w:val="clear" w:pos="567"/>
          <w:tab w:val="left" w:pos="540"/>
          <w:tab w:val="left" w:pos="569"/>
        </w:tabs>
        <w:jc w:val="both"/>
        <w:rPr>
          <w:bCs/>
          <w:szCs w:val="22"/>
        </w:rPr>
      </w:pPr>
    </w:p>
    <w:p w14:paraId="1054B884" w14:textId="77777777" w:rsidR="00C367F8" w:rsidRPr="008C7664" w:rsidRDefault="00C367F8" w:rsidP="00C367F8">
      <w:pPr>
        <w:pStyle w:val="Default"/>
        <w:rPr>
          <w:sz w:val="22"/>
          <w:szCs w:val="22"/>
          <w:u w:val="single"/>
        </w:rPr>
      </w:pPr>
      <w:r w:rsidRPr="008C7664">
        <w:rPr>
          <w:i/>
          <w:iCs/>
          <w:sz w:val="22"/>
          <w:szCs w:val="22"/>
          <w:u w:val="single"/>
        </w:rPr>
        <w:t xml:space="preserve">Linearnost/nelinearnost </w:t>
      </w:r>
    </w:p>
    <w:p w14:paraId="1D375288" w14:textId="77777777" w:rsidR="00C367F8" w:rsidRDefault="00C367F8" w:rsidP="00C367F8">
      <w:pPr>
        <w:tabs>
          <w:tab w:val="clear" w:pos="567"/>
          <w:tab w:val="left" w:pos="540"/>
          <w:tab w:val="left" w:pos="569"/>
        </w:tabs>
        <w:jc w:val="both"/>
        <w:rPr>
          <w:szCs w:val="22"/>
        </w:rPr>
      </w:pPr>
      <w:r>
        <w:rPr>
          <w:szCs w:val="22"/>
        </w:rPr>
        <w:t>Sistemska izloženost rosuvastatinu povećava se proporcionalno dozi. Nema promjena u farmakokinetičkim parametrima nakon višekratnog dnevnog doziranja.</w:t>
      </w:r>
    </w:p>
    <w:p w14:paraId="6E65F62F" w14:textId="77777777" w:rsidR="00C367F8" w:rsidRDefault="00C367F8" w:rsidP="00C367F8">
      <w:pPr>
        <w:tabs>
          <w:tab w:val="clear" w:pos="567"/>
          <w:tab w:val="left" w:pos="540"/>
          <w:tab w:val="left" w:pos="569"/>
        </w:tabs>
        <w:jc w:val="both"/>
        <w:rPr>
          <w:bCs/>
          <w:szCs w:val="22"/>
        </w:rPr>
      </w:pPr>
    </w:p>
    <w:p w14:paraId="58A24D8D" w14:textId="77777777" w:rsidR="00C367F8" w:rsidRDefault="00C367F8" w:rsidP="00C367F8">
      <w:pPr>
        <w:tabs>
          <w:tab w:val="clear" w:pos="567"/>
          <w:tab w:val="left" w:pos="540"/>
          <w:tab w:val="left" w:pos="569"/>
        </w:tabs>
        <w:jc w:val="both"/>
        <w:rPr>
          <w:b/>
          <w:bCs/>
          <w:szCs w:val="22"/>
        </w:rPr>
      </w:pPr>
      <w:r>
        <w:rPr>
          <w:b/>
          <w:bCs/>
          <w:szCs w:val="22"/>
        </w:rPr>
        <w:t>Posebne populacije:</w:t>
      </w:r>
    </w:p>
    <w:p w14:paraId="65860A63" w14:textId="77777777" w:rsidR="00C367F8" w:rsidRDefault="00C367F8" w:rsidP="00C367F8">
      <w:pPr>
        <w:tabs>
          <w:tab w:val="clear" w:pos="567"/>
          <w:tab w:val="left" w:pos="540"/>
          <w:tab w:val="left" w:pos="569"/>
        </w:tabs>
        <w:jc w:val="both"/>
        <w:rPr>
          <w:bCs/>
          <w:szCs w:val="22"/>
        </w:rPr>
      </w:pPr>
    </w:p>
    <w:p w14:paraId="624974F2" w14:textId="77777777" w:rsidR="00C367F8" w:rsidRDefault="002B7CE5" w:rsidP="00C367F8">
      <w:pPr>
        <w:tabs>
          <w:tab w:val="clear" w:pos="567"/>
          <w:tab w:val="left" w:pos="540"/>
          <w:tab w:val="left" w:pos="569"/>
        </w:tabs>
        <w:jc w:val="both"/>
        <w:rPr>
          <w:i/>
          <w:szCs w:val="22"/>
        </w:rPr>
      </w:pPr>
      <w:r>
        <w:rPr>
          <w:i/>
          <w:szCs w:val="22"/>
        </w:rPr>
        <w:t>Uzrast</w:t>
      </w:r>
      <w:r w:rsidRPr="002A6B5E">
        <w:rPr>
          <w:i/>
          <w:szCs w:val="22"/>
        </w:rPr>
        <w:t xml:space="preserve"> </w:t>
      </w:r>
      <w:r w:rsidR="00C367F8" w:rsidRPr="002A6B5E">
        <w:rPr>
          <w:i/>
          <w:szCs w:val="22"/>
        </w:rPr>
        <w:t>i pol</w:t>
      </w:r>
    </w:p>
    <w:p w14:paraId="371840DB" w14:textId="77777777" w:rsidR="00C367F8" w:rsidRDefault="00C367F8" w:rsidP="00C367F8">
      <w:pPr>
        <w:tabs>
          <w:tab w:val="clear" w:pos="567"/>
          <w:tab w:val="left" w:pos="540"/>
          <w:tab w:val="left" w:pos="569"/>
        </w:tabs>
        <w:jc w:val="both"/>
        <w:rPr>
          <w:bCs/>
          <w:i/>
          <w:szCs w:val="22"/>
        </w:rPr>
      </w:pPr>
    </w:p>
    <w:p w14:paraId="387CDC56" w14:textId="77777777" w:rsidR="00C367F8" w:rsidRDefault="00C367F8" w:rsidP="00C367F8">
      <w:pPr>
        <w:tabs>
          <w:tab w:val="clear" w:pos="567"/>
          <w:tab w:val="left" w:pos="540"/>
          <w:tab w:val="left" w:pos="569"/>
        </w:tabs>
        <w:jc w:val="both"/>
        <w:rPr>
          <w:szCs w:val="22"/>
        </w:rPr>
      </w:pPr>
      <w:r w:rsidRPr="00E1138A">
        <w:rPr>
          <w:szCs w:val="22"/>
        </w:rPr>
        <w:t xml:space="preserve">Nema klinički značajnog uticaja </w:t>
      </w:r>
      <w:r w:rsidR="002B7CE5">
        <w:rPr>
          <w:szCs w:val="22"/>
        </w:rPr>
        <w:t>uzrasta</w:t>
      </w:r>
      <w:r w:rsidR="002B7CE5" w:rsidRPr="00E1138A">
        <w:rPr>
          <w:szCs w:val="22"/>
        </w:rPr>
        <w:t xml:space="preserve"> </w:t>
      </w:r>
      <w:r w:rsidRPr="00E1138A">
        <w:rPr>
          <w:szCs w:val="22"/>
        </w:rPr>
        <w:t>ili pola na farmakokinetiku rosuvastatina kod odraslih. Farmakokinetika rosuvastatina kod d</w:t>
      </w:r>
      <w:r>
        <w:rPr>
          <w:szCs w:val="22"/>
        </w:rPr>
        <w:t>j</w:t>
      </w:r>
      <w:r w:rsidRPr="00E1138A">
        <w:rPr>
          <w:szCs w:val="22"/>
        </w:rPr>
        <w:t>ece i adolescenata sa heterozigotnom porodičnom hiperholesterolemijom bila je slična kao kod odraslih ispitanika (vid</w:t>
      </w:r>
      <w:r>
        <w:rPr>
          <w:szCs w:val="22"/>
        </w:rPr>
        <w:t>j</w:t>
      </w:r>
      <w:r w:rsidRPr="00E1138A">
        <w:rPr>
          <w:szCs w:val="22"/>
        </w:rPr>
        <w:t xml:space="preserve">eti </w:t>
      </w:r>
      <w:r>
        <w:rPr>
          <w:szCs w:val="22"/>
        </w:rPr>
        <w:t>dio</w:t>
      </w:r>
      <w:r w:rsidRPr="00E1138A">
        <w:rPr>
          <w:szCs w:val="22"/>
        </w:rPr>
        <w:t xml:space="preserve"> Pedijatrijska populacija ispod).</w:t>
      </w:r>
    </w:p>
    <w:p w14:paraId="291DB3B9" w14:textId="77777777" w:rsidR="00C367F8" w:rsidRDefault="00C367F8" w:rsidP="00C367F8">
      <w:pPr>
        <w:tabs>
          <w:tab w:val="clear" w:pos="567"/>
          <w:tab w:val="left" w:pos="540"/>
          <w:tab w:val="left" w:pos="569"/>
        </w:tabs>
        <w:jc w:val="both"/>
        <w:rPr>
          <w:szCs w:val="22"/>
        </w:rPr>
      </w:pPr>
    </w:p>
    <w:p w14:paraId="738489EF" w14:textId="77777777" w:rsidR="00C367F8" w:rsidRPr="007B04BE" w:rsidRDefault="00C367F8" w:rsidP="00C367F8">
      <w:pPr>
        <w:tabs>
          <w:tab w:val="clear" w:pos="567"/>
          <w:tab w:val="left" w:pos="540"/>
          <w:tab w:val="left" w:pos="569"/>
        </w:tabs>
        <w:jc w:val="both"/>
        <w:rPr>
          <w:i/>
          <w:szCs w:val="22"/>
        </w:rPr>
      </w:pPr>
      <w:r w:rsidRPr="007B04BE">
        <w:rPr>
          <w:i/>
          <w:szCs w:val="22"/>
        </w:rPr>
        <w:t xml:space="preserve">Rasa </w:t>
      </w:r>
    </w:p>
    <w:p w14:paraId="3EAC8BD6" w14:textId="77777777" w:rsidR="00C367F8" w:rsidRPr="007B04BE" w:rsidRDefault="00C367F8" w:rsidP="00C367F8">
      <w:pPr>
        <w:tabs>
          <w:tab w:val="clear" w:pos="567"/>
          <w:tab w:val="left" w:pos="540"/>
          <w:tab w:val="left" w:pos="569"/>
        </w:tabs>
        <w:jc w:val="both"/>
        <w:rPr>
          <w:szCs w:val="22"/>
        </w:rPr>
      </w:pPr>
      <w:r w:rsidRPr="007B04BE">
        <w:rPr>
          <w:szCs w:val="22"/>
        </w:rPr>
        <w:t>Farmakokinetička ispitivanja su pokazala dvostruko povećanje srednje vrijednosti PIK-a i C</w:t>
      </w:r>
      <w:r w:rsidRPr="007B04BE">
        <w:rPr>
          <w:szCs w:val="22"/>
          <w:vertAlign w:val="subscript"/>
        </w:rPr>
        <w:t>max</w:t>
      </w:r>
      <w:r w:rsidRPr="007B04BE">
        <w:rPr>
          <w:szCs w:val="22"/>
        </w:rPr>
        <w:t xml:space="preserve"> kod ispitanika azijskog porijekla (Japanci, Kinezi, Filipinci, Vijetnamci i Korejci) u poređenju sa ispitanicima bijele rase. Kod Azijata indijskog porijekla uočeno je povećanje od približno 1,3 puta povećanje srednjih vrijednosti PIK i C</w:t>
      </w:r>
      <w:r w:rsidRPr="007B04BE">
        <w:rPr>
          <w:szCs w:val="22"/>
          <w:vertAlign w:val="subscript"/>
        </w:rPr>
        <w:t>max</w:t>
      </w:r>
      <w:r w:rsidRPr="007B04BE">
        <w:rPr>
          <w:szCs w:val="22"/>
        </w:rPr>
        <w:t>. Rezultati populacione farmakokinetičke analize nisu pokazali klinički značajne razlike u farmakokinetici između pripadnika bijele i crne rase.</w:t>
      </w:r>
    </w:p>
    <w:p w14:paraId="7C7D6DE0" w14:textId="77777777" w:rsidR="00C367F8" w:rsidRDefault="00C367F8" w:rsidP="00C367F8">
      <w:pPr>
        <w:tabs>
          <w:tab w:val="clear" w:pos="567"/>
          <w:tab w:val="left" w:pos="540"/>
          <w:tab w:val="left" w:pos="569"/>
        </w:tabs>
        <w:jc w:val="both"/>
        <w:rPr>
          <w:bCs/>
          <w:i/>
          <w:szCs w:val="22"/>
        </w:rPr>
      </w:pPr>
    </w:p>
    <w:p w14:paraId="72ED221C" w14:textId="77777777" w:rsidR="00C367F8" w:rsidRPr="00110444" w:rsidRDefault="00C367F8" w:rsidP="00C367F8">
      <w:pPr>
        <w:tabs>
          <w:tab w:val="clear" w:pos="567"/>
          <w:tab w:val="left" w:pos="540"/>
          <w:tab w:val="left" w:pos="569"/>
        </w:tabs>
        <w:jc w:val="both"/>
        <w:rPr>
          <w:szCs w:val="22"/>
        </w:rPr>
      </w:pPr>
      <w:r w:rsidRPr="00110444">
        <w:rPr>
          <w:i/>
          <w:szCs w:val="22"/>
        </w:rPr>
        <w:t>Oštećenje funkcije bubrega</w:t>
      </w:r>
      <w:r w:rsidRPr="00110444">
        <w:rPr>
          <w:szCs w:val="22"/>
        </w:rPr>
        <w:t xml:space="preserve"> </w:t>
      </w:r>
    </w:p>
    <w:p w14:paraId="0E427034" w14:textId="77777777" w:rsidR="00C367F8" w:rsidRDefault="00C367F8" w:rsidP="00C367F8">
      <w:pPr>
        <w:tabs>
          <w:tab w:val="clear" w:pos="567"/>
          <w:tab w:val="left" w:pos="540"/>
          <w:tab w:val="left" w:pos="569"/>
        </w:tabs>
        <w:jc w:val="both"/>
        <w:rPr>
          <w:szCs w:val="22"/>
        </w:rPr>
      </w:pPr>
      <w:r w:rsidRPr="00110444">
        <w:rPr>
          <w:szCs w:val="22"/>
        </w:rPr>
        <w:t>U istraživanju sa ispitanicima koji su imali različite stepene oštećenja funkcije bubrega, blago do umjereno oboljenje bubrega nije imalo uticaja na koncentraciju rosuvastatina ili N-desmetil metabolita u plazmi. Kod ispitanika sa teškim oštećenjem funkcije bubrega (klirens kreatinina &lt;30 mL/min) koncentracija rosuvastatina u plazmi je bila tri puta veća, a koncentracija N-dezmetil metabolita devet puta veća nego kod zdravih ispitanika. Koncentracije rosuvastatina u plazmi u stanju dinamičke ravnoteže kod ispitanika na hemodijalizi bile su 50% veće nego kod zdravih ispitanika.</w:t>
      </w:r>
      <w:r w:rsidRPr="00110444">
        <w:rPr>
          <w:szCs w:val="22"/>
        </w:rPr>
        <w:cr/>
      </w:r>
    </w:p>
    <w:p w14:paraId="25D74140" w14:textId="77777777" w:rsidR="00C367F8" w:rsidRPr="00CF7A2F" w:rsidRDefault="00C367F8" w:rsidP="00C367F8">
      <w:pPr>
        <w:tabs>
          <w:tab w:val="clear" w:pos="567"/>
          <w:tab w:val="left" w:pos="540"/>
          <w:tab w:val="left" w:pos="569"/>
        </w:tabs>
        <w:jc w:val="both"/>
        <w:rPr>
          <w:i/>
          <w:szCs w:val="22"/>
        </w:rPr>
      </w:pPr>
      <w:r w:rsidRPr="00CF7A2F">
        <w:rPr>
          <w:i/>
          <w:szCs w:val="22"/>
        </w:rPr>
        <w:t xml:space="preserve">Oštećenje funkcije jetre </w:t>
      </w:r>
    </w:p>
    <w:p w14:paraId="4DEEFD3B" w14:textId="77777777" w:rsidR="00C367F8" w:rsidRDefault="00C367F8" w:rsidP="00C367F8">
      <w:pPr>
        <w:tabs>
          <w:tab w:val="clear" w:pos="567"/>
          <w:tab w:val="left" w:pos="540"/>
          <w:tab w:val="left" w:pos="569"/>
        </w:tabs>
        <w:jc w:val="both"/>
        <w:rPr>
          <w:szCs w:val="22"/>
        </w:rPr>
      </w:pPr>
      <w:r w:rsidRPr="00CF7A2F">
        <w:rPr>
          <w:szCs w:val="22"/>
        </w:rPr>
        <w:t>U istraživanju sa ispitanicima koji su imali različite stepene oštećenja funkcije jetre nije bilo dokaza o povećanoj izloženosti rosuvastatinu kod ispitanika kod kojih je Child-P</w:t>
      </w:r>
      <w:r>
        <w:rPr>
          <w:szCs w:val="22"/>
        </w:rPr>
        <w:t>o</w:t>
      </w:r>
      <w:r w:rsidRPr="00CF7A2F">
        <w:rPr>
          <w:szCs w:val="22"/>
        </w:rPr>
        <w:t>ugh skor 7 ili manji. Međutim, kod dva ispitanika koji su imali Child-P</w:t>
      </w:r>
      <w:r>
        <w:rPr>
          <w:szCs w:val="22"/>
        </w:rPr>
        <w:t>o</w:t>
      </w:r>
      <w:r w:rsidRPr="00CF7A2F">
        <w:rPr>
          <w:szCs w:val="22"/>
        </w:rPr>
        <w:t>ugh skor 8, odnosno 9, uočeno je najmanje dvostruko povećanje sistemske izloženosti u poređenju sa ispitanicima koji su imali manji Child-P</w:t>
      </w:r>
      <w:r>
        <w:rPr>
          <w:szCs w:val="22"/>
        </w:rPr>
        <w:t>o</w:t>
      </w:r>
      <w:r w:rsidRPr="00CF7A2F">
        <w:rPr>
          <w:szCs w:val="22"/>
        </w:rPr>
        <w:t>ugh skor. Nema iskustva sa ispitanicima koji imaju Child-P</w:t>
      </w:r>
      <w:r>
        <w:rPr>
          <w:szCs w:val="22"/>
        </w:rPr>
        <w:t>o</w:t>
      </w:r>
      <w:r w:rsidRPr="00CF7A2F">
        <w:rPr>
          <w:szCs w:val="22"/>
        </w:rPr>
        <w:t>ugh skor veći od 9.</w:t>
      </w:r>
    </w:p>
    <w:p w14:paraId="64759720" w14:textId="77777777" w:rsidR="00C367F8" w:rsidRDefault="00C367F8" w:rsidP="00C367F8">
      <w:pPr>
        <w:tabs>
          <w:tab w:val="clear" w:pos="567"/>
          <w:tab w:val="left" w:pos="540"/>
          <w:tab w:val="left" w:pos="569"/>
        </w:tabs>
        <w:jc w:val="both"/>
        <w:rPr>
          <w:szCs w:val="22"/>
        </w:rPr>
      </w:pPr>
    </w:p>
    <w:p w14:paraId="0E338689" w14:textId="77777777" w:rsidR="00C367F8" w:rsidRDefault="00C367F8" w:rsidP="00C367F8">
      <w:pPr>
        <w:pStyle w:val="Default"/>
        <w:rPr>
          <w:sz w:val="22"/>
          <w:szCs w:val="22"/>
        </w:rPr>
      </w:pPr>
      <w:r>
        <w:rPr>
          <w:i/>
          <w:iCs/>
          <w:sz w:val="22"/>
          <w:szCs w:val="22"/>
        </w:rPr>
        <w:t xml:space="preserve">Genski polimorfizam </w:t>
      </w:r>
    </w:p>
    <w:p w14:paraId="69BCFC6D" w14:textId="77777777" w:rsidR="00C367F8" w:rsidRDefault="00C367F8" w:rsidP="00C367F8">
      <w:pPr>
        <w:tabs>
          <w:tab w:val="clear" w:pos="567"/>
          <w:tab w:val="left" w:pos="540"/>
          <w:tab w:val="left" w:pos="569"/>
        </w:tabs>
        <w:jc w:val="both"/>
        <w:rPr>
          <w:szCs w:val="22"/>
        </w:rPr>
      </w:pPr>
      <w:r>
        <w:rPr>
          <w:szCs w:val="22"/>
        </w:rPr>
        <w:t xml:space="preserve">Dispozicija inhibitora HMG-CoA reduktaze, uključujući rosuvastatin, uključuje transportne proteine OATP1B1 i BCRP. Kod pacijenata koji imaju polimorfizam gena SLCO1B1 (OATP1B1) i/ili ABCG2 </w:t>
      </w:r>
      <w:r>
        <w:rPr>
          <w:szCs w:val="22"/>
        </w:rPr>
        <w:lastRenderedPageBreak/>
        <w:t>(BCRP) postoji rizik od povećane izloženosti rosuvastatinu. Pojedinačni polimorfizmi gena SLCO1B1 c.521CC i ABCG2 c.421AA povezani su s većom izloženošću rosuvastatinu (AUC) u poređenju sa genotipovima SLCO1B1 c.521TT ili ABCG2 c.421CC. Ova specifična genotipizacija nije uspostavljena u kliničkoj praksi, ali za pacijente za koje se zna da imaju ove tipove polimorfizma preporučuje se niža dnevna doza rosuvastatina.</w:t>
      </w:r>
    </w:p>
    <w:p w14:paraId="122CC674" w14:textId="77777777" w:rsidR="00C367F8" w:rsidRDefault="00C367F8" w:rsidP="00C367F8">
      <w:pPr>
        <w:tabs>
          <w:tab w:val="clear" w:pos="567"/>
          <w:tab w:val="left" w:pos="540"/>
          <w:tab w:val="left" w:pos="569"/>
        </w:tabs>
        <w:jc w:val="both"/>
        <w:rPr>
          <w:szCs w:val="22"/>
        </w:rPr>
      </w:pPr>
    </w:p>
    <w:p w14:paraId="5AC61659" w14:textId="77777777" w:rsidR="00C367F8" w:rsidRDefault="00C367F8" w:rsidP="00C367F8">
      <w:pPr>
        <w:pStyle w:val="Default"/>
        <w:rPr>
          <w:sz w:val="22"/>
          <w:szCs w:val="22"/>
        </w:rPr>
      </w:pPr>
      <w:r>
        <w:rPr>
          <w:i/>
          <w:iCs/>
          <w:sz w:val="22"/>
          <w:szCs w:val="22"/>
        </w:rPr>
        <w:t xml:space="preserve">Pedijatrijska populacija </w:t>
      </w:r>
    </w:p>
    <w:p w14:paraId="7C5435BC" w14:textId="77777777" w:rsidR="00C367F8" w:rsidRDefault="00C367F8" w:rsidP="00C367F8">
      <w:pPr>
        <w:tabs>
          <w:tab w:val="clear" w:pos="567"/>
          <w:tab w:val="left" w:pos="540"/>
          <w:tab w:val="left" w:pos="569"/>
        </w:tabs>
        <w:jc w:val="both"/>
        <w:rPr>
          <w:szCs w:val="22"/>
        </w:rPr>
      </w:pPr>
      <w:r>
        <w:rPr>
          <w:szCs w:val="22"/>
        </w:rPr>
        <w:t>Dva farmakokinetička ispitivanja rosuvastatina (primijenjenog u obliku tableta) kod pedijatrijskih pacijenata sa heterozigotnom porodičnom hiperholesterolemijom uzrasta od 10 do 17 ili 6 do 17 godina (ukupno 214 pacijenata) pokazala su da je izloženost lijeku kod pedijatrijskih pacijenata uporediva ili manja od izloženosti kod odraslih ispitanika. Izloženost rosuvastatinu bila je predvidljiva u odnosu na dozu i vrijeme u periodu od 2 godine.</w:t>
      </w:r>
    </w:p>
    <w:p w14:paraId="459E7298" w14:textId="77777777" w:rsidR="00C367F8" w:rsidRDefault="00C367F8" w:rsidP="00C367F8">
      <w:pPr>
        <w:tabs>
          <w:tab w:val="clear" w:pos="567"/>
          <w:tab w:val="left" w:pos="540"/>
          <w:tab w:val="left" w:pos="569"/>
        </w:tabs>
        <w:jc w:val="both"/>
        <w:rPr>
          <w:szCs w:val="22"/>
        </w:rPr>
      </w:pPr>
    </w:p>
    <w:p w14:paraId="6A9F1073" w14:textId="77777777" w:rsidR="00C367F8" w:rsidRDefault="00C367F8" w:rsidP="00C367F8">
      <w:pPr>
        <w:tabs>
          <w:tab w:val="clear" w:pos="567"/>
          <w:tab w:val="left" w:pos="540"/>
          <w:tab w:val="left" w:pos="569"/>
        </w:tabs>
        <w:jc w:val="both"/>
        <w:rPr>
          <w:szCs w:val="22"/>
          <w:u w:val="single"/>
        </w:rPr>
      </w:pPr>
      <w:r w:rsidRPr="00ED1E46">
        <w:rPr>
          <w:szCs w:val="22"/>
          <w:u w:val="single"/>
        </w:rPr>
        <w:t>Ezetimib</w:t>
      </w:r>
    </w:p>
    <w:p w14:paraId="734706CF" w14:textId="77777777" w:rsidR="00C367F8" w:rsidRDefault="00C367F8" w:rsidP="00C367F8">
      <w:pPr>
        <w:tabs>
          <w:tab w:val="clear" w:pos="567"/>
          <w:tab w:val="left" w:pos="540"/>
          <w:tab w:val="left" w:pos="569"/>
        </w:tabs>
        <w:jc w:val="both"/>
        <w:rPr>
          <w:szCs w:val="22"/>
          <w:u w:val="single"/>
        </w:rPr>
      </w:pPr>
    </w:p>
    <w:p w14:paraId="06DD16C8" w14:textId="77777777" w:rsidR="00C367F8" w:rsidRPr="0084614A" w:rsidRDefault="00C367F8" w:rsidP="00C367F8">
      <w:pPr>
        <w:tabs>
          <w:tab w:val="clear" w:pos="567"/>
          <w:tab w:val="left" w:pos="540"/>
          <w:tab w:val="left" w:pos="569"/>
        </w:tabs>
        <w:rPr>
          <w:i/>
          <w:szCs w:val="22"/>
          <w:u w:val="single"/>
        </w:rPr>
      </w:pPr>
      <w:r w:rsidRPr="0084614A">
        <w:rPr>
          <w:i/>
          <w:szCs w:val="22"/>
          <w:u w:val="single"/>
        </w:rPr>
        <w:t>Resorpcija</w:t>
      </w:r>
    </w:p>
    <w:p w14:paraId="6ABFB991" w14:textId="77777777" w:rsidR="00C367F8" w:rsidRDefault="00C367F8" w:rsidP="00C367F8">
      <w:pPr>
        <w:tabs>
          <w:tab w:val="clear" w:pos="567"/>
          <w:tab w:val="left" w:pos="540"/>
          <w:tab w:val="left" w:pos="569"/>
        </w:tabs>
        <w:jc w:val="both"/>
        <w:rPr>
          <w:szCs w:val="22"/>
        </w:rPr>
      </w:pPr>
      <w:r w:rsidRPr="0084614A">
        <w:rPr>
          <w:szCs w:val="22"/>
        </w:rPr>
        <w:t>Nakon oralne primjene, ezetimib se brzo resorbuje i u velikoj mjeri se konjuguje u farmakološki aktivan fenolni glukuronid (ezetimib-glukuronid). Srednja vrijednost maksimalne koncentracije u plazmi (C</w:t>
      </w:r>
      <w:r w:rsidRPr="0084614A">
        <w:rPr>
          <w:szCs w:val="22"/>
          <w:vertAlign w:val="subscript"/>
        </w:rPr>
        <w:t>max</w:t>
      </w:r>
      <w:r w:rsidRPr="0084614A">
        <w:rPr>
          <w:szCs w:val="22"/>
        </w:rPr>
        <w:t xml:space="preserve">) postiže se za 1-2 sata za ezetimib-glukuronid, a </w:t>
      </w:r>
      <w:r w:rsidR="002B7CE5">
        <w:rPr>
          <w:szCs w:val="22"/>
        </w:rPr>
        <w:t xml:space="preserve">za </w:t>
      </w:r>
      <w:r w:rsidRPr="0084614A">
        <w:rPr>
          <w:szCs w:val="22"/>
        </w:rPr>
        <w:t>ezetimib za 4-12 sati. Nije moguće odrediti apsolutnu bioraspoloživost ezetimiba jer ovo jedinjenje gotovo uopšte nije rastvorljivo u vodenim rastvorima koji su pogodni za injekcije.</w:t>
      </w:r>
    </w:p>
    <w:p w14:paraId="583ED162" w14:textId="77777777" w:rsidR="00C367F8" w:rsidRDefault="00C367F8" w:rsidP="00C367F8">
      <w:pPr>
        <w:tabs>
          <w:tab w:val="clear" w:pos="567"/>
          <w:tab w:val="left" w:pos="540"/>
          <w:tab w:val="left" w:pos="569"/>
        </w:tabs>
        <w:jc w:val="both"/>
        <w:rPr>
          <w:szCs w:val="22"/>
          <w:u w:val="single"/>
        </w:rPr>
      </w:pPr>
    </w:p>
    <w:p w14:paraId="7CF3710B" w14:textId="77777777" w:rsidR="00C367F8" w:rsidRDefault="00C367F8" w:rsidP="00C367F8">
      <w:pPr>
        <w:tabs>
          <w:tab w:val="clear" w:pos="567"/>
          <w:tab w:val="left" w:pos="540"/>
          <w:tab w:val="left" w:pos="569"/>
        </w:tabs>
        <w:jc w:val="both"/>
        <w:rPr>
          <w:szCs w:val="22"/>
        </w:rPr>
      </w:pPr>
      <w:r w:rsidRPr="004D24F9">
        <w:rPr>
          <w:szCs w:val="22"/>
        </w:rPr>
        <w:t>Istovremena primjena sa hranom (hrana bogata mastima, ili nemasni obroci) nije uticala na oralnu bioraspoloživost ezetimiba, kad se primjenjuje kao ezetimib 10 mg tablete. Ezetimib može da se uzima sa hranom, ili bez nje.</w:t>
      </w:r>
    </w:p>
    <w:p w14:paraId="2244A809" w14:textId="77777777" w:rsidR="00C367F8" w:rsidRDefault="00C367F8" w:rsidP="00C367F8">
      <w:pPr>
        <w:tabs>
          <w:tab w:val="clear" w:pos="567"/>
          <w:tab w:val="left" w:pos="540"/>
          <w:tab w:val="left" w:pos="569"/>
        </w:tabs>
        <w:jc w:val="both"/>
        <w:rPr>
          <w:szCs w:val="22"/>
          <w:u w:val="single"/>
        </w:rPr>
      </w:pPr>
    </w:p>
    <w:p w14:paraId="3EEF309E" w14:textId="77777777" w:rsidR="00C367F8" w:rsidRPr="008D75EC" w:rsidRDefault="00C367F8" w:rsidP="00C367F8">
      <w:pPr>
        <w:tabs>
          <w:tab w:val="clear" w:pos="567"/>
          <w:tab w:val="left" w:pos="540"/>
          <w:tab w:val="left" w:pos="569"/>
        </w:tabs>
        <w:jc w:val="both"/>
        <w:rPr>
          <w:i/>
          <w:szCs w:val="22"/>
          <w:u w:val="single"/>
        </w:rPr>
      </w:pPr>
      <w:r w:rsidRPr="008D75EC">
        <w:rPr>
          <w:i/>
          <w:szCs w:val="22"/>
          <w:u w:val="single"/>
        </w:rPr>
        <w:t>Distribucija</w:t>
      </w:r>
    </w:p>
    <w:p w14:paraId="792904F2" w14:textId="77777777" w:rsidR="00C367F8" w:rsidRDefault="00C367F8" w:rsidP="00C367F8">
      <w:pPr>
        <w:tabs>
          <w:tab w:val="clear" w:pos="567"/>
          <w:tab w:val="left" w:pos="540"/>
          <w:tab w:val="left" w:pos="569"/>
        </w:tabs>
        <w:jc w:val="both"/>
      </w:pPr>
      <w:r w:rsidRPr="008E4151">
        <w:rPr>
          <w:szCs w:val="22"/>
        </w:rPr>
        <w:t>Ezetimib i ezetimib-glukuronid se vezuju 99,7% i 88% do 92% za humane proteine u plazmi</w:t>
      </w:r>
      <w:r>
        <w:t>.</w:t>
      </w:r>
    </w:p>
    <w:p w14:paraId="35AFB92B" w14:textId="77777777" w:rsidR="00C367F8" w:rsidRDefault="00C367F8" w:rsidP="00C367F8">
      <w:pPr>
        <w:tabs>
          <w:tab w:val="clear" w:pos="567"/>
          <w:tab w:val="left" w:pos="540"/>
          <w:tab w:val="left" w:pos="569"/>
        </w:tabs>
        <w:jc w:val="both"/>
        <w:rPr>
          <w:szCs w:val="22"/>
          <w:u w:val="single"/>
        </w:rPr>
      </w:pPr>
    </w:p>
    <w:p w14:paraId="315F66D6" w14:textId="77777777" w:rsidR="00C367F8" w:rsidRPr="0006300F" w:rsidRDefault="00C367F8" w:rsidP="00C367F8">
      <w:pPr>
        <w:tabs>
          <w:tab w:val="clear" w:pos="567"/>
          <w:tab w:val="left" w:pos="540"/>
          <w:tab w:val="left" w:pos="569"/>
        </w:tabs>
        <w:jc w:val="both"/>
        <w:rPr>
          <w:szCs w:val="22"/>
        </w:rPr>
      </w:pPr>
      <w:r w:rsidRPr="0006300F">
        <w:rPr>
          <w:i/>
          <w:szCs w:val="22"/>
          <w:u w:val="single"/>
        </w:rPr>
        <w:t>Biotransformacija</w:t>
      </w:r>
      <w:r w:rsidRPr="0006300F">
        <w:rPr>
          <w:szCs w:val="22"/>
        </w:rPr>
        <w:t xml:space="preserve"> </w:t>
      </w:r>
    </w:p>
    <w:p w14:paraId="33F8ECC5" w14:textId="77777777" w:rsidR="00C367F8" w:rsidRDefault="00C367F8" w:rsidP="00C367F8">
      <w:pPr>
        <w:tabs>
          <w:tab w:val="clear" w:pos="567"/>
          <w:tab w:val="left" w:pos="540"/>
          <w:tab w:val="left" w:pos="569"/>
        </w:tabs>
        <w:jc w:val="both"/>
        <w:rPr>
          <w:szCs w:val="22"/>
        </w:rPr>
      </w:pPr>
      <w:r w:rsidRPr="0006300F">
        <w:rPr>
          <w:szCs w:val="22"/>
        </w:rPr>
        <w:t>Ezetimib se primarno metaboliše u tankom crijevu i u jetri glukuronidnom konjugacijom (reakcija faze II), a zatim se izlučuje putem žuči. Minimalni oksidativni metabolizam (reakcija faze I) je uočen kod svih ispitivanih vrsta. Ezetimib i ezetimib-glukuronid su najvažniji derivati lijeka uočeni u plazmi, čineći ezetimib približno 10-20%, a ezetimib-glukuronid 80-90% ukupnog lijeka u plazmi. I ezetimib, i ezetimib-glukuronid, se sporo eliminišu iz plazme pri čemu je uočena značajna enterohepatična recirkulacija. Poluvrijeme eliminacije ezetimiba i ezetimib-glukuronida iznosi oko 22 sata.</w:t>
      </w:r>
    </w:p>
    <w:p w14:paraId="6FA010EA" w14:textId="77777777" w:rsidR="00C367F8" w:rsidRDefault="00C367F8" w:rsidP="00C367F8">
      <w:pPr>
        <w:tabs>
          <w:tab w:val="clear" w:pos="567"/>
          <w:tab w:val="left" w:pos="540"/>
          <w:tab w:val="left" w:pos="569"/>
        </w:tabs>
        <w:jc w:val="both"/>
        <w:rPr>
          <w:szCs w:val="22"/>
          <w:u w:val="single"/>
        </w:rPr>
      </w:pPr>
    </w:p>
    <w:p w14:paraId="6AB5C88E" w14:textId="77777777" w:rsidR="00C367F8" w:rsidRPr="00F53BA0" w:rsidRDefault="00C367F8" w:rsidP="00C367F8">
      <w:pPr>
        <w:tabs>
          <w:tab w:val="clear" w:pos="567"/>
          <w:tab w:val="left" w:pos="540"/>
          <w:tab w:val="left" w:pos="569"/>
        </w:tabs>
        <w:jc w:val="both"/>
        <w:rPr>
          <w:i/>
          <w:szCs w:val="22"/>
          <w:u w:val="single"/>
        </w:rPr>
      </w:pPr>
      <w:r w:rsidRPr="00F53BA0">
        <w:rPr>
          <w:i/>
          <w:szCs w:val="22"/>
          <w:u w:val="single"/>
        </w:rPr>
        <w:t>Eliminacija</w:t>
      </w:r>
    </w:p>
    <w:p w14:paraId="5ADBF0FC" w14:textId="77777777" w:rsidR="00C367F8" w:rsidRDefault="00C367F8" w:rsidP="00C367F8">
      <w:pPr>
        <w:tabs>
          <w:tab w:val="clear" w:pos="567"/>
          <w:tab w:val="left" w:pos="540"/>
          <w:tab w:val="left" w:pos="569"/>
        </w:tabs>
        <w:jc w:val="both"/>
        <w:rPr>
          <w:szCs w:val="22"/>
        </w:rPr>
      </w:pPr>
      <w:r w:rsidRPr="00F53BA0">
        <w:rPr>
          <w:szCs w:val="22"/>
        </w:rPr>
        <w:t xml:space="preserve">Nakon oralne primjene ezetimiba označenog radioizotopom </w:t>
      </w:r>
      <w:r w:rsidRPr="00F53BA0">
        <w:rPr>
          <w:szCs w:val="22"/>
          <w:vertAlign w:val="superscript"/>
        </w:rPr>
        <w:t>14</w:t>
      </w:r>
      <w:r w:rsidRPr="00F53BA0">
        <w:rPr>
          <w:szCs w:val="22"/>
        </w:rPr>
        <w:t>C ezetimiba (20 mg) kod ljudi, ukupni ezetimib činio je oko 93% ukupne radioaktivnosti u plazmi. Tokom 10-dnevnog perioda</w:t>
      </w:r>
      <w:r w:rsidR="005E4D18">
        <w:rPr>
          <w:szCs w:val="22"/>
        </w:rPr>
        <w:t xml:space="preserve"> sakupljanja</w:t>
      </w:r>
      <w:r w:rsidRPr="00F53BA0">
        <w:rPr>
          <w:szCs w:val="22"/>
        </w:rPr>
        <w:t>, oko 78% unijete radioaktivn</w:t>
      </w:r>
      <w:r w:rsidR="005E4D18">
        <w:rPr>
          <w:szCs w:val="22"/>
        </w:rPr>
        <w:t>e doze</w:t>
      </w:r>
      <w:r w:rsidRPr="00F53BA0">
        <w:rPr>
          <w:szCs w:val="22"/>
        </w:rPr>
        <w:t xml:space="preserve"> izmjereno je u fecesu, a oko 11% u urinu. Nakon 48 sati nije bilo mjerljivih vrijednosti radioaktivnosti u plazmi.</w:t>
      </w:r>
    </w:p>
    <w:p w14:paraId="42B8E7FC" w14:textId="77777777" w:rsidR="00C367F8" w:rsidRDefault="00C367F8" w:rsidP="00C367F8">
      <w:pPr>
        <w:tabs>
          <w:tab w:val="clear" w:pos="567"/>
          <w:tab w:val="left" w:pos="540"/>
          <w:tab w:val="left" w:pos="569"/>
        </w:tabs>
        <w:jc w:val="both"/>
        <w:rPr>
          <w:szCs w:val="22"/>
          <w:u w:val="single"/>
        </w:rPr>
      </w:pPr>
    </w:p>
    <w:p w14:paraId="4AA892BA" w14:textId="77777777" w:rsidR="00C367F8" w:rsidRDefault="00C367F8" w:rsidP="00C367F8">
      <w:pPr>
        <w:tabs>
          <w:tab w:val="clear" w:pos="567"/>
          <w:tab w:val="left" w:pos="540"/>
          <w:tab w:val="left" w:pos="569"/>
        </w:tabs>
        <w:jc w:val="both"/>
        <w:rPr>
          <w:b/>
          <w:szCs w:val="22"/>
        </w:rPr>
      </w:pPr>
      <w:r w:rsidRPr="004B5918">
        <w:rPr>
          <w:b/>
          <w:szCs w:val="22"/>
        </w:rPr>
        <w:t>Posebne grupe pacijenata</w:t>
      </w:r>
    </w:p>
    <w:p w14:paraId="4011BDCA" w14:textId="77777777" w:rsidR="00C367F8" w:rsidRDefault="00C367F8" w:rsidP="00C367F8">
      <w:pPr>
        <w:tabs>
          <w:tab w:val="clear" w:pos="567"/>
          <w:tab w:val="left" w:pos="540"/>
          <w:tab w:val="left" w:pos="569"/>
        </w:tabs>
        <w:jc w:val="both"/>
        <w:rPr>
          <w:b/>
          <w:szCs w:val="22"/>
          <w:u w:val="single"/>
        </w:rPr>
      </w:pPr>
    </w:p>
    <w:p w14:paraId="03AACE85" w14:textId="77777777" w:rsidR="00C367F8" w:rsidRPr="00E63921" w:rsidRDefault="00C367F8" w:rsidP="00C367F8">
      <w:pPr>
        <w:tabs>
          <w:tab w:val="clear" w:pos="567"/>
          <w:tab w:val="left" w:pos="540"/>
          <w:tab w:val="left" w:pos="569"/>
        </w:tabs>
        <w:jc w:val="both"/>
        <w:rPr>
          <w:i/>
          <w:szCs w:val="22"/>
        </w:rPr>
      </w:pPr>
      <w:r w:rsidRPr="00E63921">
        <w:rPr>
          <w:i/>
          <w:szCs w:val="22"/>
        </w:rPr>
        <w:t xml:space="preserve">Pedijatrijska populacija </w:t>
      </w:r>
    </w:p>
    <w:p w14:paraId="4AC17984" w14:textId="77777777" w:rsidR="00C367F8" w:rsidRDefault="00C367F8" w:rsidP="00C367F8">
      <w:pPr>
        <w:tabs>
          <w:tab w:val="clear" w:pos="567"/>
          <w:tab w:val="left" w:pos="540"/>
          <w:tab w:val="left" w:pos="569"/>
        </w:tabs>
        <w:jc w:val="both"/>
        <w:rPr>
          <w:szCs w:val="22"/>
        </w:rPr>
      </w:pPr>
      <w:r w:rsidRPr="00E63921">
        <w:rPr>
          <w:szCs w:val="22"/>
        </w:rPr>
        <w:t>Farmakokinetika ezetimiba je slična kod djece uzrasta ≥ 6 godina i kod odraslih osoba. Nema podataka o farmakokinetici lijeka kod djece mlađe od 6 godina. Klinička iskustva sa djecom i adolescentima uključuju pacijente sa familijarnom homozigotnom hiperholesterolemijom, familijarnom heterozigotnom hiperholesterolemijom, ili sitosterolemijom.</w:t>
      </w:r>
    </w:p>
    <w:p w14:paraId="7B5F9571" w14:textId="77777777" w:rsidR="00C367F8" w:rsidRDefault="00C367F8" w:rsidP="00C367F8">
      <w:pPr>
        <w:tabs>
          <w:tab w:val="clear" w:pos="567"/>
          <w:tab w:val="left" w:pos="540"/>
          <w:tab w:val="left" w:pos="569"/>
        </w:tabs>
        <w:jc w:val="both"/>
        <w:rPr>
          <w:b/>
          <w:szCs w:val="22"/>
          <w:u w:val="single"/>
        </w:rPr>
      </w:pPr>
    </w:p>
    <w:p w14:paraId="1CF4FDC0" w14:textId="77777777" w:rsidR="00C367F8" w:rsidRPr="001D35DB" w:rsidRDefault="00C367F8" w:rsidP="00C367F8">
      <w:pPr>
        <w:tabs>
          <w:tab w:val="clear" w:pos="567"/>
          <w:tab w:val="left" w:pos="540"/>
          <w:tab w:val="left" w:pos="569"/>
        </w:tabs>
        <w:jc w:val="both"/>
        <w:rPr>
          <w:i/>
          <w:szCs w:val="22"/>
        </w:rPr>
      </w:pPr>
      <w:r w:rsidRPr="001D35DB">
        <w:rPr>
          <w:i/>
          <w:szCs w:val="22"/>
        </w:rPr>
        <w:t>Stariji pacijenti</w:t>
      </w:r>
    </w:p>
    <w:p w14:paraId="7DB75F3A" w14:textId="77777777" w:rsidR="00C367F8" w:rsidRDefault="00C367F8" w:rsidP="00C367F8">
      <w:pPr>
        <w:tabs>
          <w:tab w:val="clear" w:pos="567"/>
          <w:tab w:val="left" w:pos="540"/>
          <w:tab w:val="left" w:pos="569"/>
        </w:tabs>
        <w:jc w:val="both"/>
        <w:rPr>
          <w:szCs w:val="22"/>
        </w:rPr>
      </w:pPr>
      <w:r w:rsidRPr="001D35DB">
        <w:rPr>
          <w:szCs w:val="22"/>
        </w:rPr>
        <w:t xml:space="preserve">Koncentracija ukupnog ezetimiba u plazmi je oko 2 puta veća kod starijih pacijenata (≥ 65 godina) nego kod mlađih ispitanika (18 do 45 godina starosti). Smanjene koncentracije LDL-C i profil bezbjednosti </w:t>
      </w:r>
      <w:r w:rsidRPr="001D35DB">
        <w:rPr>
          <w:szCs w:val="22"/>
        </w:rPr>
        <w:lastRenderedPageBreak/>
        <w:t>lijeka su slični kod starijih i mlađih pacijenata koji primaju ezetimib. Zato nije potrebno prilagođavati dozu lijeka kod starijih pacijenata.</w:t>
      </w:r>
    </w:p>
    <w:p w14:paraId="7ECD21E9" w14:textId="77777777" w:rsidR="00C367F8" w:rsidRDefault="00C367F8" w:rsidP="00C367F8">
      <w:pPr>
        <w:tabs>
          <w:tab w:val="clear" w:pos="567"/>
          <w:tab w:val="left" w:pos="540"/>
          <w:tab w:val="left" w:pos="569"/>
        </w:tabs>
        <w:jc w:val="both"/>
        <w:rPr>
          <w:b/>
          <w:szCs w:val="22"/>
          <w:u w:val="single"/>
        </w:rPr>
      </w:pPr>
    </w:p>
    <w:p w14:paraId="1E9AF2F0" w14:textId="77777777" w:rsidR="00C367F8" w:rsidRPr="000C24D1" w:rsidRDefault="00C367F8" w:rsidP="00C367F8">
      <w:pPr>
        <w:tabs>
          <w:tab w:val="clear" w:pos="567"/>
          <w:tab w:val="left" w:pos="540"/>
          <w:tab w:val="left" w:pos="569"/>
        </w:tabs>
        <w:jc w:val="both"/>
        <w:rPr>
          <w:i/>
          <w:szCs w:val="22"/>
        </w:rPr>
      </w:pPr>
      <w:r w:rsidRPr="000C24D1">
        <w:rPr>
          <w:i/>
          <w:szCs w:val="22"/>
        </w:rPr>
        <w:t>Oštećenje funkcije jetre</w:t>
      </w:r>
    </w:p>
    <w:p w14:paraId="3966AE70" w14:textId="77777777" w:rsidR="00C367F8" w:rsidRDefault="00C367F8" w:rsidP="00C367F8">
      <w:pPr>
        <w:tabs>
          <w:tab w:val="clear" w:pos="567"/>
          <w:tab w:val="left" w:pos="540"/>
          <w:tab w:val="left" w:pos="569"/>
        </w:tabs>
        <w:jc w:val="both"/>
        <w:rPr>
          <w:szCs w:val="22"/>
        </w:rPr>
      </w:pPr>
      <w:r w:rsidRPr="000C24D1">
        <w:rPr>
          <w:szCs w:val="22"/>
        </w:rPr>
        <w:t>Nakon primjene jednokratne doze od 10 mg ezetimiba, srednja vrijednost PIK za ukupni ezetimib povećala se oko 1,7 puta kod pacijenata sa blagim oštećenjem funkcije jetre (Child-Pugh skor 5 ili 6) u odnosu na zdrave ispitanike. Tokom 14-dnevnog ispitivanja sa višekratnim dozama ezetimiba (10 mg dnevno), kod pacijenata sa umjerenim oštećenjem funkcije jetre (Child-Pugh skor 7 do 9), srednja vrijednost PIK ukupnog ezetimiba bila je oko četiri puta veća prvog i četrnaestog dana u odnosu na zdrave ispitanike. Nije potrebno prilagođavati dozu kod pacijenata sa blagom oštećenjem funkcije jetre. Pošto nisu poznati efekti povećane izloženosti ezetimibu kod pacijenata sa umjerenim ili teškim oštećenjem funkcije jetre (Child-Pugh skor &gt;9), ne preporučuje se davanje ezetimiba ovim pacijentima (vidjeti dio 4.4).</w:t>
      </w:r>
    </w:p>
    <w:p w14:paraId="333EE2F1" w14:textId="77777777" w:rsidR="00C367F8" w:rsidRDefault="00C367F8" w:rsidP="00C367F8">
      <w:pPr>
        <w:tabs>
          <w:tab w:val="clear" w:pos="567"/>
          <w:tab w:val="left" w:pos="540"/>
          <w:tab w:val="left" w:pos="569"/>
        </w:tabs>
        <w:jc w:val="both"/>
        <w:rPr>
          <w:b/>
          <w:szCs w:val="22"/>
          <w:u w:val="single"/>
        </w:rPr>
      </w:pPr>
    </w:p>
    <w:p w14:paraId="0E9512BE" w14:textId="77777777" w:rsidR="00C367F8" w:rsidRPr="00883B5B" w:rsidRDefault="00C367F8" w:rsidP="00C367F8">
      <w:pPr>
        <w:tabs>
          <w:tab w:val="clear" w:pos="567"/>
          <w:tab w:val="left" w:pos="540"/>
          <w:tab w:val="left" w:pos="569"/>
        </w:tabs>
        <w:jc w:val="both"/>
        <w:rPr>
          <w:szCs w:val="22"/>
        </w:rPr>
      </w:pPr>
      <w:r w:rsidRPr="00883B5B">
        <w:rPr>
          <w:i/>
          <w:szCs w:val="22"/>
        </w:rPr>
        <w:t>Oštećenje funkcije bubrega</w:t>
      </w:r>
      <w:r w:rsidRPr="00883B5B">
        <w:rPr>
          <w:szCs w:val="22"/>
        </w:rPr>
        <w:t xml:space="preserve"> </w:t>
      </w:r>
    </w:p>
    <w:p w14:paraId="07FCB8AD" w14:textId="77777777" w:rsidR="00C367F8" w:rsidRPr="00883B5B" w:rsidRDefault="00C367F8" w:rsidP="00C367F8">
      <w:pPr>
        <w:tabs>
          <w:tab w:val="clear" w:pos="567"/>
          <w:tab w:val="left" w:pos="540"/>
          <w:tab w:val="left" w:pos="569"/>
        </w:tabs>
        <w:jc w:val="both"/>
        <w:rPr>
          <w:szCs w:val="22"/>
        </w:rPr>
      </w:pPr>
      <w:r w:rsidRPr="00883B5B">
        <w:rPr>
          <w:szCs w:val="22"/>
        </w:rPr>
        <w:t xml:space="preserve">Nakon primjene jednokratne doze od 10 mg ezetimiba kod pacijenata sa teškim oštećenjem funkcije bubrega (n=8, srednja vrijednost klirensa kreatinina ClCr ≤ 30 mL/min/1,73 m2 ) srednja vrijednost PIK ukupnog ezetimiba povećala se oko 1,5 puta u odnosu na zdrave ispitanike (n=9). Ovaj rezultat se ne smatra klinički značajnim. Nije potrebno prilagođavati dozu kod pacijenata sa insuficijencijom bubrega. </w:t>
      </w:r>
    </w:p>
    <w:p w14:paraId="05457A6D" w14:textId="77777777" w:rsidR="00C367F8" w:rsidRPr="00883B5B" w:rsidRDefault="00C367F8" w:rsidP="00C367F8">
      <w:pPr>
        <w:tabs>
          <w:tab w:val="clear" w:pos="567"/>
          <w:tab w:val="left" w:pos="540"/>
          <w:tab w:val="left" w:pos="569"/>
        </w:tabs>
        <w:jc w:val="both"/>
        <w:rPr>
          <w:szCs w:val="22"/>
        </w:rPr>
      </w:pPr>
    </w:p>
    <w:p w14:paraId="55765634" w14:textId="77777777" w:rsidR="00C367F8" w:rsidRPr="00883B5B" w:rsidRDefault="00C367F8" w:rsidP="00C367F8">
      <w:pPr>
        <w:tabs>
          <w:tab w:val="clear" w:pos="567"/>
          <w:tab w:val="left" w:pos="540"/>
          <w:tab w:val="left" w:pos="569"/>
        </w:tabs>
        <w:jc w:val="both"/>
        <w:rPr>
          <w:szCs w:val="22"/>
        </w:rPr>
      </w:pPr>
      <w:r w:rsidRPr="00883B5B">
        <w:rPr>
          <w:szCs w:val="22"/>
        </w:rPr>
        <w:t xml:space="preserve">U ovoj studiji, samo kod jednog naknadno uključenog pacijenta (nakon transplantacije bubrega, a koji je primao više različitih ljekova, uključujući i ciklosporin) došlo je do 12 puta veće izloženosti ukupnom ezetimibu. </w:t>
      </w:r>
    </w:p>
    <w:p w14:paraId="37D5E1FB" w14:textId="77777777" w:rsidR="00C367F8" w:rsidRPr="00883B5B" w:rsidRDefault="00C367F8" w:rsidP="00C367F8">
      <w:pPr>
        <w:tabs>
          <w:tab w:val="clear" w:pos="567"/>
          <w:tab w:val="left" w:pos="540"/>
          <w:tab w:val="left" w:pos="569"/>
        </w:tabs>
        <w:jc w:val="both"/>
        <w:rPr>
          <w:szCs w:val="22"/>
        </w:rPr>
      </w:pPr>
    </w:p>
    <w:p w14:paraId="234B32E7" w14:textId="77777777" w:rsidR="00C367F8" w:rsidRPr="00883B5B" w:rsidRDefault="00C367F8" w:rsidP="00C367F8">
      <w:pPr>
        <w:tabs>
          <w:tab w:val="clear" w:pos="567"/>
          <w:tab w:val="left" w:pos="540"/>
          <w:tab w:val="left" w:pos="569"/>
        </w:tabs>
        <w:jc w:val="both"/>
        <w:rPr>
          <w:i/>
          <w:szCs w:val="22"/>
        </w:rPr>
      </w:pPr>
      <w:r w:rsidRPr="00883B5B">
        <w:rPr>
          <w:i/>
          <w:szCs w:val="22"/>
        </w:rPr>
        <w:t>Pol</w:t>
      </w:r>
    </w:p>
    <w:p w14:paraId="16EC7DCB" w14:textId="77777777" w:rsidR="00C367F8" w:rsidRPr="000C24D1" w:rsidRDefault="00C367F8" w:rsidP="00C367F8">
      <w:pPr>
        <w:tabs>
          <w:tab w:val="clear" w:pos="567"/>
          <w:tab w:val="left" w:pos="540"/>
          <w:tab w:val="left" w:pos="569"/>
        </w:tabs>
        <w:jc w:val="both"/>
        <w:rPr>
          <w:b/>
          <w:szCs w:val="22"/>
          <w:u w:val="single"/>
        </w:rPr>
      </w:pPr>
      <w:r w:rsidRPr="00883B5B">
        <w:rPr>
          <w:szCs w:val="22"/>
        </w:rPr>
        <w:t xml:space="preserve">Koncentracije ukupnog ezetimiba u plazmi malo su više kod žena (oko 20%) nego kod muškaraca. Smanjene koncentracije LDL-C i profil bezbjednosti lijeka </w:t>
      </w:r>
      <w:r w:rsidR="005E4D18">
        <w:rPr>
          <w:szCs w:val="22"/>
        </w:rPr>
        <w:t>uporedivi</w:t>
      </w:r>
      <w:r w:rsidR="005E4D18" w:rsidRPr="00883B5B">
        <w:rPr>
          <w:szCs w:val="22"/>
        </w:rPr>
        <w:t xml:space="preserve"> </w:t>
      </w:r>
      <w:r w:rsidRPr="00883B5B">
        <w:rPr>
          <w:szCs w:val="22"/>
        </w:rPr>
        <w:t>su kod muškaraca i žena koji uzimaju ezetimib. Stoga nije potrebno prilagođavati dozu lijeka prema polu pacijenta.</w:t>
      </w:r>
    </w:p>
    <w:p w14:paraId="09A29F3A" w14:textId="77777777" w:rsidR="00C367F8" w:rsidRPr="00E1138A" w:rsidRDefault="00C367F8" w:rsidP="00C367F8">
      <w:pPr>
        <w:tabs>
          <w:tab w:val="clear" w:pos="567"/>
          <w:tab w:val="left" w:pos="540"/>
          <w:tab w:val="left" w:pos="569"/>
        </w:tabs>
        <w:jc w:val="both"/>
        <w:rPr>
          <w:bCs/>
          <w:i/>
          <w:szCs w:val="22"/>
        </w:rPr>
      </w:pPr>
    </w:p>
    <w:p w14:paraId="3EC33CAD" w14:textId="77777777" w:rsidR="00C367F8" w:rsidRDefault="00C367F8" w:rsidP="00C367F8">
      <w:pPr>
        <w:tabs>
          <w:tab w:val="clear" w:pos="567"/>
          <w:tab w:val="left" w:pos="540"/>
          <w:tab w:val="left" w:pos="569"/>
        </w:tabs>
        <w:rPr>
          <w:b/>
          <w:bCs/>
          <w:szCs w:val="22"/>
        </w:rPr>
      </w:pPr>
      <w:r w:rsidRPr="00786071">
        <w:rPr>
          <w:b/>
          <w:bCs/>
          <w:szCs w:val="22"/>
        </w:rPr>
        <w:t xml:space="preserve">5.3. </w:t>
      </w:r>
      <w:r w:rsidRPr="00786071">
        <w:rPr>
          <w:b/>
          <w:bCs/>
          <w:szCs w:val="22"/>
        </w:rPr>
        <w:tab/>
        <w:t xml:space="preserve">Pretklinički podaci o bezbjednosti </w:t>
      </w:r>
    </w:p>
    <w:p w14:paraId="62FB930F" w14:textId="77777777" w:rsidR="00C367F8" w:rsidRDefault="00C367F8" w:rsidP="00C367F8">
      <w:pPr>
        <w:tabs>
          <w:tab w:val="clear" w:pos="567"/>
          <w:tab w:val="left" w:pos="540"/>
          <w:tab w:val="left" w:pos="569"/>
        </w:tabs>
        <w:rPr>
          <w:b/>
          <w:bCs/>
          <w:szCs w:val="22"/>
        </w:rPr>
      </w:pPr>
    </w:p>
    <w:p w14:paraId="68459AF6" w14:textId="77777777" w:rsidR="00C367F8" w:rsidRPr="001A31C9" w:rsidRDefault="00C367F8" w:rsidP="00C367F8">
      <w:pPr>
        <w:tabs>
          <w:tab w:val="clear" w:pos="567"/>
          <w:tab w:val="left" w:pos="540"/>
          <w:tab w:val="left" w:pos="569"/>
        </w:tabs>
        <w:jc w:val="both"/>
        <w:rPr>
          <w:szCs w:val="22"/>
          <w:u w:val="single"/>
        </w:rPr>
      </w:pPr>
      <w:r w:rsidRPr="001A31C9">
        <w:rPr>
          <w:szCs w:val="22"/>
          <w:u w:val="single"/>
        </w:rPr>
        <w:t>Rosuvastatin</w:t>
      </w:r>
    </w:p>
    <w:p w14:paraId="5156BA84" w14:textId="77777777" w:rsidR="00C367F8" w:rsidRPr="001A31C9" w:rsidRDefault="00C367F8" w:rsidP="00C367F8">
      <w:pPr>
        <w:tabs>
          <w:tab w:val="clear" w:pos="567"/>
          <w:tab w:val="left" w:pos="540"/>
          <w:tab w:val="left" w:pos="569"/>
        </w:tabs>
        <w:jc w:val="both"/>
        <w:rPr>
          <w:b/>
          <w:bCs/>
          <w:szCs w:val="22"/>
          <w:u w:val="single"/>
        </w:rPr>
      </w:pPr>
    </w:p>
    <w:p w14:paraId="073E2A0E" w14:textId="77777777" w:rsidR="00C367F8" w:rsidRDefault="00C367F8" w:rsidP="00C367F8">
      <w:pPr>
        <w:tabs>
          <w:tab w:val="clear" w:pos="567"/>
          <w:tab w:val="left" w:pos="540"/>
          <w:tab w:val="left" w:pos="569"/>
        </w:tabs>
        <w:jc w:val="both"/>
        <w:rPr>
          <w:szCs w:val="22"/>
        </w:rPr>
      </w:pPr>
      <w:r w:rsidRPr="001A31C9">
        <w:rPr>
          <w:szCs w:val="22"/>
        </w:rPr>
        <w:t>Pretklinički podaci ne ukazuju na posebnu opasnost po ljude na osnovu konvencionalnih ispitivanja o bezbjednosnom farmakološkom, genotoksičnom i kancerogenom potencijalu. Specifični testovi za dejstva na hERG nisu sprovedeni. Sledeći neželjeni događaji nisu zabilježeni u kliničkim studijama, ali su zabilježeni kod životinja pri nivoima izloženosti sličnim kliničkim nivoima: u studijama toksičnosti ponovljenih doza zabilježene su histopatološke promjene jetre, vjerovatno zbog farmakološkog djelovanja rosuvastatina, i to kod miševa, pacova i u manjoj mjeri dejstva na žučnu kesu kod pasa, ali ne i kod majmuna. Pored toga, pri većim dozama, kod majmuna i pasa, uočeno je toksično dejstvo na testise. Reproduktivna toksičnost, pri dozama toksičnim za majku kod kojih je sistemska izloženost lijeku bila nekoliko puta veća od izloženosti pri terapijskim dozama, bila je očigledna kod pacova kod kojih je uočen smanjen broj mladunaca u okotu, smanjena tjelesna masa mladunaca i smanjeno preživljavanje mladunčadi.</w:t>
      </w:r>
    </w:p>
    <w:p w14:paraId="76E0153A" w14:textId="77777777" w:rsidR="00C367F8" w:rsidRDefault="00C367F8" w:rsidP="00C367F8">
      <w:pPr>
        <w:tabs>
          <w:tab w:val="clear" w:pos="567"/>
          <w:tab w:val="left" w:pos="540"/>
          <w:tab w:val="left" w:pos="569"/>
        </w:tabs>
        <w:jc w:val="both"/>
        <w:rPr>
          <w:b/>
          <w:bCs/>
          <w:szCs w:val="22"/>
          <w:u w:val="single"/>
        </w:rPr>
      </w:pPr>
    </w:p>
    <w:p w14:paraId="0D9B507A" w14:textId="77777777" w:rsidR="00C367F8" w:rsidRDefault="00C367F8" w:rsidP="00C367F8">
      <w:pPr>
        <w:tabs>
          <w:tab w:val="clear" w:pos="567"/>
          <w:tab w:val="left" w:pos="540"/>
          <w:tab w:val="left" w:pos="569"/>
        </w:tabs>
        <w:jc w:val="both"/>
        <w:rPr>
          <w:szCs w:val="22"/>
          <w:u w:val="single"/>
        </w:rPr>
      </w:pPr>
      <w:r w:rsidRPr="00764540">
        <w:rPr>
          <w:szCs w:val="22"/>
          <w:u w:val="single"/>
        </w:rPr>
        <w:t>Ezetimib</w:t>
      </w:r>
    </w:p>
    <w:p w14:paraId="1A6B1C48" w14:textId="77777777" w:rsidR="00C367F8" w:rsidRDefault="00C367F8" w:rsidP="00C367F8">
      <w:pPr>
        <w:tabs>
          <w:tab w:val="clear" w:pos="567"/>
          <w:tab w:val="left" w:pos="540"/>
          <w:tab w:val="left" w:pos="569"/>
        </w:tabs>
        <w:jc w:val="both"/>
        <w:rPr>
          <w:b/>
          <w:bCs/>
          <w:szCs w:val="22"/>
          <w:u w:val="single"/>
        </w:rPr>
      </w:pPr>
    </w:p>
    <w:p w14:paraId="1A28C655" w14:textId="77777777" w:rsidR="00C367F8" w:rsidRPr="00952163" w:rsidRDefault="00C367F8" w:rsidP="00C367F8">
      <w:pPr>
        <w:tabs>
          <w:tab w:val="clear" w:pos="567"/>
          <w:tab w:val="left" w:pos="540"/>
          <w:tab w:val="left" w:pos="569"/>
        </w:tabs>
        <w:jc w:val="both"/>
        <w:rPr>
          <w:b/>
          <w:bCs/>
          <w:szCs w:val="22"/>
          <w:u w:val="single"/>
        </w:rPr>
      </w:pPr>
      <w:r w:rsidRPr="00952163">
        <w:rPr>
          <w:szCs w:val="22"/>
        </w:rPr>
        <w:t>Ispitivanja hronične toksičnosti ezetimiba na životinjama ni</w:t>
      </w:r>
      <w:r w:rsidR="005E4D18">
        <w:rPr>
          <w:szCs w:val="22"/>
        </w:rPr>
        <w:t>je</w:t>
      </w:r>
      <w:r w:rsidRPr="00952163">
        <w:rPr>
          <w:szCs w:val="22"/>
        </w:rPr>
        <w:t>su utvrdila postojanje ciljnog organa za toksične efekte. Kod pasa koji su ezetimib primali 4 nedjelje (u dozi od ≥ 0,03 mg/kg dnevno), nivo holesterola u žučnoj kesi porastao je sa 2,5 na 3,5. Međutim, jednogodišnje ispitivanje kod pasa sa dozama ezetimiba i do 300 mg/kg dnevno nije pokazalo povećanu učestalost holelitijaze ili drugih hepatobilijarnih efekata. Nije poznato kakav je značaj ovih podataka za ljude. Ipak, ne može se isključiti postojanje rizika za stvaranje žučnih kamenaca povezanih sa davanjem ezetimiba u terapijskim dozama.</w:t>
      </w:r>
    </w:p>
    <w:p w14:paraId="294D6BFE" w14:textId="77777777" w:rsidR="00C367F8" w:rsidRDefault="00C367F8" w:rsidP="00C367F8">
      <w:pPr>
        <w:tabs>
          <w:tab w:val="clear" w:pos="567"/>
          <w:tab w:val="left" w:pos="540"/>
          <w:tab w:val="left" w:pos="569"/>
        </w:tabs>
        <w:rPr>
          <w:bCs/>
          <w:szCs w:val="22"/>
        </w:rPr>
      </w:pPr>
    </w:p>
    <w:p w14:paraId="1A34C332" w14:textId="77777777" w:rsidR="00C367F8" w:rsidRDefault="00C367F8" w:rsidP="00C367F8">
      <w:pPr>
        <w:tabs>
          <w:tab w:val="clear" w:pos="567"/>
          <w:tab w:val="left" w:pos="540"/>
          <w:tab w:val="left" w:pos="569"/>
        </w:tabs>
        <w:jc w:val="both"/>
        <w:rPr>
          <w:szCs w:val="22"/>
        </w:rPr>
      </w:pPr>
      <w:r w:rsidRPr="000107D4">
        <w:rPr>
          <w:szCs w:val="22"/>
        </w:rPr>
        <w:lastRenderedPageBreak/>
        <w:t xml:space="preserve">U ispitivanjima istovremene terapije ezetimiba i statina uočeni toksični efekti uglavnom su se odnosili na one </w:t>
      </w:r>
      <w:r w:rsidR="00B76606">
        <w:rPr>
          <w:szCs w:val="22"/>
        </w:rPr>
        <w:t>koji su bili</w:t>
      </w:r>
      <w:r w:rsidR="00B76606" w:rsidRPr="000107D4">
        <w:rPr>
          <w:szCs w:val="22"/>
        </w:rPr>
        <w:t xml:space="preserve"> </w:t>
      </w:r>
      <w:r w:rsidRPr="000107D4">
        <w:rPr>
          <w:szCs w:val="22"/>
        </w:rPr>
        <w:t>povezan</w:t>
      </w:r>
      <w:r w:rsidR="00B76606">
        <w:rPr>
          <w:szCs w:val="22"/>
        </w:rPr>
        <w:t>i</w:t>
      </w:r>
      <w:r w:rsidRPr="000107D4">
        <w:rPr>
          <w:szCs w:val="22"/>
        </w:rPr>
        <w:t xml:space="preserve"> sa primjenom statina. Neki od toksičnih efekata bili su izraženiji od onih zabilježenih tokom primjene statina u monoterapiji. Ovo se pripisuje farmakokinetičkim i farmakodinamičkim interakcijama do kojih dolazi tokom istovremene </w:t>
      </w:r>
      <w:r w:rsidR="00B76606">
        <w:rPr>
          <w:szCs w:val="22"/>
        </w:rPr>
        <w:t>primjene</w:t>
      </w:r>
      <w:r w:rsidRPr="000107D4">
        <w:rPr>
          <w:szCs w:val="22"/>
        </w:rPr>
        <w:t>. U kliničkim ispitivanjima ni</w:t>
      </w:r>
      <w:r w:rsidR="00B76606">
        <w:rPr>
          <w:szCs w:val="22"/>
        </w:rPr>
        <w:t>je</w:t>
      </w:r>
      <w:r w:rsidRPr="000107D4">
        <w:rPr>
          <w:szCs w:val="22"/>
        </w:rPr>
        <w:t>su uočene ovakve interakcije. Miopatija je uočena kod pacova tek nakon njihovog izlaganja dozama koje su bile nekoliko puta veće od terapijskih doza za ljude (oko 20 puta veće od vrijednosti PIK za statine i 500 do 2000 puta veće od vrijednosti PIK za aktivne metabolite).</w:t>
      </w:r>
    </w:p>
    <w:p w14:paraId="7531196C" w14:textId="77777777" w:rsidR="00C367F8" w:rsidRDefault="00C367F8" w:rsidP="00C367F8">
      <w:pPr>
        <w:tabs>
          <w:tab w:val="clear" w:pos="567"/>
          <w:tab w:val="left" w:pos="540"/>
          <w:tab w:val="left" w:pos="569"/>
        </w:tabs>
        <w:jc w:val="both"/>
        <w:rPr>
          <w:bCs/>
          <w:szCs w:val="22"/>
        </w:rPr>
      </w:pPr>
    </w:p>
    <w:p w14:paraId="77A93047" w14:textId="77777777" w:rsidR="00C367F8" w:rsidRDefault="00C367F8" w:rsidP="00C367F8">
      <w:pPr>
        <w:tabs>
          <w:tab w:val="clear" w:pos="567"/>
          <w:tab w:val="left" w:pos="540"/>
          <w:tab w:val="left" w:pos="569"/>
        </w:tabs>
        <w:jc w:val="both"/>
        <w:rPr>
          <w:szCs w:val="22"/>
        </w:rPr>
      </w:pPr>
      <w:r>
        <w:rPr>
          <w:szCs w:val="22"/>
        </w:rPr>
        <w:t xml:space="preserve">U nizu </w:t>
      </w:r>
      <w:r>
        <w:rPr>
          <w:i/>
          <w:iCs/>
          <w:szCs w:val="22"/>
        </w:rPr>
        <w:t xml:space="preserve">in vivo </w:t>
      </w:r>
      <w:r>
        <w:rPr>
          <w:szCs w:val="22"/>
        </w:rPr>
        <w:t xml:space="preserve">i </w:t>
      </w:r>
      <w:r>
        <w:rPr>
          <w:i/>
          <w:iCs/>
          <w:szCs w:val="22"/>
        </w:rPr>
        <w:t xml:space="preserve">in vitro </w:t>
      </w:r>
      <w:r>
        <w:rPr>
          <w:szCs w:val="22"/>
        </w:rPr>
        <w:t>ispitivanja, ezetimib primijenjen samostalno ili zajedno sa statinima nije pokazao genotoksični potencijal. Dugotrajni testovi karcinogenosti s ezetimibom bili su negativni.</w:t>
      </w:r>
    </w:p>
    <w:p w14:paraId="30AE114D" w14:textId="77777777" w:rsidR="00C367F8" w:rsidRDefault="00C367F8" w:rsidP="00C367F8">
      <w:pPr>
        <w:tabs>
          <w:tab w:val="clear" w:pos="567"/>
          <w:tab w:val="left" w:pos="540"/>
          <w:tab w:val="left" w:pos="569"/>
        </w:tabs>
        <w:jc w:val="both"/>
        <w:rPr>
          <w:bCs/>
          <w:szCs w:val="22"/>
        </w:rPr>
      </w:pPr>
    </w:p>
    <w:p w14:paraId="20DA740B" w14:textId="77777777" w:rsidR="00C367F8" w:rsidRPr="00BA11C2" w:rsidRDefault="00C367F8" w:rsidP="00C367F8">
      <w:pPr>
        <w:tabs>
          <w:tab w:val="clear" w:pos="567"/>
          <w:tab w:val="left" w:pos="540"/>
          <w:tab w:val="left" w:pos="569"/>
        </w:tabs>
        <w:jc w:val="both"/>
        <w:rPr>
          <w:bCs/>
          <w:szCs w:val="22"/>
        </w:rPr>
      </w:pPr>
      <w:r w:rsidRPr="00BA11C2">
        <w:rPr>
          <w:szCs w:val="22"/>
        </w:rPr>
        <w:t>Ezetimib nije ispoljio efekat na plodnost mužjaka ili ženki pacova, niti je pokazao teratogena dejstva kod pacova ili kunića, i nije uticao na njihov prenatalni ili postnatalni razvoj. Ezetimib je prolazio kroz placentalnu barijeru kod skotnih ženki pacova i kunića koji su primali višekratne doze lijeka od 1000 mg/kg na dan. Istovremena primjena ezetimiba i statina nije teratogena kod pacova. Kod skotnih ženki kunića prijavljen je mali broj skeletnih deformiteta (srasli torakalni i kaudalni kičmeni pršljenovi, smanjen broj kaudalnih kičmenih pršljenova). Istovremena primjena ezetimiba i lovastatina dovela je do letalnih efekata za embrion.</w:t>
      </w:r>
    </w:p>
    <w:p w14:paraId="77A27EE4" w14:textId="77777777" w:rsidR="00DF0641" w:rsidRDefault="00DF0641" w:rsidP="00C367F8">
      <w:pPr>
        <w:tabs>
          <w:tab w:val="clear" w:pos="567"/>
          <w:tab w:val="left" w:pos="540"/>
          <w:tab w:val="left" w:pos="569"/>
        </w:tabs>
        <w:rPr>
          <w:b/>
          <w:bCs/>
          <w:szCs w:val="22"/>
        </w:rPr>
      </w:pPr>
    </w:p>
    <w:p w14:paraId="2FEAFA2C" w14:textId="77777777" w:rsidR="00CD6CC8" w:rsidRPr="00786071" w:rsidRDefault="00CD6CC8" w:rsidP="00C367F8">
      <w:pPr>
        <w:tabs>
          <w:tab w:val="clear" w:pos="567"/>
          <w:tab w:val="left" w:pos="540"/>
          <w:tab w:val="left" w:pos="569"/>
        </w:tabs>
        <w:rPr>
          <w:b/>
          <w:bCs/>
          <w:szCs w:val="22"/>
        </w:rPr>
      </w:pPr>
    </w:p>
    <w:p w14:paraId="648C41E0" w14:textId="77777777" w:rsidR="00C367F8" w:rsidRPr="00786071" w:rsidRDefault="00C367F8" w:rsidP="00C367F8">
      <w:pPr>
        <w:tabs>
          <w:tab w:val="clear" w:pos="567"/>
          <w:tab w:val="left" w:pos="540"/>
          <w:tab w:val="left" w:pos="569"/>
        </w:tabs>
        <w:rPr>
          <w:b/>
          <w:bCs/>
          <w:szCs w:val="22"/>
        </w:rPr>
      </w:pPr>
      <w:r w:rsidRPr="00786071">
        <w:rPr>
          <w:b/>
          <w:bCs/>
          <w:szCs w:val="22"/>
        </w:rPr>
        <w:t xml:space="preserve">6. </w:t>
      </w:r>
      <w:r w:rsidRPr="00786071">
        <w:rPr>
          <w:b/>
          <w:bCs/>
          <w:szCs w:val="22"/>
        </w:rPr>
        <w:tab/>
        <w:t>FARMACEUTSKI PODACI</w:t>
      </w:r>
    </w:p>
    <w:p w14:paraId="73C80AAF" w14:textId="77777777" w:rsidR="00C367F8" w:rsidRPr="00786071" w:rsidRDefault="00C367F8" w:rsidP="00C367F8">
      <w:pPr>
        <w:tabs>
          <w:tab w:val="clear" w:pos="567"/>
          <w:tab w:val="left" w:pos="540"/>
          <w:tab w:val="left" w:pos="569"/>
        </w:tabs>
        <w:rPr>
          <w:bCs/>
          <w:szCs w:val="22"/>
        </w:rPr>
      </w:pPr>
    </w:p>
    <w:p w14:paraId="5C4ED362" w14:textId="77777777" w:rsidR="00C367F8" w:rsidRPr="00786071" w:rsidRDefault="00C367F8" w:rsidP="00C367F8">
      <w:pPr>
        <w:tabs>
          <w:tab w:val="clear" w:pos="567"/>
          <w:tab w:val="left" w:pos="540"/>
          <w:tab w:val="left" w:pos="569"/>
        </w:tabs>
        <w:rPr>
          <w:b/>
          <w:bCs/>
          <w:szCs w:val="22"/>
        </w:rPr>
      </w:pPr>
      <w:r w:rsidRPr="00786071">
        <w:rPr>
          <w:b/>
          <w:bCs/>
          <w:szCs w:val="22"/>
        </w:rPr>
        <w:t xml:space="preserve">6.1. </w:t>
      </w:r>
      <w:r w:rsidRPr="00786071">
        <w:rPr>
          <w:b/>
          <w:bCs/>
          <w:szCs w:val="22"/>
        </w:rPr>
        <w:tab/>
        <w:t>Lista pomoćnih supstanci (ekscipijenasa)</w:t>
      </w:r>
    </w:p>
    <w:p w14:paraId="57104186" w14:textId="77777777" w:rsidR="00C367F8" w:rsidRDefault="00C367F8" w:rsidP="00C367F8">
      <w:pPr>
        <w:tabs>
          <w:tab w:val="clear" w:pos="567"/>
          <w:tab w:val="left" w:pos="540"/>
          <w:tab w:val="left" w:pos="569"/>
        </w:tabs>
        <w:rPr>
          <w:bCs/>
          <w:szCs w:val="22"/>
        </w:rPr>
      </w:pPr>
    </w:p>
    <w:p w14:paraId="25AE933D" w14:textId="77777777" w:rsidR="00C367F8" w:rsidRPr="00C1240E" w:rsidRDefault="00C367F8" w:rsidP="00C367F8">
      <w:pPr>
        <w:pStyle w:val="Default"/>
        <w:rPr>
          <w:sz w:val="22"/>
          <w:szCs w:val="22"/>
          <w:u w:val="single"/>
        </w:rPr>
      </w:pPr>
      <w:r w:rsidRPr="00C1240E">
        <w:rPr>
          <w:sz w:val="22"/>
          <w:szCs w:val="22"/>
          <w:u w:val="single"/>
        </w:rPr>
        <w:t xml:space="preserve">Jezgro tablete: </w:t>
      </w:r>
    </w:p>
    <w:p w14:paraId="355351AB" w14:textId="77777777" w:rsidR="00C367F8" w:rsidRDefault="00C367F8" w:rsidP="00C367F8">
      <w:pPr>
        <w:pStyle w:val="Default"/>
        <w:rPr>
          <w:sz w:val="22"/>
          <w:szCs w:val="22"/>
        </w:rPr>
      </w:pPr>
      <w:r>
        <w:rPr>
          <w:sz w:val="22"/>
          <w:szCs w:val="22"/>
        </w:rPr>
        <w:t xml:space="preserve">celuloza, mikrokristalna (E460) </w:t>
      </w:r>
    </w:p>
    <w:p w14:paraId="5870E409" w14:textId="77777777" w:rsidR="00C367F8" w:rsidRDefault="00C367F8" w:rsidP="00C367F8">
      <w:pPr>
        <w:pStyle w:val="Default"/>
        <w:rPr>
          <w:sz w:val="22"/>
          <w:szCs w:val="22"/>
        </w:rPr>
      </w:pPr>
      <w:r>
        <w:rPr>
          <w:sz w:val="22"/>
          <w:szCs w:val="22"/>
        </w:rPr>
        <w:t xml:space="preserve">laktoza </w:t>
      </w:r>
    </w:p>
    <w:p w14:paraId="7DE92214" w14:textId="77777777" w:rsidR="00C367F8" w:rsidRDefault="00C367F8" w:rsidP="00C367F8">
      <w:pPr>
        <w:pStyle w:val="Default"/>
        <w:rPr>
          <w:sz w:val="22"/>
          <w:szCs w:val="22"/>
        </w:rPr>
      </w:pPr>
      <w:r>
        <w:rPr>
          <w:sz w:val="22"/>
          <w:szCs w:val="22"/>
        </w:rPr>
        <w:t xml:space="preserve">manitol (E421) </w:t>
      </w:r>
    </w:p>
    <w:p w14:paraId="73CD6049" w14:textId="77777777" w:rsidR="00C367F8" w:rsidRDefault="00C367F8" w:rsidP="00C367F8">
      <w:pPr>
        <w:pStyle w:val="Default"/>
        <w:rPr>
          <w:sz w:val="22"/>
          <w:szCs w:val="22"/>
        </w:rPr>
      </w:pPr>
      <w:r>
        <w:rPr>
          <w:sz w:val="22"/>
          <w:szCs w:val="22"/>
        </w:rPr>
        <w:t xml:space="preserve">krospovidon </w:t>
      </w:r>
      <w:r w:rsidR="003B352E">
        <w:rPr>
          <w:sz w:val="22"/>
          <w:szCs w:val="22"/>
        </w:rPr>
        <w:t>Tip</w:t>
      </w:r>
      <w:r>
        <w:rPr>
          <w:sz w:val="22"/>
          <w:szCs w:val="22"/>
        </w:rPr>
        <w:t xml:space="preserve"> </w:t>
      </w:r>
      <w:r w:rsidR="00463895">
        <w:rPr>
          <w:sz w:val="22"/>
          <w:szCs w:val="22"/>
        </w:rPr>
        <w:t xml:space="preserve">A </w:t>
      </w:r>
    </w:p>
    <w:p w14:paraId="28F3B6A6" w14:textId="77777777" w:rsidR="00C367F8" w:rsidRDefault="00C367F8" w:rsidP="00C367F8">
      <w:pPr>
        <w:pStyle w:val="Default"/>
        <w:rPr>
          <w:sz w:val="22"/>
          <w:szCs w:val="22"/>
        </w:rPr>
      </w:pPr>
      <w:r>
        <w:rPr>
          <w:sz w:val="22"/>
          <w:szCs w:val="22"/>
        </w:rPr>
        <w:t xml:space="preserve">kroskarmeloza natrijum </w:t>
      </w:r>
    </w:p>
    <w:p w14:paraId="28B2C7F6" w14:textId="77777777" w:rsidR="00C367F8" w:rsidRDefault="00C367F8" w:rsidP="00C367F8">
      <w:pPr>
        <w:pStyle w:val="Default"/>
        <w:rPr>
          <w:sz w:val="22"/>
          <w:szCs w:val="22"/>
        </w:rPr>
      </w:pPr>
      <w:r>
        <w:rPr>
          <w:sz w:val="22"/>
          <w:szCs w:val="22"/>
        </w:rPr>
        <w:t xml:space="preserve">magnezijum stearat (E470b) </w:t>
      </w:r>
    </w:p>
    <w:p w14:paraId="6DADF10C" w14:textId="77777777" w:rsidR="00C367F8" w:rsidRDefault="00C367F8" w:rsidP="00C367F8">
      <w:pPr>
        <w:pStyle w:val="Default"/>
        <w:rPr>
          <w:sz w:val="22"/>
          <w:szCs w:val="22"/>
        </w:rPr>
      </w:pPr>
      <w:r>
        <w:rPr>
          <w:sz w:val="22"/>
          <w:szCs w:val="22"/>
        </w:rPr>
        <w:t xml:space="preserve">povidon K30 </w:t>
      </w:r>
    </w:p>
    <w:p w14:paraId="45053A8B" w14:textId="77777777" w:rsidR="00C367F8" w:rsidRDefault="00C367F8" w:rsidP="00C367F8">
      <w:pPr>
        <w:pStyle w:val="Default"/>
        <w:rPr>
          <w:sz w:val="22"/>
          <w:szCs w:val="22"/>
        </w:rPr>
      </w:pPr>
      <w:r>
        <w:rPr>
          <w:sz w:val="22"/>
          <w:szCs w:val="22"/>
        </w:rPr>
        <w:t xml:space="preserve">natrijum laurilsulfat (E487) </w:t>
      </w:r>
    </w:p>
    <w:p w14:paraId="74A3B099" w14:textId="77777777" w:rsidR="00C367F8" w:rsidRDefault="00C367F8" w:rsidP="00C367F8">
      <w:pPr>
        <w:tabs>
          <w:tab w:val="clear" w:pos="567"/>
          <w:tab w:val="left" w:pos="540"/>
          <w:tab w:val="left" w:pos="569"/>
        </w:tabs>
        <w:rPr>
          <w:szCs w:val="22"/>
        </w:rPr>
      </w:pPr>
      <w:r>
        <w:rPr>
          <w:szCs w:val="22"/>
        </w:rPr>
        <w:t>silicijum dioksid, koloidni, bezvodni (E551)</w:t>
      </w:r>
    </w:p>
    <w:p w14:paraId="46BAD013" w14:textId="77777777" w:rsidR="00C367F8" w:rsidRDefault="00C367F8" w:rsidP="00C367F8">
      <w:pPr>
        <w:tabs>
          <w:tab w:val="clear" w:pos="567"/>
          <w:tab w:val="left" w:pos="540"/>
          <w:tab w:val="left" w:pos="569"/>
        </w:tabs>
        <w:rPr>
          <w:bCs/>
          <w:szCs w:val="22"/>
        </w:rPr>
      </w:pPr>
    </w:p>
    <w:p w14:paraId="07CD315D" w14:textId="77777777" w:rsidR="00C367F8" w:rsidRDefault="00C367F8" w:rsidP="00C367F8">
      <w:pPr>
        <w:tabs>
          <w:tab w:val="clear" w:pos="567"/>
          <w:tab w:val="left" w:pos="540"/>
          <w:tab w:val="left" w:pos="569"/>
        </w:tabs>
        <w:rPr>
          <w:szCs w:val="22"/>
          <w:u w:val="single"/>
        </w:rPr>
      </w:pPr>
      <w:r w:rsidRPr="0018587A">
        <w:rPr>
          <w:szCs w:val="22"/>
          <w:u w:val="single"/>
        </w:rPr>
        <w:t>Film tablete:</w:t>
      </w:r>
    </w:p>
    <w:p w14:paraId="65EB62B2" w14:textId="77777777" w:rsidR="00C367F8" w:rsidRDefault="003B352E" w:rsidP="00C367F8">
      <w:pPr>
        <w:tabs>
          <w:tab w:val="clear" w:pos="567"/>
          <w:tab w:val="left" w:pos="540"/>
          <w:tab w:val="left" w:pos="569"/>
        </w:tabs>
        <w:rPr>
          <w:bCs/>
          <w:szCs w:val="22"/>
        </w:rPr>
      </w:pPr>
      <w:r>
        <w:rPr>
          <w:bCs/>
          <w:szCs w:val="22"/>
        </w:rPr>
        <w:t>l</w:t>
      </w:r>
      <w:r w:rsidR="00C367F8" w:rsidRPr="00171029">
        <w:rPr>
          <w:bCs/>
          <w:szCs w:val="22"/>
        </w:rPr>
        <w:t>aktoza</w:t>
      </w:r>
      <w:r>
        <w:rPr>
          <w:bCs/>
          <w:szCs w:val="22"/>
        </w:rPr>
        <w:t>,</w:t>
      </w:r>
      <w:r w:rsidR="00C367F8" w:rsidRPr="00171029">
        <w:rPr>
          <w:bCs/>
          <w:szCs w:val="22"/>
        </w:rPr>
        <w:t xml:space="preserve"> monohidrat</w:t>
      </w:r>
    </w:p>
    <w:p w14:paraId="1236436C" w14:textId="77777777" w:rsidR="00C367F8" w:rsidRDefault="00C367F8" w:rsidP="00C367F8">
      <w:pPr>
        <w:tabs>
          <w:tab w:val="clear" w:pos="567"/>
          <w:tab w:val="left" w:pos="540"/>
          <w:tab w:val="left" w:pos="569"/>
        </w:tabs>
        <w:rPr>
          <w:szCs w:val="22"/>
        </w:rPr>
      </w:pPr>
      <w:r>
        <w:rPr>
          <w:szCs w:val="22"/>
        </w:rPr>
        <w:t>hipromeloza (E464)</w:t>
      </w:r>
    </w:p>
    <w:p w14:paraId="46C54A45" w14:textId="77777777" w:rsidR="00C367F8" w:rsidRDefault="00C367F8" w:rsidP="00C367F8">
      <w:pPr>
        <w:tabs>
          <w:tab w:val="clear" w:pos="567"/>
          <w:tab w:val="left" w:pos="540"/>
          <w:tab w:val="left" w:pos="569"/>
        </w:tabs>
        <w:rPr>
          <w:szCs w:val="22"/>
        </w:rPr>
      </w:pPr>
      <w:r>
        <w:rPr>
          <w:szCs w:val="22"/>
        </w:rPr>
        <w:t>titan dioksid (E171)</w:t>
      </w:r>
    </w:p>
    <w:p w14:paraId="19BF1036" w14:textId="77777777" w:rsidR="00C367F8" w:rsidRDefault="00C367F8" w:rsidP="00C367F8">
      <w:pPr>
        <w:tabs>
          <w:tab w:val="clear" w:pos="567"/>
          <w:tab w:val="left" w:pos="540"/>
          <w:tab w:val="left" w:pos="569"/>
        </w:tabs>
        <w:rPr>
          <w:szCs w:val="22"/>
        </w:rPr>
      </w:pPr>
      <w:r>
        <w:rPr>
          <w:szCs w:val="22"/>
        </w:rPr>
        <w:t>triacetin</w:t>
      </w:r>
    </w:p>
    <w:p w14:paraId="51DDA49C" w14:textId="77777777" w:rsidR="00C367F8" w:rsidRDefault="00C367F8" w:rsidP="00C367F8">
      <w:pPr>
        <w:pStyle w:val="Default"/>
        <w:rPr>
          <w:sz w:val="22"/>
          <w:szCs w:val="22"/>
        </w:rPr>
      </w:pPr>
      <w:r>
        <w:rPr>
          <w:sz w:val="22"/>
          <w:szCs w:val="22"/>
        </w:rPr>
        <w:t>gvožđe</w:t>
      </w:r>
      <w:r w:rsidR="0044015E">
        <w:rPr>
          <w:sz w:val="22"/>
          <w:szCs w:val="22"/>
        </w:rPr>
        <w:t xml:space="preserve"> (III)</w:t>
      </w:r>
      <w:r>
        <w:rPr>
          <w:sz w:val="22"/>
          <w:szCs w:val="22"/>
        </w:rPr>
        <w:t xml:space="preserve"> oksid, žuti (E172) – samo za 10 mg</w:t>
      </w:r>
      <w:r w:rsidR="0044015E">
        <w:rPr>
          <w:sz w:val="22"/>
          <w:szCs w:val="22"/>
        </w:rPr>
        <w:t xml:space="preserve"> </w:t>
      </w:r>
      <w:r>
        <w:rPr>
          <w:sz w:val="22"/>
          <w:szCs w:val="22"/>
        </w:rPr>
        <w:t>+</w:t>
      </w:r>
      <w:r w:rsidR="0044015E">
        <w:rPr>
          <w:sz w:val="22"/>
          <w:szCs w:val="22"/>
        </w:rPr>
        <w:t xml:space="preserve"> </w:t>
      </w:r>
      <w:r>
        <w:rPr>
          <w:sz w:val="22"/>
          <w:szCs w:val="22"/>
        </w:rPr>
        <w:t xml:space="preserve">10 mg </w:t>
      </w:r>
    </w:p>
    <w:p w14:paraId="3F00C8F7" w14:textId="77777777" w:rsidR="00C367F8" w:rsidRDefault="00C367F8" w:rsidP="00C367F8">
      <w:pPr>
        <w:pStyle w:val="Default"/>
        <w:rPr>
          <w:sz w:val="22"/>
          <w:szCs w:val="22"/>
        </w:rPr>
      </w:pPr>
      <w:r>
        <w:rPr>
          <w:sz w:val="22"/>
          <w:szCs w:val="22"/>
        </w:rPr>
        <w:t xml:space="preserve">gvožđe </w:t>
      </w:r>
      <w:r w:rsidR="0044015E">
        <w:rPr>
          <w:sz w:val="22"/>
          <w:szCs w:val="22"/>
        </w:rPr>
        <w:t xml:space="preserve">(III) </w:t>
      </w:r>
      <w:r>
        <w:rPr>
          <w:sz w:val="22"/>
          <w:szCs w:val="22"/>
        </w:rPr>
        <w:t>oksid, crveni (E172) – samo za 20 mg</w:t>
      </w:r>
      <w:r w:rsidR="0044015E">
        <w:rPr>
          <w:sz w:val="22"/>
          <w:szCs w:val="22"/>
        </w:rPr>
        <w:t xml:space="preserve"> </w:t>
      </w:r>
      <w:r>
        <w:rPr>
          <w:sz w:val="22"/>
          <w:szCs w:val="22"/>
        </w:rPr>
        <w:t>+</w:t>
      </w:r>
      <w:r w:rsidR="0044015E">
        <w:rPr>
          <w:sz w:val="22"/>
          <w:szCs w:val="22"/>
        </w:rPr>
        <w:t xml:space="preserve"> </w:t>
      </w:r>
      <w:r>
        <w:rPr>
          <w:sz w:val="22"/>
          <w:szCs w:val="22"/>
        </w:rPr>
        <w:t>10 mg i 40 mg</w:t>
      </w:r>
      <w:r w:rsidR="0044015E">
        <w:rPr>
          <w:sz w:val="22"/>
          <w:szCs w:val="22"/>
        </w:rPr>
        <w:t xml:space="preserve"> </w:t>
      </w:r>
      <w:r>
        <w:rPr>
          <w:sz w:val="22"/>
          <w:szCs w:val="22"/>
        </w:rPr>
        <w:t>+</w:t>
      </w:r>
      <w:r w:rsidR="0044015E">
        <w:rPr>
          <w:sz w:val="22"/>
          <w:szCs w:val="22"/>
        </w:rPr>
        <w:t xml:space="preserve"> </w:t>
      </w:r>
      <w:r>
        <w:rPr>
          <w:sz w:val="22"/>
          <w:szCs w:val="22"/>
        </w:rPr>
        <w:t xml:space="preserve">10 mg </w:t>
      </w:r>
    </w:p>
    <w:p w14:paraId="1C2A92D6" w14:textId="77777777" w:rsidR="00C367F8" w:rsidRDefault="00C367F8" w:rsidP="00C367F8">
      <w:pPr>
        <w:tabs>
          <w:tab w:val="clear" w:pos="567"/>
          <w:tab w:val="left" w:pos="540"/>
          <w:tab w:val="left" w:pos="569"/>
        </w:tabs>
        <w:rPr>
          <w:szCs w:val="22"/>
        </w:rPr>
      </w:pPr>
      <w:r>
        <w:rPr>
          <w:szCs w:val="22"/>
        </w:rPr>
        <w:t xml:space="preserve">gvožđe </w:t>
      </w:r>
      <w:r w:rsidR="0044015E">
        <w:rPr>
          <w:szCs w:val="22"/>
        </w:rPr>
        <w:t xml:space="preserve">(III) </w:t>
      </w:r>
      <w:r>
        <w:rPr>
          <w:szCs w:val="22"/>
        </w:rPr>
        <w:t>oksid, crni (E172) – samo za 40 mg</w:t>
      </w:r>
      <w:r w:rsidR="0044015E">
        <w:rPr>
          <w:szCs w:val="22"/>
        </w:rPr>
        <w:t xml:space="preserve"> </w:t>
      </w:r>
      <w:r>
        <w:rPr>
          <w:szCs w:val="22"/>
        </w:rPr>
        <w:t>+</w:t>
      </w:r>
      <w:r w:rsidR="0044015E">
        <w:rPr>
          <w:szCs w:val="22"/>
        </w:rPr>
        <w:t xml:space="preserve"> </w:t>
      </w:r>
      <w:r>
        <w:rPr>
          <w:szCs w:val="22"/>
        </w:rPr>
        <w:t>10 mg</w:t>
      </w:r>
    </w:p>
    <w:p w14:paraId="284FCCD2" w14:textId="77777777" w:rsidR="00C367F8" w:rsidRPr="00171029" w:rsidRDefault="00C367F8" w:rsidP="00C367F8">
      <w:pPr>
        <w:tabs>
          <w:tab w:val="clear" w:pos="567"/>
          <w:tab w:val="left" w:pos="540"/>
          <w:tab w:val="left" w:pos="569"/>
        </w:tabs>
        <w:rPr>
          <w:bCs/>
          <w:szCs w:val="22"/>
        </w:rPr>
      </w:pPr>
    </w:p>
    <w:p w14:paraId="18716D28" w14:textId="77777777" w:rsidR="00C367F8" w:rsidRPr="00786071" w:rsidRDefault="00C367F8" w:rsidP="00C367F8">
      <w:pPr>
        <w:tabs>
          <w:tab w:val="clear" w:pos="567"/>
          <w:tab w:val="left" w:pos="540"/>
          <w:tab w:val="left" w:pos="569"/>
        </w:tabs>
        <w:rPr>
          <w:b/>
          <w:bCs/>
          <w:szCs w:val="22"/>
        </w:rPr>
      </w:pPr>
      <w:r w:rsidRPr="00786071">
        <w:rPr>
          <w:b/>
          <w:bCs/>
          <w:szCs w:val="22"/>
        </w:rPr>
        <w:t xml:space="preserve">6.2. </w:t>
      </w:r>
      <w:r w:rsidRPr="00786071">
        <w:rPr>
          <w:b/>
          <w:bCs/>
          <w:szCs w:val="22"/>
        </w:rPr>
        <w:tab/>
        <w:t>Inkompatibilnosti</w:t>
      </w:r>
    </w:p>
    <w:p w14:paraId="52755B57" w14:textId="77777777" w:rsidR="00C367F8" w:rsidRDefault="00C367F8" w:rsidP="00C367F8">
      <w:pPr>
        <w:tabs>
          <w:tab w:val="clear" w:pos="567"/>
          <w:tab w:val="left" w:pos="540"/>
          <w:tab w:val="left" w:pos="569"/>
        </w:tabs>
        <w:rPr>
          <w:bCs/>
          <w:szCs w:val="22"/>
        </w:rPr>
      </w:pPr>
    </w:p>
    <w:p w14:paraId="7B3E0134" w14:textId="77777777" w:rsidR="00C367F8" w:rsidRDefault="00C367F8" w:rsidP="00C367F8">
      <w:pPr>
        <w:tabs>
          <w:tab w:val="clear" w:pos="567"/>
          <w:tab w:val="left" w:pos="540"/>
          <w:tab w:val="left" w:pos="569"/>
        </w:tabs>
        <w:rPr>
          <w:szCs w:val="22"/>
        </w:rPr>
      </w:pPr>
      <w:r>
        <w:rPr>
          <w:szCs w:val="22"/>
        </w:rPr>
        <w:t>Nije primjenjivo.</w:t>
      </w:r>
    </w:p>
    <w:p w14:paraId="14C1179D" w14:textId="77777777" w:rsidR="00C367F8" w:rsidRPr="00786071" w:rsidRDefault="00C367F8" w:rsidP="00C367F8">
      <w:pPr>
        <w:tabs>
          <w:tab w:val="clear" w:pos="567"/>
          <w:tab w:val="left" w:pos="540"/>
          <w:tab w:val="left" w:pos="569"/>
        </w:tabs>
        <w:rPr>
          <w:bCs/>
          <w:szCs w:val="22"/>
        </w:rPr>
      </w:pPr>
    </w:p>
    <w:p w14:paraId="4EB38EEB" w14:textId="77777777" w:rsidR="00C367F8" w:rsidRDefault="00C367F8" w:rsidP="00C367F8">
      <w:pPr>
        <w:tabs>
          <w:tab w:val="clear" w:pos="567"/>
          <w:tab w:val="left" w:pos="540"/>
          <w:tab w:val="left" w:pos="569"/>
        </w:tabs>
        <w:rPr>
          <w:b/>
          <w:bCs/>
          <w:szCs w:val="22"/>
        </w:rPr>
      </w:pPr>
      <w:r w:rsidRPr="00786071">
        <w:rPr>
          <w:b/>
          <w:bCs/>
          <w:szCs w:val="22"/>
        </w:rPr>
        <w:t>6.3.</w:t>
      </w:r>
      <w:r>
        <w:rPr>
          <w:b/>
          <w:bCs/>
          <w:szCs w:val="22"/>
        </w:rPr>
        <w:t xml:space="preserve"> </w:t>
      </w:r>
      <w:r w:rsidRPr="00786071">
        <w:rPr>
          <w:b/>
          <w:bCs/>
          <w:szCs w:val="22"/>
        </w:rPr>
        <w:tab/>
        <w:t>Rok upotrebe</w:t>
      </w:r>
    </w:p>
    <w:p w14:paraId="597E9FA4" w14:textId="77777777" w:rsidR="00C367F8" w:rsidRDefault="00C367F8" w:rsidP="00C367F8">
      <w:pPr>
        <w:tabs>
          <w:tab w:val="clear" w:pos="567"/>
          <w:tab w:val="left" w:pos="540"/>
          <w:tab w:val="left" w:pos="569"/>
        </w:tabs>
        <w:rPr>
          <w:b/>
          <w:bCs/>
          <w:szCs w:val="22"/>
        </w:rPr>
      </w:pPr>
    </w:p>
    <w:p w14:paraId="69BF4159" w14:textId="77777777" w:rsidR="00C367F8" w:rsidRPr="00786071" w:rsidRDefault="00C367F8" w:rsidP="00C367F8">
      <w:pPr>
        <w:tabs>
          <w:tab w:val="clear" w:pos="567"/>
          <w:tab w:val="left" w:pos="540"/>
          <w:tab w:val="left" w:pos="569"/>
        </w:tabs>
        <w:rPr>
          <w:b/>
          <w:bCs/>
          <w:szCs w:val="22"/>
        </w:rPr>
      </w:pPr>
      <w:r>
        <w:rPr>
          <w:szCs w:val="22"/>
        </w:rPr>
        <w:t>3 godine</w:t>
      </w:r>
    </w:p>
    <w:p w14:paraId="693AED50" w14:textId="77777777" w:rsidR="00C367F8" w:rsidRPr="00786071" w:rsidRDefault="00C367F8" w:rsidP="00C367F8">
      <w:pPr>
        <w:tabs>
          <w:tab w:val="clear" w:pos="567"/>
          <w:tab w:val="left" w:pos="540"/>
          <w:tab w:val="left" w:pos="569"/>
        </w:tabs>
        <w:rPr>
          <w:bCs/>
          <w:szCs w:val="22"/>
        </w:rPr>
      </w:pPr>
    </w:p>
    <w:p w14:paraId="14AF0B2E" w14:textId="77777777" w:rsidR="00C367F8" w:rsidRDefault="00C367F8" w:rsidP="00C367F8">
      <w:pPr>
        <w:tabs>
          <w:tab w:val="clear" w:pos="567"/>
          <w:tab w:val="left" w:pos="540"/>
          <w:tab w:val="left" w:pos="569"/>
        </w:tabs>
        <w:rPr>
          <w:b/>
          <w:bCs/>
          <w:szCs w:val="22"/>
        </w:rPr>
      </w:pPr>
      <w:r w:rsidRPr="00786071">
        <w:rPr>
          <w:b/>
          <w:bCs/>
          <w:szCs w:val="22"/>
        </w:rPr>
        <w:t xml:space="preserve">6.4. </w:t>
      </w:r>
      <w:r w:rsidRPr="00786071">
        <w:rPr>
          <w:b/>
          <w:bCs/>
          <w:szCs w:val="22"/>
        </w:rPr>
        <w:tab/>
        <w:t>Posebne mjere upozorenja pri čuvanju lijeka</w:t>
      </w:r>
    </w:p>
    <w:p w14:paraId="1A4C9385" w14:textId="77777777" w:rsidR="00C367F8" w:rsidRDefault="00C367F8" w:rsidP="00C367F8">
      <w:pPr>
        <w:tabs>
          <w:tab w:val="clear" w:pos="567"/>
          <w:tab w:val="left" w:pos="540"/>
          <w:tab w:val="left" w:pos="569"/>
        </w:tabs>
        <w:rPr>
          <w:b/>
          <w:bCs/>
          <w:szCs w:val="22"/>
        </w:rPr>
      </w:pPr>
    </w:p>
    <w:p w14:paraId="06C40473" w14:textId="77777777" w:rsidR="00C367F8" w:rsidRDefault="00C367F8" w:rsidP="00C367F8">
      <w:pPr>
        <w:pStyle w:val="Default"/>
        <w:rPr>
          <w:sz w:val="22"/>
          <w:szCs w:val="22"/>
        </w:rPr>
      </w:pPr>
      <w:r>
        <w:rPr>
          <w:sz w:val="22"/>
          <w:szCs w:val="22"/>
        </w:rPr>
        <w:t xml:space="preserve">Lijek čuvajte u originalnom pakovanju radi zaštite od svjetlosti i vlage. </w:t>
      </w:r>
    </w:p>
    <w:p w14:paraId="28EB6CEC" w14:textId="77777777" w:rsidR="00C367F8" w:rsidRPr="00786071" w:rsidRDefault="00C367F8" w:rsidP="00C367F8">
      <w:pPr>
        <w:tabs>
          <w:tab w:val="clear" w:pos="567"/>
          <w:tab w:val="left" w:pos="540"/>
          <w:tab w:val="left" w:pos="569"/>
        </w:tabs>
        <w:rPr>
          <w:b/>
          <w:bCs/>
          <w:szCs w:val="22"/>
        </w:rPr>
      </w:pPr>
      <w:r>
        <w:rPr>
          <w:szCs w:val="22"/>
        </w:rPr>
        <w:lastRenderedPageBreak/>
        <w:t>Lijek ne zahtijeva čuvanje na određenoj temperaturi.</w:t>
      </w:r>
    </w:p>
    <w:p w14:paraId="6ABE559A" w14:textId="77777777" w:rsidR="00C367F8" w:rsidRPr="00786071" w:rsidRDefault="00C367F8" w:rsidP="00C367F8">
      <w:pPr>
        <w:tabs>
          <w:tab w:val="clear" w:pos="567"/>
          <w:tab w:val="left" w:pos="540"/>
          <w:tab w:val="left" w:pos="569"/>
        </w:tabs>
        <w:rPr>
          <w:bCs/>
          <w:szCs w:val="22"/>
        </w:rPr>
      </w:pPr>
    </w:p>
    <w:p w14:paraId="22E6D3CE" w14:textId="77777777" w:rsidR="00C367F8" w:rsidRPr="00786071" w:rsidRDefault="00C367F8" w:rsidP="00C367F8">
      <w:pPr>
        <w:tabs>
          <w:tab w:val="clear" w:pos="567"/>
          <w:tab w:val="left" w:pos="540"/>
          <w:tab w:val="left" w:pos="569"/>
        </w:tabs>
        <w:rPr>
          <w:b/>
          <w:bCs/>
          <w:szCs w:val="22"/>
        </w:rPr>
      </w:pPr>
      <w:r w:rsidRPr="00786071">
        <w:rPr>
          <w:b/>
          <w:bCs/>
          <w:szCs w:val="22"/>
        </w:rPr>
        <w:t xml:space="preserve">6.5. </w:t>
      </w:r>
      <w:r w:rsidRPr="00786071">
        <w:rPr>
          <w:b/>
          <w:bCs/>
          <w:szCs w:val="22"/>
        </w:rPr>
        <w:tab/>
        <w:t xml:space="preserve">Vrsta i sadržaj pakovanja </w:t>
      </w:r>
    </w:p>
    <w:p w14:paraId="0C585E08" w14:textId="77777777" w:rsidR="00C367F8" w:rsidRDefault="00C367F8" w:rsidP="00C367F8">
      <w:pPr>
        <w:tabs>
          <w:tab w:val="clear" w:pos="567"/>
          <w:tab w:val="left" w:pos="540"/>
          <w:tab w:val="left" w:pos="569"/>
        </w:tabs>
        <w:rPr>
          <w:bCs/>
          <w:szCs w:val="22"/>
        </w:rPr>
      </w:pPr>
    </w:p>
    <w:p w14:paraId="351C045E" w14:textId="77777777" w:rsidR="00C367F8" w:rsidRPr="00AE1D1F" w:rsidRDefault="00C367F8" w:rsidP="00C367F8">
      <w:pPr>
        <w:widowControl w:val="0"/>
        <w:rPr>
          <w:szCs w:val="22"/>
        </w:rPr>
      </w:pPr>
      <w:r w:rsidRPr="00AE1D1F">
        <w:rPr>
          <w:szCs w:val="22"/>
        </w:rPr>
        <w:t xml:space="preserve">Blister (OPA/Alu/PVC//Alu): 30 </w:t>
      </w:r>
      <w:r w:rsidR="006738C9">
        <w:rPr>
          <w:szCs w:val="22"/>
        </w:rPr>
        <w:t xml:space="preserve">(3x10) </w:t>
      </w:r>
      <w:r w:rsidRPr="00AE1D1F">
        <w:rPr>
          <w:szCs w:val="22"/>
        </w:rPr>
        <w:t>film tableta, u kutiji.</w:t>
      </w:r>
    </w:p>
    <w:p w14:paraId="0EE04B1D" w14:textId="77777777" w:rsidR="00C367F8" w:rsidRPr="00786071" w:rsidRDefault="00C367F8" w:rsidP="00C367F8">
      <w:pPr>
        <w:tabs>
          <w:tab w:val="clear" w:pos="567"/>
          <w:tab w:val="left" w:pos="540"/>
          <w:tab w:val="left" w:pos="569"/>
        </w:tabs>
        <w:rPr>
          <w:bCs/>
          <w:szCs w:val="22"/>
        </w:rPr>
      </w:pPr>
    </w:p>
    <w:p w14:paraId="4DAE5D85" w14:textId="77777777" w:rsidR="00C367F8" w:rsidRDefault="00C367F8" w:rsidP="00C367F8">
      <w:pPr>
        <w:tabs>
          <w:tab w:val="clear" w:pos="567"/>
          <w:tab w:val="left" w:pos="540"/>
          <w:tab w:val="left" w:pos="569"/>
        </w:tabs>
        <w:rPr>
          <w:b/>
          <w:bCs/>
          <w:szCs w:val="22"/>
        </w:rPr>
      </w:pPr>
      <w:r w:rsidRPr="00786071">
        <w:rPr>
          <w:b/>
          <w:bCs/>
          <w:szCs w:val="22"/>
        </w:rPr>
        <w:t xml:space="preserve">6.6. </w:t>
      </w:r>
      <w:r w:rsidRPr="00786071">
        <w:rPr>
          <w:b/>
          <w:bCs/>
          <w:szCs w:val="22"/>
        </w:rPr>
        <w:tab/>
      </w:r>
      <w:r w:rsidRPr="00D47634">
        <w:rPr>
          <w:b/>
          <w:bCs/>
          <w:color w:val="000000"/>
          <w:szCs w:val="22"/>
        </w:rPr>
        <w:t>Posebne mjere opreza pri odlaganju materijala koji treba odbaciti nakon primjene lijeka</w:t>
      </w:r>
      <w:r w:rsidRPr="00786071">
        <w:rPr>
          <w:b/>
          <w:bCs/>
          <w:szCs w:val="22"/>
        </w:rPr>
        <w:t xml:space="preserve"> </w:t>
      </w:r>
      <w:r>
        <w:rPr>
          <w:b/>
          <w:bCs/>
          <w:szCs w:val="22"/>
        </w:rPr>
        <w:t xml:space="preserve">(i druga uputstva za rukovanje lijekom) </w:t>
      </w:r>
    </w:p>
    <w:p w14:paraId="354683D2" w14:textId="77777777" w:rsidR="00C367F8" w:rsidRDefault="00C367F8" w:rsidP="00C367F8">
      <w:pPr>
        <w:tabs>
          <w:tab w:val="clear" w:pos="567"/>
          <w:tab w:val="left" w:pos="540"/>
          <w:tab w:val="left" w:pos="569"/>
        </w:tabs>
        <w:rPr>
          <w:b/>
          <w:bCs/>
          <w:szCs w:val="22"/>
        </w:rPr>
      </w:pPr>
    </w:p>
    <w:p w14:paraId="6D3BD438" w14:textId="77777777" w:rsidR="00C367F8" w:rsidRPr="002D0BD3" w:rsidRDefault="00C367F8" w:rsidP="00C367F8">
      <w:pPr>
        <w:jc w:val="both"/>
        <w:rPr>
          <w:bCs/>
          <w:szCs w:val="22"/>
          <w:lang w:val="sr-Latn-ME"/>
        </w:rPr>
      </w:pPr>
      <w:r w:rsidRPr="002D0BD3">
        <w:rPr>
          <w:bCs/>
          <w:szCs w:val="22"/>
          <w:lang w:val="sr-Latn-ME"/>
        </w:rPr>
        <w:t>Neupotrijebljeni lijek se uništava u skladu sa važećim propisima.</w:t>
      </w:r>
    </w:p>
    <w:p w14:paraId="2B496CBE" w14:textId="77777777" w:rsidR="00C367F8" w:rsidRDefault="00C367F8" w:rsidP="00C367F8">
      <w:pPr>
        <w:tabs>
          <w:tab w:val="clear" w:pos="567"/>
          <w:tab w:val="left" w:pos="540"/>
          <w:tab w:val="left" w:pos="569"/>
        </w:tabs>
        <w:rPr>
          <w:bCs/>
          <w:szCs w:val="22"/>
        </w:rPr>
      </w:pPr>
    </w:p>
    <w:p w14:paraId="3ADD8D5D" w14:textId="77777777" w:rsidR="006D6922" w:rsidRDefault="006D6922" w:rsidP="00C367F8">
      <w:pPr>
        <w:tabs>
          <w:tab w:val="clear" w:pos="567"/>
          <w:tab w:val="left" w:pos="540"/>
          <w:tab w:val="left" w:pos="569"/>
        </w:tabs>
        <w:rPr>
          <w:bCs/>
          <w:szCs w:val="22"/>
        </w:rPr>
      </w:pPr>
    </w:p>
    <w:p w14:paraId="6085088B" w14:textId="77777777" w:rsidR="00C367F8" w:rsidRPr="00786071" w:rsidRDefault="00C367F8" w:rsidP="00C367F8">
      <w:pPr>
        <w:tabs>
          <w:tab w:val="clear" w:pos="567"/>
          <w:tab w:val="left" w:pos="540"/>
          <w:tab w:val="left" w:pos="569"/>
        </w:tabs>
        <w:rPr>
          <w:b/>
          <w:bCs/>
          <w:szCs w:val="22"/>
        </w:rPr>
      </w:pPr>
      <w:r w:rsidRPr="00786071">
        <w:rPr>
          <w:b/>
          <w:bCs/>
          <w:szCs w:val="22"/>
        </w:rPr>
        <w:t xml:space="preserve">7. </w:t>
      </w:r>
      <w:r w:rsidRPr="00786071">
        <w:rPr>
          <w:b/>
          <w:bCs/>
          <w:szCs w:val="22"/>
        </w:rPr>
        <w:tab/>
        <w:t xml:space="preserve">NOSILAC DOZVOLE </w:t>
      </w:r>
    </w:p>
    <w:p w14:paraId="6AA59B94" w14:textId="77777777" w:rsidR="00C367F8" w:rsidRDefault="00C367F8" w:rsidP="00C367F8">
      <w:pPr>
        <w:tabs>
          <w:tab w:val="clear" w:pos="567"/>
          <w:tab w:val="left" w:pos="540"/>
          <w:tab w:val="left" w:pos="569"/>
        </w:tabs>
        <w:rPr>
          <w:bCs/>
          <w:szCs w:val="22"/>
        </w:rPr>
      </w:pPr>
    </w:p>
    <w:p w14:paraId="6E4E69DC" w14:textId="77777777" w:rsidR="0044015E" w:rsidRDefault="00C367F8" w:rsidP="00C367F8">
      <w:pPr>
        <w:widowControl w:val="0"/>
        <w:rPr>
          <w:szCs w:val="22"/>
          <w:lang w:val="sr-Latn-RS"/>
        </w:rPr>
      </w:pPr>
      <w:r w:rsidRPr="0008089F">
        <w:rPr>
          <w:szCs w:val="22"/>
          <w:lang w:val="sr-Latn-RS"/>
        </w:rPr>
        <w:t>D.S.D. „KRKA, d.d., Novo mesto“ - predstavništvo Podgorica</w:t>
      </w:r>
    </w:p>
    <w:p w14:paraId="514008BE" w14:textId="77777777" w:rsidR="002C686C" w:rsidRPr="00EC6E46" w:rsidRDefault="00C367F8" w:rsidP="00EC6E46">
      <w:pPr>
        <w:widowControl w:val="0"/>
        <w:tabs>
          <w:tab w:val="clear" w:pos="567"/>
          <w:tab w:val="left" w:pos="569"/>
        </w:tabs>
        <w:rPr>
          <w:szCs w:val="22"/>
          <w:lang w:val="sr-Latn-RS"/>
        </w:rPr>
      </w:pPr>
      <w:r w:rsidRPr="0008089F">
        <w:rPr>
          <w:szCs w:val="22"/>
          <w:lang w:val="sr-Latn-RS"/>
        </w:rPr>
        <w:t>Svetlane Kane Radević br. 3, 81000</w:t>
      </w:r>
      <w:r>
        <w:rPr>
          <w:szCs w:val="22"/>
          <w:lang w:val="sr-Latn-RS"/>
        </w:rPr>
        <w:t xml:space="preserve"> </w:t>
      </w:r>
      <w:r w:rsidRPr="0008089F">
        <w:rPr>
          <w:szCs w:val="22"/>
          <w:lang w:val="sr-Latn-RS"/>
        </w:rPr>
        <w:t>Podgorica, Crna Gor</w:t>
      </w:r>
      <w:r w:rsidR="00EC6E46">
        <w:rPr>
          <w:szCs w:val="22"/>
          <w:lang w:val="sr-Latn-RS"/>
        </w:rPr>
        <w:t>a</w:t>
      </w:r>
    </w:p>
    <w:p w14:paraId="209C498D" w14:textId="77777777" w:rsidR="002C686C" w:rsidRDefault="002C686C" w:rsidP="00C367F8">
      <w:pPr>
        <w:tabs>
          <w:tab w:val="clear" w:pos="567"/>
          <w:tab w:val="left" w:pos="540"/>
          <w:tab w:val="left" w:pos="569"/>
        </w:tabs>
        <w:rPr>
          <w:b/>
          <w:bCs/>
          <w:szCs w:val="22"/>
        </w:rPr>
      </w:pPr>
    </w:p>
    <w:p w14:paraId="26BE689C" w14:textId="77777777" w:rsidR="00C367F8" w:rsidRPr="00786071" w:rsidRDefault="00C367F8" w:rsidP="00C367F8">
      <w:pPr>
        <w:tabs>
          <w:tab w:val="clear" w:pos="567"/>
          <w:tab w:val="left" w:pos="540"/>
          <w:tab w:val="left" w:pos="569"/>
        </w:tabs>
        <w:rPr>
          <w:b/>
          <w:bCs/>
          <w:szCs w:val="22"/>
        </w:rPr>
      </w:pPr>
      <w:r w:rsidRPr="00786071">
        <w:rPr>
          <w:b/>
          <w:bCs/>
          <w:szCs w:val="22"/>
        </w:rPr>
        <w:t xml:space="preserve">8. </w:t>
      </w:r>
      <w:r w:rsidRPr="00786071">
        <w:rPr>
          <w:b/>
          <w:bCs/>
          <w:szCs w:val="22"/>
        </w:rPr>
        <w:tab/>
        <w:t>BROJ DOZVOLE</w:t>
      </w:r>
      <w:r>
        <w:rPr>
          <w:b/>
          <w:bCs/>
          <w:szCs w:val="22"/>
        </w:rPr>
        <w:t xml:space="preserve"> ZA STAVLJANJE LIJEKA U PROMET</w:t>
      </w:r>
    </w:p>
    <w:p w14:paraId="71BFFFF6" w14:textId="77777777" w:rsidR="00C367F8" w:rsidRDefault="00C367F8" w:rsidP="00C367F8">
      <w:pPr>
        <w:tabs>
          <w:tab w:val="clear" w:pos="567"/>
          <w:tab w:val="left" w:pos="540"/>
          <w:tab w:val="left" w:pos="569"/>
        </w:tabs>
        <w:rPr>
          <w:bCs/>
          <w:szCs w:val="22"/>
        </w:rPr>
      </w:pPr>
    </w:p>
    <w:p w14:paraId="6DCB71A8" w14:textId="77777777" w:rsidR="009D5003" w:rsidRPr="00E21C4B" w:rsidRDefault="009D5003" w:rsidP="009D5003">
      <w:pPr>
        <w:widowControl w:val="0"/>
        <w:jc w:val="both"/>
        <w:rPr>
          <w:noProof/>
          <w:szCs w:val="22"/>
        </w:rPr>
      </w:pPr>
      <w:r w:rsidRPr="00E21C4B">
        <w:rPr>
          <w:noProof/>
          <w:szCs w:val="22"/>
        </w:rPr>
        <w:t>Co-Roswera</w:t>
      </w:r>
      <w:r>
        <w:rPr>
          <w:noProof/>
          <w:szCs w:val="22"/>
        </w:rPr>
        <w:t>,</w:t>
      </w:r>
      <w:r w:rsidRPr="00E21C4B">
        <w:rPr>
          <w:noProof/>
          <w:szCs w:val="22"/>
        </w:rPr>
        <w:t xml:space="preserve"> 10 mg</w:t>
      </w:r>
      <w:r>
        <w:rPr>
          <w:noProof/>
          <w:szCs w:val="22"/>
        </w:rPr>
        <w:t xml:space="preserve"> + 10 mg, film tableta:</w:t>
      </w:r>
      <w:r w:rsidR="001277DE">
        <w:rPr>
          <w:noProof/>
          <w:szCs w:val="22"/>
        </w:rPr>
        <w:t xml:space="preserve"> </w:t>
      </w:r>
      <w:r w:rsidR="001277DE" w:rsidRPr="001277DE">
        <w:rPr>
          <w:noProof/>
          <w:szCs w:val="22"/>
        </w:rPr>
        <w:t>2030/23/1037 - 3602</w:t>
      </w:r>
    </w:p>
    <w:p w14:paraId="30D42C73" w14:textId="77777777" w:rsidR="009D5003" w:rsidRPr="00425D1C" w:rsidRDefault="009D5003" w:rsidP="00425D1C">
      <w:pPr>
        <w:widowControl w:val="0"/>
        <w:rPr>
          <w:szCs w:val="22"/>
          <w:lang w:val="sr-Latn-RS"/>
        </w:rPr>
      </w:pPr>
      <w:r w:rsidRPr="00425D1C">
        <w:rPr>
          <w:szCs w:val="22"/>
          <w:lang w:val="sr-Latn-RS"/>
        </w:rPr>
        <w:t>Co-Roswera, 20 mg + 10 mg, film tableta:</w:t>
      </w:r>
      <w:r w:rsidR="001277DE" w:rsidRPr="00425D1C">
        <w:rPr>
          <w:szCs w:val="22"/>
          <w:lang w:val="sr-Latn-RS"/>
        </w:rPr>
        <w:t xml:space="preserve"> 2030/23/1038 - 3603</w:t>
      </w:r>
    </w:p>
    <w:p w14:paraId="56B9F957" w14:textId="77777777" w:rsidR="009D5003" w:rsidRPr="00425D1C" w:rsidRDefault="009D5003" w:rsidP="00425D1C">
      <w:pPr>
        <w:widowControl w:val="0"/>
        <w:rPr>
          <w:szCs w:val="22"/>
          <w:lang w:val="sr-Latn-RS"/>
        </w:rPr>
      </w:pPr>
      <w:r w:rsidRPr="00425D1C">
        <w:rPr>
          <w:szCs w:val="22"/>
          <w:lang w:val="sr-Latn-RS"/>
        </w:rPr>
        <w:t>Co-Roswera, 40 mg</w:t>
      </w:r>
      <w:r w:rsidR="001277DE" w:rsidRPr="00425D1C">
        <w:rPr>
          <w:szCs w:val="22"/>
          <w:lang w:val="sr-Latn-RS"/>
        </w:rPr>
        <w:t xml:space="preserve"> + 10 mg, film tableta: 2030/23/1039 - 3604</w:t>
      </w:r>
    </w:p>
    <w:p w14:paraId="379F55F9" w14:textId="77777777" w:rsidR="00C367F8" w:rsidRDefault="00C367F8" w:rsidP="00C367F8">
      <w:pPr>
        <w:tabs>
          <w:tab w:val="clear" w:pos="567"/>
          <w:tab w:val="left" w:pos="540"/>
          <w:tab w:val="left" w:pos="569"/>
        </w:tabs>
        <w:rPr>
          <w:bCs/>
          <w:szCs w:val="22"/>
        </w:rPr>
      </w:pPr>
    </w:p>
    <w:p w14:paraId="76B2035A" w14:textId="77777777" w:rsidR="001277DE" w:rsidRPr="00786071" w:rsidRDefault="001277DE" w:rsidP="00C367F8">
      <w:pPr>
        <w:tabs>
          <w:tab w:val="clear" w:pos="567"/>
          <w:tab w:val="left" w:pos="540"/>
          <w:tab w:val="left" w:pos="569"/>
        </w:tabs>
        <w:rPr>
          <w:bCs/>
          <w:szCs w:val="22"/>
        </w:rPr>
      </w:pPr>
    </w:p>
    <w:p w14:paraId="263781FE" w14:textId="77777777" w:rsidR="00C367F8" w:rsidRPr="00786071" w:rsidRDefault="00C367F8" w:rsidP="00C367F8">
      <w:pPr>
        <w:tabs>
          <w:tab w:val="clear" w:pos="567"/>
          <w:tab w:val="left" w:pos="540"/>
          <w:tab w:val="left" w:pos="569"/>
        </w:tabs>
        <w:rPr>
          <w:b/>
          <w:bCs/>
          <w:szCs w:val="22"/>
        </w:rPr>
      </w:pPr>
      <w:r w:rsidRPr="00786071">
        <w:rPr>
          <w:b/>
          <w:bCs/>
          <w:szCs w:val="22"/>
        </w:rPr>
        <w:t xml:space="preserve">9. </w:t>
      </w:r>
      <w:r w:rsidRPr="00786071">
        <w:rPr>
          <w:b/>
          <w:bCs/>
          <w:szCs w:val="22"/>
        </w:rPr>
        <w:tab/>
        <w:t xml:space="preserve">DATUM </w:t>
      </w:r>
      <w:r>
        <w:rPr>
          <w:b/>
          <w:bCs/>
          <w:szCs w:val="22"/>
        </w:rPr>
        <w:t xml:space="preserve">PRVE </w:t>
      </w:r>
      <w:r w:rsidRPr="00786071">
        <w:rPr>
          <w:b/>
          <w:bCs/>
          <w:szCs w:val="22"/>
        </w:rPr>
        <w:t>DOZVOLE</w:t>
      </w:r>
      <w:r>
        <w:rPr>
          <w:b/>
          <w:bCs/>
          <w:szCs w:val="22"/>
        </w:rPr>
        <w:t>/OBNOVE DOZVOLE ZA STAVLJANJE LIJEKA U PROMET</w:t>
      </w:r>
    </w:p>
    <w:p w14:paraId="3A82AF23" w14:textId="77777777" w:rsidR="00C367F8" w:rsidRDefault="00C367F8" w:rsidP="00C367F8">
      <w:pPr>
        <w:tabs>
          <w:tab w:val="clear" w:pos="567"/>
          <w:tab w:val="left" w:pos="540"/>
          <w:tab w:val="left" w:pos="569"/>
        </w:tabs>
        <w:rPr>
          <w:bCs/>
          <w:szCs w:val="22"/>
        </w:rPr>
      </w:pPr>
    </w:p>
    <w:p w14:paraId="42859E97" w14:textId="77777777" w:rsidR="00C367F8" w:rsidRDefault="008C1508" w:rsidP="00C367F8">
      <w:pPr>
        <w:tabs>
          <w:tab w:val="clear" w:pos="567"/>
          <w:tab w:val="left" w:pos="540"/>
          <w:tab w:val="left" w:pos="569"/>
        </w:tabs>
        <w:rPr>
          <w:bCs/>
          <w:szCs w:val="22"/>
        </w:rPr>
      </w:pPr>
      <w:r w:rsidRPr="008C1508">
        <w:rPr>
          <w:bCs/>
          <w:szCs w:val="22"/>
        </w:rPr>
        <w:t>04.04.2023. godine</w:t>
      </w:r>
    </w:p>
    <w:p w14:paraId="1B21EEA2" w14:textId="77777777" w:rsidR="008C1508" w:rsidRDefault="008C1508" w:rsidP="00C367F8">
      <w:pPr>
        <w:tabs>
          <w:tab w:val="clear" w:pos="567"/>
          <w:tab w:val="left" w:pos="540"/>
          <w:tab w:val="left" w:pos="569"/>
        </w:tabs>
        <w:rPr>
          <w:bCs/>
          <w:szCs w:val="22"/>
        </w:rPr>
      </w:pPr>
    </w:p>
    <w:p w14:paraId="7FCC8647" w14:textId="77777777" w:rsidR="008C1508" w:rsidRPr="00786071" w:rsidRDefault="008C1508" w:rsidP="00C367F8">
      <w:pPr>
        <w:tabs>
          <w:tab w:val="clear" w:pos="567"/>
          <w:tab w:val="left" w:pos="540"/>
          <w:tab w:val="left" w:pos="569"/>
        </w:tabs>
        <w:rPr>
          <w:bCs/>
          <w:szCs w:val="22"/>
        </w:rPr>
      </w:pPr>
    </w:p>
    <w:p w14:paraId="6448524B" w14:textId="77777777" w:rsidR="00C367F8" w:rsidRPr="00786071" w:rsidRDefault="00C367F8" w:rsidP="00C367F8">
      <w:pPr>
        <w:tabs>
          <w:tab w:val="clear" w:pos="567"/>
          <w:tab w:val="left" w:pos="540"/>
          <w:tab w:val="left" w:pos="569"/>
        </w:tabs>
        <w:ind w:left="540" w:hanging="540"/>
        <w:rPr>
          <w:bCs/>
          <w:szCs w:val="22"/>
        </w:rPr>
      </w:pPr>
      <w:r w:rsidRPr="00786071">
        <w:rPr>
          <w:b/>
          <w:bCs/>
          <w:szCs w:val="22"/>
        </w:rPr>
        <w:t xml:space="preserve">10. </w:t>
      </w:r>
      <w:r w:rsidRPr="00786071">
        <w:rPr>
          <w:b/>
          <w:bCs/>
          <w:szCs w:val="22"/>
        </w:rPr>
        <w:tab/>
        <w:t xml:space="preserve">DATUM REVIZIJE TEKSTA </w:t>
      </w:r>
    </w:p>
    <w:p w14:paraId="4589F4DE" w14:textId="77777777" w:rsidR="00C367F8" w:rsidRDefault="00C367F8" w:rsidP="00C367F8">
      <w:pPr>
        <w:tabs>
          <w:tab w:val="clear" w:pos="567"/>
          <w:tab w:val="left" w:pos="540"/>
          <w:tab w:val="left" w:pos="569"/>
        </w:tabs>
        <w:rPr>
          <w:bCs/>
          <w:szCs w:val="22"/>
        </w:rPr>
      </w:pPr>
    </w:p>
    <w:p w14:paraId="504AB848" w14:textId="1E347FD7" w:rsidR="00C367F8" w:rsidRPr="00786071" w:rsidRDefault="00425D1C" w:rsidP="00C367F8">
      <w:pPr>
        <w:rPr>
          <w:szCs w:val="22"/>
          <w:lang w:val="pl-PL"/>
        </w:rPr>
      </w:pPr>
      <w:r>
        <w:rPr>
          <w:szCs w:val="22"/>
          <w:lang w:val="pl-PL"/>
        </w:rPr>
        <w:t>Februar, 2024. godine</w:t>
      </w:r>
      <w:bookmarkStart w:id="0" w:name="_GoBack"/>
      <w:bookmarkEnd w:id="0"/>
    </w:p>
    <w:p w14:paraId="5D8C868F" w14:textId="77777777" w:rsidR="00812D16" w:rsidRPr="00C367F8" w:rsidRDefault="00812D16" w:rsidP="00C367F8"/>
    <w:sectPr w:rsidR="00812D16" w:rsidRPr="00C367F8" w:rsidSect="001374C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DDBA" w14:textId="77777777" w:rsidR="00257882" w:rsidRDefault="00257882">
      <w:pPr>
        <w:spacing w:line="240" w:lineRule="auto"/>
      </w:pPr>
      <w:r>
        <w:separator/>
      </w:r>
    </w:p>
  </w:endnote>
  <w:endnote w:type="continuationSeparator" w:id="0">
    <w:p w14:paraId="4A2D768B" w14:textId="77777777" w:rsidR="00257882" w:rsidRDefault="00257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7C30" w14:textId="77777777" w:rsidR="00617E6B" w:rsidRDefault="00617E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2022E" w14:textId="754F6340" w:rsidR="009D5003" w:rsidRPr="00516260" w:rsidRDefault="009D5003" w:rsidP="00516260">
    <w:pPr>
      <w:tabs>
        <w:tab w:val="center" w:pos="4550"/>
        <w:tab w:val="left" w:pos="5818"/>
      </w:tabs>
      <w:ind w:right="260"/>
      <w:rPr>
        <w:color w:val="222A35" w:themeColor="text2" w:themeShade="80"/>
        <w:szCs w:val="22"/>
      </w:rPr>
    </w:pPr>
    <w:r>
      <w:rPr>
        <w:color w:val="8496B0" w:themeColor="text2" w:themeTint="99"/>
        <w:spacing w:val="60"/>
        <w:sz w:val="24"/>
        <w:szCs w:val="24"/>
      </w:rPr>
      <w:t xml:space="preserve">                               </w:t>
    </w:r>
    <w:r>
      <w:rPr>
        <w:color w:val="8496B0" w:themeColor="text2" w:themeTint="99"/>
        <w:sz w:val="24"/>
        <w:szCs w:val="24"/>
      </w:rPr>
      <w:t xml:space="preserve"> </w:t>
    </w:r>
    <w:r w:rsidRPr="00516260">
      <w:rPr>
        <w:color w:val="323E4F" w:themeColor="text2" w:themeShade="BF"/>
        <w:szCs w:val="22"/>
      </w:rPr>
      <w:fldChar w:fldCharType="begin"/>
    </w:r>
    <w:r w:rsidRPr="00516260">
      <w:rPr>
        <w:color w:val="323E4F" w:themeColor="text2" w:themeShade="BF"/>
        <w:szCs w:val="22"/>
      </w:rPr>
      <w:instrText xml:space="preserve"> PAGE   \* MERGEFORMAT </w:instrText>
    </w:r>
    <w:r w:rsidRPr="00516260">
      <w:rPr>
        <w:color w:val="323E4F" w:themeColor="text2" w:themeShade="BF"/>
        <w:szCs w:val="22"/>
      </w:rPr>
      <w:fldChar w:fldCharType="separate"/>
    </w:r>
    <w:r w:rsidR="00425D1C">
      <w:rPr>
        <w:noProof/>
        <w:color w:val="323E4F" w:themeColor="text2" w:themeShade="BF"/>
        <w:szCs w:val="22"/>
      </w:rPr>
      <w:t>23</w:t>
    </w:r>
    <w:r w:rsidRPr="00516260">
      <w:rPr>
        <w:color w:val="323E4F" w:themeColor="text2" w:themeShade="BF"/>
        <w:szCs w:val="22"/>
      </w:rPr>
      <w:fldChar w:fldCharType="end"/>
    </w:r>
    <w:r w:rsidRPr="00516260">
      <w:rPr>
        <w:color w:val="323E4F" w:themeColor="text2" w:themeShade="BF"/>
        <w:szCs w:val="22"/>
      </w:rPr>
      <w:t xml:space="preserve"> / </w:t>
    </w:r>
    <w:r w:rsidRPr="00516260">
      <w:rPr>
        <w:color w:val="323E4F" w:themeColor="text2" w:themeShade="BF"/>
        <w:szCs w:val="22"/>
      </w:rPr>
      <w:fldChar w:fldCharType="begin"/>
    </w:r>
    <w:r w:rsidRPr="00516260">
      <w:rPr>
        <w:color w:val="323E4F" w:themeColor="text2" w:themeShade="BF"/>
        <w:szCs w:val="22"/>
      </w:rPr>
      <w:instrText xml:space="preserve"> NUMPAGES  \* Arabic  \* MERGEFORMAT </w:instrText>
    </w:r>
    <w:r w:rsidRPr="00516260">
      <w:rPr>
        <w:color w:val="323E4F" w:themeColor="text2" w:themeShade="BF"/>
        <w:szCs w:val="22"/>
      </w:rPr>
      <w:fldChar w:fldCharType="separate"/>
    </w:r>
    <w:r w:rsidR="00425D1C">
      <w:rPr>
        <w:noProof/>
        <w:color w:val="323E4F" w:themeColor="text2" w:themeShade="BF"/>
        <w:szCs w:val="22"/>
      </w:rPr>
      <w:t>23</w:t>
    </w:r>
    <w:r w:rsidRPr="00516260">
      <w:rPr>
        <w:color w:val="323E4F" w:themeColor="text2" w:themeShade="BF"/>
        <w:szCs w:val="22"/>
      </w:rPr>
      <w:fldChar w:fldCharType="end"/>
    </w:r>
  </w:p>
  <w:p w14:paraId="685A9399" w14:textId="77777777" w:rsidR="009D5003" w:rsidRDefault="009D5003">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E8C3" w14:textId="24AB6B3D" w:rsidR="009D5003" w:rsidRPr="00516260" w:rsidRDefault="009D5003" w:rsidP="00516260">
    <w:pPr>
      <w:tabs>
        <w:tab w:val="center" w:pos="4550"/>
        <w:tab w:val="left" w:pos="5818"/>
      </w:tabs>
      <w:ind w:right="260"/>
      <w:rPr>
        <w:color w:val="222A35" w:themeColor="text2" w:themeShade="80"/>
        <w:szCs w:val="22"/>
      </w:rPr>
    </w:pPr>
    <w:r>
      <w:rPr>
        <w:color w:val="8496B0" w:themeColor="text2" w:themeTint="99"/>
        <w:spacing w:val="60"/>
        <w:sz w:val="24"/>
        <w:szCs w:val="24"/>
      </w:rPr>
      <w:t xml:space="preserve">                           </w:t>
    </w:r>
    <w:r>
      <w:rPr>
        <w:color w:val="8496B0" w:themeColor="text2" w:themeTint="99"/>
        <w:sz w:val="24"/>
        <w:szCs w:val="24"/>
      </w:rPr>
      <w:t xml:space="preserve"> </w:t>
    </w:r>
    <w:r w:rsidRPr="00516260">
      <w:rPr>
        <w:color w:val="323E4F" w:themeColor="text2" w:themeShade="BF"/>
        <w:szCs w:val="22"/>
      </w:rPr>
      <w:fldChar w:fldCharType="begin"/>
    </w:r>
    <w:r w:rsidRPr="00516260">
      <w:rPr>
        <w:color w:val="323E4F" w:themeColor="text2" w:themeShade="BF"/>
        <w:szCs w:val="22"/>
      </w:rPr>
      <w:instrText xml:space="preserve"> PAGE   \* MERGEFORMAT </w:instrText>
    </w:r>
    <w:r w:rsidRPr="00516260">
      <w:rPr>
        <w:color w:val="323E4F" w:themeColor="text2" w:themeShade="BF"/>
        <w:szCs w:val="22"/>
      </w:rPr>
      <w:fldChar w:fldCharType="separate"/>
    </w:r>
    <w:r w:rsidR="0062373E">
      <w:rPr>
        <w:noProof/>
        <w:color w:val="323E4F" w:themeColor="text2" w:themeShade="BF"/>
        <w:szCs w:val="22"/>
      </w:rPr>
      <w:t>1</w:t>
    </w:r>
    <w:r w:rsidRPr="00516260">
      <w:rPr>
        <w:color w:val="323E4F" w:themeColor="text2" w:themeShade="BF"/>
        <w:szCs w:val="22"/>
      </w:rPr>
      <w:fldChar w:fldCharType="end"/>
    </w:r>
    <w:r w:rsidRPr="00516260">
      <w:rPr>
        <w:color w:val="323E4F" w:themeColor="text2" w:themeShade="BF"/>
        <w:szCs w:val="22"/>
      </w:rPr>
      <w:t xml:space="preserve"> / </w:t>
    </w:r>
    <w:r w:rsidRPr="00516260">
      <w:rPr>
        <w:color w:val="323E4F" w:themeColor="text2" w:themeShade="BF"/>
        <w:szCs w:val="22"/>
      </w:rPr>
      <w:fldChar w:fldCharType="begin"/>
    </w:r>
    <w:r w:rsidRPr="00516260">
      <w:rPr>
        <w:color w:val="323E4F" w:themeColor="text2" w:themeShade="BF"/>
        <w:szCs w:val="22"/>
      </w:rPr>
      <w:instrText xml:space="preserve"> NUMPAGES  \* Arabic  \* MERGEFORMAT </w:instrText>
    </w:r>
    <w:r w:rsidRPr="00516260">
      <w:rPr>
        <w:color w:val="323E4F" w:themeColor="text2" w:themeShade="BF"/>
        <w:szCs w:val="22"/>
      </w:rPr>
      <w:fldChar w:fldCharType="separate"/>
    </w:r>
    <w:r w:rsidR="0062373E">
      <w:rPr>
        <w:noProof/>
        <w:color w:val="323E4F" w:themeColor="text2" w:themeShade="BF"/>
        <w:szCs w:val="22"/>
      </w:rPr>
      <w:t>23</w:t>
    </w:r>
    <w:r w:rsidRPr="00516260">
      <w:rPr>
        <w:color w:val="323E4F" w:themeColor="text2" w:themeShade="BF"/>
        <w:szCs w:val="22"/>
      </w:rPr>
      <w:fldChar w:fldCharType="end"/>
    </w:r>
  </w:p>
  <w:p w14:paraId="1B3C488C" w14:textId="77777777" w:rsidR="009D5003" w:rsidRPr="006C3553" w:rsidRDefault="009D5003"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0C454" w14:textId="77777777" w:rsidR="00257882" w:rsidRDefault="00257882">
      <w:pPr>
        <w:spacing w:line="240" w:lineRule="auto"/>
      </w:pPr>
      <w:r>
        <w:separator/>
      </w:r>
    </w:p>
  </w:footnote>
  <w:footnote w:type="continuationSeparator" w:id="0">
    <w:p w14:paraId="00A1D2EF" w14:textId="77777777" w:rsidR="00257882" w:rsidRDefault="00257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D9189" w14:textId="77777777" w:rsidR="00617E6B" w:rsidRDefault="00617E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CF1F" w14:textId="77777777" w:rsidR="00617E6B" w:rsidRDefault="00617E6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9F1C" w14:textId="77777777" w:rsidR="00617E6B" w:rsidRDefault="00617E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3C12C6"/>
    <w:multiLevelType w:val="hybridMultilevel"/>
    <w:tmpl w:val="BCEE986C"/>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FC4725"/>
    <w:multiLevelType w:val="hybridMultilevel"/>
    <w:tmpl w:val="4B2066E8"/>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C197A"/>
    <w:multiLevelType w:val="hybridMultilevel"/>
    <w:tmpl w:val="17A8CDBC"/>
    <w:lvl w:ilvl="0" w:tplc="E2E8713A">
      <w:numFmt w:val="bullet"/>
      <w:lvlText w:val="-"/>
      <w:lvlJc w:val="left"/>
      <w:pPr>
        <w:ind w:left="780" w:hanging="360"/>
      </w:pPr>
      <w:rPr>
        <w:rFonts w:ascii="Times New Roman" w:eastAsia="Times New Roman" w:hAnsi="Times New Roman" w:cs="Times New Roman" w:hint="default"/>
        <w:b w:val="0"/>
        <w:i w:val="0"/>
        <w:sz w:val="16"/>
        <w:szCs w:val="16"/>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5572CD"/>
    <w:multiLevelType w:val="hybridMultilevel"/>
    <w:tmpl w:val="F87EA0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60888"/>
    <w:multiLevelType w:val="hybridMultilevel"/>
    <w:tmpl w:val="EF808964"/>
    <w:lvl w:ilvl="0" w:tplc="E2E8713A">
      <w:numFmt w:val="bullet"/>
      <w:lvlText w:val="-"/>
      <w:lvlJc w:val="left"/>
      <w:pPr>
        <w:tabs>
          <w:tab w:val="num" w:pos="567"/>
        </w:tabs>
        <w:ind w:left="567" w:hanging="567"/>
      </w:pPr>
      <w:rPr>
        <w:rFonts w:ascii="Times New Roman" w:eastAsia="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0240BD4"/>
    <w:multiLevelType w:val="hybridMultilevel"/>
    <w:tmpl w:val="F9EED2BE"/>
    <w:lvl w:ilvl="0" w:tplc="11A42CF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5955976"/>
    <w:multiLevelType w:val="hybridMultilevel"/>
    <w:tmpl w:val="8CD09552"/>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A463033"/>
    <w:multiLevelType w:val="hybridMultilevel"/>
    <w:tmpl w:val="B13274B2"/>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32D77"/>
    <w:multiLevelType w:val="hybridMultilevel"/>
    <w:tmpl w:val="F4B8D966"/>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14335"/>
    <w:multiLevelType w:val="hybridMultilevel"/>
    <w:tmpl w:val="FEF81256"/>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85B31"/>
    <w:multiLevelType w:val="hybridMultilevel"/>
    <w:tmpl w:val="4F34F480"/>
    <w:lvl w:ilvl="0" w:tplc="E2E8713A">
      <w:numFmt w:val="bullet"/>
      <w:lvlText w:val="-"/>
      <w:lvlJc w:val="left"/>
      <w:pPr>
        <w:ind w:left="720" w:hanging="360"/>
      </w:pPr>
      <w:rPr>
        <w:rFonts w:ascii="Times New Roman" w:eastAsia="Times New Roman" w:hAnsi="Times New Roman" w:cs="Times New Roman" w:hint="default"/>
        <w:b w:val="0"/>
        <w:i w:val="0"/>
        <w:sz w:val="16"/>
        <w:szCs w:val="1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5"/>
  </w:num>
  <w:num w:numId="4">
    <w:abstractNumId w:val="10"/>
  </w:num>
  <w:num w:numId="5">
    <w:abstractNumId w:val="1"/>
  </w:num>
  <w:num w:numId="6">
    <w:abstractNumId w:val="5"/>
  </w:num>
  <w:num w:numId="7">
    <w:abstractNumId w:val="18"/>
  </w:num>
  <w:num w:numId="8">
    <w:abstractNumId w:val="0"/>
  </w:num>
  <w:num w:numId="9">
    <w:abstractNumId w:val="17"/>
  </w:num>
  <w:num w:numId="10">
    <w:abstractNumId w:val="7"/>
  </w:num>
  <w:num w:numId="11">
    <w:abstractNumId w:val="3"/>
  </w:num>
  <w:num w:numId="12">
    <w:abstractNumId w:val="14"/>
  </w:num>
  <w:num w:numId="13">
    <w:abstractNumId w:val="6"/>
  </w:num>
  <w:num w:numId="14">
    <w:abstractNumId w:val="11"/>
  </w:num>
  <w:num w:numId="15">
    <w:abstractNumId w:val="19"/>
  </w:num>
  <w:num w:numId="16">
    <w:abstractNumId w:val="9"/>
  </w:num>
  <w:num w:numId="17">
    <w:abstractNumId w:val="21"/>
  </w:num>
  <w:num w:numId="18">
    <w:abstractNumId w:val="12"/>
  </w:num>
  <w:num w:numId="19">
    <w:abstractNumId w:val="2"/>
  </w:num>
  <w:num w:numId="20">
    <w:abstractNumId w:val="4"/>
  </w:num>
  <w:num w:numId="21">
    <w:abstractNumId w:val="13"/>
  </w:num>
  <w:num w:numId="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05C1"/>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35A8A"/>
    <w:rsid w:val="00036CDD"/>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39E"/>
    <w:rsid w:val="000631FD"/>
    <w:rsid w:val="00063A6C"/>
    <w:rsid w:val="000643D3"/>
    <w:rsid w:val="00067B16"/>
    <w:rsid w:val="00071F8A"/>
    <w:rsid w:val="00073CA0"/>
    <w:rsid w:val="00073E04"/>
    <w:rsid w:val="0007401B"/>
    <w:rsid w:val="000757B2"/>
    <w:rsid w:val="0007628D"/>
    <w:rsid w:val="0008130A"/>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277"/>
    <w:rsid w:val="000E165D"/>
    <w:rsid w:val="000E1AB4"/>
    <w:rsid w:val="000E1BAF"/>
    <w:rsid w:val="000E223E"/>
    <w:rsid w:val="000E2491"/>
    <w:rsid w:val="000E2EA9"/>
    <w:rsid w:val="000E46A3"/>
    <w:rsid w:val="000E4874"/>
    <w:rsid w:val="000E4E88"/>
    <w:rsid w:val="000E5726"/>
    <w:rsid w:val="000E6C94"/>
    <w:rsid w:val="000F1BB2"/>
    <w:rsid w:val="000F217A"/>
    <w:rsid w:val="000F32AD"/>
    <w:rsid w:val="000F3F94"/>
    <w:rsid w:val="000F5235"/>
    <w:rsid w:val="000F5B21"/>
    <w:rsid w:val="00103501"/>
    <w:rsid w:val="00103B2D"/>
    <w:rsid w:val="00103CD2"/>
    <w:rsid w:val="00104061"/>
    <w:rsid w:val="00104C15"/>
    <w:rsid w:val="00107186"/>
    <w:rsid w:val="00107236"/>
    <w:rsid w:val="001074B3"/>
    <w:rsid w:val="00107C01"/>
    <w:rsid w:val="001101A2"/>
    <w:rsid w:val="001106F7"/>
    <w:rsid w:val="001108A9"/>
    <w:rsid w:val="001111FD"/>
    <w:rsid w:val="00112EDA"/>
    <w:rsid w:val="00114174"/>
    <w:rsid w:val="00117B4A"/>
    <w:rsid w:val="00117C1D"/>
    <w:rsid w:val="00123688"/>
    <w:rsid w:val="001277DE"/>
    <w:rsid w:val="00127F47"/>
    <w:rsid w:val="00133572"/>
    <w:rsid w:val="00134E4A"/>
    <w:rsid w:val="001364FB"/>
    <w:rsid w:val="001365F2"/>
    <w:rsid w:val="00136D7A"/>
    <w:rsid w:val="001374C5"/>
    <w:rsid w:val="00141470"/>
    <w:rsid w:val="00141540"/>
    <w:rsid w:val="001429F5"/>
    <w:rsid w:val="001449DF"/>
    <w:rsid w:val="0014569B"/>
    <w:rsid w:val="001470E0"/>
    <w:rsid w:val="00150060"/>
    <w:rsid w:val="00153DFC"/>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73C"/>
    <w:rsid w:val="001E1C10"/>
    <w:rsid w:val="001E1EEC"/>
    <w:rsid w:val="001E3CC0"/>
    <w:rsid w:val="001E4A94"/>
    <w:rsid w:val="001E77C3"/>
    <w:rsid w:val="001F090B"/>
    <w:rsid w:val="001F180A"/>
    <w:rsid w:val="001F1A28"/>
    <w:rsid w:val="001F1AD0"/>
    <w:rsid w:val="001F35E8"/>
    <w:rsid w:val="001F4014"/>
    <w:rsid w:val="001F445E"/>
    <w:rsid w:val="001F5850"/>
    <w:rsid w:val="001F6423"/>
    <w:rsid w:val="00201213"/>
    <w:rsid w:val="0020165E"/>
    <w:rsid w:val="0020272E"/>
    <w:rsid w:val="0020275E"/>
    <w:rsid w:val="00202E50"/>
    <w:rsid w:val="00204AAB"/>
    <w:rsid w:val="00205180"/>
    <w:rsid w:val="002059B3"/>
    <w:rsid w:val="00207F81"/>
    <w:rsid w:val="002109F4"/>
    <w:rsid w:val="00211FDA"/>
    <w:rsid w:val="00215FDA"/>
    <w:rsid w:val="002160C2"/>
    <w:rsid w:val="002208E7"/>
    <w:rsid w:val="00222BB9"/>
    <w:rsid w:val="002258D6"/>
    <w:rsid w:val="002274FB"/>
    <w:rsid w:val="002309D2"/>
    <w:rsid w:val="00231B61"/>
    <w:rsid w:val="0023315B"/>
    <w:rsid w:val="002347FE"/>
    <w:rsid w:val="002359D6"/>
    <w:rsid w:val="002360D3"/>
    <w:rsid w:val="00240000"/>
    <w:rsid w:val="0024178D"/>
    <w:rsid w:val="0024392B"/>
    <w:rsid w:val="002450C6"/>
    <w:rsid w:val="00245DCF"/>
    <w:rsid w:val="00246C65"/>
    <w:rsid w:val="00246EF4"/>
    <w:rsid w:val="0024721F"/>
    <w:rsid w:val="00251A10"/>
    <w:rsid w:val="00252BFF"/>
    <w:rsid w:val="0025349D"/>
    <w:rsid w:val="00253732"/>
    <w:rsid w:val="002542A8"/>
    <w:rsid w:val="00257882"/>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87A79"/>
    <w:rsid w:val="00290367"/>
    <w:rsid w:val="00296B03"/>
    <w:rsid w:val="00296C1F"/>
    <w:rsid w:val="002A41E6"/>
    <w:rsid w:val="002A44C8"/>
    <w:rsid w:val="002A545A"/>
    <w:rsid w:val="002A5D3B"/>
    <w:rsid w:val="002A5E48"/>
    <w:rsid w:val="002B0059"/>
    <w:rsid w:val="002B0455"/>
    <w:rsid w:val="002B261C"/>
    <w:rsid w:val="002B2BEE"/>
    <w:rsid w:val="002B3215"/>
    <w:rsid w:val="002B35C5"/>
    <w:rsid w:val="002B3935"/>
    <w:rsid w:val="002B406A"/>
    <w:rsid w:val="002B41D4"/>
    <w:rsid w:val="002B543F"/>
    <w:rsid w:val="002B6165"/>
    <w:rsid w:val="002B7CE5"/>
    <w:rsid w:val="002B7D73"/>
    <w:rsid w:val="002C06E3"/>
    <w:rsid w:val="002C0801"/>
    <w:rsid w:val="002C145F"/>
    <w:rsid w:val="002C33B3"/>
    <w:rsid w:val="002C44B0"/>
    <w:rsid w:val="002C4E07"/>
    <w:rsid w:val="002C686C"/>
    <w:rsid w:val="002C72AA"/>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4FC1"/>
    <w:rsid w:val="003065FC"/>
    <w:rsid w:val="0030683C"/>
    <w:rsid w:val="00307B74"/>
    <w:rsid w:val="00310764"/>
    <w:rsid w:val="00311BFD"/>
    <w:rsid w:val="00314718"/>
    <w:rsid w:val="0031488A"/>
    <w:rsid w:val="003175E1"/>
    <w:rsid w:val="00320203"/>
    <w:rsid w:val="00322002"/>
    <w:rsid w:val="00324101"/>
    <w:rsid w:val="003247B0"/>
    <w:rsid w:val="00325E81"/>
    <w:rsid w:val="003268C8"/>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4640"/>
    <w:rsid w:val="0038500E"/>
    <w:rsid w:val="00386DBF"/>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52E"/>
    <w:rsid w:val="003B360E"/>
    <w:rsid w:val="003B4B2F"/>
    <w:rsid w:val="003B4C50"/>
    <w:rsid w:val="003B52D4"/>
    <w:rsid w:val="003C1CA5"/>
    <w:rsid w:val="003C1EC7"/>
    <w:rsid w:val="003C3D8E"/>
    <w:rsid w:val="003C5E61"/>
    <w:rsid w:val="003C64A0"/>
    <w:rsid w:val="003C6F0B"/>
    <w:rsid w:val="003C7BA3"/>
    <w:rsid w:val="003D147E"/>
    <w:rsid w:val="003D3642"/>
    <w:rsid w:val="003D4E9C"/>
    <w:rsid w:val="003D5EE8"/>
    <w:rsid w:val="003E0D78"/>
    <w:rsid w:val="003E131E"/>
    <w:rsid w:val="003E1CB1"/>
    <w:rsid w:val="003E3A1D"/>
    <w:rsid w:val="003E6CA0"/>
    <w:rsid w:val="003F1F41"/>
    <w:rsid w:val="003F2FDE"/>
    <w:rsid w:val="003F330B"/>
    <w:rsid w:val="003F58B9"/>
    <w:rsid w:val="003F6FDF"/>
    <w:rsid w:val="004016F5"/>
    <w:rsid w:val="004045AA"/>
    <w:rsid w:val="0040549A"/>
    <w:rsid w:val="00405928"/>
    <w:rsid w:val="00405CC9"/>
    <w:rsid w:val="0040711E"/>
    <w:rsid w:val="00407D67"/>
    <w:rsid w:val="00412450"/>
    <w:rsid w:val="004138DE"/>
    <w:rsid w:val="00413B39"/>
    <w:rsid w:val="00414B2F"/>
    <w:rsid w:val="004154EB"/>
    <w:rsid w:val="00415E58"/>
    <w:rsid w:val="00416231"/>
    <w:rsid w:val="00417462"/>
    <w:rsid w:val="004208AB"/>
    <w:rsid w:val="004219EF"/>
    <w:rsid w:val="00421A72"/>
    <w:rsid w:val="00424348"/>
    <w:rsid w:val="00425D1C"/>
    <w:rsid w:val="00426CD9"/>
    <w:rsid w:val="00430FEB"/>
    <w:rsid w:val="004310EE"/>
    <w:rsid w:val="00433677"/>
    <w:rsid w:val="004340D5"/>
    <w:rsid w:val="00434880"/>
    <w:rsid w:val="00434A21"/>
    <w:rsid w:val="0043526D"/>
    <w:rsid w:val="0044015E"/>
    <w:rsid w:val="004460E9"/>
    <w:rsid w:val="00447B6F"/>
    <w:rsid w:val="00453623"/>
    <w:rsid w:val="00453C11"/>
    <w:rsid w:val="004557B0"/>
    <w:rsid w:val="00457946"/>
    <w:rsid w:val="00457D8B"/>
    <w:rsid w:val="00460A17"/>
    <w:rsid w:val="0046120A"/>
    <w:rsid w:val="00462F79"/>
    <w:rsid w:val="00463438"/>
    <w:rsid w:val="00463895"/>
    <w:rsid w:val="00463ECE"/>
    <w:rsid w:val="00465388"/>
    <w:rsid w:val="004677C9"/>
    <w:rsid w:val="00470CB5"/>
    <w:rsid w:val="00471EAB"/>
    <w:rsid w:val="004723EE"/>
    <w:rsid w:val="00475A92"/>
    <w:rsid w:val="00475C06"/>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076"/>
    <w:rsid w:val="004E23F5"/>
    <w:rsid w:val="004E5418"/>
    <w:rsid w:val="004E5A77"/>
    <w:rsid w:val="004E63E5"/>
    <w:rsid w:val="004E6A47"/>
    <w:rsid w:val="004E6B76"/>
    <w:rsid w:val="004F1437"/>
    <w:rsid w:val="004F3540"/>
    <w:rsid w:val="004F44FC"/>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3E2D"/>
    <w:rsid w:val="0051587A"/>
    <w:rsid w:val="005158FA"/>
    <w:rsid w:val="00516260"/>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3F61"/>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16C4"/>
    <w:rsid w:val="005B28E2"/>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D18"/>
    <w:rsid w:val="005E4E70"/>
    <w:rsid w:val="005E65BB"/>
    <w:rsid w:val="005F0DA0"/>
    <w:rsid w:val="005F2767"/>
    <w:rsid w:val="005F27D4"/>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17E6B"/>
    <w:rsid w:val="006221CD"/>
    <w:rsid w:val="00622220"/>
    <w:rsid w:val="0062373E"/>
    <w:rsid w:val="006266A9"/>
    <w:rsid w:val="00630426"/>
    <w:rsid w:val="006316C1"/>
    <w:rsid w:val="00631ED4"/>
    <w:rsid w:val="00633BC7"/>
    <w:rsid w:val="00635AC7"/>
    <w:rsid w:val="00635E9C"/>
    <w:rsid w:val="0063753F"/>
    <w:rsid w:val="00637B41"/>
    <w:rsid w:val="006414EE"/>
    <w:rsid w:val="00642524"/>
    <w:rsid w:val="00642D0A"/>
    <w:rsid w:val="0064489E"/>
    <w:rsid w:val="0064630E"/>
    <w:rsid w:val="00646FE1"/>
    <w:rsid w:val="00647075"/>
    <w:rsid w:val="0065581D"/>
    <w:rsid w:val="00655C2F"/>
    <w:rsid w:val="00660403"/>
    <w:rsid w:val="00661140"/>
    <w:rsid w:val="00667E61"/>
    <w:rsid w:val="006710DD"/>
    <w:rsid w:val="00671FC9"/>
    <w:rsid w:val="00673200"/>
    <w:rsid w:val="006738C9"/>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1E81"/>
    <w:rsid w:val="006B4557"/>
    <w:rsid w:val="006C0251"/>
    <w:rsid w:val="006C0320"/>
    <w:rsid w:val="006C2B9A"/>
    <w:rsid w:val="006C3553"/>
    <w:rsid w:val="006C39BB"/>
    <w:rsid w:val="006C4502"/>
    <w:rsid w:val="006C6114"/>
    <w:rsid w:val="006D2288"/>
    <w:rsid w:val="006D2E97"/>
    <w:rsid w:val="006D306A"/>
    <w:rsid w:val="006D3BFB"/>
    <w:rsid w:val="006D4464"/>
    <w:rsid w:val="006D5E16"/>
    <w:rsid w:val="006D5E91"/>
    <w:rsid w:val="006D6922"/>
    <w:rsid w:val="006D7E87"/>
    <w:rsid w:val="006E0AB7"/>
    <w:rsid w:val="006E14E6"/>
    <w:rsid w:val="006E1AEE"/>
    <w:rsid w:val="006E29F9"/>
    <w:rsid w:val="006E2F52"/>
    <w:rsid w:val="006E32A9"/>
    <w:rsid w:val="006E3B9C"/>
    <w:rsid w:val="006E51A2"/>
    <w:rsid w:val="006F0DE2"/>
    <w:rsid w:val="006F11BD"/>
    <w:rsid w:val="006F1484"/>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3F20"/>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7A7"/>
    <w:rsid w:val="007A1B2F"/>
    <w:rsid w:val="007A4636"/>
    <w:rsid w:val="007A5719"/>
    <w:rsid w:val="007A7377"/>
    <w:rsid w:val="007B1014"/>
    <w:rsid w:val="007B103F"/>
    <w:rsid w:val="007B1484"/>
    <w:rsid w:val="007B1A10"/>
    <w:rsid w:val="007B31AB"/>
    <w:rsid w:val="007B3268"/>
    <w:rsid w:val="007B37F1"/>
    <w:rsid w:val="007B42D3"/>
    <w:rsid w:val="007B46D9"/>
    <w:rsid w:val="007B4EA7"/>
    <w:rsid w:val="007B6659"/>
    <w:rsid w:val="007B6C39"/>
    <w:rsid w:val="007B76AB"/>
    <w:rsid w:val="007B7DBD"/>
    <w:rsid w:val="007C09EA"/>
    <w:rsid w:val="007C1D8D"/>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1CA7"/>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C5B"/>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508"/>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3716"/>
    <w:rsid w:val="00934E99"/>
    <w:rsid w:val="00936939"/>
    <w:rsid w:val="00936D5F"/>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C4D"/>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5003"/>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DB8"/>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2237"/>
    <w:rsid w:val="00A630BA"/>
    <w:rsid w:val="00A63B83"/>
    <w:rsid w:val="00A643C6"/>
    <w:rsid w:val="00A65BD9"/>
    <w:rsid w:val="00A66718"/>
    <w:rsid w:val="00A671EF"/>
    <w:rsid w:val="00A70B31"/>
    <w:rsid w:val="00A73A74"/>
    <w:rsid w:val="00A759FE"/>
    <w:rsid w:val="00A75CF1"/>
    <w:rsid w:val="00A75FE1"/>
    <w:rsid w:val="00A76B42"/>
    <w:rsid w:val="00A76D67"/>
    <w:rsid w:val="00A77562"/>
    <w:rsid w:val="00A776B8"/>
    <w:rsid w:val="00A81EB6"/>
    <w:rsid w:val="00A82DE9"/>
    <w:rsid w:val="00A837FE"/>
    <w:rsid w:val="00A83E97"/>
    <w:rsid w:val="00A85357"/>
    <w:rsid w:val="00A856B8"/>
    <w:rsid w:val="00A86A99"/>
    <w:rsid w:val="00A871E5"/>
    <w:rsid w:val="00A902DD"/>
    <w:rsid w:val="00A91617"/>
    <w:rsid w:val="00A93C1C"/>
    <w:rsid w:val="00A96FA8"/>
    <w:rsid w:val="00A973E3"/>
    <w:rsid w:val="00A9770A"/>
    <w:rsid w:val="00AA0A43"/>
    <w:rsid w:val="00AA0DD3"/>
    <w:rsid w:val="00AA1C07"/>
    <w:rsid w:val="00AA3688"/>
    <w:rsid w:val="00AA4006"/>
    <w:rsid w:val="00AA5887"/>
    <w:rsid w:val="00AA68DE"/>
    <w:rsid w:val="00AB19F8"/>
    <w:rsid w:val="00AB2A61"/>
    <w:rsid w:val="00AB3A12"/>
    <w:rsid w:val="00AB5A8D"/>
    <w:rsid w:val="00AB6642"/>
    <w:rsid w:val="00AC1724"/>
    <w:rsid w:val="00AC26A9"/>
    <w:rsid w:val="00AC2EFE"/>
    <w:rsid w:val="00AC3930"/>
    <w:rsid w:val="00AC3AB1"/>
    <w:rsid w:val="00AC50FD"/>
    <w:rsid w:val="00AC68C6"/>
    <w:rsid w:val="00AC7612"/>
    <w:rsid w:val="00AC79C1"/>
    <w:rsid w:val="00AC7CA4"/>
    <w:rsid w:val="00AD1F03"/>
    <w:rsid w:val="00AD493B"/>
    <w:rsid w:val="00AD4A64"/>
    <w:rsid w:val="00AD4D4E"/>
    <w:rsid w:val="00AD598F"/>
    <w:rsid w:val="00AD6D09"/>
    <w:rsid w:val="00AE07DA"/>
    <w:rsid w:val="00AE098E"/>
    <w:rsid w:val="00AE0BBA"/>
    <w:rsid w:val="00AE0EF7"/>
    <w:rsid w:val="00AE2291"/>
    <w:rsid w:val="00AE25C8"/>
    <w:rsid w:val="00AE4003"/>
    <w:rsid w:val="00AE4113"/>
    <w:rsid w:val="00AE4380"/>
    <w:rsid w:val="00AE4FAC"/>
    <w:rsid w:val="00AE5525"/>
    <w:rsid w:val="00AE6381"/>
    <w:rsid w:val="00AE656F"/>
    <w:rsid w:val="00AE7D78"/>
    <w:rsid w:val="00AF360B"/>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4153"/>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3B79"/>
    <w:rsid w:val="00B54691"/>
    <w:rsid w:val="00B54EE1"/>
    <w:rsid w:val="00B60CCD"/>
    <w:rsid w:val="00B62854"/>
    <w:rsid w:val="00B62EF1"/>
    <w:rsid w:val="00B640CC"/>
    <w:rsid w:val="00B641D7"/>
    <w:rsid w:val="00B645B6"/>
    <w:rsid w:val="00B64B2F"/>
    <w:rsid w:val="00B667BF"/>
    <w:rsid w:val="00B674D6"/>
    <w:rsid w:val="00B6797D"/>
    <w:rsid w:val="00B70B99"/>
    <w:rsid w:val="00B7245B"/>
    <w:rsid w:val="00B735B8"/>
    <w:rsid w:val="00B73F56"/>
    <w:rsid w:val="00B74858"/>
    <w:rsid w:val="00B752EB"/>
    <w:rsid w:val="00B76606"/>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6F04"/>
    <w:rsid w:val="00BD7D03"/>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3FCB"/>
    <w:rsid w:val="00C05C3D"/>
    <w:rsid w:val="00C071AC"/>
    <w:rsid w:val="00C109A2"/>
    <w:rsid w:val="00C11707"/>
    <w:rsid w:val="00C11E4C"/>
    <w:rsid w:val="00C1322A"/>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367F8"/>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3FC"/>
    <w:rsid w:val="00CA6DD8"/>
    <w:rsid w:val="00CB1582"/>
    <w:rsid w:val="00CB22B7"/>
    <w:rsid w:val="00CB31DA"/>
    <w:rsid w:val="00CB5032"/>
    <w:rsid w:val="00CB7DF6"/>
    <w:rsid w:val="00CC303F"/>
    <w:rsid w:val="00CC3C96"/>
    <w:rsid w:val="00CC5009"/>
    <w:rsid w:val="00CD077C"/>
    <w:rsid w:val="00CD199F"/>
    <w:rsid w:val="00CD342A"/>
    <w:rsid w:val="00CD3940"/>
    <w:rsid w:val="00CD6CC8"/>
    <w:rsid w:val="00CE2F14"/>
    <w:rsid w:val="00CE52B8"/>
    <w:rsid w:val="00CE6A0B"/>
    <w:rsid w:val="00CE7BF6"/>
    <w:rsid w:val="00CF0950"/>
    <w:rsid w:val="00CF3B07"/>
    <w:rsid w:val="00CF4C13"/>
    <w:rsid w:val="00CF62E0"/>
    <w:rsid w:val="00CF6384"/>
    <w:rsid w:val="00CF6902"/>
    <w:rsid w:val="00D01E9F"/>
    <w:rsid w:val="00D02B8F"/>
    <w:rsid w:val="00D0401F"/>
    <w:rsid w:val="00D06E88"/>
    <w:rsid w:val="00D11F90"/>
    <w:rsid w:val="00D13527"/>
    <w:rsid w:val="00D15E4E"/>
    <w:rsid w:val="00D17601"/>
    <w:rsid w:val="00D20D6E"/>
    <w:rsid w:val="00D21300"/>
    <w:rsid w:val="00D21526"/>
    <w:rsid w:val="00D22F7B"/>
    <w:rsid w:val="00D230DC"/>
    <w:rsid w:val="00D2583E"/>
    <w:rsid w:val="00D26C9A"/>
    <w:rsid w:val="00D303E8"/>
    <w:rsid w:val="00D31BA6"/>
    <w:rsid w:val="00D32710"/>
    <w:rsid w:val="00D335E1"/>
    <w:rsid w:val="00D3545E"/>
    <w:rsid w:val="00D35FEA"/>
    <w:rsid w:val="00D366E4"/>
    <w:rsid w:val="00D40144"/>
    <w:rsid w:val="00D423AC"/>
    <w:rsid w:val="00D44B15"/>
    <w:rsid w:val="00D44DC6"/>
    <w:rsid w:val="00D46E3B"/>
    <w:rsid w:val="00D476EA"/>
    <w:rsid w:val="00D514E5"/>
    <w:rsid w:val="00D53589"/>
    <w:rsid w:val="00D539D5"/>
    <w:rsid w:val="00D544D5"/>
    <w:rsid w:val="00D54642"/>
    <w:rsid w:val="00D54AD6"/>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5A1"/>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0E6B"/>
    <w:rsid w:val="00DD1737"/>
    <w:rsid w:val="00DD34E1"/>
    <w:rsid w:val="00DD45E7"/>
    <w:rsid w:val="00DD71F6"/>
    <w:rsid w:val="00DD7667"/>
    <w:rsid w:val="00DD777C"/>
    <w:rsid w:val="00DE0D2F"/>
    <w:rsid w:val="00DE0D75"/>
    <w:rsid w:val="00DE19EB"/>
    <w:rsid w:val="00DE5B0F"/>
    <w:rsid w:val="00DF0641"/>
    <w:rsid w:val="00DF0FE3"/>
    <w:rsid w:val="00DF2CB1"/>
    <w:rsid w:val="00DF69F9"/>
    <w:rsid w:val="00E01C50"/>
    <w:rsid w:val="00E02579"/>
    <w:rsid w:val="00E02B50"/>
    <w:rsid w:val="00E04B3F"/>
    <w:rsid w:val="00E060C1"/>
    <w:rsid w:val="00E06B1E"/>
    <w:rsid w:val="00E07787"/>
    <w:rsid w:val="00E10545"/>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16BA"/>
    <w:rsid w:val="00E5275F"/>
    <w:rsid w:val="00E52C63"/>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C6E46"/>
    <w:rsid w:val="00ED0649"/>
    <w:rsid w:val="00ED237C"/>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15F67"/>
    <w:rsid w:val="00F201AD"/>
    <w:rsid w:val="00F21481"/>
    <w:rsid w:val="00F21B21"/>
    <w:rsid w:val="00F222BB"/>
    <w:rsid w:val="00F2491A"/>
    <w:rsid w:val="00F24EF6"/>
    <w:rsid w:val="00F254E4"/>
    <w:rsid w:val="00F26AAB"/>
    <w:rsid w:val="00F26F5D"/>
    <w:rsid w:val="00F3166A"/>
    <w:rsid w:val="00F3381E"/>
    <w:rsid w:val="00F34C92"/>
    <w:rsid w:val="00F35D19"/>
    <w:rsid w:val="00F377AE"/>
    <w:rsid w:val="00F41269"/>
    <w:rsid w:val="00F41319"/>
    <w:rsid w:val="00F42747"/>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1CAB"/>
    <w:rsid w:val="00F73F06"/>
    <w:rsid w:val="00F74F3A"/>
    <w:rsid w:val="00F75C02"/>
    <w:rsid w:val="00F77ECB"/>
    <w:rsid w:val="00F80602"/>
    <w:rsid w:val="00F80636"/>
    <w:rsid w:val="00F81936"/>
    <w:rsid w:val="00F81BF8"/>
    <w:rsid w:val="00F81E47"/>
    <w:rsid w:val="00F824EF"/>
    <w:rsid w:val="00F84408"/>
    <w:rsid w:val="00F86474"/>
    <w:rsid w:val="00F868B4"/>
    <w:rsid w:val="00F8730A"/>
    <w:rsid w:val="00F9016F"/>
    <w:rsid w:val="00F90601"/>
    <w:rsid w:val="00F93703"/>
    <w:rsid w:val="00FA6F3E"/>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1B42"/>
    <w:rsid w:val="00FD2DA9"/>
    <w:rsid w:val="00FD35FA"/>
    <w:rsid w:val="00FD59F1"/>
    <w:rsid w:val="00FD5BB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DA153"/>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FD5BB1"/>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FD5BB1"/>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FD5BB1"/>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FD5BB1"/>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FD5BB1"/>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1Char">
    <w:name w:val="Heading 1 Char"/>
    <w:link w:val="Heading1"/>
    <w:rsid w:val="00FD5BB1"/>
    <w:rPr>
      <w:rFonts w:ascii="Arial" w:eastAsia="Times New Roman" w:hAnsi="Arial" w:cs="Arial"/>
      <w:b/>
      <w:bCs/>
      <w:kern w:val="32"/>
      <w:sz w:val="32"/>
      <w:szCs w:val="32"/>
      <w:lang w:val="sl-SI" w:eastAsia="sl-SI"/>
    </w:rPr>
  </w:style>
  <w:style w:type="character" w:customStyle="1" w:styleId="Heading2Char">
    <w:name w:val="Heading 2 Char"/>
    <w:link w:val="Heading2"/>
    <w:rsid w:val="00FD5BB1"/>
    <w:rPr>
      <w:rFonts w:eastAsia="Times New Roman"/>
      <w:b/>
      <w:sz w:val="24"/>
      <w:u w:val="single"/>
      <w:lang w:val="en-US" w:eastAsia="sl-SI"/>
    </w:rPr>
  </w:style>
  <w:style w:type="character" w:customStyle="1" w:styleId="Heading3Char">
    <w:name w:val="Heading 3 Char"/>
    <w:link w:val="Heading3"/>
    <w:rsid w:val="00FD5BB1"/>
    <w:rPr>
      <w:rFonts w:eastAsia="Times New Roman"/>
      <w:b/>
      <w:sz w:val="24"/>
      <w:lang w:val="en-US" w:eastAsia="sl-SI"/>
    </w:rPr>
  </w:style>
  <w:style w:type="character" w:customStyle="1" w:styleId="Heading4Char">
    <w:name w:val="Heading 4 Char"/>
    <w:link w:val="Heading4"/>
    <w:rsid w:val="00FD5BB1"/>
    <w:rPr>
      <w:rFonts w:eastAsia="Times New Roman"/>
      <w:b/>
      <w:bCs/>
      <w:sz w:val="28"/>
      <w:szCs w:val="28"/>
      <w:lang w:val="sl-SI" w:eastAsia="sl-SI"/>
    </w:rPr>
  </w:style>
  <w:style w:type="character" w:customStyle="1" w:styleId="Heading6Char">
    <w:name w:val="Heading 6 Char"/>
    <w:link w:val="Heading6"/>
    <w:rsid w:val="00FD5BB1"/>
    <w:rPr>
      <w:rFonts w:eastAsia="Times New Roman"/>
      <w:b/>
      <w:sz w:val="24"/>
      <w:lang w:val="en-US" w:eastAsia="sl-SI"/>
    </w:rPr>
  </w:style>
  <w:style w:type="table" w:styleId="TableGrid">
    <w:name w:val="Table Grid"/>
    <w:basedOn w:val="TableNormal"/>
    <w:rsid w:val="00FD5BB1"/>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D5BB1"/>
    <w:rPr>
      <w:color w:val="800080"/>
      <w:u w:val="single"/>
    </w:rPr>
  </w:style>
  <w:style w:type="paragraph" w:styleId="PlainText">
    <w:name w:val="Plain Text"/>
    <w:basedOn w:val="Normal"/>
    <w:link w:val="PlainTextChar"/>
    <w:rsid w:val="00FD5BB1"/>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FD5BB1"/>
    <w:rPr>
      <w:rFonts w:ascii="Courier New" w:eastAsia="Times New Roman" w:hAnsi="Courier New"/>
      <w:lang w:eastAsia="sl-SI"/>
    </w:rPr>
  </w:style>
  <w:style w:type="paragraph" w:styleId="Caption">
    <w:name w:val="caption"/>
    <w:basedOn w:val="Normal"/>
    <w:next w:val="Normal"/>
    <w:qFormat/>
    <w:rsid w:val="00FD5BB1"/>
    <w:pPr>
      <w:tabs>
        <w:tab w:val="clear" w:pos="567"/>
      </w:tabs>
      <w:spacing w:line="240" w:lineRule="auto"/>
      <w:jc w:val="both"/>
    </w:pPr>
    <w:rPr>
      <w:sz w:val="24"/>
      <w:lang w:eastAsia="sl-SI"/>
    </w:rPr>
  </w:style>
  <w:style w:type="paragraph" w:customStyle="1" w:styleId="Naslov1">
    <w:name w:val="Naslov1"/>
    <w:basedOn w:val="Heading1"/>
    <w:rsid w:val="00FD5BB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FD5BB1"/>
    <w:pPr>
      <w:tabs>
        <w:tab w:val="clear" w:pos="567"/>
      </w:tabs>
      <w:spacing w:before="120" w:line="240" w:lineRule="auto"/>
    </w:pPr>
    <w:rPr>
      <w:b/>
      <w:bCs/>
      <w:i/>
      <w:iCs/>
      <w:sz w:val="24"/>
      <w:szCs w:val="28"/>
      <w:lang w:val="sl-SI" w:eastAsia="sl-SI"/>
    </w:rPr>
  </w:style>
  <w:style w:type="paragraph" w:styleId="BodyText2">
    <w:name w:val="Body Text 2"/>
    <w:basedOn w:val="Normal"/>
    <w:link w:val="BodyText2Char"/>
    <w:rsid w:val="00FD5BB1"/>
    <w:pPr>
      <w:tabs>
        <w:tab w:val="clear" w:pos="567"/>
      </w:tabs>
      <w:spacing w:after="120" w:line="480" w:lineRule="auto"/>
    </w:pPr>
    <w:rPr>
      <w:sz w:val="24"/>
      <w:lang w:val="sl-SI" w:eastAsia="sl-SI"/>
    </w:rPr>
  </w:style>
  <w:style w:type="character" w:customStyle="1" w:styleId="BodyText2Char">
    <w:name w:val="Body Text 2 Char"/>
    <w:link w:val="BodyText2"/>
    <w:rsid w:val="00FD5BB1"/>
    <w:rPr>
      <w:rFonts w:eastAsia="Times New Roman"/>
      <w:sz w:val="24"/>
      <w:lang w:val="sl-SI" w:eastAsia="sl-SI"/>
    </w:rPr>
  </w:style>
  <w:style w:type="paragraph" w:customStyle="1" w:styleId="Default">
    <w:name w:val="Default"/>
    <w:rsid w:val="00FD5BB1"/>
    <w:pPr>
      <w:autoSpaceDE w:val="0"/>
      <w:autoSpaceDN w:val="0"/>
      <w:adjustRightInd w:val="0"/>
    </w:pPr>
    <w:rPr>
      <w:rFonts w:eastAsia="Times New Roman"/>
      <w:color w:val="000000"/>
      <w:sz w:val="24"/>
      <w:szCs w:val="24"/>
    </w:rPr>
  </w:style>
  <w:style w:type="numbering" w:customStyle="1" w:styleId="Brezseznama1">
    <w:name w:val="Brez seznama1"/>
    <w:next w:val="NoList"/>
    <w:semiHidden/>
    <w:rsid w:val="00FD5BB1"/>
  </w:style>
  <w:style w:type="paragraph" w:styleId="EndnoteText">
    <w:name w:val="endnote text"/>
    <w:basedOn w:val="Normal"/>
    <w:link w:val="EndnoteTextChar"/>
    <w:rsid w:val="00FD5BB1"/>
    <w:pPr>
      <w:spacing w:line="240" w:lineRule="auto"/>
    </w:pPr>
  </w:style>
  <w:style w:type="character" w:customStyle="1" w:styleId="EndnoteTextChar">
    <w:name w:val="Endnote Text Char"/>
    <w:link w:val="EndnoteText"/>
    <w:rsid w:val="00FD5BB1"/>
    <w:rPr>
      <w:rFonts w:eastAsia="Times New Roman"/>
      <w:sz w:val="22"/>
      <w:lang w:eastAsia="en-US"/>
    </w:rPr>
  </w:style>
  <w:style w:type="numbering" w:customStyle="1" w:styleId="Brezseznama2">
    <w:name w:val="Brez seznama2"/>
    <w:next w:val="NoList"/>
    <w:semiHidden/>
    <w:rsid w:val="00FD5BB1"/>
  </w:style>
  <w:style w:type="numbering" w:customStyle="1" w:styleId="Brezseznama3">
    <w:name w:val="Brez seznama3"/>
    <w:next w:val="NoList"/>
    <w:semiHidden/>
    <w:rsid w:val="00FD5BB1"/>
  </w:style>
  <w:style w:type="paragraph" w:styleId="Title">
    <w:name w:val="Title"/>
    <w:basedOn w:val="Normal"/>
    <w:link w:val="TitleChar"/>
    <w:qFormat/>
    <w:rsid w:val="00FD5BB1"/>
    <w:pPr>
      <w:tabs>
        <w:tab w:val="clear" w:pos="567"/>
      </w:tabs>
      <w:spacing w:line="240" w:lineRule="auto"/>
      <w:jc w:val="center"/>
    </w:pPr>
    <w:rPr>
      <w:b/>
    </w:rPr>
  </w:style>
  <w:style w:type="character" w:customStyle="1" w:styleId="TitleChar">
    <w:name w:val="Title Char"/>
    <w:link w:val="Title"/>
    <w:rsid w:val="00FD5BB1"/>
    <w:rPr>
      <w:rFonts w:eastAsia="Times New Roman"/>
      <w:b/>
      <w:sz w:val="22"/>
      <w:lang w:eastAsia="en-US"/>
    </w:rPr>
  </w:style>
  <w:style w:type="numbering" w:customStyle="1" w:styleId="Brezseznama4">
    <w:name w:val="Brez seznama4"/>
    <w:next w:val="NoList"/>
    <w:semiHidden/>
    <w:rsid w:val="00FD5BB1"/>
  </w:style>
  <w:style w:type="numbering" w:customStyle="1" w:styleId="Brezseznama5">
    <w:name w:val="Brez seznama5"/>
    <w:next w:val="NoList"/>
    <w:uiPriority w:val="99"/>
    <w:semiHidden/>
    <w:unhideWhenUsed/>
    <w:rsid w:val="00FD5BB1"/>
  </w:style>
  <w:style w:type="character" w:customStyle="1" w:styleId="HeaderChar">
    <w:name w:val="Header Char"/>
    <w:link w:val="Header"/>
    <w:rsid w:val="00FD5BB1"/>
    <w:rPr>
      <w:rFonts w:ascii="Arial" w:eastAsia="Times New Roman" w:hAnsi="Arial"/>
      <w:lang w:eastAsia="en-US"/>
    </w:rPr>
  </w:style>
  <w:style w:type="paragraph" w:customStyle="1" w:styleId="TitleB">
    <w:name w:val="Title B"/>
    <w:basedOn w:val="Normal"/>
    <w:qFormat/>
    <w:rsid w:val="00FD5BB1"/>
    <w:pPr>
      <w:widowControl w:val="0"/>
      <w:spacing w:line="240" w:lineRule="auto"/>
      <w:ind w:left="567" w:hanging="567"/>
    </w:pPr>
    <w:rPr>
      <w:b/>
      <w:bCs/>
      <w:noProof/>
      <w:szCs w:val="22"/>
      <w:lang w:val="en-US"/>
    </w:rPr>
  </w:style>
  <w:style w:type="paragraph" w:customStyle="1" w:styleId="TitleA">
    <w:name w:val="Title A"/>
    <w:basedOn w:val="Normal"/>
    <w:qFormat/>
    <w:rsid w:val="00FD5BB1"/>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rsid w:val="00FD5BB1"/>
    <w:rPr>
      <w:rFonts w:ascii="Tahoma" w:eastAsia="Times New Roman" w:hAnsi="Tahoma" w:cs="Tahoma"/>
      <w:sz w:val="16"/>
      <w:szCs w:val="16"/>
      <w:lang w:eastAsia="en-US"/>
    </w:rPr>
  </w:style>
  <w:style w:type="numbering" w:customStyle="1" w:styleId="Brezseznama6">
    <w:name w:val="Brez seznama6"/>
    <w:next w:val="NoList"/>
    <w:uiPriority w:val="99"/>
    <w:semiHidden/>
    <w:unhideWhenUsed/>
    <w:rsid w:val="00FD5BB1"/>
  </w:style>
  <w:style w:type="paragraph" w:styleId="BodyTextIndent">
    <w:name w:val="Body Text Indent"/>
    <w:basedOn w:val="Normal"/>
    <w:link w:val="BodyTextIndentChar"/>
    <w:rsid w:val="00FD5BB1"/>
    <w:pPr>
      <w:tabs>
        <w:tab w:val="clear" w:pos="567"/>
      </w:tabs>
      <w:spacing w:after="120" w:line="240" w:lineRule="auto"/>
      <w:ind w:left="283"/>
    </w:pPr>
    <w:rPr>
      <w:sz w:val="24"/>
      <w:lang w:val="sl-SI" w:eastAsia="sl-SI"/>
    </w:rPr>
  </w:style>
  <w:style w:type="character" w:customStyle="1" w:styleId="BodyTextIndentChar">
    <w:name w:val="Body Text Indent Char"/>
    <w:link w:val="BodyTextIndent"/>
    <w:rsid w:val="00FD5BB1"/>
    <w:rPr>
      <w:rFonts w:eastAsia="Times New Roman"/>
      <w:sz w:val="24"/>
      <w:lang w:val="sl-SI" w:eastAsia="sl-SI"/>
    </w:rPr>
  </w:style>
  <w:style w:type="paragraph" w:styleId="BodyText3">
    <w:name w:val="Body Text 3"/>
    <w:basedOn w:val="Normal"/>
    <w:link w:val="BodyText3Char"/>
    <w:rsid w:val="00FD5BB1"/>
    <w:pPr>
      <w:tabs>
        <w:tab w:val="clear" w:pos="567"/>
      </w:tabs>
      <w:spacing w:after="120" w:line="240" w:lineRule="auto"/>
    </w:pPr>
    <w:rPr>
      <w:sz w:val="16"/>
      <w:szCs w:val="16"/>
      <w:lang w:val="sl-SI" w:eastAsia="sl-SI"/>
    </w:rPr>
  </w:style>
  <w:style w:type="character" w:customStyle="1" w:styleId="BodyText3Char">
    <w:name w:val="Body Text 3 Char"/>
    <w:link w:val="BodyText3"/>
    <w:rsid w:val="00FD5BB1"/>
    <w:rPr>
      <w:rFonts w:eastAsia="Times New Roman"/>
      <w:sz w:val="16"/>
      <w:szCs w:val="16"/>
      <w:lang w:val="sl-SI" w:eastAsia="sl-SI"/>
    </w:rPr>
  </w:style>
  <w:style w:type="paragraph" w:customStyle="1" w:styleId="ndringar">
    <w:name w:val="ändringar"/>
    <w:basedOn w:val="Normal"/>
    <w:rsid w:val="00FD5BB1"/>
    <w:pPr>
      <w:tabs>
        <w:tab w:val="clear" w:pos="567"/>
      </w:tabs>
      <w:overflowPunct w:val="0"/>
      <w:autoSpaceDE w:val="0"/>
      <w:autoSpaceDN w:val="0"/>
      <w:adjustRightInd w:val="0"/>
      <w:spacing w:line="240" w:lineRule="auto"/>
      <w:textAlignment w:val="baseline"/>
    </w:pPr>
    <w:rPr>
      <w:rFonts w:ascii="Arial" w:hAnsi="Arial" w:cs="Arial"/>
      <w:color w:val="FF0000"/>
      <w:sz w:val="24"/>
      <w:szCs w:val="24"/>
    </w:rPr>
  </w:style>
  <w:style w:type="paragraph" w:customStyle="1" w:styleId="A-TableText">
    <w:name w:val="A-Table Text"/>
    <w:uiPriority w:val="99"/>
    <w:rsid w:val="00FD5BB1"/>
    <w:pPr>
      <w:spacing w:before="60" w:after="60"/>
    </w:pPr>
    <w:rPr>
      <w:rFonts w:eastAsia="Times New Roman"/>
      <w:sz w:val="22"/>
      <w:szCs w:val="22"/>
      <w:lang w:val="en-GB" w:eastAsia="en-US"/>
    </w:rPr>
  </w:style>
  <w:style w:type="paragraph" w:customStyle="1" w:styleId="A-TableTitle">
    <w:name w:val="A-Table Title"/>
    <w:next w:val="Normal"/>
    <w:uiPriority w:val="99"/>
    <w:rsid w:val="00FD5BB1"/>
    <w:pPr>
      <w:keepNext/>
      <w:tabs>
        <w:tab w:val="left" w:pos="1800"/>
      </w:tabs>
      <w:spacing w:after="120" w:line="280" w:lineRule="atLeast"/>
      <w:ind w:left="1800" w:hanging="1800"/>
    </w:pPr>
    <w:rPr>
      <w:rFonts w:eastAsia="Times New Roman"/>
      <w:b/>
      <w:bCs/>
      <w:sz w:val="24"/>
      <w:szCs w:val="24"/>
      <w:lang w:val="en-GB" w:eastAsia="en-US"/>
    </w:rPr>
  </w:style>
  <w:style w:type="paragraph" w:customStyle="1" w:styleId="A-TableHeader">
    <w:name w:val="A-Table Header"/>
    <w:next w:val="A-TableText"/>
    <w:uiPriority w:val="99"/>
    <w:rsid w:val="00FD5BB1"/>
    <w:pPr>
      <w:keepNext/>
      <w:spacing w:before="60" w:after="60"/>
    </w:pPr>
    <w:rPr>
      <w:rFonts w:eastAsia="Times New Roman"/>
      <w:b/>
      <w:bCs/>
      <w:sz w:val="22"/>
      <w:szCs w:val="22"/>
      <w:lang w:val="en-GB" w:eastAsia="en-US"/>
    </w:rPr>
  </w:style>
  <w:style w:type="paragraph" w:styleId="NormalWeb">
    <w:name w:val="Normal (Web)"/>
    <w:basedOn w:val="Normal"/>
    <w:rsid w:val="00FD5BB1"/>
    <w:pPr>
      <w:tabs>
        <w:tab w:val="clear" w:pos="567"/>
      </w:tabs>
      <w:spacing w:before="100" w:beforeAutospacing="1" w:after="69" w:line="240" w:lineRule="auto"/>
    </w:pPr>
    <w:rPr>
      <w:color w:val="000000"/>
      <w:sz w:val="24"/>
      <w:szCs w:val="24"/>
      <w:lang w:val="en-US"/>
    </w:rPr>
  </w:style>
  <w:style w:type="character" w:customStyle="1" w:styleId="bold1">
    <w:name w:val="bold1"/>
    <w:rsid w:val="00FD5BB1"/>
    <w:rPr>
      <w:b/>
      <w:bCs/>
    </w:rPr>
  </w:style>
  <w:style w:type="paragraph" w:customStyle="1" w:styleId="paragraph1">
    <w:name w:val="paragraph1"/>
    <w:basedOn w:val="Normal"/>
    <w:rsid w:val="00FD5BB1"/>
    <w:pPr>
      <w:tabs>
        <w:tab w:val="clear" w:pos="567"/>
      </w:tabs>
      <w:spacing w:line="240" w:lineRule="auto"/>
    </w:pPr>
    <w:rPr>
      <w:sz w:val="24"/>
      <w:szCs w:val="24"/>
      <w:lang w:val="sl-SI" w:eastAsia="sl-SI"/>
    </w:rPr>
  </w:style>
  <w:style w:type="table" w:customStyle="1" w:styleId="Tabelamrea1">
    <w:name w:val="Tabela – mreža1"/>
    <w:basedOn w:val="TableNormal"/>
    <w:next w:val="TableGrid"/>
    <w:uiPriority w:val="59"/>
    <w:rsid w:val="00FD5B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C367F8"/>
    <w:rPr>
      <w:rFonts w:ascii="Arial" w:eastAsia="Times New Roman" w:hAnsi="Arial"/>
      <w:noProof/>
      <w:sz w:val="16"/>
      <w:lang w:val="en-GB" w:eastAsia="en-US"/>
    </w:rPr>
  </w:style>
  <w:style w:type="numbering" w:styleId="111111">
    <w:name w:val="Outline List 2"/>
    <w:basedOn w:val="NoList"/>
    <w:rsid w:val="00C367F8"/>
    <w:pPr>
      <w:numPr>
        <w:numId w:val="8"/>
      </w:numPr>
    </w:pPr>
  </w:style>
  <w:style w:type="paragraph" w:styleId="NoSpacing">
    <w:name w:val="No Spacing"/>
    <w:uiPriority w:val="1"/>
    <w:qFormat/>
    <w:rsid w:val="00C367F8"/>
    <w:rPr>
      <w:rFonts w:eastAsia="Times New Roman"/>
      <w:sz w:val="24"/>
      <w:szCs w:val="24"/>
      <w:lang w:val="en-US" w:eastAsia="en-US"/>
    </w:rPr>
  </w:style>
  <w:style w:type="paragraph" w:styleId="ListParagraph">
    <w:name w:val="List Paragraph"/>
    <w:basedOn w:val="Normal"/>
    <w:uiPriority w:val="34"/>
    <w:qFormat/>
    <w:rsid w:val="00C367F8"/>
    <w:pPr>
      <w:tabs>
        <w:tab w:val="clear" w:pos="567"/>
      </w:tabs>
      <w:spacing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162">
      <w:bodyDiv w:val="1"/>
      <w:marLeft w:val="0"/>
      <w:marRight w:val="0"/>
      <w:marTop w:val="0"/>
      <w:marBottom w:val="0"/>
      <w:divBdr>
        <w:top w:val="none" w:sz="0" w:space="0" w:color="auto"/>
        <w:left w:val="none" w:sz="0" w:space="0" w:color="auto"/>
        <w:bottom w:val="none" w:sz="0" w:space="0" w:color="auto"/>
        <w:right w:val="none" w:sz="0" w:space="0" w:color="auto"/>
      </w:divBdr>
    </w:div>
    <w:div w:id="17001803">
      <w:bodyDiv w:val="1"/>
      <w:marLeft w:val="0"/>
      <w:marRight w:val="0"/>
      <w:marTop w:val="0"/>
      <w:marBottom w:val="0"/>
      <w:divBdr>
        <w:top w:val="none" w:sz="0" w:space="0" w:color="auto"/>
        <w:left w:val="none" w:sz="0" w:space="0" w:color="auto"/>
        <w:bottom w:val="none" w:sz="0" w:space="0" w:color="auto"/>
        <w:right w:val="none" w:sz="0" w:space="0" w:color="auto"/>
      </w:divBdr>
      <w:divsChild>
        <w:div w:id="1102647413">
          <w:marLeft w:val="0"/>
          <w:marRight w:val="0"/>
          <w:marTop w:val="0"/>
          <w:marBottom w:val="0"/>
          <w:divBdr>
            <w:top w:val="none" w:sz="0" w:space="0" w:color="auto"/>
            <w:left w:val="none" w:sz="0" w:space="0" w:color="auto"/>
            <w:bottom w:val="none" w:sz="0" w:space="0" w:color="auto"/>
            <w:right w:val="none" w:sz="0" w:space="0" w:color="auto"/>
          </w:divBdr>
          <w:divsChild>
            <w:div w:id="159278119">
              <w:marLeft w:val="0"/>
              <w:marRight w:val="0"/>
              <w:marTop w:val="0"/>
              <w:marBottom w:val="0"/>
              <w:divBdr>
                <w:top w:val="none" w:sz="0" w:space="0" w:color="auto"/>
                <w:left w:val="none" w:sz="0" w:space="0" w:color="auto"/>
                <w:bottom w:val="none" w:sz="0" w:space="0" w:color="auto"/>
                <w:right w:val="none" w:sz="0" w:space="0" w:color="auto"/>
              </w:divBdr>
              <w:divsChild>
                <w:div w:id="666439958">
                  <w:marLeft w:val="0"/>
                  <w:marRight w:val="0"/>
                  <w:marTop w:val="0"/>
                  <w:marBottom w:val="0"/>
                  <w:divBdr>
                    <w:top w:val="none" w:sz="0" w:space="0" w:color="auto"/>
                    <w:left w:val="none" w:sz="0" w:space="0" w:color="auto"/>
                    <w:bottom w:val="none" w:sz="0" w:space="0" w:color="auto"/>
                    <w:right w:val="none" w:sz="0" w:space="0" w:color="auto"/>
                  </w:divBdr>
                  <w:divsChild>
                    <w:div w:id="780076177">
                      <w:marLeft w:val="0"/>
                      <w:marRight w:val="0"/>
                      <w:marTop w:val="0"/>
                      <w:marBottom w:val="0"/>
                      <w:divBdr>
                        <w:top w:val="none" w:sz="0" w:space="0" w:color="auto"/>
                        <w:left w:val="none" w:sz="0" w:space="0" w:color="auto"/>
                        <w:bottom w:val="none" w:sz="0" w:space="0" w:color="auto"/>
                        <w:right w:val="none" w:sz="0" w:space="0" w:color="auto"/>
                      </w:divBdr>
                      <w:divsChild>
                        <w:div w:id="213277196">
                          <w:marLeft w:val="0"/>
                          <w:marRight w:val="0"/>
                          <w:marTop w:val="0"/>
                          <w:marBottom w:val="0"/>
                          <w:divBdr>
                            <w:top w:val="none" w:sz="0" w:space="0" w:color="auto"/>
                            <w:left w:val="none" w:sz="0" w:space="0" w:color="auto"/>
                            <w:bottom w:val="none" w:sz="0" w:space="0" w:color="auto"/>
                            <w:right w:val="none" w:sz="0" w:space="0" w:color="auto"/>
                          </w:divBdr>
                          <w:divsChild>
                            <w:div w:id="192308111">
                              <w:marLeft w:val="0"/>
                              <w:marRight w:val="0"/>
                              <w:marTop w:val="0"/>
                              <w:marBottom w:val="0"/>
                              <w:divBdr>
                                <w:top w:val="none" w:sz="0" w:space="0" w:color="auto"/>
                                <w:left w:val="none" w:sz="0" w:space="0" w:color="auto"/>
                                <w:bottom w:val="none" w:sz="0" w:space="0" w:color="auto"/>
                                <w:right w:val="none" w:sz="0" w:space="0" w:color="auto"/>
                              </w:divBdr>
                              <w:divsChild>
                                <w:div w:id="73476106">
                                  <w:marLeft w:val="0"/>
                                  <w:marRight w:val="0"/>
                                  <w:marTop w:val="0"/>
                                  <w:marBottom w:val="0"/>
                                  <w:divBdr>
                                    <w:top w:val="none" w:sz="0" w:space="0" w:color="auto"/>
                                    <w:left w:val="none" w:sz="0" w:space="0" w:color="auto"/>
                                    <w:bottom w:val="none" w:sz="0" w:space="0" w:color="auto"/>
                                    <w:right w:val="none" w:sz="0" w:space="0" w:color="auto"/>
                                  </w:divBdr>
                                  <w:divsChild>
                                    <w:div w:id="764154907">
                                      <w:marLeft w:val="0"/>
                                      <w:marRight w:val="0"/>
                                      <w:marTop w:val="0"/>
                                      <w:marBottom w:val="0"/>
                                      <w:divBdr>
                                        <w:top w:val="none" w:sz="0" w:space="0" w:color="auto"/>
                                        <w:left w:val="none" w:sz="0" w:space="0" w:color="auto"/>
                                        <w:bottom w:val="none" w:sz="0" w:space="0" w:color="auto"/>
                                        <w:right w:val="none" w:sz="0" w:space="0" w:color="auto"/>
                                      </w:divBdr>
                                    </w:div>
                                    <w:div w:id="1332948265">
                                      <w:marLeft w:val="0"/>
                                      <w:marRight w:val="0"/>
                                      <w:marTop w:val="0"/>
                                      <w:marBottom w:val="0"/>
                                      <w:divBdr>
                                        <w:top w:val="none" w:sz="0" w:space="0" w:color="auto"/>
                                        <w:left w:val="none" w:sz="0" w:space="0" w:color="auto"/>
                                        <w:bottom w:val="none" w:sz="0" w:space="0" w:color="auto"/>
                                        <w:right w:val="none" w:sz="0" w:space="0" w:color="auto"/>
                                      </w:divBdr>
                                      <w:divsChild>
                                        <w:div w:id="1049769353">
                                          <w:marLeft w:val="0"/>
                                          <w:marRight w:val="165"/>
                                          <w:marTop w:val="150"/>
                                          <w:marBottom w:val="0"/>
                                          <w:divBdr>
                                            <w:top w:val="none" w:sz="0" w:space="0" w:color="auto"/>
                                            <w:left w:val="none" w:sz="0" w:space="0" w:color="auto"/>
                                            <w:bottom w:val="none" w:sz="0" w:space="0" w:color="auto"/>
                                            <w:right w:val="none" w:sz="0" w:space="0" w:color="auto"/>
                                          </w:divBdr>
                                          <w:divsChild>
                                            <w:div w:id="260799962">
                                              <w:marLeft w:val="0"/>
                                              <w:marRight w:val="0"/>
                                              <w:marTop w:val="0"/>
                                              <w:marBottom w:val="0"/>
                                              <w:divBdr>
                                                <w:top w:val="none" w:sz="0" w:space="0" w:color="auto"/>
                                                <w:left w:val="none" w:sz="0" w:space="0" w:color="auto"/>
                                                <w:bottom w:val="none" w:sz="0" w:space="0" w:color="auto"/>
                                                <w:right w:val="none" w:sz="0" w:space="0" w:color="auto"/>
                                              </w:divBdr>
                                              <w:divsChild>
                                                <w:div w:id="1566910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9494">
      <w:bodyDiv w:val="1"/>
      <w:marLeft w:val="0"/>
      <w:marRight w:val="0"/>
      <w:marTop w:val="0"/>
      <w:marBottom w:val="0"/>
      <w:divBdr>
        <w:top w:val="none" w:sz="0" w:space="0" w:color="auto"/>
        <w:left w:val="none" w:sz="0" w:space="0" w:color="auto"/>
        <w:bottom w:val="none" w:sz="0" w:space="0" w:color="auto"/>
        <w:right w:val="none" w:sz="0" w:space="0" w:color="auto"/>
      </w:divBdr>
    </w:div>
    <w:div w:id="530532552">
      <w:bodyDiv w:val="1"/>
      <w:marLeft w:val="0"/>
      <w:marRight w:val="0"/>
      <w:marTop w:val="0"/>
      <w:marBottom w:val="0"/>
      <w:divBdr>
        <w:top w:val="none" w:sz="0" w:space="0" w:color="auto"/>
        <w:left w:val="none" w:sz="0" w:space="0" w:color="auto"/>
        <w:bottom w:val="none" w:sz="0" w:space="0" w:color="auto"/>
        <w:right w:val="none" w:sz="0" w:space="0" w:color="auto"/>
      </w:divBdr>
      <w:divsChild>
        <w:div w:id="1765689551">
          <w:marLeft w:val="0"/>
          <w:marRight w:val="0"/>
          <w:marTop w:val="0"/>
          <w:marBottom w:val="0"/>
          <w:divBdr>
            <w:top w:val="none" w:sz="0" w:space="0" w:color="auto"/>
            <w:left w:val="none" w:sz="0" w:space="0" w:color="auto"/>
            <w:bottom w:val="none" w:sz="0" w:space="0" w:color="auto"/>
            <w:right w:val="none" w:sz="0" w:space="0" w:color="auto"/>
          </w:divBdr>
          <w:divsChild>
            <w:div w:id="1128551626">
              <w:marLeft w:val="0"/>
              <w:marRight w:val="0"/>
              <w:marTop w:val="0"/>
              <w:marBottom w:val="0"/>
              <w:divBdr>
                <w:top w:val="none" w:sz="0" w:space="0" w:color="auto"/>
                <w:left w:val="none" w:sz="0" w:space="0" w:color="auto"/>
                <w:bottom w:val="none" w:sz="0" w:space="0" w:color="auto"/>
                <w:right w:val="none" w:sz="0" w:space="0" w:color="auto"/>
              </w:divBdr>
              <w:divsChild>
                <w:div w:id="1634170289">
                  <w:marLeft w:val="0"/>
                  <w:marRight w:val="0"/>
                  <w:marTop w:val="0"/>
                  <w:marBottom w:val="0"/>
                  <w:divBdr>
                    <w:top w:val="none" w:sz="0" w:space="0" w:color="auto"/>
                    <w:left w:val="none" w:sz="0" w:space="0" w:color="auto"/>
                    <w:bottom w:val="none" w:sz="0" w:space="0" w:color="auto"/>
                    <w:right w:val="none" w:sz="0" w:space="0" w:color="auto"/>
                  </w:divBdr>
                  <w:divsChild>
                    <w:div w:id="314067942">
                      <w:marLeft w:val="0"/>
                      <w:marRight w:val="0"/>
                      <w:marTop w:val="0"/>
                      <w:marBottom w:val="0"/>
                      <w:divBdr>
                        <w:top w:val="none" w:sz="0" w:space="0" w:color="auto"/>
                        <w:left w:val="none" w:sz="0" w:space="0" w:color="auto"/>
                        <w:bottom w:val="none" w:sz="0" w:space="0" w:color="auto"/>
                        <w:right w:val="none" w:sz="0" w:space="0" w:color="auto"/>
                      </w:divBdr>
                      <w:divsChild>
                        <w:div w:id="1360356890">
                          <w:marLeft w:val="0"/>
                          <w:marRight w:val="0"/>
                          <w:marTop w:val="0"/>
                          <w:marBottom w:val="0"/>
                          <w:divBdr>
                            <w:top w:val="none" w:sz="0" w:space="0" w:color="auto"/>
                            <w:left w:val="none" w:sz="0" w:space="0" w:color="auto"/>
                            <w:bottom w:val="none" w:sz="0" w:space="0" w:color="auto"/>
                            <w:right w:val="none" w:sz="0" w:space="0" w:color="auto"/>
                          </w:divBdr>
                          <w:divsChild>
                            <w:div w:id="347490658">
                              <w:marLeft w:val="0"/>
                              <w:marRight w:val="0"/>
                              <w:marTop w:val="0"/>
                              <w:marBottom w:val="0"/>
                              <w:divBdr>
                                <w:top w:val="none" w:sz="0" w:space="0" w:color="auto"/>
                                <w:left w:val="none" w:sz="0" w:space="0" w:color="auto"/>
                                <w:bottom w:val="none" w:sz="0" w:space="0" w:color="auto"/>
                                <w:right w:val="none" w:sz="0" w:space="0" w:color="auto"/>
                              </w:divBdr>
                              <w:divsChild>
                                <w:div w:id="292371270">
                                  <w:marLeft w:val="0"/>
                                  <w:marRight w:val="0"/>
                                  <w:marTop w:val="0"/>
                                  <w:marBottom w:val="0"/>
                                  <w:divBdr>
                                    <w:top w:val="none" w:sz="0" w:space="0" w:color="auto"/>
                                    <w:left w:val="none" w:sz="0" w:space="0" w:color="auto"/>
                                    <w:bottom w:val="none" w:sz="0" w:space="0" w:color="auto"/>
                                    <w:right w:val="none" w:sz="0" w:space="0" w:color="auto"/>
                                  </w:divBdr>
                                  <w:divsChild>
                                    <w:div w:id="2010594271">
                                      <w:marLeft w:val="0"/>
                                      <w:marRight w:val="0"/>
                                      <w:marTop w:val="0"/>
                                      <w:marBottom w:val="0"/>
                                      <w:divBdr>
                                        <w:top w:val="none" w:sz="0" w:space="0" w:color="auto"/>
                                        <w:left w:val="none" w:sz="0" w:space="0" w:color="auto"/>
                                        <w:bottom w:val="none" w:sz="0" w:space="0" w:color="auto"/>
                                        <w:right w:val="none" w:sz="0" w:space="0" w:color="auto"/>
                                      </w:divBdr>
                                    </w:div>
                                    <w:div w:id="466095212">
                                      <w:marLeft w:val="0"/>
                                      <w:marRight w:val="0"/>
                                      <w:marTop w:val="0"/>
                                      <w:marBottom w:val="0"/>
                                      <w:divBdr>
                                        <w:top w:val="none" w:sz="0" w:space="0" w:color="auto"/>
                                        <w:left w:val="none" w:sz="0" w:space="0" w:color="auto"/>
                                        <w:bottom w:val="none" w:sz="0" w:space="0" w:color="auto"/>
                                        <w:right w:val="none" w:sz="0" w:space="0" w:color="auto"/>
                                      </w:divBdr>
                                      <w:divsChild>
                                        <w:div w:id="529991935">
                                          <w:marLeft w:val="0"/>
                                          <w:marRight w:val="165"/>
                                          <w:marTop w:val="150"/>
                                          <w:marBottom w:val="0"/>
                                          <w:divBdr>
                                            <w:top w:val="none" w:sz="0" w:space="0" w:color="auto"/>
                                            <w:left w:val="none" w:sz="0" w:space="0" w:color="auto"/>
                                            <w:bottom w:val="none" w:sz="0" w:space="0" w:color="auto"/>
                                            <w:right w:val="none" w:sz="0" w:space="0" w:color="auto"/>
                                          </w:divBdr>
                                          <w:divsChild>
                                            <w:div w:id="665983699">
                                              <w:marLeft w:val="0"/>
                                              <w:marRight w:val="0"/>
                                              <w:marTop w:val="0"/>
                                              <w:marBottom w:val="0"/>
                                              <w:divBdr>
                                                <w:top w:val="none" w:sz="0" w:space="0" w:color="auto"/>
                                                <w:left w:val="none" w:sz="0" w:space="0" w:color="auto"/>
                                                <w:bottom w:val="none" w:sz="0" w:space="0" w:color="auto"/>
                                                <w:right w:val="none" w:sz="0" w:space="0" w:color="auto"/>
                                              </w:divBdr>
                                              <w:divsChild>
                                                <w:div w:id="1801268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76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10400</Words>
  <Characters>59282</Characters>
  <Application>Microsoft Office Word</Application>
  <DocSecurity>0</DocSecurity>
  <Lines>494</Lines>
  <Paragraphs>139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Stanković</dc:creator>
  <cp:lastModifiedBy>Aleksandra Ljumović</cp:lastModifiedBy>
  <cp:revision>3</cp:revision>
  <dcterms:created xsi:type="dcterms:W3CDTF">2024-02-06T07:56:00Z</dcterms:created>
  <dcterms:modified xsi:type="dcterms:W3CDTF">2024-02-06T07:56:00Z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