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AD211" w14:textId="77777777" w:rsidR="002510A5" w:rsidRPr="00C262AC" w:rsidRDefault="002510A5" w:rsidP="002510A5">
      <w:pPr>
        <w:jc w:val="center"/>
        <w:rPr>
          <w:b/>
          <w:bCs/>
          <w:iCs/>
          <w:sz w:val="22"/>
          <w:szCs w:val="22"/>
          <w:u w:val="single"/>
        </w:rPr>
      </w:pPr>
      <w:r w:rsidRPr="00C262AC">
        <w:rPr>
          <w:b/>
          <w:bCs/>
          <w:iCs/>
          <w:sz w:val="22"/>
          <w:szCs w:val="22"/>
          <w:u w:val="single"/>
        </w:rPr>
        <w:t>SAŽETAK KARAKTERISTIKA LIJEKA</w:t>
      </w:r>
    </w:p>
    <w:p w14:paraId="7D9AD212" w14:textId="77777777" w:rsidR="002510A5" w:rsidRPr="00C262AC" w:rsidRDefault="002510A5" w:rsidP="002510A5">
      <w:pPr>
        <w:rPr>
          <w:b/>
          <w:bCs/>
          <w:i/>
          <w:iCs/>
          <w:sz w:val="22"/>
          <w:szCs w:val="22"/>
          <w:u w:val="single"/>
        </w:rPr>
      </w:pPr>
    </w:p>
    <w:p w14:paraId="7D9AD213" w14:textId="77777777" w:rsidR="003C17AB" w:rsidRPr="00C262AC" w:rsidRDefault="003C17AB" w:rsidP="00CA1FEB">
      <w:pPr>
        <w:rPr>
          <w:sz w:val="22"/>
          <w:szCs w:val="22"/>
          <w:lang w:val="sr-Latn-CS"/>
        </w:rPr>
      </w:pPr>
    </w:p>
    <w:p w14:paraId="7D9AD216" w14:textId="77777777" w:rsidR="00C37FD7" w:rsidRPr="00C262AC" w:rsidRDefault="00C37FD7" w:rsidP="00F5167F">
      <w:pPr>
        <w:tabs>
          <w:tab w:val="left" w:pos="540"/>
          <w:tab w:val="left" w:pos="569"/>
        </w:tabs>
        <w:rPr>
          <w:bCs/>
          <w:sz w:val="22"/>
          <w:szCs w:val="22"/>
        </w:rPr>
      </w:pPr>
    </w:p>
    <w:p w14:paraId="7D9AD217" w14:textId="77777777" w:rsidR="00411B4B" w:rsidRPr="00C262AC" w:rsidRDefault="00411B4B" w:rsidP="00C02F5A">
      <w:pPr>
        <w:tabs>
          <w:tab w:val="left" w:pos="540"/>
          <w:tab w:val="left" w:pos="569"/>
        </w:tabs>
        <w:jc w:val="both"/>
        <w:rPr>
          <w:b/>
          <w:bCs/>
          <w:sz w:val="22"/>
          <w:szCs w:val="22"/>
        </w:rPr>
      </w:pPr>
      <w:r w:rsidRPr="00C262AC">
        <w:rPr>
          <w:b/>
          <w:bCs/>
          <w:sz w:val="22"/>
          <w:szCs w:val="22"/>
        </w:rPr>
        <w:t>1.</w:t>
      </w:r>
      <w:r w:rsidR="00F5167F" w:rsidRPr="00C262AC">
        <w:rPr>
          <w:b/>
          <w:bCs/>
          <w:sz w:val="22"/>
          <w:szCs w:val="22"/>
        </w:rPr>
        <w:tab/>
      </w:r>
      <w:r w:rsidR="002846DB" w:rsidRPr="00C262AC">
        <w:rPr>
          <w:b/>
          <w:bCs/>
          <w:sz w:val="22"/>
          <w:szCs w:val="22"/>
        </w:rPr>
        <w:t xml:space="preserve">NAZIV </w:t>
      </w:r>
      <w:r w:rsidRPr="00C262AC">
        <w:rPr>
          <w:b/>
          <w:bCs/>
          <w:sz w:val="22"/>
          <w:szCs w:val="22"/>
        </w:rPr>
        <w:t>LIJEKA</w:t>
      </w:r>
    </w:p>
    <w:p w14:paraId="7D9AD218" w14:textId="77777777" w:rsidR="00EC2532" w:rsidRPr="00C262AC" w:rsidRDefault="00EC2532" w:rsidP="00C02F5A">
      <w:pPr>
        <w:jc w:val="both"/>
        <w:rPr>
          <w:sz w:val="22"/>
          <w:szCs w:val="22"/>
        </w:rPr>
      </w:pPr>
    </w:p>
    <w:p w14:paraId="1B2B302B" w14:textId="42B0F77C" w:rsidR="008F1ECD" w:rsidRPr="00C262AC" w:rsidRDefault="008F1ECD" w:rsidP="00C02F5A">
      <w:pPr>
        <w:jc w:val="both"/>
        <w:rPr>
          <w:sz w:val="22"/>
          <w:szCs w:val="22"/>
          <w:lang w:val="sv-SE"/>
        </w:rPr>
      </w:pPr>
      <w:r w:rsidRPr="00C262AC">
        <w:rPr>
          <w:sz w:val="22"/>
          <w:szCs w:val="22"/>
          <w:lang w:val="sv-SE"/>
        </w:rPr>
        <w:t xml:space="preserve">Femozol, 2,5 mg, film </w:t>
      </w:r>
      <w:r w:rsidR="00A12C6D" w:rsidRPr="00C262AC">
        <w:rPr>
          <w:sz w:val="22"/>
          <w:szCs w:val="22"/>
          <w:lang w:val="sv-SE"/>
        </w:rPr>
        <w:t>tableta</w:t>
      </w:r>
    </w:p>
    <w:p w14:paraId="4EEFFC5C" w14:textId="77777777" w:rsidR="008F1ECD" w:rsidRPr="00C262AC" w:rsidRDefault="008F1ECD" w:rsidP="00C02F5A">
      <w:pPr>
        <w:jc w:val="both"/>
        <w:rPr>
          <w:sz w:val="22"/>
          <w:szCs w:val="22"/>
          <w:lang w:val="sv-SE"/>
        </w:rPr>
      </w:pPr>
    </w:p>
    <w:p w14:paraId="7D9AD21B" w14:textId="2044CD75" w:rsidR="006D20A5" w:rsidRPr="00C262AC" w:rsidRDefault="006D20A5" w:rsidP="00C02F5A">
      <w:pPr>
        <w:jc w:val="both"/>
        <w:rPr>
          <w:sz w:val="22"/>
          <w:szCs w:val="22"/>
          <w:lang w:val="sv-SE"/>
        </w:rPr>
      </w:pPr>
      <w:r w:rsidRPr="00C262AC">
        <w:rPr>
          <w:sz w:val="22"/>
          <w:szCs w:val="22"/>
          <w:lang w:val="sv-SE"/>
        </w:rPr>
        <w:t>INN:</w:t>
      </w:r>
      <w:r w:rsidR="002F5B0A" w:rsidRPr="00C262AC">
        <w:rPr>
          <w:sz w:val="22"/>
          <w:szCs w:val="22"/>
          <w:lang w:val="sv-SE"/>
        </w:rPr>
        <w:t xml:space="preserve"> letrozol</w:t>
      </w:r>
    </w:p>
    <w:p w14:paraId="0A8AD25B" w14:textId="77777777" w:rsidR="00D01772" w:rsidRPr="00C262AC" w:rsidRDefault="00D01772" w:rsidP="00C02F5A">
      <w:pPr>
        <w:jc w:val="both"/>
        <w:rPr>
          <w:sz w:val="22"/>
          <w:szCs w:val="22"/>
          <w:lang w:val="sr-Latn-CS"/>
        </w:rPr>
      </w:pPr>
    </w:p>
    <w:p w14:paraId="7D9AD21C" w14:textId="77777777" w:rsidR="006D20A5" w:rsidRPr="00C262AC" w:rsidRDefault="006D20A5" w:rsidP="00C02F5A">
      <w:pPr>
        <w:jc w:val="both"/>
        <w:rPr>
          <w:bCs/>
          <w:sz w:val="22"/>
          <w:szCs w:val="22"/>
          <w:lang w:val="sv-SE"/>
        </w:rPr>
      </w:pPr>
    </w:p>
    <w:p w14:paraId="7D9AD21E" w14:textId="77777777" w:rsidR="00411B4B" w:rsidRPr="00C262AC" w:rsidRDefault="00411B4B" w:rsidP="00C02F5A">
      <w:pPr>
        <w:tabs>
          <w:tab w:val="left" w:pos="540"/>
          <w:tab w:val="left" w:pos="569"/>
        </w:tabs>
        <w:jc w:val="both"/>
        <w:rPr>
          <w:b/>
          <w:bCs/>
          <w:sz w:val="22"/>
          <w:szCs w:val="22"/>
          <w:lang w:val="sv-SE"/>
        </w:rPr>
      </w:pPr>
      <w:r w:rsidRPr="00C262AC">
        <w:rPr>
          <w:b/>
          <w:bCs/>
          <w:sz w:val="22"/>
          <w:szCs w:val="22"/>
          <w:lang w:val="sv-SE"/>
        </w:rPr>
        <w:t xml:space="preserve">2. </w:t>
      </w:r>
      <w:r w:rsidR="00F5167F" w:rsidRPr="00C262AC">
        <w:rPr>
          <w:b/>
          <w:bCs/>
          <w:sz w:val="22"/>
          <w:szCs w:val="22"/>
          <w:lang w:val="sv-SE"/>
        </w:rPr>
        <w:tab/>
      </w:r>
      <w:r w:rsidRPr="00C262AC">
        <w:rPr>
          <w:b/>
          <w:bCs/>
          <w:sz w:val="22"/>
          <w:szCs w:val="22"/>
          <w:lang w:val="sv-SE"/>
        </w:rPr>
        <w:t>KVALITATIVNI I KVANTITATIVNI SASTAV</w:t>
      </w:r>
    </w:p>
    <w:p w14:paraId="7D9AD21F" w14:textId="77777777" w:rsidR="005A0B2E" w:rsidRPr="00C262AC" w:rsidRDefault="005A0B2E" w:rsidP="00C02F5A">
      <w:pPr>
        <w:jc w:val="both"/>
        <w:rPr>
          <w:sz w:val="22"/>
          <w:szCs w:val="22"/>
          <w:lang w:val="sr-Latn-CS"/>
        </w:rPr>
      </w:pPr>
    </w:p>
    <w:p w14:paraId="6C7B983E" w14:textId="77777777" w:rsidR="002F5B0A" w:rsidRPr="00C262AC" w:rsidRDefault="002F5B0A" w:rsidP="00C02F5A">
      <w:pPr>
        <w:jc w:val="both"/>
        <w:rPr>
          <w:sz w:val="22"/>
          <w:szCs w:val="22"/>
          <w:lang w:val="sr-Latn-CS"/>
        </w:rPr>
      </w:pPr>
      <w:r w:rsidRPr="00C262AC">
        <w:rPr>
          <w:sz w:val="22"/>
          <w:szCs w:val="22"/>
          <w:lang w:val="sr-Latn-CS"/>
        </w:rPr>
        <w:t>Jedna film tableta sadrži 2,5 mg letrozola.</w:t>
      </w:r>
    </w:p>
    <w:p w14:paraId="2EB25880" w14:textId="77777777" w:rsidR="0021231A" w:rsidRPr="00C262AC" w:rsidRDefault="0021231A" w:rsidP="00C02F5A">
      <w:pPr>
        <w:jc w:val="both"/>
        <w:rPr>
          <w:sz w:val="22"/>
          <w:szCs w:val="22"/>
          <w:lang w:val="sr-Latn-CS"/>
        </w:rPr>
      </w:pPr>
    </w:p>
    <w:p w14:paraId="0B144470" w14:textId="7893BE61" w:rsidR="000303DE" w:rsidRPr="00C262AC" w:rsidRDefault="005C2195" w:rsidP="00C02F5A">
      <w:pPr>
        <w:jc w:val="both"/>
        <w:rPr>
          <w:sz w:val="22"/>
          <w:szCs w:val="22"/>
          <w:lang w:val="sr-Latn-CS"/>
        </w:rPr>
      </w:pPr>
      <w:r w:rsidRPr="00C262AC">
        <w:rPr>
          <w:sz w:val="22"/>
          <w:szCs w:val="22"/>
          <w:lang w:val="sr-Latn-CS"/>
        </w:rPr>
        <w:t>P</w:t>
      </w:r>
      <w:r w:rsidR="000303DE" w:rsidRPr="00C262AC">
        <w:rPr>
          <w:sz w:val="22"/>
          <w:szCs w:val="22"/>
          <w:lang w:val="sr-Latn-CS"/>
        </w:rPr>
        <w:t xml:space="preserve">omoćna supstanca sa potvrđenim dejstvom: </w:t>
      </w:r>
      <w:r w:rsidRPr="00C262AC">
        <w:rPr>
          <w:sz w:val="22"/>
          <w:szCs w:val="22"/>
          <w:lang w:val="sr-Latn-CS"/>
        </w:rPr>
        <w:t>laktoza, monohidrat.</w:t>
      </w:r>
    </w:p>
    <w:p w14:paraId="63FC06A5" w14:textId="77777777" w:rsidR="000303DE" w:rsidRPr="00C262AC" w:rsidRDefault="000303DE" w:rsidP="00C02F5A">
      <w:pPr>
        <w:jc w:val="both"/>
        <w:rPr>
          <w:sz w:val="22"/>
          <w:szCs w:val="22"/>
          <w:lang w:val="sr-Latn-CS"/>
        </w:rPr>
      </w:pPr>
    </w:p>
    <w:p w14:paraId="7D9AD220" w14:textId="797DA3A6" w:rsidR="0003793F" w:rsidRPr="00C262AC" w:rsidRDefault="0003793F" w:rsidP="00C02F5A">
      <w:pPr>
        <w:jc w:val="both"/>
        <w:rPr>
          <w:sz w:val="22"/>
          <w:szCs w:val="22"/>
          <w:lang w:val="sr-Latn-CS"/>
        </w:rPr>
      </w:pPr>
      <w:r w:rsidRPr="00C262AC">
        <w:rPr>
          <w:sz w:val="22"/>
          <w:szCs w:val="22"/>
          <w:lang w:val="sr-Latn-CS"/>
        </w:rPr>
        <w:t>Za spisak svih ekscipijenasa, pogledati dio 6.1.</w:t>
      </w:r>
    </w:p>
    <w:p w14:paraId="25FD56DC" w14:textId="77777777" w:rsidR="00EA1021" w:rsidRPr="00C262AC" w:rsidRDefault="00EA1021" w:rsidP="00C02F5A">
      <w:pPr>
        <w:jc w:val="both"/>
        <w:rPr>
          <w:sz w:val="22"/>
          <w:szCs w:val="22"/>
          <w:lang w:val="sr-Latn-CS"/>
        </w:rPr>
      </w:pPr>
    </w:p>
    <w:p w14:paraId="7D9AD222" w14:textId="77777777" w:rsidR="00C37FD7" w:rsidRPr="00C262AC" w:rsidRDefault="00C37FD7" w:rsidP="00C02F5A">
      <w:pPr>
        <w:jc w:val="both"/>
        <w:rPr>
          <w:sz w:val="22"/>
          <w:szCs w:val="22"/>
          <w:lang w:val="sr-Latn-CS"/>
        </w:rPr>
      </w:pPr>
    </w:p>
    <w:p w14:paraId="7D9AD223" w14:textId="77777777" w:rsidR="00411B4B" w:rsidRPr="00C262AC" w:rsidRDefault="00411B4B" w:rsidP="00C02F5A">
      <w:pPr>
        <w:tabs>
          <w:tab w:val="left" w:pos="540"/>
          <w:tab w:val="left" w:pos="569"/>
        </w:tabs>
        <w:jc w:val="both"/>
        <w:rPr>
          <w:b/>
          <w:bCs/>
          <w:sz w:val="22"/>
          <w:szCs w:val="22"/>
          <w:lang w:val="sr-Latn-CS"/>
        </w:rPr>
      </w:pPr>
      <w:r w:rsidRPr="00C262AC">
        <w:rPr>
          <w:b/>
          <w:bCs/>
          <w:sz w:val="22"/>
          <w:szCs w:val="22"/>
          <w:lang w:val="sr-Latn-CS"/>
        </w:rPr>
        <w:t xml:space="preserve">3. </w:t>
      </w:r>
      <w:r w:rsidR="00F5167F" w:rsidRPr="00C262AC">
        <w:rPr>
          <w:b/>
          <w:bCs/>
          <w:sz w:val="22"/>
          <w:szCs w:val="22"/>
          <w:lang w:val="sr-Latn-CS"/>
        </w:rPr>
        <w:tab/>
      </w:r>
      <w:r w:rsidRPr="00C262AC">
        <w:rPr>
          <w:b/>
          <w:bCs/>
          <w:sz w:val="22"/>
          <w:szCs w:val="22"/>
        </w:rPr>
        <w:t>FARMACEUTSKI</w:t>
      </w:r>
      <w:r w:rsidRPr="00C262AC">
        <w:rPr>
          <w:b/>
          <w:bCs/>
          <w:sz w:val="22"/>
          <w:szCs w:val="22"/>
          <w:lang w:val="sr-Latn-CS"/>
        </w:rPr>
        <w:t xml:space="preserve"> </w:t>
      </w:r>
      <w:r w:rsidRPr="00C262AC">
        <w:rPr>
          <w:b/>
          <w:bCs/>
          <w:sz w:val="22"/>
          <w:szCs w:val="22"/>
        </w:rPr>
        <w:t>OBLIK</w:t>
      </w:r>
      <w:r w:rsidR="009F2D23" w:rsidRPr="00C262AC">
        <w:rPr>
          <w:b/>
          <w:bCs/>
          <w:sz w:val="22"/>
          <w:szCs w:val="22"/>
          <w:lang w:val="sr-Latn-CS"/>
        </w:rPr>
        <w:t xml:space="preserve"> </w:t>
      </w:r>
    </w:p>
    <w:p w14:paraId="41FA8693" w14:textId="77777777" w:rsidR="002F5B0A" w:rsidRPr="00C262AC" w:rsidRDefault="002F5B0A" w:rsidP="00C02F5A">
      <w:pPr>
        <w:jc w:val="both"/>
        <w:rPr>
          <w:bCs/>
          <w:sz w:val="22"/>
          <w:szCs w:val="22"/>
          <w:lang w:val="sr-Latn-CS"/>
        </w:rPr>
      </w:pPr>
    </w:p>
    <w:p w14:paraId="6C89E4E4" w14:textId="6A4F3140" w:rsidR="002F5B0A" w:rsidRPr="00C262AC" w:rsidRDefault="002F5B0A" w:rsidP="00C02F5A">
      <w:pPr>
        <w:jc w:val="both"/>
        <w:rPr>
          <w:bCs/>
          <w:sz w:val="22"/>
          <w:szCs w:val="22"/>
          <w:lang w:val="sr-Latn-CS"/>
        </w:rPr>
      </w:pPr>
      <w:r w:rsidRPr="00C262AC">
        <w:rPr>
          <w:bCs/>
          <w:sz w:val="22"/>
          <w:szCs w:val="22"/>
          <w:lang w:val="sr-Latn-CS"/>
        </w:rPr>
        <w:t xml:space="preserve">Film </w:t>
      </w:r>
      <w:r w:rsidR="00D14852" w:rsidRPr="00C262AC">
        <w:rPr>
          <w:bCs/>
          <w:sz w:val="22"/>
          <w:szCs w:val="22"/>
          <w:lang w:val="sr-Latn-CS"/>
        </w:rPr>
        <w:t>tableta</w:t>
      </w:r>
      <w:r w:rsidRPr="00C262AC">
        <w:rPr>
          <w:bCs/>
          <w:sz w:val="22"/>
          <w:szCs w:val="22"/>
          <w:lang w:val="sr-Latn-CS"/>
        </w:rPr>
        <w:t>.</w:t>
      </w:r>
    </w:p>
    <w:p w14:paraId="3695C69E" w14:textId="77777777" w:rsidR="0021231A" w:rsidRPr="00C262AC" w:rsidRDefault="0021231A" w:rsidP="00C02F5A">
      <w:pPr>
        <w:jc w:val="both"/>
        <w:rPr>
          <w:bCs/>
          <w:sz w:val="22"/>
          <w:szCs w:val="22"/>
          <w:lang w:val="sr-Latn-CS"/>
        </w:rPr>
      </w:pPr>
    </w:p>
    <w:p w14:paraId="011EFC69" w14:textId="4ECD572A" w:rsidR="002F5B0A" w:rsidRPr="00C262AC" w:rsidRDefault="002F5B0A" w:rsidP="00C02F5A">
      <w:pPr>
        <w:jc w:val="both"/>
        <w:rPr>
          <w:bCs/>
          <w:sz w:val="22"/>
          <w:szCs w:val="22"/>
          <w:lang w:val="sr-Latn-CS"/>
        </w:rPr>
      </w:pPr>
      <w:r w:rsidRPr="00C262AC">
        <w:rPr>
          <w:bCs/>
          <w:sz w:val="22"/>
          <w:szCs w:val="22"/>
          <w:lang w:val="sr-Latn-CS"/>
        </w:rPr>
        <w:t>Okrugle, bikonveksne film tablete žute boje.</w:t>
      </w:r>
    </w:p>
    <w:p w14:paraId="5E73A125" w14:textId="77777777" w:rsidR="00EA1021" w:rsidRPr="00C262AC" w:rsidRDefault="00EA1021" w:rsidP="00C02F5A">
      <w:pPr>
        <w:jc w:val="both"/>
        <w:rPr>
          <w:bCs/>
          <w:sz w:val="22"/>
          <w:szCs w:val="22"/>
          <w:lang w:val="sr-Latn-CS"/>
        </w:rPr>
      </w:pPr>
    </w:p>
    <w:p w14:paraId="7D9AD224" w14:textId="77777777" w:rsidR="00411B4B" w:rsidRPr="00C262AC" w:rsidRDefault="00411B4B" w:rsidP="00C02F5A">
      <w:pPr>
        <w:jc w:val="both"/>
        <w:rPr>
          <w:bCs/>
          <w:sz w:val="22"/>
          <w:szCs w:val="22"/>
          <w:lang w:val="sr-Latn-CS"/>
        </w:rPr>
      </w:pPr>
    </w:p>
    <w:p w14:paraId="7D9AD226" w14:textId="77777777" w:rsidR="00411B4B" w:rsidRPr="00C262AC" w:rsidRDefault="00411B4B" w:rsidP="00C02F5A">
      <w:pPr>
        <w:tabs>
          <w:tab w:val="left" w:pos="540"/>
          <w:tab w:val="left" w:pos="569"/>
        </w:tabs>
        <w:jc w:val="both"/>
        <w:rPr>
          <w:b/>
          <w:bCs/>
          <w:sz w:val="22"/>
          <w:szCs w:val="22"/>
          <w:lang w:val="sr-Latn-CS"/>
        </w:rPr>
      </w:pPr>
      <w:r w:rsidRPr="00C262AC">
        <w:rPr>
          <w:b/>
          <w:bCs/>
          <w:sz w:val="22"/>
          <w:szCs w:val="22"/>
          <w:lang w:val="sr-Latn-CS"/>
        </w:rPr>
        <w:t xml:space="preserve">4. </w:t>
      </w:r>
      <w:r w:rsidR="00480FB1" w:rsidRPr="00C262AC">
        <w:rPr>
          <w:b/>
          <w:bCs/>
          <w:sz w:val="22"/>
          <w:szCs w:val="22"/>
          <w:lang w:val="sr-Latn-CS"/>
        </w:rPr>
        <w:tab/>
      </w:r>
      <w:r w:rsidRPr="00C262AC">
        <w:rPr>
          <w:b/>
          <w:bCs/>
          <w:sz w:val="22"/>
          <w:szCs w:val="22"/>
        </w:rPr>
        <w:t>KLINI</w:t>
      </w:r>
      <w:r w:rsidRPr="00C262AC">
        <w:rPr>
          <w:b/>
          <w:bCs/>
          <w:sz w:val="22"/>
          <w:szCs w:val="22"/>
          <w:lang w:val="sr-Latn-CS"/>
        </w:rPr>
        <w:t>Č</w:t>
      </w:r>
      <w:r w:rsidRPr="00C262AC">
        <w:rPr>
          <w:b/>
          <w:bCs/>
          <w:sz w:val="22"/>
          <w:szCs w:val="22"/>
        </w:rPr>
        <w:t>KI</w:t>
      </w:r>
      <w:r w:rsidRPr="00C262AC">
        <w:rPr>
          <w:b/>
          <w:bCs/>
          <w:sz w:val="22"/>
          <w:szCs w:val="22"/>
          <w:lang w:val="sr-Latn-CS"/>
        </w:rPr>
        <w:t xml:space="preserve"> </w:t>
      </w:r>
      <w:r w:rsidRPr="00C262AC">
        <w:rPr>
          <w:b/>
          <w:bCs/>
          <w:sz w:val="22"/>
          <w:szCs w:val="22"/>
        </w:rPr>
        <w:t>PODACI</w:t>
      </w:r>
    </w:p>
    <w:p w14:paraId="7D9AD227" w14:textId="77777777" w:rsidR="00CD6F02" w:rsidRPr="00C262AC" w:rsidRDefault="00CD6F02" w:rsidP="00C02F5A">
      <w:pPr>
        <w:tabs>
          <w:tab w:val="left" w:pos="540"/>
          <w:tab w:val="left" w:pos="569"/>
        </w:tabs>
        <w:jc w:val="both"/>
        <w:rPr>
          <w:bCs/>
          <w:sz w:val="22"/>
          <w:szCs w:val="22"/>
          <w:lang w:val="sr-Latn-CS"/>
        </w:rPr>
      </w:pPr>
    </w:p>
    <w:p w14:paraId="7D9AD228" w14:textId="77777777" w:rsidR="00411B4B" w:rsidRPr="00C262AC" w:rsidRDefault="00411B4B" w:rsidP="00C02F5A">
      <w:pPr>
        <w:tabs>
          <w:tab w:val="left" w:pos="540"/>
          <w:tab w:val="left" w:pos="569"/>
        </w:tabs>
        <w:jc w:val="both"/>
        <w:rPr>
          <w:b/>
          <w:bCs/>
          <w:sz w:val="22"/>
          <w:szCs w:val="22"/>
          <w:lang w:val="sr-Latn-CS"/>
        </w:rPr>
      </w:pPr>
      <w:r w:rsidRPr="00C262AC">
        <w:rPr>
          <w:b/>
          <w:bCs/>
          <w:sz w:val="22"/>
          <w:szCs w:val="22"/>
          <w:lang w:val="sr-Latn-CS"/>
        </w:rPr>
        <w:t xml:space="preserve">4.1. </w:t>
      </w:r>
      <w:r w:rsidR="00480FB1" w:rsidRPr="00C262AC">
        <w:rPr>
          <w:b/>
          <w:bCs/>
          <w:sz w:val="22"/>
          <w:szCs w:val="22"/>
          <w:lang w:val="sr-Latn-CS"/>
        </w:rPr>
        <w:tab/>
      </w:r>
      <w:proofErr w:type="spellStart"/>
      <w:r w:rsidRPr="00C262AC">
        <w:rPr>
          <w:b/>
          <w:bCs/>
          <w:sz w:val="22"/>
          <w:szCs w:val="22"/>
        </w:rPr>
        <w:t>Terapijske</w:t>
      </w:r>
      <w:proofErr w:type="spellEnd"/>
      <w:r w:rsidRPr="00C262AC">
        <w:rPr>
          <w:b/>
          <w:bCs/>
          <w:sz w:val="22"/>
          <w:szCs w:val="22"/>
          <w:lang w:val="sr-Latn-CS"/>
        </w:rPr>
        <w:t xml:space="preserve"> </w:t>
      </w:r>
      <w:proofErr w:type="spellStart"/>
      <w:r w:rsidRPr="00C262AC">
        <w:rPr>
          <w:b/>
          <w:bCs/>
          <w:sz w:val="22"/>
          <w:szCs w:val="22"/>
        </w:rPr>
        <w:t>indikacije</w:t>
      </w:r>
      <w:proofErr w:type="spellEnd"/>
    </w:p>
    <w:p w14:paraId="70569530" w14:textId="77777777" w:rsidR="002F5B0A" w:rsidRPr="00C262AC" w:rsidRDefault="002F5B0A" w:rsidP="00C02F5A">
      <w:pPr>
        <w:tabs>
          <w:tab w:val="left" w:pos="540"/>
          <w:tab w:val="left" w:pos="569"/>
        </w:tabs>
        <w:jc w:val="both"/>
        <w:rPr>
          <w:bCs/>
          <w:sz w:val="22"/>
          <w:szCs w:val="22"/>
          <w:lang w:val="sr-Latn-CS"/>
        </w:rPr>
      </w:pPr>
    </w:p>
    <w:p w14:paraId="7DC3FEA6" w14:textId="5AFAFE10" w:rsidR="002F5B0A" w:rsidRPr="00C262AC" w:rsidRDefault="002F5B0A" w:rsidP="00C02F5A">
      <w:pPr>
        <w:tabs>
          <w:tab w:val="left" w:pos="540"/>
          <w:tab w:val="left" w:pos="569"/>
        </w:tabs>
        <w:jc w:val="both"/>
        <w:rPr>
          <w:bCs/>
          <w:sz w:val="22"/>
          <w:szCs w:val="22"/>
          <w:lang w:val="sr-Latn-CS"/>
        </w:rPr>
      </w:pPr>
      <w:r w:rsidRPr="00C262AC">
        <w:rPr>
          <w:bCs/>
          <w:sz w:val="22"/>
          <w:szCs w:val="22"/>
          <w:lang w:val="sr-Latn-CS"/>
        </w:rPr>
        <w:t xml:space="preserve">- Adjuvantna terapija ranog invazivnog karcinoma dojke kod žena u </w:t>
      </w:r>
      <w:proofErr w:type="spellStart"/>
      <w:r w:rsidRPr="00C262AC">
        <w:rPr>
          <w:bCs/>
          <w:sz w:val="22"/>
          <w:szCs w:val="22"/>
          <w:lang w:val="sr-Latn-CS"/>
        </w:rPr>
        <w:t>postmenopauzi</w:t>
      </w:r>
      <w:proofErr w:type="spellEnd"/>
      <w:r w:rsidRPr="00C262AC">
        <w:rPr>
          <w:bCs/>
          <w:sz w:val="22"/>
          <w:szCs w:val="22"/>
          <w:lang w:val="sr-Latn-CS"/>
        </w:rPr>
        <w:t xml:space="preserve"> sa pozitivnim hormonskim receptorima</w:t>
      </w:r>
      <w:r w:rsidR="002872F8" w:rsidRPr="00C262AC">
        <w:rPr>
          <w:bCs/>
          <w:sz w:val="22"/>
          <w:szCs w:val="22"/>
          <w:lang w:val="sr-Latn-CS"/>
        </w:rPr>
        <w:t>.</w:t>
      </w:r>
      <w:r w:rsidRPr="00C262AC">
        <w:rPr>
          <w:bCs/>
          <w:sz w:val="22"/>
          <w:szCs w:val="22"/>
          <w:lang w:val="sr-Latn-CS"/>
        </w:rPr>
        <w:t xml:space="preserve">  </w:t>
      </w:r>
    </w:p>
    <w:p w14:paraId="630D1559" w14:textId="77777777" w:rsidR="002F5B0A" w:rsidRPr="00C262AC" w:rsidRDefault="002F5B0A" w:rsidP="00C02F5A">
      <w:pPr>
        <w:tabs>
          <w:tab w:val="left" w:pos="540"/>
          <w:tab w:val="left" w:pos="569"/>
        </w:tabs>
        <w:jc w:val="both"/>
        <w:rPr>
          <w:bCs/>
          <w:sz w:val="22"/>
          <w:szCs w:val="22"/>
          <w:lang w:val="sr-Latn-CS"/>
        </w:rPr>
      </w:pPr>
      <w:r w:rsidRPr="00C262AC">
        <w:rPr>
          <w:bCs/>
          <w:sz w:val="22"/>
          <w:szCs w:val="22"/>
          <w:lang w:val="sr-Latn-CS"/>
        </w:rPr>
        <w:t>- Produžena adjuvantna terapija hormon-zavisnog invazivnog karcinoma dojke kod žena u postmenopauzi koje su u prethodnih 5 godina dobijale standardnu adjuvantnu terapiju tamoksifenom.</w:t>
      </w:r>
    </w:p>
    <w:p w14:paraId="07F8D8AB" w14:textId="77777777" w:rsidR="002F5B0A" w:rsidRPr="00C262AC" w:rsidRDefault="002F5B0A" w:rsidP="00C02F5A">
      <w:pPr>
        <w:tabs>
          <w:tab w:val="left" w:pos="540"/>
          <w:tab w:val="left" w:pos="569"/>
        </w:tabs>
        <w:jc w:val="both"/>
        <w:rPr>
          <w:bCs/>
          <w:sz w:val="22"/>
          <w:szCs w:val="22"/>
          <w:lang w:val="sr-Latn-CS"/>
        </w:rPr>
      </w:pPr>
      <w:r w:rsidRPr="00C262AC">
        <w:rPr>
          <w:bCs/>
          <w:sz w:val="22"/>
          <w:szCs w:val="22"/>
          <w:lang w:val="sr-Latn-CS"/>
        </w:rPr>
        <w:t>- Prva linija terapije kod žena u postmenopauzi sa hormon-zavisnim uznapredovalim karcinomom dojke.</w:t>
      </w:r>
    </w:p>
    <w:p w14:paraId="709CC9B9" w14:textId="77777777" w:rsidR="002F5B0A" w:rsidRPr="00C262AC" w:rsidRDefault="002F5B0A" w:rsidP="00C02F5A">
      <w:pPr>
        <w:tabs>
          <w:tab w:val="left" w:pos="540"/>
          <w:tab w:val="left" w:pos="569"/>
        </w:tabs>
        <w:jc w:val="both"/>
        <w:rPr>
          <w:bCs/>
          <w:sz w:val="22"/>
          <w:szCs w:val="22"/>
          <w:lang w:val="sr-Latn-CS"/>
        </w:rPr>
      </w:pPr>
      <w:r w:rsidRPr="00C262AC">
        <w:rPr>
          <w:bCs/>
          <w:sz w:val="22"/>
          <w:szCs w:val="22"/>
          <w:lang w:val="sr-Latn-CS"/>
        </w:rPr>
        <w:t>- Uznapredovali karcinom dojke nakon relapsa ili progresije bolesti, kod žena sa prirodno ili vještački indukovanim postmenopauzalnim endokrinim statusom, koje su prethodno liječene antiestrogenom terapijom.</w:t>
      </w:r>
    </w:p>
    <w:p w14:paraId="49F3A17D" w14:textId="34841264" w:rsidR="002F5B0A" w:rsidRPr="00C262AC" w:rsidRDefault="002F5B0A" w:rsidP="00C02F5A">
      <w:pPr>
        <w:tabs>
          <w:tab w:val="left" w:pos="540"/>
          <w:tab w:val="left" w:pos="569"/>
        </w:tabs>
        <w:jc w:val="both"/>
        <w:rPr>
          <w:bCs/>
          <w:sz w:val="22"/>
          <w:szCs w:val="22"/>
          <w:lang w:val="sr-Latn-CS"/>
        </w:rPr>
      </w:pPr>
      <w:r w:rsidRPr="00C262AC">
        <w:rPr>
          <w:bCs/>
          <w:sz w:val="22"/>
          <w:szCs w:val="22"/>
          <w:lang w:val="sr-Latn-CS"/>
        </w:rPr>
        <w:t>- Neoadjuvantna terapija kod postmenopauznih žena sa HER-2 negativnim karcinomom dojke sa pozitivnim hormonskim receptorima, kod kojih nije pogodno primjeniti hemioterapiju i kod kojih nije indikovana hitna hirurška intervencija.</w:t>
      </w:r>
    </w:p>
    <w:p w14:paraId="228705D0" w14:textId="77777777" w:rsidR="002F5B0A" w:rsidRPr="00C262AC" w:rsidRDefault="002F5B0A" w:rsidP="00C02F5A">
      <w:pPr>
        <w:tabs>
          <w:tab w:val="left" w:pos="540"/>
          <w:tab w:val="left" w:pos="569"/>
        </w:tabs>
        <w:jc w:val="both"/>
        <w:rPr>
          <w:bCs/>
          <w:sz w:val="22"/>
          <w:szCs w:val="22"/>
          <w:lang w:val="sr-Latn-CS"/>
        </w:rPr>
      </w:pPr>
    </w:p>
    <w:p w14:paraId="7D9AD229" w14:textId="44A64DB2" w:rsidR="00411B4B" w:rsidRPr="00C262AC" w:rsidRDefault="002F5B0A" w:rsidP="00C02F5A">
      <w:pPr>
        <w:tabs>
          <w:tab w:val="left" w:pos="540"/>
          <w:tab w:val="left" w:pos="569"/>
        </w:tabs>
        <w:jc w:val="both"/>
        <w:rPr>
          <w:bCs/>
          <w:sz w:val="22"/>
          <w:szCs w:val="22"/>
          <w:lang w:val="sr-Latn-CS"/>
        </w:rPr>
      </w:pPr>
      <w:r w:rsidRPr="00C262AC">
        <w:rPr>
          <w:bCs/>
          <w:sz w:val="22"/>
          <w:szCs w:val="22"/>
          <w:lang w:val="sr-Latn-CS"/>
        </w:rPr>
        <w:t>Efikasnost nije pokazana kod pacijenata sa karcinomom dojke sa negativnim hormonskim receptorima.</w:t>
      </w:r>
    </w:p>
    <w:p w14:paraId="3AFF77DC" w14:textId="77777777" w:rsidR="002F5B0A" w:rsidRPr="00C262AC" w:rsidRDefault="002F5B0A" w:rsidP="00C02F5A">
      <w:pPr>
        <w:tabs>
          <w:tab w:val="left" w:pos="540"/>
          <w:tab w:val="left" w:pos="569"/>
        </w:tabs>
        <w:jc w:val="both"/>
        <w:rPr>
          <w:bCs/>
          <w:sz w:val="22"/>
          <w:szCs w:val="22"/>
          <w:lang w:val="sr-Latn-CS"/>
        </w:rPr>
      </w:pPr>
    </w:p>
    <w:p w14:paraId="7D9AD22A" w14:textId="77777777" w:rsidR="00411B4B" w:rsidRPr="00C262AC" w:rsidRDefault="00411B4B" w:rsidP="00C02F5A">
      <w:pPr>
        <w:tabs>
          <w:tab w:val="left" w:pos="540"/>
          <w:tab w:val="left" w:pos="569"/>
        </w:tabs>
        <w:jc w:val="both"/>
        <w:rPr>
          <w:b/>
          <w:bCs/>
          <w:sz w:val="22"/>
          <w:szCs w:val="22"/>
          <w:lang w:val="sr-Latn-CS"/>
        </w:rPr>
      </w:pPr>
      <w:r w:rsidRPr="00C262AC">
        <w:rPr>
          <w:b/>
          <w:bCs/>
          <w:sz w:val="22"/>
          <w:szCs w:val="22"/>
          <w:lang w:val="sr-Latn-CS"/>
        </w:rPr>
        <w:t xml:space="preserve">4.2. </w:t>
      </w:r>
      <w:r w:rsidR="00480FB1" w:rsidRPr="00C262AC">
        <w:rPr>
          <w:b/>
          <w:bCs/>
          <w:sz w:val="22"/>
          <w:szCs w:val="22"/>
          <w:lang w:val="sr-Latn-CS"/>
        </w:rPr>
        <w:tab/>
      </w:r>
      <w:proofErr w:type="spellStart"/>
      <w:r w:rsidRPr="00C262AC">
        <w:rPr>
          <w:b/>
          <w:bCs/>
          <w:sz w:val="22"/>
          <w:szCs w:val="22"/>
        </w:rPr>
        <w:t>Doziranje</w:t>
      </w:r>
      <w:proofErr w:type="spellEnd"/>
      <w:r w:rsidRPr="00C262AC">
        <w:rPr>
          <w:b/>
          <w:bCs/>
          <w:sz w:val="22"/>
          <w:szCs w:val="22"/>
          <w:lang w:val="sr-Latn-CS"/>
        </w:rPr>
        <w:t xml:space="preserve"> </w:t>
      </w:r>
      <w:proofErr w:type="spellStart"/>
      <w:r w:rsidRPr="00C262AC">
        <w:rPr>
          <w:b/>
          <w:bCs/>
          <w:sz w:val="22"/>
          <w:szCs w:val="22"/>
        </w:rPr>
        <w:t>i</w:t>
      </w:r>
      <w:proofErr w:type="spellEnd"/>
      <w:r w:rsidRPr="00C262AC">
        <w:rPr>
          <w:b/>
          <w:bCs/>
          <w:sz w:val="22"/>
          <w:szCs w:val="22"/>
          <w:lang w:val="sr-Latn-CS"/>
        </w:rPr>
        <w:t xml:space="preserve"> </w:t>
      </w:r>
      <w:proofErr w:type="spellStart"/>
      <w:r w:rsidRPr="00C262AC">
        <w:rPr>
          <w:b/>
          <w:bCs/>
          <w:sz w:val="22"/>
          <w:szCs w:val="22"/>
        </w:rPr>
        <w:t>na</w:t>
      </w:r>
      <w:proofErr w:type="spellEnd"/>
      <w:r w:rsidRPr="00C262AC">
        <w:rPr>
          <w:b/>
          <w:bCs/>
          <w:sz w:val="22"/>
          <w:szCs w:val="22"/>
          <w:lang w:val="sr-Latn-CS"/>
        </w:rPr>
        <w:t>č</w:t>
      </w:r>
      <w:r w:rsidRPr="00C262AC">
        <w:rPr>
          <w:b/>
          <w:bCs/>
          <w:sz w:val="22"/>
          <w:szCs w:val="22"/>
        </w:rPr>
        <w:t>in</w:t>
      </w:r>
      <w:r w:rsidRPr="00C262AC">
        <w:rPr>
          <w:b/>
          <w:bCs/>
          <w:sz w:val="22"/>
          <w:szCs w:val="22"/>
          <w:lang w:val="sr-Latn-CS"/>
        </w:rPr>
        <w:t xml:space="preserve"> </w:t>
      </w:r>
      <w:proofErr w:type="spellStart"/>
      <w:r w:rsidRPr="00C262AC">
        <w:rPr>
          <w:b/>
          <w:bCs/>
          <w:sz w:val="22"/>
          <w:szCs w:val="22"/>
        </w:rPr>
        <w:t>primjene</w:t>
      </w:r>
      <w:proofErr w:type="spellEnd"/>
    </w:p>
    <w:p w14:paraId="7D9AD22B" w14:textId="77777777" w:rsidR="0072020E" w:rsidRPr="00C262AC" w:rsidRDefault="0072020E" w:rsidP="00C02F5A">
      <w:pPr>
        <w:tabs>
          <w:tab w:val="left" w:pos="540"/>
          <w:tab w:val="left" w:pos="569"/>
        </w:tabs>
        <w:jc w:val="both"/>
        <w:rPr>
          <w:bCs/>
          <w:sz w:val="22"/>
          <w:szCs w:val="22"/>
          <w:lang w:val="sr-Latn-CS"/>
        </w:rPr>
      </w:pPr>
    </w:p>
    <w:p w14:paraId="7D9AD22C" w14:textId="77777777" w:rsidR="00452E9D" w:rsidRPr="00C262AC" w:rsidRDefault="00452E9D" w:rsidP="00C02F5A">
      <w:pPr>
        <w:tabs>
          <w:tab w:val="left" w:pos="540"/>
          <w:tab w:val="left" w:pos="569"/>
        </w:tabs>
        <w:jc w:val="both"/>
        <w:rPr>
          <w:bCs/>
          <w:sz w:val="22"/>
          <w:szCs w:val="22"/>
          <w:u w:val="single"/>
          <w:lang w:val="sr-Latn-CS"/>
        </w:rPr>
      </w:pPr>
      <w:proofErr w:type="spellStart"/>
      <w:r w:rsidRPr="00C262AC">
        <w:rPr>
          <w:bCs/>
          <w:sz w:val="22"/>
          <w:szCs w:val="22"/>
          <w:u w:val="single"/>
        </w:rPr>
        <w:t>Doziranje</w:t>
      </w:r>
      <w:proofErr w:type="spellEnd"/>
    </w:p>
    <w:p w14:paraId="023D4028" w14:textId="77777777" w:rsidR="00E41066" w:rsidRPr="00C262AC" w:rsidRDefault="00E41066">
      <w:pPr>
        <w:pStyle w:val="NormalWeb"/>
        <w:spacing w:before="0" w:beforeAutospacing="0" w:after="0" w:afterAutospacing="0"/>
        <w:jc w:val="both"/>
        <w:rPr>
          <w:bCs/>
          <w:i/>
          <w:iCs/>
          <w:sz w:val="22"/>
          <w:szCs w:val="22"/>
          <w:lang w:val="sr-Latn-RS"/>
        </w:rPr>
      </w:pPr>
      <w:r w:rsidRPr="00C262AC">
        <w:rPr>
          <w:bCs/>
          <w:i/>
          <w:iCs/>
          <w:sz w:val="22"/>
          <w:szCs w:val="22"/>
          <w:lang w:val="sr-Latn-RS"/>
        </w:rPr>
        <w:t>Odrasli i stariji pacijenti</w:t>
      </w:r>
    </w:p>
    <w:p w14:paraId="02D2F263" w14:textId="3D4D08BF" w:rsidR="00E41066" w:rsidRPr="00C262AC" w:rsidRDefault="00E41066">
      <w:pPr>
        <w:pStyle w:val="NormalWeb"/>
        <w:spacing w:before="0" w:beforeAutospacing="0" w:after="0" w:afterAutospacing="0"/>
        <w:jc w:val="both"/>
        <w:rPr>
          <w:bCs/>
          <w:iCs/>
          <w:sz w:val="22"/>
          <w:szCs w:val="22"/>
          <w:lang w:val="sr-Latn-RS"/>
        </w:rPr>
      </w:pPr>
      <w:r w:rsidRPr="00C262AC">
        <w:rPr>
          <w:bCs/>
          <w:iCs/>
          <w:sz w:val="22"/>
          <w:szCs w:val="22"/>
          <w:lang w:val="sr-Latn-RS"/>
        </w:rPr>
        <w:t xml:space="preserve">Preporučena doza lijeka </w:t>
      </w:r>
      <w:r w:rsidRPr="00C262AC">
        <w:rPr>
          <w:sz w:val="22"/>
          <w:szCs w:val="22"/>
          <w:lang w:val="sr-Latn-RS"/>
        </w:rPr>
        <w:t>Femozol</w:t>
      </w:r>
      <w:r w:rsidRPr="00C262AC">
        <w:rPr>
          <w:bCs/>
          <w:iCs/>
          <w:sz w:val="22"/>
          <w:szCs w:val="22"/>
          <w:lang w:val="sr-Latn-RS"/>
        </w:rPr>
        <w:t xml:space="preserve"> je 2,5 mg jednom dnevno. Kod starijih pacijenata nije potrebno prilagođavanje doze.</w:t>
      </w:r>
    </w:p>
    <w:p w14:paraId="71A967C0" w14:textId="77777777" w:rsidR="00E41066" w:rsidRPr="00C262AC" w:rsidRDefault="00E41066">
      <w:pPr>
        <w:pStyle w:val="NormalWeb"/>
        <w:spacing w:before="0" w:beforeAutospacing="0" w:after="0" w:afterAutospacing="0"/>
        <w:jc w:val="both"/>
        <w:rPr>
          <w:bCs/>
          <w:iCs/>
          <w:sz w:val="22"/>
          <w:szCs w:val="22"/>
          <w:lang w:val="sr-Latn-RS"/>
        </w:rPr>
      </w:pPr>
      <w:r w:rsidRPr="00C262AC">
        <w:rPr>
          <w:bCs/>
          <w:iCs/>
          <w:sz w:val="22"/>
          <w:szCs w:val="22"/>
          <w:lang w:val="sr-Latn-RS"/>
        </w:rPr>
        <w:t>Kod pacijenata sa uznapredovalim ili metastatskim karcinom dojke, terapiju lijekom Femozol treba nastaviti sve dok progresija tumora ne postane evidentna.</w:t>
      </w:r>
    </w:p>
    <w:p w14:paraId="0AFE32E6" w14:textId="4F555E01" w:rsidR="00E41066" w:rsidRPr="00C262AC" w:rsidRDefault="00E41066">
      <w:pPr>
        <w:pStyle w:val="NormalWeb"/>
        <w:spacing w:before="0" w:beforeAutospacing="0" w:after="0" w:afterAutospacing="0"/>
        <w:jc w:val="both"/>
        <w:rPr>
          <w:bCs/>
          <w:iCs/>
          <w:sz w:val="22"/>
          <w:szCs w:val="22"/>
          <w:lang w:val="sr-Latn-RS"/>
        </w:rPr>
      </w:pPr>
      <w:r w:rsidRPr="00C262AC">
        <w:rPr>
          <w:bCs/>
          <w:iCs/>
          <w:sz w:val="22"/>
          <w:szCs w:val="22"/>
          <w:lang w:val="sr-Latn-RS"/>
        </w:rPr>
        <w:t xml:space="preserve">Kada se primjenjuje kao adjuvantna i produžena adjuvantna terapija, liječenje lijekom </w:t>
      </w:r>
      <w:r w:rsidRPr="00C262AC">
        <w:rPr>
          <w:sz w:val="22"/>
          <w:szCs w:val="22"/>
          <w:lang w:val="sr-Latn-RS"/>
        </w:rPr>
        <w:t>Femozol</w:t>
      </w:r>
      <w:r w:rsidRPr="00C262AC">
        <w:rPr>
          <w:sz w:val="22"/>
          <w:szCs w:val="22"/>
          <w:vertAlign w:val="superscript"/>
          <w:lang w:val="sr-Latn-RS"/>
        </w:rPr>
        <w:t xml:space="preserve"> </w:t>
      </w:r>
      <w:r w:rsidRPr="00C262AC">
        <w:rPr>
          <w:bCs/>
          <w:iCs/>
          <w:sz w:val="22"/>
          <w:szCs w:val="22"/>
          <w:lang w:val="sr-Latn-RS"/>
        </w:rPr>
        <w:t xml:space="preserve">treba nastaviti tokom 5 godina ili do pojave relapsa, </w:t>
      </w:r>
      <w:r w:rsidRPr="00C262AC">
        <w:rPr>
          <w:bCs/>
          <w:sz w:val="22"/>
          <w:szCs w:val="22"/>
          <w:lang w:val="sr-Latn-RS"/>
        </w:rPr>
        <w:t>u zavisnosti šta prvo nastupi</w:t>
      </w:r>
      <w:r w:rsidRPr="00C262AC">
        <w:rPr>
          <w:bCs/>
          <w:iCs/>
          <w:sz w:val="22"/>
          <w:szCs w:val="22"/>
          <w:lang w:val="sr-Latn-RS"/>
        </w:rPr>
        <w:t>.</w:t>
      </w:r>
    </w:p>
    <w:p w14:paraId="54F36105" w14:textId="2984AADF" w:rsidR="00E41066" w:rsidRPr="00C262AC" w:rsidRDefault="00E41066">
      <w:pPr>
        <w:pStyle w:val="NormalWeb"/>
        <w:spacing w:before="0" w:beforeAutospacing="0" w:after="0" w:afterAutospacing="0"/>
        <w:jc w:val="both"/>
        <w:rPr>
          <w:bCs/>
          <w:iCs/>
          <w:sz w:val="22"/>
          <w:szCs w:val="22"/>
          <w:lang w:val="sr-Latn-RS"/>
        </w:rPr>
      </w:pPr>
      <w:r w:rsidRPr="00C262AC">
        <w:rPr>
          <w:bCs/>
          <w:iCs/>
          <w:sz w:val="22"/>
          <w:szCs w:val="22"/>
          <w:lang w:val="sr-Latn-RS"/>
        </w:rPr>
        <w:t>Kada se letrozol primjenjuje kao adjuvantna terapija, treba takođe razmotriti sekvencijalnu terapijsku šemu (letrozol 2 godine, a nakon toga tamoksifen 3 godine) (</w:t>
      </w:r>
      <w:proofErr w:type="spellStart"/>
      <w:r w:rsidRPr="00C262AC">
        <w:rPr>
          <w:bCs/>
          <w:iCs/>
          <w:sz w:val="22"/>
          <w:szCs w:val="22"/>
          <w:lang w:val="sr-Latn-RS"/>
        </w:rPr>
        <w:t>vidjeti</w:t>
      </w:r>
      <w:proofErr w:type="spellEnd"/>
      <w:r w:rsidRPr="00C262AC">
        <w:rPr>
          <w:bCs/>
          <w:iCs/>
          <w:sz w:val="22"/>
          <w:szCs w:val="22"/>
          <w:lang w:val="sr-Latn-RS"/>
        </w:rPr>
        <w:t xml:space="preserve"> </w:t>
      </w:r>
      <w:proofErr w:type="spellStart"/>
      <w:r w:rsidR="002872F8" w:rsidRPr="00C262AC">
        <w:rPr>
          <w:bCs/>
          <w:iCs/>
          <w:sz w:val="22"/>
          <w:szCs w:val="22"/>
          <w:lang w:val="sr-Latn-RS"/>
        </w:rPr>
        <w:t>djelove</w:t>
      </w:r>
      <w:proofErr w:type="spellEnd"/>
      <w:r w:rsidR="002872F8" w:rsidRPr="00C262AC">
        <w:rPr>
          <w:bCs/>
          <w:iCs/>
          <w:sz w:val="22"/>
          <w:szCs w:val="22"/>
          <w:lang w:val="sr-Latn-RS"/>
        </w:rPr>
        <w:t xml:space="preserve"> </w:t>
      </w:r>
      <w:r w:rsidRPr="00C262AC">
        <w:rPr>
          <w:bCs/>
          <w:iCs/>
          <w:sz w:val="22"/>
          <w:szCs w:val="22"/>
          <w:lang w:val="sr-Latn-RS"/>
        </w:rPr>
        <w:t>4.4 i 5.1).</w:t>
      </w:r>
    </w:p>
    <w:p w14:paraId="17DDD0E4" w14:textId="77777777" w:rsidR="00E41066" w:rsidRPr="00C262AC" w:rsidRDefault="00E41066">
      <w:pPr>
        <w:pStyle w:val="NormalWeb"/>
        <w:spacing w:before="0" w:beforeAutospacing="0" w:after="0" w:afterAutospacing="0"/>
        <w:jc w:val="both"/>
        <w:rPr>
          <w:bCs/>
          <w:iCs/>
          <w:sz w:val="22"/>
          <w:szCs w:val="22"/>
          <w:lang w:val="sr-Latn-RS"/>
        </w:rPr>
      </w:pPr>
      <w:r w:rsidRPr="00C262AC">
        <w:rPr>
          <w:bCs/>
          <w:iCs/>
          <w:sz w:val="22"/>
          <w:szCs w:val="22"/>
          <w:lang w:val="sr-Latn-RS"/>
        </w:rPr>
        <w:lastRenderedPageBreak/>
        <w:t>Kada se letrozol primjenjuje kao neoadjuvantna terapija, liječenje ovim lijekom treba nastaviti tokom 4 do 8 mjeseci u cilju postizanja optimalnog smanjenja tumora. Ako odgovor na terapiju nije adekvatan, terapiju lijekom Femozol treba obustaviti i razmotriti sa pacijentom hiruršku intervenciju i/ili dalje terapijske mogućnosti.</w:t>
      </w:r>
    </w:p>
    <w:p w14:paraId="33A366AA" w14:textId="77777777" w:rsidR="00E41066" w:rsidRPr="00C262AC" w:rsidRDefault="00E41066">
      <w:pPr>
        <w:pStyle w:val="NormalWeb"/>
        <w:spacing w:before="0" w:beforeAutospacing="0" w:after="0" w:afterAutospacing="0"/>
        <w:jc w:val="both"/>
        <w:rPr>
          <w:bCs/>
          <w:iCs/>
          <w:sz w:val="22"/>
          <w:szCs w:val="22"/>
          <w:lang w:val="sr-Latn-RS"/>
        </w:rPr>
      </w:pPr>
    </w:p>
    <w:p w14:paraId="1EA64534" w14:textId="77777777" w:rsidR="00E41066" w:rsidRPr="00C262AC" w:rsidRDefault="00E41066">
      <w:pPr>
        <w:autoSpaceDE w:val="0"/>
        <w:autoSpaceDN w:val="0"/>
        <w:adjustRightInd w:val="0"/>
        <w:jc w:val="both"/>
        <w:rPr>
          <w:i/>
          <w:iCs/>
          <w:sz w:val="22"/>
          <w:szCs w:val="22"/>
          <w:lang w:val="sr-Latn-RS"/>
        </w:rPr>
      </w:pPr>
      <w:r w:rsidRPr="00C262AC">
        <w:rPr>
          <w:i/>
          <w:iCs/>
          <w:sz w:val="22"/>
          <w:szCs w:val="22"/>
          <w:lang w:val="sr-Latn-RS"/>
        </w:rPr>
        <w:t>Pedijatrijska populacija</w:t>
      </w:r>
    </w:p>
    <w:p w14:paraId="6BB98D44" w14:textId="4578BDD6"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Lijek Femozol nije namijenjen za primjenu kod djece i adolescenata. Nije utvrđena bezbjednost i efikasnost lijeka Femozol kod djece i adolescenata uzrasta do 17 godina. Dostupni su ograničeni podaci i ne mogu se dati preporuke o doziranju kod ove grupe pacijenata.</w:t>
      </w:r>
    </w:p>
    <w:p w14:paraId="486D5E71" w14:textId="77777777" w:rsidR="00E41066" w:rsidRPr="00C262AC" w:rsidRDefault="00E41066">
      <w:pPr>
        <w:autoSpaceDE w:val="0"/>
        <w:autoSpaceDN w:val="0"/>
        <w:adjustRightInd w:val="0"/>
        <w:jc w:val="both"/>
        <w:rPr>
          <w:rFonts w:eastAsia="TimesNewRoman"/>
          <w:sz w:val="22"/>
          <w:szCs w:val="22"/>
          <w:lang w:val="sr-Latn-RS"/>
        </w:rPr>
      </w:pPr>
    </w:p>
    <w:p w14:paraId="26CCEEE4" w14:textId="77777777" w:rsidR="00E41066" w:rsidRPr="00C262AC" w:rsidRDefault="00E41066">
      <w:pPr>
        <w:autoSpaceDE w:val="0"/>
        <w:autoSpaceDN w:val="0"/>
        <w:adjustRightInd w:val="0"/>
        <w:jc w:val="both"/>
        <w:rPr>
          <w:i/>
          <w:iCs/>
          <w:sz w:val="22"/>
          <w:szCs w:val="22"/>
          <w:lang w:val="sr-Latn-RS"/>
        </w:rPr>
      </w:pPr>
      <w:r w:rsidRPr="00C262AC">
        <w:rPr>
          <w:i/>
          <w:iCs/>
          <w:sz w:val="22"/>
          <w:szCs w:val="22"/>
          <w:lang w:val="sr-Latn-RS"/>
        </w:rPr>
        <w:t>Oštećenje funkcije bubrega</w:t>
      </w:r>
    </w:p>
    <w:p w14:paraId="1EF57281" w14:textId="71A25673" w:rsidR="00E41066" w:rsidRPr="00C262AC" w:rsidRDefault="00E41066">
      <w:pPr>
        <w:autoSpaceDE w:val="0"/>
        <w:autoSpaceDN w:val="0"/>
        <w:adjustRightInd w:val="0"/>
        <w:jc w:val="both"/>
        <w:rPr>
          <w:bCs/>
          <w:iCs/>
          <w:sz w:val="22"/>
          <w:szCs w:val="22"/>
          <w:lang w:val="sr-Latn-RS"/>
        </w:rPr>
      </w:pPr>
      <w:r w:rsidRPr="00C262AC">
        <w:rPr>
          <w:rFonts w:eastAsia="TimesNewRoman"/>
          <w:sz w:val="22"/>
          <w:szCs w:val="22"/>
          <w:lang w:val="sr-Latn-RS"/>
        </w:rPr>
        <w:t>Nije potrebno prilagođavanje doze lijeka</w:t>
      </w:r>
      <w:r w:rsidRPr="00C262AC">
        <w:rPr>
          <w:sz w:val="22"/>
          <w:szCs w:val="22"/>
          <w:lang w:val="sr-Latn-RS"/>
        </w:rPr>
        <w:t xml:space="preserve"> Femozol</w:t>
      </w:r>
      <w:r w:rsidRPr="00C262AC">
        <w:rPr>
          <w:rFonts w:eastAsia="TimesNewRoman"/>
          <w:sz w:val="22"/>
          <w:szCs w:val="22"/>
          <w:lang w:val="sr-Latn-RS"/>
        </w:rPr>
        <w:t xml:space="preserve"> kod pacijenata sa bubrežnom insuficijencijom kod kojih je klirens kreatinina ≥10 ml/min. Nema dovoljno podataka u slučajevima bubrežne insuficijencije sa klirensom kreatinina manjim od 10 ml/min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djelove</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4.4 i 5.2).</w:t>
      </w:r>
    </w:p>
    <w:p w14:paraId="493671E4" w14:textId="77777777" w:rsidR="00E41066" w:rsidRPr="00C262AC" w:rsidRDefault="00E41066">
      <w:pPr>
        <w:autoSpaceDE w:val="0"/>
        <w:autoSpaceDN w:val="0"/>
        <w:adjustRightInd w:val="0"/>
        <w:jc w:val="both"/>
        <w:rPr>
          <w:sz w:val="22"/>
          <w:szCs w:val="22"/>
          <w:lang w:val="sr-Latn-RS"/>
        </w:rPr>
      </w:pPr>
    </w:p>
    <w:p w14:paraId="48BC060E" w14:textId="77777777" w:rsidR="00E41066" w:rsidRPr="00C262AC" w:rsidRDefault="00E41066">
      <w:pPr>
        <w:autoSpaceDE w:val="0"/>
        <w:autoSpaceDN w:val="0"/>
        <w:adjustRightInd w:val="0"/>
        <w:jc w:val="both"/>
        <w:rPr>
          <w:i/>
          <w:iCs/>
          <w:sz w:val="22"/>
          <w:szCs w:val="22"/>
          <w:lang w:val="sr-Latn-RS"/>
        </w:rPr>
      </w:pPr>
      <w:r w:rsidRPr="00C262AC">
        <w:rPr>
          <w:i/>
          <w:iCs/>
          <w:sz w:val="22"/>
          <w:szCs w:val="22"/>
          <w:lang w:val="sr-Latn-RS"/>
        </w:rPr>
        <w:t>Oštećenje funkcije jetre</w:t>
      </w:r>
    </w:p>
    <w:p w14:paraId="704112D6" w14:textId="1A2BE5EF"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Nije potrebno prilagođavanje doze lijeka Femozol kod pacijenata sa blagom do umjerenom insuficijencijom jetre (Child-Pugh A ili B). Nema dovoljno podataka o pacijentima sa teškom insuficijencijom jetre. Pacijenti sa teškom insuficijencijom jetre (Child-Pugh C) zahtijevaju pažljivo praćenje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djelove</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4.4 i 5.2).</w:t>
      </w:r>
    </w:p>
    <w:p w14:paraId="7D9AD22D" w14:textId="77777777" w:rsidR="00452E9D" w:rsidRPr="00C262AC" w:rsidRDefault="00452E9D" w:rsidP="00C02F5A">
      <w:pPr>
        <w:tabs>
          <w:tab w:val="left" w:pos="540"/>
          <w:tab w:val="left" w:pos="569"/>
        </w:tabs>
        <w:jc w:val="both"/>
        <w:rPr>
          <w:bCs/>
          <w:sz w:val="22"/>
          <w:szCs w:val="22"/>
          <w:u w:val="single"/>
          <w:lang w:val="sr-Latn-RS"/>
        </w:rPr>
      </w:pPr>
    </w:p>
    <w:p w14:paraId="7D9AD22E" w14:textId="77777777" w:rsidR="00452E9D" w:rsidRPr="00C262AC" w:rsidRDefault="00452E9D" w:rsidP="00C02F5A">
      <w:pPr>
        <w:tabs>
          <w:tab w:val="left" w:pos="540"/>
          <w:tab w:val="left" w:pos="569"/>
        </w:tabs>
        <w:jc w:val="both"/>
        <w:rPr>
          <w:bCs/>
          <w:sz w:val="22"/>
          <w:szCs w:val="22"/>
          <w:u w:val="single"/>
          <w:lang w:val="sr-Latn-CS"/>
        </w:rPr>
      </w:pPr>
      <w:r w:rsidRPr="00C262AC">
        <w:rPr>
          <w:bCs/>
          <w:sz w:val="22"/>
          <w:szCs w:val="22"/>
          <w:u w:val="single"/>
          <w:lang w:val="sr-Latn-RS"/>
        </w:rPr>
        <w:t>Na</w:t>
      </w:r>
      <w:r w:rsidRPr="00C262AC">
        <w:rPr>
          <w:bCs/>
          <w:sz w:val="22"/>
          <w:szCs w:val="22"/>
          <w:u w:val="single"/>
          <w:lang w:val="sr-Latn-CS"/>
        </w:rPr>
        <w:t>č</w:t>
      </w:r>
      <w:r w:rsidRPr="00C262AC">
        <w:rPr>
          <w:bCs/>
          <w:sz w:val="22"/>
          <w:szCs w:val="22"/>
          <w:u w:val="single"/>
          <w:lang w:val="sr-Latn-RS"/>
        </w:rPr>
        <w:t>in</w:t>
      </w:r>
      <w:r w:rsidRPr="00C262AC">
        <w:rPr>
          <w:bCs/>
          <w:sz w:val="22"/>
          <w:szCs w:val="22"/>
          <w:u w:val="single"/>
          <w:lang w:val="sr-Latn-CS"/>
        </w:rPr>
        <w:t xml:space="preserve"> </w:t>
      </w:r>
      <w:r w:rsidRPr="00C262AC">
        <w:rPr>
          <w:bCs/>
          <w:sz w:val="22"/>
          <w:szCs w:val="22"/>
          <w:u w:val="single"/>
          <w:lang w:val="sr-Latn-RS"/>
        </w:rPr>
        <w:t>primjene</w:t>
      </w:r>
    </w:p>
    <w:p w14:paraId="053A8C1F" w14:textId="6C4D544F" w:rsidR="00E41066" w:rsidRPr="00C262AC" w:rsidRDefault="00E41066">
      <w:pPr>
        <w:pStyle w:val="Header"/>
        <w:tabs>
          <w:tab w:val="left" w:pos="284"/>
        </w:tabs>
        <w:jc w:val="both"/>
        <w:rPr>
          <w:rFonts w:eastAsia="TimesNewRoman"/>
          <w:sz w:val="22"/>
          <w:szCs w:val="22"/>
          <w:lang w:val="sr-Latn-RS"/>
        </w:rPr>
      </w:pPr>
      <w:r w:rsidRPr="00C262AC">
        <w:rPr>
          <w:rFonts w:eastAsia="TimesNewRoman"/>
          <w:sz w:val="22"/>
          <w:szCs w:val="22"/>
          <w:lang w:val="sr-Latn-RS"/>
        </w:rPr>
        <w:t xml:space="preserve">Lijek Femozol </w:t>
      </w:r>
      <w:r w:rsidRPr="00C262AC">
        <w:rPr>
          <w:noProof/>
          <w:sz w:val="22"/>
          <w:szCs w:val="22"/>
          <w:lang w:val="sr-Latn-RS"/>
        </w:rPr>
        <w:t>treba uzimati oralnim putem</w:t>
      </w:r>
      <w:r w:rsidR="0021231A" w:rsidRPr="00C262AC">
        <w:rPr>
          <w:noProof/>
          <w:sz w:val="22"/>
          <w:szCs w:val="22"/>
          <w:lang w:val="sr-Latn-RS"/>
        </w:rPr>
        <w:t>,</w:t>
      </w:r>
      <w:r w:rsidRPr="00C262AC">
        <w:rPr>
          <w:noProof/>
          <w:sz w:val="22"/>
          <w:szCs w:val="22"/>
          <w:lang w:val="sr-Latn-RS"/>
        </w:rPr>
        <w:t xml:space="preserve"> sa ili bez hrane</w:t>
      </w:r>
      <w:r w:rsidRPr="00C262AC">
        <w:rPr>
          <w:rFonts w:eastAsia="TimesNewRoman"/>
          <w:sz w:val="22"/>
          <w:szCs w:val="22"/>
          <w:lang w:val="sr-Latn-RS"/>
        </w:rPr>
        <w:t>.</w:t>
      </w:r>
    </w:p>
    <w:p w14:paraId="321E2FCB" w14:textId="4688015F" w:rsidR="00E41066" w:rsidRPr="00C262AC" w:rsidRDefault="00E41066">
      <w:pPr>
        <w:pStyle w:val="Header"/>
        <w:tabs>
          <w:tab w:val="left" w:pos="284"/>
        </w:tabs>
        <w:jc w:val="both"/>
        <w:rPr>
          <w:rFonts w:eastAsia="TimesNewRoman"/>
          <w:sz w:val="22"/>
          <w:szCs w:val="22"/>
          <w:lang w:val="sr-Latn-RS"/>
        </w:rPr>
      </w:pPr>
      <w:r w:rsidRPr="00C262AC">
        <w:rPr>
          <w:rFonts w:eastAsia="TimesNewRoman"/>
          <w:sz w:val="22"/>
          <w:szCs w:val="22"/>
          <w:lang w:val="sr-Latn-RS"/>
        </w:rPr>
        <w:t xml:space="preserve">Ako pacijent propusti dozu treba da je uzme čim se sjeti. Ipak, ako je uskoro vrijeme za sljedeću dozu lijeka (u toku naredna 2 -3 sata), propuštenu dozu treba preskočiti, i pacijent treba da se vrati na regularan režim doziranja. Doze ne treba duplirati zato  što je </w:t>
      </w:r>
      <w:r w:rsidRPr="00C262AC">
        <w:rPr>
          <w:sz w:val="22"/>
          <w:szCs w:val="22"/>
          <w:lang w:val="sr-Latn-RS"/>
        </w:rPr>
        <w:t xml:space="preserve">primjenom dnevne doze koja premašuje preporučenu dozu </w:t>
      </w:r>
      <w:r w:rsidRPr="00C262AC">
        <w:rPr>
          <w:rFonts w:eastAsia="TimesNewRoman"/>
          <w:sz w:val="22"/>
          <w:szCs w:val="22"/>
          <w:lang w:val="sr-Latn-RS"/>
        </w:rPr>
        <w:t xml:space="preserve">od 2,5 mg, </w:t>
      </w:r>
      <w:r w:rsidRPr="00C262AC">
        <w:rPr>
          <w:sz w:val="22"/>
          <w:szCs w:val="22"/>
          <w:lang w:val="sr-Latn-RS"/>
        </w:rPr>
        <w:t>zabilježena prekomjerna proporcionalnost u sistemskoj izloženosti (</w:t>
      </w:r>
      <w:proofErr w:type="spellStart"/>
      <w:r w:rsidRPr="00C262AC">
        <w:rPr>
          <w:sz w:val="22"/>
          <w:szCs w:val="22"/>
          <w:lang w:val="sr-Latn-RS"/>
        </w:rPr>
        <w:t>vidjeti</w:t>
      </w:r>
      <w:proofErr w:type="spellEnd"/>
      <w:r w:rsidRPr="00C262AC">
        <w:rPr>
          <w:sz w:val="22"/>
          <w:szCs w:val="22"/>
          <w:lang w:val="sr-Latn-RS"/>
        </w:rPr>
        <w:t xml:space="preserve"> </w:t>
      </w:r>
      <w:proofErr w:type="spellStart"/>
      <w:r w:rsidR="002872F8" w:rsidRPr="00C262AC">
        <w:rPr>
          <w:sz w:val="22"/>
          <w:szCs w:val="22"/>
          <w:lang w:val="sr-Latn-RS"/>
        </w:rPr>
        <w:t>dio</w:t>
      </w:r>
      <w:proofErr w:type="spellEnd"/>
      <w:r w:rsidR="002872F8" w:rsidRPr="00C262AC">
        <w:rPr>
          <w:sz w:val="22"/>
          <w:szCs w:val="22"/>
          <w:lang w:val="sr-Latn-RS"/>
        </w:rPr>
        <w:t xml:space="preserve"> </w:t>
      </w:r>
      <w:r w:rsidRPr="00C262AC">
        <w:rPr>
          <w:sz w:val="22"/>
          <w:szCs w:val="22"/>
          <w:lang w:val="sr-Latn-RS"/>
        </w:rPr>
        <w:t>5.2).</w:t>
      </w:r>
    </w:p>
    <w:p w14:paraId="7D9AD22F" w14:textId="77777777" w:rsidR="00452E9D" w:rsidRPr="00C262AC" w:rsidRDefault="00452E9D" w:rsidP="00C02F5A">
      <w:pPr>
        <w:tabs>
          <w:tab w:val="left" w:pos="540"/>
          <w:tab w:val="left" w:pos="569"/>
        </w:tabs>
        <w:jc w:val="both"/>
        <w:rPr>
          <w:bCs/>
          <w:sz w:val="22"/>
          <w:szCs w:val="22"/>
          <w:lang w:val="sr-Latn-RS"/>
        </w:rPr>
      </w:pPr>
    </w:p>
    <w:p w14:paraId="7D9AD230" w14:textId="77777777" w:rsidR="00411B4B" w:rsidRPr="00C262AC" w:rsidRDefault="00411B4B" w:rsidP="00C02F5A">
      <w:pPr>
        <w:tabs>
          <w:tab w:val="left" w:pos="540"/>
          <w:tab w:val="left" w:pos="569"/>
        </w:tabs>
        <w:jc w:val="both"/>
        <w:rPr>
          <w:b/>
          <w:bCs/>
          <w:sz w:val="22"/>
          <w:szCs w:val="22"/>
          <w:lang w:val="sr-Latn-CS"/>
        </w:rPr>
      </w:pPr>
      <w:r w:rsidRPr="00C262AC">
        <w:rPr>
          <w:b/>
          <w:bCs/>
          <w:sz w:val="22"/>
          <w:szCs w:val="22"/>
          <w:lang w:val="sr-Latn-CS"/>
        </w:rPr>
        <w:t xml:space="preserve">4.3. </w:t>
      </w:r>
      <w:r w:rsidR="00480FB1" w:rsidRPr="00C262AC">
        <w:rPr>
          <w:b/>
          <w:bCs/>
          <w:sz w:val="22"/>
          <w:szCs w:val="22"/>
          <w:lang w:val="sr-Latn-CS"/>
        </w:rPr>
        <w:tab/>
      </w:r>
      <w:r w:rsidRPr="00C262AC">
        <w:rPr>
          <w:b/>
          <w:bCs/>
          <w:sz w:val="22"/>
          <w:szCs w:val="22"/>
          <w:lang w:val="sr-Latn-RS"/>
        </w:rPr>
        <w:t>Kontraindikacije</w:t>
      </w:r>
    </w:p>
    <w:p w14:paraId="7D9AD231" w14:textId="4B1C50DE" w:rsidR="0072020E" w:rsidRPr="00C262AC" w:rsidRDefault="0072020E" w:rsidP="00C02F5A">
      <w:pPr>
        <w:tabs>
          <w:tab w:val="left" w:pos="540"/>
          <w:tab w:val="left" w:pos="569"/>
        </w:tabs>
        <w:jc w:val="both"/>
        <w:rPr>
          <w:bCs/>
          <w:sz w:val="22"/>
          <w:szCs w:val="22"/>
          <w:lang w:val="sr-Latn-CS"/>
        </w:rPr>
      </w:pPr>
    </w:p>
    <w:p w14:paraId="20C132BB" w14:textId="4A514AB5"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 poznata preosjetljivost na letrozol ili bilo </w:t>
      </w:r>
      <w:r w:rsidRPr="00C262AC">
        <w:rPr>
          <w:noProof/>
          <w:sz w:val="22"/>
          <w:szCs w:val="22"/>
          <w:lang w:val="sr-Latn-RS"/>
        </w:rPr>
        <w:t xml:space="preserve">koji sastojak ovog lijeka </w:t>
      </w:r>
      <w:r w:rsidRPr="00C262AC">
        <w:rPr>
          <w:rFonts w:eastAsia="TimesNewRoman"/>
          <w:sz w:val="22"/>
          <w:szCs w:val="22"/>
          <w:lang w:val="sr-Latn-RS"/>
        </w:rPr>
        <w:t>(</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6.1)</w:t>
      </w:r>
    </w:p>
    <w:p w14:paraId="2EC3EB5A" w14:textId="77777777"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 premenopauzalni endokrini status;</w:t>
      </w:r>
    </w:p>
    <w:p w14:paraId="2D28B71C" w14:textId="00848A2A"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 trudnoća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4.6);</w:t>
      </w:r>
    </w:p>
    <w:p w14:paraId="0E0577BB" w14:textId="4ED1FCDB" w:rsidR="00E41066" w:rsidRPr="00C262AC" w:rsidRDefault="00E41066">
      <w:pPr>
        <w:tabs>
          <w:tab w:val="left" w:pos="540"/>
          <w:tab w:val="left" w:pos="569"/>
        </w:tabs>
        <w:jc w:val="both"/>
        <w:rPr>
          <w:sz w:val="22"/>
          <w:szCs w:val="22"/>
          <w:lang w:val="sr-Latn-RS"/>
        </w:rPr>
      </w:pPr>
      <w:r w:rsidRPr="00C262AC">
        <w:rPr>
          <w:rFonts w:eastAsia="TimesNewRoman"/>
          <w:sz w:val="22"/>
          <w:szCs w:val="22"/>
          <w:lang w:val="sr-Latn-RS"/>
        </w:rPr>
        <w:t>- dojenje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4.6)</w:t>
      </w:r>
      <w:r w:rsidRPr="00C262AC">
        <w:rPr>
          <w:sz w:val="22"/>
          <w:szCs w:val="22"/>
          <w:lang w:val="sr-Latn-RS"/>
        </w:rPr>
        <w:t>.</w:t>
      </w:r>
    </w:p>
    <w:p w14:paraId="1857317D" w14:textId="77777777" w:rsidR="00E41066" w:rsidRPr="00C262AC" w:rsidRDefault="00E41066" w:rsidP="00C02F5A">
      <w:pPr>
        <w:tabs>
          <w:tab w:val="left" w:pos="540"/>
          <w:tab w:val="left" w:pos="569"/>
        </w:tabs>
        <w:jc w:val="both"/>
        <w:rPr>
          <w:bCs/>
          <w:sz w:val="22"/>
          <w:szCs w:val="22"/>
          <w:lang w:val="sr-Latn-RS"/>
        </w:rPr>
      </w:pPr>
    </w:p>
    <w:p w14:paraId="7D9AD232" w14:textId="77777777" w:rsidR="00411B4B" w:rsidRPr="00C262AC" w:rsidRDefault="00411B4B" w:rsidP="00C02F5A">
      <w:pPr>
        <w:tabs>
          <w:tab w:val="left" w:pos="540"/>
          <w:tab w:val="left" w:pos="569"/>
        </w:tabs>
        <w:jc w:val="both"/>
        <w:rPr>
          <w:b/>
          <w:bCs/>
          <w:sz w:val="22"/>
          <w:szCs w:val="22"/>
          <w:lang w:val="sr-Latn-CS"/>
        </w:rPr>
      </w:pPr>
      <w:r w:rsidRPr="00C262AC">
        <w:rPr>
          <w:b/>
          <w:bCs/>
          <w:sz w:val="22"/>
          <w:szCs w:val="22"/>
          <w:lang w:val="sr-Latn-CS"/>
        </w:rPr>
        <w:t xml:space="preserve">4.4. </w:t>
      </w:r>
      <w:r w:rsidR="00480FB1" w:rsidRPr="00C262AC">
        <w:rPr>
          <w:b/>
          <w:bCs/>
          <w:sz w:val="22"/>
          <w:szCs w:val="22"/>
          <w:lang w:val="sr-Latn-CS"/>
        </w:rPr>
        <w:tab/>
      </w:r>
      <w:r w:rsidRPr="00C262AC">
        <w:rPr>
          <w:b/>
          <w:bCs/>
          <w:sz w:val="22"/>
          <w:szCs w:val="22"/>
          <w:lang w:val="sr-Latn-RS"/>
        </w:rPr>
        <w:t>Posebna</w:t>
      </w:r>
      <w:r w:rsidRPr="00C262AC">
        <w:rPr>
          <w:b/>
          <w:bCs/>
          <w:sz w:val="22"/>
          <w:szCs w:val="22"/>
          <w:lang w:val="sr-Latn-CS"/>
        </w:rPr>
        <w:t xml:space="preserve"> </w:t>
      </w:r>
      <w:r w:rsidRPr="00C262AC">
        <w:rPr>
          <w:b/>
          <w:bCs/>
          <w:sz w:val="22"/>
          <w:szCs w:val="22"/>
          <w:lang w:val="sr-Latn-RS"/>
        </w:rPr>
        <w:t>upozorenja</w:t>
      </w:r>
      <w:r w:rsidRPr="00C262AC">
        <w:rPr>
          <w:b/>
          <w:bCs/>
          <w:sz w:val="22"/>
          <w:szCs w:val="22"/>
          <w:lang w:val="sr-Latn-CS"/>
        </w:rPr>
        <w:t xml:space="preserve"> </w:t>
      </w:r>
      <w:r w:rsidRPr="00C262AC">
        <w:rPr>
          <w:b/>
          <w:bCs/>
          <w:sz w:val="22"/>
          <w:szCs w:val="22"/>
          <w:lang w:val="sr-Latn-RS"/>
        </w:rPr>
        <w:t>i</w:t>
      </w:r>
      <w:r w:rsidRPr="00C262AC">
        <w:rPr>
          <w:b/>
          <w:bCs/>
          <w:sz w:val="22"/>
          <w:szCs w:val="22"/>
          <w:lang w:val="sr-Latn-CS"/>
        </w:rPr>
        <w:t xml:space="preserve"> </w:t>
      </w:r>
      <w:r w:rsidRPr="00C262AC">
        <w:rPr>
          <w:b/>
          <w:bCs/>
          <w:sz w:val="22"/>
          <w:szCs w:val="22"/>
          <w:lang w:val="sr-Latn-RS"/>
        </w:rPr>
        <w:t>mjere</w:t>
      </w:r>
      <w:r w:rsidRPr="00C262AC">
        <w:rPr>
          <w:b/>
          <w:bCs/>
          <w:sz w:val="22"/>
          <w:szCs w:val="22"/>
          <w:lang w:val="sr-Latn-CS"/>
        </w:rPr>
        <w:t xml:space="preserve"> </w:t>
      </w:r>
      <w:r w:rsidRPr="00C262AC">
        <w:rPr>
          <w:b/>
          <w:bCs/>
          <w:sz w:val="22"/>
          <w:szCs w:val="22"/>
          <w:lang w:val="sr-Latn-RS"/>
        </w:rPr>
        <w:t>opreza</w:t>
      </w:r>
      <w:r w:rsidRPr="00C262AC">
        <w:rPr>
          <w:b/>
          <w:bCs/>
          <w:sz w:val="22"/>
          <w:szCs w:val="22"/>
          <w:lang w:val="sr-Latn-CS"/>
        </w:rPr>
        <w:t xml:space="preserve"> </w:t>
      </w:r>
      <w:r w:rsidRPr="00C262AC">
        <w:rPr>
          <w:b/>
          <w:bCs/>
          <w:sz w:val="22"/>
          <w:szCs w:val="22"/>
          <w:lang w:val="sr-Latn-RS"/>
        </w:rPr>
        <w:t>pri</w:t>
      </w:r>
      <w:r w:rsidRPr="00C262AC">
        <w:rPr>
          <w:b/>
          <w:bCs/>
          <w:sz w:val="22"/>
          <w:szCs w:val="22"/>
          <w:lang w:val="sr-Latn-CS"/>
        </w:rPr>
        <w:t xml:space="preserve"> </w:t>
      </w:r>
      <w:r w:rsidRPr="00C262AC">
        <w:rPr>
          <w:b/>
          <w:bCs/>
          <w:sz w:val="22"/>
          <w:szCs w:val="22"/>
          <w:lang w:val="sr-Latn-RS"/>
        </w:rPr>
        <w:t>upotrebi</w:t>
      </w:r>
      <w:r w:rsidRPr="00C262AC">
        <w:rPr>
          <w:b/>
          <w:bCs/>
          <w:sz w:val="22"/>
          <w:szCs w:val="22"/>
          <w:lang w:val="sr-Latn-CS"/>
        </w:rPr>
        <w:t xml:space="preserve"> </w:t>
      </w:r>
      <w:r w:rsidRPr="00C262AC">
        <w:rPr>
          <w:b/>
          <w:bCs/>
          <w:sz w:val="22"/>
          <w:szCs w:val="22"/>
          <w:lang w:val="sr-Latn-RS"/>
        </w:rPr>
        <w:t>lijeka</w:t>
      </w:r>
    </w:p>
    <w:p w14:paraId="7D9AD233" w14:textId="77777777" w:rsidR="0072020E" w:rsidRPr="00C262AC" w:rsidRDefault="0072020E" w:rsidP="00C02F5A">
      <w:pPr>
        <w:tabs>
          <w:tab w:val="left" w:pos="540"/>
          <w:tab w:val="left" w:pos="569"/>
        </w:tabs>
        <w:jc w:val="both"/>
        <w:rPr>
          <w:bCs/>
          <w:sz w:val="22"/>
          <w:szCs w:val="22"/>
          <w:lang w:val="sr-Latn-CS"/>
        </w:rPr>
      </w:pPr>
    </w:p>
    <w:p w14:paraId="12C2CA6C" w14:textId="77777777" w:rsidR="00E41066" w:rsidRPr="00C262AC" w:rsidRDefault="00E41066">
      <w:pPr>
        <w:autoSpaceDE w:val="0"/>
        <w:autoSpaceDN w:val="0"/>
        <w:adjustRightInd w:val="0"/>
        <w:jc w:val="both"/>
        <w:rPr>
          <w:rFonts w:eastAsia="TimesNewRoman"/>
          <w:i/>
          <w:sz w:val="22"/>
          <w:szCs w:val="22"/>
          <w:lang w:val="sr-Latn-RS"/>
        </w:rPr>
      </w:pPr>
      <w:r w:rsidRPr="00C262AC">
        <w:rPr>
          <w:rFonts w:eastAsia="TimesNewRoman"/>
          <w:i/>
          <w:sz w:val="22"/>
          <w:szCs w:val="22"/>
          <w:lang w:val="sr-Latn-RS"/>
        </w:rPr>
        <w:t>Status menopauze</w:t>
      </w:r>
    </w:p>
    <w:p w14:paraId="55DC46E2" w14:textId="290C52BA"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Kod pacijentkinja kod kojih nije jasan status menopauze, potrebno je odrediti vrijednosti luteinizirajućeg hormona (LH), folikulostimulirajućeg hormona (FSH) i/ili estrogena prije započinjanja terapije lijekom Femozol. Lijek Femozol treba da dobijaju samo žene sa </w:t>
      </w:r>
      <w:r w:rsidRPr="00C262AC">
        <w:rPr>
          <w:sz w:val="22"/>
          <w:szCs w:val="22"/>
          <w:lang w:val="sr-Latn-RS"/>
        </w:rPr>
        <w:t>postmenopauzalnim</w:t>
      </w:r>
      <w:r w:rsidRPr="00C262AC">
        <w:rPr>
          <w:rFonts w:eastAsia="TimesNewRoman"/>
          <w:sz w:val="22"/>
          <w:szCs w:val="22"/>
          <w:lang w:val="sr-Latn-RS"/>
        </w:rPr>
        <w:t xml:space="preserve"> endokrinim statusom.</w:t>
      </w:r>
    </w:p>
    <w:p w14:paraId="7E982809" w14:textId="77777777" w:rsidR="00E41066" w:rsidRPr="00C262AC" w:rsidRDefault="00E41066">
      <w:pPr>
        <w:pStyle w:val="Header"/>
        <w:tabs>
          <w:tab w:val="left" w:pos="284"/>
        </w:tabs>
        <w:jc w:val="both"/>
        <w:rPr>
          <w:rFonts w:eastAsia="TimesNewRoman"/>
          <w:sz w:val="22"/>
          <w:szCs w:val="22"/>
          <w:lang w:val="sr-Latn-RS"/>
        </w:rPr>
      </w:pPr>
    </w:p>
    <w:p w14:paraId="2E44DC9A" w14:textId="77777777" w:rsidR="00E41066" w:rsidRPr="00C262AC" w:rsidRDefault="00E41066">
      <w:pPr>
        <w:autoSpaceDE w:val="0"/>
        <w:autoSpaceDN w:val="0"/>
        <w:adjustRightInd w:val="0"/>
        <w:jc w:val="both"/>
        <w:rPr>
          <w:rFonts w:eastAsia="TimesNewRoman"/>
          <w:i/>
          <w:sz w:val="22"/>
          <w:szCs w:val="22"/>
          <w:lang w:val="sr-Latn-RS"/>
        </w:rPr>
      </w:pPr>
      <w:r w:rsidRPr="00C262AC">
        <w:rPr>
          <w:rFonts w:eastAsia="TimesNewRoman"/>
          <w:i/>
          <w:sz w:val="22"/>
          <w:szCs w:val="22"/>
          <w:lang w:val="sr-Latn-RS"/>
        </w:rPr>
        <w:t>Oštećenje funkcije bubrega</w:t>
      </w:r>
    </w:p>
    <w:p w14:paraId="22CFD930" w14:textId="6EB0285F"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Lijek Femozol nije ispitivan kod dovoljnog broja pacijenata sa klirensom kreatinina manjim od 10 m</w:t>
      </w:r>
      <w:r w:rsidR="002872F8" w:rsidRPr="00C262AC">
        <w:rPr>
          <w:rFonts w:eastAsia="TimesNewRoman"/>
          <w:sz w:val="22"/>
          <w:szCs w:val="22"/>
          <w:lang w:val="sr-Latn-RS"/>
        </w:rPr>
        <w:t>l</w:t>
      </w:r>
      <w:r w:rsidRPr="00C262AC">
        <w:rPr>
          <w:rFonts w:eastAsia="TimesNewRoman"/>
          <w:sz w:val="22"/>
          <w:szCs w:val="22"/>
          <w:lang w:val="sr-Latn-RS"/>
        </w:rPr>
        <w:t>/min. Prije primjene lijeka Femozol, kod ovih pacijenata je potrebno pažljivo razmotriti potencijalni rizik u odnosu na korist primjene lijeka.</w:t>
      </w:r>
    </w:p>
    <w:p w14:paraId="1ACBC6BB" w14:textId="77777777" w:rsidR="00E41066" w:rsidRPr="00C262AC" w:rsidRDefault="00E41066">
      <w:pPr>
        <w:autoSpaceDE w:val="0"/>
        <w:autoSpaceDN w:val="0"/>
        <w:adjustRightInd w:val="0"/>
        <w:jc w:val="both"/>
        <w:rPr>
          <w:rFonts w:eastAsia="TimesNewRoman"/>
          <w:sz w:val="22"/>
          <w:szCs w:val="22"/>
          <w:lang w:val="sr-Latn-RS"/>
        </w:rPr>
      </w:pPr>
    </w:p>
    <w:p w14:paraId="1693A191" w14:textId="77777777" w:rsidR="00E41066" w:rsidRPr="00C262AC" w:rsidRDefault="00E41066">
      <w:pPr>
        <w:autoSpaceDE w:val="0"/>
        <w:autoSpaceDN w:val="0"/>
        <w:adjustRightInd w:val="0"/>
        <w:jc w:val="both"/>
        <w:rPr>
          <w:rFonts w:eastAsia="TimesNewRoman"/>
          <w:i/>
          <w:sz w:val="22"/>
          <w:szCs w:val="22"/>
          <w:lang w:val="sr-Latn-RS"/>
        </w:rPr>
      </w:pPr>
      <w:r w:rsidRPr="00C262AC">
        <w:rPr>
          <w:rFonts w:eastAsia="TimesNewRoman"/>
          <w:i/>
          <w:sz w:val="22"/>
          <w:szCs w:val="22"/>
          <w:lang w:val="sr-Latn-RS"/>
        </w:rPr>
        <w:t>Oštećenje funkcije jetre</w:t>
      </w:r>
    </w:p>
    <w:p w14:paraId="38AA02E8" w14:textId="0164A77E"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Kod pacijenata sa teškim oštećenjem jetre (Child-Pugh C), sistemska izloženost i poluvrijeme eliminacije bili su skoro dvostruko veći u odnosu na vrijednosti izmjerene kod zdravih dobrovoljaca. Zbog toga je potrebno pažljivo nadzirati ove pacijente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5.2).</w:t>
      </w:r>
    </w:p>
    <w:p w14:paraId="6D3E3FD7" w14:textId="77777777" w:rsidR="00E41066" w:rsidRPr="00C262AC" w:rsidRDefault="00E41066">
      <w:pPr>
        <w:autoSpaceDE w:val="0"/>
        <w:autoSpaceDN w:val="0"/>
        <w:adjustRightInd w:val="0"/>
        <w:jc w:val="both"/>
        <w:rPr>
          <w:rFonts w:eastAsia="TimesNewRoman"/>
          <w:sz w:val="22"/>
          <w:szCs w:val="22"/>
          <w:lang w:val="sr-Latn-RS"/>
        </w:rPr>
      </w:pPr>
    </w:p>
    <w:p w14:paraId="082418D7" w14:textId="77777777" w:rsidR="00E41066" w:rsidRPr="00C262AC" w:rsidRDefault="00E41066">
      <w:pPr>
        <w:pStyle w:val="Header"/>
        <w:tabs>
          <w:tab w:val="left" w:pos="284"/>
        </w:tabs>
        <w:jc w:val="both"/>
        <w:rPr>
          <w:rFonts w:eastAsia="TimesNewRoman"/>
          <w:i/>
          <w:sz w:val="22"/>
          <w:szCs w:val="22"/>
          <w:lang w:val="sr-Latn-RS"/>
        </w:rPr>
      </w:pPr>
      <w:r w:rsidRPr="00C262AC">
        <w:rPr>
          <w:rFonts w:eastAsia="TimesNewRoman"/>
          <w:i/>
          <w:sz w:val="22"/>
          <w:szCs w:val="22"/>
          <w:lang w:val="sr-Latn-RS"/>
        </w:rPr>
        <w:t>Efekti na kosti</w:t>
      </w:r>
    </w:p>
    <w:p w14:paraId="6BD99BC9" w14:textId="6F9274F5" w:rsidR="00E41066" w:rsidRPr="00C262AC" w:rsidRDefault="00E41066">
      <w:pPr>
        <w:autoSpaceDE w:val="0"/>
        <w:autoSpaceDN w:val="0"/>
        <w:adjustRightInd w:val="0"/>
        <w:jc w:val="both"/>
        <w:rPr>
          <w:rFonts w:eastAsia="TimesNewRoman"/>
          <w:sz w:val="22"/>
          <w:szCs w:val="22"/>
          <w:lang w:val="sr-Latn-RS"/>
        </w:rPr>
      </w:pPr>
      <w:r w:rsidRPr="00C262AC">
        <w:rPr>
          <w:sz w:val="22"/>
          <w:szCs w:val="22"/>
          <w:lang w:val="sr-Latn-RS"/>
        </w:rPr>
        <w:t xml:space="preserve">Femozol je snažan lijek za snižavanje vrijednosti estrogena. Ženama sa osteoporozom ili onima koje su pod povećanim rizikom za pojavu osteoporoze, potrebno je da se odredi mineralna gustina kostiju prije započinjanja </w:t>
      </w:r>
      <w:r w:rsidRPr="00C262AC">
        <w:rPr>
          <w:rFonts w:eastAsia="TimesNewRoman"/>
          <w:sz w:val="22"/>
          <w:szCs w:val="22"/>
          <w:lang w:val="sr-Latn-RS"/>
        </w:rPr>
        <w:t>adjuvantne i produžene adjuvantne terapije, kao i da se ona prati tokom i nakon terapije letrozolom.</w:t>
      </w:r>
      <w:r w:rsidRPr="00C262AC">
        <w:rPr>
          <w:sz w:val="22"/>
          <w:szCs w:val="22"/>
          <w:lang w:val="sr-Latn-RS"/>
        </w:rPr>
        <w:t xml:space="preserve"> </w:t>
      </w:r>
      <w:r w:rsidRPr="00C262AC">
        <w:rPr>
          <w:rFonts w:eastAsia="TimesNewRoman"/>
          <w:sz w:val="22"/>
          <w:szCs w:val="22"/>
          <w:lang w:val="sr-Latn-RS"/>
        </w:rPr>
        <w:t xml:space="preserve">Po potrebi treba započeti terapiju ili profilaksu osteoporoze i pažljivo je pratiti. Kada se lijek </w:t>
      </w:r>
      <w:r w:rsidRPr="00C262AC">
        <w:rPr>
          <w:rFonts w:eastAsia="TimesNewRoman"/>
          <w:sz w:val="22"/>
          <w:szCs w:val="22"/>
          <w:lang w:val="sr-Latn-RS"/>
        </w:rPr>
        <w:lastRenderedPageBreak/>
        <w:t>primjenjuje kao adjuvantna terapija treba takođe razmotriti sekvencijalnu terapijsku šemu (letrozol 2 godine, a nakon toga tamoksifen 3 godine), u zavisnosti od bezbjednosnog profila pacijenta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djelove</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4.2, 4.8 i 5.1).</w:t>
      </w:r>
    </w:p>
    <w:p w14:paraId="163A6A41" w14:textId="77777777" w:rsidR="00E41066" w:rsidRPr="00C262AC" w:rsidRDefault="00E41066">
      <w:pPr>
        <w:autoSpaceDE w:val="0"/>
        <w:autoSpaceDN w:val="0"/>
        <w:adjustRightInd w:val="0"/>
        <w:jc w:val="both"/>
        <w:rPr>
          <w:rFonts w:eastAsia="TimesNewRoman"/>
          <w:sz w:val="22"/>
          <w:szCs w:val="22"/>
          <w:lang w:val="sr-Latn-RS"/>
        </w:rPr>
      </w:pPr>
    </w:p>
    <w:p w14:paraId="5A0AF962" w14:textId="77777777" w:rsidR="00E41066" w:rsidRPr="00C262AC" w:rsidRDefault="00E41066">
      <w:pPr>
        <w:autoSpaceDE w:val="0"/>
        <w:autoSpaceDN w:val="0"/>
        <w:adjustRightInd w:val="0"/>
        <w:jc w:val="both"/>
        <w:rPr>
          <w:rFonts w:eastAsia="TimesNewRoman"/>
          <w:i/>
          <w:sz w:val="22"/>
          <w:szCs w:val="22"/>
          <w:lang w:val="sr-Latn-RS"/>
        </w:rPr>
      </w:pPr>
      <w:r w:rsidRPr="00C262AC">
        <w:rPr>
          <w:rFonts w:eastAsia="TimesNewRoman"/>
          <w:i/>
          <w:sz w:val="22"/>
          <w:szCs w:val="22"/>
          <w:lang w:val="sr-Latn-RS"/>
        </w:rPr>
        <w:t>Ostala upozorenja</w:t>
      </w:r>
    </w:p>
    <w:p w14:paraId="720E0029" w14:textId="6A59E482"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Istovremenu primjenu letrozola sa tamoksifenom, ostalim antiestrogenima ili terapijama koje sadrže estrogen treba izbjegavati s obzirom da ove supstance mogu umanjiti farmakološku aktivnost </w:t>
      </w:r>
      <w:proofErr w:type="spellStart"/>
      <w:r w:rsidRPr="00C262AC">
        <w:rPr>
          <w:rFonts w:eastAsia="TimesNewRoman"/>
          <w:sz w:val="22"/>
          <w:szCs w:val="22"/>
          <w:lang w:val="sr-Latn-RS"/>
        </w:rPr>
        <w:t>letrozola</w:t>
      </w:r>
      <w:proofErr w:type="spellEnd"/>
      <w:r w:rsidRPr="00C262AC">
        <w:rPr>
          <w:rFonts w:eastAsia="TimesNewRoman"/>
          <w:sz w:val="22"/>
          <w:szCs w:val="22"/>
          <w:lang w:val="sr-Latn-RS"/>
        </w:rPr>
        <w:t xml:space="preserve">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4.5).</w:t>
      </w:r>
    </w:p>
    <w:p w14:paraId="1E2923C0" w14:textId="77777777" w:rsidR="00E41066" w:rsidRPr="00C262AC" w:rsidRDefault="00E41066">
      <w:pPr>
        <w:pStyle w:val="Header"/>
        <w:tabs>
          <w:tab w:val="left" w:pos="284"/>
        </w:tabs>
        <w:jc w:val="both"/>
        <w:rPr>
          <w:sz w:val="22"/>
          <w:szCs w:val="22"/>
          <w:lang w:val="sr-Latn-RS"/>
        </w:rPr>
      </w:pPr>
    </w:p>
    <w:p w14:paraId="2B4D4429" w14:textId="77777777" w:rsidR="00E41066" w:rsidRPr="00C262AC" w:rsidRDefault="00E41066">
      <w:pPr>
        <w:pStyle w:val="Header"/>
        <w:tabs>
          <w:tab w:val="left" w:pos="284"/>
        </w:tabs>
        <w:jc w:val="both"/>
        <w:rPr>
          <w:sz w:val="22"/>
          <w:szCs w:val="22"/>
          <w:lang w:val="sr-Latn-RS"/>
        </w:rPr>
      </w:pPr>
      <w:r w:rsidRPr="00C262AC">
        <w:rPr>
          <w:sz w:val="22"/>
          <w:szCs w:val="22"/>
          <w:lang w:val="sr-Latn-RS"/>
        </w:rPr>
        <w:t>Ovaj lijek sadrži laktozu. Pacijenti sa rijetkim nasljednim oboljenjem intolerancije na galaktozu, teškog nedostatka laktaze ili glukozno-galaktoznom malapsorpcijom, ne smiju koristiti ovaj lijek.</w:t>
      </w:r>
    </w:p>
    <w:p w14:paraId="7D9AD235" w14:textId="77777777" w:rsidR="00057E35" w:rsidRPr="00C262AC" w:rsidRDefault="00057E35" w:rsidP="00C02F5A">
      <w:pPr>
        <w:tabs>
          <w:tab w:val="left" w:pos="540"/>
          <w:tab w:val="left" w:pos="569"/>
        </w:tabs>
        <w:jc w:val="both"/>
        <w:rPr>
          <w:bCs/>
          <w:sz w:val="22"/>
          <w:szCs w:val="22"/>
          <w:lang w:val="sr-Latn-RS"/>
        </w:rPr>
      </w:pPr>
    </w:p>
    <w:p w14:paraId="7D9AD236" w14:textId="77777777" w:rsidR="00411B4B" w:rsidRPr="00C262AC" w:rsidRDefault="00411B4B" w:rsidP="00C02F5A">
      <w:pPr>
        <w:tabs>
          <w:tab w:val="left" w:pos="540"/>
          <w:tab w:val="left" w:pos="569"/>
        </w:tabs>
        <w:jc w:val="both"/>
        <w:rPr>
          <w:b/>
          <w:bCs/>
          <w:sz w:val="22"/>
          <w:szCs w:val="22"/>
          <w:lang w:val="sr-Latn-CS"/>
        </w:rPr>
      </w:pPr>
      <w:r w:rsidRPr="00C262AC">
        <w:rPr>
          <w:b/>
          <w:bCs/>
          <w:sz w:val="22"/>
          <w:szCs w:val="22"/>
          <w:lang w:val="sr-Latn-CS"/>
        </w:rPr>
        <w:t>4.5.</w:t>
      </w:r>
      <w:r w:rsidR="000D60CC" w:rsidRPr="00C262AC">
        <w:rPr>
          <w:b/>
          <w:bCs/>
          <w:sz w:val="22"/>
          <w:szCs w:val="22"/>
          <w:lang w:val="sr-Latn-CS"/>
        </w:rPr>
        <w:tab/>
      </w:r>
      <w:proofErr w:type="spellStart"/>
      <w:r w:rsidRPr="00C262AC">
        <w:rPr>
          <w:b/>
          <w:bCs/>
          <w:sz w:val="22"/>
          <w:szCs w:val="22"/>
          <w:lang w:val="fr-FR"/>
        </w:rPr>
        <w:t>Interakcije</w:t>
      </w:r>
      <w:proofErr w:type="spellEnd"/>
      <w:r w:rsidRPr="00C262AC">
        <w:rPr>
          <w:b/>
          <w:bCs/>
          <w:sz w:val="22"/>
          <w:szCs w:val="22"/>
          <w:lang w:val="sr-Latn-CS"/>
        </w:rPr>
        <w:t xml:space="preserve"> </w:t>
      </w:r>
      <w:r w:rsidRPr="00C262AC">
        <w:rPr>
          <w:b/>
          <w:bCs/>
          <w:sz w:val="22"/>
          <w:szCs w:val="22"/>
          <w:lang w:val="fr-FR"/>
        </w:rPr>
        <w:t>sa</w:t>
      </w:r>
      <w:r w:rsidRPr="00C262AC">
        <w:rPr>
          <w:b/>
          <w:bCs/>
          <w:sz w:val="22"/>
          <w:szCs w:val="22"/>
          <w:lang w:val="sr-Latn-CS"/>
        </w:rPr>
        <w:t xml:space="preserve"> </w:t>
      </w:r>
      <w:proofErr w:type="spellStart"/>
      <w:r w:rsidRPr="00C262AC">
        <w:rPr>
          <w:b/>
          <w:bCs/>
          <w:sz w:val="22"/>
          <w:szCs w:val="22"/>
          <w:lang w:val="fr-FR"/>
        </w:rPr>
        <w:t>drugim</w:t>
      </w:r>
      <w:proofErr w:type="spellEnd"/>
      <w:r w:rsidRPr="00C262AC">
        <w:rPr>
          <w:b/>
          <w:bCs/>
          <w:sz w:val="22"/>
          <w:szCs w:val="22"/>
          <w:lang w:val="sr-Latn-CS"/>
        </w:rPr>
        <w:t xml:space="preserve"> </w:t>
      </w:r>
      <w:proofErr w:type="spellStart"/>
      <w:r w:rsidRPr="00C262AC">
        <w:rPr>
          <w:b/>
          <w:bCs/>
          <w:sz w:val="22"/>
          <w:szCs w:val="22"/>
          <w:lang w:val="fr-FR"/>
        </w:rPr>
        <w:t>ljekovima</w:t>
      </w:r>
      <w:proofErr w:type="spellEnd"/>
      <w:r w:rsidRPr="00C262AC">
        <w:rPr>
          <w:b/>
          <w:bCs/>
          <w:sz w:val="22"/>
          <w:szCs w:val="22"/>
          <w:lang w:val="sr-Latn-CS"/>
        </w:rPr>
        <w:t xml:space="preserve"> </w:t>
      </w:r>
      <w:r w:rsidRPr="00C262AC">
        <w:rPr>
          <w:b/>
          <w:bCs/>
          <w:sz w:val="22"/>
          <w:szCs w:val="22"/>
          <w:lang w:val="fr-FR"/>
        </w:rPr>
        <w:t>i</w:t>
      </w:r>
      <w:r w:rsidRPr="00C262AC">
        <w:rPr>
          <w:b/>
          <w:bCs/>
          <w:sz w:val="22"/>
          <w:szCs w:val="22"/>
          <w:lang w:val="sr-Latn-CS"/>
        </w:rPr>
        <w:t xml:space="preserve"> </w:t>
      </w:r>
      <w:proofErr w:type="spellStart"/>
      <w:r w:rsidRPr="00C262AC">
        <w:rPr>
          <w:b/>
          <w:bCs/>
          <w:sz w:val="22"/>
          <w:szCs w:val="22"/>
          <w:lang w:val="fr-FR"/>
        </w:rPr>
        <w:t>druge</w:t>
      </w:r>
      <w:proofErr w:type="spellEnd"/>
      <w:r w:rsidRPr="00C262AC">
        <w:rPr>
          <w:b/>
          <w:bCs/>
          <w:sz w:val="22"/>
          <w:szCs w:val="22"/>
          <w:lang w:val="sr-Latn-CS"/>
        </w:rPr>
        <w:t xml:space="preserve"> </w:t>
      </w:r>
      <w:proofErr w:type="spellStart"/>
      <w:r w:rsidRPr="00C262AC">
        <w:rPr>
          <w:b/>
          <w:bCs/>
          <w:sz w:val="22"/>
          <w:szCs w:val="22"/>
          <w:lang w:val="fr-FR"/>
        </w:rPr>
        <w:t>vrste</w:t>
      </w:r>
      <w:proofErr w:type="spellEnd"/>
      <w:r w:rsidRPr="00C262AC">
        <w:rPr>
          <w:b/>
          <w:bCs/>
          <w:sz w:val="22"/>
          <w:szCs w:val="22"/>
          <w:lang w:val="sr-Latn-CS"/>
        </w:rPr>
        <w:t xml:space="preserve"> </w:t>
      </w:r>
      <w:proofErr w:type="spellStart"/>
      <w:r w:rsidRPr="00C262AC">
        <w:rPr>
          <w:b/>
          <w:bCs/>
          <w:sz w:val="22"/>
          <w:szCs w:val="22"/>
          <w:lang w:val="fr-FR"/>
        </w:rPr>
        <w:t>interakcija</w:t>
      </w:r>
      <w:proofErr w:type="spellEnd"/>
    </w:p>
    <w:p w14:paraId="7D9AD237" w14:textId="671FB64A" w:rsidR="0072020E" w:rsidRPr="00C262AC" w:rsidRDefault="0072020E" w:rsidP="00C02F5A">
      <w:pPr>
        <w:tabs>
          <w:tab w:val="left" w:pos="540"/>
          <w:tab w:val="left" w:pos="569"/>
        </w:tabs>
        <w:jc w:val="both"/>
        <w:rPr>
          <w:bCs/>
          <w:sz w:val="22"/>
          <w:szCs w:val="22"/>
          <w:lang w:val="sr-Latn-CS"/>
        </w:rPr>
      </w:pPr>
    </w:p>
    <w:p w14:paraId="43D19F04" w14:textId="52DA9F07"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Metabolizam letrozola je djelimično posredovan enzimima CYP2A6 i CYP3A4. Cimetidin, slab, nespecifični inhibitor CYP450 enzima, ne utiče na koncentraciju letrozola u plazmi. Efekat snažnih inhibitora CYP450 enzima nije poznat.</w:t>
      </w:r>
    </w:p>
    <w:p w14:paraId="5BCE2668" w14:textId="77777777" w:rsidR="00E41066" w:rsidRPr="00C262AC" w:rsidRDefault="00E41066">
      <w:pPr>
        <w:autoSpaceDE w:val="0"/>
        <w:autoSpaceDN w:val="0"/>
        <w:adjustRightInd w:val="0"/>
        <w:jc w:val="both"/>
        <w:rPr>
          <w:rFonts w:eastAsia="TimesNewRoman"/>
          <w:sz w:val="22"/>
          <w:szCs w:val="22"/>
          <w:lang w:val="sr-Latn-RS"/>
        </w:rPr>
      </w:pPr>
    </w:p>
    <w:p w14:paraId="0EA44857" w14:textId="13C37862" w:rsidR="00E41066" w:rsidRPr="00C262AC" w:rsidRDefault="00E41066">
      <w:pPr>
        <w:autoSpaceDE w:val="0"/>
        <w:autoSpaceDN w:val="0"/>
        <w:adjustRightInd w:val="0"/>
        <w:jc w:val="both"/>
        <w:rPr>
          <w:rFonts w:eastAsia="TimesNewRoman"/>
          <w:sz w:val="22"/>
          <w:szCs w:val="22"/>
          <w:lang w:val="sr-Latn-RS"/>
        </w:rPr>
      </w:pPr>
      <w:r w:rsidRPr="00C262AC">
        <w:rPr>
          <w:rFonts w:eastAsia="TimesNewRoman"/>
          <w:sz w:val="22"/>
          <w:szCs w:val="22"/>
          <w:lang w:val="sr-Latn-RS"/>
        </w:rPr>
        <w:t>Do danas nema kliničkog iskustva o upotrebi lijeka Femozol u kombinaciji sa estrogenima ili drugim antikancerogenim agensima, izuzev tamoksifena. Tamoksifen, ostali antiestrogeni ili terapije koje sadrže estrogen mogu umanjiti farmakološku aktivnost letrozola. Pored toga, pokazano je da istovremena primjena tamoksifena i letrozola značajno smanjuje koncentracije letrozola u plazmi. Istovremenu primjenu letrozola sa tamoksifenom, ostalim antiestrogenima ili estrogenima treba izbjegavati.</w:t>
      </w:r>
    </w:p>
    <w:p w14:paraId="4F77DBF0" w14:textId="77777777" w:rsidR="00E41066" w:rsidRPr="00C262AC" w:rsidRDefault="00E41066">
      <w:pPr>
        <w:jc w:val="both"/>
        <w:rPr>
          <w:sz w:val="22"/>
          <w:szCs w:val="22"/>
          <w:lang w:val="sr-Latn-RS"/>
        </w:rPr>
      </w:pPr>
    </w:p>
    <w:p w14:paraId="443D7814" w14:textId="4CEDFC20" w:rsidR="00E41066" w:rsidRPr="00C262AC" w:rsidRDefault="00E41066">
      <w:pPr>
        <w:pStyle w:val="Header"/>
        <w:jc w:val="both"/>
        <w:rPr>
          <w:sz w:val="22"/>
          <w:szCs w:val="22"/>
          <w:lang w:val="sr-Latn-RS"/>
        </w:rPr>
      </w:pPr>
      <w:r w:rsidRPr="00C262AC">
        <w:rPr>
          <w:sz w:val="22"/>
          <w:szCs w:val="22"/>
          <w:lang w:val="sr-Latn-RS"/>
        </w:rPr>
        <w:t xml:space="preserve">U </w:t>
      </w:r>
      <w:r w:rsidRPr="00C262AC">
        <w:rPr>
          <w:i/>
          <w:iCs/>
          <w:sz w:val="22"/>
          <w:szCs w:val="22"/>
          <w:lang w:val="sr-Latn-RS"/>
        </w:rPr>
        <w:t xml:space="preserve">in vitro </w:t>
      </w:r>
      <w:r w:rsidRPr="00C262AC">
        <w:rPr>
          <w:iCs/>
          <w:sz w:val="22"/>
          <w:szCs w:val="22"/>
          <w:lang w:val="sr-Latn-RS"/>
        </w:rPr>
        <w:t xml:space="preserve">uslovima letrozol </w:t>
      </w:r>
      <w:r w:rsidRPr="00C262AC">
        <w:rPr>
          <w:sz w:val="22"/>
          <w:szCs w:val="22"/>
          <w:lang w:val="sr-Latn-RS"/>
        </w:rPr>
        <w:t>inhibira izoenzime citohroma P450</w:t>
      </w:r>
      <w:r w:rsidR="00D61C86" w:rsidRPr="00C262AC">
        <w:rPr>
          <w:sz w:val="22"/>
          <w:szCs w:val="22"/>
          <w:lang w:val="sr-Latn-RS"/>
        </w:rPr>
        <w:t xml:space="preserve"> </w:t>
      </w:r>
      <w:r w:rsidRPr="00C262AC">
        <w:rPr>
          <w:sz w:val="22"/>
          <w:szCs w:val="22"/>
          <w:lang w:val="sr-Latn-RS"/>
        </w:rPr>
        <w:t>2A6 i umjereno 2C19, ali klinički značaj nije poznat. Zbog toga je neophodan oprez kada se letrozol primjenjuje istovremeno sa ljekovima čija eliminacija u velikoj mjeri zavisi od ovih izoenzima i čija je terapijska širina mala (npr. fenitoin, klopidogrel).</w:t>
      </w:r>
    </w:p>
    <w:p w14:paraId="46A13276" w14:textId="77777777" w:rsidR="00E41066" w:rsidRPr="00C262AC" w:rsidRDefault="00E41066" w:rsidP="00C02F5A">
      <w:pPr>
        <w:tabs>
          <w:tab w:val="left" w:pos="540"/>
          <w:tab w:val="left" w:pos="569"/>
        </w:tabs>
        <w:jc w:val="both"/>
        <w:rPr>
          <w:bCs/>
          <w:sz w:val="22"/>
          <w:szCs w:val="22"/>
          <w:lang w:val="sr-Latn-RS"/>
        </w:rPr>
      </w:pPr>
    </w:p>
    <w:p w14:paraId="7D9AD238" w14:textId="77777777" w:rsidR="0072020E" w:rsidRPr="00C262AC" w:rsidRDefault="0072020E" w:rsidP="00C02F5A">
      <w:pPr>
        <w:tabs>
          <w:tab w:val="left" w:pos="540"/>
          <w:tab w:val="left" w:pos="569"/>
        </w:tabs>
        <w:jc w:val="both"/>
        <w:rPr>
          <w:b/>
          <w:sz w:val="22"/>
          <w:szCs w:val="22"/>
          <w:lang w:val="sr-Latn-CS"/>
        </w:rPr>
      </w:pPr>
      <w:r w:rsidRPr="00C262AC">
        <w:rPr>
          <w:b/>
          <w:bCs/>
          <w:sz w:val="22"/>
          <w:szCs w:val="22"/>
        </w:rPr>
        <w:t xml:space="preserve">4.6. </w:t>
      </w:r>
      <w:r w:rsidR="00480FB1" w:rsidRPr="00C262AC">
        <w:rPr>
          <w:b/>
          <w:bCs/>
          <w:sz w:val="22"/>
          <w:szCs w:val="22"/>
        </w:rPr>
        <w:tab/>
      </w:r>
      <w:r w:rsidR="006D20A5" w:rsidRPr="00C262AC">
        <w:rPr>
          <w:b/>
          <w:sz w:val="22"/>
          <w:szCs w:val="22"/>
          <w:lang w:val="sr-Latn-CS"/>
        </w:rPr>
        <w:t>Plodnost, trudnoća i dojenje</w:t>
      </w:r>
    </w:p>
    <w:p w14:paraId="7D9AD239" w14:textId="535BD066" w:rsidR="002031B3" w:rsidRPr="00C262AC" w:rsidRDefault="002031B3" w:rsidP="00C02F5A">
      <w:pPr>
        <w:tabs>
          <w:tab w:val="left" w:pos="540"/>
          <w:tab w:val="left" w:pos="569"/>
        </w:tabs>
        <w:jc w:val="both"/>
        <w:rPr>
          <w:sz w:val="22"/>
          <w:szCs w:val="22"/>
          <w:u w:val="single"/>
        </w:rPr>
      </w:pPr>
    </w:p>
    <w:p w14:paraId="4F5960E3" w14:textId="60EE3E20" w:rsidR="00575B4D" w:rsidRPr="00C262AC" w:rsidRDefault="00575B4D">
      <w:pPr>
        <w:autoSpaceDE w:val="0"/>
        <w:autoSpaceDN w:val="0"/>
        <w:adjustRightInd w:val="0"/>
        <w:jc w:val="both"/>
        <w:rPr>
          <w:rFonts w:eastAsia="TimesNewRoman"/>
          <w:iCs/>
          <w:sz w:val="22"/>
          <w:szCs w:val="22"/>
          <w:u w:val="single"/>
          <w:lang w:val="sr-Latn-RS"/>
        </w:rPr>
      </w:pPr>
      <w:r w:rsidRPr="00C262AC">
        <w:rPr>
          <w:rFonts w:eastAsia="TimesNewRoman"/>
          <w:iCs/>
          <w:sz w:val="22"/>
          <w:szCs w:val="22"/>
          <w:u w:val="single"/>
          <w:lang w:val="sr-Latn-RS"/>
        </w:rPr>
        <w:t>Žene sa perimenopauzalnim statusom ili u generativnom dobu</w:t>
      </w:r>
    </w:p>
    <w:p w14:paraId="32E6C978" w14:textId="1350EAD6" w:rsidR="00575B4D" w:rsidRPr="00C262AC" w:rsidRDefault="00575B4D">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Lijek Femozol treba primjenjivati samo kod žena sa jasno utvrđenim </w:t>
      </w:r>
      <w:proofErr w:type="spellStart"/>
      <w:r w:rsidRPr="00C262AC">
        <w:rPr>
          <w:rFonts w:eastAsia="TimesNewRoman"/>
          <w:sz w:val="22"/>
          <w:szCs w:val="22"/>
          <w:lang w:val="sr-Latn-RS"/>
        </w:rPr>
        <w:t>postmenopauzalnim</w:t>
      </w:r>
      <w:proofErr w:type="spellEnd"/>
      <w:r w:rsidRPr="00C262AC">
        <w:rPr>
          <w:rFonts w:eastAsia="TimesNewRoman"/>
          <w:sz w:val="22"/>
          <w:szCs w:val="22"/>
          <w:lang w:val="sr-Latn-RS"/>
        </w:rPr>
        <w:t xml:space="preserve"> statusom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4.4). S obzirom da postoje izveštaji o ženama kod kojih je, uprkos jasnom postmenopauzalnom statusu na početku terapije, ponovo uspostavljena funkcija jajnika tokom terapije lijekom Femozol, potrebno je da ljekar, po potrebi, razmotri sa pacijentkinjom adekvatne mjere kontracepcije.</w:t>
      </w:r>
    </w:p>
    <w:p w14:paraId="0456BFDC" w14:textId="77777777" w:rsidR="00575B4D" w:rsidRPr="00C262AC" w:rsidRDefault="00575B4D" w:rsidP="00C02F5A">
      <w:pPr>
        <w:tabs>
          <w:tab w:val="left" w:pos="540"/>
          <w:tab w:val="left" w:pos="569"/>
        </w:tabs>
        <w:jc w:val="both"/>
        <w:rPr>
          <w:sz w:val="22"/>
          <w:szCs w:val="22"/>
          <w:u w:val="single"/>
          <w:lang w:val="sr-Latn-RS"/>
        </w:rPr>
      </w:pPr>
    </w:p>
    <w:p w14:paraId="7D9AD23A" w14:textId="77777777" w:rsidR="002031B3" w:rsidRPr="00C262AC" w:rsidRDefault="002031B3" w:rsidP="00C02F5A">
      <w:pPr>
        <w:tabs>
          <w:tab w:val="left" w:pos="540"/>
          <w:tab w:val="left" w:pos="569"/>
        </w:tabs>
        <w:jc w:val="both"/>
        <w:rPr>
          <w:sz w:val="22"/>
          <w:szCs w:val="22"/>
          <w:u w:val="single"/>
          <w:lang w:val="sr-Latn-RS"/>
        </w:rPr>
      </w:pPr>
      <w:r w:rsidRPr="00C262AC">
        <w:rPr>
          <w:sz w:val="22"/>
          <w:szCs w:val="22"/>
          <w:u w:val="single"/>
          <w:lang w:val="sr-Latn-RS"/>
        </w:rPr>
        <w:t>Plodnost</w:t>
      </w:r>
    </w:p>
    <w:p w14:paraId="50968A33" w14:textId="77777777" w:rsidR="00575B4D" w:rsidRPr="00C262AC" w:rsidRDefault="00575B4D">
      <w:pPr>
        <w:autoSpaceDE w:val="0"/>
        <w:autoSpaceDN w:val="0"/>
        <w:adjustRightInd w:val="0"/>
        <w:jc w:val="both"/>
        <w:rPr>
          <w:b/>
          <w:bCs/>
          <w:sz w:val="22"/>
          <w:szCs w:val="22"/>
          <w:lang w:val="sr-Latn-RS"/>
        </w:rPr>
      </w:pPr>
      <w:r w:rsidRPr="00C262AC">
        <w:rPr>
          <w:rFonts w:eastAsia="TimesNewRoman"/>
          <w:sz w:val="22"/>
          <w:szCs w:val="22"/>
          <w:lang w:val="sr-Latn-RS"/>
        </w:rPr>
        <w:t>Farmakološko djelovanje letrozola bazira se na smanjenju stvaranja estrogena, inhibicijom aromataza. Kod žena u premenopauzi, inhibicija sinteze estrogena dovodi do posljedičnog povećanja vrijednosti gonadotropina (LH, FSH). Povišene vrijednosti FSH zauzvrat dovode do stimulacije rasta folikula i mogu indukovati ovulaciju.</w:t>
      </w:r>
    </w:p>
    <w:p w14:paraId="7D9AD23B" w14:textId="77777777" w:rsidR="002031B3" w:rsidRPr="00C262AC" w:rsidRDefault="002031B3" w:rsidP="00C02F5A">
      <w:pPr>
        <w:tabs>
          <w:tab w:val="left" w:pos="540"/>
          <w:tab w:val="left" w:pos="569"/>
        </w:tabs>
        <w:jc w:val="both"/>
        <w:rPr>
          <w:sz w:val="22"/>
          <w:szCs w:val="22"/>
          <w:u w:val="single"/>
          <w:lang w:val="sr-Latn-RS"/>
        </w:rPr>
      </w:pPr>
    </w:p>
    <w:p w14:paraId="7D9AD23C" w14:textId="77777777" w:rsidR="007A3ECB" w:rsidRPr="00C262AC" w:rsidRDefault="007A3ECB" w:rsidP="00C02F5A">
      <w:pPr>
        <w:tabs>
          <w:tab w:val="left" w:pos="540"/>
          <w:tab w:val="left" w:pos="569"/>
        </w:tabs>
        <w:jc w:val="both"/>
        <w:rPr>
          <w:sz w:val="22"/>
          <w:szCs w:val="22"/>
          <w:u w:val="single"/>
          <w:lang w:val="sr-Latn-RS"/>
        </w:rPr>
      </w:pPr>
      <w:r w:rsidRPr="00C262AC">
        <w:rPr>
          <w:sz w:val="22"/>
          <w:szCs w:val="22"/>
          <w:u w:val="single"/>
          <w:lang w:val="sr-Latn-RS"/>
        </w:rPr>
        <w:t>Trudnoća</w:t>
      </w:r>
    </w:p>
    <w:p w14:paraId="18881DD7" w14:textId="00500179" w:rsidR="00575B4D" w:rsidRPr="00C262AC" w:rsidRDefault="00575B4D">
      <w:pPr>
        <w:autoSpaceDE w:val="0"/>
        <w:autoSpaceDN w:val="0"/>
        <w:adjustRightInd w:val="0"/>
        <w:jc w:val="both"/>
        <w:rPr>
          <w:rFonts w:eastAsia="TimesNewRoman"/>
          <w:sz w:val="22"/>
          <w:szCs w:val="22"/>
          <w:lang w:val="sr-Latn-RS"/>
        </w:rPr>
      </w:pPr>
      <w:r w:rsidRPr="00C262AC">
        <w:rPr>
          <w:rFonts w:eastAsia="TimesNewRoman"/>
          <w:sz w:val="22"/>
          <w:szCs w:val="22"/>
          <w:lang w:val="sr-Latn-RS"/>
        </w:rPr>
        <w:t>Na osnovu iskustva kod ljudi, postoje izolovani slučajevi defekta novorođenčeta (labijalna fuzija, dvoznačne gentalije). Lijek Femozol može uzrokovati kongenitalne malformacije kada se primjenjuje tokom trudnoće.</w:t>
      </w:r>
    </w:p>
    <w:p w14:paraId="38ED8C8F" w14:textId="57894BEB" w:rsidR="00575B4D" w:rsidRPr="00C262AC" w:rsidRDefault="00575B4D">
      <w:pPr>
        <w:autoSpaceDE w:val="0"/>
        <w:autoSpaceDN w:val="0"/>
        <w:adjustRightInd w:val="0"/>
        <w:jc w:val="both"/>
        <w:rPr>
          <w:rFonts w:eastAsia="TimesNewRoman"/>
          <w:sz w:val="22"/>
          <w:szCs w:val="22"/>
          <w:lang w:val="sr-Latn-RS"/>
        </w:rPr>
      </w:pPr>
      <w:r w:rsidRPr="00C262AC">
        <w:rPr>
          <w:rFonts w:eastAsia="TimesNewRoman"/>
          <w:sz w:val="22"/>
          <w:szCs w:val="22"/>
          <w:lang w:val="sr-Latn-RS"/>
        </w:rPr>
        <w:t>Studije na životinjama pokazale su reproduktivnu toksičnost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5.3).</w:t>
      </w:r>
    </w:p>
    <w:p w14:paraId="7D9AD23D" w14:textId="77777777" w:rsidR="002031B3" w:rsidRPr="00C262AC" w:rsidRDefault="002031B3" w:rsidP="00C02F5A">
      <w:pPr>
        <w:tabs>
          <w:tab w:val="left" w:pos="540"/>
          <w:tab w:val="left" w:pos="569"/>
        </w:tabs>
        <w:jc w:val="both"/>
        <w:rPr>
          <w:sz w:val="22"/>
          <w:szCs w:val="22"/>
          <w:u w:val="single"/>
          <w:lang w:val="sr-Latn-RS"/>
        </w:rPr>
      </w:pPr>
    </w:p>
    <w:p w14:paraId="7D9AD23E" w14:textId="77777777" w:rsidR="0072020E" w:rsidRPr="00C262AC" w:rsidRDefault="007A3ECB" w:rsidP="00C02F5A">
      <w:pPr>
        <w:tabs>
          <w:tab w:val="left" w:pos="540"/>
          <w:tab w:val="left" w:pos="569"/>
        </w:tabs>
        <w:jc w:val="both"/>
        <w:rPr>
          <w:b/>
          <w:bCs/>
          <w:sz w:val="22"/>
          <w:szCs w:val="22"/>
          <w:lang w:val="sr-Latn-RS"/>
        </w:rPr>
      </w:pPr>
      <w:r w:rsidRPr="00C262AC">
        <w:rPr>
          <w:sz w:val="22"/>
          <w:szCs w:val="22"/>
          <w:u w:val="single"/>
          <w:lang w:val="sr-Latn-RS"/>
        </w:rPr>
        <w:t xml:space="preserve">Dojenje </w:t>
      </w:r>
    </w:p>
    <w:p w14:paraId="417B0524" w14:textId="77777777" w:rsidR="00575B4D" w:rsidRPr="00C262AC" w:rsidRDefault="00575B4D">
      <w:pPr>
        <w:autoSpaceDE w:val="0"/>
        <w:autoSpaceDN w:val="0"/>
        <w:adjustRightInd w:val="0"/>
        <w:jc w:val="both"/>
        <w:rPr>
          <w:rFonts w:eastAsia="TimesNewRoman"/>
          <w:sz w:val="22"/>
          <w:szCs w:val="22"/>
          <w:lang w:val="sr-Latn-RS"/>
        </w:rPr>
      </w:pPr>
      <w:r w:rsidRPr="00C262AC">
        <w:rPr>
          <w:rFonts w:eastAsia="TimesNewRoman"/>
          <w:sz w:val="22"/>
          <w:szCs w:val="22"/>
          <w:lang w:val="sr-Latn-RS"/>
        </w:rPr>
        <w:t>Nije poznato da li se letrozol i njegovi metaboliti izlučuju u humano mlijeko. Ne može se isključiti rizik po novorođenčad/odojčad.</w:t>
      </w:r>
    </w:p>
    <w:p w14:paraId="27810AF9" w14:textId="69687424" w:rsidR="00575B4D" w:rsidRPr="00C262AC" w:rsidRDefault="00575B4D">
      <w:pPr>
        <w:pStyle w:val="Header"/>
        <w:tabs>
          <w:tab w:val="left" w:pos="284"/>
        </w:tabs>
        <w:jc w:val="both"/>
        <w:rPr>
          <w:rFonts w:eastAsia="TimesNewRoman"/>
          <w:sz w:val="22"/>
          <w:szCs w:val="22"/>
          <w:lang w:val="sr-Latn-RS"/>
        </w:rPr>
      </w:pPr>
      <w:r w:rsidRPr="00C262AC">
        <w:rPr>
          <w:rFonts w:eastAsia="TimesNewRoman"/>
          <w:sz w:val="22"/>
          <w:szCs w:val="22"/>
          <w:lang w:val="sr-Latn-RS"/>
        </w:rPr>
        <w:t>Primjena lijeka Femozol je kontraindikovana tokom dojenja (</w:t>
      </w:r>
      <w:proofErr w:type="spellStart"/>
      <w:r w:rsidRPr="00C262AC">
        <w:rPr>
          <w:rFonts w:eastAsia="TimesNewRoman"/>
          <w:sz w:val="22"/>
          <w:szCs w:val="22"/>
          <w:lang w:val="sr-Latn-RS"/>
        </w:rPr>
        <w:t>vidjeti</w:t>
      </w:r>
      <w:proofErr w:type="spellEnd"/>
      <w:r w:rsidRPr="00C262AC">
        <w:rPr>
          <w:rFonts w:eastAsia="TimesNewRoman"/>
          <w:sz w:val="22"/>
          <w:szCs w:val="22"/>
          <w:lang w:val="sr-Latn-RS"/>
        </w:rPr>
        <w:t xml:space="preserve"> </w:t>
      </w:r>
      <w:proofErr w:type="spellStart"/>
      <w:r w:rsidR="002872F8" w:rsidRPr="00C262AC">
        <w:rPr>
          <w:rFonts w:eastAsia="TimesNewRoman"/>
          <w:sz w:val="22"/>
          <w:szCs w:val="22"/>
          <w:lang w:val="sr-Latn-RS"/>
        </w:rPr>
        <w:t>dio</w:t>
      </w:r>
      <w:proofErr w:type="spellEnd"/>
      <w:r w:rsidR="002872F8" w:rsidRPr="00C262AC">
        <w:rPr>
          <w:rFonts w:eastAsia="TimesNewRoman"/>
          <w:sz w:val="22"/>
          <w:szCs w:val="22"/>
          <w:lang w:val="sr-Latn-RS"/>
        </w:rPr>
        <w:t xml:space="preserve"> </w:t>
      </w:r>
      <w:r w:rsidRPr="00C262AC">
        <w:rPr>
          <w:rFonts w:eastAsia="TimesNewRoman"/>
          <w:sz w:val="22"/>
          <w:szCs w:val="22"/>
          <w:lang w:val="sr-Latn-RS"/>
        </w:rPr>
        <w:t>4.3).</w:t>
      </w:r>
    </w:p>
    <w:p w14:paraId="30336437" w14:textId="23FD2B13" w:rsidR="0021231A" w:rsidRDefault="0021231A" w:rsidP="00C02F5A">
      <w:pPr>
        <w:tabs>
          <w:tab w:val="left" w:pos="540"/>
          <w:tab w:val="left" w:pos="569"/>
        </w:tabs>
        <w:ind w:left="540" w:hanging="540"/>
        <w:jc w:val="both"/>
        <w:rPr>
          <w:b/>
          <w:bCs/>
          <w:sz w:val="22"/>
          <w:szCs w:val="22"/>
          <w:lang w:val="sr-Latn-RS"/>
        </w:rPr>
      </w:pPr>
    </w:p>
    <w:p w14:paraId="426A2D07" w14:textId="62AAF8E1" w:rsidR="00C262AC" w:rsidRDefault="00C262AC" w:rsidP="00C02F5A">
      <w:pPr>
        <w:tabs>
          <w:tab w:val="left" w:pos="540"/>
          <w:tab w:val="left" w:pos="569"/>
        </w:tabs>
        <w:ind w:left="540" w:hanging="540"/>
        <w:jc w:val="both"/>
        <w:rPr>
          <w:b/>
          <w:bCs/>
          <w:sz w:val="22"/>
          <w:szCs w:val="22"/>
          <w:lang w:val="sr-Latn-RS"/>
        </w:rPr>
      </w:pPr>
    </w:p>
    <w:p w14:paraId="541ACCA5" w14:textId="77777777" w:rsidR="00C262AC" w:rsidRPr="00C262AC" w:rsidRDefault="00C262AC" w:rsidP="00C02F5A">
      <w:pPr>
        <w:tabs>
          <w:tab w:val="left" w:pos="540"/>
          <w:tab w:val="left" w:pos="569"/>
        </w:tabs>
        <w:ind w:left="540" w:hanging="540"/>
        <w:jc w:val="both"/>
        <w:rPr>
          <w:b/>
          <w:bCs/>
          <w:sz w:val="22"/>
          <w:szCs w:val="22"/>
          <w:lang w:val="sr-Latn-RS"/>
        </w:rPr>
      </w:pPr>
    </w:p>
    <w:p w14:paraId="7D9AD240" w14:textId="2E31310C" w:rsidR="0072020E" w:rsidRPr="00C262AC" w:rsidRDefault="0072020E" w:rsidP="00C02F5A">
      <w:pPr>
        <w:tabs>
          <w:tab w:val="left" w:pos="540"/>
          <w:tab w:val="left" w:pos="569"/>
        </w:tabs>
        <w:ind w:left="540" w:hanging="540"/>
        <w:jc w:val="both"/>
        <w:rPr>
          <w:b/>
          <w:bCs/>
          <w:sz w:val="22"/>
          <w:szCs w:val="22"/>
          <w:lang w:val="sr-Latn-RS"/>
        </w:rPr>
      </w:pPr>
      <w:r w:rsidRPr="00C262AC">
        <w:rPr>
          <w:b/>
          <w:bCs/>
          <w:sz w:val="22"/>
          <w:szCs w:val="22"/>
          <w:lang w:val="sr-Latn-RS"/>
        </w:rPr>
        <w:lastRenderedPageBreak/>
        <w:t xml:space="preserve">4.7. </w:t>
      </w:r>
      <w:r w:rsidR="00480FB1" w:rsidRPr="00C262AC">
        <w:rPr>
          <w:b/>
          <w:bCs/>
          <w:sz w:val="22"/>
          <w:szCs w:val="22"/>
          <w:lang w:val="sr-Latn-RS"/>
        </w:rPr>
        <w:tab/>
      </w:r>
      <w:r w:rsidRPr="00C262AC">
        <w:rPr>
          <w:b/>
          <w:bCs/>
          <w:sz w:val="22"/>
          <w:szCs w:val="22"/>
          <w:lang w:val="sr-Latn-RS"/>
        </w:rPr>
        <w:t xml:space="preserve">Uticaj na </w:t>
      </w:r>
      <w:r w:rsidR="002031B3" w:rsidRPr="00C262AC">
        <w:rPr>
          <w:b/>
          <w:bCs/>
          <w:sz w:val="22"/>
          <w:szCs w:val="22"/>
          <w:lang w:val="sr-Latn-RS"/>
        </w:rPr>
        <w:t xml:space="preserve">sposobnost </w:t>
      </w:r>
      <w:r w:rsidR="00F34554" w:rsidRPr="00C262AC">
        <w:rPr>
          <w:b/>
          <w:bCs/>
          <w:sz w:val="22"/>
          <w:szCs w:val="22"/>
          <w:lang w:val="sr-Latn-RS"/>
        </w:rPr>
        <w:t>upravljanja vozili</w:t>
      </w:r>
      <w:r w:rsidRPr="00C262AC">
        <w:rPr>
          <w:b/>
          <w:bCs/>
          <w:sz w:val="22"/>
          <w:szCs w:val="22"/>
          <w:lang w:val="sr-Latn-RS"/>
        </w:rPr>
        <w:t>m</w:t>
      </w:r>
      <w:r w:rsidR="00F34554" w:rsidRPr="00C262AC">
        <w:rPr>
          <w:b/>
          <w:bCs/>
          <w:sz w:val="22"/>
          <w:szCs w:val="22"/>
          <w:lang w:val="sr-Latn-RS"/>
        </w:rPr>
        <w:t>a</w:t>
      </w:r>
      <w:r w:rsidRPr="00C262AC">
        <w:rPr>
          <w:b/>
          <w:bCs/>
          <w:sz w:val="22"/>
          <w:szCs w:val="22"/>
          <w:lang w:val="sr-Latn-RS"/>
        </w:rPr>
        <w:t xml:space="preserve"> i </w:t>
      </w:r>
      <w:r w:rsidR="000D3449" w:rsidRPr="00C262AC">
        <w:rPr>
          <w:b/>
          <w:bCs/>
          <w:sz w:val="22"/>
          <w:szCs w:val="22"/>
          <w:lang w:val="sr-Latn-RS"/>
        </w:rPr>
        <w:t xml:space="preserve">rukovanje </w:t>
      </w:r>
      <w:r w:rsidRPr="00C262AC">
        <w:rPr>
          <w:b/>
          <w:bCs/>
          <w:sz w:val="22"/>
          <w:szCs w:val="22"/>
          <w:lang w:val="sr-Latn-RS"/>
        </w:rPr>
        <w:t>mašinama</w:t>
      </w:r>
    </w:p>
    <w:p w14:paraId="7D9AD241" w14:textId="1CAB0D70" w:rsidR="0072020E" w:rsidRPr="00C262AC" w:rsidRDefault="0072020E" w:rsidP="00C02F5A">
      <w:pPr>
        <w:tabs>
          <w:tab w:val="left" w:pos="540"/>
          <w:tab w:val="left" w:pos="569"/>
        </w:tabs>
        <w:jc w:val="both"/>
        <w:rPr>
          <w:b/>
          <w:bCs/>
          <w:sz w:val="22"/>
          <w:szCs w:val="22"/>
          <w:lang w:val="sr-Latn-RS"/>
        </w:rPr>
      </w:pPr>
    </w:p>
    <w:p w14:paraId="1B3193B5" w14:textId="3089F598" w:rsidR="00575B4D" w:rsidRPr="00C262AC" w:rsidRDefault="00575B4D">
      <w:pPr>
        <w:pStyle w:val="Header"/>
        <w:tabs>
          <w:tab w:val="left" w:pos="284"/>
        </w:tabs>
        <w:jc w:val="both"/>
        <w:rPr>
          <w:sz w:val="22"/>
          <w:szCs w:val="22"/>
          <w:lang w:val="sr-Latn-RS"/>
        </w:rPr>
      </w:pPr>
      <w:r w:rsidRPr="00C262AC">
        <w:rPr>
          <w:rFonts w:eastAsia="TimesNewRoman"/>
          <w:sz w:val="22"/>
          <w:szCs w:val="22"/>
          <w:lang w:val="sr-Latn-RS"/>
        </w:rPr>
        <w:t xml:space="preserve">Lijek Femozol ima mali uticaj na sposobnost upravljanja vozilom i rukovanja mašinama. </w:t>
      </w:r>
      <w:r w:rsidRPr="00C262AC">
        <w:rPr>
          <w:sz w:val="22"/>
          <w:szCs w:val="22"/>
          <w:lang w:val="sr-Latn-RS"/>
        </w:rPr>
        <w:t>S obzirom da su prilikom upotrebe ovog lijeka uočeni zamor i ošamućenost, a povremeno je prijavljena i pospanost, savjetuje se oprez prilikom upravljanja vozilom i rukovanja mašinama.</w:t>
      </w:r>
    </w:p>
    <w:p w14:paraId="692F518F" w14:textId="77777777" w:rsidR="00575B4D" w:rsidRPr="00C262AC" w:rsidRDefault="00575B4D" w:rsidP="00C02F5A">
      <w:pPr>
        <w:tabs>
          <w:tab w:val="left" w:pos="540"/>
          <w:tab w:val="left" w:pos="569"/>
        </w:tabs>
        <w:jc w:val="both"/>
        <w:rPr>
          <w:b/>
          <w:bCs/>
          <w:sz w:val="22"/>
          <w:szCs w:val="22"/>
          <w:lang w:val="sr-Latn-RS"/>
        </w:rPr>
      </w:pPr>
    </w:p>
    <w:p w14:paraId="7D9AD242"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4.8. </w:t>
      </w:r>
      <w:r w:rsidR="00480FB1" w:rsidRPr="00C262AC">
        <w:rPr>
          <w:b/>
          <w:bCs/>
          <w:sz w:val="22"/>
          <w:szCs w:val="22"/>
          <w:lang w:val="sr-Latn-RS"/>
        </w:rPr>
        <w:tab/>
      </w:r>
      <w:r w:rsidRPr="00C262AC">
        <w:rPr>
          <w:b/>
          <w:bCs/>
          <w:sz w:val="22"/>
          <w:szCs w:val="22"/>
          <w:lang w:val="sr-Latn-RS"/>
        </w:rPr>
        <w:t>Neželjena dejstva</w:t>
      </w:r>
    </w:p>
    <w:p w14:paraId="57862D30" w14:textId="77777777" w:rsidR="006E3F4D" w:rsidRPr="00C262AC" w:rsidRDefault="006E3F4D">
      <w:pPr>
        <w:autoSpaceDE w:val="0"/>
        <w:autoSpaceDN w:val="0"/>
        <w:adjustRightInd w:val="0"/>
        <w:jc w:val="both"/>
        <w:rPr>
          <w:rFonts w:eastAsia="TimesNewRoman"/>
          <w:color w:val="000000"/>
          <w:sz w:val="22"/>
          <w:szCs w:val="22"/>
          <w:u w:val="single"/>
          <w:lang w:val="sr-Latn-RS"/>
        </w:rPr>
      </w:pPr>
    </w:p>
    <w:p w14:paraId="5FA24191" w14:textId="740AA5C3" w:rsidR="006E3F4D" w:rsidRPr="00C262AC" w:rsidRDefault="006E3F4D">
      <w:pPr>
        <w:autoSpaceDE w:val="0"/>
        <w:autoSpaceDN w:val="0"/>
        <w:adjustRightInd w:val="0"/>
        <w:jc w:val="both"/>
        <w:rPr>
          <w:rFonts w:eastAsia="TimesNewRoman"/>
          <w:color w:val="000000"/>
          <w:sz w:val="22"/>
          <w:szCs w:val="22"/>
          <w:u w:val="single"/>
          <w:lang w:val="sr-Latn-RS"/>
        </w:rPr>
      </w:pPr>
      <w:r w:rsidRPr="00C262AC">
        <w:rPr>
          <w:rFonts w:eastAsia="TimesNewRoman"/>
          <w:color w:val="000000"/>
          <w:sz w:val="22"/>
          <w:szCs w:val="22"/>
          <w:u w:val="single"/>
          <w:lang w:val="sr-Latn-RS"/>
        </w:rPr>
        <w:t>Sažetak bezbjednosnog profila</w:t>
      </w:r>
    </w:p>
    <w:p w14:paraId="6EBA460B" w14:textId="77777777" w:rsidR="006E3F4D" w:rsidRPr="00C262AC" w:rsidRDefault="006E3F4D">
      <w:pPr>
        <w:autoSpaceDE w:val="0"/>
        <w:autoSpaceDN w:val="0"/>
        <w:adjustRightInd w:val="0"/>
        <w:jc w:val="both"/>
        <w:rPr>
          <w:rFonts w:eastAsia="TimesNewRoman"/>
          <w:sz w:val="22"/>
          <w:szCs w:val="22"/>
          <w:lang w:val="sr-Latn-RS"/>
        </w:rPr>
      </w:pPr>
    </w:p>
    <w:p w14:paraId="7B1E0330" w14:textId="77777777" w:rsidR="006E3F4D" w:rsidRPr="00C262AC" w:rsidRDefault="006E3F4D">
      <w:pPr>
        <w:autoSpaceDE w:val="0"/>
        <w:autoSpaceDN w:val="0"/>
        <w:adjustRightInd w:val="0"/>
        <w:jc w:val="both"/>
        <w:rPr>
          <w:rFonts w:eastAsia="TimesNewRoman"/>
          <w:sz w:val="22"/>
          <w:szCs w:val="22"/>
          <w:lang w:val="sr-Latn-RS"/>
        </w:rPr>
      </w:pPr>
      <w:r w:rsidRPr="00C262AC">
        <w:rPr>
          <w:rFonts w:eastAsia="TimesNewRoman"/>
          <w:sz w:val="22"/>
          <w:szCs w:val="22"/>
          <w:lang w:val="sr-Latn-RS"/>
        </w:rPr>
        <w:t>Učestalost neželjenih reakcija za lijek Femozol se uglavnom bazira na podacima dobijenim iz kliničkih studija.</w:t>
      </w:r>
    </w:p>
    <w:p w14:paraId="496D378E" w14:textId="77777777" w:rsidR="006E3F4D" w:rsidRPr="00C262AC" w:rsidRDefault="006E3F4D">
      <w:pPr>
        <w:autoSpaceDE w:val="0"/>
        <w:autoSpaceDN w:val="0"/>
        <w:adjustRightInd w:val="0"/>
        <w:jc w:val="both"/>
        <w:rPr>
          <w:rFonts w:eastAsia="TimesNewRoman"/>
          <w:sz w:val="22"/>
          <w:szCs w:val="22"/>
          <w:lang w:val="sr-Latn-RS"/>
        </w:rPr>
      </w:pPr>
    </w:p>
    <w:p w14:paraId="7DF92ACF" w14:textId="2ED23E0C" w:rsidR="006E3F4D" w:rsidRPr="00C262AC" w:rsidRDefault="006E3F4D">
      <w:pPr>
        <w:autoSpaceDE w:val="0"/>
        <w:autoSpaceDN w:val="0"/>
        <w:adjustRightInd w:val="0"/>
        <w:jc w:val="both"/>
        <w:rPr>
          <w:rFonts w:eastAsia="TimesNewRoman"/>
          <w:sz w:val="22"/>
          <w:szCs w:val="22"/>
          <w:lang w:val="sr-Latn-RS"/>
        </w:rPr>
      </w:pPr>
      <w:r w:rsidRPr="00C262AC">
        <w:rPr>
          <w:rFonts w:eastAsia="TimesNewRoman"/>
          <w:sz w:val="22"/>
          <w:szCs w:val="22"/>
          <w:lang w:val="sr-Latn-RS"/>
        </w:rPr>
        <w:t>Neželjene reakcije su se javile kod približno jedne trećine pacijenata sa metastazama koji su liječeni lijekom Femozol i kod približno 80% pacijenata koji su dobijali letrozol kao adjuvantnu terapiju, kao i kod pacijenata koji su dobijali produženu adjuvantnu terapiju. Većina neželjenih reakcija javile su se tokom prvih nekoliko nedjelja terapije.</w:t>
      </w:r>
    </w:p>
    <w:p w14:paraId="5AEC3A70" w14:textId="77777777" w:rsidR="006E3F4D" w:rsidRPr="00C262AC" w:rsidRDefault="006E3F4D">
      <w:pPr>
        <w:autoSpaceDE w:val="0"/>
        <w:autoSpaceDN w:val="0"/>
        <w:adjustRightInd w:val="0"/>
        <w:jc w:val="both"/>
        <w:rPr>
          <w:rFonts w:eastAsia="TimesNewRoman"/>
          <w:sz w:val="22"/>
          <w:szCs w:val="22"/>
          <w:lang w:val="sr-Latn-RS"/>
        </w:rPr>
      </w:pPr>
    </w:p>
    <w:p w14:paraId="338AC29D" w14:textId="77777777" w:rsidR="006E3F4D" w:rsidRPr="00C262AC" w:rsidRDefault="006E3F4D">
      <w:pPr>
        <w:autoSpaceDE w:val="0"/>
        <w:autoSpaceDN w:val="0"/>
        <w:adjustRightInd w:val="0"/>
        <w:jc w:val="both"/>
        <w:rPr>
          <w:rFonts w:eastAsia="TimesNewRoman"/>
          <w:sz w:val="22"/>
          <w:szCs w:val="22"/>
          <w:lang w:val="sr-Latn-RS"/>
        </w:rPr>
      </w:pPr>
      <w:r w:rsidRPr="00C262AC">
        <w:rPr>
          <w:rFonts w:eastAsia="TimesNewRoman"/>
          <w:sz w:val="22"/>
          <w:szCs w:val="22"/>
          <w:lang w:val="sr-Latn-RS"/>
        </w:rPr>
        <w:t>Najčešće prijavljene neželjene reakcije u kliničkim studijama bile su naleti vrućine, hiperholesterolemija, artralgija, zamor, pojačano znojenje i mučnina.</w:t>
      </w:r>
    </w:p>
    <w:p w14:paraId="6D58D866" w14:textId="77777777" w:rsidR="006E3F4D" w:rsidRPr="00C262AC" w:rsidRDefault="006E3F4D">
      <w:pPr>
        <w:autoSpaceDE w:val="0"/>
        <w:autoSpaceDN w:val="0"/>
        <w:adjustRightInd w:val="0"/>
        <w:jc w:val="both"/>
        <w:rPr>
          <w:rFonts w:eastAsia="TimesNewRoman"/>
          <w:sz w:val="22"/>
          <w:szCs w:val="22"/>
          <w:lang w:val="sr-Latn-RS"/>
        </w:rPr>
      </w:pPr>
    </w:p>
    <w:p w14:paraId="0472B952" w14:textId="57EF1D31" w:rsidR="006E3F4D" w:rsidRPr="00C262AC" w:rsidRDefault="006E3F4D">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Značajne dodatne neželjene reakcije koje se mogu javiti prilikom primjene lijeka Femozol su: </w:t>
      </w:r>
      <w:r w:rsidRPr="00C262AC">
        <w:rPr>
          <w:rFonts w:eastAsia="TimesNewRoman"/>
          <w:color w:val="000000"/>
          <w:sz w:val="22"/>
          <w:szCs w:val="22"/>
          <w:lang w:val="sr-Latn-RS"/>
        </w:rPr>
        <w:t>neželjeni efekti</w:t>
      </w:r>
      <w:r w:rsidRPr="00C262AC">
        <w:rPr>
          <w:rFonts w:eastAsia="TimesNewRoman"/>
          <w:sz w:val="22"/>
          <w:szCs w:val="22"/>
          <w:lang w:val="sr-Latn-RS"/>
        </w:rPr>
        <w:t xml:space="preserve"> na nivou skeleta, kao što su osteoporoza i/ili prelomi kostiju ili kardiovaskularni događaji (uključujući cerebrovaskularne i tromboembolijske događaje). Kategorija učestalosti za ove neželjene reakcije opisana je u Tabeli 1.</w:t>
      </w:r>
    </w:p>
    <w:p w14:paraId="403C206F" w14:textId="77777777" w:rsidR="006E3F4D" w:rsidRPr="00C262AC" w:rsidRDefault="006E3F4D">
      <w:pPr>
        <w:autoSpaceDE w:val="0"/>
        <w:autoSpaceDN w:val="0"/>
        <w:adjustRightInd w:val="0"/>
        <w:jc w:val="both"/>
        <w:rPr>
          <w:rFonts w:eastAsia="TimesNewRoman"/>
          <w:sz w:val="22"/>
          <w:szCs w:val="22"/>
          <w:lang w:val="sr-Latn-RS"/>
        </w:rPr>
      </w:pPr>
    </w:p>
    <w:p w14:paraId="5DB50B27" w14:textId="77777777" w:rsidR="006E3F4D" w:rsidRPr="00C262AC" w:rsidRDefault="006E3F4D">
      <w:pPr>
        <w:autoSpaceDE w:val="0"/>
        <w:autoSpaceDN w:val="0"/>
        <w:adjustRightInd w:val="0"/>
        <w:jc w:val="both"/>
        <w:rPr>
          <w:rFonts w:eastAsia="TimesNewRoman"/>
          <w:sz w:val="22"/>
          <w:szCs w:val="22"/>
          <w:u w:val="single"/>
          <w:lang w:val="sr-Latn-RS"/>
        </w:rPr>
      </w:pPr>
      <w:r w:rsidRPr="00C262AC">
        <w:rPr>
          <w:rFonts w:eastAsia="TimesNewRoman"/>
          <w:sz w:val="22"/>
          <w:szCs w:val="22"/>
          <w:u w:val="single"/>
          <w:lang w:val="sr-Latn-RS"/>
        </w:rPr>
        <w:t>Tabelarni prikaz neželjenih reakcija</w:t>
      </w:r>
    </w:p>
    <w:p w14:paraId="0579C64A" w14:textId="77777777" w:rsidR="006E3F4D" w:rsidRPr="00C262AC" w:rsidRDefault="006E3F4D">
      <w:pPr>
        <w:pStyle w:val="NormalWeb"/>
        <w:spacing w:before="0" w:beforeAutospacing="0" w:after="0" w:afterAutospacing="0"/>
        <w:jc w:val="both"/>
        <w:rPr>
          <w:rFonts w:eastAsia="TimesNewRoman"/>
          <w:sz w:val="22"/>
          <w:szCs w:val="22"/>
          <w:lang w:val="sr-Latn-RS"/>
        </w:rPr>
      </w:pPr>
      <w:r w:rsidRPr="00C262AC">
        <w:rPr>
          <w:rFonts w:eastAsia="TimesNewRoman"/>
          <w:sz w:val="22"/>
          <w:szCs w:val="22"/>
          <w:lang w:val="sr-Latn-RS"/>
        </w:rPr>
        <w:t>Učestalost neželjenih reakcija na letrozol uglavnom se zasniva na podacima dobijenim iz kliničkih studija.</w:t>
      </w:r>
    </w:p>
    <w:p w14:paraId="2BB8C6AC" w14:textId="77777777" w:rsidR="006E3F4D" w:rsidRPr="00C262AC" w:rsidRDefault="006E3F4D">
      <w:pPr>
        <w:pStyle w:val="NormalWeb"/>
        <w:spacing w:before="0" w:beforeAutospacing="0" w:after="0" w:afterAutospacing="0"/>
        <w:jc w:val="both"/>
        <w:rPr>
          <w:b/>
          <w:bCs/>
          <w:sz w:val="22"/>
          <w:szCs w:val="22"/>
          <w:lang w:val="sr-Latn-RS"/>
        </w:rPr>
      </w:pPr>
    </w:p>
    <w:p w14:paraId="6AAA7A64" w14:textId="77777777" w:rsidR="006E3F4D" w:rsidRPr="00C262AC" w:rsidRDefault="006E3F4D">
      <w:pPr>
        <w:autoSpaceDE w:val="0"/>
        <w:autoSpaceDN w:val="0"/>
        <w:adjustRightInd w:val="0"/>
        <w:jc w:val="both"/>
        <w:rPr>
          <w:rFonts w:eastAsia="TimesNewRoman"/>
          <w:sz w:val="22"/>
          <w:szCs w:val="22"/>
          <w:lang w:val="sr-Latn-RS"/>
        </w:rPr>
      </w:pPr>
      <w:r w:rsidRPr="00C262AC">
        <w:rPr>
          <w:rFonts w:eastAsia="TimesNewRoman"/>
          <w:sz w:val="22"/>
          <w:szCs w:val="22"/>
          <w:lang w:val="sr-Latn-RS"/>
        </w:rPr>
        <w:t>Sljedeće neželjene reakcije, prikazane u Tabeli 1, navedene su na osnovu prijava u kliničkim studijama, kao i na osnovu postmarketinškog iskustva sa lijekom Femozol.</w:t>
      </w:r>
    </w:p>
    <w:p w14:paraId="29263A3A" w14:textId="77777777" w:rsidR="006E3F4D" w:rsidRPr="00C262AC" w:rsidRDefault="006E3F4D">
      <w:pPr>
        <w:autoSpaceDE w:val="0"/>
        <w:autoSpaceDN w:val="0"/>
        <w:adjustRightInd w:val="0"/>
        <w:jc w:val="both"/>
        <w:rPr>
          <w:rFonts w:eastAsia="TimesNewRoman"/>
          <w:sz w:val="22"/>
          <w:szCs w:val="22"/>
          <w:lang w:val="sr-Latn-RS"/>
        </w:rPr>
      </w:pPr>
    </w:p>
    <w:p w14:paraId="3A948C20" w14:textId="77777777" w:rsidR="006E3F4D" w:rsidRPr="00C262AC" w:rsidRDefault="006E3F4D">
      <w:pPr>
        <w:autoSpaceDE w:val="0"/>
        <w:autoSpaceDN w:val="0"/>
        <w:adjustRightInd w:val="0"/>
        <w:jc w:val="both"/>
        <w:rPr>
          <w:rFonts w:eastAsia="TimesNewRoman,Bold"/>
          <w:b/>
          <w:bCs/>
          <w:sz w:val="22"/>
          <w:szCs w:val="22"/>
          <w:lang w:val="sr-Latn-RS"/>
        </w:rPr>
      </w:pPr>
      <w:r w:rsidRPr="00C262AC">
        <w:rPr>
          <w:rFonts w:eastAsia="TimesNewRoman,Bold"/>
          <w:b/>
          <w:bCs/>
          <w:sz w:val="22"/>
          <w:szCs w:val="22"/>
          <w:lang w:val="sr-Latn-RS"/>
        </w:rPr>
        <w:t>Tabela 1.</w:t>
      </w:r>
    </w:p>
    <w:p w14:paraId="6FD08548" w14:textId="27974F5D" w:rsidR="006E3F4D" w:rsidRPr="00C262AC" w:rsidRDefault="006E3F4D">
      <w:pPr>
        <w:autoSpaceDE w:val="0"/>
        <w:autoSpaceDN w:val="0"/>
        <w:adjustRightInd w:val="0"/>
        <w:jc w:val="both"/>
        <w:rPr>
          <w:rFonts w:eastAsia="TimesNewRoman"/>
          <w:sz w:val="22"/>
          <w:szCs w:val="22"/>
          <w:lang w:val="sr-Latn-RS"/>
        </w:rPr>
      </w:pPr>
      <w:r w:rsidRPr="00C262AC">
        <w:rPr>
          <w:rFonts w:eastAsia="TimesNewRoman"/>
          <w:sz w:val="22"/>
          <w:szCs w:val="22"/>
          <w:lang w:val="sr-Latn-RS"/>
        </w:rPr>
        <w:t>Neželjene reakcije rangirane su prema učestalosti, počevši od najčešćih, prema sljedećoj konvenciji: veoma često (≥1/10); često (≥1/100 i &lt;1/10); povremeno (≥1/1000 i &lt;1/100); rijetko (≥1/10 000 i &lt;1/1000); veoma rijetko (&lt;1/10 000) i nepoznato (ne može se procijeniti na osnovu dostupnih podataka).</w:t>
      </w:r>
    </w:p>
    <w:p w14:paraId="2D961D4F" w14:textId="77777777" w:rsidR="006E3F4D" w:rsidRPr="00C262AC" w:rsidRDefault="006E3F4D">
      <w:pPr>
        <w:jc w:val="both"/>
        <w:rPr>
          <w:sz w:val="22"/>
          <w:szCs w:val="22"/>
          <w:lang w:val="sr-Latn-RS"/>
        </w:rPr>
      </w:pPr>
    </w:p>
    <w:tbl>
      <w:tblPr>
        <w:tblW w:w="499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99"/>
        <w:gridCol w:w="875"/>
        <w:gridCol w:w="6390"/>
      </w:tblGrid>
      <w:tr w:rsidR="006E3F4D" w:rsidRPr="00C262AC" w14:paraId="20563390" w14:textId="77777777" w:rsidTr="00C02F5A">
        <w:trPr>
          <w:trHeight w:val="336"/>
          <w:tblCellSpacing w:w="0" w:type="dxa"/>
        </w:trPr>
        <w:tc>
          <w:tcPr>
            <w:tcW w:w="2674" w:type="dxa"/>
            <w:gridSpan w:val="2"/>
            <w:tcBorders>
              <w:top w:val="outset" w:sz="6" w:space="0" w:color="auto"/>
              <w:left w:val="outset" w:sz="6" w:space="0" w:color="auto"/>
              <w:bottom w:val="outset" w:sz="6" w:space="0" w:color="auto"/>
              <w:right w:val="outset" w:sz="6" w:space="0" w:color="auto"/>
            </w:tcBorders>
            <w:hideMark/>
          </w:tcPr>
          <w:p w14:paraId="72EF26CE" w14:textId="77777777" w:rsidR="006E3F4D" w:rsidRPr="00C262AC" w:rsidRDefault="006E3F4D">
            <w:pPr>
              <w:pStyle w:val="NormalWeb"/>
              <w:jc w:val="both"/>
              <w:rPr>
                <w:sz w:val="22"/>
                <w:szCs w:val="22"/>
                <w:lang w:val="sr-Latn-RS"/>
              </w:rPr>
            </w:pPr>
            <w:r w:rsidRPr="00C262AC">
              <w:rPr>
                <w:b/>
                <w:bCs/>
                <w:sz w:val="22"/>
                <w:szCs w:val="22"/>
                <w:lang w:val="sr-Latn-RS"/>
              </w:rPr>
              <w:t>Infekcije i infestacije</w:t>
            </w:r>
          </w:p>
        </w:tc>
        <w:tc>
          <w:tcPr>
            <w:tcW w:w="6390" w:type="dxa"/>
            <w:tcBorders>
              <w:top w:val="outset" w:sz="6" w:space="0" w:color="auto"/>
              <w:left w:val="outset" w:sz="6" w:space="0" w:color="auto"/>
              <w:bottom w:val="outset" w:sz="6" w:space="0" w:color="auto"/>
              <w:right w:val="outset" w:sz="6" w:space="0" w:color="auto"/>
            </w:tcBorders>
          </w:tcPr>
          <w:p w14:paraId="5BB09522" w14:textId="77777777" w:rsidR="006E3F4D" w:rsidRPr="00C262AC" w:rsidRDefault="006E3F4D">
            <w:pPr>
              <w:pStyle w:val="NormalWeb"/>
              <w:jc w:val="both"/>
              <w:rPr>
                <w:sz w:val="22"/>
                <w:szCs w:val="22"/>
                <w:lang w:val="sr-Latn-RS"/>
              </w:rPr>
            </w:pPr>
          </w:p>
        </w:tc>
      </w:tr>
      <w:tr w:rsidR="006E3F4D" w:rsidRPr="00C262AC" w14:paraId="65043B26" w14:textId="77777777" w:rsidTr="00C02F5A">
        <w:trPr>
          <w:trHeight w:val="415"/>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2604D89B"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22F67C1D" w14:textId="77777777" w:rsidR="006E3F4D" w:rsidRPr="00C262AC" w:rsidRDefault="006E3F4D">
            <w:pPr>
              <w:pStyle w:val="NormalWeb"/>
              <w:jc w:val="both"/>
              <w:rPr>
                <w:sz w:val="22"/>
                <w:szCs w:val="22"/>
                <w:lang w:val="sr-Latn-RS"/>
              </w:rPr>
            </w:pPr>
            <w:r w:rsidRPr="00C262AC">
              <w:rPr>
                <w:sz w:val="22"/>
                <w:szCs w:val="22"/>
                <w:lang w:val="sr-Latn-RS"/>
              </w:rPr>
              <w:t>Infekcije urinarnog trakta</w:t>
            </w:r>
          </w:p>
        </w:tc>
      </w:tr>
      <w:tr w:rsidR="006E3F4D" w:rsidRPr="00C262AC" w14:paraId="2C029CF4"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6E5E201B" w14:textId="1F8EB934" w:rsidR="006E3F4D" w:rsidRPr="00C262AC" w:rsidRDefault="006E3F4D">
            <w:pPr>
              <w:pStyle w:val="NormalWeb"/>
              <w:jc w:val="both"/>
              <w:rPr>
                <w:sz w:val="22"/>
                <w:szCs w:val="22"/>
                <w:lang w:val="sr-Latn-RS"/>
              </w:rPr>
            </w:pPr>
            <w:proofErr w:type="spellStart"/>
            <w:r w:rsidRPr="00C262AC">
              <w:rPr>
                <w:b/>
                <w:color w:val="000000"/>
                <w:sz w:val="22"/>
                <w:szCs w:val="22"/>
                <w:lang w:val="sr-Latn-RS" w:eastAsia="sr-Latn-RS"/>
              </w:rPr>
              <w:t>Neoplazme</w:t>
            </w:r>
            <w:proofErr w:type="spellEnd"/>
            <w:r w:rsidRPr="00C262AC">
              <w:rPr>
                <w:b/>
                <w:color w:val="000000"/>
                <w:sz w:val="22"/>
                <w:szCs w:val="22"/>
                <w:lang w:val="sr-Latn-RS" w:eastAsia="sr-Latn-RS"/>
              </w:rPr>
              <w:t xml:space="preserve"> </w:t>
            </w:r>
            <w:r w:rsidR="002872F8" w:rsidRPr="00C262AC">
              <w:rPr>
                <w:b/>
                <w:color w:val="000000"/>
                <w:sz w:val="22"/>
                <w:szCs w:val="22"/>
                <w:lang w:val="sr-Latn-RS" w:eastAsia="sr-Latn-RS"/>
              </w:rPr>
              <w:t>–</w:t>
            </w:r>
            <w:r w:rsidRPr="00C262AC">
              <w:rPr>
                <w:b/>
                <w:color w:val="000000"/>
                <w:sz w:val="22"/>
                <w:szCs w:val="22"/>
                <w:lang w:val="sr-Latn-RS" w:eastAsia="sr-Latn-RS"/>
              </w:rPr>
              <w:t xml:space="preserve"> benigne</w:t>
            </w:r>
            <w:r w:rsidR="002872F8" w:rsidRPr="00C262AC">
              <w:rPr>
                <w:b/>
                <w:color w:val="000000"/>
                <w:sz w:val="22"/>
                <w:szCs w:val="22"/>
                <w:lang w:val="sr-Latn-RS" w:eastAsia="sr-Latn-RS"/>
              </w:rPr>
              <w:t>,</w:t>
            </w:r>
            <w:r w:rsidRPr="00C262AC">
              <w:rPr>
                <w:b/>
                <w:color w:val="000000"/>
                <w:sz w:val="22"/>
                <w:szCs w:val="22"/>
                <w:lang w:val="sr-Latn-RS" w:eastAsia="sr-Latn-RS"/>
              </w:rPr>
              <w:t xml:space="preserve"> maligne i neodređene </w:t>
            </w:r>
            <w:r w:rsidRPr="00C262AC">
              <w:rPr>
                <w:b/>
                <w:noProof/>
                <w:sz w:val="22"/>
                <w:szCs w:val="22"/>
                <w:lang w:val="sr-Latn-RS"/>
              </w:rPr>
              <w:t>(uključujući ciste i polipe)</w:t>
            </w:r>
          </w:p>
        </w:tc>
      </w:tr>
      <w:tr w:rsidR="006E3F4D" w:rsidRPr="00C262AC" w14:paraId="78B7CAD5" w14:textId="77777777" w:rsidTr="00C02F5A">
        <w:trPr>
          <w:trHeight w:val="322"/>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B4BFAE7"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2CE56DF3" w14:textId="77777777" w:rsidR="006E3F4D" w:rsidRPr="00C262AC" w:rsidRDefault="006E3F4D">
            <w:pPr>
              <w:pStyle w:val="NormalWeb"/>
              <w:jc w:val="both"/>
              <w:rPr>
                <w:sz w:val="22"/>
                <w:szCs w:val="22"/>
                <w:lang w:val="sr-Latn-RS"/>
              </w:rPr>
            </w:pPr>
            <w:r w:rsidRPr="00C262AC">
              <w:rPr>
                <w:noProof/>
                <w:sz w:val="22"/>
                <w:szCs w:val="22"/>
                <w:lang w:val="sr-Latn-RS"/>
              </w:rPr>
              <w:t>Bol izazvan tumorom</w:t>
            </w:r>
            <w:r w:rsidRPr="00C262AC">
              <w:rPr>
                <w:noProof/>
                <w:sz w:val="22"/>
                <w:szCs w:val="22"/>
                <w:vertAlign w:val="superscript"/>
                <w:lang w:val="sr-Latn-RS"/>
              </w:rPr>
              <w:t>1</w:t>
            </w:r>
          </w:p>
        </w:tc>
      </w:tr>
      <w:tr w:rsidR="006E3F4D" w:rsidRPr="00C262AC" w14:paraId="50B56242"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3DED3920" w14:textId="77777777" w:rsidR="006E3F4D" w:rsidRPr="00C262AC" w:rsidRDefault="006E3F4D">
            <w:pPr>
              <w:pStyle w:val="NormalWeb"/>
              <w:jc w:val="both"/>
              <w:rPr>
                <w:sz w:val="22"/>
                <w:szCs w:val="22"/>
                <w:lang w:val="sr-Latn-RS"/>
              </w:rPr>
            </w:pPr>
            <w:r w:rsidRPr="00C262AC">
              <w:rPr>
                <w:b/>
                <w:bCs/>
                <w:sz w:val="22"/>
                <w:szCs w:val="22"/>
                <w:lang w:val="sr-Latn-RS"/>
              </w:rPr>
              <w:t>Poremećaji krvi i limfnog sistema</w:t>
            </w:r>
          </w:p>
        </w:tc>
      </w:tr>
      <w:tr w:rsidR="006E3F4D" w:rsidRPr="00C262AC" w14:paraId="137A8D04" w14:textId="77777777" w:rsidTr="00C02F5A">
        <w:trPr>
          <w:trHeight w:val="402"/>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59874B74"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366673F0" w14:textId="77777777" w:rsidR="006E3F4D" w:rsidRPr="00C262AC" w:rsidRDefault="006E3F4D">
            <w:pPr>
              <w:pStyle w:val="NormalWeb"/>
              <w:jc w:val="both"/>
              <w:rPr>
                <w:sz w:val="22"/>
                <w:szCs w:val="22"/>
                <w:lang w:val="sr-Latn-RS"/>
              </w:rPr>
            </w:pPr>
            <w:r w:rsidRPr="00C262AC">
              <w:rPr>
                <w:sz w:val="22"/>
                <w:szCs w:val="22"/>
                <w:lang w:val="sr-Latn-RS"/>
              </w:rPr>
              <w:t>Leukopenija</w:t>
            </w:r>
          </w:p>
        </w:tc>
      </w:tr>
      <w:tr w:rsidR="006E3F4D" w:rsidRPr="00C262AC" w14:paraId="611D4771" w14:textId="77777777" w:rsidTr="00C02F5A">
        <w:trPr>
          <w:trHeight w:val="381"/>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5F808939" w14:textId="6245BF6D" w:rsidR="006E3F4D" w:rsidRPr="00C262AC" w:rsidRDefault="006E3F4D">
            <w:pPr>
              <w:pStyle w:val="NormalWeb"/>
              <w:jc w:val="both"/>
              <w:rPr>
                <w:sz w:val="22"/>
                <w:szCs w:val="22"/>
                <w:lang w:val="sr-Latn-RS"/>
              </w:rPr>
            </w:pPr>
            <w:r w:rsidRPr="00C262AC">
              <w:rPr>
                <w:b/>
                <w:color w:val="000000"/>
                <w:sz w:val="22"/>
                <w:szCs w:val="22"/>
                <w:lang w:val="sr-Latn-RS" w:eastAsia="sr-Latn-RS"/>
              </w:rPr>
              <w:t>Poremećaji imunog sistema</w:t>
            </w:r>
          </w:p>
        </w:tc>
      </w:tr>
      <w:tr w:rsidR="006E3F4D" w:rsidRPr="00C262AC" w14:paraId="76896C3C" w14:textId="77777777" w:rsidTr="00C02F5A">
        <w:trPr>
          <w:trHeight w:val="413"/>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3B4A9DEE" w14:textId="77777777" w:rsidR="006E3F4D" w:rsidRPr="00C262AC" w:rsidRDefault="006E3F4D">
            <w:pPr>
              <w:pStyle w:val="NormalWeb"/>
              <w:jc w:val="both"/>
              <w:rPr>
                <w:sz w:val="22"/>
                <w:szCs w:val="22"/>
                <w:lang w:val="sr-Latn-RS"/>
              </w:rPr>
            </w:pPr>
            <w:r w:rsidRPr="00C262AC">
              <w:rPr>
                <w:sz w:val="22"/>
                <w:szCs w:val="22"/>
                <w:lang w:val="sr-Latn-RS"/>
              </w:rPr>
              <w:t>Nepoznato</w:t>
            </w:r>
          </w:p>
        </w:tc>
        <w:tc>
          <w:tcPr>
            <w:tcW w:w="7265" w:type="dxa"/>
            <w:gridSpan w:val="2"/>
            <w:tcBorders>
              <w:top w:val="outset" w:sz="6" w:space="0" w:color="auto"/>
              <w:left w:val="outset" w:sz="6" w:space="0" w:color="auto"/>
              <w:bottom w:val="outset" w:sz="6" w:space="0" w:color="auto"/>
              <w:right w:val="outset" w:sz="6" w:space="0" w:color="auto"/>
            </w:tcBorders>
            <w:hideMark/>
          </w:tcPr>
          <w:p w14:paraId="3899922C" w14:textId="77777777" w:rsidR="006E3F4D" w:rsidRPr="00C262AC" w:rsidRDefault="006E3F4D">
            <w:pPr>
              <w:pStyle w:val="NormalWeb"/>
              <w:jc w:val="both"/>
              <w:rPr>
                <w:sz w:val="22"/>
                <w:szCs w:val="22"/>
                <w:lang w:val="sr-Latn-RS"/>
              </w:rPr>
            </w:pPr>
            <w:r w:rsidRPr="00C262AC">
              <w:rPr>
                <w:sz w:val="22"/>
                <w:szCs w:val="22"/>
                <w:lang w:val="sr-Latn-RS"/>
              </w:rPr>
              <w:t>Anafilaktička reakcija</w:t>
            </w:r>
          </w:p>
        </w:tc>
      </w:tr>
      <w:tr w:rsidR="006E3F4D" w:rsidRPr="00C262AC" w14:paraId="5068836F"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110A3A3A" w14:textId="77777777" w:rsidR="006E3F4D" w:rsidRPr="00C262AC" w:rsidRDefault="006E3F4D">
            <w:pPr>
              <w:pStyle w:val="NormalWeb"/>
              <w:jc w:val="both"/>
              <w:rPr>
                <w:sz w:val="22"/>
                <w:szCs w:val="22"/>
                <w:lang w:val="sr-Latn-RS"/>
              </w:rPr>
            </w:pPr>
            <w:r w:rsidRPr="00C262AC">
              <w:rPr>
                <w:b/>
                <w:bCs/>
                <w:sz w:val="22"/>
                <w:szCs w:val="22"/>
                <w:lang w:val="sr-Latn-RS"/>
              </w:rPr>
              <w:t>Poremećaji metabolizma i ishrane</w:t>
            </w:r>
          </w:p>
        </w:tc>
      </w:tr>
      <w:tr w:rsidR="006E3F4D" w:rsidRPr="00C262AC" w14:paraId="017ECF37"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54871449" w14:textId="77777777" w:rsidR="006E3F4D" w:rsidRPr="00C262AC" w:rsidRDefault="006E3F4D">
            <w:pPr>
              <w:pStyle w:val="NormalWeb"/>
              <w:jc w:val="both"/>
              <w:rPr>
                <w:color w:val="000000"/>
                <w:sz w:val="22"/>
                <w:szCs w:val="22"/>
                <w:lang w:val="sr-Latn-RS"/>
              </w:rPr>
            </w:pPr>
            <w:r w:rsidRPr="00C262AC">
              <w:rPr>
                <w:color w:val="000000"/>
                <w:sz w:val="22"/>
                <w:szCs w:val="22"/>
                <w:lang w:val="sr-Latn-RS"/>
              </w:rPr>
              <w:t xml:space="preserve">Veoma često: </w:t>
            </w:r>
          </w:p>
        </w:tc>
        <w:tc>
          <w:tcPr>
            <w:tcW w:w="7265" w:type="dxa"/>
            <w:gridSpan w:val="2"/>
            <w:tcBorders>
              <w:top w:val="outset" w:sz="6" w:space="0" w:color="auto"/>
              <w:left w:val="outset" w:sz="6" w:space="0" w:color="auto"/>
              <w:bottom w:val="outset" w:sz="6" w:space="0" w:color="auto"/>
              <w:right w:val="outset" w:sz="6" w:space="0" w:color="auto"/>
            </w:tcBorders>
            <w:hideMark/>
          </w:tcPr>
          <w:p w14:paraId="5D2221FD" w14:textId="77777777" w:rsidR="006E3F4D" w:rsidRPr="00C262AC" w:rsidRDefault="006E3F4D">
            <w:pPr>
              <w:pStyle w:val="NormalWeb"/>
              <w:jc w:val="both"/>
              <w:rPr>
                <w:sz w:val="22"/>
                <w:szCs w:val="22"/>
                <w:lang w:val="sr-Latn-RS"/>
              </w:rPr>
            </w:pPr>
            <w:r w:rsidRPr="00C262AC">
              <w:rPr>
                <w:sz w:val="22"/>
                <w:szCs w:val="22"/>
                <w:lang w:val="sr-Latn-RS"/>
              </w:rPr>
              <w:t>Hiperholesterolemija</w:t>
            </w:r>
          </w:p>
        </w:tc>
      </w:tr>
      <w:tr w:rsidR="006E3F4D" w:rsidRPr="00C262AC" w14:paraId="3F058206" w14:textId="77777777" w:rsidTr="00C02F5A">
        <w:trPr>
          <w:trHeight w:val="439"/>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8E01E75" w14:textId="77777777" w:rsidR="006E3F4D" w:rsidRPr="00C262AC" w:rsidRDefault="006E3F4D">
            <w:pPr>
              <w:pStyle w:val="NormalWeb"/>
              <w:jc w:val="both"/>
              <w:rPr>
                <w:color w:val="000000"/>
                <w:sz w:val="22"/>
                <w:szCs w:val="22"/>
                <w:lang w:val="sr-Latn-RS"/>
              </w:rPr>
            </w:pPr>
            <w:r w:rsidRPr="00C262AC">
              <w:rPr>
                <w:color w:val="000000"/>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48FD7886" w14:textId="77777777" w:rsidR="006E3F4D" w:rsidRPr="00C262AC" w:rsidRDefault="006E3F4D">
            <w:pPr>
              <w:pStyle w:val="NormalWeb"/>
              <w:jc w:val="both"/>
              <w:rPr>
                <w:sz w:val="22"/>
                <w:szCs w:val="22"/>
                <w:lang w:val="sr-Latn-RS"/>
              </w:rPr>
            </w:pPr>
            <w:r w:rsidRPr="00C262AC">
              <w:rPr>
                <w:color w:val="000000"/>
                <w:sz w:val="22"/>
                <w:szCs w:val="22"/>
                <w:lang w:val="sr-Latn-RS" w:eastAsia="sr-Latn-RS"/>
              </w:rPr>
              <w:t>Smanjene apetita, porast apetita</w:t>
            </w:r>
          </w:p>
        </w:tc>
      </w:tr>
      <w:tr w:rsidR="006E3F4D" w:rsidRPr="00C262AC" w14:paraId="03358ADD"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5159F5BF" w14:textId="77777777" w:rsidR="006E3F4D" w:rsidRPr="00C262AC" w:rsidRDefault="006E3F4D">
            <w:pPr>
              <w:pStyle w:val="NormalWeb"/>
              <w:jc w:val="both"/>
              <w:rPr>
                <w:sz w:val="22"/>
                <w:szCs w:val="22"/>
                <w:lang w:val="sr-Latn-RS"/>
              </w:rPr>
            </w:pPr>
            <w:r w:rsidRPr="00C262AC">
              <w:rPr>
                <w:b/>
                <w:bCs/>
                <w:sz w:val="22"/>
                <w:szCs w:val="22"/>
                <w:lang w:val="sr-Latn-RS"/>
              </w:rPr>
              <w:t>Psihijatrijski poremećaji</w:t>
            </w:r>
          </w:p>
        </w:tc>
      </w:tr>
      <w:tr w:rsidR="006E3F4D" w:rsidRPr="00C262AC" w14:paraId="7FB192BF"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381CF808"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4A642A24" w14:textId="77777777" w:rsidR="006E3F4D" w:rsidRPr="00C262AC" w:rsidRDefault="006E3F4D">
            <w:pPr>
              <w:pStyle w:val="NormalWeb"/>
              <w:jc w:val="both"/>
              <w:rPr>
                <w:sz w:val="22"/>
                <w:szCs w:val="22"/>
                <w:lang w:val="sr-Latn-RS"/>
              </w:rPr>
            </w:pPr>
            <w:r w:rsidRPr="00C262AC">
              <w:rPr>
                <w:sz w:val="22"/>
                <w:szCs w:val="22"/>
                <w:lang w:val="sr-Latn-RS"/>
              </w:rPr>
              <w:t>Depresija</w:t>
            </w:r>
          </w:p>
        </w:tc>
      </w:tr>
      <w:tr w:rsidR="006E3F4D" w:rsidRPr="00C262AC" w14:paraId="57FFE873" w14:textId="77777777" w:rsidTr="00C02F5A">
        <w:trPr>
          <w:trHeight w:val="442"/>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5A57AA43" w14:textId="77777777" w:rsidR="006E3F4D" w:rsidRPr="00C262AC" w:rsidRDefault="006E3F4D">
            <w:pPr>
              <w:pStyle w:val="NormalWeb"/>
              <w:jc w:val="both"/>
              <w:rPr>
                <w:sz w:val="22"/>
                <w:szCs w:val="22"/>
                <w:lang w:val="sr-Latn-RS"/>
              </w:rPr>
            </w:pPr>
            <w:r w:rsidRPr="00C262AC">
              <w:rPr>
                <w:sz w:val="22"/>
                <w:szCs w:val="22"/>
                <w:lang w:val="sr-Latn-RS"/>
              </w:rPr>
              <w:lastRenderedPageBreak/>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702BB65C" w14:textId="77777777" w:rsidR="006E3F4D" w:rsidRPr="00C262AC" w:rsidRDefault="006E3F4D">
            <w:pPr>
              <w:pStyle w:val="NormalWeb"/>
              <w:jc w:val="both"/>
              <w:rPr>
                <w:sz w:val="22"/>
                <w:szCs w:val="22"/>
                <w:lang w:val="sr-Latn-RS"/>
              </w:rPr>
            </w:pPr>
            <w:r w:rsidRPr="00C262AC">
              <w:rPr>
                <w:sz w:val="22"/>
                <w:szCs w:val="22"/>
                <w:lang w:val="sr-Latn-RS"/>
              </w:rPr>
              <w:t>Anksioznost (uključujući nervozu), iritabilnost</w:t>
            </w:r>
          </w:p>
        </w:tc>
      </w:tr>
      <w:tr w:rsidR="006E3F4D" w:rsidRPr="00C262AC" w14:paraId="092ED60B"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0F855587" w14:textId="77777777" w:rsidR="006E3F4D" w:rsidRPr="00C262AC" w:rsidRDefault="006E3F4D">
            <w:pPr>
              <w:pStyle w:val="NormalWeb"/>
              <w:jc w:val="both"/>
              <w:rPr>
                <w:sz w:val="22"/>
                <w:szCs w:val="22"/>
                <w:lang w:val="sr-Latn-RS"/>
              </w:rPr>
            </w:pPr>
            <w:r w:rsidRPr="00C262AC">
              <w:rPr>
                <w:b/>
                <w:bCs/>
                <w:sz w:val="22"/>
                <w:szCs w:val="22"/>
                <w:lang w:val="sr-Latn-RS"/>
              </w:rPr>
              <w:t>Poremećaji nervnog sistema</w:t>
            </w:r>
          </w:p>
        </w:tc>
      </w:tr>
      <w:tr w:rsidR="006E3F4D" w:rsidRPr="00C262AC" w14:paraId="7BC572D6"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64D607BC"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01F3A9CB" w14:textId="77777777" w:rsidR="006E3F4D" w:rsidRPr="00C262AC" w:rsidRDefault="006E3F4D">
            <w:pPr>
              <w:pStyle w:val="NormalWeb"/>
              <w:jc w:val="both"/>
              <w:rPr>
                <w:sz w:val="22"/>
                <w:szCs w:val="22"/>
                <w:lang w:val="sr-Latn-RS"/>
              </w:rPr>
            </w:pPr>
            <w:r w:rsidRPr="00C262AC">
              <w:rPr>
                <w:sz w:val="22"/>
                <w:szCs w:val="22"/>
                <w:lang w:val="sr-Latn-RS"/>
              </w:rPr>
              <w:t>Glavobolja, vrtoglavica</w:t>
            </w:r>
          </w:p>
        </w:tc>
      </w:tr>
      <w:tr w:rsidR="006E3F4D" w:rsidRPr="00C262AC" w14:paraId="3D9D01D7" w14:textId="77777777" w:rsidTr="00C02F5A">
        <w:trPr>
          <w:trHeight w:val="611"/>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60D36E62"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2A3E9313" w14:textId="66BF5999" w:rsidR="006E3F4D" w:rsidRPr="00C262AC" w:rsidRDefault="006E3F4D">
            <w:pPr>
              <w:pStyle w:val="NormalWeb"/>
              <w:jc w:val="both"/>
              <w:rPr>
                <w:sz w:val="22"/>
                <w:szCs w:val="22"/>
                <w:lang w:val="sr-Latn-RS"/>
              </w:rPr>
            </w:pPr>
            <w:r w:rsidRPr="00C262AC">
              <w:rPr>
                <w:sz w:val="22"/>
                <w:szCs w:val="22"/>
                <w:lang w:val="sr-Latn-RS"/>
              </w:rPr>
              <w:t>Somnolencija, insomnija, oštećenje pamćenja, dizestezija (uključujući paresteziju, hipoesteziju), disge</w:t>
            </w:r>
            <w:r w:rsidR="002872F8" w:rsidRPr="00C262AC">
              <w:rPr>
                <w:sz w:val="22"/>
                <w:szCs w:val="22"/>
                <w:lang w:val="sr-Latn-RS"/>
              </w:rPr>
              <w:t>u</w:t>
            </w:r>
            <w:r w:rsidRPr="00C262AC">
              <w:rPr>
                <w:sz w:val="22"/>
                <w:szCs w:val="22"/>
                <w:lang w:val="sr-Latn-RS"/>
              </w:rPr>
              <w:t>zija, cerebrovaskularni događaj, sindrom karpalnog tunela</w:t>
            </w:r>
          </w:p>
        </w:tc>
      </w:tr>
      <w:tr w:rsidR="006E3F4D" w:rsidRPr="00C262AC" w14:paraId="333315EF"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4B5C68F3" w14:textId="77777777" w:rsidR="006E3F4D" w:rsidRPr="00C262AC" w:rsidRDefault="006E3F4D">
            <w:pPr>
              <w:pStyle w:val="NormalWeb"/>
              <w:jc w:val="both"/>
              <w:rPr>
                <w:sz w:val="22"/>
                <w:szCs w:val="22"/>
                <w:lang w:val="sr-Latn-RS"/>
              </w:rPr>
            </w:pPr>
            <w:r w:rsidRPr="00C262AC">
              <w:rPr>
                <w:b/>
                <w:bCs/>
                <w:sz w:val="22"/>
                <w:szCs w:val="22"/>
                <w:lang w:val="sr-Latn-RS"/>
              </w:rPr>
              <w:t>Poremećaji oka</w:t>
            </w:r>
          </w:p>
        </w:tc>
      </w:tr>
      <w:tr w:rsidR="006E3F4D" w:rsidRPr="00C262AC" w14:paraId="4C6AF2BF" w14:textId="77777777" w:rsidTr="00C02F5A">
        <w:trPr>
          <w:trHeight w:val="376"/>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49DD3BA1"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4745661B" w14:textId="77777777" w:rsidR="006E3F4D" w:rsidRPr="00C262AC" w:rsidRDefault="006E3F4D">
            <w:pPr>
              <w:pStyle w:val="NormalWeb"/>
              <w:jc w:val="both"/>
              <w:rPr>
                <w:sz w:val="22"/>
                <w:szCs w:val="22"/>
                <w:lang w:val="sr-Latn-RS"/>
              </w:rPr>
            </w:pPr>
            <w:r w:rsidRPr="00C262AC">
              <w:rPr>
                <w:sz w:val="22"/>
                <w:szCs w:val="22"/>
                <w:lang w:val="sr-Latn-RS"/>
              </w:rPr>
              <w:t>Katarakta, iritacija oka, zamućenje vida</w:t>
            </w:r>
          </w:p>
        </w:tc>
      </w:tr>
      <w:tr w:rsidR="006E3F4D" w:rsidRPr="00C262AC" w14:paraId="273C7186"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3DEF7A87" w14:textId="77777777" w:rsidR="006E3F4D" w:rsidRPr="00C262AC" w:rsidRDefault="006E3F4D">
            <w:pPr>
              <w:pStyle w:val="NormalWeb"/>
              <w:jc w:val="both"/>
              <w:rPr>
                <w:sz w:val="22"/>
                <w:szCs w:val="22"/>
                <w:lang w:val="sr-Latn-RS"/>
              </w:rPr>
            </w:pPr>
            <w:r w:rsidRPr="00C262AC">
              <w:rPr>
                <w:b/>
                <w:bCs/>
                <w:sz w:val="22"/>
                <w:szCs w:val="22"/>
                <w:lang w:val="sr-Latn-RS"/>
              </w:rPr>
              <w:t>Kardiološki poremećaji</w:t>
            </w:r>
          </w:p>
        </w:tc>
      </w:tr>
      <w:tr w:rsidR="006E3F4D" w:rsidRPr="00C262AC" w14:paraId="042A48F3" w14:textId="77777777" w:rsidTr="00C02F5A">
        <w:trPr>
          <w:trHeight w:val="381"/>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54DBEB68" w14:textId="77777777" w:rsidR="006E3F4D" w:rsidRPr="00C262AC" w:rsidRDefault="006E3F4D">
            <w:pPr>
              <w:pStyle w:val="NormalWeb"/>
              <w:jc w:val="both"/>
              <w:rPr>
                <w:sz w:val="22"/>
                <w:szCs w:val="22"/>
                <w:lang w:val="sr-Latn-RS"/>
              </w:rPr>
            </w:pPr>
            <w:r w:rsidRPr="00C262AC">
              <w:rPr>
                <w:sz w:val="22"/>
                <w:szCs w:val="22"/>
                <w:lang w:val="sr-Latn-RS"/>
              </w:rPr>
              <w:t xml:space="preserve">Često: </w:t>
            </w:r>
          </w:p>
          <w:p w14:paraId="13E2EACC"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03564AD0" w14:textId="77777777" w:rsidR="006E3F4D" w:rsidRPr="00C262AC" w:rsidRDefault="006E3F4D">
            <w:pPr>
              <w:pStyle w:val="NormalWeb"/>
              <w:jc w:val="both"/>
              <w:rPr>
                <w:sz w:val="22"/>
                <w:szCs w:val="22"/>
                <w:vertAlign w:val="superscript"/>
                <w:lang w:val="sr-Latn-RS"/>
              </w:rPr>
            </w:pPr>
            <w:r w:rsidRPr="00C262AC">
              <w:rPr>
                <w:sz w:val="22"/>
                <w:szCs w:val="22"/>
                <w:lang w:val="sr-Latn-RS"/>
              </w:rPr>
              <w:t>Palpitacije</w:t>
            </w:r>
            <w:r w:rsidRPr="00C262AC">
              <w:rPr>
                <w:sz w:val="22"/>
                <w:szCs w:val="22"/>
                <w:vertAlign w:val="superscript"/>
                <w:lang w:val="sr-Latn-RS"/>
              </w:rPr>
              <w:t>1</w:t>
            </w:r>
          </w:p>
          <w:p w14:paraId="2080B19B" w14:textId="77777777" w:rsidR="006E3F4D" w:rsidRPr="00C262AC" w:rsidRDefault="006E3F4D">
            <w:pPr>
              <w:pStyle w:val="NormalWeb"/>
              <w:jc w:val="both"/>
              <w:rPr>
                <w:sz w:val="22"/>
                <w:szCs w:val="22"/>
                <w:lang w:val="sr-Latn-RS"/>
              </w:rPr>
            </w:pPr>
            <w:r w:rsidRPr="00C262AC">
              <w:rPr>
                <w:sz w:val="22"/>
                <w:szCs w:val="22"/>
                <w:lang w:val="sr-Latn-RS"/>
              </w:rPr>
              <w:t>Tahikardija, neželjeni događaji vezani za ishemiju srca (uključujući pojavu nove ili pogoršanje postojeće angine, anginu koja zahtijeva hirušku intervenciju, infarkt miokarda i ishemija miokarda)</w:t>
            </w:r>
          </w:p>
        </w:tc>
      </w:tr>
      <w:tr w:rsidR="006E3F4D" w:rsidRPr="00C262AC" w14:paraId="7B564706"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653D4A3F" w14:textId="77777777" w:rsidR="006E3F4D" w:rsidRPr="00C262AC" w:rsidRDefault="006E3F4D">
            <w:pPr>
              <w:pStyle w:val="NormalWeb"/>
              <w:jc w:val="both"/>
              <w:rPr>
                <w:sz w:val="22"/>
                <w:szCs w:val="22"/>
                <w:lang w:val="sr-Latn-RS"/>
              </w:rPr>
            </w:pPr>
            <w:r w:rsidRPr="00C262AC">
              <w:rPr>
                <w:b/>
                <w:bCs/>
                <w:sz w:val="22"/>
                <w:szCs w:val="22"/>
                <w:lang w:val="sr-Latn-RS"/>
              </w:rPr>
              <w:t>Vaskularni poremećaji</w:t>
            </w:r>
          </w:p>
        </w:tc>
      </w:tr>
      <w:tr w:rsidR="006E3F4D" w:rsidRPr="00C262AC" w14:paraId="2CC04247"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37EF9FD9" w14:textId="77777777" w:rsidR="006E3F4D" w:rsidRPr="00C262AC" w:rsidRDefault="006E3F4D">
            <w:pPr>
              <w:pStyle w:val="NormalWeb"/>
              <w:jc w:val="both"/>
              <w:rPr>
                <w:sz w:val="22"/>
                <w:szCs w:val="22"/>
                <w:lang w:val="sr-Latn-RS"/>
              </w:rPr>
            </w:pPr>
            <w:r w:rsidRPr="00C262AC">
              <w:rPr>
                <w:sz w:val="22"/>
                <w:szCs w:val="22"/>
                <w:lang w:val="sr-Latn-RS"/>
              </w:rPr>
              <w:t>Veoma 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7ED42C9B" w14:textId="0E46FC2D" w:rsidR="006E3F4D" w:rsidRPr="00C262AC" w:rsidRDefault="006E3F4D">
            <w:pPr>
              <w:pStyle w:val="NormalWeb"/>
              <w:jc w:val="both"/>
              <w:rPr>
                <w:sz w:val="22"/>
                <w:szCs w:val="22"/>
                <w:lang w:val="sr-Latn-RS"/>
              </w:rPr>
            </w:pPr>
            <w:r w:rsidRPr="00C262AC">
              <w:rPr>
                <w:sz w:val="22"/>
                <w:szCs w:val="22"/>
                <w:lang w:val="sr-Latn-RS"/>
              </w:rPr>
              <w:t>Naleti vr</w:t>
            </w:r>
            <w:r w:rsidR="002626D6" w:rsidRPr="00C262AC">
              <w:rPr>
                <w:sz w:val="22"/>
                <w:szCs w:val="22"/>
                <w:lang w:val="sr-Latn-RS"/>
              </w:rPr>
              <w:t>ućine</w:t>
            </w:r>
          </w:p>
        </w:tc>
      </w:tr>
      <w:tr w:rsidR="006E3F4D" w:rsidRPr="00C262AC" w14:paraId="784AD3FD"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66BB5CF5"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3CEA0190" w14:textId="77777777" w:rsidR="006E3F4D" w:rsidRPr="00C262AC" w:rsidRDefault="006E3F4D">
            <w:pPr>
              <w:pStyle w:val="NormalWeb"/>
              <w:jc w:val="both"/>
              <w:rPr>
                <w:sz w:val="22"/>
                <w:szCs w:val="22"/>
                <w:lang w:val="sr-Latn-RS"/>
              </w:rPr>
            </w:pPr>
            <w:r w:rsidRPr="00C262AC">
              <w:rPr>
                <w:sz w:val="22"/>
                <w:szCs w:val="22"/>
                <w:lang w:val="sr-Latn-RS"/>
              </w:rPr>
              <w:t>Hipertenzija</w:t>
            </w:r>
          </w:p>
        </w:tc>
      </w:tr>
      <w:tr w:rsidR="006E3F4D" w:rsidRPr="00C262AC" w14:paraId="68ABA349"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69B39994"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2A17A898" w14:textId="77777777" w:rsidR="006E3F4D" w:rsidRPr="00C262AC" w:rsidRDefault="006E3F4D">
            <w:pPr>
              <w:pStyle w:val="NormalWeb"/>
              <w:jc w:val="both"/>
              <w:rPr>
                <w:sz w:val="22"/>
                <w:szCs w:val="22"/>
                <w:lang w:val="sr-Latn-RS"/>
              </w:rPr>
            </w:pPr>
            <w:r w:rsidRPr="00C262AC">
              <w:rPr>
                <w:sz w:val="22"/>
                <w:szCs w:val="22"/>
                <w:lang w:val="sr-Latn-RS"/>
              </w:rPr>
              <w:t xml:space="preserve">Tromboflebitis (uključujući tromboflebitis površinskih i dubokih vena) </w:t>
            </w:r>
          </w:p>
        </w:tc>
      </w:tr>
      <w:tr w:rsidR="006E3F4D" w:rsidRPr="00C262AC" w14:paraId="0B042149" w14:textId="77777777" w:rsidTr="00C02F5A">
        <w:trPr>
          <w:trHeight w:val="518"/>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1BA42015" w14:textId="77777777" w:rsidR="006E3F4D" w:rsidRPr="00C262AC" w:rsidRDefault="006E3F4D">
            <w:pPr>
              <w:pStyle w:val="NormalWeb"/>
              <w:jc w:val="both"/>
              <w:rPr>
                <w:sz w:val="22"/>
                <w:szCs w:val="22"/>
                <w:lang w:val="sr-Latn-RS"/>
              </w:rPr>
            </w:pPr>
            <w:r w:rsidRPr="00C262AC">
              <w:rPr>
                <w:sz w:val="22"/>
                <w:szCs w:val="22"/>
                <w:lang w:val="sr-Latn-RS"/>
              </w:rPr>
              <w:t>Rijetko:</w:t>
            </w:r>
          </w:p>
        </w:tc>
        <w:tc>
          <w:tcPr>
            <w:tcW w:w="7265" w:type="dxa"/>
            <w:gridSpan w:val="2"/>
            <w:tcBorders>
              <w:top w:val="outset" w:sz="6" w:space="0" w:color="auto"/>
              <w:left w:val="outset" w:sz="6" w:space="0" w:color="auto"/>
              <w:bottom w:val="outset" w:sz="6" w:space="0" w:color="auto"/>
              <w:right w:val="outset" w:sz="6" w:space="0" w:color="auto"/>
            </w:tcBorders>
            <w:hideMark/>
          </w:tcPr>
          <w:p w14:paraId="026F8313" w14:textId="77777777" w:rsidR="006E3F4D" w:rsidRPr="00C262AC" w:rsidRDefault="006E3F4D">
            <w:pPr>
              <w:pStyle w:val="NormalWeb"/>
              <w:jc w:val="both"/>
              <w:rPr>
                <w:sz w:val="22"/>
                <w:szCs w:val="22"/>
                <w:lang w:val="sr-Latn-RS"/>
              </w:rPr>
            </w:pPr>
            <w:r w:rsidRPr="00C262AC">
              <w:rPr>
                <w:sz w:val="22"/>
                <w:szCs w:val="22"/>
                <w:lang w:val="sr-Latn-RS"/>
              </w:rPr>
              <w:t>Plućna embolija, arterijska tromboza, cerebralni infarkt</w:t>
            </w:r>
          </w:p>
        </w:tc>
      </w:tr>
      <w:tr w:rsidR="006E3F4D" w:rsidRPr="00C262AC" w14:paraId="44DE7317"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387D9589" w14:textId="77777777" w:rsidR="006E3F4D" w:rsidRPr="00C262AC" w:rsidRDefault="006E3F4D">
            <w:pPr>
              <w:pStyle w:val="NormalWeb"/>
              <w:jc w:val="both"/>
              <w:rPr>
                <w:sz w:val="22"/>
                <w:szCs w:val="22"/>
                <w:lang w:val="sr-Latn-RS"/>
              </w:rPr>
            </w:pPr>
            <w:r w:rsidRPr="00C262AC">
              <w:rPr>
                <w:b/>
                <w:bCs/>
                <w:sz w:val="22"/>
                <w:szCs w:val="22"/>
                <w:lang w:val="sr-Latn-RS"/>
              </w:rPr>
              <w:t>Respiratorni, torakalni i medijastinalni poremećaji</w:t>
            </w:r>
          </w:p>
        </w:tc>
      </w:tr>
      <w:tr w:rsidR="006E3F4D" w:rsidRPr="00C262AC" w14:paraId="56AADCF0" w14:textId="77777777" w:rsidTr="00C02F5A">
        <w:trPr>
          <w:trHeight w:val="563"/>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24F20B1B"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74A0C4CD" w14:textId="77777777" w:rsidR="006E3F4D" w:rsidRPr="00C262AC" w:rsidRDefault="006E3F4D">
            <w:pPr>
              <w:pStyle w:val="NormalWeb"/>
              <w:jc w:val="both"/>
              <w:rPr>
                <w:sz w:val="22"/>
                <w:szCs w:val="22"/>
                <w:lang w:val="sr-Latn-RS"/>
              </w:rPr>
            </w:pPr>
            <w:r w:rsidRPr="00C262AC">
              <w:rPr>
                <w:sz w:val="22"/>
                <w:szCs w:val="22"/>
                <w:lang w:val="sr-Latn-RS"/>
              </w:rPr>
              <w:t>Dispneja, kašalj</w:t>
            </w:r>
          </w:p>
        </w:tc>
      </w:tr>
      <w:tr w:rsidR="006E3F4D" w:rsidRPr="00C262AC" w14:paraId="13171C8A"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73EAD5C0" w14:textId="77777777" w:rsidR="006E3F4D" w:rsidRPr="00C262AC" w:rsidRDefault="006E3F4D">
            <w:pPr>
              <w:pStyle w:val="NormalWeb"/>
              <w:jc w:val="both"/>
              <w:rPr>
                <w:sz w:val="22"/>
                <w:szCs w:val="22"/>
                <w:lang w:val="sr-Latn-RS"/>
              </w:rPr>
            </w:pPr>
            <w:r w:rsidRPr="00C262AC">
              <w:rPr>
                <w:b/>
                <w:bCs/>
                <w:sz w:val="22"/>
                <w:szCs w:val="22"/>
                <w:lang w:val="sr-Latn-RS"/>
              </w:rPr>
              <w:t>Gastrointestinalni poremećaji</w:t>
            </w:r>
          </w:p>
        </w:tc>
      </w:tr>
      <w:tr w:rsidR="006E3F4D" w:rsidRPr="00C262AC" w14:paraId="0CBC1256"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8AEA249"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5E94C7A6" w14:textId="686B75FB" w:rsidR="006E3F4D" w:rsidRPr="00C262AC" w:rsidRDefault="006E3F4D">
            <w:pPr>
              <w:pStyle w:val="NormalWeb"/>
              <w:jc w:val="both"/>
              <w:rPr>
                <w:sz w:val="22"/>
                <w:szCs w:val="22"/>
                <w:lang w:val="sr-Latn-RS"/>
              </w:rPr>
            </w:pPr>
            <w:r w:rsidRPr="00C262AC">
              <w:rPr>
                <w:sz w:val="22"/>
                <w:szCs w:val="22"/>
                <w:lang w:val="sr-Latn-RS"/>
              </w:rPr>
              <w:t>Mučnina, dispepsija</w:t>
            </w:r>
            <w:r w:rsidRPr="00C262AC">
              <w:rPr>
                <w:sz w:val="22"/>
                <w:szCs w:val="22"/>
                <w:vertAlign w:val="superscript"/>
                <w:lang w:val="sr-Latn-RS"/>
              </w:rPr>
              <w:t>1</w:t>
            </w:r>
            <w:r w:rsidRPr="00C262AC">
              <w:rPr>
                <w:sz w:val="22"/>
                <w:szCs w:val="22"/>
                <w:lang w:val="sr-Latn-RS"/>
              </w:rPr>
              <w:t>, konstipacija, abdom</w:t>
            </w:r>
            <w:r w:rsidR="002872F8" w:rsidRPr="00C262AC">
              <w:rPr>
                <w:sz w:val="22"/>
                <w:szCs w:val="22"/>
                <w:lang w:val="sr-Latn-RS"/>
              </w:rPr>
              <w:t>i</w:t>
            </w:r>
            <w:r w:rsidRPr="00C262AC">
              <w:rPr>
                <w:sz w:val="22"/>
                <w:szCs w:val="22"/>
                <w:lang w:val="sr-Latn-RS"/>
              </w:rPr>
              <w:t>n</w:t>
            </w:r>
            <w:r w:rsidR="002872F8" w:rsidRPr="00C262AC">
              <w:rPr>
                <w:sz w:val="22"/>
                <w:szCs w:val="22"/>
                <w:lang w:val="sr-Latn-RS"/>
              </w:rPr>
              <w:t>a</w:t>
            </w:r>
            <w:r w:rsidRPr="00C262AC">
              <w:rPr>
                <w:sz w:val="22"/>
                <w:szCs w:val="22"/>
                <w:lang w:val="sr-Latn-RS"/>
              </w:rPr>
              <w:t>lni bol, dijareja, povraćanje</w:t>
            </w:r>
          </w:p>
        </w:tc>
      </w:tr>
      <w:tr w:rsidR="006E3F4D" w:rsidRPr="00C262AC" w14:paraId="37D46103" w14:textId="77777777" w:rsidTr="00C02F5A">
        <w:trPr>
          <w:trHeight w:val="442"/>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2618175B"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0544B4AF" w14:textId="77777777" w:rsidR="006E3F4D" w:rsidRPr="00C262AC" w:rsidRDefault="006E3F4D">
            <w:pPr>
              <w:pStyle w:val="NormalWeb"/>
              <w:jc w:val="both"/>
              <w:rPr>
                <w:sz w:val="22"/>
                <w:szCs w:val="22"/>
                <w:lang w:val="sr-Latn-RS"/>
              </w:rPr>
            </w:pPr>
            <w:r w:rsidRPr="00C262AC">
              <w:rPr>
                <w:sz w:val="22"/>
                <w:szCs w:val="22"/>
                <w:lang w:val="sr-Latn-RS"/>
              </w:rPr>
              <w:t>Suva usta, stomatitis</w:t>
            </w:r>
            <w:r w:rsidRPr="00C262AC">
              <w:rPr>
                <w:sz w:val="22"/>
                <w:szCs w:val="22"/>
                <w:vertAlign w:val="superscript"/>
                <w:lang w:val="sr-Latn-RS"/>
              </w:rPr>
              <w:t>1</w:t>
            </w:r>
            <w:r w:rsidRPr="00C262AC">
              <w:rPr>
                <w:sz w:val="22"/>
                <w:szCs w:val="22"/>
                <w:lang w:val="sr-Latn-RS"/>
              </w:rPr>
              <w:t xml:space="preserve"> </w:t>
            </w:r>
          </w:p>
        </w:tc>
      </w:tr>
      <w:tr w:rsidR="006E3F4D" w:rsidRPr="00C262AC" w14:paraId="65A7E3CA"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699A75D9" w14:textId="77777777" w:rsidR="006E3F4D" w:rsidRPr="00C262AC" w:rsidRDefault="006E3F4D">
            <w:pPr>
              <w:pStyle w:val="NormalWeb"/>
              <w:jc w:val="both"/>
              <w:rPr>
                <w:sz w:val="22"/>
                <w:szCs w:val="22"/>
                <w:lang w:val="sr-Latn-RS"/>
              </w:rPr>
            </w:pPr>
            <w:r w:rsidRPr="00C262AC">
              <w:rPr>
                <w:b/>
                <w:bCs/>
                <w:sz w:val="22"/>
                <w:szCs w:val="22"/>
                <w:lang w:val="sr-Latn-RS"/>
              </w:rPr>
              <w:t>Hepatobilijarni poremećaji</w:t>
            </w:r>
          </w:p>
        </w:tc>
      </w:tr>
      <w:tr w:rsidR="006E3F4D" w:rsidRPr="00C262AC" w14:paraId="195C351D" w14:textId="77777777" w:rsidTr="00C02F5A">
        <w:trPr>
          <w:trHeight w:val="282"/>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4DAB40A"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0539E6E9" w14:textId="77777777" w:rsidR="006E3F4D" w:rsidRPr="00C262AC" w:rsidRDefault="006E3F4D">
            <w:pPr>
              <w:pStyle w:val="NormalWeb"/>
              <w:jc w:val="both"/>
              <w:rPr>
                <w:sz w:val="22"/>
                <w:szCs w:val="22"/>
                <w:lang w:val="sr-Latn-RS"/>
              </w:rPr>
            </w:pPr>
            <w:r w:rsidRPr="00C262AC">
              <w:rPr>
                <w:sz w:val="22"/>
                <w:szCs w:val="22"/>
                <w:lang w:val="sr-Latn-RS"/>
              </w:rPr>
              <w:t>Porast enzima jetre, hiperbilirubinemija, žutica</w:t>
            </w:r>
          </w:p>
        </w:tc>
      </w:tr>
      <w:tr w:rsidR="006E3F4D" w:rsidRPr="00C262AC" w14:paraId="34C4E88A" w14:textId="77777777" w:rsidTr="00C02F5A">
        <w:trPr>
          <w:trHeight w:val="399"/>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016E636B" w14:textId="77777777" w:rsidR="006E3F4D" w:rsidRPr="00C262AC" w:rsidRDefault="006E3F4D">
            <w:pPr>
              <w:pStyle w:val="NormalWeb"/>
              <w:jc w:val="both"/>
              <w:rPr>
                <w:sz w:val="22"/>
                <w:szCs w:val="22"/>
                <w:lang w:val="sr-Latn-RS"/>
              </w:rPr>
            </w:pPr>
            <w:r w:rsidRPr="00C262AC">
              <w:rPr>
                <w:sz w:val="22"/>
                <w:szCs w:val="22"/>
                <w:lang w:val="sr-Latn-RS"/>
              </w:rPr>
              <w:t>Nepoznato:</w:t>
            </w:r>
          </w:p>
        </w:tc>
        <w:tc>
          <w:tcPr>
            <w:tcW w:w="7265" w:type="dxa"/>
            <w:gridSpan w:val="2"/>
            <w:tcBorders>
              <w:top w:val="outset" w:sz="6" w:space="0" w:color="auto"/>
              <w:left w:val="outset" w:sz="6" w:space="0" w:color="auto"/>
              <w:bottom w:val="outset" w:sz="6" w:space="0" w:color="auto"/>
              <w:right w:val="outset" w:sz="6" w:space="0" w:color="auto"/>
            </w:tcBorders>
            <w:hideMark/>
          </w:tcPr>
          <w:p w14:paraId="02E8B719" w14:textId="77777777" w:rsidR="006E3F4D" w:rsidRPr="00C262AC" w:rsidRDefault="006E3F4D">
            <w:pPr>
              <w:pStyle w:val="NormalWeb"/>
              <w:jc w:val="both"/>
              <w:rPr>
                <w:sz w:val="22"/>
                <w:szCs w:val="22"/>
                <w:lang w:val="sr-Latn-RS"/>
              </w:rPr>
            </w:pPr>
            <w:r w:rsidRPr="00C262AC">
              <w:rPr>
                <w:sz w:val="22"/>
                <w:szCs w:val="22"/>
                <w:lang w:val="sr-Latn-RS"/>
              </w:rPr>
              <w:t>Hepatitis</w:t>
            </w:r>
          </w:p>
        </w:tc>
      </w:tr>
      <w:tr w:rsidR="006E3F4D" w:rsidRPr="00C262AC" w14:paraId="55D2139F"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0119CCCA" w14:textId="77777777" w:rsidR="006E3F4D" w:rsidRPr="00C262AC" w:rsidRDefault="006E3F4D">
            <w:pPr>
              <w:pStyle w:val="NormalWeb"/>
              <w:jc w:val="both"/>
              <w:rPr>
                <w:sz w:val="22"/>
                <w:szCs w:val="22"/>
                <w:lang w:val="sr-Latn-RS"/>
              </w:rPr>
            </w:pPr>
            <w:r w:rsidRPr="00C262AC">
              <w:rPr>
                <w:b/>
                <w:bCs/>
                <w:sz w:val="22"/>
                <w:szCs w:val="22"/>
                <w:lang w:val="sr-Latn-RS"/>
              </w:rPr>
              <w:t>Poremećaji kože i potkožnog tkiva</w:t>
            </w:r>
          </w:p>
        </w:tc>
      </w:tr>
      <w:tr w:rsidR="006E3F4D" w:rsidRPr="00C262AC" w14:paraId="303594DA"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7479FBA" w14:textId="77777777" w:rsidR="006E3F4D" w:rsidRPr="00C262AC" w:rsidRDefault="006E3F4D">
            <w:pPr>
              <w:pStyle w:val="NormalWeb"/>
              <w:jc w:val="both"/>
              <w:rPr>
                <w:sz w:val="22"/>
                <w:szCs w:val="22"/>
                <w:lang w:val="sr-Latn-RS"/>
              </w:rPr>
            </w:pPr>
            <w:r w:rsidRPr="00C262AC">
              <w:rPr>
                <w:sz w:val="22"/>
                <w:szCs w:val="22"/>
                <w:lang w:val="sr-Latn-RS"/>
              </w:rPr>
              <w:t>Veoma 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11C791EB" w14:textId="77777777" w:rsidR="006E3F4D" w:rsidRPr="00C262AC" w:rsidRDefault="006E3F4D">
            <w:pPr>
              <w:pStyle w:val="NormalWeb"/>
              <w:jc w:val="both"/>
              <w:rPr>
                <w:sz w:val="22"/>
                <w:szCs w:val="22"/>
                <w:lang w:val="sr-Latn-RS"/>
              </w:rPr>
            </w:pPr>
            <w:r w:rsidRPr="00C262AC">
              <w:rPr>
                <w:sz w:val="22"/>
                <w:szCs w:val="22"/>
                <w:lang w:val="sr-Latn-RS"/>
              </w:rPr>
              <w:t>Hiperhidroza</w:t>
            </w:r>
          </w:p>
        </w:tc>
      </w:tr>
      <w:tr w:rsidR="006E3F4D" w:rsidRPr="00C262AC" w14:paraId="75C932BA"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129C36AE"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0DEA6FA1" w14:textId="77777777" w:rsidR="006E3F4D" w:rsidRPr="00C262AC" w:rsidRDefault="006E3F4D">
            <w:pPr>
              <w:pStyle w:val="NormalWeb"/>
              <w:jc w:val="both"/>
              <w:rPr>
                <w:sz w:val="22"/>
                <w:szCs w:val="22"/>
                <w:lang w:val="sr-Latn-RS"/>
              </w:rPr>
            </w:pPr>
            <w:r w:rsidRPr="00C262AC">
              <w:rPr>
                <w:sz w:val="22"/>
                <w:szCs w:val="22"/>
                <w:lang w:val="sr-Latn-RS"/>
              </w:rPr>
              <w:t>Alopecija, osip (uključujući eritematozni, makulopapularni, psorijaziformni i vezikularni osip), suva koža</w:t>
            </w:r>
          </w:p>
        </w:tc>
      </w:tr>
      <w:tr w:rsidR="006E3F4D" w:rsidRPr="00C262AC" w14:paraId="00F10622" w14:textId="77777777" w:rsidTr="00C02F5A">
        <w:trPr>
          <w:trHeight w:val="422"/>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42ABEF19"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590070B7" w14:textId="77777777" w:rsidR="006E3F4D" w:rsidRPr="00C262AC" w:rsidRDefault="006E3F4D">
            <w:pPr>
              <w:pStyle w:val="NormalWeb"/>
              <w:jc w:val="both"/>
              <w:rPr>
                <w:sz w:val="22"/>
                <w:szCs w:val="22"/>
                <w:lang w:val="sr-Latn-RS"/>
              </w:rPr>
            </w:pPr>
            <w:r w:rsidRPr="00C262AC">
              <w:rPr>
                <w:bCs/>
                <w:sz w:val="22"/>
                <w:szCs w:val="22"/>
                <w:lang w:val="sr-Latn-RS"/>
              </w:rPr>
              <w:t>Svrab</w:t>
            </w:r>
            <w:r w:rsidRPr="00C262AC">
              <w:rPr>
                <w:sz w:val="22"/>
                <w:szCs w:val="22"/>
                <w:lang w:val="sr-Latn-RS"/>
              </w:rPr>
              <w:t>, urtikarija</w:t>
            </w:r>
          </w:p>
        </w:tc>
      </w:tr>
      <w:tr w:rsidR="006E3F4D" w:rsidRPr="00C262AC" w14:paraId="30CE4173" w14:textId="77777777" w:rsidTr="00C02F5A">
        <w:trPr>
          <w:trHeight w:val="517"/>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3984FE2D" w14:textId="77777777" w:rsidR="006E3F4D" w:rsidRPr="00C262AC" w:rsidRDefault="006E3F4D">
            <w:pPr>
              <w:pStyle w:val="NormalWeb"/>
              <w:jc w:val="both"/>
              <w:rPr>
                <w:sz w:val="22"/>
                <w:szCs w:val="22"/>
                <w:lang w:val="sr-Latn-RS"/>
              </w:rPr>
            </w:pPr>
            <w:r w:rsidRPr="00C262AC">
              <w:rPr>
                <w:sz w:val="22"/>
                <w:szCs w:val="22"/>
                <w:lang w:val="sr-Latn-RS"/>
              </w:rPr>
              <w:t>Nepoznato:</w:t>
            </w:r>
          </w:p>
        </w:tc>
        <w:tc>
          <w:tcPr>
            <w:tcW w:w="7265" w:type="dxa"/>
            <w:gridSpan w:val="2"/>
            <w:tcBorders>
              <w:top w:val="outset" w:sz="6" w:space="0" w:color="auto"/>
              <w:left w:val="outset" w:sz="6" w:space="0" w:color="auto"/>
              <w:bottom w:val="outset" w:sz="6" w:space="0" w:color="auto"/>
              <w:right w:val="outset" w:sz="6" w:space="0" w:color="auto"/>
            </w:tcBorders>
            <w:hideMark/>
          </w:tcPr>
          <w:p w14:paraId="3E17C430" w14:textId="77777777" w:rsidR="006E3F4D" w:rsidRPr="00C262AC" w:rsidRDefault="006E3F4D">
            <w:pPr>
              <w:pStyle w:val="NormalWeb"/>
              <w:jc w:val="both"/>
              <w:rPr>
                <w:bCs/>
                <w:sz w:val="22"/>
                <w:szCs w:val="22"/>
                <w:lang w:val="sr-Latn-RS"/>
              </w:rPr>
            </w:pPr>
            <w:r w:rsidRPr="00C262AC">
              <w:rPr>
                <w:bCs/>
                <w:sz w:val="22"/>
                <w:szCs w:val="22"/>
                <w:lang w:val="sr-Latn-RS"/>
              </w:rPr>
              <w:t>Angioedem, toksična epidermalna nekroliza, eritema multiforme</w:t>
            </w:r>
          </w:p>
        </w:tc>
      </w:tr>
      <w:tr w:rsidR="006E3F4D" w:rsidRPr="00C262AC" w14:paraId="036EA574"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73B1B4B6" w14:textId="77777777" w:rsidR="006E3F4D" w:rsidRPr="00C262AC" w:rsidRDefault="006E3F4D">
            <w:pPr>
              <w:pStyle w:val="NormalWeb"/>
              <w:jc w:val="both"/>
              <w:rPr>
                <w:sz w:val="22"/>
                <w:szCs w:val="22"/>
                <w:lang w:val="sr-Latn-RS"/>
              </w:rPr>
            </w:pPr>
            <w:r w:rsidRPr="00C262AC">
              <w:rPr>
                <w:b/>
                <w:bCs/>
                <w:sz w:val="22"/>
                <w:szCs w:val="22"/>
                <w:lang w:val="sr-Latn-RS"/>
              </w:rPr>
              <w:t>Poremećaji mišićno-koštanog i vezivnog tkiva</w:t>
            </w:r>
          </w:p>
        </w:tc>
      </w:tr>
      <w:tr w:rsidR="006E3F4D" w:rsidRPr="00C262AC" w14:paraId="1C2915CE"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46CE0604" w14:textId="77777777" w:rsidR="006E3F4D" w:rsidRPr="00C262AC" w:rsidRDefault="006E3F4D">
            <w:pPr>
              <w:pStyle w:val="NormalWeb"/>
              <w:jc w:val="both"/>
              <w:rPr>
                <w:sz w:val="22"/>
                <w:szCs w:val="22"/>
                <w:lang w:val="sr-Latn-RS"/>
              </w:rPr>
            </w:pPr>
            <w:r w:rsidRPr="00C262AC">
              <w:rPr>
                <w:sz w:val="22"/>
                <w:szCs w:val="22"/>
                <w:lang w:val="sr-Latn-RS"/>
              </w:rPr>
              <w:t>Veoma 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68C9AE1A" w14:textId="77777777" w:rsidR="006E3F4D" w:rsidRPr="00C262AC" w:rsidRDefault="006E3F4D">
            <w:pPr>
              <w:pStyle w:val="NormalWeb"/>
              <w:jc w:val="both"/>
              <w:rPr>
                <w:sz w:val="22"/>
                <w:szCs w:val="22"/>
                <w:lang w:val="sr-Latn-RS"/>
              </w:rPr>
            </w:pPr>
            <w:r w:rsidRPr="00C262AC">
              <w:rPr>
                <w:sz w:val="22"/>
                <w:szCs w:val="22"/>
                <w:lang w:val="sr-Latn-RS"/>
              </w:rPr>
              <w:t>Artralgija</w:t>
            </w:r>
          </w:p>
        </w:tc>
      </w:tr>
      <w:tr w:rsidR="006E3F4D" w:rsidRPr="00C262AC" w14:paraId="1126061B"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6F364B10"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10EA8CBE" w14:textId="77777777" w:rsidR="006E3F4D" w:rsidRPr="00C262AC" w:rsidRDefault="006E3F4D">
            <w:pPr>
              <w:pStyle w:val="NormalWeb"/>
              <w:jc w:val="both"/>
              <w:rPr>
                <w:sz w:val="22"/>
                <w:szCs w:val="22"/>
                <w:lang w:val="sr-Latn-RS"/>
              </w:rPr>
            </w:pPr>
            <w:r w:rsidRPr="00C262AC">
              <w:rPr>
                <w:sz w:val="22"/>
                <w:szCs w:val="22"/>
                <w:lang w:val="sr-Latn-RS"/>
              </w:rPr>
              <w:t>Mialgija, bol u kostima</w:t>
            </w:r>
            <w:r w:rsidRPr="00C262AC">
              <w:rPr>
                <w:sz w:val="22"/>
                <w:szCs w:val="22"/>
                <w:vertAlign w:val="superscript"/>
                <w:lang w:val="sr-Latn-RS"/>
              </w:rPr>
              <w:t>1</w:t>
            </w:r>
            <w:r w:rsidRPr="00C262AC">
              <w:rPr>
                <w:sz w:val="22"/>
                <w:szCs w:val="22"/>
                <w:lang w:val="sr-Latn-RS"/>
              </w:rPr>
              <w:t>, osteoporoza, frakture kostiju, artritis</w:t>
            </w:r>
          </w:p>
        </w:tc>
      </w:tr>
      <w:tr w:rsidR="00F12E13" w:rsidRPr="00C262AC" w14:paraId="7A764474" w14:textId="77777777" w:rsidTr="00F12E13">
        <w:trPr>
          <w:tblCellSpacing w:w="0" w:type="dxa"/>
        </w:trPr>
        <w:tc>
          <w:tcPr>
            <w:tcW w:w="1799" w:type="dxa"/>
            <w:tcBorders>
              <w:top w:val="outset" w:sz="6" w:space="0" w:color="auto"/>
              <w:left w:val="outset" w:sz="6" w:space="0" w:color="auto"/>
              <w:bottom w:val="outset" w:sz="6" w:space="0" w:color="auto"/>
              <w:right w:val="outset" w:sz="6" w:space="0" w:color="auto"/>
            </w:tcBorders>
          </w:tcPr>
          <w:p w14:paraId="28CE6F81" w14:textId="39423238" w:rsidR="00F12E13" w:rsidRPr="00C262AC" w:rsidRDefault="00F12E13" w:rsidP="00772338">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tcPr>
          <w:p w14:paraId="12985EB7" w14:textId="3DFEBB2B" w:rsidR="00F12E13" w:rsidRPr="00C262AC" w:rsidRDefault="00F12E13" w:rsidP="00772338">
            <w:pPr>
              <w:pStyle w:val="NormalWeb"/>
              <w:jc w:val="both"/>
              <w:rPr>
                <w:sz w:val="22"/>
                <w:szCs w:val="22"/>
                <w:lang w:val="sr-Latn-RS"/>
              </w:rPr>
            </w:pPr>
            <w:r w:rsidRPr="00C262AC">
              <w:rPr>
                <w:sz w:val="22"/>
                <w:szCs w:val="22"/>
                <w:lang w:val="sr-Latn-RS"/>
              </w:rPr>
              <w:t>Teniditis</w:t>
            </w:r>
          </w:p>
        </w:tc>
      </w:tr>
      <w:tr w:rsidR="00F12E13" w:rsidRPr="00C262AC" w14:paraId="6BE97007" w14:textId="77777777" w:rsidTr="00F12E13">
        <w:trPr>
          <w:tblCellSpacing w:w="0" w:type="dxa"/>
        </w:trPr>
        <w:tc>
          <w:tcPr>
            <w:tcW w:w="1799" w:type="dxa"/>
            <w:tcBorders>
              <w:top w:val="outset" w:sz="6" w:space="0" w:color="auto"/>
              <w:left w:val="outset" w:sz="6" w:space="0" w:color="auto"/>
              <w:bottom w:val="outset" w:sz="6" w:space="0" w:color="auto"/>
              <w:right w:val="outset" w:sz="6" w:space="0" w:color="auto"/>
            </w:tcBorders>
          </w:tcPr>
          <w:p w14:paraId="55749BEA" w14:textId="3C5C0372" w:rsidR="00F12E13" w:rsidRPr="00C262AC" w:rsidRDefault="00F12E13" w:rsidP="00772338">
            <w:pPr>
              <w:pStyle w:val="NormalWeb"/>
              <w:jc w:val="both"/>
              <w:rPr>
                <w:sz w:val="22"/>
                <w:szCs w:val="22"/>
                <w:lang w:val="sr-Latn-RS"/>
              </w:rPr>
            </w:pPr>
            <w:r w:rsidRPr="00C262AC">
              <w:rPr>
                <w:sz w:val="22"/>
                <w:szCs w:val="22"/>
                <w:lang w:val="sr-Latn-RS"/>
              </w:rPr>
              <w:t>Rijetko:</w:t>
            </w:r>
          </w:p>
        </w:tc>
        <w:tc>
          <w:tcPr>
            <w:tcW w:w="7265" w:type="dxa"/>
            <w:gridSpan w:val="2"/>
            <w:tcBorders>
              <w:top w:val="outset" w:sz="6" w:space="0" w:color="auto"/>
              <w:left w:val="outset" w:sz="6" w:space="0" w:color="auto"/>
              <w:bottom w:val="outset" w:sz="6" w:space="0" w:color="auto"/>
              <w:right w:val="outset" w:sz="6" w:space="0" w:color="auto"/>
            </w:tcBorders>
          </w:tcPr>
          <w:p w14:paraId="758E3739" w14:textId="3E957B4E" w:rsidR="00F12E13" w:rsidRPr="00C262AC" w:rsidRDefault="00F12E13" w:rsidP="00772338">
            <w:pPr>
              <w:pStyle w:val="NormalWeb"/>
              <w:jc w:val="both"/>
              <w:rPr>
                <w:sz w:val="22"/>
                <w:szCs w:val="22"/>
                <w:lang w:val="sr-Latn-RS"/>
              </w:rPr>
            </w:pPr>
            <w:r w:rsidRPr="00C262AC">
              <w:rPr>
                <w:sz w:val="22"/>
                <w:szCs w:val="22"/>
                <w:lang w:val="sr-Latn-RS"/>
              </w:rPr>
              <w:t>Ruptura tetive</w:t>
            </w:r>
          </w:p>
        </w:tc>
      </w:tr>
      <w:tr w:rsidR="006E3F4D" w:rsidRPr="00C262AC" w14:paraId="7A855FAF" w14:textId="77777777" w:rsidTr="00C02F5A">
        <w:trPr>
          <w:trHeight w:val="495"/>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AC4EC4F" w14:textId="77777777" w:rsidR="006E3F4D" w:rsidRPr="00C262AC" w:rsidRDefault="006E3F4D">
            <w:pPr>
              <w:pStyle w:val="NormalWeb"/>
              <w:jc w:val="both"/>
              <w:rPr>
                <w:sz w:val="22"/>
                <w:szCs w:val="22"/>
                <w:lang w:val="sr-Latn-RS"/>
              </w:rPr>
            </w:pPr>
            <w:r w:rsidRPr="00C262AC">
              <w:rPr>
                <w:sz w:val="22"/>
                <w:szCs w:val="22"/>
                <w:lang w:val="sr-Latn-RS"/>
              </w:rPr>
              <w:t>Nepoznato:</w:t>
            </w:r>
          </w:p>
        </w:tc>
        <w:tc>
          <w:tcPr>
            <w:tcW w:w="7265" w:type="dxa"/>
            <w:gridSpan w:val="2"/>
            <w:tcBorders>
              <w:top w:val="outset" w:sz="6" w:space="0" w:color="auto"/>
              <w:left w:val="outset" w:sz="6" w:space="0" w:color="auto"/>
              <w:bottom w:val="outset" w:sz="6" w:space="0" w:color="auto"/>
              <w:right w:val="outset" w:sz="6" w:space="0" w:color="auto"/>
            </w:tcBorders>
            <w:hideMark/>
          </w:tcPr>
          <w:p w14:paraId="6FAA7CDF" w14:textId="77777777" w:rsidR="006E3F4D" w:rsidRPr="00C262AC" w:rsidRDefault="006E3F4D">
            <w:pPr>
              <w:pStyle w:val="NormalWeb"/>
              <w:jc w:val="both"/>
              <w:rPr>
                <w:sz w:val="22"/>
                <w:szCs w:val="22"/>
                <w:lang w:val="sr-Latn-RS"/>
              </w:rPr>
            </w:pPr>
            <w:r w:rsidRPr="00C262AC">
              <w:rPr>
                <w:noProof/>
                <w:sz w:val="22"/>
                <w:szCs w:val="22"/>
                <w:lang w:val="sr-Latn-RS"/>
              </w:rPr>
              <w:t>Okidajući prst/škljocavi prst</w:t>
            </w:r>
          </w:p>
        </w:tc>
      </w:tr>
      <w:tr w:rsidR="006E3F4D" w:rsidRPr="00C262AC" w14:paraId="5450C055"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69B4B355" w14:textId="77777777" w:rsidR="006E3F4D" w:rsidRPr="00C262AC" w:rsidRDefault="006E3F4D">
            <w:pPr>
              <w:pStyle w:val="NormalWeb"/>
              <w:jc w:val="both"/>
              <w:rPr>
                <w:sz w:val="22"/>
                <w:szCs w:val="22"/>
                <w:lang w:val="sr-Latn-RS"/>
              </w:rPr>
            </w:pPr>
            <w:r w:rsidRPr="00C262AC">
              <w:rPr>
                <w:b/>
                <w:bCs/>
                <w:sz w:val="22"/>
                <w:szCs w:val="22"/>
                <w:lang w:val="sr-Latn-RS"/>
              </w:rPr>
              <w:t>Poremećaji bubrega i urinarnog sistema</w:t>
            </w:r>
          </w:p>
        </w:tc>
      </w:tr>
      <w:tr w:rsidR="006E3F4D" w:rsidRPr="00C262AC" w14:paraId="0958CDE0" w14:textId="77777777" w:rsidTr="00C02F5A">
        <w:trPr>
          <w:trHeight w:val="436"/>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38EF71C5"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54EC53D4" w14:textId="77777777" w:rsidR="006E3F4D" w:rsidRPr="00C262AC" w:rsidRDefault="006E3F4D">
            <w:pPr>
              <w:pStyle w:val="NormalWeb"/>
              <w:jc w:val="both"/>
              <w:rPr>
                <w:sz w:val="22"/>
                <w:szCs w:val="22"/>
                <w:lang w:val="sr-Latn-RS"/>
              </w:rPr>
            </w:pPr>
            <w:r w:rsidRPr="00C262AC">
              <w:rPr>
                <w:noProof/>
                <w:sz w:val="22"/>
                <w:szCs w:val="22"/>
                <w:lang w:val="sr-Latn-RS"/>
              </w:rPr>
              <w:t>Polakiurija</w:t>
            </w:r>
          </w:p>
        </w:tc>
      </w:tr>
      <w:tr w:rsidR="006E3F4D" w:rsidRPr="00C262AC" w14:paraId="336DD720"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2EDEC665" w14:textId="77777777" w:rsidR="006E3F4D" w:rsidRPr="00C262AC" w:rsidRDefault="006E3F4D">
            <w:pPr>
              <w:pStyle w:val="NormalWeb"/>
              <w:jc w:val="both"/>
              <w:rPr>
                <w:sz w:val="22"/>
                <w:szCs w:val="22"/>
                <w:lang w:val="sr-Latn-RS"/>
              </w:rPr>
            </w:pPr>
            <w:r w:rsidRPr="00C262AC">
              <w:rPr>
                <w:b/>
                <w:bCs/>
                <w:sz w:val="22"/>
                <w:szCs w:val="22"/>
                <w:lang w:val="sr-Latn-RS"/>
              </w:rPr>
              <w:t>Poremećaji reproduktivnog sistema i dojki</w:t>
            </w:r>
          </w:p>
        </w:tc>
      </w:tr>
      <w:tr w:rsidR="006E3F4D" w:rsidRPr="00C262AC" w14:paraId="0E6FEBBE" w14:textId="77777777" w:rsidTr="00C02F5A">
        <w:trPr>
          <w:trHeight w:val="345"/>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17E2B694"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6F82F7F9" w14:textId="5444FFFF" w:rsidR="006E3F4D" w:rsidRPr="00C262AC" w:rsidRDefault="006E3F4D">
            <w:pPr>
              <w:pStyle w:val="NormalWeb"/>
              <w:jc w:val="both"/>
              <w:rPr>
                <w:sz w:val="22"/>
                <w:szCs w:val="22"/>
                <w:lang w:val="sr-Latn-RS"/>
              </w:rPr>
            </w:pPr>
            <w:r w:rsidRPr="00C262AC">
              <w:rPr>
                <w:sz w:val="22"/>
                <w:szCs w:val="22"/>
                <w:lang w:val="sr-Latn-RS"/>
              </w:rPr>
              <w:t xml:space="preserve">Vaginalne </w:t>
            </w:r>
            <w:r w:rsidRPr="00C262AC">
              <w:rPr>
                <w:noProof/>
                <w:sz w:val="22"/>
                <w:szCs w:val="22"/>
                <w:lang w:val="sr-Latn-RS"/>
              </w:rPr>
              <w:t>hemoragije</w:t>
            </w:r>
          </w:p>
        </w:tc>
      </w:tr>
      <w:tr w:rsidR="006E3F4D" w:rsidRPr="00C262AC" w14:paraId="210D716A" w14:textId="77777777" w:rsidTr="00C02F5A">
        <w:trPr>
          <w:trHeight w:val="565"/>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6B39B3B" w14:textId="77777777" w:rsidR="006E3F4D" w:rsidRPr="00C262AC" w:rsidRDefault="006E3F4D">
            <w:pPr>
              <w:pStyle w:val="NormalWeb"/>
              <w:jc w:val="both"/>
              <w:rPr>
                <w:sz w:val="22"/>
                <w:szCs w:val="22"/>
                <w:lang w:val="sr-Latn-RS"/>
              </w:rPr>
            </w:pPr>
            <w:r w:rsidRPr="00C262AC">
              <w:rPr>
                <w:sz w:val="22"/>
                <w:szCs w:val="22"/>
                <w:lang w:val="sr-Latn-RS"/>
              </w:rPr>
              <w:lastRenderedPageBreak/>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63572403" w14:textId="77777777" w:rsidR="006E3F4D" w:rsidRPr="00C262AC" w:rsidRDefault="006E3F4D">
            <w:pPr>
              <w:pStyle w:val="NormalWeb"/>
              <w:jc w:val="both"/>
              <w:rPr>
                <w:sz w:val="22"/>
                <w:szCs w:val="22"/>
                <w:lang w:val="sr-Latn-RS"/>
              </w:rPr>
            </w:pPr>
            <w:r w:rsidRPr="00C262AC">
              <w:rPr>
                <w:sz w:val="22"/>
                <w:szCs w:val="22"/>
                <w:lang w:val="sr-Latn-RS"/>
              </w:rPr>
              <w:t xml:space="preserve">Vaginalni sekret, </w:t>
            </w:r>
            <w:r w:rsidRPr="00C262AC">
              <w:rPr>
                <w:noProof/>
                <w:sz w:val="22"/>
                <w:szCs w:val="22"/>
                <w:lang w:val="sr-Latn-RS"/>
              </w:rPr>
              <w:t>vulvovaginalna</w:t>
            </w:r>
            <w:r w:rsidRPr="00C262AC">
              <w:rPr>
                <w:sz w:val="22"/>
                <w:szCs w:val="22"/>
                <w:lang w:val="sr-Latn-RS"/>
              </w:rPr>
              <w:t xml:space="preserve"> suvoća, bol u dojkama</w:t>
            </w:r>
          </w:p>
        </w:tc>
      </w:tr>
      <w:tr w:rsidR="006E3F4D" w:rsidRPr="00C262AC" w14:paraId="65FA5DAF"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1BC4BFAF" w14:textId="77777777" w:rsidR="006E3F4D" w:rsidRPr="00C262AC" w:rsidRDefault="006E3F4D">
            <w:pPr>
              <w:pStyle w:val="NormalWeb"/>
              <w:jc w:val="both"/>
              <w:rPr>
                <w:sz w:val="22"/>
                <w:szCs w:val="22"/>
                <w:lang w:val="sr-Latn-RS"/>
              </w:rPr>
            </w:pPr>
            <w:r w:rsidRPr="00C262AC">
              <w:rPr>
                <w:b/>
                <w:bCs/>
                <w:sz w:val="22"/>
                <w:szCs w:val="22"/>
                <w:lang w:val="sr-Latn-RS"/>
              </w:rPr>
              <w:t>Opšti poremećaji i reakcije na mjestu primjene</w:t>
            </w:r>
          </w:p>
        </w:tc>
      </w:tr>
      <w:tr w:rsidR="006E3F4D" w:rsidRPr="00C262AC" w14:paraId="5192F8C2"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50E8FCDB" w14:textId="77777777" w:rsidR="006E3F4D" w:rsidRPr="00C262AC" w:rsidRDefault="006E3F4D">
            <w:pPr>
              <w:pStyle w:val="NormalWeb"/>
              <w:jc w:val="both"/>
              <w:rPr>
                <w:sz w:val="22"/>
                <w:szCs w:val="22"/>
                <w:lang w:val="sr-Latn-RS"/>
              </w:rPr>
            </w:pPr>
            <w:r w:rsidRPr="00C262AC">
              <w:rPr>
                <w:sz w:val="22"/>
                <w:szCs w:val="22"/>
                <w:lang w:val="sr-Latn-RS"/>
              </w:rPr>
              <w:t>Veoma 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1539482F" w14:textId="77777777" w:rsidR="006E3F4D" w:rsidRPr="00C262AC" w:rsidRDefault="006E3F4D">
            <w:pPr>
              <w:pStyle w:val="NormalWeb"/>
              <w:jc w:val="both"/>
              <w:rPr>
                <w:sz w:val="22"/>
                <w:szCs w:val="22"/>
                <w:lang w:val="sr-Latn-RS"/>
              </w:rPr>
            </w:pPr>
            <w:r w:rsidRPr="00C262AC">
              <w:rPr>
                <w:sz w:val="22"/>
                <w:szCs w:val="22"/>
                <w:lang w:val="sr-Latn-RS"/>
              </w:rPr>
              <w:t>Zamor (uključujući asteniju, malaksalost)</w:t>
            </w:r>
          </w:p>
        </w:tc>
      </w:tr>
      <w:tr w:rsidR="006E3F4D" w:rsidRPr="00C262AC" w14:paraId="75D105A0"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0E5E0179"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476B2E03" w14:textId="77777777" w:rsidR="006E3F4D" w:rsidRPr="00C262AC" w:rsidRDefault="006E3F4D">
            <w:pPr>
              <w:pStyle w:val="NormalWeb"/>
              <w:jc w:val="both"/>
              <w:rPr>
                <w:sz w:val="22"/>
                <w:szCs w:val="22"/>
                <w:lang w:val="sr-Latn-RS"/>
              </w:rPr>
            </w:pPr>
            <w:r w:rsidRPr="00C262AC">
              <w:rPr>
                <w:sz w:val="22"/>
                <w:szCs w:val="22"/>
                <w:lang w:val="sr-Latn-RS"/>
              </w:rPr>
              <w:t xml:space="preserve">Periferni edem, </w:t>
            </w:r>
            <w:r w:rsidRPr="00C262AC">
              <w:rPr>
                <w:color w:val="000000"/>
                <w:sz w:val="22"/>
                <w:szCs w:val="22"/>
                <w:lang w:val="sr-Latn-RS" w:eastAsia="sr-Latn-RS"/>
              </w:rPr>
              <w:t>bol u grudima</w:t>
            </w:r>
          </w:p>
        </w:tc>
      </w:tr>
      <w:tr w:rsidR="006E3F4D" w:rsidRPr="00C262AC" w14:paraId="7677415D" w14:textId="77777777" w:rsidTr="00C02F5A">
        <w:trPr>
          <w:trHeight w:val="491"/>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6ED1B179"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7D9273F4" w14:textId="77777777" w:rsidR="006E3F4D" w:rsidRPr="00C262AC" w:rsidRDefault="006E3F4D">
            <w:pPr>
              <w:pStyle w:val="NormalWeb"/>
              <w:jc w:val="both"/>
              <w:rPr>
                <w:sz w:val="22"/>
                <w:szCs w:val="22"/>
                <w:lang w:val="sr-Latn-RS"/>
              </w:rPr>
            </w:pPr>
            <w:r w:rsidRPr="00C262AC">
              <w:rPr>
                <w:sz w:val="22"/>
                <w:szCs w:val="22"/>
                <w:lang w:val="sr-Latn-RS"/>
              </w:rPr>
              <w:t>Generalizovan edem, suvoća mukoze, žeđ, pireksija</w:t>
            </w:r>
          </w:p>
        </w:tc>
      </w:tr>
      <w:tr w:rsidR="006E3F4D" w:rsidRPr="00C262AC" w14:paraId="7D09C636" w14:textId="77777777" w:rsidTr="00C02F5A">
        <w:trPr>
          <w:tblCellSpacing w:w="0" w:type="dxa"/>
        </w:trPr>
        <w:tc>
          <w:tcPr>
            <w:tcW w:w="9064" w:type="dxa"/>
            <w:gridSpan w:val="3"/>
            <w:tcBorders>
              <w:top w:val="outset" w:sz="6" w:space="0" w:color="auto"/>
              <w:left w:val="outset" w:sz="6" w:space="0" w:color="auto"/>
              <w:bottom w:val="outset" w:sz="6" w:space="0" w:color="auto"/>
              <w:right w:val="outset" w:sz="6" w:space="0" w:color="auto"/>
            </w:tcBorders>
            <w:hideMark/>
          </w:tcPr>
          <w:p w14:paraId="58137203" w14:textId="77777777" w:rsidR="006E3F4D" w:rsidRPr="00C262AC" w:rsidRDefault="006E3F4D">
            <w:pPr>
              <w:pStyle w:val="NormalWeb"/>
              <w:jc w:val="both"/>
              <w:rPr>
                <w:sz w:val="22"/>
                <w:szCs w:val="22"/>
                <w:lang w:val="sr-Latn-RS"/>
              </w:rPr>
            </w:pPr>
            <w:r w:rsidRPr="00C262AC">
              <w:rPr>
                <w:b/>
                <w:bCs/>
                <w:sz w:val="22"/>
                <w:szCs w:val="22"/>
                <w:lang w:val="sr-Latn-RS"/>
              </w:rPr>
              <w:t>Ispitivanja</w:t>
            </w:r>
          </w:p>
        </w:tc>
      </w:tr>
      <w:tr w:rsidR="006E3F4D" w:rsidRPr="00C262AC" w14:paraId="6D47676D"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7B05FFBF" w14:textId="77777777" w:rsidR="006E3F4D" w:rsidRPr="00C262AC" w:rsidRDefault="006E3F4D">
            <w:pPr>
              <w:pStyle w:val="NormalWeb"/>
              <w:jc w:val="both"/>
              <w:rPr>
                <w:sz w:val="22"/>
                <w:szCs w:val="22"/>
                <w:lang w:val="sr-Latn-RS"/>
              </w:rPr>
            </w:pPr>
            <w:r w:rsidRPr="00C262AC">
              <w:rPr>
                <w:sz w:val="22"/>
                <w:szCs w:val="22"/>
                <w:lang w:val="sr-Latn-RS"/>
              </w:rPr>
              <w:t>Često:</w:t>
            </w:r>
          </w:p>
        </w:tc>
        <w:tc>
          <w:tcPr>
            <w:tcW w:w="7265" w:type="dxa"/>
            <w:gridSpan w:val="2"/>
            <w:tcBorders>
              <w:top w:val="outset" w:sz="6" w:space="0" w:color="auto"/>
              <w:left w:val="outset" w:sz="6" w:space="0" w:color="auto"/>
              <w:bottom w:val="outset" w:sz="6" w:space="0" w:color="auto"/>
              <w:right w:val="outset" w:sz="6" w:space="0" w:color="auto"/>
            </w:tcBorders>
            <w:hideMark/>
          </w:tcPr>
          <w:p w14:paraId="30314596" w14:textId="77777777" w:rsidR="006E3F4D" w:rsidRPr="00C262AC" w:rsidRDefault="006E3F4D">
            <w:pPr>
              <w:pStyle w:val="NormalWeb"/>
              <w:jc w:val="both"/>
              <w:rPr>
                <w:sz w:val="22"/>
                <w:szCs w:val="22"/>
                <w:lang w:val="sr-Latn-RS"/>
              </w:rPr>
            </w:pPr>
            <w:r w:rsidRPr="00C262AC">
              <w:rPr>
                <w:sz w:val="22"/>
                <w:szCs w:val="22"/>
                <w:lang w:val="sr-Latn-RS"/>
              </w:rPr>
              <w:t>Porast tjelesne mase</w:t>
            </w:r>
          </w:p>
        </w:tc>
      </w:tr>
      <w:tr w:rsidR="006E3F4D" w:rsidRPr="00C262AC" w14:paraId="1D2A23AE" w14:textId="77777777" w:rsidTr="00C02F5A">
        <w:trPr>
          <w:tblCellSpacing w:w="0" w:type="dxa"/>
        </w:trPr>
        <w:tc>
          <w:tcPr>
            <w:tcW w:w="1799" w:type="dxa"/>
            <w:tcBorders>
              <w:top w:val="outset" w:sz="6" w:space="0" w:color="auto"/>
              <w:left w:val="outset" w:sz="6" w:space="0" w:color="auto"/>
              <w:bottom w:val="outset" w:sz="6" w:space="0" w:color="auto"/>
              <w:right w:val="outset" w:sz="6" w:space="0" w:color="auto"/>
            </w:tcBorders>
            <w:hideMark/>
          </w:tcPr>
          <w:p w14:paraId="6757BBED" w14:textId="77777777" w:rsidR="006E3F4D" w:rsidRPr="00C262AC" w:rsidRDefault="006E3F4D">
            <w:pPr>
              <w:pStyle w:val="NormalWeb"/>
              <w:jc w:val="both"/>
              <w:rPr>
                <w:sz w:val="22"/>
                <w:szCs w:val="22"/>
                <w:lang w:val="sr-Latn-RS"/>
              </w:rPr>
            </w:pPr>
            <w:r w:rsidRPr="00C262AC">
              <w:rPr>
                <w:sz w:val="22"/>
                <w:szCs w:val="22"/>
                <w:lang w:val="sr-Latn-RS"/>
              </w:rPr>
              <w:t>Povremeno:</w:t>
            </w:r>
          </w:p>
        </w:tc>
        <w:tc>
          <w:tcPr>
            <w:tcW w:w="7265" w:type="dxa"/>
            <w:gridSpan w:val="2"/>
            <w:tcBorders>
              <w:top w:val="outset" w:sz="6" w:space="0" w:color="auto"/>
              <w:left w:val="outset" w:sz="6" w:space="0" w:color="auto"/>
              <w:bottom w:val="outset" w:sz="6" w:space="0" w:color="auto"/>
              <w:right w:val="outset" w:sz="6" w:space="0" w:color="auto"/>
            </w:tcBorders>
            <w:hideMark/>
          </w:tcPr>
          <w:p w14:paraId="2BD172B4" w14:textId="77777777" w:rsidR="006E3F4D" w:rsidRPr="00C262AC" w:rsidRDefault="006E3F4D">
            <w:pPr>
              <w:pStyle w:val="NormalWeb"/>
              <w:jc w:val="both"/>
              <w:rPr>
                <w:sz w:val="22"/>
                <w:szCs w:val="22"/>
                <w:lang w:val="sr-Latn-RS"/>
              </w:rPr>
            </w:pPr>
            <w:r w:rsidRPr="00C262AC">
              <w:rPr>
                <w:sz w:val="22"/>
                <w:szCs w:val="22"/>
                <w:lang w:val="sr-Latn-RS"/>
              </w:rPr>
              <w:t>Smanjenje tjelesne mase</w:t>
            </w:r>
          </w:p>
        </w:tc>
      </w:tr>
    </w:tbl>
    <w:p w14:paraId="74A79E34" w14:textId="77777777" w:rsidR="006E3F4D" w:rsidRPr="00C262AC" w:rsidRDefault="006E3F4D">
      <w:pPr>
        <w:pStyle w:val="Header"/>
        <w:tabs>
          <w:tab w:val="left" w:pos="284"/>
        </w:tabs>
        <w:jc w:val="both"/>
        <w:rPr>
          <w:sz w:val="22"/>
          <w:szCs w:val="22"/>
          <w:lang w:val="sr-Latn-RS"/>
        </w:rPr>
      </w:pPr>
      <w:r w:rsidRPr="00C262AC">
        <w:rPr>
          <w:sz w:val="22"/>
          <w:szCs w:val="22"/>
          <w:vertAlign w:val="superscript"/>
          <w:lang w:val="sr-Latn-RS"/>
        </w:rPr>
        <w:t>1</w:t>
      </w:r>
      <w:r w:rsidRPr="00C262AC">
        <w:rPr>
          <w:sz w:val="22"/>
          <w:szCs w:val="22"/>
          <w:lang w:val="sr-Latn-RS"/>
        </w:rPr>
        <w:t xml:space="preserve"> Neželjene reakcije prijavljene samo kod pacijenata sa metastazama</w:t>
      </w:r>
    </w:p>
    <w:p w14:paraId="5D6D227B" w14:textId="77777777" w:rsidR="006E3F4D" w:rsidRPr="00C262AC" w:rsidRDefault="006E3F4D">
      <w:pPr>
        <w:pStyle w:val="Header"/>
        <w:jc w:val="both"/>
        <w:rPr>
          <w:sz w:val="22"/>
          <w:szCs w:val="22"/>
          <w:lang w:val="sr-Latn-RS"/>
        </w:rPr>
      </w:pPr>
    </w:p>
    <w:p w14:paraId="3ED0B09C" w14:textId="6CCB9D5E" w:rsidR="006E3F4D" w:rsidRPr="00C262AC" w:rsidRDefault="006E3F4D">
      <w:pPr>
        <w:pStyle w:val="Header"/>
        <w:jc w:val="both"/>
        <w:rPr>
          <w:sz w:val="22"/>
          <w:szCs w:val="22"/>
          <w:lang w:val="sr-Latn-RS"/>
        </w:rPr>
      </w:pPr>
      <w:r w:rsidRPr="00C262AC">
        <w:rPr>
          <w:sz w:val="22"/>
          <w:szCs w:val="22"/>
          <w:lang w:val="sr-Latn-RS"/>
        </w:rPr>
        <w:t>Neke neželjene reakcije su prijavljene sa značajno različitom učestalošću kod primjene letrozola kao adjuvantne terapije. U narednim tabelama prikazane su informacije o značajnim razlikama u primjeni lijeka Femozol u odnosu na monoterapiju tamoksifenom i Femozol-tamoksifen sekvencijalnu terapiju:</w:t>
      </w:r>
    </w:p>
    <w:p w14:paraId="67142809" w14:textId="77777777" w:rsidR="006E3F4D" w:rsidRPr="00C262AC" w:rsidRDefault="006E3F4D">
      <w:pPr>
        <w:pStyle w:val="Header"/>
        <w:jc w:val="both"/>
        <w:rPr>
          <w:sz w:val="22"/>
          <w:szCs w:val="22"/>
          <w:lang w:val="sr-Latn-RS"/>
        </w:rPr>
      </w:pPr>
    </w:p>
    <w:p w14:paraId="37B5FE57" w14:textId="4F1AFFE1" w:rsidR="006E3F4D" w:rsidRPr="00C262AC" w:rsidRDefault="006E3F4D">
      <w:pPr>
        <w:pStyle w:val="Header"/>
        <w:jc w:val="both"/>
        <w:rPr>
          <w:sz w:val="22"/>
          <w:szCs w:val="22"/>
          <w:lang w:val="sr-Latn-RS"/>
        </w:rPr>
      </w:pPr>
      <w:r w:rsidRPr="00C262AC">
        <w:rPr>
          <w:b/>
          <w:sz w:val="22"/>
          <w:szCs w:val="22"/>
          <w:lang w:val="sr-Latn-RS"/>
        </w:rPr>
        <w:t xml:space="preserve">Tabela 2. </w:t>
      </w:r>
      <w:r w:rsidRPr="00C262AC">
        <w:rPr>
          <w:sz w:val="22"/>
          <w:szCs w:val="22"/>
          <w:lang w:val="sr-Latn-RS"/>
        </w:rPr>
        <w:t>Adjuvantna monoterapija lijekom Femozol u odnosu na monoterapiju tamoksifenom- neželjeni</w:t>
      </w:r>
      <w:r w:rsidR="00CC58AC" w:rsidRPr="00C262AC">
        <w:rPr>
          <w:sz w:val="22"/>
          <w:szCs w:val="22"/>
          <w:lang w:val="sr-Latn-RS"/>
        </w:rPr>
        <w:t xml:space="preserve"> </w:t>
      </w:r>
      <w:r w:rsidRPr="00C262AC">
        <w:rPr>
          <w:sz w:val="22"/>
          <w:szCs w:val="22"/>
          <w:lang w:val="sr-Latn-RS"/>
        </w:rPr>
        <w:t>događaji sa značajnim razlikama</w:t>
      </w:r>
    </w:p>
    <w:tbl>
      <w:tblPr>
        <w:tblW w:w="9067" w:type="dxa"/>
        <w:tblInd w:w="2" w:type="dxa"/>
        <w:tblCellMar>
          <w:top w:w="43" w:type="dxa"/>
          <w:left w:w="103" w:type="dxa"/>
          <w:bottom w:w="3" w:type="dxa"/>
          <w:right w:w="111" w:type="dxa"/>
        </w:tblCellMar>
        <w:tblLook w:val="04A0" w:firstRow="1" w:lastRow="0" w:firstColumn="1" w:lastColumn="0" w:noHBand="0" w:noVBand="1"/>
      </w:tblPr>
      <w:tblGrid>
        <w:gridCol w:w="2534"/>
        <w:gridCol w:w="1595"/>
        <w:gridCol w:w="1617"/>
        <w:gridCol w:w="1620"/>
        <w:gridCol w:w="1701"/>
      </w:tblGrid>
      <w:tr w:rsidR="006E3F4D" w:rsidRPr="00C262AC" w14:paraId="3BB7D9F1" w14:textId="77777777" w:rsidTr="00C02F5A">
        <w:trPr>
          <w:trHeight w:val="490"/>
        </w:trPr>
        <w:tc>
          <w:tcPr>
            <w:tcW w:w="2534" w:type="dxa"/>
            <w:tcBorders>
              <w:top w:val="single" w:sz="4" w:space="0" w:color="000000"/>
              <w:left w:val="single" w:sz="2" w:space="0" w:color="000000"/>
              <w:bottom w:val="single" w:sz="4" w:space="0" w:color="000000"/>
              <w:right w:val="single" w:sz="4" w:space="0" w:color="000000"/>
            </w:tcBorders>
          </w:tcPr>
          <w:p w14:paraId="5BEB1177" w14:textId="77777777" w:rsidR="006E3F4D" w:rsidRPr="00C262AC" w:rsidRDefault="006E3F4D">
            <w:pPr>
              <w:autoSpaceDE w:val="0"/>
              <w:autoSpaceDN w:val="0"/>
              <w:adjustRightInd w:val="0"/>
              <w:jc w:val="both"/>
              <w:rPr>
                <w:rFonts w:eastAsia="TimesNewRoman,Bold"/>
                <w:bCs/>
                <w:sz w:val="22"/>
                <w:szCs w:val="22"/>
                <w:lang w:val="sr-Latn-RS"/>
              </w:rPr>
            </w:pPr>
          </w:p>
        </w:tc>
        <w:tc>
          <w:tcPr>
            <w:tcW w:w="3212" w:type="dxa"/>
            <w:gridSpan w:val="2"/>
            <w:tcBorders>
              <w:top w:val="single" w:sz="4" w:space="0" w:color="000000"/>
              <w:left w:val="single" w:sz="4" w:space="0" w:color="000000"/>
              <w:bottom w:val="single" w:sz="4" w:space="0" w:color="000000"/>
              <w:right w:val="single" w:sz="2" w:space="0" w:color="000000"/>
            </w:tcBorders>
            <w:hideMark/>
          </w:tcPr>
          <w:p w14:paraId="6409F578"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Femozol, stepen učestalosti</w:t>
            </w:r>
          </w:p>
        </w:tc>
        <w:tc>
          <w:tcPr>
            <w:tcW w:w="3321" w:type="dxa"/>
            <w:gridSpan w:val="2"/>
            <w:tcBorders>
              <w:top w:val="single" w:sz="4" w:space="0" w:color="000000"/>
              <w:left w:val="single" w:sz="2" w:space="0" w:color="000000"/>
              <w:bottom w:val="single" w:sz="4" w:space="0" w:color="000000"/>
              <w:right w:val="single" w:sz="4" w:space="0" w:color="000000"/>
            </w:tcBorders>
            <w:hideMark/>
          </w:tcPr>
          <w:p w14:paraId="6D1AE45E"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Tamoksifen, stepen učestalosti</w:t>
            </w:r>
          </w:p>
        </w:tc>
      </w:tr>
      <w:tr w:rsidR="006E3F4D" w:rsidRPr="00C262AC" w14:paraId="1D6C9A5E" w14:textId="77777777" w:rsidTr="00C02F5A">
        <w:trPr>
          <w:trHeight w:val="490"/>
        </w:trPr>
        <w:tc>
          <w:tcPr>
            <w:tcW w:w="2534" w:type="dxa"/>
            <w:tcBorders>
              <w:top w:val="single" w:sz="4" w:space="0" w:color="000000"/>
              <w:left w:val="single" w:sz="2" w:space="0" w:color="000000"/>
              <w:bottom w:val="single" w:sz="4" w:space="0" w:color="000000"/>
              <w:right w:val="single" w:sz="4" w:space="0" w:color="000000"/>
            </w:tcBorders>
          </w:tcPr>
          <w:p w14:paraId="1730CCB1" w14:textId="77777777" w:rsidR="006E3F4D" w:rsidRPr="00C262AC" w:rsidRDefault="006E3F4D">
            <w:pPr>
              <w:autoSpaceDE w:val="0"/>
              <w:autoSpaceDN w:val="0"/>
              <w:adjustRightInd w:val="0"/>
              <w:jc w:val="both"/>
              <w:rPr>
                <w:rFonts w:eastAsia="TimesNewRoman,Bold"/>
                <w:bCs/>
                <w:sz w:val="22"/>
                <w:szCs w:val="22"/>
                <w:lang w:val="sr-Latn-RS"/>
              </w:rPr>
            </w:pPr>
          </w:p>
        </w:tc>
        <w:tc>
          <w:tcPr>
            <w:tcW w:w="3212" w:type="dxa"/>
            <w:gridSpan w:val="2"/>
            <w:tcBorders>
              <w:top w:val="single" w:sz="4" w:space="0" w:color="000000"/>
              <w:left w:val="single" w:sz="4" w:space="0" w:color="000000"/>
              <w:bottom w:val="single" w:sz="4" w:space="0" w:color="000000"/>
              <w:right w:val="single" w:sz="2" w:space="0" w:color="000000"/>
            </w:tcBorders>
            <w:vAlign w:val="center"/>
            <w:hideMark/>
          </w:tcPr>
          <w:p w14:paraId="4629697C"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color w:val="000000"/>
                <w:sz w:val="22"/>
                <w:szCs w:val="22"/>
                <w:lang w:val="sr-Latn-RS" w:eastAsia="sr-Latn-RS"/>
              </w:rPr>
              <w:t>N=2448</w:t>
            </w:r>
          </w:p>
        </w:tc>
        <w:tc>
          <w:tcPr>
            <w:tcW w:w="3321" w:type="dxa"/>
            <w:gridSpan w:val="2"/>
            <w:tcBorders>
              <w:top w:val="single" w:sz="4" w:space="0" w:color="000000"/>
              <w:left w:val="single" w:sz="2" w:space="0" w:color="000000"/>
              <w:bottom w:val="single" w:sz="4" w:space="0" w:color="000000"/>
              <w:right w:val="single" w:sz="4" w:space="0" w:color="000000"/>
            </w:tcBorders>
            <w:vAlign w:val="center"/>
            <w:hideMark/>
          </w:tcPr>
          <w:p w14:paraId="3DC082F4"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color w:val="000000"/>
                <w:sz w:val="22"/>
                <w:szCs w:val="22"/>
                <w:lang w:val="sr-Latn-RS" w:eastAsia="sr-Latn-RS"/>
              </w:rPr>
              <w:t>N=2447</w:t>
            </w:r>
          </w:p>
        </w:tc>
      </w:tr>
      <w:tr w:rsidR="006E3F4D" w:rsidRPr="00C262AC" w14:paraId="2C15C471" w14:textId="77777777" w:rsidTr="00C02F5A">
        <w:trPr>
          <w:trHeight w:val="360"/>
        </w:trPr>
        <w:tc>
          <w:tcPr>
            <w:tcW w:w="2534" w:type="dxa"/>
            <w:tcBorders>
              <w:top w:val="single" w:sz="4" w:space="0" w:color="000000"/>
              <w:left w:val="single" w:sz="2" w:space="0" w:color="000000"/>
              <w:bottom w:val="single" w:sz="4" w:space="0" w:color="000000"/>
              <w:right w:val="single" w:sz="4" w:space="0" w:color="000000"/>
            </w:tcBorders>
          </w:tcPr>
          <w:p w14:paraId="6A6AC5D0" w14:textId="77777777" w:rsidR="006E3F4D" w:rsidRPr="00C262AC" w:rsidRDefault="006E3F4D">
            <w:pPr>
              <w:autoSpaceDE w:val="0"/>
              <w:autoSpaceDN w:val="0"/>
              <w:adjustRightInd w:val="0"/>
              <w:jc w:val="both"/>
              <w:rPr>
                <w:rFonts w:eastAsia="TimesNewRoman,Bold"/>
                <w:bCs/>
                <w:sz w:val="22"/>
                <w:szCs w:val="22"/>
                <w:lang w:val="sr-Latn-RS"/>
              </w:rPr>
            </w:pPr>
          </w:p>
        </w:tc>
        <w:tc>
          <w:tcPr>
            <w:tcW w:w="1595" w:type="dxa"/>
            <w:tcBorders>
              <w:top w:val="single" w:sz="4" w:space="0" w:color="000000"/>
              <w:left w:val="single" w:sz="4" w:space="0" w:color="000000"/>
              <w:bottom w:val="single" w:sz="4" w:space="0" w:color="000000"/>
              <w:right w:val="single" w:sz="2" w:space="0" w:color="000000"/>
            </w:tcBorders>
            <w:vAlign w:val="center"/>
          </w:tcPr>
          <w:p w14:paraId="33AA1993" w14:textId="77777777" w:rsidR="00090458" w:rsidRPr="00C262AC" w:rsidRDefault="00090458" w:rsidP="00C02F5A">
            <w:pPr>
              <w:autoSpaceDE w:val="0"/>
              <w:autoSpaceDN w:val="0"/>
              <w:adjustRightInd w:val="0"/>
              <w:jc w:val="center"/>
              <w:rPr>
                <w:rFonts w:eastAsia="TimesNewRoman,Bold"/>
                <w:bCs/>
                <w:sz w:val="22"/>
                <w:szCs w:val="22"/>
                <w:lang w:val="sr-Latn-RS"/>
              </w:rPr>
            </w:pPr>
          </w:p>
          <w:p w14:paraId="1D33A936" w14:textId="45359536" w:rsidR="006E3F4D" w:rsidRPr="00C262AC" w:rsidRDefault="006E3F4D" w:rsidP="00C02F5A">
            <w:pPr>
              <w:autoSpaceDE w:val="0"/>
              <w:autoSpaceDN w:val="0"/>
              <w:adjustRightInd w:val="0"/>
              <w:jc w:val="center"/>
              <w:rPr>
                <w:rFonts w:eastAsia="TimesNewRoman,Bold"/>
                <w:bCs/>
                <w:sz w:val="22"/>
                <w:szCs w:val="22"/>
                <w:lang w:val="sr-Latn-RS"/>
              </w:rPr>
            </w:pPr>
            <w:r w:rsidRPr="00C262AC">
              <w:rPr>
                <w:rFonts w:eastAsia="TimesNewRoman,Bold"/>
                <w:bCs/>
                <w:sz w:val="22"/>
                <w:szCs w:val="22"/>
                <w:lang w:val="sr-Latn-RS"/>
              </w:rPr>
              <w:t>Tokom liječenja</w:t>
            </w:r>
          </w:p>
          <w:p w14:paraId="61EF3EA1"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rFonts w:eastAsia="TimesNewRoman,Bold"/>
                <w:bCs/>
                <w:sz w:val="22"/>
                <w:szCs w:val="22"/>
                <w:lang w:val="sr-Latn-RS"/>
              </w:rPr>
              <w:t>(medijana 5 godina)</w:t>
            </w:r>
          </w:p>
          <w:p w14:paraId="3242814D" w14:textId="77777777" w:rsidR="006E3F4D" w:rsidRPr="00C262AC" w:rsidRDefault="006E3F4D" w:rsidP="00C02F5A">
            <w:pPr>
              <w:autoSpaceDE w:val="0"/>
              <w:autoSpaceDN w:val="0"/>
              <w:adjustRightInd w:val="0"/>
              <w:jc w:val="center"/>
              <w:rPr>
                <w:rFonts w:eastAsia="TimesNewRoman,Bold"/>
                <w:bCs/>
                <w:sz w:val="22"/>
                <w:szCs w:val="22"/>
                <w:lang w:val="sr-Latn-RS"/>
              </w:rPr>
            </w:pPr>
          </w:p>
        </w:tc>
        <w:tc>
          <w:tcPr>
            <w:tcW w:w="1617" w:type="dxa"/>
            <w:tcBorders>
              <w:top w:val="single" w:sz="4" w:space="0" w:color="000000"/>
              <w:left w:val="single" w:sz="4" w:space="0" w:color="000000"/>
              <w:bottom w:val="single" w:sz="4" w:space="0" w:color="000000"/>
              <w:right w:val="single" w:sz="2" w:space="0" w:color="000000"/>
            </w:tcBorders>
            <w:vAlign w:val="center"/>
            <w:hideMark/>
          </w:tcPr>
          <w:p w14:paraId="3C674682"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rFonts w:eastAsia="TimesNewRoman,Bold"/>
                <w:bCs/>
                <w:sz w:val="22"/>
                <w:szCs w:val="22"/>
                <w:lang w:val="sr-Latn-RS"/>
              </w:rPr>
              <w:t>Svaki put posle randomizacije</w:t>
            </w:r>
          </w:p>
          <w:p w14:paraId="6108B367"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rFonts w:eastAsia="TimesNewRoman,Bold"/>
                <w:bCs/>
                <w:sz w:val="22"/>
                <w:szCs w:val="22"/>
                <w:lang w:val="sr-Latn-RS"/>
              </w:rPr>
              <w:t>(medijana 8 godina)</w:t>
            </w:r>
          </w:p>
        </w:tc>
        <w:tc>
          <w:tcPr>
            <w:tcW w:w="1620" w:type="dxa"/>
            <w:tcBorders>
              <w:top w:val="single" w:sz="4" w:space="0" w:color="000000"/>
              <w:left w:val="single" w:sz="2" w:space="0" w:color="000000"/>
              <w:bottom w:val="single" w:sz="4" w:space="0" w:color="000000"/>
              <w:right w:val="single" w:sz="4" w:space="0" w:color="000000"/>
            </w:tcBorders>
            <w:vAlign w:val="center"/>
            <w:hideMark/>
          </w:tcPr>
          <w:p w14:paraId="25D76FE1" w14:textId="77777777" w:rsidR="006E3F4D" w:rsidRPr="00C262AC" w:rsidRDefault="006E3F4D" w:rsidP="00C02F5A">
            <w:pPr>
              <w:spacing w:line="256" w:lineRule="auto"/>
              <w:ind w:right="25"/>
              <w:jc w:val="center"/>
              <w:rPr>
                <w:color w:val="000000"/>
                <w:sz w:val="22"/>
                <w:szCs w:val="22"/>
                <w:lang w:val="sr-Latn-RS" w:eastAsia="sr-Latn-RS"/>
              </w:rPr>
            </w:pPr>
            <w:r w:rsidRPr="00C262AC">
              <w:rPr>
                <w:color w:val="000000"/>
                <w:sz w:val="22"/>
                <w:szCs w:val="22"/>
                <w:lang w:val="sr-Latn-RS" w:eastAsia="sr-Latn-RS"/>
              </w:rPr>
              <w:t>Tokom</w:t>
            </w:r>
          </w:p>
          <w:p w14:paraId="54EBCF12" w14:textId="77777777" w:rsidR="006E3F4D" w:rsidRPr="00C262AC" w:rsidRDefault="006E3F4D" w:rsidP="00C02F5A">
            <w:pPr>
              <w:spacing w:line="256" w:lineRule="auto"/>
              <w:ind w:right="21"/>
              <w:jc w:val="center"/>
              <w:rPr>
                <w:color w:val="000000"/>
                <w:sz w:val="22"/>
                <w:szCs w:val="22"/>
                <w:lang w:val="sr-Latn-RS" w:eastAsia="sr-Latn-RS"/>
              </w:rPr>
            </w:pPr>
            <w:r w:rsidRPr="00C262AC">
              <w:rPr>
                <w:color w:val="000000"/>
                <w:sz w:val="22"/>
                <w:szCs w:val="22"/>
                <w:lang w:val="sr-Latn-RS" w:eastAsia="sr-Latn-RS"/>
              </w:rPr>
              <w:t>liječenja</w:t>
            </w:r>
          </w:p>
          <w:p w14:paraId="7573D88D"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color w:val="000000"/>
                <w:sz w:val="22"/>
                <w:szCs w:val="22"/>
                <w:lang w:val="sr-Latn-RS" w:eastAsia="sr-Latn-RS"/>
              </w:rPr>
              <w:t>(medijana 5 godina)</w:t>
            </w:r>
          </w:p>
        </w:tc>
        <w:tc>
          <w:tcPr>
            <w:tcW w:w="1701" w:type="dxa"/>
            <w:tcBorders>
              <w:top w:val="single" w:sz="4" w:space="0" w:color="000000"/>
              <w:left w:val="single" w:sz="2" w:space="0" w:color="000000"/>
              <w:bottom w:val="single" w:sz="4" w:space="0" w:color="000000"/>
              <w:right w:val="single" w:sz="4" w:space="0" w:color="000000"/>
            </w:tcBorders>
            <w:vAlign w:val="center"/>
            <w:hideMark/>
          </w:tcPr>
          <w:p w14:paraId="78479274" w14:textId="77777777" w:rsidR="006E3F4D" w:rsidRPr="00C262AC" w:rsidRDefault="006E3F4D" w:rsidP="00C02F5A">
            <w:pPr>
              <w:spacing w:line="237" w:lineRule="auto"/>
              <w:jc w:val="center"/>
              <w:rPr>
                <w:color w:val="000000"/>
                <w:sz w:val="22"/>
                <w:szCs w:val="22"/>
                <w:lang w:val="sr-Latn-RS" w:eastAsia="sr-Latn-RS"/>
              </w:rPr>
            </w:pPr>
            <w:r w:rsidRPr="00C262AC">
              <w:rPr>
                <w:color w:val="000000"/>
                <w:sz w:val="22"/>
                <w:szCs w:val="22"/>
                <w:lang w:val="sr-Latn-RS" w:eastAsia="sr-Latn-RS"/>
              </w:rPr>
              <w:t>Svaki put posle randomizacije</w:t>
            </w:r>
          </w:p>
          <w:p w14:paraId="6CCA6872"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color w:val="000000"/>
                <w:sz w:val="22"/>
                <w:szCs w:val="22"/>
                <w:lang w:val="sr-Latn-RS" w:eastAsia="sr-Latn-RS"/>
              </w:rPr>
              <w:t>(medijana 8 godina)</w:t>
            </w:r>
          </w:p>
        </w:tc>
      </w:tr>
      <w:tr w:rsidR="006E3F4D" w:rsidRPr="00C262AC" w14:paraId="06461BB0" w14:textId="77777777" w:rsidTr="00C02F5A">
        <w:trPr>
          <w:trHeight w:val="360"/>
        </w:trPr>
        <w:tc>
          <w:tcPr>
            <w:tcW w:w="2534" w:type="dxa"/>
            <w:tcBorders>
              <w:top w:val="single" w:sz="4" w:space="0" w:color="000000"/>
              <w:left w:val="single" w:sz="2" w:space="0" w:color="000000"/>
              <w:bottom w:val="single" w:sz="4" w:space="0" w:color="000000"/>
              <w:right w:val="single" w:sz="4" w:space="0" w:color="000000"/>
            </w:tcBorders>
            <w:hideMark/>
          </w:tcPr>
          <w:p w14:paraId="5A1DF399"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Prelom kostiju</w:t>
            </w:r>
          </w:p>
        </w:tc>
        <w:tc>
          <w:tcPr>
            <w:tcW w:w="1595" w:type="dxa"/>
            <w:tcBorders>
              <w:top w:val="single" w:sz="4" w:space="0" w:color="000000"/>
              <w:left w:val="single" w:sz="4" w:space="0" w:color="000000"/>
              <w:bottom w:val="single" w:sz="4" w:space="0" w:color="000000"/>
              <w:right w:val="single" w:sz="2" w:space="0" w:color="000000"/>
            </w:tcBorders>
            <w:vAlign w:val="center"/>
            <w:hideMark/>
          </w:tcPr>
          <w:p w14:paraId="4A171889"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10,2%</w:t>
            </w:r>
          </w:p>
        </w:tc>
        <w:tc>
          <w:tcPr>
            <w:tcW w:w="1617" w:type="dxa"/>
            <w:tcBorders>
              <w:top w:val="single" w:sz="4" w:space="0" w:color="000000"/>
              <w:left w:val="single" w:sz="4" w:space="0" w:color="000000"/>
              <w:bottom w:val="single" w:sz="4" w:space="0" w:color="000000"/>
              <w:right w:val="single" w:sz="2" w:space="0" w:color="000000"/>
            </w:tcBorders>
            <w:vAlign w:val="center"/>
            <w:hideMark/>
          </w:tcPr>
          <w:p w14:paraId="73152572"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14,7%</w:t>
            </w:r>
          </w:p>
        </w:tc>
        <w:tc>
          <w:tcPr>
            <w:tcW w:w="1620" w:type="dxa"/>
            <w:tcBorders>
              <w:top w:val="single" w:sz="4" w:space="0" w:color="000000"/>
              <w:left w:val="single" w:sz="2" w:space="0" w:color="000000"/>
              <w:bottom w:val="single" w:sz="4" w:space="0" w:color="000000"/>
              <w:right w:val="single" w:sz="4" w:space="0" w:color="000000"/>
            </w:tcBorders>
            <w:vAlign w:val="center"/>
            <w:hideMark/>
          </w:tcPr>
          <w:p w14:paraId="0D4A72EA"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7,2%</w:t>
            </w:r>
          </w:p>
        </w:tc>
        <w:tc>
          <w:tcPr>
            <w:tcW w:w="1701" w:type="dxa"/>
            <w:tcBorders>
              <w:top w:val="single" w:sz="4" w:space="0" w:color="000000"/>
              <w:left w:val="single" w:sz="2" w:space="0" w:color="000000"/>
              <w:bottom w:val="single" w:sz="4" w:space="0" w:color="000000"/>
              <w:right w:val="single" w:sz="4" w:space="0" w:color="000000"/>
            </w:tcBorders>
            <w:vAlign w:val="center"/>
            <w:hideMark/>
          </w:tcPr>
          <w:p w14:paraId="7C272F14"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11,4%</w:t>
            </w:r>
          </w:p>
        </w:tc>
      </w:tr>
      <w:tr w:rsidR="006E3F4D" w:rsidRPr="00C262AC" w14:paraId="23C92EDA" w14:textId="77777777" w:rsidTr="00C02F5A">
        <w:trPr>
          <w:trHeight w:val="250"/>
        </w:trPr>
        <w:tc>
          <w:tcPr>
            <w:tcW w:w="2534" w:type="dxa"/>
            <w:tcBorders>
              <w:top w:val="single" w:sz="4" w:space="0" w:color="000000"/>
              <w:left w:val="single" w:sz="2" w:space="0" w:color="000000"/>
              <w:bottom w:val="single" w:sz="4" w:space="0" w:color="000000"/>
              <w:right w:val="single" w:sz="4" w:space="0" w:color="000000"/>
            </w:tcBorders>
            <w:hideMark/>
          </w:tcPr>
          <w:p w14:paraId="4AA0E782"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 xml:space="preserve">Osteoporoza </w:t>
            </w:r>
          </w:p>
        </w:tc>
        <w:tc>
          <w:tcPr>
            <w:tcW w:w="1595" w:type="dxa"/>
            <w:tcBorders>
              <w:top w:val="single" w:sz="4" w:space="0" w:color="000000"/>
              <w:left w:val="single" w:sz="4" w:space="0" w:color="000000"/>
              <w:bottom w:val="single" w:sz="4" w:space="0" w:color="000000"/>
              <w:right w:val="single" w:sz="2" w:space="0" w:color="000000"/>
            </w:tcBorders>
            <w:vAlign w:val="center"/>
            <w:hideMark/>
          </w:tcPr>
          <w:p w14:paraId="19DE4563"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5,1%</w:t>
            </w:r>
          </w:p>
        </w:tc>
        <w:tc>
          <w:tcPr>
            <w:tcW w:w="1617" w:type="dxa"/>
            <w:tcBorders>
              <w:top w:val="single" w:sz="4" w:space="0" w:color="000000"/>
              <w:left w:val="single" w:sz="4" w:space="0" w:color="000000"/>
              <w:bottom w:val="single" w:sz="4" w:space="0" w:color="000000"/>
              <w:right w:val="single" w:sz="2" w:space="0" w:color="000000"/>
            </w:tcBorders>
            <w:vAlign w:val="center"/>
            <w:hideMark/>
          </w:tcPr>
          <w:p w14:paraId="7F18B4A9"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5,1%</w:t>
            </w:r>
          </w:p>
        </w:tc>
        <w:tc>
          <w:tcPr>
            <w:tcW w:w="1620" w:type="dxa"/>
            <w:tcBorders>
              <w:top w:val="single" w:sz="4" w:space="0" w:color="000000"/>
              <w:left w:val="single" w:sz="2" w:space="0" w:color="000000"/>
              <w:bottom w:val="single" w:sz="4" w:space="0" w:color="000000"/>
              <w:right w:val="single" w:sz="4" w:space="0" w:color="000000"/>
            </w:tcBorders>
            <w:vAlign w:val="center"/>
            <w:hideMark/>
          </w:tcPr>
          <w:p w14:paraId="71D7C575"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2,7%</w:t>
            </w:r>
          </w:p>
        </w:tc>
        <w:tc>
          <w:tcPr>
            <w:tcW w:w="1701" w:type="dxa"/>
            <w:tcBorders>
              <w:top w:val="single" w:sz="4" w:space="0" w:color="000000"/>
              <w:left w:val="single" w:sz="2" w:space="0" w:color="000000"/>
              <w:bottom w:val="single" w:sz="4" w:space="0" w:color="000000"/>
              <w:right w:val="single" w:sz="4" w:space="0" w:color="000000"/>
            </w:tcBorders>
            <w:vAlign w:val="center"/>
            <w:hideMark/>
          </w:tcPr>
          <w:p w14:paraId="7DBF0253"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2,7%</w:t>
            </w:r>
          </w:p>
        </w:tc>
      </w:tr>
      <w:tr w:rsidR="006E3F4D" w:rsidRPr="00C262AC" w14:paraId="4A0507B6" w14:textId="77777777" w:rsidTr="00C02F5A">
        <w:trPr>
          <w:trHeight w:val="480"/>
        </w:trPr>
        <w:tc>
          <w:tcPr>
            <w:tcW w:w="2534" w:type="dxa"/>
            <w:tcBorders>
              <w:top w:val="single" w:sz="4" w:space="0" w:color="000000"/>
              <w:left w:val="single" w:sz="2" w:space="0" w:color="000000"/>
              <w:bottom w:val="single" w:sz="4" w:space="0" w:color="000000"/>
              <w:right w:val="single" w:sz="4" w:space="0" w:color="000000"/>
            </w:tcBorders>
            <w:hideMark/>
          </w:tcPr>
          <w:p w14:paraId="78172F0B"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 xml:space="preserve">Tromboembolijski događaji </w:t>
            </w:r>
          </w:p>
        </w:tc>
        <w:tc>
          <w:tcPr>
            <w:tcW w:w="1595" w:type="dxa"/>
            <w:tcBorders>
              <w:top w:val="single" w:sz="4" w:space="0" w:color="000000"/>
              <w:left w:val="single" w:sz="4" w:space="0" w:color="000000"/>
              <w:bottom w:val="single" w:sz="4" w:space="0" w:color="000000"/>
              <w:right w:val="single" w:sz="2" w:space="0" w:color="000000"/>
            </w:tcBorders>
            <w:vAlign w:val="center"/>
            <w:hideMark/>
          </w:tcPr>
          <w:p w14:paraId="2C74AEA3"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2.1%</w:t>
            </w:r>
          </w:p>
        </w:tc>
        <w:tc>
          <w:tcPr>
            <w:tcW w:w="1617" w:type="dxa"/>
            <w:tcBorders>
              <w:top w:val="single" w:sz="4" w:space="0" w:color="000000"/>
              <w:left w:val="single" w:sz="4" w:space="0" w:color="000000"/>
              <w:bottom w:val="single" w:sz="4" w:space="0" w:color="000000"/>
              <w:right w:val="single" w:sz="2" w:space="0" w:color="000000"/>
            </w:tcBorders>
            <w:vAlign w:val="center"/>
            <w:hideMark/>
          </w:tcPr>
          <w:p w14:paraId="135C5D96"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3,2%</w:t>
            </w:r>
          </w:p>
        </w:tc>
        <w:tc>
          <w:tcPr>
            <w:tcW w:w="1620" w:type="dxa"/>
            <w:tcBorders>
              <w:top w:val="single" w:sz="4" w:space="0" w:color="000000"/>
              <w:left w:val="single" w:sz="2" w:space="0" w:color="000000"/>
              <w:bottom w:val="single" w:sz="4" w:space="0" w:color="000000"/>
              <w:right w:val="single" w:sz="4" w:space="0" w:color="000000"/>
            </w:tcBorders>
            <w:vAlign w:val="center"/>
            <w:hideMark/>
          </w:tcPr>
          <w:p w14:paraId="597F0A13"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3,6%</w:t>
            </w:r>
          </w:p>
        </w:tc>
        <w:tc>
          <w:tcPr>
            <w:tcW w:w="1701" w:type="dxa"/>
            <w:tcBorders>
              <w:top w:val="single" w:sz="4" w:space="0" w:color="000000"/>
              <w:left w:val="single" w:sz="2" w:space="0" w:color="000000"/>
              <w:bottom w:val="single" w:sz="4" w:space="0" w:color="000000"/>
              <w:right w:val="single" w:sz="4" w:space="0" w:color="000000"/>
            </w:tcBorders>
            <w:vAlign w:val="center"/>
            <w:hideMark/>
          </w:tcPr>
          <w:p w14:paraId="79B258C9"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4,6%</w:t>
            </w:r>
          </w:p>
        </w:tc>
      </w:tr>
      <w:tr w:rsidR="006E3F4D" w:rsidRPr="00C262AC" w14:paraId="6E4CA6BA" w14:textId="77777777" w:rsidTr="00C02F5A">
        <w:trPr>
          <w:trHeight w:val="250"/>
        </w:trPr>
        <w:tc>
          <w:tcPr>
            <w:tcW w:w="2534" w:type="dxa"/>
            <w:tcBorders>
              <w:top w:val="single" w:sz="4" w:space="0" w:color="000000"/>
              <w:left w:val="single" w:sz="2" w:space="0" w:color="000000"/>
              <w:bottom w:val="single" w:sz="4" w:space="0" w:color="000000"/>
              <w:right w:val="single" w:sz="4" w:space="0" w:color="000000"/>
            </w:tcBorders>
            <w:hideMark/>
          </w:tcPr>
          <w:p w14:paraId="3E05B226"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 xml:space="preserve">Infarkt miokarda </w:t>
            </w:r>
          </w:p>
        </w:tc>
        <w:tc>
          <w:tcPr>
            <w:tcW w:w="1595" w:type="dxa"/>
            <w:tcBorders>
              <w:top w:val="single" w:sz="4" w:space="0" w:color="000000"/>
              <w:left w:val="single" w:sz="4" w:space="0" w:color="000000"/>
              <w:bottom w:val="single" w:sz="4" w:space="0" w:color="000000"/>
              <w:right w:val="single" w:sz="2" w:space="0" w:color="000000"/>
            </w:tcBorders>
            <w:vAlign w:val="center"/>
            <w:hideMark/>
          </w:tcPr>
          <w:p w14:paraId="7B903E42"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1,0%</w:t>
            </w:r>
          </w:p>
        </w:tc>
        <w:tc>
          <w:tcPr>
            <w:tcW w:w="1617" w:type="dxa"/>
            <w:tcBorders>
              <w:top w:val="single" w:sz="4" w:space="0" w:color="000000"/>
              <w:left w:val="single" w:sz="4" w:space="0" w:color="000000"/>
              <w:bottom w:val="single" w:sz="4" w:space="0" w:color="000000"/>
              <w:right w:val="single" w:sz="2" w:space="0" w:color="000000"/>
            </w:tcBorders>
            <w:vAlign w:val="center"/>
            <w:hideMark/>
          </w:tcPr>
          <w:p w14:paraId="67B15DBD"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1,7%</w:t>
            </w:r>
          </w:p>
        </w:tc>
        <w:tc>
          <w:tcPr>
            <w:tcW w:w="1620" w:type="dxa"/>
            <w:tcBorders>
              <w:top w:val="single" w:sz="4" w:space="0" w:color="000000"/>
              <w:left w:val="single" w:sz="2" w:space="0" w:color="000000"/>
              <w:bottom w:val="single" w:sz="4" w:space="0" w:color="000000"/>
              <w:right w:val="single" w:sz="4" w:space="0" w:color="000000"/>
            </w:tcBorders>
            <w:vAlign w:val="center"/>
            <w:hideMark/>
          </w:tcPr>
          <w:p w14:paraId="1A660DEE"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0,5%</w:t>
            </w:r>
          </w:p>
        </w:tc>
        <w:tc>
          <w:tcPr>
            <w:tcW w:w="1701" w:type="dxa"/>
            <w:tcBorders>
              <w:top w:val="single" w:sz="4" w:space="0" w:color="000000"/>
              <w:left w:val="single" w:sz="2" w:space="0" w:color="000000"/>
              <w:bottom w:val="single" w:sz="4" w:space="0" w:color="000000"/>
              <w:right w:val="single" w:sz="4" w:space="0" w:color="000000"/>
            </w:tcBorders>
            <w:vAlign w:val="center"/>
            <w:hideMark/>
          </w:tcPr>
          <w:p w14:paraId="58311703"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1,1%</w:t>
            </w:r>
          </w:p>
        </w:tc>
      </w:tr>
      <w:tr w:rsidR="006E3F4D" w:rsidRPr="00C262AC" w14:paraId="02DE1CFA" w14:textId="77777777" w:rsidTr="00C02F5A">
        <w:trPr>
          <w:trHeight w:val="720"/>
        </w:trPr>
        <w:tc>
          <w:tcPr>
            <w:tcW w:w="2534" w:type="dxa"/>
            <w:tcBorders>
              <w:top w:val="single" w:sz="4" w:space="0" w:color="000000"/>
              <w:left w:val="single" w:sz="2" w:space="0" w:color="000000"/>
              <w:bottom w:val="single" w:sz="4" w:space="0" w:color="000000"/>
              <w:right w:val="single" w:sz="4" w:space="0" w:color="000000"/>
            </w:tcBorders>
            <w:hideMark/>
          </w:tcPr>
          <w:p w14:paraId="0DA52935"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 xml:space="preserve">Endometrijalna hiperplazija </w:t>
            </w:r>
          </w:p>
          <w:p w14:paraId="142A7EA5" w14:textId="77777777" w:rsidR="006E3F4D" w:rsidRPr="00C262AC" w:rsidRDefault="006E3F4D">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 xml:space="preserve">/ karcinom endometrijuma </w:t>
            </w:r>
          </w:p>
        </w:tc>
        <w:tc>
          <w:tcPr>
            <w:tcW w:w="1595" w:type="dxa"/>
            <w:tcBorders>
              <w:top w:val="single" w:sz="4" w:space="0" w:color="000000"/>
              <w:left w:val="single" w:sz="4" w:space="0" w:color="000000"/>
              <w:bottom w:val="single" w:sz="4" w:space="0" w:color="000000"/>
              <w:right w:val="single" w:sz="2" w:space="0" w:color="000000"/>
            </w:tcBorders>
            <w:vAlign w:val="center"/>
            <w:hideMark/>
          </w:tcPr>
          <w:p w14:paraId="3D492FBF"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0,2%</w:t>
            </w:r>
          </w:p>
        </w:tc>
        <w:tc>
          <w:tcPr>
            <w:tcW w:w="1617" w:type="dxa"/>
            <w:tcBorders>
              <w:top w:val="single" w:sz="4" w:space="0" w:color="000000"/>
              <w:left w:val="single" w:sz="4" w:space="0" w:color="000000"/>
              <w:bottom w:val="single" w:sz="4" w:space="0" w:color="000000"/>
              <w:right w:val="single" w:sz="2" w:space="0" w:color="000000"/>
            </w:tcBorders>
            <w:vAlign w:val="center"/>
            <w:hideMark/>
          </w:tcPr>
          <w:p w14:paraId="3BB987E1"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0,4%</w:t>
            </w:r>
          </w:p>
        </w:tc>
        <w:tc>
          <w:tcPr>
            <w:tcW w:w="1620" w:type="dxa"/>
            <w:tcBorders>
              <w:top w:val="single" w:sz="4" w:space="0" w:color="000000"/>
              <w:left w:val="single" w:sz="2" w:space="0" w:color="000000"/>
              <w:bottom w:val="single" w:sz="4" w:space="0" w:color="000000"/>
              <w:right w:val="single" w:sz="4" w:space="0" w:color="000000"/>
            </w:tcBorders>
            <w:vAlign w:val="center"/>
            <w:hideMark/>
          </w:tcPr>
          <w:p w14:paraId="579EA63E"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2,3%</w:t>
            </w:r>
          </w:p>
        </w:tc>
        <w:tc>
          <w:tcPr>
            <w:tcW w:w="1701" w:type="dxa"/>
            <w:tcBorders>
              <w:top w:val="single" w:sz="4" w:space="0" w:color="000000"/>
              <w:left w:val="single" w:sz="2" w:space="0" w:color="000000"/>
              <w:bottom w:val="single" w:sz="4" w:space="0" w:color="000000"/>
              <w:right w:val="single" w:sz="4" w:space="0" w:color="000000"/>
            </w:tcBorders>
            <w:vAlign w:val="center"/>
            <w:hideMark/>
          </w:tcPr>
          <w:p w14:paraId="7C5C7AC0" w14:textId="77777777" w:rsidR="006E3F4D" w:rsidRPr="00C262AC" w:rsidRDefault="006E3F4D" w:rsidP="00C02F5A">
            <w:pPr>
              <w:autoSpaceDE w:val="0"/>
              <w:autoSpaceDN w:val="0"/>
              <w:adjustRightInd w:val="0"/>
              <w:jc w:val="center"/>
              <w:rPr>
                <w:rFonts w:eastAsia="TimesNewRoman,Bold"/>
                <w:bCs/>
                <w:sz w:val="22"/>
                <w:szCs w:val="22"/>
                <w:lang w:val="sr-Latn-RS"/>
              </w:rPr>
            </w:pPr>
            <w:r w:rsidRPr="00C262AC">
              <w:rPr>
                <w:sz w:val="22"/>
                <w:szCs w:val="22"/>
              </w:rPr>
              <w:t>2,9%</w:t>
            </w:r>
          </w:p>
        </w:tc>
      </w:tr>
      <w:tr w:rsidR="006E3F4D" w:rsidRPr="00C262AC" w14:paraId="4EDC3BBC" w14:textId="77777777" w:rsidTr="00C02F5A">
        <w:trPr>
          <w:trHeight w:val="480"/>
        </w:trPr>
        <w:tc>
          <w:tcPr>
            <w:tcW w:w="9067" w:type="dxa"/>
            <w:gridSpan w:val="5"/>
            <w:tcBorders>
              <w:top w:val="single" w:sz="4" w:space="0" w:color="000000"/>
              <w:left w:val="single" w:sz="2" w:space="0" w:color="000000"/>
              <w:bottom w:val="single" w:sz="4" w:space="0" w:color="000000"/>
              <w:right w:val="single" w:sz="4" w:space="0" w:color="000000"/>
            </w:tcBorders>
            <w:hideMark/>
          </w:tcPr>
          <w:p w14:paraId="1E0A54CD" w14:textId="77777777" w:rsidR="006E3F4D" w:rsidRPr="00C262AC" w:rsidRDefault="006E3F4D">
            <w:pPr>
              <w:pStyle w:val="Header"/>
              <w:tabs>
                <w:tab w:val="left" w:pos="284"/>
              </w:tabs>
              <w:spacing w:before="80" w:after="80"/>
              <w:jc w:val="both"/>
              <w:rPr>
                <w:bCs/>
                <w:sz w:val="22"/>
                <w:szCs w:val="22"/>
                <w:lang w:val="sr-Latn-RS"/>
              </w:rPr>
            </w:pPr>
            <w:r w:rsidRPr="00C262AC">
              <w:rPr>
                <w:rFonts w:eastAsia="TimesNewRoman,Bold"/>
                <w:bCs/>
                <w:sz w:val="22"/>
                <w:szCs w:val="22"/>
                <w:lang w:val="sr-Latn-RS"/>
              </w:rPr>
              <w:t xml:space="preserve">Napomena: </w:t>
            </w:r>
            <w:r w:rsidRPr="00C262AC">
              <w:rPr>
                <w:bCs/>
                <w:sz w:val="22"/>
                <w:szCs w:val="22"/>
                <w:lang w:val="sr-Latn-RS"/>
              </w:rPr>
              <w:t>„Tokom liječenja“ obuhvata 30 dana nakon poslednje doze. „Svaki put“ obuhvata period praćenja nakon završetka ili prekida liječenja u studiji.</w:t>
            </w:r>
          </w:p>
          <w:p w14:paraId="0D63F5E0" w14:textId="77777777" w:rsidR="006E3F4D" w:rsidRPr="00C262AC" w:rsidRDefault="006E3F4D">
            <w:pPr>
              <w:autoSpaceDE w:val="0"/>
              <w:autoSpaceDN w:val="0"/>
              <w:adjustRightInd w:val="0"/>
              <w:jc w:val="both"/>
              <w:rPr>
                <w:rFonts w:eastAsia="TimesNewRoman,Bold"/>
                <w:bCs/>
                <w:sz w:val="22"/>
                <w:szCs w:val="22"/>
                <w:lang w:val="sr-Latn-RS"/>
              </w:rPr>
            </w:pPr>
            <w:r w:rsidRPr="00C262AC">
              <w:rPr>
                <w:bCs/>
                <w:sz w:val="22"/>
                <w:szCs w:val="22"/>
                <w:lang w:val="sr-Latn-RS"/>
              </w:rPr>
              <w:t>Razlike su bile zasnovane na risk rations (RR) i 95% intervala pouzdanosti.</w:t>
            </w:r>
          </w:p>
        </w:tc>
      </w:tr>
    </w:tbl>
    <w:p w14:paraId="71EC7F53" w14:textId="77777777" w:rsidR="006E3F4D" w:rsidRPr="00C262AC" w:rsidRDefault="006E3F4D">
      <w:pPr>
        <w:autoSpaceDE w:val="0"/>
        <w:autoSpaceDN w:val="0"/>
        <w:adjustRightInd w:val="0"/>
        <w:jc w:val="both"/>
        <w:rPr>
          <w:rFonts w:eastAsia="TimesNewRoman,Bold"/>
          <w:b/>
          <w:bCs/>
          <w:sz w:val="22"/>
          <w:szCs w:val="22"/>
          <w:lang w:val="sr-Latn-RS"/>
        </w:rPr>
      </w:pPr>
    </w:p>
    <w:p w14:paraId="18DD7FCD" w14:textId="77777777" w:rsidR="006E3F4D" w:rsidRPr="00C262AC" w:rsidRDefault="006E3F4D">
      <w:pPr>
        <w:autoSpaceDE w:val="0"/>
        <w:autoSpaceDN w:val="0"/>
        <w:adjustRightInd w:val="0"/>
        <w:jc w:val="both"/>
        <w:rPr>
          <w:sz w:val="22"/>
          <w:szCs w:val="22"/>
          <w:lang w:val="sr-Latn-RS"/>
        </w:rPr>
      </w:pPr>
      <w:r w:rsidRPr="00C262AC">
        <w:rPr>
          <w:rFonts w:eastAsia="TimesNewRoman,Bold"/>
          <w:b/>
          <w:bCs/>
          <w:sz w:val="22"/>
          <w:szCs w:val="22"/>
          <w:lang w:val="sr-Latn-RS"/>
        </w:rPr>
        <w:t xml:space="preserve">Tabela 3. </w:t>
      </w:r>
      <w:r w:rsidRPr="00C262AC">
        <w:rPr>
          <w:rFonts w:eastAsia="TimesNewRoman,Bold"/>
          <w:bCs/>
          <w:sz w:val="22"/>
          <w:szCs w:val="22"/>
          <w:lang w:val="sr-Latn-RS"/>
        </w:rPr>
        <w:t>Sekvencijalno liječenje u odnosu na monoterapiju lijekom Femozol- neželjeni događaji sa značanim razlikama</w:t>
      </w:r>
    </w:p>
    <w:tbl>
      <w:tblPr>
        <w:tblW w:w="9067" w:type="dxa"/>
        <w:tblInd w:w="2" w:type="dxa"/>
        <w:tblCellMar>
          <w:top w:w="43" w:type="dxa"/>
          <w:left w:w="101" w:type="dxa"/>
          <w:right w:w="115" w:type="dxa"/>
        </w:tblCellMar>
        <w:tblLook w:val="04A0" w:firstRow="1" w:lastRow="0" w:firstColumn="1" w:lastColumn="0" w:noHBand="0" w:noVBand="1"/>
      </w:tblPr>
      <w:tblGrid>
        <w:gridCol w:w="2074"/>
        <w:gridCol w:w="2242"/>
        <w:gridCol w:w="2375"/>
        <w:gridCol w:w="2376"/>
      </w:tblGrid>
      <w:tr w:rsidR="006E3F4D" w:rsidRPr="00C262AC" w14:paraId="481BF9B5" w14:textId="77777777" w:rsidTr="00C02F5A">
        <w:trPr>
          <w:trHeight w:val="487"/>
        </w:trPr>
        <w:tc>
          <w:tcPr>
            <w:tcW w:w="1980" w:type="dxa"/>
            <w:tcBorders>
              <w:top w:val="single" w:sz="2" w:space="0" w:color="000000"/>
              <w:left w:val="single" w:sz="2" w:space="0" w:color="000000"/>
              <w:bottom w:val="single" w:sz="4" w:space="0" w:color="000000"/>
              <w:right w:val="single" w:sz="4" w:space="0" w:color="000000"/>
            </w:tcBorders>
          </w:tcPr>
          <w:p w14:paraId="047C9DA3" w14:textId="77777777" w:rsidR="006E3F4D" w:rsidRPr="00C262AC" w:rsidRDefault="006E3F4D">
            <w:pPr>
              <w:jc w:val="both"/>
              <w:rPr>
                <w:noProof/>
                <w:sz w:val="22"/>
                <w:szCs w:val="22"/>
                <w:lang w:val="sr-Latn-RS"/>
              </w:rPr>
            </w:pPr>
          </w:p>
        </w:tc>
        <w:tc>
          <w:tcPr>
            <w:tcW w:w="2268" w:type="dxa"/>
            <w:tcBorders>
              <w:top w:val="single" w:sz="2" w:space="0" w:color="000000"/>
              <w:left w:val="single" w:sz="4" w:space="0" w:color="000000"/>
              <w:bottom w:val="single" w:sz="4" w:space="0" w:color="000000"/>
              <w:right w:val="single" w:sz="4" w:space="0" w:color="000000"/>
            </w:tcBorders>
            <w:vAlign w:val="center"/>
            <w:hideMark/>
          </w:tcPr>
          <w:p w14:paraId="3BB8389A" w14:textId="77777777" w:rsidR="006E3F4D" w:rsidRPr="00C262AC" w:rsidRDefault="006E3F4D" w:rsidP="00C02F5A">
            <w:pPr>
              <w:jc w:val="center"/>
              <w:rPr>
                <w:noProof/>
                <w:sz w:val="22"/>
                <w:szCs w:val="22"/>
                <w:lang w:val="sr-Latn-RS"/>
              </w:rPr>
            </w:pPr>
            <w:r w:rsidRPr="00C262AC">
              <w:rPr>
                <w:noProof/>
                <w:sz w:val="22"/>
                <w:szCs w:val="22"/>
                <w:lang w:val="sr-Latn-RS"/>
              </w:rPr>
              <w:t>Monoterapija letrozolom</w:t>
            </w:r>
          </w:p>
        </w:tc>
        <w:tc>
          <w:tcPr>
            <w:tcW w:w="2410" w:type="dxa"/>
            <w:tcBorders>
              <w:top w:val="single" w:sz="2" w:space="0" w:color="000000"/>
              <w:left w:val="single" w:sz="4" w:space="0" w:color="000000"/>
              <w:bottom w:val="single" w:sz="4" w:space="0" w:color="000000"/>
              <w:right w:val="single" w:sz="4" w:space="0" w:color="000000"/>
            </w:tcBorders>
            <w:vAlign w:val="center"/>
            <w:hideMark/>
          </w:tcPr>
          <w:p w14:paraId="79004616" w14:textId="69227BC4" w:rsidR="006E3F4D" w:rsidRPr="00C262AC" w:rsidRDefault="006E3F4D" w:rsidP="00C02F5A">
            <w:pPr>
              <w:jc w:val="center"/>
              <w:rPr>
                <w:noProof/>
                <w:sz w:val="22"/>
                <w:szCs w:val="22"/>
                <w:lang w:val="sr-Latn-RS"/>
              </w:rPr>
            </w:pPr>
            <w:r w:rsidRPr="00C262AC">
              <w:rPr>
                <w:noProof/>
                <w:sz w:val="22"/>
                <w:szCs w:val="22"/>
                <w:lang w:val="sr-Latn-RS"/>
              </w:rPr>
              <w:t xml:space="preserve">Letrozol </w:t>
            </w:r>
            <w:r w:rsidR="002872F8" w:rsidRPr="00C262AC">
              <w:rPr>
                <w:noProof/>
                <w:sz w:val="22"/>
                <w:szCs w:val="22"/>
                <w:lang w:val="sr-Latn-RS"/>
              </w:rPr>
              <w:t xml:space="preserve">–&gt; </w:t>
            </w:r>
            <w:r w:rsidRPr="00C262AC">
              <w:rPr>
                <w:noProof/>
                <w:sz w:val="22"/>
                <w:szCs w:val="22"/>
                <w:lang w:val="sr-Latn-RS"/>
              </w:rPr>
              <w:t>tamoksifen</w:t>
            </w:r>
          </w:p>
        </w:tc>
        <w:tc>
          <w:tcPr>
            <w:tcW w:w="2409" w:type="dxa"/>
            <w:tcBorders>
              <w:top w:val="single" w:sz="2" w:space="0" w:color="000000"/>
              <w:left w:val="single" w:sz="4" w:space="0" w:color="000000"/>
              <w:bottom w:val="single" w:sz="4" w:space="0" w:color="000000"/>
              <w:right w:val="single" w:sz="4" w:space="0" w:color="000000"/>
            </w:tcBorders>
            <w:vAlign w:val="center"/>
            <w:hideMark/>
          </w:tcPr>
          <w:p w14:paraId="1A8DAC69" w14:textId="77777777" w:rsidR="006E3F4D" w:rsidRPr="00C262AC" w:rsidRDefault="006E3F4D" w:rsidP="00C02F5A">
            <w:pPr>
              <w:jc w:val="center"/>
              <w:rPr>
                <w:noProof/>
                <w:sz w:val="22"/>
                <w:szCs w:val="22"/>
                <w:lang w:val="sr-Latn-RS"/>
              </w:rPr>
            </w:pPr>
            <w:r w:rsidRPr="00C262AC">
              <w:rPr>
                <w:noProof/>
                <w:sz w:val="22"/>
                <w:szCs w:val="22"/>
                <w:lang w:val="sr-Latn-RS"/>
              </w:rPr>
              <w:t>Tamoksifen –&gt; letrozol</w:t>
            </w:r>
          </w:p>
        </w:tc>
      </w:tr>
      <w:tr w:rsidR="006E3F4D" w:rsidRPr="00C262AC" w14:paraId="3EB24760" w14:textId="77777777" w:rsidTr="00C02F5A">
        <w:trPr>
          <w:trHeight w:val="250"/>
        </w:trPr>
        <w:tc>
          <w:tcPr>
            <w:tcW w:w="1980" w:type="dxa"/>
            <w:tcBorders>
              <w:top w:val="single" w:sz="4" w:space="0" w:color="000000"/>
              <w:left w:val="single" w:sz="2" w:space="0" w:color="000000"/>
              <w:bottom w:val="single" w:sz="4" w:space="0" w:color="000000"/>
              <w:right w:val="single" w:sz="4" w:space="0" w:color="000000"/>
            </w:tcBorders>
          </w:tcPr>
          <w:p w14:paraId="74476C1E" w14:textId="77777777" w:rsidR="006E3F4D" w:rsidRPr="00C262AC" w:rsidRDefault="006E3F4D">
            <w:pPr>
              <w:jc w:val="both"/>
              <w:rPr>
                <w:noProof/>
                <w:sz w:val="22"/>
                <w:szCs w:val="22"/>
                <w:lang w:val="sr-Latn-R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30BB328" w14:textId="77777777" w:rsidR="006E3F4D" w:rsidRPr="00C262AC" w:rsidRDefault="006E3F4D" w:rsidP="00C02F5A">
            <w:pPr>
              <w:jc w:val="center"/>
              <w:rPr>
                <w:noProof/>
                <w:sz w:val="22"/>
                <w:szCs w:val="22"/>
                <w:lang w:val="sr-Latn-RS"/>
              </w:rPr>
            </w:pPr>
            <w:r w:rsidRPr="00C262AC">
              <w:rPr>
                <w:sz w:val="22"/>
                <w:szCs w:val="22"/>
              </w:rPr>
              <w:t>N=1535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2E4F3E7" w14:textId="77777777" w:rsidR="006E3F4D" w:rsidRPr="00C262AC" w:rsidRDefault="006E3F4D" w:rsidP="00C02F5A">
            <w:pPr>
              <w:jc w:val="center"/>
              <w:rPr>
                <w:noProof/>
                <w:sz w:val="22"/>
                <w:szCs w:val="22"/>
                <w:lang w:val="sr-Latn-RS"/>
              </w:rPr>
            </w:pPr>
            <w:r w:rsidRPr="00C262AC">
              <w:rPr>
                <w:sz w:val="22"/>
                <w:szCs w:val="22"/>
              </w:rPr>
              <w:t>N=1527</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46DADD3" w14:textId="77777777" w:rsidR="006E3F4D" w:rsidRPr="00C262AC" w:rsidRDefault="006E3F4D" w:rsidP="00C02F5A">
            <w:pPr>
              <w:jc w:val="center"/>
              <w:rPr>
                <w:noProof/>
                <w:sz w:val="22"/>
                <w:szCs w:val="22"/>
                <w:lang w:val="sr-Latn-RS"/>
              </w:rPr>
            </w:pPr>
            <w:r w:rsidRPr="00C262AC">
              <w:rPr>
                <w:sz w:val="22"/>
                <w:szCs w:val="22"/>
              </w:rPr>
              <w:t>N=1541</w:t>
            </w:r>
          </w:p>
        </w:tc>
      </w:tr>
      <w:tr w:rsidR="006E3F4D" w:rsidRPr="00C262AC" w14:paraId="1000A649" w14:textId="77777777" w:rsidTr="00C02F5A">
        <w:trPr>
          <w:trHeight w:val="250"/>
        </w:trPr>
        <w:tc>
          <w:tcPr>
            <w:tcW w:w="1980" w:type="dxa"/>
            <w:tcBorders>
              <w:top w:val="single" w:sz="4" w:space="0" w:color="000000"/>
              <w:left w:val="single" w:sz="2" w:space="0" w:color="000000"/>
              <w:bottom w:val="single" w:sz="4" w:space="0" w:color="000000"/>
              <w:right w:val="single" w:sz="4" w:space="0" w:color="000000"/>
            </w:tcBorders>
          </w:tcPr>
          <w:p w14:paraId="586911E7" w14:textId="77777777" w:rsidR="006E3F4D" w:rsidRPr="00C262AC" w:rsidRDefault="006E3F4D">
            <w:pPr>
              <w:jc w:val="both"/>
              <w:rPr>
                <w:noProof/>
                <w:sz w:val="22"/>
                <w:szCs w:val="22"/>
                <w:lang w:val="sr-Latn-R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1E0B790" w14:textId="77777777" w:rsidR="006E3F4D" w:rsidRPr="00C262AC" w:rsidRDefault="006E3F4D" w:rsidP="00C02F5A">
            <w:pPr>
              <w:jc w:val="center"/>
              <w:rPr>
                <w:noProof/>
                <w:sz w:val="22"/>
                <w:szCs w:val="22"/>
                <w:lang w:val="sr-Latn-RS"/>
              </w:rPr>
            </w:pPr>
            <w:r w:rsidRPr="00C262AC">
              <w:rPr>
                <w:sz w:val="22"/>
                <w:szCs w:val="22"/>
              </w:rPr>
              <w:t xml:space="preserve">5 </w:t>
            </w:r>
            <w:proofErr w:type="spellStart"/>
            <w:r w:rsidRPr="00C262AC">
              <w:rPr>
                <w:sz w:val="22"/>
                <w:szCs w:val="22"/>
              </w:rPr>
              <w:t>godina</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4EEF7B0" w14:textId="6BBEE06D" w:rsidR="006E3F4D" w:rsidRPr="00C262AC" w:rsidRDefault="006E3F4D" w:rsidP="00C02F5A">
            <w:pPr>
              <w:jc w:val="center"/>
              <w:rPr>
                <w:noProof/>
                <w:sz w:val="22"/>
                <w:szCs w:val="22"/>
                <w:lang w:val="sr-Latn-RS"/>
              </w:rPr>
            </w:pPr>
            <w:r w:rsidRPr="00C262AC">
              <w:rPr>
                <w:sz w:val="22"/>
                <w:szCs w:val="22"/>
              </w:rPr>
              <w:t xml:space="preserve">2 </w:t>
            </w:r>
            <w:proofErr w:type="spellStart"/>
            <w:r w:rsidRPr="00C262AC">
              <w:rPr>
                <w:sz w:val="22"/>
                <w:szCs w:val="22"/>
              </w:rPr>
              <w:t>godine</w:t>
            </w:r>
            <w:proofErr w:type="spellEnd"/>
            <w:r w:rsidR="002872F8" w:rsidRPr="00C262AC">
              <w:rPr>
                <w:sz w:val="22"/>
                <w:szCs w:val="22"/>
              </w:rPr>
              <w:t xml:space="preserve"> </w:t>
            </w:r>
            <w:r w:rsidR="002872F8" w:rsidRPr="00C262AC">
              <w:rPr>
                <w:noProof/>
                <w:sz w:val="22"/>
                <w:szCs w:val="22"/>
                <w:lang w:val="sr-Latn-RS"/>
              </w:rPr>
              <w:t>–&gt;</w:t>
            </w:r>
            <w:r w:rsidRPr="00C262AC">
              <w:rPr>
                <w:sz w:val="22"/>
                <w:szCs w:val="22"/>
              </w:rPr>
              <w:t xml:space="preserve"> 3 </w:t>
            </w:r>
            <w:proofErr w:type="spellStart"/>
            <w:r w:rsidRPr="00C262AC">
              <w:rPr>
                <w:sz w:val="22"/>
                <w:szCs w:val="22"/>
              </w:rPr>
              <w:t>godine</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EA0F5C0" w14:textId="435531E2" w:rsidR="006E3F4D" w:rsidRPr="00C262AC" w:rsidRDefault="006E3F4D" w:rsidP="00C02F5A">
            <w:pPr>
              <w:jc w:val="center"/>
              <w:rPr>
                <w:noProof/>
                <w:sz w:val="22"/>
                <w:szCs w:val="22"/>
                <w:lang w:val="sr-Latn-RS"/>
              </w:rPr>
            </w:pPr>
            <w:r w:rsidRPr="00C262AC">
              <w:rPr>
                <w:sz w:val="22"/>
                <w:szCs w:val="22"/>
              </w:rPr>
              <w:t xml:space="preserve">2 </w:t>
            </w:r>
            <w:proofErr w:type="spellStart"/>
            <w:r w:rsidRPr="00C262AC">
              <w:rPr>
                <w:sz w:val="22"/>
                <w:szCs w:val="22"/>
              </w:rPr>
              <w:t>godine</w:t>
            </w:r>
            <w:proofErr w:type="spellEnd"/>
            <w:r w:rsidR="002872F8" w:rsidRPr="00C262AC">
              <w:rPr>
                <w:sz w:val="22"/>
                <w:szCs w:val="22"/>
              </w:rPr>
              <w:t xml:space="preserve"> </w:t>
            </w:r>
            <w:r w:rsidR="002872F8" w:rsidRPr="00C262AC">
              <w:rPr>
                <w:noProof/>
                <w:sz w:val="22"/>
                <w:szCs w:val="22"/>
                <w:lang w:val="sr-Latn-RS"/>
              </w:rPr>
              <w:t>–&gt;</w:t>
            </w:r>
            <w:r w:rsidRPr="00C262AC">
              <w:rPr>
                <w:sz w:val="22"/>
                <w:szCs w:val="22"/>
              </w:rPr>
              <w:t xml:space="preserve"> 3 </w:t>
            </w:r>
            <w:proofErr w:type="spellStart"/>
            <w:r w:rsidRPr="00C262AC">
              <w:rPr>
                <w:sz w:val="22"/>
                <w:szCs w:val="22"/>
              </w:rPr>
              <w:t>godine</w:t>
            </w:r>
            <w:proofErr w:type="spellEnd"/>
          </w:p>
        </w:tc>
      </w:tr>
      <w:tr w:rsidR="006E3F4D" w:rsidRPr="00C262AC" w14:paraId="1FDD61B0" w14:textId="77777777" w:rsidTr="00C02F5A">
        <w:trPr>
          <w:trHeight w:val="250"/>
        </w:trPr>
        <w:tc>
          <w:tcPr>
            <w:tcW w:w="1980" w:type="dxa"/>
            <w:tcBorders>
              <w:top w:val="single" w:sz="4" w:space="0" w:color="000000"/>
              <w:left w:val="single" w:sz="2" w:space="0" w:color="000000"/>
              <w:bottom w:val="single" w:sz="4" w:space="0" w:color="000000"/>
              <w:right w:val="single" w:sz="4" w:space="0" w:color="000000"/>
            </w:tcBorders>
            <w:hideMark/>
          </w:tcPr>
          <w:p w14:paraId="03F808B4" w14:textId="77777777" w:rsidR="006E3F4D" w:rsidRPr="00C262AC" w:rsidRDefault="006E3F4D">
            <w:pPr>
              <w:jc w:val="both"/>
              <w:rPr>
                <w:noProof/>
                <w:sz w:val="22"/>
                <w:szCs w:val="22"/>
                <w:lang w:val="sr-Latn-RS"/>
              </w:rPr>
            </w:pPr>
            <w:r w:rsidRPr="00C262AC">
              <w:rPr>
                <w:noProof/>
                <w:sz w:val="22"/>
                <w:szCs w:val="22"/>
                <w:lang w:val="sr-Latn-RS"/>
              </w:rPr>
              <w:t>Prelom kostiju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D728E1F" w14:textId="77777777" w:rsidR="006E3F4D" w:rsidRPr="00C262AC" w:rsidRDefault="006E3F4D" w:rsidP="00C02F5A">
            <w:pPr>
              <w:jc w:val="center"/>
              <w:rPr>
                <w:noProof/>
                <w:sz w:val="22"/>
                <w:szCs w:val="22"/>
                <w:lang w:val="sr-Latn-RS"/>
              </w:rPr>
            </w:pPr>
            <w:r w:rsidRPr="00C262AC">
              <w:rPr>
                <w:noProof/>
                <w:sz w:val="22"/>
                <w:szCs w:val="22"/>
                <w:lang w:val="sr-Latn-RS"/>
              </w:rPr>
              <w:t>10,0%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EC325F7" w14:textId="77777777" w:rsidR="006E3F4D" w:rsidRPr="00C262AC" w:rsidRDefault="006E3F4D" w:rsidP="00C02F5A">
            <w:pPr>
              <w:jc w:val="center"/>
              <w:rPr>
                <w:noProof/>
                <w:sz w:val="22"/>
                <w:szCs w:val="22"/>
                <w:lang w:val="sr-Latn-RS"/>
              </w:rPr>
            </w:pPr>
            <w:r w:rsidRPr="00C262AC">
              <w:rPr>
                <w:noProof/>
                <w:sz w:val="22"/>
                <w:szCs w:val="22"/>
                <w:lang w:val="sr-Latn-RS"/>
              </w:rPr>
              <w:t>7,7%*</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F941B04" w14:textId="77777777" w:rsidR="006E3F4D" w:rsidRPr="00C262AC" w:rsidRDefault="006E3F4D" w:rsidP="00C02F5A">
            <w:pPr>
              <w:jc w:val="center"/>
              <w:rPr>
                <w:noProof/>
                <w:sz w:val="22"/>
                <w:szCs w:val="22"/>
                <w:lang w:val="sr-Latn-RS"/>
              </w:rPr>
            </w:pPr>
            <w:r w:rsidRPr="00C262AC">
              <w:rPr>
                <w:noProof/>
                <w:sz w:val="22"/>
                <w:szCs w:val="22"/>
                <w:lang w:val="sr-Latn-RS"/>
              </w:rPr>
              <w:t>9,7%</w:t>
            </w:r>
          </w:p>
        </w:tc>
      </w:tr>
      <w:tr w:rsidR="006E3F4D" w:rsidRPr="00C262AC" w14:paraId="007C98FB" w14:textId="77777777" w:rsidTr="00C02F5A">
        <w:trPr>
          <w:trHeight w:val="720"/>
        </w:trPr>
        <w:tc>
          <w:tcPr>
            <w:tcW w:w="1980" w:type="dxa"/>
            <w:tcBorders>
              <w:top w:val="single" w:sz="4" w:space="0" w:color="000000"/>
              <w:left w:val="single" w:sz="2" w:space="0" w:color="000000"/>
              <w:bottom w:val="single" w:sz="4" w:space="0" w:color="000000"/>
              <w:right w:val="single" w:sz="4" w:space="0" w:color="000000"/>
            </w:tcBorders>
            <w:hideMark/>
          </w:tcPr>
          <w:p w14:paraId="0AF972E2" w14:textId="5A611EC0" w:rsidR="006E3F4D" w:rsidRPr="00C262AC" w:rsidRDefault="006D0997">
            <w:pPr>
              <w:jc w:val="both"/>
              <w:rPr>
                <w:noProof/>
                <w:sz w:val="22"/>
                <w:szCs w:val="22"/>
                <w:lang w:val="sr-Latn-RS"/>
              </w:rPr>
            </w:pPr>
            <w:r w:rsidRPr="00C262AC">
              <w:rPr>
                <w:noProof/>
                <w:sz w:val="22"/>
                <w:szCs w:val="22"/>
                <w:lang w:val="sr-Latn-RS"/>
              </w:rPr>
              <w:t>Proliferativni poremećaji endometrija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EB908B1" w14:textId="77777777" w:rsidR="006E3F4D" w:rsidRPr="00C262AC" w:rsidRDefault="006E3F4D" w:rsidP="00C02F5A">
            <w:pPr>
              <w:jc w:val="center"/>
              <w:rPr>
                <w:noProof/>
                <w:sz w:val="22"/>
                <w:szCs w:val="22"/>
                <w:lang w:val="sr-Latn-RS"/>
              </w:rPr>
            </w:pPr>
            <w:r w:rsidRPr="00C262AC">
              <w:rPr>
                <w:noProof/>
                <w:sz w:val="22"/>
                <w:szCs w:val="22"/>
                <w:lang w:val="sr-Latn-RS"/>
              </w:rPr>
              <w:t>0.7%</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B8F37CE" w14:textId="77777777" w:rsidR="006E3F4D" w:rsidRPr="00C262AC" w:rsidRDefault="006E3F4D" w:rsidP="00C02F5A">
            <w:pPr>
              <w:jc w:val="center"/>
              <w:rPr>
                <w:noProof/>
                <w:sz w:val="22"/>
                <w:szCs w:val="22"/>
                <w:lang w:val="sr-Latn-RS"/>
              </w:rPr>
            </w:pPr>
            <w:r w:rsidRPr="00C262AC">
              <w:rPr>
                <w:noProof/>
                <w:sz w:val="22"/>
                <w:szCs w:val="22"/>
                <w:lang w:val="sr-Latn-RS"/>
              </w:rPr>
              <w:t>3.4%**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05CBAF2" w14:textId="77777777" w:rsidR="006E3F4D" w:rsidRPr="00C262AC" w:rsidRDefault="006E3F4D" w:rsidP="00C02F5A">
            <w:pPr>
              <w:jc w:val="center"/>
              <w:rPr>
                <w:noProof/>
                <w:sz w:val="22"/>
                <w:szCs w:val="22"/>
                <w:lang w:val="sr-Latn-RS"/>
              </w:rPr>
            </w:pPr>
            <w:r w:rsidRPr="00C262AC">
              <w:rPr>
                <w:noProof/>
                <w:sz w:val="22"/>
                <w:szCs w:val="22"/>
                <w:lang w:val="sr-Latn-RS"/>
              </w:rPr>
              <w:t>1.7%**</w:t>
            </w:r>
          </w:p>
        </w:tc>
      </w:tr>
      <w:tr w:rsidR="006E3F4D" w:rsidRPr="00C262AC" w14:paraId="378CE29D" w14:textId="77777777" w:rsidTr="00C02F5A">
        <w:trPr>
          <w:trHeight w:val="250"/>
        </w:trPr>
        <w:tc>
          <w:tcPr>
            <w:tcW w:w="1980" w:type="dxa"/>
            <w:tcBorders>
              <w:top w:val="single" w:sz="4" w:space="0" w:color="000000"/>
              <w:left w:val="single" w:sz="2" w:space="0" w:color="000000"/>
              <w:bottom w:val="single" w:sz="4" w:space="0" w:color="000000"/>
              <w:right w:val="single" w:sz="4" w:space="0" w:color="000000"/>
            </w:tcBorders>
            <w:hideMark/>
          </w:tcPr>
          <w:p w14:paraId="4705781A" w14:textId="5DA310A0" w:rsidR="006E3F4D" w:rsidRPr="00C262AC" w:rsidRDefault="006D0997">
            <w:pPr>
              <w:jc w:val="both"/>
              <w:rPr>
                <w:noProof/>
                <w:sz w:val="22"/>
                <w:szCs w:val="22"/>
                <w:lang w:val="sr-Latn-RS"/>
              </w:rPr>
            </w:pPr>
            <w:r w:rsidRPr="00C262AC">
              <w:rPr>
                <w:bCs/>
                <w:sz w:val="22"/>
                <w:szCs w:val="22"/>
                <w:lang w:val="sr-Latn-RS"/>
              </w:rPr>
              <w:t>Hiperholesterolemija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7DD5806" w14:textId="77777777" w:rsidR="006E3F4D" w:rsidRPr="00C262AC" w:rsidRDefault="006E3F4D" w:rsidP="00C02F5A">
            <w:pPr>
              <w:jc w:val="center"/>
              <w:rPr>
                <w:noProof/>
                <w:sz w:val="22"/>
                <w:szCs w:val="22"/>
                <w:lang w:val="sr-Latn-RS"/>
              </w:rPr>
            </w:pPr>
            <w:r w:rsidRPr="00C262AC">
              <w:rPr>
                <w:noProof/>
                <w:sz w:val="22"/>
                <w:szCs w:val="22"/>
                <w:lang w:val="sr-Latn-RS"/>
              </w:rPr>
              <w:t>52.5%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869D6B" w14:textId="77777777" w:rsidR="006E3F4D" w:rsidRPr="00C262AC" w:rsidRDefault="006E3F4D" w:rsidP="00C02F5A">
            <w:pPr>
              <w:jc w:val="center"/>
              <w:rPr>
                <w:noProof/>
                <w:sz w:val="22"/>
                <w:szCs w:val="22"/>
                <w:lang w:val="sr-Latn-RS"/>
              </w:rPr>
            </w:pPr>
            <w:r w:rsidRPr="00C262AC">
              <w:rPr>
                <w:noProof/>
                <w:sz w:val="22"/>
                <w:szCs w:val="22"/>
                <w:lang w:val="sr-Latn-RS"/>
              </w:rPr>
              <w:t>44.2%*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451F766" w14:textId="77777777" w:rsidR="006E3F4D" w:rsidRPr="00C262AC" w:rsidRDefault="006E3F4D" w:rsidP="00C02F5A">
            <w:pPr>
              <w:jc w:val="center"/>
              <w:rPr>
                <w:noProof/>
                <w:sz w:val="22"/>
                <w:szCs w:val="22"/>
                <w:lang w:val="sr-Latn-RS"/>
              </w:rPr>
            </w:pPr>
            <w:r w:rsidRPr="00C262AC">
              <w:rPr>
                <w:noProof/>
                <w:sz w:val="22"/>
                <w:szCs w:val="22"/>
                <w:lang w:val="sr-Latn-RS"/>
              </w:rPr>
              <w:t>40.8%*</w:t>
            </w:r>
          </w:p>
        </w:tc>
      </w:tr>
      <w:tr w:rsidR="006E3F4D" w:rsidRPr="00C262AC" w14:paraId="058A051E" w14:textId="77777777" w:rsidTr="00C02F5A">
        <w:trPr>
          <w:trHeight w:val="245"/>
        </w:trPr>
        <w:tc>
          <w:tcPr>
            <w:tcW w:w="1980" w:type="dxa"/>
            <w:tcBorders>
              <w:top w:val="single" w:sz="4" w:space="0" w:color="000000"/>
              <w:left w:val="single" w:sz="2" w:space="0" w:color="000000"/>
              <w:bottom w:val="single" w:sz="4" w:space="0" w:color="000000"/>
              <w:right w:val="single" w:sz="4" w:space="0" w:color="000000"/>
            </w:tcBorders>
            <w:hideMark/>
          </w:tcPr>
          <w:p w14:paraId="32DE83B8" w14:textId="53C1B26D" w:rsidR="006E3F4D" w:rsidRPr="00C262AC" w:rsidRDefault="006D0997">
            <w:pPr>
              <w:jc w:val="both"/>
              <w:rPr>
                <w:noProof/>
                <w:sz w:val="22"/>
                <w:szCs w:val="22"/>
                <w:lang w:val="sr-Latn-RS"/>
              </w:rPr>
            </w:pPr>
            <w:r w:rsidRPr="00C262AC">
              <w:rPr>
                <w:bCs/>
                <w:sz w:val="22"/>
                <w:szCs w:val="22"/>
                <w:lang w:val="sr-Latn-RS"/>
              </w:rPr>
              <w:lastRenderedPageBreak/>
              <w:t>Navale vr</w:t>
            </w:r>
            <w:r w:rsidR="002626D6" w:rsidRPr="00C262AC">
              <w:rPr>
                <w:bCs/>
                <w:sz w:val="22"/>
                <w:szCs w:val="22"/>
                <w:lang w:val="sr-Latn-RS"/>
              </w:rPr>
              <w:t>ućine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D6FE5CA" w14:textId="77777777" w:rsidR="006E3F4D" w:rsidRPr="00C262AC" w:rsidRDefault="006E3F4D" w:rsidP="00C02F5A">
            <w:pPr>
              <w:jc w:val="center"/>
              <w:rPr>
                <w:noProof/>
                <w:sz w:val="22"/>
                <w:szCs w:val="22"/>
                <w:lang w:val="sr-Latn-RS"/>
              </w:rPr>
            </w:pPr>
            <w:r w:rsidRPr="00C262AC">
              <w:rPr>
                <w:noProof/>
                <w:sz w:val="22"/>
                <w:szCs w:val="22"/>
                <w:lang w:val="sr-Latn-RS"/>
              </w:rPr>
              <w:t>37,6%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8CF35D8" w14:textId="77777777" w:rsidR="006E3F4D" w:rsidRPr="00C262AC" w:rsidRDefault="006E3F4D" w:rsidP="00C02F5A">
            <w:pPr>
              <w:jc w:val="center"/>
              <w:rPr>
                <w:noProof/>
                <w:sz w:val="22"/>
                <w:szCs w:val="22"/>
                <w:lang w:val="sr-Latn-RS"/>
              </w:rPr>
            </w:pPr>
            <w:r w:rsidRPr="00C262AC">
              <w:rPr>
                <w:noProof/>
                <w:sz w:val="22"/>
                <w:szCs w:val="22"/>
                <w:lang w:val="sr-Latn-RS"/>
              </w:rPr>
              <w:t>41.7%**</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05199E6" w14:textId="77777777" w:rsidR="006E3F4D" w:rsidRPr="00C262AC" w:rsidRDefault="006E3F4D" w:rsidP="00C02F5A">
            <w:pPr>
              <w:jc w:val="center"/>
              <w:rPr>
                <w:noProof/>
                <w:sz w:val="22"/>
                <w:szCs w:val="22"/>
                <w:lang w:val="sr-Latn-RS"/>
              </w:rPr>
            </w:pPr>
            <w:r w:rsidRPr="00C262AC">
              <w:rPr>
                <w:noProof/>
                <w:sz w:val="22"/>
                <w:szCs w:val="22"/>
                <w:lang w:val="sr-Latn-RS"/>
              </w:rPr>
              <w:t>43.9%**</w:t>
            </w:r>
          </w:p>
        </w:tc>
      </w:tr>
      <w:tr w:rsidR="006E3F4D" w:rsidRPr="00C262AC" w14:paraId="7B494B63" w14:textId="77777777" w:rsidTr="00C02F5A">
        <w:trPr>
          <w:trHeight w:val="245"/>
        </w:trPr>
        <w:tc>
          <w:tcPr>
            <w:tcW w:w="1980" w:type="dxa"/>
            <w:tcBorders>
              <w:top w:val="single" w:sz="4" w:space="0" w:color="000000"/>
              <w:left w:val="single" w:sz="2" w:space="0" w:color="000000"/>
              <w:bottom w:val="single" w:sz="4" w:space="0" w:color="000000"/>
              <w:right w:val="single" w:sz="4" w:space="0" w:color="000000"/>
            </w:tcBorders>
            <w:hideMark/>
          </w:tcPr>
          <w:p w14:paraId="1AF30D6B" w14:textId="48E6D371" w:rsidR="006E3F4D" w:rsidRPr="00C262AC" w:rsidRDefault="006D0997">
            <w:pPr>
              <w:jc w:val="both"/>
              <w:rPr>
                <w:noProof/>
                <w:sz w:val="22"/>
                <w:szCs w:val="22"/>
                <w:lang w:val="sr-Latn-RS"/>
              </w:rPr>
            </w:pPr>
            <w:r w:rsidRPr="00C262AC">
              <w:rPr>
                <w:bCs/>
                <w:sz w:val="22"/>
                <w:szCs w:val="22"/>
                <w:lang w:val="sr-Latn-RS"/>
              </w:rPr>
              <w:t>Vaginalne hemoragije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9567A37" w14:textId="77777777" w:rsidR="006E3F4D" w:rsidRPr="00C262AC" w:rsidRDefault="006E3F4D" w:rsidP="00C02F5A">
            <w:pPr>
              <w:jc w:val="center"/>
              <w:rPr>
                <w:noProof/>
                <w:sz w:val="22"/>
                <w:szCs w:val="22"/>
                <w:lang w:val="sr-Latn-RS"/>
              </w:rPr>
            </w:pPr>
            <w:r w:rsidRPr="00C262AC">
              <w:rPr>
                <w:noProof/>
                <w:sz w:val="22"/>
                <w:szCs w:val="22"/>
                <w:lang w:val="sr-Latn-RS"/>
              </w:rPr>
              <w:t>6.3 %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9B809A" w14:textId="77777777" w:rsidR="006E3F4D" w:rsidRPr="00C262AC" w:rsidRDefault="006E3F4D" w:rsidP="00C02F5A">
            <w:pPr>
              <w:jc w:val="center"/>
              <w:rPr>
                <w:noProof/>
                <w:sz w:val="22"/>
                <w:szCs w:val="22"/>
                <w:lang w:val="sr-Latn-RS"/>
              </w:rPr>
            </w:pPr>
            <w:r w:rsidRPr="00C262AC">
              <w:rPr>
                <w:noProof/>
                <w:sz w:val="22"/>
                <w:szCs w:val="22"/>
                <w:lang w:val="sr-Latn-RS"/>
              </w:rPr>
              <w:t>9.6%**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9A147B9" w14:textId="77777777" w:rsidR="006E3F4D" w:rsidRPr="00C262AC" w:rsidRDefault="006E3F4D" w:rsidP="00C02F5A">
            <w:pPr>
              <w:jc w:val="center"/>
              <w:rPr>
                <w:noProof/>
                <w:sz w:val="22"/>
                <w:szCs w:val="22"/>
                <w:lang w:val="sr-Latn-RS"/>
              </w:rPr>
            </w:pPr>
            <w:r w:rsidRPr="00C262AC">
              <w:rPr>
                <w:noProof/>
                <w:sz w:val="22"/>
                <w:szCs w:val="22"/>
                <w:lang w:val="sr-Latn-RS"/>
              </w:rPr>
              <w:t>12.7%**</w:t>
            </w:r>
          </w:p>
        </w:tc>
      </w:tr>
      <w:tr w:rsidR="006E3F4D" w:rsidRPr="00C262AC" w14:paraId="2F65D982" w14:textId="77777777" w:rsidTr="00C02F5A">
        <w:trPr>
          <w:trHeight w:val="962"/>
        </w:trPr>
        <w:tc>
          <w:tcPr>
            <w:tcW w:w="9067" w:type="dxa"/>
            <w:gridSpan w:val="4"/>
            <w:tcBorders>
              <w:top w:val="single" w:sz="4" w:space="0" w:color="000000"/>
              <w:left w:val="single" w:sz="2" w:space="0" w:color="000000"/>
              <w:bottom w:val="single" w:sz="2" w:space="0" w:color="000000"/>
              <w:right w:val="single" w:sz="4" w:space="0" w:color="000000"/>
            </w:tcBorders>
            <w:hideMark/>
          </w:tcPr>
          <w:p w14:paraId="45DE043C" w14:textId="77777777" w:rsidR="006E3F4D" w:rsidRPr="00C262AC" w:rsidRDefault="006E3F4D">
            <w:pPr>
              <w:jc w:val="both"/>
              <w:rPr>
                <w:noProof/>
                <w:sz w:val="22"/>
                <w:szCs w:val="22"/>
                <w:lang w:val="sr-Latn-RS"/>
              </w:rPr>
            </w:pPr>
            <w:r w:rsidRPr="00C262AC">
              <w:rPr>
                <w:noProof/>
                <w:sz w:val="22"/>
                <w:szCs w:val="22"/>
                <w:lang w:val="sr-Latn-RS"/>
              </w:rPr>
              <w:t>* Značajno manje u odnosu na monoterapiju letrozolom</w:t>
            </w:r>
          </w:p>
          <w:p w14:paraId="71554198" w14:textId="77777777" w:rsidR="006E3F4D" w:rsidRPr="00C262AC" w:rsidRDefault="006E3F4D">
            <w:pPr>
              <w:jc w:val="both"/>
              <w:rPr>
                <w:noProof/>
                <w:sz w:val="22"/>
                <w:szCs w:val="22"/>
                <w:lang w:val="sr-Latn-RS"/>
              </w:rPr>
            </w:pPr>
            <w:r w:rsidRPr="00C262AC">
              <w:rPr>
                <w:noProof/>
                <w:sz w:val="22"/>
                <w:szCs w:val="22"/>
                <w:lang w:val="sr-Latn-RS"/>
              </w:rPr>
              <w:t>** Značajno više u odnosu na monoterapiju letrozolom</w:t>
            </w:r>
          </w:p>
          <w:p w14:paraId="6EC24F37" w14:textId="77777777" w:rsidR="006E3F4D" w:rsidRPr="00C262AC" w:rsidRDefault="006E3F4D">
            <w:pPr>
              <w:jc w:val="both"/>
              <w:rPr>
                <w:noProof/>
                <w:sz w:val="22"/>
                <w:szCs w:val="22"/>
                <w:lang w:val="sr-Latn-RS"/>
              </w:rPr>
            </w:pPr>
            <w:r w:rsidRPr="00C262AC">
              <w:rPr>
                <w:noProof/>
                <w:sz w:val="22"/>
                <w:szCs w:val="22"/>
                <w:lang w:val="sr-Latn-RS"/>
              </w:rPr>
              <w:t xml:space="preserve">Napomena: </w:t>
            </w:r>
            <w:r w:rsidRPr="00C262AC">
              <w:rPr>
                <w:sz w:val="22"/>
                <w:szCs w:val="22"/>
                <w:lang w:val="sr-Latn-RS"/>
              </w:rPr>
              <w:t>Period u kom su zabilježene reakcije je tokom terapije plus 30 dana nakon perioda terapije.</w:t>
            </w:r>
          </w:p>
        </w:tc>
      </w:tr>
    </w:tbl>
    <w:p w14:paraId="715612AF" w14:textId="77777777" w:rsidR="006E3F4D" w:rsidRPr="00C262AC" w:rsidRDefault="006E3F4D">
      <w:pPr>
        <w:pStyle w:val="Header"/>
        <w:tabs>
          <w:tab w:val="left" w:pos="284"/>
        </w:tabs>
        <w:ind w:left="180" w:hanging="180"/>
        <w:jc w:val="both"/>
        <w:rPr>
          <w:sz w:val="22"/>
          <w:szCs w:val="22"/>
          <w:lang w:val="sr-Latn-RS"/>
        </w:rPr>
      </w:pPr>
    </w:p>
    <w:p w14:paraId="0E17C833" w14:textId="77777777" w:rsidR="006E3F4D" w:rsidRPr="00C262AC" w:rsidRDefault="006E3F4D">
      <w:pPr>
        <w:pStyle w:val="Header"/>
        <w:ind w:left="180" w:hanging="180"/>
        <w:jc w:val="both"/>
        <w:rPr>
          <w:sz w:val="22"/>
          <w:szCs w:val="22"/>
          <w:u w:val="single"/>
          <w:lang w:val="sr-Latn-RS"/>
        </w:rPr>
      </w:pPr>
      <w:r w:rsidRPr="00C262AC">
        <w:rPr>
          <w:sz w:val="22"/>
          <w:szCs w:val="22"/>
          <w:u w:val="single"/>
          <w:lang w:val="sr-Latn-RS"/>
        </w:rPr>
        <w:t>Opis određenih neželjenih reakcija</w:t>
      </w:r>
    </w:p>
    <w:p w14:paraId="4168137C" w14:textId="77777777" w:rsidR="006E3F4D" w:rsidRPr="00C262AC" w:rsidRDefault="006E3F4D">
      <w:pPr>
        <w:pStyle w:val="Header"/>
        <w:ind w:left="180" w:hanging="180"/>
        <w:jc w:val="both"/>
        <w:rPr>
          <w:i/>
          <w:sz w:val="22"/>
          <w:szCs w:val="22"/>
          <w:lang w:val="sr-Latn-RS"/>
        </w:rPr>
      </w:pPr>
    </w:p>
    <w:p w14:paraId="50C05669" w14:textId="77777777" w:rsidR="006E3F4D" w:rsidRPr="00C262AC" w:rsidRDefault="006E3F4D">
      <w:pPr>
        <w:pStyle w:val="Header"/>
        <w:ind w:left="180" w:hanging="180"/>
        <w:jc w:val="both"/>
        <w:rPr>
          <w:i/>
          <w:sz w:val="22"/>
          <w:szCs w:val="22"/>
          <w:lang w:val="sr-Latn-RS"/>
        </w:rPr>
      </w:pPr>
      <w:r w:rsidRPr="00C262AC">
        <w:rPr>
          <w:i/>
          <w:sz w:val="22"/>
          <w:szCs w:val="22"/>
          <w:lang w:val="sr-Latn-RS"/>
        </w:rPr>
        <w:t>Kardiološke neželjene reakcije</w:t>
      </w:r>
    </w:p>
    <w:p w14:paraId="7DBFD63A" w14:textId="52AF4E93" w:rsidR="006E3F4D" w:rsidRPr="00C262AC" w:rsidRDefault="006E3F4D">
      <w:pPr>
        <w:pStyle w:val="Header"/>
        <w:jc w:val="both"/>
        <w:rPr>
          <w:sz w:val="22"/>
          <w:szCs w:val="22"/>
          <w:lang w:val="sr-Latn-RS"/>
        </w:rPr>
      </w:pPr>
      <w:r w:rsidRPr="00C262AC">
        <w:rPr>
          <w:sz w:val="22"/>
          <w:szCs w:val="22"/>
          <w:lang w:val="sr-Latn-RS"/>
        </w:rPr>
        <w:t xml:space="preserve">Kod adjuvantne terapije, pored podataka datih u Tabeli 2, sljedeća neželjena </w:t>
      </w:r>
      <w:r w:rsidRPr="00C262AC">
        <w:rPr>
          <w:bCs/>
          <w:sz w:val="22"/>
          <w:szCs w:val="22"/>
          <w:lang w:val="sr-Latn-RS"/>
        </w:rPr>
        <w:t>dejstva su bila zabilježena pri primjeni letrozola i tamoksifena, redom (medijana trajanja terapije od 60 mjeseci plus 30 dana):</w:t>
      </w:r>
      <w:r w:rsidR="002872F8" w:rsidRPr="00C262AC">
        <w:rPr>
          <w:bCs/>
          <w:sz w:val="22"/>
          <w:szCs w:val="22"/>
          <w:lang w:val="sr-Latn-RS"/>
        </w:rPr>
        <w:t xml:space="preserve"> </w:t>
      </w:r>
      <w:r w:rsidRPr="00C262AC">
        <w:rPr>
          <w:sz w:val="22"/>
          <w:szCs w:val="22"/>
          <w:lang w:val="sr-Latn-RS"/>
        </w:rPr>
        <w:t>angina koja zahteva hiruršku intervenciju (1.0% prema 1.0%); srčana slabost (1.1% prema 0.6%); hipertenzija (5.6% prema 5.7%); cerebrovaskularni insult/prolazni ishemijski</w:t>
      </w:r>
      <w:r w:rsidR="006D0997" w:rsidRPr="00C262AC">
        <w:rPr>
          <w:sz w:val="22"/>
          <w:szCs w:val="22"/>
          <w:lang w:val="sr-Latn-RS"/>
        </w:rPr>
        <w:t xml:space="preserve"> </w:t>
      </w:r>
      <w:r w:rsidRPr="00C262AC">
        <w:rPr>
          <w:sz w:val="22"/>
          <w:szCs w:val="22"/>
          <w:lang w:val="sr-Latn-RS"/>
        </w:rPr>
        <w:t>napad (2.1% prema 1.9%).</w:t>
      </w:r>
    </w:p>
    <w:p w14:paraId="438A7857" w14:textId="77777777" w:rsidR="006E3F4D" w:rsidRPr="00C262AC" w:rsidRDefault="006E3F4D">
      <w:pPr>
        <w:pStyle w:val="Header"/>
        <w:ind w:left="180" w:hanging="180"/>
        <w:jc w:val="both"/>
        <w:rPr>
          <w:sz w:val="22"/>
          <w:szCs w:val="22"/>
          <w:lang w:val="sr-Latn-RS"/>
        </w:rPr>
      </w:pPr>
    </w:p>
    <w:p w14:paraId="32377274" w14:textId="77777777" w:rsidR="006E3F4D" w:rsidRPr="00C262AC" w:rsidRDefault="006E3F4D">
      <w:pPr>
        <w:pStyle w:val="Header"/>
        <w:jc w:val="both"/>
        <w:rPr>
          <w:sz w:val="22"/>
          <w:szCs w:val="22"/>
          <w:lang w:val="sr-Latn-RS"/>
        </w:rPr>
      </w:pPr>
      <w:r w:rsidRPr="00C262AC">
        <w:rPr>
          <w:sz w:val="22"/>
          <w:szCs w:val="22"/>
          <w:lang w:val="sr-Latn-RS"/>
        </w:rPr>
        <w:t>Kada se letrozol primjenjuje kao produžena adjuvantna terapija, za lijek Femozol (</w:t>
      </w:r>
      <w:r w:rsidRPr="00C262AC">
        <w:rPr>
          <w:bCs/>
          <w:sz w:val="22"/>
          <w:szCs w:val="22"/>
          <w:lang w:val="sr-Latn-RS"/>
        </w:rPr>
        <w:t xml:space="preserve">medijana vremena </w:t>
      </w:r>
      <w:r w:rsidRPr="00C262AC">
        <w:rPr>
          <w:sz w:val="22"/>
          <w:szCs w:val="22"/>
          <w:lang w:val="sr-Latn-RS"/>
        </w:rPr>
        <w:t>trajanja terapije 5 godina) i placebo (</w:t>
      </w:r>
      <w:r w:rsidRPr="00C262AC">
        <w:rPr>
          <w:bCs/>
          <w:sz w:val="22"/>
          <w:szCs w:val="22"/>
          <w:lang w:val="sr-Latn-RS"/>
        </w:rPr>
        <w:t xml:space="preserve">medijana vremena </w:t>
      </w:r>
      <w:r w:rsidRPr="00C262AC">
        <w:rPr>
          <w:sz w:val="22"/>
          <w:szCs w:val="22"/>
          <w:lang w:val="sr-Latn-RS"/>
        </w:rPr>
        <w:t>trajanja terapije 3 godine) prijavljeni su: angina koja zahtijeva hiruršku intervenciju (0.8% prema 0.6%); nova ili pogoršanje postojeće angine (1.4% prema 1.0%); infarkt miokarda (1.0% prema 0.7%); tromboembolijski događaj* (0.9% prema 0.3%); moždani udar/prolazni ishemijski napad* (1.5% prema 0.8%).</w:t>
      </w:r>
    </w:p>
    <w:p w14:paraId="142EA59C" w14:textId="77777777" w:rsidR="006E3F4D" w:rsidRPr="00C262AC" w:rsidRDefault="006E3F4D">
      <w:pPr>
        <w:pStyle w:val="Header"/>
        <w:tabs>
          <w:tab w:val="left" w:pos="284"/>
        </w:tabs>
        <w:jc w:val="both"/>
        <w:rPr>
          <w:sz w:val="22"/>
          <w:szCs w:val="22"/>
          <w:lang w:val="sr-Latn-RS"/>
        </w:rPr>
      </w:pPr>
    </w:p>
    <w:p w14:paraId="5C940080" w14:textId="77777777" w:rsidR="006E3F4D" w:rsidRPr="00C262AC" w:rsidRDefault="006E3F4D">
      <w:pPr>
        <w:pStyle w:val="Header"/>
        <w:ind w:left="180" w:hanging="180"/>
        <w:jc w:val="both"/>
        <w:rPr>
          <w:sz w:val="22"/>
          <w:szCs w:val="22"/>
          <w:lang w:val="sr-Latn-RS"/>
        </w:rPr>
      </w:pPr>
      <w:r w:rsidRPr="00C262AC">
        <w:rPr>
          <w:sz w:val="22"/>
          <w:szCs w:val="22"/>
          <w:lang w:val="sr-Latn-RS"/>
        </w:rPr>
        <w:t>Događaji obilježeni * bili su statistički značajno različiti u dvije terapijske grupe.</w:t>
      </w:r>
    </w:p>
    <w:p w14:paraId="34E41C7F" w14:textId="77777777" w:rsidR="006E3F4D" w:rsidRPr="00C262AC" w:rsidRDefault="006E3F4D">
      <w:pPr>
        <w:pStyle w:val="Header"/>
        <w:ind w:left="180" w:hanging="180"/>
        <w:jc w:val="both"/>
        <w:rPr>
          <w:sz w:val="22"/>
          <w:szCs w:val="22"/>
          <w:lang w:val="sr-Latn-RS"/>
        </w:rPr>
      </w:pPr>
    </w:p>
    <w:p w14:paraId="2E26007D" w14:textId="77777777" w:rsidR="006E3F4D" w:rsidRPr="00C262AC" w:rsidRDefault="006E3F4D">
      <w:pPr>
        <w:pStyle w:val="Header"/>
        <w:ind w:left="180" w:hanging="180"/>
        <w:jc w:val="both"/>
        <w:rPr>
          <w:i/>
          <w:sz w:val="22"/>
          <w:szCs w:val="22"/>
          <w:lang w:val="sr-Latn-RS"/>
        </w:rPr>
      </w:pPr>
      <w:r w:rsidRPr="00C262AC">
        <w:rPr>
          <w:i/>
          <w:sz w:val="22"/>
          <w:szCs w:val="22"/>
          <w:lang w:val="sr-Latn-RS"/>
        </w:rPr>
        <w:t>Neželjene reakcije na nivou skeleta</w:t>
      </w:r>
    </w:p>
    <w:p w14:paraId="02ED98C6" w14:textId="77777777" w:rsidR="006E3F4D" w:rsidRPr="00C262AC" w:rsidRDefault="006E3F4D">
      <w:pPr>
        <w:pStyle w:val="Header"/>
        <w:jc w:val="both"/>
        <w:rPr>
          <w:sz w:val="22"/>
          <w:szCs w:val="22"/>
          <w:lang w:val="sr-Latn-RS"/>
        </w:rPr>
      </w:pPr>
      <w:r w:rsidRPr="00C262AC">
        <w:rPr>
          <w:bCs/>
          <w:sz w:val="22"/>
          <w:szCs w:val="22"/>
          <w:lang w:val="sr-Latn-RS"/>
        </w:rPr>
        <w:t xml:space="preserve">Za bezbjednosne podatke </w:t>
      </w:r>
      <w:r w:rsidRPr="00C262AC">
        <w:rPr>
          <w:sz w:val="22"/>
          <w:szCs w:val="22"/>
          <w:lang w:val="sr-Latn-RS"/>
        </w:rPr>
        <w:t xml:space="preserve">vezane za skeletni sistem, kod primjene letrozola kao adjuvantne terapije, </w:t>
      </w:r>
      <w:r w:rsidRPr="00C262AC">
        <w:rPr>
          <w:bCs/>
          <w:sz w:val="22"/>
          <w:szCs w:val="22"/>
          <w:lang w:val="sr-Latn-RS"/>
        </w:rPr>
        <w:t>molimo  pogledajte</w:t>
      </w:r>
      <w:r w:rsidRPr="00C262AC">
        <w:rPr>
          <w:sz w:val="22"/>
          <w:szCs w:val="22"/>
          <w:lang w:val="sr-Latn-RS"/>
        </w:rPr>
        <w:t xml:space="preserve"> Tabelu 2.</w:t>
      </w:r>
    </w:p>
    <w:p w14:paraId="700AA3D7" w14:textId="77777777" w:rsidR="006E3F4D" w:rsidRPr="00C262AC" w:rsidRDefault="006E3F4D">
      <w:pPr>
        <w:pStyle w:val="Header"/>
        <w:ind w:left="180" w:hanging="180"/>
        <w:jc w:val="both"/>
        <w:rPr>
          <w:sz w:val="22"/>
          <w:szCs w:val="22"/>
          <w:lang w:val="sr-Latn-RS"/>
        </w:rPr>
      </w:pPr>
    </w:p>
    <w:p w14:paraId="633C6CFC" w14:textId="77777777" w:rsidR="006E3F4D" w:rsidRPr="00C262AC" w:rsidRDefault="006E3F4D">
      <w:pPr>
        <w:spacing w:after="200" w:line="276" w:lineRule="auto"/>
        <w:jc w:val="both"/>
        <w:rPr>
          <w:rFonts w:eastAsia="Calibri"/>
          <w:sz w:val="22"/>
          <w:szCs w:val="22"/>
          <w:u w:val="single"/>
          <w:lang w:val="sr-Latn-RS"/>
        </w:rPr>
      </w:pPr>
      <w:r w:rsidRPr="00C262AC">
        <w:rPr>
          <w:sz w:val="22"/>
          <w:szCs w:val="22"/>
          <w:lang w:val="sr-Latn-RS"/>
        </w:rPr>
        <w:t>Kada se letrozol primjenjuje kao produžena adjuvantna terapija, značajno više pacijenata liječenih lijekom Femozol imali su frakturu kostiju ili osteoporozu (fraktura kostiju, 10.4% i osteoporoza, 12.2%) u odnosu na pacijente u grupi koja je dobijala placebo (5.8% odnosno 6.4%). Medijana vremena trajanja terapije bilo je 5 godina za letrozol, u poređenju sa 3 godine za placebo.</w:t>
      </w:r>
    </w:p>
    <w:p w14:paraId="7D9AD243" w14:textId="77777777" w:rsidR="005A23D2" w:rsidRPr="00C262AC" w:rsidRDefault="005A23D2" w:rsidP="00C02F5A">
      <w:pPr>
        <w:spacing w:after="200" w:line="276" w:lineRule="auto"/>
        <w:jc w:val="both"/>
        <w:rPr>
          <w:rFonts w:eastAsia="Calibri"/>
          <w:sz w:val="22"/>
          <w:szCs w:val="22"/>
          <w:u w:val="single"/>
          <w:lang w:val="sr-Latn-RS"/>
        </w:rPr>
      </w:pPr>
      <w:r w:rsidRPr="00C262AC">
        <w:rPr>
          <w:rFonts w:eastAsia="Calibri"/>
          <w:sz w:val="22"/>
          <w:szCs w:val="22"/>
          <w:u w:val="single"/>
          <w:lang w:val="sr-Latn-RS"/>
        </w:rPr>
        <w:t>Prijavljivanje sumnji na neželjena dejstva</w:t>
      </w:r>
    </w:p>
    <w:p w14:paraId="7D9AD244" w14:textId="762BDE8E" w:rsidR="005A23D2" w:rsidRPr="00C262AC" w:rsidRDefault="005A23D2">
      <w:pPr>
        <w:spacing w:after="200"/>
        <w:jc w:val="both"/>
        <w:rPr>
          <w:rFonts w:eastAsia="Calibri"/>
          <w:sz w:val="22"/>
          <w:szCs w:val="22"/>
          <w:lang w:val="sr-Latn-RS"/>
        </w:rPr>
      </w:pPr>
      <w:r w:rsidRPr="00C262AC">
        <w:rPr>
          <w:rFonts w:eastAsia="Calibri"/>
          <w:sz w:val="22"/>
          <w:szCs w:val="22"/>
          <w:lang w:val="sr-Latn-RS"/>
        </w:rPr>
        <w:t>Prijavljivanje neželjenih dejstava nakon dobijanja dozvole je od velikog značaja jer obezbjeđuje kont</w:t>
      </w:r>
      <w:r w:rsidR="00EA5765" w:rsidRPr="00C262AC">
        <w:rPr>
          <w:rFonts w:eastAsia="Calibri"/>
          <w:sz w:val="22"/>
          <w:szCs w:val="22"/>
          <w:lang w:val="sr-Latn-RS"/>
        </w:rPr>
        <w:t>inuirano praćenje odnosa korist</w:t>
      </w:r>
      <w:r w:rsidRPr="00C262AC">
        <w:rPr>
          <w:rFonts w:eastAsia="Calibri"/>
          <w:sz w:val="22"/>
          <w:szCs w:val="22"/>
          <w:lang w:val="sr-Latn-RS"/>
        </w:rPr>
        <w:t>/rizik primjene lijeka. Zdravstveni radnici treba da prijave svaku sumnju na neželjeno</w:t>
      </w:r>
      <w:r w:rsidR="009B062A" w:rsidRPr="00C262AC">
        <w:rPr>
          <w:rFonts w:eastAsia="Calibri"/>
          <w:sz w:val="22"/>
          <w:szCs w:val="22"/>
          <w:lang w:val="sr-Latn-RS"/>
        </w:rPr>
        <w:t xml:space="preserve"> </w:t>
      </w:r>
      <w:r w:rsidRPr="00C262AC">
        <w:rPr>
          <w:rFonts w:eastAsia="Calibri"/>
          <w:sz w:val="22"/>
          <w:szCs w:val="22"/>
          <w:lang w:val="sr-Latn-RS"/>
        </w:rPr>
        <w:t xml:space="preserve">dejstvo ovog lijeka </w:t>
      </w:r>
      <w:r w:rsidR="002E1DA5" w:rsidRPr="00C262AC">
        <w:rPr>
          <w:rFonts w:eastAsia="Calibri"/>
          <w:sz w:val="22"/>
          <w:szCs w:val="22"/>
          <w:lang w:val="sr-Latn-RS"/>
        </w:rPr>
        <w:t>Institutu</w:t>
      </w:r>
      <w:r w:rsidRPr="00C262AC">
        <w:rPr>
          <w:rFonts w:eastAsia="Calibri"/>
          <w:sz w:val="22"/>
          <w:szCs w:val="22"/>
          <w:lang w:val="sr-Latn-RS"/>
        </w:rPr>
        <w:t xml:space="preserve"> za ljekove i medicinska sredstva Crne Gore (C</w:t>
      </w:r>
      <w:r w:rsidR="002E1DA5" w:rsidRPr="00C262AC">
        <w:rPr>
          <w:rFonts w:eastAsia="Calibri"/>
          <w:sz w:val="22"/>
          <w:szCs w:val="22"/>
          <w:lang w:val="sr-Latn-RS"/>
        </w:rPr>
        <w:t>InMED</w:t>
      </w:r>
      <w:r w:rsidRPr="00C262AC">
        <w:rPr>
          <w:rFonts w:eastAsia="Calibri"/>
          <w:sz w:val="22"/>
          <w:szCs w:val="22"/>
          <w:lang w:val="sr-Latn-RS"/>
        </w:rPr>
        <w:t>):</w:t>
      </w:r>
    </w:p>
    <w:p w14:paraId="7D9AD245" w14:textId="0C05EA92" w:rsidR="005A23D2" w:rsidRPr="00C262AC" w:rsidRDefault="001D1334">
      <w:pPr>
        <w:pStyle w:val="NoSpacing"/>
        <w:jc w:val="both"/>
        <w:rPr>
          <w:rFonts w:eastAsia="Calibri"/>
          <w:sz w:val="22"/>
          <w:szCs w:val="22"/>
          <w:lang w:val="sr-Latn-RS"/>
        </w:rPr>
      </w:pPr>
      <w:r w:rsidRPr="00C262AC">
        <w:rPr>
          <w:rFonts w:eastAsia="Calibri"/>
          <w:sz w:val="22"/>
          <w:szCs w:val="22"/>
          <w:lang w:val="sr-Latn-RS"/>
        </w:rPr>
        <w:t>Institut</w:t>
      </w:r>
      <w:r w:rsidR="005A23D2" w:rsidRPr="00C262AC">
        <w:rPr>
          <w:rFonts w:eastAsia="Calibri"/>
          <w:sz w:val="22"/>
          <w:szCs w:val="22"/>
          <w:lang w:val="sr-Latn-RS"/>
        </w:rPr>
        <w:t xml:space="preserve"> za ljekove i medicinska sredstva Crne Gore</w:t>
      </w:r>
    </w:p>
    <w:p w14:paraId="7D9AD246" w14:textId="77777777" w:rsidR="005A23D2" w:rsidRPr="00C262AC" w:rsidRDefault="005A23D2">
      <w:pPr>
        <w:pStyle w:val="NoSpacing"/>
        <w:jc w:val="both"/>
        <w:rPr>
          <w:rFonts w:eastAsia="Calibri"/>
          <w:sz w:val="22"/>
          <w:szCs w:val="22"/>
          <w:lang w:val="sr-Latn-RS"/>
        </w:rPr>
      </w:pPr>
      <w:r w:rsidRPr="00C262AC">
        <w:rPr>
          <w:rFonts w:eastAsia="Calibri"/>
          <w:sz w:val="22"/>
          <w:szCs w:val="22"/>
          <w:lang w:val="sr-Latn-RS"/>
        </w:rPr>
        <w:t>Odjeljenje za farmakovigilancu</w:t>
      </w:r>
    </w:p>
    <w:p w14:paraId="7D9AD247" w14:textId="77777777" w:rsidR="00EA5765" w:rsidRPr="00C262AC" w:rsidRDefault="005A23D2">
      <w:pPr>
        <w:pStyle w:val="NoSpacing"/>
        <w:jc w:val="both"/>
        <w:rPr>
          <w:rFonts w:eastAsia="Calibri"/>
          <w:sz w:val="22"/>
          <w:szCs w:val="22"/>
          <w:lang w:val="sr-Latn-RS"/>
        </w:rPr>
      </w:pPr>
      <w:r w:rsidRPr="00C262AC">
        <w:rPr>
          <w:rFonts w:eastAsia="Calibri"/>
          <w:sz w:val="22"/>
          <w:szCs w:val="22"/>
          <w:lang w:val="sr-Latn-RS"/>
        </w:rPr>
        <w:t>Bulevar Ivana Crnojevića 64a, 81000 Podgorica</w:t>
      </w:r>
    </w:p>
    <w:p w14:paraId="7D9AD249" w14:textId="77777777" w:rsidR="005A23D2" w:rsidRPr="00C262AC" w:rsidRDefault="005A23D2">
      <w:pPr>
        <w:pStyle w:val="NoSpacing"/>
        <w:jc w:val="both"/>
        <w:rPr>
          <w:rFonts w:eastAsia="Calibri"/>
          <w:sz w:val="22"/>
          <w:szCs w:val="22"/>
          <w:lang w:val="sr-Latn-RS"/>
        </w:rPr>
      </w:pPr>
      <w:r w:rsidRPr="00C262AC">
        <w:rPr>
          <w:rFonts w:eastAsia="Calibri"/>
          <w:sz w:val="22"/>
          <w:szCs w:val="22"/>
          <w:lang w:val="sr-Latn-RS"/>
        </w:rPr>
        <w:t>tel: +382 (0) 20 310 280</w:t>
      </w:r>
    </w:p>
    <w:p w14:paraId="7D9AD24A" w14:textId="77777777" w:rsidR="00EA5765" w:rsidRPr="00C262AC" w:rsidRDefault="005A23D2">
      <w:pPr>
        <w:pStyle w:val="NoSpacing"/>
        <w:jc w:val="both"/>
        <w:rPr>
          <w:rFonts w:eastAsia="Calibri"/>
          <w:sz w:val="22"/>
          <w:szCs w:val="22"/>
          <w:lang w:val="sr-Latn-RS"/>
        </w:rPr>
      </w:pPr>
      <w:r w:rsidRPr="00C262AC">
        <w:rPr>
          <w:rFonts w:eastAsia="Calibri"/>
          <w:sz w:val="22"/>
          <w:szCs w:val="22"/>
          <w:lang w:val="sr-Latn-RS"/>
        </w:rPr>
        <w:t>fax:</w:t>
      </w:r>
      <w:r w:rsidR="00EA5765" w:rsidRPr="00C262AC">
        <w:rPr>
          <w:rFonts w:eastAsia="Calibri"/>
          <w:sz w:val="22"/>
          <w:szCs w:val="22"/>
          <w:lang w:val="sr-Latn-RS"/>
        </w:rPr>
        <w:t xml:space="preserve"> </w:t>
      </w:r>
      <w:r w:rsidRPr="00C262AC">
        <w:rPr>
          <w:rFonts w:eastAsia="Calibri"/>
          <w:sz w:val="22"/>
          <w:szCs w:val="22"/>
          <w:lang w:val="sr-Latn-RS"/>
        </w:rPr>
        <w:t>+382 (0) 20 310 581</w:t>
      </w:r>
    </w:p>
    <w:p w14:paraId="7D9AD24B" w14:textId="5A04959D" w:rsidR="005A23D2" w:rsidRPr="00C262AC" w:rsidRDefault="00BF3A35">
      <w:pPr>
        <w:pStyle w:val="NoSpacing"/>
        <w:jc w:val="both"/>
        <w:rPr>
          <w:rFonts w:eastAsia="Calibri"/>
          <w:sz w:val="22"/>
          <w:szCs w:val="22"/>
          <w:lang w:val="sr-Latn-RS"/>
        </w:rPr>
      </w:pPr>
      <w:hyperlink r:id="rId8" w:history="1">
        <w:r w:rsidR="002626D6" w:rsidRPr="00C262AC">
          <w:rPr>
            <w:rStyle w:val="Hyperlink"/>
            <w:rFonts w:eastAsia="Calibri"/>
            <w:sz w:val="22"/>
            <w:szCs w:val="22"/>
            <w:lang w:val="sr-Latn-RS"/>
          </w:rPr>
          <w:t>www.cinmed.me</w:t>
        </w:r>
      </w:hyperlink>
    </w:p>
    <w:p w14:paraId="7D9AD24C" w14:textId="7CEC992C" w:rsidR="00EA5765" w:rsidRPr="00C262AC" w:rsidRDefault="00BF3A35">
      <w:pPr>
        <w:pStyle w:val="NoSpacing"/>
        <w:jc w:val="both"/>
        <w:rPr>
          <w:rFonts w:eastAsia="Calibri"/>
          <w:color w:val="0000FF"/>
          <w:sz w:val="22"/>
          <w:szCs w:val="22"/>
          <w:u w:val="single"/>
          <w:lang w:val="sr-Latn-RS"/>
        </w:rPr>
      </w:pPr>
      <w:hyperlink r:id="rId9" w:history="1">
        <w:r w:rsidR="002626D6" w:rsidRPr="00C262AC">
          <w:rPr>
            <w:rStyle w:val="Hyperlink"/>
            <w:rFonts w:eastAsia="Calibri"/>
            <w:sz w:val="22"/>
            <w:szCs w:val="22"/>
            <w:lang w:val="sr-Latn-RS"/>
          </w:rPr>
          <w:t>nezeljenadejstva@cinmed.me</w:t>
        </w:r>
      </w:hyperlink>
    </w:p>
    <w:p w14:paraId="7D9AD24D" w14:textId="37527AB5" w:rsidR="005A23D2" w:rsidRPr="00C262AC" w:rsidRDefault="005A23D2">
      <w:pPr>
        <w:pStyle w:val="NoSpacing"/>
        <w:jc w:val="both"/>
        <w:rPr>
          <w:rFonts w:eastAsia="Calibri"/>
          <w:sz w:val="22"/>
          <w:szCs w:val="22"/>
          <w:lang w:val="sr-Latn-RS"/>
        </w:rPr>
      </w:pPr>
      <w:r w:rsidRPr="00C262AC">
        <w:rPr>
          <w:rFonts w:eastAsia="Calibri"/>
          <w:sz w:val="22"/>
          <w:szCs w:val="22"/>
          <w:lang w:val="sr-Latn-RS"/>
        </w:rPr>
        <w:t>putem IS zdravstvene zaštite</w:t>
      </w:r>
    </w:p>
    <w:p w14:paraId="64513A8F" w14:textId="77777777" w:rsidR="002872F8" w:rsidRPr="00C262AC" w:rsidRDefault="002872F8" w:rsidP="002872F8">
      <w:pPr>
        <w:pStyle w:val="NoSpacing"/>
        <w:jc w:val="both"/>
        <w:rPr>
          <w:rFonts w:eastAsia="Calibri"/>
          <w:sz w:val="22"/>
          <w:szCs w:val="22"/>
          <w:lang w:val="sr-Latn-RS"/>
        </w:rPr>
      </w:pPr>
      <w:r w:rsidRPr="00C262AC">
        <w:rPr>
          <w:rFonts w:eastAsia="Calibri"/>
          <w:sz w:val="22"/>
          <w:szCs w:val="22"/>
          <w:lang w:val="sr-Latn-RS"/>
        </w:rPr>
        <w:t>QR kod za online prijavu sumnje na neželjeno dejstvo lijeka:</w:t>
      </w:r>
    </w:p>
    <w:p w14:paraId="723A36E9" w14:textId="77777777" w:rsidR="00550E8B" w:rsidRPr="00C262AC" w:rsidRDefault="00550E8B">
      <w:pPr>
        <w:pStyle w:val="NoSpacing"/>
        <w:jc w:val="both"/>
        <w:rPr>
          <w:rFonts w:eastAsia="Calibri"/>
          <w:sz w:val="22"/>
          <w:szCs w:val="22"/>
          <w:lang w:val="sr-Latn-RS"/>
        </w:rPr>
      </w:pPr>
    </w:p>
    <w:p w14:paraId="447A0722" w14:textId="77777777" w:rsidR="00550E8B" w:rsidRPr="00C262AC" w:rsidRDefault="00550E8B" w:rsidP="00550E8B">
      <w:pPr>
        <w:pStyle w:val="NoSpacing"/>
        <w:rPr>
          <w:rFonts w:eastAsia="Calibri"/>
          <w:sz w:val="22"/>
          <w:szCs w:val="22"/>
          <w:lang w:val="sr-Latn-RS"/>
        </w:rPr>
      </w:pPr>
      <w:r w:rsidRPr="00C262AC">
        <w:rPr>
          <w:noProof/>
          <w:sz w:val="22"/>
          <w:szCs w:val="22"/>
        </w:rPr>
        <w:drawing>
          <wp:inline distT="0" distB="0" distL="0" distR="0" wp14:anchorId="187084B0" wp14:editId="2F9F058B">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D9AD24F" w14:textId="77777777" w:rsidR="00CD6F02" w:rsidRPr="00C262AC" w:rsidRDefault="0072020E" w:rsidP="00C02F5A">
      <w:pPr>
        <w:tabs>
          <w:tab w:val="left" w:pos="540"/>
          <w:tab w:val="left" w:pos="569"/>
        </w:tabs>
        <w:jc w:val="both"/>
        <w:rPr>
          <w:b/>
          <w:bCs/>
          <w:sz w:val="22"/>
          <w:szCs w:val="22"/>
          <w:lang w:val="sr-Latn-RS"/>
        </w:rPr>
      </w:pPr>
      <w:r w:rsidRPr="00C262AC">
        <w:rPr>
          <w:b/>
          <w:bCs/>
          <w:sz w:val="22"/>
          <w:szCs w:val="22"/>
          <w:lang w:val="sr-Latn-RS"/>
        </w:rPr>
        <w:lastRenderedPageBreak/>
        <w:t xml:space="preserve">4.9. </w:t>
      </w:r>
      <w:r w:rsidR="00480FB1" w:rsidRPr="00C262AC">
        <w:rPr>
          <w:b/>
          <w:bCs/>
          <w:sz w:val="22"/>
          <w:szCs w:val="22"/>
          <w:lang w:val="sr-Latn-RS"/>
        </w:rPr>
        <w:tab/>
      </w:r>
      <w:r w:rsidRPr="00C262AC">
        <w:rPr>
          <w:b/>
          <w:bCs/>
          <w:sz w:val="22"/>
          <w:szCs w:val="22"/>
          <w:lang w:val="sr-Latn-RS"/>
        </w:rPr>
        <w:t>Predoziranje</w:t>
      </w:r>
      <w:r w:rsidR="002846DB" w:rsidRPr="00C262AC">
        <w:rPr>
          <w:b/>
          <w:bCs/>
          <w:sz w:val="22"/>
          <w:szCs w:val="22"/>
          <w:lang w:val="sr-Latn-RS"/>
        </w:rPr>
        <w:t xml:space="preserve"> </w:t>
      </w:r>
    </w:p>
    <w:p w14:paraId="7D9AD250" w14:textId="77777777" w:rsidR="00CD6F02" w:rsidRPr="00C262AC" w:rsidRDefault="00CD6F02" w:rsidP="00C02F5A">
      <w:pPr>
        <w:tabs>
          <w:tab w:val="left" w:pos="540"/>
          <w:tab w:val="left" w:pos="569"/>
        </w:tabs>
        <w:jc w:val="both"/>
        <w:rPr>
          <w:b/>
          <w:bCs/>
          <w:sz w:val="22"/>
          <w:szCs w:val="22"/>
          <w:lang w:val="sr-Latn-RS"/>
        </w:rPr>
      </w:pPr>
    </w:p>
    <w:p w14:paraId="04CFB031" w14:textId="379FA1F7" w:rsidR="006E3F4D" w:rsidRPr="00C262AC" w:rsidRDefault="006E3F4D">
      <w:pPr>
        <w:jc w:val="both"/>
        <w:rPr>
          <w:sz w:val="22"/>
          <w:szCs w:val="22"/>
          <w:lang w:val="sr-Latn-RS"/>
        </w:rPr>
      </w:pPr>
      <w:r w:rsidRPr="00C262AC">
        <w:rPr>
          <w:sz w:val="22"/>
          <w:szCs w:val="22"/>
          <w:lang w:val="sr-Latn-RS"/>
        </w:rPr>
        <w:t>Prijavljeni su izolovani slučajevi predoziranja lijekom Femozol.</w:t>
      </w:r>
    </w:p>
    <w:p w14:paraId="2EA6FAD4" w14:textId="7E3E31C7" w:rsidR="006E3F4D" w:rsidRPr="00C262AC" w:rsidRDefault="006E3F4D">
      <w:pPr>
        <w:pStyle w:val="BodyTextIndent3"/>
        <w:tabs>
          <w:tab w:val="left" w:pos="284"/>
        </w:tabs>
        <w:ind w:left="0"/>
        <w:jc w:val="both"/>
        <w:rPr>
          <w:noProof/>
          <w:sz w:val="22"/>
          <w:szCs w:val="22"/>
          <w:lang w:val="sr-Latn-RS"/>
        </w:rPr>
      </w:pPr>
      <w:r w:rsidRPr="00C262AC">
        <w:rPr>
          <w:noProof/>
          <w:sz w:val="22"/>
          <w:szCs w:val="22"/>
          <w:lang w:val="sr-Latn-RS"/>
        </w:rPr>
        <w:t>Nije poznata specifična terapija kod predoziranja ovim lijekom. Terapija treba da bude simptomatska i potporna.</w:t>
      </w:r>
    </w:p>
    <w:p w14:paraId="3308A1D2" w14:textId="77777777" w:rsidR="002626D6" w:rsidRPr="00C262AC" w:rsidRDefault="002626D6">
      <w:pPr>
        <w:pStyle w:val="BodyTextIndent3"/>
        <w:tabs>
          <w:tab w:val="left" w:pos="284"/>
        </w:tabs>
        <w:ind w:left="0"/>
        <w:jc w:val="both"/>
        <w:rPr>
          <w:noProof/>
          <w:sz w:val="22"/>
          <w:szCs w:val="22"/>
          <w:lang w:val="sr-Latn-RS"/>
        </w:rPr>
      </w:pPr>
    </w:p>
    <w:p w14:paraId="7D9AD251" w14:textId="77777777" w:rsidR="00227BDB" w:rsidRPr="00C262AC" w:rsidRDefault="00227BDB" w:rsidP="00C02F5A">
      <w:pPr>
        <w:tabs>
          <w:tab w:val="left" w:pos="540"/>
          <w:tab w:val="left" w:pos="569"/>
        </w:tabs>
        <w:jc w:val="both"/>
        <w:rPr>
          <w:b/>
          <w:bCs/>
          <w:sz w:val="22"/>
          <w:szCs w:val="22"/>
          <w:lang w:val="sr-Latn-RS"/>
        </w:rPr>
      </w:pPr>
    </w:p>
    <w:p w14:paraId="7D9AD252"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5. </w:t>
      </w:r>
      <w:r w:rsidR="00480FB1" w:rsidRPr="00C262AC">
        <w:rPr>
          <w:b/>
          <w:bCs/>
          <w:sz w:val="22"/>
          <w:szCs w:val="22"/>
          <w:lang w:val="sr-Latn-RS"/>
        </w:rPr>
        <w:tab/>
      </w:r>
      <w:r w:rsidRPr="00C262AC">
        <w:rPr>
          <w:b/>
          <w:bCs/>
          <w:sz w:val="22"/>
          <w:szCs w:val="22"/>
          <w:lang w:val="sr-Latn-RS"/>
        </w:rPr>
        <w:t>FARMAKOLOŠK</w:t>
      </w:r>
      <w:r w:rsidR="000D425A" w:rsidRPr="00C262AC">
        <w:rPr>
          <w:b/>
          <w:bCs/>
          <w:sz w:val="22"/>
          <w:szCs w:val="22"/>
          <w:lang w:val="sr-Latn-RS"/>
        </w:rPr>
        <w:t>I</w:t>
      </w:r>
      <w:r w:rsidRPr="00C262AC">
        <w:rPr>
          <w:b/>
          <w:bCs/>
          <w:sz w:val="22"/>
          <w:szCs w:val="22"/>
          <w:lang w:val="sr-Latn-RS"/>
        </w:rPr>
        <w:t xml:space="preserve"> PODACI</w:t>
      </w:r>
    </w:p>
    <w:p w14:paraId="7D9AD253" w14:textId="77777777" w:rsidR="0072020E" w:rsidRPr="00C262AC" w:rsidRDefault="0072020E" w:rsidP="00C02F5A">
      <w:pPr>
        <w:tabs>
          <w:tab w:val="left" w:pos="540"/>
          <w:tab w:val="left" w:pos="569"/>
        </w:tabs>
        <w:jc w:val="both"/>
        <w:rPr>
          <w:b/>
          <w:bCs/>
          <w:sz w:val="22"/>
          <w:szCs w:val="22"/>
          <w:lang w:val="sr-Latn-RS"/>
        </w:rPr>
      </w:pPr>
    </w:p>
    <w:p w14:paraId="7D9AD254"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5.1. </w:t>
      </w:r>
      <w:r w:rsidR="00480FB1" w:rsidRPr="00C262AC">
        <w:rPr>
          <w:b/>
          <w:bCs/>
          <w:sz w:val="22"/>
          <w:szCs w:val="22"/>
          <w:lang w:val="sr-Latn-RS"/>
        </w:rPr>
        <w:tab/>
      </w:r>
      <w:r w:rsidRPr="00C262AC">
        <w:rPr>
          <w:b/>
          <w:bCs/>
          <w:sz w:val="22"/>
          <w:szCs w:val="22"/>
          <w:lang w:val="sr-Latn-RS"/>
        </w:rPr>
        <w:t>Farmakodinamski podaci</w:t>
      </w:r>
      <w:r w:rsidR="003A7059" w:rsidRPr="00C262AC">
        <w:rPr>
          <w:b/>
          <w:bCs/>
          <w:sz w:val="22"/>
          <w:szCs w:val="22"/>
          <w:lang w:val="sr-Latn-RS"/>
        </w:rPr>
        <w:t xml:space="preserve"> </w:t>
      </w:r>
    </w:p>
    <w:p w14:paraId="7D9AD255" w14:textId="77777777" w:rsidR="00F45F77" w:rsidRPr="00C262AC" w:rsidRDefault="00F45F77" w:rsidP="00C02F5A">
      <w:pPr>
        <w:tabs>
          <w:tab w:val="left" w:pos="540"/>
          <w:tab w:val="left" w:pos="569"/>
        </w:tabs>
        <w:jc w:val="both"/>
        <w:rPr>
          <w:b/>
          <w:bCs/>
          <w:sz w:val="22"/>
          <w:szCs w:val="22"/>
          <w:lang w:val="sr-Latn-RS"/>
        </w:rPr>
      </w:pPr>
    </w:p>
    <w:p w14:paraId="7D9AD256" w14:textId="5E4DFA45" w:rsidR="0072020E" w:rsidRPr="00C262AC" w:rsidRDefault="0072020E" w:rsidP="00C02F5A">
      <w:pPr>
        <w:tabs>
          <w:tab w:val="left" w:pos="540"/>
          <w:tab w:val="left" w:pos="569"/>
        </w:tabs>
        <w:jc w:val="both"/>
        <w:rPr>
          <w:bCs/>
          <w:sz w:val="22"/>
          <w:szCs w:val="22"/>
          <w:lang w:val="sr-Latn-RS"/>
        </w:rPr>
      </w:pPr>
      <w:r w:rsidRPr="00C262AC">
        <w:rPr>
          <w:bCs/>
          <w:sz w:val="22"/>
          <w:szCs w:val="22"/>
          <w:lang w:val="sr-Latn-RS"/>
        </w:rPr>
        <w:t>Farmakoterapijska grupa:</w:t>
      </w:r>
      <w:r w:rsidR="00AD2E99" w:rsidRPr="00C262AC">
        <w:rPr>
          <w:sz w:val="22"/>
          <w:szCs w:val="22"/>
          <w:lang w:val="sr-Latn-RS"/>
        </w:rPr>
        <w:t xml:space="preserve"> </w:t>
      </w:r>
      <w:r w:rsidR="00AD2E99" w:rsidRPr="00C262AC">
        <w:rPr>
          <w:bCs/>
          <w:sz w:val="22"/>
          <w:szCs w:val="22"/>
          <w:lang w:val="sr-Latn-RS"/>
        </w:rPr>
        <w:t>Endokrinološka terapija, hormonski antagonisti i srodni ljekovi: inhibitori enzima aromataze</w:t>
      </w:r>
    </w:p>
    <w:p w14:paraId="7D9AD257" w14:textId="77777777" w:rsidR="0072020E" w:rsidRPr="00C262AC" w:rsidRDefault="0072020E" w:rsidP="00C02F5A">
      <w:pPr>
        <w:tabs>
          <w:tab w:val="left" w:pos="540"/>
          <w:tab w:val="left" w:pos="569"/>
        </w:tabs>
        <w:jc w:val="both"/>
        <w:rPr>
          <w:bCs/>
          <w:sz w:val="22"/>
          <w:szCs w:val="22"/>
          <w:lang w:val="sr-Latn-RS"/>
        </w:rPr>
      </w:pPr>
    </w:p>
    <w:p w14:paraId="7D9AD258" w14:textId="65D8A59A" w:rsidR="0072020E" w:rsidRPr="00C262AC" w:rsidRDefault="0072020E" w:rsidP="00C02F5A">
      <w:pPr>
        <w:tabs>
          <w:tab w:val="left" w:pos="540"/>
          <w:tab w:val="left" w:pos="569"/>
        </w:tabs>
        <w:jc w:val="both"/>
        <w:rPr>
          <w:bCs/>
          <w:sz w:val="22"/>
          <w:szCs w:val="22"/>
          <w:lang w:val="sr-Latn-RS"/>
        </w:rPr>
      </w:pPr>
      <w:r w:rsidRPr="00C262AC">
        <w:rPr>
          <w:bCs/>
          <w:sz w:val="22"/>
          <w:szCs w:val="22"/>
          <w:lang w:val="sr-Latn-RS"/>
        </w:rPr>
        <w:t>ATC kod:</w:t>
      </w:r>
      <w:r w:rsidR="00E52F10" w:rsidRPr="00C262AC">
        <w:rPr>
          <w:sz w:val="22"/>
          <w:szCs w:val="22"/>
          <w:lang w:val="sr-Latn-RS"/>
        </w:rPr>
        <w:t xml:space="preserve"> </w:t>
      </w:r>
      <w:r w:rsidR="00E52F10" w:rsidRPr="00C262AC">
        <w:rPr>
          <w:bCs/>
          <w:sz w:val="22"/>
          <w:szCs w:val="22"/>
          <w:lang w:val="sr-Latn-RS"/>
        </w:rPr>
        <w:t>L02BG04</w:t>
      </w:r>
    </w:p>
    <w:p w14:paraId="7D9AD259" w14:textId="4355EC1F" w:rsidR="002E37A5" w:rsidRPr="00C262AC" w:rsidRDefault="002E37A5" w:rsidP="00C02F5A">
      <w:pPr>
        <w:tabs>
          <w:tab w:val="left" w:pos="540"/>
          <w:tab w:val="left" w:pos="569"/>
        </w:tabs>
        <w:jc w:val="both"/>
        <w:rPr>
          <w:b/>
          <w:bCs/>
          <w:sz w:val="22"/>
          <w:szCs w:val="22"/>
          <w:lang w:val="sr-Latn-RS"/>
        </w:rPr>
      </w:pPr>
    </w:p>
    <w:p w14:paraId="75572741" w14:textId="77777777" w:rsidR="00E52F10" w:rsidRPr="00C262AC" w:rsidRDefault="00E52F10">
      <w:pPr>
        <w:pStyle w:val="NormalWeb"/>
        <w:spacing w:before="0" w:beforeAutospacing="0" w:after="0" w:afterAutospacing="0"/>
        <w:jc w:val="both"/>
        <w:rPr>
          <w:b/>
          <w:bCs/>
          <w:i/>
          <w:iCs/>
          <w:sz w:val="22"/>
          <w:szCs w:val="22"/>
          <w:u w:val="single"/>
          <w:lang w:val="sr-Latn-RS"/>
        </w:rPr>
      </w:pPr>
      <w:r w:rsidRPr="00C262AC">
        <w:rPr>
          <w:b/>
          <w:bCs/>
          <w:i/>
          <w:iCs/>
          <w:sz w:val="22"/>
          <w:szCs w:val="22"/>
          <w:u w:val="single"/>
          <w:lang w:val="sr-Latn-RS"/>
        </w:rPr>
        <w:t>Farmakodinamski efekti</w:t>
      </w:r>
    </w:p>
    <w:p w14:paraId="2B89D9AF" w14:textId="3AC7025A" w:rsidR="00E52F10" w:rsidRPr="00C262AC" w:rsidRDefault="00E52F10" w:rsidP="00C02F5A">
      <w:pPr>
        <w:pStyle w:val="NormalWeb"/>
        <w:spacing w:before="0" w:beforeAutospacing="0" w:after="0" w:afterAutospacing="0"/>
        <w:jc w:val="both"/>
        <w:rPr>
          <w:sz w:val="22"/>
          <w:szCs w:val="22"/>
          <w:lang w:val="sr-Latn-RS"/>
        </w:rPr>
      </w:pPr>
      <w:r w:rsidRPr="00C262AC">
        <w:rPr>
          <w:noProof/>
          <w:sz w:val="22"/>
          <w:szCs w:val="22"/>
          <w:lang w:val="sr-Latn-RS"/>
        </w:rPr>
        <w:t xml:space="preserve">Eliminacija estrogen-posredovanih stimulatornih efekta </w:t>
      </w:r>
      <w:r w:rsidRPr="00C262AC">
        <w:rPr>
          <w:sz w:val="22"/>
          <w:szCs w:val="22"/>
          <w:lang w:val="sr-Latn-RS"/>
        </w:rPr>
        <w:t>je preduslov za terapijski odgovor u slučajevima gde rast tumora zavisi od prisustva estrogena i primjene endokrinološke terapije. Kod žena u postmenopauzi, estrogen se uglavnom dobija aktivnošću enzima aromataze, koji konvertuje adrenalne androgene,- primarno androstendion i testosteron, u estron i estradiol. Zbog toga se supresija biosinteze estrogena u perifernim tkivima i u samom tkivu tumora može postići specifičnom inhibicijom enzima aromataze.</w:t>
      </w:r>
    </w:p>
    <w:p w14:paraId="7FB2049E" w14:textId="77777777" w:rsidR="00E02213" w:rsidRPr="00C262AC" w:rsidRDefault="00E02213" w:rsidP="00C02F5A">
      <w:pPr>
        <w:pStyle w:val="NormalWeb"/>
        <w:spacing w:before="0" w:beforeAutospacing="0" w:after="0" w:afterAutospacing="0"/>
        <w:jc w:val="both"/>
        <w:rPr>
          <w:sz w:val="22"/>
          <w:szCs w:val="22"/>
          <w:lang w:val="sr-Latn-RS"/>
        </w:rPr>
      </w:pPr>
    </w:p>
    <w:p w14:paraId="0F22920B" w14:textId="77777777" w:rsidR="002C5816" w:rsidRPr="00C262AC" w:rsidRDefault="00E52F10">
      <w:pPr>
        <w:pStyle w:val="NormalWeb"/>
        <w:spacing w:before="0" w:beforeAutospacing="0" w:after="0" w:afterAutospacing="0"/>
        <w:jc w:val="both"/>
        <w:rPr>
          <w:sz w:val="22"/>
          <w:szCs w:val="22"/>
          <w:lang w:val="sr-Latn-RS"/>
        </w:rPr>
      </w:pPr>
      <w:r w:rsidRPr="00C262AC">
        <w:rPr>
          <w:sz w:val="22"/>
          <w:szCs w:val="22"/>
          <w:lang w:val="sr-Latn-RS"/>
        </w:rPr>
        <w:t>Letrozol je nesteroidni inhibitor aromataze. Letrozol inhibira enzim aromatazu kompetitivnim vezivanjem za hem subjedinice citohroma P450 aromataze, što dovodi do smanjenja biosinteze estrogena u svim tkivima gdje je prisutan.</w:t>
      </w:r>
    </w:p>
    <w:p w14:paraId="4F303494" w14:textId="77777777" w:rsidR="002C5816" w:rsidRPr="00C262AC" w:rsidRDefault="002C5816">
      <w:pPr>
        <w:pStyle w:val="NormalWeb"/>
        <w:spacing w:before="0" w:beforeAutospacing="0" w:after="0" w:afterAutospacing="0"/>
        <w:jc w:val="both"/>
        <w:rPr>
          <w:sz w:val="22"/>
          <w:szCs w:val="22"/>
          <w:lang w:val="sr-Latn-RS"/>
        </w:rPr>
      </w:pPr>
    </w:p>
    <w:p w14:paraId="59F58292" w14:textId="28627A65" w:rsidR="00E52F10" w:rsidRPr="00C262AC" w:rsidRDefault="00E52F10">
      <w:pPr>
        <w:pStyle w:val="NormalWeb"/>
        <w:spacing w:before="0" w:beforeAutospacing="0" w:after="0" w:afterAutospacing="0"/>
        <w:jc w:val="both"/>
        <w:rPr>
          <w:sz w:val="22"/>
          <w:szCs w:val="22"/>
          <w:lang w:val="sr-Latn-RS"/>
        </w:rPr>
      </w:pPr>
      <w:r w:rsidRPr="00C262AC">
        <w:rPr>
          <w:sz w:val="22"/>
          <w:szCs w:val="22"/>
          <w:lang w:val="sr-Latn-RS"/>
        </w:rPr>
        <w:t>Kod zdravih žena u postmenopauzi, pojedinačne doze od 0.1 mg, 0.5 mg, i 2.5 mg letrozola suprimiraju serumski estron i estradiol za 75</w:t>
      </w:r>
      <w:r w:rsidR="00E02213" w:rsidRPr="00C262AC">
        <w:rPr>
          <w:sz w:val="22"/>
          <w:szCs w:val="22"/>
          <w:lang w:val="sr-Latn-RS"/>
        </w:rPr>
        <w:t>%</w:t>
      </w:r>
      <w:r w:rsidRPr="00C262AC">
        <w:rPr>
          <w:sz w:val="22"/>
          <w:szCs w:val="22"/>
          <w:lang w:val="sr-Latn-RS"/>
        </w:rPr>
        <w:t>, 78% i 78% u odnosu na bazične vrijednosti. Maksimalna supresija se postiže za 48-78 sati.</w:t>
      </w:r>
    </w:p>
    <w:p w14:paraId="3A9F1386" w14:textId="77777777" w:rsidR="00E52F10" w:rsidRPr="00C262AC" w:rsidRDefault="00E52F10">
      <w:pPr>
        <w:jc w:val="both"/>
        <w:rPr>
          <w:sz w:val="22"/>
          <w:szCs w:val="22"/>
          <w:lang w:val="sr-Latn-RS"/>
        </w:rPr>
      </w:pPr>
      <w:r w:rsidRPr="00C262AC">
        <w:rPr>
          <w:sz w:val="22"/>
          <w:szCs w:val="22"/>
          <w:lang w:val="sr-Latn-RS"/>
        </w:rPr>
        <w:t xml:space="preserve"> </w:t>
      </w:r>
    </w:p>
    <w:p w14:paraId="03BCD885" w14:textId="77CC15AF" w:rsidR="00E52F10" w:rsidRPr="00C262AC" w:rsidRDefault="00E52F10">
      <w:pPr>
        <w:jc w:val="both"/>
        <w:rPr>
          <w:sz w:val="22"/>
          <w:szCs w:val="22"/>
          <w:lang w:val="sr-Latn-RS"/>
        </w:rPr>
      </w:pPr>
      <w:r w:rsidRPr="00C262AC">
        <w:rPr>
          <w:sz w:val="22"/>
          <w:szCs w:val="22"/>
          <w:lang w:val="sr-Latn-RS"/>
        </w:rPr>
        <w:t>Kod pacijentkinja u postmenopauzi sa uznapredovalim karcinomom dojke, dnevne doze od 0.1 mg do 5 mg suprimiraju plazma koncentracije estradiola, estrona, i estron-sulfata za 75-95%</w:t>
      </w:r>
      <w:r w:rsidR="002872F8" w:rsidRPr="00C262AC">
        <w:rPr>
          <w:sz w:val="22"/>
          <w:szCs w:val="22"/>
          <w:lang w:val="sr-Latn-RS"/>
        </w:rPr>
        <w:t xml:space="preserve"> </w:t>
      </w:r>
      <w:r w:rsidRPr="00C262AC">
        <w:rPr>
          <w:sz w:val="22"/>
          <w:szCs w:val="22"/>
          <w:lang w:val="sr-Latn-RS"/>
        </w:rPr>
        <w:t xml:space="preserve">u odonosu na bazične vrijednosti kod svih liječenih pacijentkinja. Pri dozama od 0.5 mg i većim, mnoge vrijednosti estrona i estron-sulfata su ispod </w:t>
      </w:r>
      <w:r w:rsidRPr="00C262AC">
        <w:rPr>
          <w:noProof/>
          <w:sz w:val="22"/>
          <w:szCs w:val="22"/>
          <w:lang w:val="sr-Latn-RS"/>
        </w:rPr>
        <w:t>graničnih vrijednosti</w:t>
      </w:r>
      <w:r w:rsidRPr="00C262AC">
        <w:rPr>
          <w:sz w:val="22"/>
          <w:szCs w:val="22"/>
          <w:lang w:val="sr-Latn-RS"/>
        </w:rPr>
        <w:t xml:space="preserve"> </w:t>
      </w:r>
      <w:r w:rsidRPr="00C262AC">
        <w:rPr>
          <w:noProof/>
          <w:sz w:val="22"/>
          <w:szCs w:val="22"/>
          <w:lang w:val="sr-Latn-RS"/>
        </w:rPr>
        <w:t>koje se mogu detektovati u testovima</w:t>
      </w:r>
      <w:r w:rsidRPr="00C262AC">
        <w:rPr>
          <w:sz w:val="22"/>
          <w:szCs w:val="22"/>
          <w:lang w:val="sr-Latn-RS"/>
        </w:rPr>
        <w:t>, što ukazuje da se sa ovim dozama postiže već</w:t>
      </w:r>
      <w:r w:rsidR="008E3D2E" w:rsidRPr="00C262AC">
        <w:rPr>
          <w:sz w:val="22"/>
          <w:szCs w:val="22"/>
          <w:lang w:val="sr-Latn-RS"/>
        </w:rPr>
        <w:t>e sniženje koncentracije</w:t>
      </w:r>
      <w:r w:rsidRPr="00C262AC">
        <w:rPr>
          <w:sz w:val="22"/>
          <w:szCs w:val="22"/>
          <w:lang w:val="sr-Latn-RS"/>
        </w:rPr>
        <w:t xml:space="preserve"> estrogena. </w:t>
      </w:r>
      <w:r w:rsidR="008E3D2E" w:rsidRPr="00C262AC">
        <w:rPr>
          <w:sz w:val="22"/>
          <w:szCs w:val="22"/>
          <w:lang w:val="sr-Latn-RS"/>
        </w:rPr>
        <w:t>Smanjena koncentracija estrogena</w:t>
      </w:r>
      <w:r w:rsidRPr="00C262AC">
        <w:rPr>
          <w:noProof/>
          <w:sz w:val="22"/>
          <w:szCs w:val="22"/>
          <w:lang w:val="sr-Latn-RS"/>
        </w:rPr>
        <w:t xml:space="preserve"> </w:t>
      </w:r>
      <w:r w:rsidR="008E3D2E" w:rsidRPr="00C262AC">
        <w:rPr>
          <w:noProof/>
          <w:sz w:val="22"/>
          <w:szCs w:val="22"/>
          <w:lang w:val="sr-Latn-RS"/>
        </w:rPr>
        <w:t>bila je održana cijeli period trajanja liječenja u svih ovih bolesnica.</w:t>
      </w:r>
    </w:p>
    <w:p w14:paraId="7ECB1BD0" w14:textId="77777777" w:rsidR="00E52F10" w:rsidRPr="00C262AC" w:rsidRDefault="00E52F10">
      <w:pPr>
        <w:jc w:val="both"/>
        <w:rPr>
          <w:sz w:val="22"/>
          <w:szCs w:val="22"/>
          <w:lang w:val="sr-Latn-RS"/>
        </w:rPr>
      </w:pPr>
    </w:p>
    <w:p w14:paraId="50F6EEED" w14:textId="3B1FD751" w:rsidR="00E52F10" w:rsidRPr="00C262AC" w:rsidRDefault="00E52F10">
      <w:pPr>
        <w:jc w:val="both"/>
        <w:rPr>
          <w:sz w:val="22"/>
          <w:szCs w:val="22"/>
          <w:lang w:val="sr-Latn-RS"/>
        </w:rPr>
      </w:pPr>
      <w:r w:rsidRPr="00C262AC">
        <w:rPr>
          <w:sz w:val="22"/>
          <w:szCs w:val="22"/>
          <w:lang w:val="sr-Latn-RS"/>
        </w:rPr>
        <w:t xml:space="preserve">Letrozol je visoko specifičan inhibitor enzima aromataze. Nije zabilježeno </w:t>
      </w:r>
      <w:r w:rsidRPr="00C262AC">
        <w:rPr>
          <w:noProof/>
          <w:sz w:val="22"/>
          <w:szCs w:val="22"/>
          <w:lang w:val="sr-Latn-RS"/>
        </w:rPr>
        <w:t>oštećenje adrenalne steroidogeneze</w:t>
      </w:r>
      <w:r w:rsidRPr="00C262AC">
        <w:rPr>
          <w:sz w:val="22"/>
          <w:szCs w:val="22"/>
          <w:lang w:val="sr-Latn-RS"/>
        </w:rPr>
        <w:t xml:space="preserve">. Nijesu otkrivene klinički značajne promjene u plazma koncentracijama kortizola, aldosterona, 11-deoksikortizola, 17-hidroksiprogesterona i ACTH ili aktivnosti renina u plazmi kod pacijenta u postmenopauzi koji su liječeni dnevnim dozama letrozola od 0.1 mg do 5 mg. Testovi stimulacije ACTH koji su sprovedeni nakon 6 i 12 nedjelja terapije, sa dnevnim dozama od 0.1 mg, 0.25 mg, 0.5 mg, 1 mg, 2.5 mg, i 5.0 mg nijesu ukazali na smanjeno stvaranje aldosterona ili kortizola. Zbog toga nije potrebna suplementacija glukokortikoidima i mineralokortikoidima. </w:t>
      </w:r>
    </w:p>
    <w:p w14:paraId="2C38D763" w14:textId="77777777" w:rsidR="00E52F10" w:rsidRPr="00C262AC" w:rsidRDefault="00E52F10">
      <w:pPr>
        <w:jc w:val="both"/>
        <w:rPr>
          <w:sz w:val="22"/>
          <w:szCs w:val="22"/>
          <w:lang w:val="sr-Latn-RS"/>
        </w:rPr>
      </w:pPr>
    </w:p>
    <w:p w14:paraId="6C9C42D3" w14:textId="581479D8" w:rsidR="008E3D2E" w:rsidRPr="00C262AC" w:rsidRDefault="00E52F10">
      <w:pPr>
        <w:jc w:val="both"/>
        <w:rPr>
          <w:sz w:val="22"/>
          <w:szCs w:val="22"/>
          <w:lang w:val="sr-Latn-RS"/>
        </w:rPr>
      </w:pPr>
      <w:r w:rsidRPr="00C262AC">
        <w:rPr>
          <w:sz w:val="22"/>
          <w:szCs w:val="22"/>
          <w:lang w:val="sr-Latn-RS"/>
        </w:rPr>
        <w:t>Nijesu zab</w:t>
      </w:r>
      <w:r w:rsidR="008E3D2E" w:rsidRPr="00C262AC">
        <w:rPr>
          <w:sz w:val="22"/>
          <w:szCs w:val="22"/>
          <w:lang w:val="sr-Latn-RS"/>
        </w:rPr>
        <w:t>ilje</w:t>
      </w:r>
      <w:r w:rsidRPr="00C262AC">
        <w:rPr>
          <w:sz w:val="22"/>
          <w:szCs w:val="22"/>
          <w:lang w:val="sr-Latn-RS"/>
        </w:rPr>
        <w:t xml:space="preserve">žene nikakve promjene u koncentracijama androgena u plazmi (androstendiona i testosterona) kod žena u postmenopauzi nakon primjene 0.1 mg, 0.5 mg, i 2.5 mg </w:t>
      </w:r>
      <w:r w:rsidRPr="00C262AC">
        <w:rPr>
          <w:noProof/>
          <w:sz w:val="22"/>
          <w:szCs w:val="22"/>
          <w:lang w:val="sr-Latn-RS"/>
        </w:rPr>
        <w:t xml:space="preserve">pojedinačne doze letrozola, </w:t>
      </w:r>
      <w:r w:rsidRPr="00C262AC">
        <w:rPr>
          <w:sz w:val="22"/>
          <w:szCs w:val="22"/>
          <w:lang w:val="sr-Latn-RS"/>
        </w:rPr>
        <w:t xml:space="preserve">niti u koncentracijama androstendiona u plazmi kod pacijentkinja u postmenopauzi liječenih dnevnim dozama od 0.1 mg do 5.0 mg, što ukazuje da blokada biosinteze estrogena ne dovodi do akumulacije androgenih prekursora. Kod pacijenata letrozol ne utiče na vrijednosti LH i FSH, niti na funkciju tiroidne žlezde, </w:t>
      </w:r>
      <w:r w:rsidRPr="00C262AC">
        <w:rPr>
          <w:noProof/>
          <w:sz w:val="22"/>
          <w:szCs w:val="22"/>
          <w:lang w:val="sr-Latn-RS"/>
        </w:rPr>
        <w:t xml:space="preserve">na osnovu procjene </w:t>
      </w:r>
      <w:r w:rsidRPr="00C262AC">
        <w:rPr>
          <w:sz w:val="22"/>
          <w:szCs w:val="22"/>
          <w:lang w:val="sr-Latn-RS"/>
        </w:rPr>
        <w:t>vrijednosti TSH, T4 i testa preuzimanja T3.</w:t>
      </w:r>
    </w:p>
    <w:p w14:paraId="23A22B49" w14:textId="77777777" w:rsidR="00E52F10" w:rsidRPr="00C262AC" w:rsidRDefault="00E52F10">
      <w:pPr>
        <w:jc w:val="both"/>
        <w:rPr>
          <w:sz w:val="22"/>
          <w:szCs w:val="22"/>
          <w:lang w:val="sr-Latn-RS"/>
        </w:rPr>
      </w:pPr>
    </w:p>
    <w:p w14:paraId="3EE5989C" w14:textId="406E5CA5" w:rsidR="00E52F10" w:rsidRPr="00C262AC" w:rsidRDefault="00E52F10">
      <w:pPr>
        <w:pStyle w:val="NormalWeb"/>
        <w:spacing w:before="0" w:beforeAutospacing="0" w:after="0" w:afterAutospacing="0"/>
        <w:jc w:val="both"/>
        <w:rPr>
          <w:i/>
          <w:iCs/>
          <w:sz w:val="22"/>
          <w:szCs w:val="22"/>
          <w:lang w:val="sr-Latn-RS"/>
        </w:rPr>
      </w:pPr>
      <w:r w:rsidRPr="00C262AC">
        <w:rPr>
          <w:b/>
          <w:bCs/>
          <w:i/>
          <w:iCs/>
          <w:sz w:val="22"/>
          <w:szCs w:val="22"/>
          <w:u w:val="single"/>
          <w:lang w:val="sr-Latn-RS"/>
        </w:rPr>
        <w:t xml:space="preserve">Adjuvantna terapija </w:t>
      </w:r>
    </w:p>
    <w:p w14:paraId="091C6FE4" w14:textId="77777777" w:rsidR="00E52F10" w:rsidRPr="00C262AC" w:rsidRDefault="00E52F10">
      <w:pPr>
        <w:pStyle w:val="NormalWeb"/>
        <w:spacing w:before="0" w:beforeAutospacing="0" w:after="0" w:afterAutospacing="0"/>
        <w:jc w:val="both"/>
        <w:rPr>
          <w:sz w:val="22"/>
          <w:szCs w:val="22"/>
          <w:u w:val="single"/>
          <w:lang w:val="sr-Latn-RS"/>
        </w:rPr>
      </w:pPr>
      <w:r w:rsidRPr="00C262AC">
        <w:rPr>
          <w:i/>
          <w:iCs/>
          <w:sz w:val="22"/>
          <w:szCs w:val="22"/>
          <w:lang w:val="sr-Latn-RS"/>
        </w:rPr>
        <w:t>Studija BIG 1-98</w:t>
      </w:r>
    </w:p>
    <w:p w14:paraId="68D1B28E" w14:textId="64E4EBD9" w:rsidR="00E52F10"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lastRenderedPageBreak/>
        <w:t>BIG 1-98 bila je multicentrična, dvostruko-slijepa studija u kojoj je preko 8000 žena u postmenopauzi sa ranim</w:t>
      </w:r>
      <w:r w:rsidR="008E3D2E" w:rsidRPr="00C262AC">
        <w:rPr>
          <w:rFonts w:eastAsia="TimesNewRoman"/>
          <w:sz w:val="22"/>
          <w:szCs w:val="22"/>
          <w:lang w:val="sr-Latn-RS"/>
        </w:rPr>
        <w:t xml:space="preserve"> </w:t>
      </w:r>
      <w:r w:rsidRPr="00C262AC">
        <w:rPr>
          <w:rFonts w:eastAsia="TimesNewRoman"/>
          <w:sz w:val="22"/>
          <w:szCs w:val="22"/>
          <w:lang w:val="sr-Latn-RS"/>
        </w:rPr>
        <w:t>karcinomom dojke i pozitivnim hormonskim receptorima randomizirano u jednu od sljedećih terapijskih grupa:</w:t>
      </w:r>
    </w:p>
    <w:p w14:paraId="4FBBD910" w14:textId="3D38CFBB" w:rsidR="00E52F10"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t>A. Tamoksifen tokom 5 godina;</w:t>
      </w:r>
    </w:p>
    <w:p w14:paraId="3CAF6372" w14:textId="77777777" w:rsidR="008E3D2E"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t>B. Femozol tokom 5 godina;</w:t>
      </w:r>
    </w:p>
    <w:p w14:paraId="62D9068E" w14:textId="77777777" w:rsidR="00E52F10"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C. Tamoksifen tokom 2 godine, nakon toga lijek Femozol tokom 3 godine; </w:t>
      </w:r>
    </w:p>
    <w:p w14:paraId="3ADD61B5" w14:textId="77777777" w:rsidR="00E52F10"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t>D. Femozol tokom 2 godine, nakon toga tamoksifen tokom 3 godine.</w:t>
      </w:r>
    </w:p>
    <w:p w14:paraId="59FA3AB6" w14:textId="77777777" w:rsidR="00E52F10" w:rsidRPr="00C262AC" w:rsidRDefault="00E52F10">
      <w:pPr>
        <w:autoSpaceDE w:val="0"/>
        <w:autoSpaceDN w:val="0"/>
        <w:adjustRightInd w:val="0"/>
        <w:jc w:val="both"/>
        <w:rPr>
          <w:rFonts w:eastAsia="TimesNewRoman"/>
          <w:sz w:val="22"/>
          <w:szCs w:val="22"/>
          <w:lang w:val="sr-Latn-RS"/>
        </w:rPr>
      </w:pPr>
    </w:p>
    <w:p w14:paraId="6FAB4FC6" w14:textId="5BA7D461" w:rsidR="00E52F10"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t>Primarni ishod studije bio je preživljavanje bez bolesti (</w:t>
      </w:r>
      <w:r w:rsidRPr="00C262AC">
        <w:rPr>
          <w:rFonts w:eastAsia="TimesNewRoman"/>
          <w:i/>
          <w:iCs/>
          <w:sz w:val="22"/>
          <w:szCs w:val="22"/>
          <w:lang w:val="sr-Latn-RS"/>
        </w:rPr>
        <w:t>disease-free survival, DFS</w:t>
      </w:r>
      <w:r w:rsidRPr="00C262AC">
        <w:rPr>
          <w:rFonts w:eastAsia="TimesNewRoman"/>
          <w:sz w:val="22"/>
          <w:szCs w:val="22"/>
          <w:lang w:val="sr-Latn-RS"/>
        </w:rPr>
        <w:t>); sekundarni ishod efikasnosti bio je vrijeme do pojave udaljenih metastaza (</w:t>
      </w:r>
      <w:r w:rsidRPr="00C262AC">
        <w:rPr>
          <w:rFonts w:eastAsia="TimesNewRoman"/>
          <w:i/>
          <w:iCs/>
          <w:sz w:val="22"/>
          <w:szCs w:val="22"/>
          <w:lang w:val="sr-Latn-RS"/>
        </w:rPr>
        <w:t>time to distant metastasis, TDM</w:t>
      </w:r>
      <w:r w:rsidRPr="00C262AC">
        <w:rPr>
          <w:rFonts w:eastAsia="TimesNewRoman"/>
          <w:sz w:val="22"/>
          <w:szCs w:val="22"/>
          <w:lang w:val="sr-Latn-RS"/>
        </w:rPr>
        <w:t>), preživljavanje bez povratka udaljene bolesti</w:t>
      </w:r>
      <w:r w:rsidR="008E3D2E" w:rsidRPr="00C262AC">
        <w:rPr>
          <w:rFonts w:eastAsia="TimesNewRoman"/>
          <w:sz w:val="22"/>
          <w:szCs w:val="22"/>
          <w:lang w:val="sr-Latn-RS"/>
        </w:rPr>
        <w:t xml:space="preserve"> </w:t>
      </w:r>
      <w:r w:rsidRPr="00C262AC">
        <w:rPr>
          <w:rFonts w:eastAsia="TimesNewRoman"/>
          <w:sz w:val="22"/>
          <w:szCs w:val="22"/>
          <w:lang w:val="sr-Latn-RS"/>
        </w:rPr>
        <w:t>(</w:t>
      </w:r>
      <w:r w:rsidRPr="00C262AC">
        <w:rPr>
          <w:rFonts w:eastAsia="TimesNewRoman"/>
          <w:i/>
          <w:iCs/>
          <w:sz w:val="22"/>
          <w:szCs w:val="22"/>
          <w:lang w:val="sr-Latn-RS"/>
        </w:rPr>
        <w:t>distant disease-free survival, DDFS</w:t>
      </w:r>
      <w:r w:rsidRPr="00C262AC">
        <w:rPr>
          <w:rFonts w:eastAsia="TimesNewRoman"/>
          <w:sz w:val="22"/>
          <w:szCs w:val="22"/>
          <w:lang w:val="sr-Latn-RS"/>
        </w:rPr>
        <w:t>), ukupno preživljavanje (</w:t>
      </w:r>
      <w:r w:rsidRPr="00C262AC">
        <w:rPr>
          <w:rFonts w:eastAsia="TimesNewRoman"/>
          <w:i/>
          <w:iCs/>
          <w:sz w:val="22"/>
          <w:szCs w:val="22"/>
          <w:lang w:val="sr-Latn-RS"/>
        </w:rPr>
        <w:t xml:space="preserve">overall survival, OS), </w:t>
      </w:r>
      <w:r w:rsidRPr="00C262AC">
        <w:rPr>
          <w:rFonts w:eastAsia="TimesNewRoman"/>
          <w:sz w:val="22"/>
          <w:szCs w:val="22"/>
          <w:lang w:val="sr-Latn-RS"/>
        </w:rPr>
        <w:t>preživljavanje bez sistemske bolesti (</w:t>
      </w:r>
      <w:r w:rsidRPr="00C262AC">
        <w:rPr>
          <w:rFonts w:eastAsia="TimesNewRoman"/>
          <w:i/>
          <w:iCs/>
          <w:sz w:val="22"/>
          <w:szCs w:val="22"/>
          <w:lang w:val="sr-Latn-RS"/>
        </w:rPr>
        <w:t>systemic disease-free survival, SDFS</w:t>
      </w:r>
      <w:r w:rsidRPr="00C262AC">
        <w:rPr>
          <w:rFonts w:eastAsia="TimesNewRoman"/>
          <w:sz w:val="22"/>
          <w:szCs w:val="22"/>
          <w:lang w:val="sr-Latn-RS"/>
        </w:rPr>
        <w:t>), invazivni kontralateralni karcinom dojke i vrijeme do ponovne pojave karcinoma dojke.</w:t>
      </w:r>
    </w:p>
    <w:p w14:paraId="1A206235" w14:textId="77777777" w:rsidR="00E52F10" w:rsidRPr="00C262AC" w:rsidRDefault="00E52F10">
      <w:pPr>
        <w:autoSpaceDE w:val="0"/>
        <w:autoSpaceDN w:val="0"/>
        <w:adjustRightInd w:val="0"/>
        <w:jc w:val="both"/>
        <w:rPr>
          <w:rFonts w:eastAsia="TimesNewRoman"/>
          <w:sz w:val="22"/>
          <w:szCs w:val="22"/>
          <w:lang w:val="sr-Latn-RS"/>
        </w:rPr>
      </w:pPr>
    </w:p>
    <w:p w14:paraId="676447B8" w14:textId="77777777" w:rsidR="00E52F10" w:rsidRPr="00C262AC" w:rsidRDefault="00E52F10">
      <w:pPr>
        <w:autoSpaceDE w:val="0"/>
        <w:autoSpaceDN w:val="0"/>
        <w:adjustRightInd w:val="0"/>
        <w:jc w:val="both"/>
        <w:rPr>
          <w:i/>
          <w:iCs/>
          <w:sz w:val="22"/>
          <w:szCs w:val="22"/>
          <w:lang w:val="sr-Latn-RS"/>
        </w:rPr>
      </w:pPr>
      <w:r w:rsidRPr="00C262AC">
        <w:rPr>
          <w:i/>
          <w:iCs/>
          <w:sz w:val="22"/>
          <w:szCs w:val="22"/>
          <w:lang w:val="sr-Latn-RS"/>
        </w:rPr>
        <w:t>Rezultati efikasnosti pri medijani vremena praćenja od 26 i 60 mjeseci</w:t>
      </w:r>
    </w:p>
    <w:p w14:paraId="0D204E17" w14:textId="77777777" w:rsidR="00E52F10" w:rsidRPr="00C262AC" w:rsidRDefault="00E52F10">
      <w:pPr>
        <w:autoSpaceDE w:val="0"/>
        <w:autoSpaceDN w:val="0"/>
        <w:adjustRightInd w:val="0"/>
        <w:jc w:val="both"/>
        <w:rPr>
          <w:i/>
          <w:iCs/>
          <w:sz w:val="22"/>
          <w:szCs w:val="22"/>
          <w:lang w:val="sr-Latn-RS"/>
        </w:rPr>
      </w:pPr>
    </w:p>
    <w:p w14:paraId="2B607F94" w14:textId="77777777" w:rsidR="00E52F10"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t>U Tabeli 4 su prikazani rezultati PCA (</w:t>
      </w:r>
      <w:r w:rsidRPr="00C262AC">
        <w:rPr>
          <w:i/>
          <w:iCs/>
          <w:sz w:val="22"/>
          <w:szCs w:val="22"/>
          <w:lang w:val="sr-Latn-RS"/>
        </w:rPr>
        <w:t>Primary Core Analysis</w:t>
      </w:r>
      <w:r w:rsidRPr="00C262AC">
        <w:rPr>
          <w:rFonts w:eastAsia="TimesNewRoman"/>
          <w:sz w:val="22"/>
          <w:szCs w:val="22"/>
          <w:lang w:val="sr-Latn-RS"/>
        </w:rPr>
        <w:t>) na osnovu podataka iz grupe koje su dobijale monoterapiju (A i B) i iz dvije grupe koje su prelazile na drugu terapiju (C i D), pri medijani vremena trajanja terapije od 24 mjeseca i medijani vremena praćenja od 26 mjeseci i pri medijani vremena trajanja terapije od 32 mjeseca i medijani vremena praćenja od 60 mjeseci.</w:t>
      </w:r>
    </w:p>
    <w:p w14:paraId="300B2596" w14:textId="77777777" w:rsidR="00E52F10" w:rsidRPr="00C262AC" w:rsidRDefault="00E52F10">
      <w:pPr>
        <w:autoSpaceDE w:val="0"/>
        <w:autoSpaceDN w:val="0"/>
        <w:adjustRightInd w:val="0"/>
        <w:jc w:val="both"/>
        <w:rPr>
          <w:rFonts w:eastAsia="TimesNewRoman"/>
          <w:sz w:val="22"/>
          <w:szCs w:val="22"/>
          <w:lang w:val="sr-Latn-RS"/>
        </w:rPr>
      </w:pPr>
    </w:p>
    <w:p w14:paraId="36ADB6A5" w14:textId="77777777" w:rsidR="00E52F10" w:rsidRPr="00C262AC" w:rsidRDefault="00E52F10">
      <w:pPr>
        <w:autoSpaceDE w:val="0"/>
        <w:autoSpaceDN w:val="0"/>
        <w:adjustRightInd w:val="0"/>
        <w:jc w:val="both"/>
        <w:rPr>
          <w:rFonts w:eastAsia="TimesNewRoman"/>
          <w:sz w:val="22"/>
          <w:szCs w:val="22"/>
          <w:lang w:val="sr-Latn-RS"/>
        </w:rPr>
      </w:pPr>
      <w:r w:rsidRPr="00C262AC">
        <w:rPr>
          <w:rFonts w:eastAsia="TimesNewRoman"/>
          <w:sz w:val="22"/>
          <w:szCs w:val="22"/>
          <w:lang w:val="sr-Latn-RS"/>
        </w:rPr>
        <w:t>Petogodišnje DFS vrijednosti bile su 84% za lijek Femozol i 81.4% za tamoksifen.</w:t>
      </w:r>
    </w:p>
    <w:p w14:paraId="52503FAC" w14:textId="0B9498DC" w:rsidR="00E52F10" w:rsidRPr="00C262AC" w:rsidRDefault="00E52F10" w:rsidP="00C02F5A">
      <w:pPr>
        <w:tabs>
          <w:tab w:val="left" w:pos="540"/>
          <w:tab w:val="left" w:pos="569"/>
        </w:tabs>
        <w:jc w:val="both"/>
        <w:rPr>
          <w:b/>
          <w:bCs/>
          <w:sz w:val="22"/>
          <w:szCs w:val="22"/>
          <w:lang w:val="sr-Latn-RS"/>
        </w:rPr>
      </w:pPr>
    </w:p>
    <w:p w14:paraId="055D0D70" w14:textId="79BC96C2" w:rsidR="008707A6" w:rsidRPr="00C262AC" w:rsidRDefault="008707A6">
      <w:pPr>
        <w:autoSpaceDE w:val="0"/>
        <w:autoSpaceDN w:val="0"/>
        <w:adjustRightInd w:val="0"/>
        <w:jc w:val="both"/>
        <w:rPr>
          <w:sz w:val="22"/>
          <w:szCs w:val="22"/>
          <w:lang w:val="sr-Latn-RS"/>
        </w:rPr>
      </w:pPr>
      <w:r w:rsidRPr="00C262AC">
        <w:rPr>
          <w:rFonts w:eastAsia="TimesNewRoman,Bold"/>
          <w:b/>
          <w:bCs/>
          <w:sz w:val="22"/>
          <w:szCs w:val="22"/>
          <w:lang w:val="sr-Latn-RS"/>
        </w:rPr>
        <w:t xml:space="preserve">Tabela 4. </w:t>
      </w:r>
      <w:r w:rsidRPr="00C262AC">
        <w:rPr>
          <w:rFonts w:eastAsia="TimesNewRoman,Bold"/>
          <w:bCs/>
          <w:sz w:val="22"/>
          <w:szCs w:val="22"/>
          <w:lang w:val="sr-Latn-RS"/>
        </w:rPr>
        <w:t>Primarna core analiza (PCA): Preživljavanje bez bolesti i ukupno preživljavanje, pri medijani vremena praćenja od 26 mjeseci i pri medijani vremena praćenja od 60 mjeseci (ITT populacija)</w:t>
      </w:r>
      <w:r w:rsidRPr="00C262AC">
        <w:rPr>
          <w:sz w:val="22"/>
          <w:szCs w:val="22"/>
          <w:lang w:val="sr-Latn-RS"/>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3"/>
        <w:gridCol w:w="1279"/>
        <w:gridCol w:w="1276"/>
        <w:gridCol w:w="1272"/>
        <w:gridCol w:w="1137"/>
        <w:gridCol w:w="1276"/>
      </w:tblGrid>
      <w:tr w:rsidR="008707A6" w:rsidRPr="00C262AC" w14:paraId="70AE3FDE" w14:textId="77777777" w:rsidTr="00C02F5A">
        <w:tc>
          <w:tcPr>
            <w:tcW w:w="9209" w:type="dxa"/>
            <w:gridSpan w:val="7"/>
            <w:tcBorders>
              <w:top w:val="single" w:sz="4" w:space="0" w:color="auto"/>
              <w:left w:val="single" w:sz="4" w:space="0" w:color="auto"/>
              <w:bottom w:val="single" w:sz="4" w:space="0" w:color="auto"/>
              <w:right w:val="single" w:sz="4" w:space="0" w:color="auto"/>
            </w:tcBorders>
            <w:hideMark/>
          </w:tcPr>
          <w:p w14:paraId="5DD9340A" w14:textId="77777777" w:rsidR="008707A6" w:rsidRPr="00C262AC" w:rsidRDefault="008707A6">
            <w:pPr>
              <w:jc w:val="both"/>
              <w:rPr>
                <w:b/>
                <w:bCs/>
                <w:color w:val="000000"/>
                <w:sz w:val="22"/>
                <w:szCs w:val="22"/>
                <w:lang w:val="sr-Latn-RS" w:eastAsia="pl-PL"/>
              </w:rPr>
            </w:pPr>
            <w:r w:rsidRPr="00C262AC">
              <w:rPr>
                <w:rFonts w:eastAsia="TimesNewRoman"/>
                <w:b/>
                <w:sz w:val="22"/>
                <w:szCs w:val="22"/>
                <w:lang w:val="sr-Latn-RS" w:eastAsia="pl-PL"/>
              </w:rPr>
              <w:t>Primarna osnovna analiza</w:t>
            </w:r>
          </w:p>
        </w:tc>
      </w:tr>
      <w:tr w:rsidR="008707A6" w:rsidRPr="00C262AC" w14:paraId="2D97ED39" w14:textId="77777777" w:rsidTr="00C02F5A">
        <w:tc>
          <w:tcPr>
            <w:tcW w:w="1696" w:type="dxa"/>
            <w:tcBorders>
              <w:top w:val="single" w:sz="4" w:space="0" w:color="auto"/>
              <w:left w:val="single" w:sz="4" w:space="0" w:color="auto"/>
              <w:bottom w:val="single" w:sz="4" w:space="0" w:color="auto"/>
              <w:right w:val="single" w:sz="4" w:space="0" w:color="auto"/>
            </w:tcBorders>
          </w:tcPr>
          <w:p w14:paraId="67D5187D" w14:textId="77777777" w:rsidR="008707A6" w:rsidRPr="00C262AC" w:rsidRDefault="008707A6">
            <w:pPr>
              <w:jc w:val="both"/>
              <w:rPr>
                <w:b/>
                <w:bCs/>
                <w:color w:val="000000"/>
                <w:sz w:val="22"/>
                <w:szCs w:val="22"/>
                <w:lang w:val="sr-Latn-RS" w:eastAsia="pl-PL"/>
              </w:rPr>
            </w:pPr>
          </w:p>
        </w:tc>
        <w:tc>
          <w:tcPr>
            <w:tcW w:w="3828" w:type="dxa"/>
            <w:gridSpan w:val="3"/>
            <w:tcBorders>
              <w:top w:val="single" w:sz="4" w:space="0" w:color="auto"/>
              <w:left w:val="single" w:sz="4" w:space="0" w:color="auto"/>
              <w:bottom w:val="single" w:sz="4" w:space="0" w:color="auto"/>
              <w:right w:val="single" w:sz="4" w:space="0" w:color="auto"/>
            </w:tcBorders>
            <w:hideMark/>
          </w:tcPr>
          <w:p w14:paraId="75196287" w14:textId="77777777" w:rsidR="008707A6" w:rsidRPr="00C262AC" w:rsidRDefault="008707A6">
            <w:pPr>
              <w:jc w:val="both"/>
              <w:rPr>
                <w:bCs/>
                <w:color w:val="000000"/>
                <w:sz w:val="22"/>
                <w:szCs w:val="22"/>
                <w:lang w:val="sr-Latn-RS" w:eastAsia="pl-PL"/>
              </w:rPr>
            </w:pPr>
            <w:r w:rsidRPr="00C262AC">
              <w:rPr>
                <w:rFonts w:eastAsia="TimesNewRoman"/>
                <w:sz w:val="22"/>
                <w:szCs w:val="22"/>
                <w:lang w:val="sr-Latn-RS" w:eastAsia="pl-PL"/>
              </w:rPr>
              <w:t>Medijana vremena praćenja 26 mjeseci</w:t>
            </w:r>
          </w:p>
        </w:tc>
        <w:tc>
          <w:tcPr>
            <w:tcW w:w="3685" w:type="dxa"/>
            <w:gridSpan w:val="3"/>
            <w:tcBorders>
              <w:top w:val="single" w:sz="4" w:space="0" w:color="auto"/>
              <w:left w:val="single" w:sz="4" w:space="0" w:color="auto"/>
              <w:bottom w:val="single" w:sz="4" w:space="0" w:color="auto"/>
              <w:right w:val="single" w:sz="4" w:space="0" w:color="auto"/>
            </w:tcBorders>
            <w:hideMark/>
          </w:tcPr>
          <w:p w14:paraId="69E5BD31" w14:textId="77777777" w:rsidR="008707A6" w:rsidRPr="00C262AC" w:rsidRDefault="008707A6">
            <w:pPr>
              <w:jc w:val="both"/>
              <w:rPr>
                <w:bCs/>
                <w:color w:val="000000"/>
                <w:sz w:val="22"/>
                <w:szCs w:val="22"/>
                <w:lang w:val="sr-Latn-RS" w:eastAsia="pl-PL"/>
              </w:rPr>
            </w:pPr>
            <w:r w:rsidRPr="00C262AC">
              <w:rPr>
                <w:rFonts w:eastAsia="TimesNewRoman"/>
                <w:sz w:val="22"/>
                <w:szCs w:val="22"/>
                <w:lang w:val="sr-Latn-RS" w:eastAsia="pl-PL"/>
              </w:rPr>
              <w:t>Medijana vremena praćenja 60 mjeseci</w:t>
            </w:r>
          </w:p>
        </w:tc>
      </w:tr>
      <w:tr w:rsidR="0046672B" w:rsidRPr="00C262AC" w14:paraId="22C459DF" w14:textId="77777777" w:rsidTr="00C02F5A">
        <w:trPr>
          <w:trHeight w:val="907"/>
        </w:trPr>
        <w:tc>
          <w:tcPr>
            <w:tcW w:w="1696" w:type="dxa"/>
            <w:tcBorders>
              <w:top w:val="single" w:sz="4" w:space="0" w:color="auto"/>
              <w:left w:val="single" w:sz="4" w:space="0" w:color="auto"/>
              <w:bottom w:val="single" w:sz="4" w:space="0" w:color="auto"/>
              <w:right w:val="single" w:sz="4" w:space="0" w:color="auto"/>
            </w:tcBorders>
          </w:tcPr>
          <w:p w14:paraId="3874772E" w14:textId="77777777" w:rsidR="008707A6" w:rsidRPr="00C262AC" w:rsidRDefault="008707A6">
            <w:pPr>
              <w:jc w:val="both"/>
              <w:rPr>
                <w:b/>
                <w:bCs/>
                <w:color w:val="000000"/>
                <w:sz w:val="22"/>
                <w:szCs w:val="22"/>
                <w:lang w:val="sr-Latn-RS" w:eastAsia="pl-PL"/>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70CE086" w14:textId="77777777" w:rsidR="008707A6" w:rsidRPr="00C262AC" w:rsidRDefault="008707A6" w:rsidP="00C02F5A">
            <w:pPr>
              <w:jc w:val="center"/>
              <w:rPr>
                <w:rFonts w:eastAsia="TimesNewRoman"/>
                <w:sz w:val="22"/>
                <w:szCs w:val="22"/>
                <w:lang w:val="sr-Latn-RS" w:eastAsia="pl-PL"/>
              </w:rPr>
            </w:pPr>
            <w:r w:rsidRPr="00C262AC">
              <w:rPr>
                <w:rFonts w:eastAsia="TimesNewRoman"/>
                <w:sz w:val="22"/>
                <w:szCs w:val="22"/>
                <w:lang w:val="sr-Latn-RS" w:eastAsia="pl-PL"/>
              </w:rPr>
              <w:t>Femozol</w:t>
            </w:r>
          </w:p>
          <w:p w14:paraId="740E5316" w14:textId="77777777"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N=4003</w:t>
            </w:r>
          </w:p>
        </w:tc>
        <w:tc>
          <w:tcPr>
            <w:tcW w:w="1279" w:type="dxa"/>
            <w:tcBorders>
              <w:top w:val="single" w:sz="4" w:space="0" w:color="auto"/>
              <w:left w:val="single" w:sz="4" w:space="0" w:color="auto"/>
              <w:bottom w:val="single" w:sz="4" w:space="0" w:color="auto"/>
              <w:right w:val="single" w:sz="4" w:space="0" w:color="auto"/>
            </w:tcBorders>
            <w:vAlign w:val="center"/>
            <w:hideMark/>
          </w:tcPr>
          <w:p w14:paraId="64966E19" w14:textId="77777777"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Tamoksifen N=4007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0A9FB4" w14:textId="77777777"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HR</w:t>
            </w:r>
            <w:r w:rsidRPr="00C262AC">
              <w:rPr>
                <w:bCs/>
                <w:color w:val="000000"/>
                <w:sz w:val="22"/>
                <w:szCs w:val="22"/>
                <w:vertAlign w:val="superscript"/>
                <w:lang w:val="sr-Latn-RS" w:eastAsia="pl-PL"/>
              </w:rPr>
              <w:t>1</w:t>
            </w:r>
          </w:p>
          <w:p w14:paraId="049DA871" w14:textId="7930B89F"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(95%CI)</w:t>
            </w:r>
          </w:p>
          <w:p w14:paraId="2F53A7D5" w14:textId="77777777" w:rsidR="008707A6" w:rsidRPr="00C262AC" w:rsidRDefault="008707A6" w:rsidP="00C02F5A">
            <w:pPr>
              <w:jc w:val="center"/>
              <w:rPr>
                <w:bCs/>
                <w:color w:val="000000"/>
                <w:sz w:val="22"/>
                <w:szCs w:val="22"/>
                <w:lang w:val="sr-Latn-RS" w:eastAsia="pl-PL"/>
              </w:rPr>
            </w:pPr>
            <w:r w:rsidRPr="00C262AC">
              <w:rPr>
                <w:bCs/>
                <w:i/>
                <w:color w:val="000000"/>
                <w:sz w:val="22"/>
                <w:szCs w:val="22"/>
                <w:lang w:val="sr-Latn-RS" w:eastAsia="pl-PL"/>
              </w:rPr>
              <w:t>p</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75A535F" w14:textId="77777777" w:rsidR="008707A6" w:rsidRPr="00C262AC" w:rsidRDefault="008707A6" w:rsidP="00C02F5A">
            <w:pPr>
              <w:jc w:val="center"/>
              <w:rPr>
                <w:rFonts w:eastAsia="TimesNewRoman"/>
                <w:sz w:val="22"/>
                <w:szCs w:val="22"/>
                <w:lang w:val="sr-Latn-RS" w:eastAsia="pl-PL"/>
              </w:rPr>
            </w:pPr>
            <w:r w:rsidRPr="00C262AC">
              <w:rPr>
                <w:rFonts w:eastAsia="TimesNewRoman"/>
                <w:sz w:val="22"/>
                <w:szCs w:val="22"/>
                <w:lang w:val="sr-Latn-RS" w:eastAsia="pl-PL"/>
              </w:rPr>
              <w:t>Femozol</w:t>
            </w:r>
          </w:p>
          <w:p w14:paraId="1F3D37CF" w14:textId="77777777"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N=4003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A92C0F1" w14:textId="77777777"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Tamoksifen N=4007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08EA1" w14:textId="77777777"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HR</w:t>
            </w:r>
            <w:r w:rsidRPr="00C262AC">
              <w:rPr>
                <w:bCs/>
                <w:color w:val="000000"/>
                <w:sz w:val="22"/>
                <w:szCs w:val="22"/>
                <w:vertAlign w:val="superscript"/>
                <w:lang w:val="sr-Latn-RS" w:eastAsia="pl-PL"/>
              </w:rPr>
              <w:t>1</w:t>
            </w:r>
          </w:p>
          <w:p w14:paraId="1F6C8F5B" w14:textId="77777777" w:rsidR="008707A6" w:rsidRPr="00C262AC" w:rsidRDefault="008707A6" w:rsidP="00C02F5A">
            <w:pPr>
              <w:jc w:val="center"/>
              <w:rPr>
                <w:bCs/>
                <w:color w:val="000000"/>
                <w:sz w:val="22"/>
                <w:szCs w:val="22"/>
                <w:lang w:val="sr-Latn-RS" w:eastAsia="pl-PL"/>
              </w:rPr>
            </w:pPr>
            <w:r w:rsidRPr="00C262AC">
              <w:rPr>
                <w:bCs/>
                <w:color w:val="000000"/>
                <w:sz w:val="22"/>
                <w:szCs w:val="22"/>
                <w:lang w:val="sr-Latn-RS" w:eastAsia="pl-PL"/>
              </w:rPr>
              <w:t xml:space="preserve">(95% CI) </w:t>
            </w:r>
            <w:r w:rsidRPr="00C262AC">
              <w:rPr>
                <w:bCs/>
                <w:i/>
                <w:color w:val="000000"/>
                <w:sz w:val="22"/>
                <w:szCs w:val="22"/>
                <w:lang w:val="sr-Latn-RS" w:eastAsia="pl-PL"/>
              </w:rPr>
              <w:t>p</w:t>
            </w:r>
          </w:p>
        </w:tc>
      </w:tr>
      <w:tr w:rsidR="0046672B" w:rsidRPr="00C262AC" w14:paraId="11FA6252" w14:textId="77777777" w:rsidTr="00C02F5A">
        <w:trPr>
          <w:trHeight w:val="907"/>
        </w:trPr>
        <w:tc>
          <w:tcPr>
            <w:tcW w:w="1696" w:type="dxa"/>
            <w:tcBorders>
              <w:top w:val="single" w:sz="4" w:space="0" w:color="auto"/>
              <w:left w:val="single" w:sz="4" w:space="0" w:color="auto"/>
              <w:bottom w:val="single" w:sz="4" w:space="0" w:color="auto"/>
              <w:right w:val="single" w:sz="4" w:space="0" w:color="auto"/>
            </w:tcBorders>
            <w:hideMark/>
          </w:tcPr>
          <w:p w14:paraId="61B8823F"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Preživljavanje</w:t>
            </w:r>
          </w:p>
          <w:p w14:paraId="7E699A9A"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bez bolesti</w:t>
            </w:r>
          </w:p>
          <w:p w14:paraId="345CFF7B"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(primarno)-</w:t>
            </w:r>
          </w:p>
          <w:p w14:paraId="6EC1DD22"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događaji</w:t>
            </w:r>
          </w:p>
          <w:p w14:paraId="1E4D5E2F"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(definicija iz</w:t>
            </w:r>
          </w:p>
          <w:p w14:paraId="1922FC3B" w14:textId="77777777" w:rsidR="008707A6" w:rsidRPr="00C262AC" w:rsidRDefault="008707A6">
            <w:pPr>
              <w:pStyle w:val="Default"/>
              <w:jc w:val="both"/>
              <w:rPr>
                <w:sz w:val="22"/>
                <w:szCs w:val="22"/>
                <w:lang w:val="sr-Latn-RS"/>
              </w:rPr>
            </w:pPr>
            <w:r w:rsidRPr="00C262AC">
              <w:rPr>
                <w:rFonts w:eastAsia="TimesNewRoman"/>
                <w:sz w:val="22"/>
                <w:szCs w:val="22"/>
                <w:lang w:val="sr-Latn-RS"/>
              </w:rPr>
              <w:t>protokola</w:t>
            </w:r>
            <w:r w:rsidRPr="00C262AC">
              <w:rPr>
                <w:rFonts w:eastAsia="TimesNewRoman"/>
                <w:sz w:val="22"/>
                <w:szCs w:val="22"/>
                <w:vertAlign w:val="superscript"/>
                <w:lang w:val="sr-Latn-RS"/>
              </w:rPr>
              <w:t>2</w:t>
            </w:r>
            <w:r w:rsidRPr="00C262AC">
              <w:rPr>
                <w:rFonts w:eastAsia="TimesNewRoman"/>
                <w:sz w:val="22"/>
                <w:szCs w:val="22"/>
                <w:lang w:val="sr-Latn-RS"/>
              </w:rPr>
              <w:t>)</w:t>
            </w:r>
          </w:p>
        </w:tc>
        <w:tc>
          <w:tcPr>
            <w:tcW w:w="1273" w:type="dxa"/>
            <w:tcBorders>
              <w:top w:val="single" w:sz="4" w:space="0" w:color="auto"/>
              <w:left w:val="single" w:sz="4" w:space="0" w:color="auto"/>
              <w:bottom w:val="single" w:sz="4" w:space="0" w:color="auto"/>
              <w:right w:val="single" w:sz="4" w:space="0" w:color="auto"/>
            </w:tcBorders>
            <w:hideMark/>
          </w:tcPr>
          <w:p w14:paraId="6E331E06"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351</w:t>
            </w:r>
          </w:p>
        </w:tc>
        <w:tc>
          <w:tcPr>
            <w:tcW w:w="1279" w:type="dxa"/>
            <w:tcBorders>
              <w:top w:val="single" w:sz="4" w:space="0" w:color="auto"/>
              <w:left w:val="single" w:sz="4" w:space="0" w:color="auto"/>
              <w:bottom w:val="single" w:sz="4" w:space="0" w:color="auto"/>
              <w:right w:val="single" w:sz="4" w:space="0" w:color="auto"/>
            </w:tcBorders>
            <w:hideMark/>
          </w:tcPr>
          <w:p w14:paraId="3A13CE08"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428</w:t>
            </w:r>
          </w:p>
        </w:tc>
        <w:tc>
          <w:tcPr>
            <w:tcW w:w="1276" w:type="dxa"/>
            <w:tcBorders>
              <w:top w:val="single" w:sz="4" w:space="0" w:color="auto"/>
              <w:left w:val="single" w:sz="4" w:space="0" w:color="auto"/>
              <w:bottom w:val="single" w:sz="4" w:space="0" w:color="auto"/>
              <w:right w:val="single" w:sz="4" w:space="0" w:color="auto"/>
            </w:tcBorders>
          </w:tcPr>
          <w:p w14:paraId="24D3DA81"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 xml:space="preserve">0.81 </w:t>
            </w:r>
          </w:p>
          <w:p w14:paraId="6E725948" w14:textId="77777777" w:rsidR="008707A6" w:rsidRPr="00C262AC" w:rsidRDefault="008707A6">
            <w:pPr>
              <w:jc w:val="both"/>
              <w:rPr>
                <w:bCs/>
                <w:color w:val="000000"/>
                <w:sz w:val="22"/>
                <w:szCs w:val="22"/>
                <w:lang w:val="sr-Latn-RS" w:eastAsia="pl-PL"/>
              </w:rPr>
            </w:pPr>
          </w:p>
          <w:p w14:paraId="33D817DE" w14:textId="77777777" w:rsidR="008707A6" w:rsidRPr="00C262AC" w:rsidRDefault="008707A6">
            <w:pPr>
              <w:jc w:val="both"/>
              <w:rPr>
                <w:bCs/>
                <w:color w:val="000000"/>
                <w:sz w:val="22"/>
                <w:szCs w:val="22"/>
                <w:lang w:val="sr-Latn-RS" w:eastAsia="pl-PL"/>
              </w:rPr>
            </w:pPr>
          </w:p>
          <w:p w14:paraId="04186B1B"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(0.70,0.93)</w:t>
            </w:r>
          </w:p>
          <w:p w14:paraId="37D19AEA" w14:textId="77777777" w:rsidR="008707A6" w:rsidRPr="00C262AC" w:rsidRDefault="008707A6">
            <w:pPr>
              <w:jc w:val="both"/>
              <w:rPr>
                <w:bCs/>
                <w:color w:val="000000"/>
                <w:sz w:val="22"/>
                <w:szCs w:val="22"/>
                <w:lang w:val="sr-Latn-RS" w:eastAsia="pl-PL"/>
              </w:rPr>
            </w:pPr>
          </w:p>
          <w:p w14:paraId="7F30CE02"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0.003</w:t>
            </w:r>
          </w:p>
        </w:tc>
        <w:tc>
          <w:tcPr>
            <w:tcW w:w="1272" w:type="dxa"/>
            <w:tcBorders>
              <w:top w:val="single" w:sz="4" w:space="0" w:color="auto"/>
              <w:left w:val="single" w:sz="4" w:space="0" w:color="auto"/>
              <w:bottom w:val="single" w:sz="4" w:space="0" w:color="auto"/>
              <w:right w:val="single" w:sz="4" w:space="0" w:color="auto"/>
            </w:tcBorders>
            <w:hideMark/>
          </w:tcPr>
          <w:p w14:paraId="0E5C1C1D"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585</w:t>
            </w:r>
          </w:p>
        </w:tc>
        <w:tc>
          <w:tcPr>
            <w:tcW w:w="1137" w:type="dxa"/>
            <w:tcBorders>
              <w:top w:val="single" w:sz="4" w:space="0" w:color="auto"/>
              <w:left w:val="single" w:sz="4" w:space="0" w:color="auto"/>
              <w:bottom w:val="single" w:sz="4" w:space="0" w:color="auto"/>
              <w:right w:val="single" w:sz="4" w:space="0" w:color="auto"/>
            </w:tcBorders>
            <w:hideMark/>
          </w:tcPr>
          <w:p w14:paraId="7EAF41E6"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664</w:t>
            </w:r>
          </w:p>
        </w:tc>
        <w:tc>
          <w:tcPr>
            <w:tcW w:w="1276" w:type="dxa"/>
            <w:tcBorders>
              <w:top w:val="single" w:sz="4" w:space="0" w:color="auto"/>
              <w:left w:val="single" w:sz="4" w:space="0" w:color="auto"/>
              <w:bottom w:val="single" w:sz="4" w:space="0" w:color="auto"/>
              <w:right w:val="single" w:sz="4" w:space="0" w:color="auto"/>
            </w:tcBorders>
          </w:tcPr>
          <w:p w14:paraId="24800BB1"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0.86</w:t>
            </w:r>
          </w:p>
          <w:p w14:paraId="5F4D57F2" w14:textId="77777777" w:rsidR="008707A6" w:rsidRPr="00C262AC" w:rsidRDefault="008707A6">
            <w:pPr>
              <w:jc w:val="both"/>
              <w:rPr>
                <w:bCs/>
                <w:color w:val="000000"/>
                <w:sz w:val="22"/>
                <w:szCs w:val="22"/>
                <w:lang w:val="sr-Latn-RS" w:eastAsia="pl-PL"/>
              </w:rPr>
            </w:pPr>
          </w:p>
          <w:p w14:paraId="3533C62B" w14:textId="77777777" w:rsidR="008707A6" w:rsidRPr="00C262AC" w:rsidRDefault="008707A6">
            <w:pPr>
              <w:jc w:val="both"/>
              <w:rPr>
                <w:bCs/>
                <w:color w:val="000000"/>
                <w:sz w:val="22"/>
                <w:szCs w:val="22"/>
                <w:lang w:val="sr-Latn-RS" w:eastAsia="pl-PL"/>
              </w:rPr>
            </w:pPr>
          </w:p>
          <w:p w14:paraId="1E461EA3" w14:textId="7B072491"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(0.77,0.96)</w:t>
            </w:r>
          </w:p>
          <w:p w14:paraId="031223D7" w14:textId="77777777" w:rsidR="008707A6" w:rsidRPr="00C262AC" w:rsidRDefault="008707A6">
            <w:pPr>
              <w:jc w:val="both"/>
              <w:rPr>
                <w:bCs/>
                <w:color w:val="000000"/>
                <w:sz w:val="22"/>
                <w:szCs w:val="22"/>
                <w:lang w:val="sr-Latn-RS" w:eastAsia="pl-PL"/>
              </w:rPr>
            </w:pPr>
          </w:p>
          <w:p w14:paraId="69F5B3AA"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0.008</w:t>
            </w:r>
          </w:p>
        </w:tc>
      </w:tr>
      <w:tr w:rsidR="0046672B" w:rsidRPr="00C262AC" w14:paraId="5068B42C" w14:textId="77777777" w:rsidTr="00C02F5A">
        <w:trPr>
          <w:trHeight w:val="907"/>
        </w:trPr>
        <w:tc>
          <w:tcPr>
            <w:tcW w:w="1696" w:type="dxa"/>
            <w:tcBorders>
              <w:top w:val="single" w:sz="4" w:space="0" w:color="auto"/>
              <w:left w:val="single" w:sz="4" w:space="0" w:color="auto"/>
              <w:bottom w:val="single" w:sz="4" w:space="0" w:color="auto"/>
              <w:right w:val="single" w:sz="4" w:space="0" w:color="auto"/>
            </w:tcBorders>
            <w:hideMark/>
          </w:tcPr>
          <w:p w14:paraId="4D9A9AF0"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Ukupno</w:t>
            </w:r>
          </w:p>
          <w:p w14:paraId="3F36B70A"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preživljavanje</w:t>
            </w:r>
          </w:p>
          <w:p w14:paraId="3118C9E8" w14:textId="77777777" w:rsidR="008707A6" w:rsidRPr="00C262AC" w:rsidRDefault="008707A6">
            <w:pPr>
              <w:jc w:val="both"/>
              <w:rPr>
                <w:b/>
                <w:bCs/>
                <w:color w:val="000000"/>
                <w:sz w:val="22"/>
                <w:szCs w:val="22"/>
                <w:lang w:val="sr-Latn-RS" w:eastAsia="pl-PL"/>
              </w:rPr>
            </w:pPr>
            <w:r w:rsidRPr="00C262AC">
              <w:rPr>
                <w:rFonts w:eastAsia="TimesNewRoman"/>
                <w:sz w:val="22"/>
                <w:szCs w:val="22"/>
                <w:lang w:val="sr-Latn-RS" w:eastAsia="pl-PL"/>
              </w:rPr>
              <w:t>(sekundarno)</w:t>
            </w:r>
          </w:p>
        </w:tc>
        <w:tc>
          <w:tcPr>
            <w:tcW w:w="1273" w:type="dxa"/>
            <w:tcBorders>
              <w:top w:val="single" w:sz="4" w:space="0" w:color="auto"/>
              <w:left w:val="single" w:sz="4" w:space="0" w:color="auto"/>
              <w:bottom w:val="single" w:sz="4" w:space="0" w:color="auto"/>
              <w:right w:val="single" w:sz="4" w:space="0" w:color="auto"/>
            </w:tcBorders>
            <w:hideMark/>
          </w:tcPr>
          <w:p w14:paraId="1F06A9DE"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166</w:t>
            </w:r>
          </w:p>
        </w:tc>
        <w:tc>
          <w:tcPr>
            <w:tcW w:w="1279" w:type="dxa"/>
            <w:tcBorders>
              <w:top w:val="single" w:sz="4" w:space="0" w:color="auto"/>
              <w:left w:val="single" w:sz="4" w:space="0" w:color="auto"/>
              <w:bottom w:val="single" w:sz="4" w:space="0" w:color="auto"/>
              <w:right w:val="single" w:sz="4" w:space="0" w:color="auto"/>
            </w:tcBorders>
            <w:hideMark/>
          </w:tcPr>
          <w:p w14:paraId="5DAF624B"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192</w:t>
            </w:r>
          </w:p>
        </w:tc>
        <w:tc>
          <w:tcPr>
            <w:tcW w:w="1276" w:type="dxa"/>
            <w:tcBorders>
              <w:top w:val="single" w:sz="4" w:space="0" w:color="auto"/>
              <w:left w:val="single" w:sz="4" w:space="0" w:color="auto"/>
              <w:bottom w:val="single" w:sz="4" w:space="0" w:color="auto"/>
              <w:right w:val="single" w:sz="4" w:space="0" w:color="auto"/>
            </w:tcBorders>
            <w:hideMark/>
          </w:tcPr>
          <w:p w14:paraId="2C5ABD60"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0.86</w:t>
            </w:r>
          </w:p>
        </w:tc>
        <w:tc>
          <w:tcPr>
            <w:tcW w:w="1272" w:type="dxa"/>
            <w:tcBorders>
              <w:top w:val="single" w:sz="4" w:space="0" w:color="auto"/>
              <w:left w:val="single" w:sz="4" w:space="0" w:color="auto"/>
              <w:bottom w:val="single" w:sz="4" w:space="0" w:color="auto"/>
              <w:right w:val="single" w:sz="4" w:space="0" w:color="auto"/>
            </w:tcBorders>
            <w:hideMark/>
          </w:tcPr>
          <w:p w14:paraId="301FD575"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330</w:t>
            </w:r>
          </w:p>
        </w:tc>
        <w:tc>
          <w:tcPr>
            <w:tcW w:w="1137" w:type="dxa"/>
            <w:tcBorders>
              <w:top w:val="single" w:sz="4" w:space="0" w:color="auto"/>
              <w:left w:val="single" w:sz="4" w:space="0" w:color="auto"/>
              <w:bottom w:val="single" w:sz="4" w:space="0" w:color="auto"/>
              <w:right w:val="single" w:sz="4" w:space="0" w:color="auto"/>
            </w:tcBorders>
            <w:hideMark/>
          </w:tcPr>
          <w:p w14:paraId="504CAB37"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374</w:t>
            </w:r>
          </w:p>
        </w:tc>
        <w:tc>
          <w:tcPr>
            <w:tcW w:w="1276" w:type="dxa"/>
            <w:tcBorders>
              <w:top w:val="single" w:sz="4" w:space="0" w:color="auto"/>
              <w:left w:val="single" w:sz="4" w:space="0" w:color="auto"/>
              <w:bottom w:val="single" w:sz="4" w:space="0" w:color="auto"/>
              <w:right w:val="single" w:sz="4" w:space="0" w:color="auto"/>
            </w:tcBorders>
            <w:hideMark/>
          </w:tcPr>
          <w:p w14:paraId="28514249"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0.87</w:t>
            </w:r>
          </w:p>
        </w:tc>
      </w:tr>
      <w:tr w:rsidR="0046672B" w:rsidRPr="00C262AC" w14:paraId="03A2B8CE" w14:textId="77777777" w:rsidTr="00C02F5A">
        <w:trPr>
          <w:trHeight w:val="907"/>
        </w:trPr>
        <w:tc>
          <w:tcPr>
            <w:tcW w:w="1696" w:type="dxa"/>
            <w:tcBorders>
              <w:top w:val="single" w:sz="4" w:space="0" w:color="auto"/>
              <w:left w:val="single" w:sz="4" w:space="0" w:color="auto"/>
              <w:bottom w:val="single" w:sz="4" w:space="0" w:color="auto"/>
              <w:right w:val="single" w:sz="4" w:space="0" w:color="auto"/>
            </w:tcBorders>
            <w:hideMark/>
          </w:tcPr>
          <w:p w14:paraId="5BD4EB07" w14:textId="77777777" w:rsidR="008707A6" w:rsidRPr="00C262AC" w:rsidRDefault="008707A6">
            <w:pPr>
              <w:autoSpaceDE w:val="0"/>
              <w:autoSpaceDN w:val="0"/>
              <w:adjustRightInd w:val="0"/>
              <w:jc w:val="both"/>
              <w:rPr>
                <w:rFonts w:eastAsia="TimesNewRoman"/>
                <w:sz w:val="22"/>
                <w:szCs w:val="22"/>
                <w:lang w:val="sr-Latn-RS" w:eastAsia="pl-PL"/>
              </w:rPr>
            </w:pPr>
            <w:r w:rsidRPr="00C262AC">
              <w:rPr>
                <w:rFonts w:eastAsia="TimesNewRoman"/>
                <w:sz w:val="22"/>
                <w:szCs w:val="22"/>
                <w:lang w:val="sr-Latn-RS" w:eastAsia="pl-PL"/>
              </w:rPr>
              <w:t>Broj smrtnih</w:t>
            </w:r>
          </w:p>
          <w:p w14:paraId="12494CBA" w14:textId="77777777" w:rsidR="008707A6" w:rsidRPr="00C262AC" w:rsidRDefault="008707A6">
            <w:pPr>
              <w:jc w:val="both"/>
              <w:rPr>
                <w:b/>
                <w:bCs/>
                <w:color w:val="000000"/>
                <w:sz w:val="22"/>
                <w:szCs w:val="22"/>
                <w:lang w:val="sr-Latn-RS" w:eastAsia="pl-PL"/>
              </w:rPr>
            </w:pPr>
            <w:r w:rsidRPr="00C262AC">
              <w:rPr>
                <w:rFonts w:eastAsia="TimesNewRoman"/>
                <w:sz w:val="22"/>
                <w:szCs w:val="22"/>
                <w:lang w:val="sr-Latn-RS" w:eastAsia="pl-PL"/>
              </w:rPr>
              <w:t>ishoda</w:t>
            </w:r>
          </w:p>
        </w:tc>
        <w:tc>
          <w:tcPr>
            <w:tcW w:w="1273" w:type="dxa"/>
            <w:tcBorders>
              <w:top w:val="single" w:sz="4" w:space="0" w:color="auto"/>
              <w:left w:val="single" w:sz="4" w:space="0" w:color="auto"/>
              <w:bottom w:val="single" w:sz="4" w:space="0" w:color="auto"/>
              <w:right w:val="single" w:sz="4" w:space="0" w:color="auto"/>
            </w:tcBorders>
          </w:tcPr>
          <w:p w14:paraId="2111459A" w14:textId="77777777" w:rsidR="008707A6" w:rsidRPr="00C262AC" w:rsidRDefault="008707A6">
            <w:pPr>
              <w:jc w:val="both"/>
              <w:rPr>
                <w:b/>
                <w:bCs/>
                <w:color w:val="000000"/>
                <w:sz w:val="22"/>
                <w:szCs w:val="22"/>
                <w:lang w:val="sr-Latn-RS" w:eastAsia="pl-PL"/>
              </w:rPr>
            </w:pPr>
          </w:p>
        </w:tc>
        <w:tc>
          <w:tcPr>
            <w:tcW w:w="1279" w:type="dxa"/>
            <w:tcBorders>
              <w:top w:val="single" w:sz="4" w:space="0" w:color="auto"/>
              <w:left w:val="single" w:sz="4" w:space="0" w:color="auto"/>
              <w:bottom w:val="single" w:sz="4" w:space="0" w:color="auto"/>
              <w:right w:val="single" w:sz="4" w:space="0" w:color="auto"/>
            </w:tcBorders>
          </w:tcPr>
          <w:p w14:paraId="2EA7EA1B" w14:textId="77777777" w:rsidR="008707A6" w:rsidRPr="00C262AC" w:rsidRDefault="008707A6">
            <w:pPr>
              <w:jc w:val="both"/>
              <w:rPr>
                <w:b/>
                <w:bCs/>
                <w:color w:val="000000"/>
                <w:sz w:val="22"/>
                <w:szCs w:val="22"/>
                <w:lang w:val="sr-Latn-RS" w:eastAsia="pl-PL"/>
              </w:rPr>
            </w:pPr>
          </w:p>
        </w:tc>
        <w:tc>
          <w:tcPr>
            <w:tcW w:w="1276" w:type="dxa"/>
            <w:tcBorders>
              <w:top w:val="single" w:sz="4" w:space="0" w:color="auto"/>
              <w:left w:val="single" w:sz="4" w:space="0" w:color="auto"/>
              <w:bottom w:val="single" w:sz="4" w:space="0" w:color="auto"/>
              <w:right w:val="single" w:sz="4" w:space="0" w:color="auto"/>
            </w:tcBorders>
            <w:hideMark/>
          </w:tcPr>
          <w:p w14:paraId="7ACCDA62"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(0.70, 1.06)</w:t>
            </w:r>
          </w:p>
        </w:tc>
        <w:tc>
          <w:tcPr>
            <w:tcW w:w="1272" w:type="dxa"/>
            <w:tcBorders>
              <w:top w:val="single" w:sz="4" w:space="0" w:color="auto"/>
              <w:left w:val="single" w:sz="4" w:space="0" w:color="auto"/>
              <w:bottom w:val="single" w:sz="4" w:space="0" w:color="auto"/>
              <w:right w:val="single" w:sz="4" w:space="0" w:color="auto"/>
            </w:tcBorders>
          </w:tcPr>
          <w:p w14:paraId="1FE2D3DF" w14:textId="77777777" w:rsidR="008707A6" w:rsidRPr="00C262AC" w:rsidRDefault="008707A6">
            <w:pPr>
              <w:jc w:val="both"/>
              <w:rPr>
                <w:b/>
                <w:bCs/>
                <w:color w:val="000000"/>
                <w:sz w:val="22"/>
                <w:szCs w:val="22"/>
                <w:lang w:val="sr-Latn-RS" w:eastAsia="pl-PL"/>
              </w:rPr>
            </w:pPr>
          </w:p>
        </w:tc>
        <w:tc>
          <w:tcPr>
            <w:tcW w:w="1137" w:type="dxa"/>
            <w:tcBorders>
              <w:top w:val="single" w:sz="4" w:space="0" w:color="auto"/>
              <w:left w:val="single" w:sz="4" w:space="0" w:color="auto"/>
              <w:bottom w:val="single" w:sz="4" w:space="0" w:color="auto"/>
              <w:right w:val="single" w:sz="4" w:space="0" w:color="auto"/>
            </w:tcBorders>
          </w:tcPr>
          <w:p w14:paraId="5BE6C5A3" w14:textId="77777777" w:rsidR="008707A6" w:rsidRPr="00C262AC" w:rsidRDefault="008707A6">
            <w:pPr>
              <w:jc w:val="both"/>
              <w:rPr>
                <w:b/>
                <w:bCs/>
                <w:color w:val="000000"/>
                <w:sz w:val="22"/>
                <w:szCs w:val="22"/>
                <w:lang w:val="sr-Latn-RS" w:eastAsia="pl-PL"/>
              </w:rPr>
            </w:pPr>
          </w:p>
        </w:tc>
        <w:tc>
          <w:tcPr>
            <w:tcW w:w="1276" w:type="dxa"/>
            <w:tcBorders>
              <w:top w:val="single" w:sz="4" w:space="0" w:color="auto"/>
              <w:left w:val="single" w:sz="4" w:space="0" w:color="auto"/>
              <w:bottom w:val="single" w:sz="4" w:space="0" w:color="auto"/>
              <w:right w:val="single" w:sz="4" w:space="0" w:color="auto"/>
            </w:tcBorders>
            <w:hideMark/>
          </w:tcPr>
          <w:p w14:paraId="3F38DDD3" w14:textId="77777777" w:rsidR="008707A6" w:rsidRPr="00C262AC" w:rsidRDefault="008707A6">
            <w:pPr>
              <w:jc w:val="both"/>
              <w:rPr>
                <w:bCs/>
                <w:color w:val="000000"/>
                <w:sz w:val="22"/>
                <w:szCs w:val="22"/>
                <w:lang w:val="sr-Latn-RS" w:eastAsia="pl-PL"/>
              </w:rPr>
            </w:pPr>
            <w:r w:rsidRPr="00C262AC">
              <w:rPr>
                <w:bCs/>
                <w:color w:val="000000"/>
                <w:sz w:val="22"/>
                <w:szCs w:val="22"/>
                <w:lang w:val="sr-Latn-RS" w:eastAsia="pl-PL"/>
              </w:rPr>
              <w:t>(0.75, 1.01)</w:t>
            </w:r>
          </w:p>
        </w:tc>
      </w:tr>
    </w:tbl>
    <w:p w14:paraId="14985F73" w14:textId="77777777" w:rsidR="008707A6" w:rsidRPr="00C262AC" w:rsidRDefault="008707A6">
      <w:pPr>
        <w:autoSpaceDE w:val="0"/>
        <w:autoSpaceDN w:val="0"/>
        <w:adjustRightInd w:val="0"/>
        <w:jc w:val="both"/>
        <w:rPr>
          <w:rFonts w:eastAsia="TimesNewRoman"/>
          <w:sz w:val="22"/>
          <w:szCs w:val="22"/>
          <w:lang w:val="sr-Latn-RS"/>
        </w:rPr>
      </w:pPr>
      <w:r w:rsidRPr="00C262AC">
        <w:rPr>
          <w:sz w:val="22"/>
          <w:szCs w:val="22"/>
          <w:lang w:val="sr-Latn-RS"/>
        </w:rPr>
        <w:t xml:space="preserve"> </w:t>
      </w:r>
      <w:r w:rsidRPr="00C262AC">
        <w:rPr>
          <w:rFonts w:eastAsia="TimesNewRoman"/>
          <w:sz w:val="22"/>
          <w:szCs w:val="22"/>
          <w:lang w:val="sr-Latn-RS"/>
        </w:rPr>
        <w:t>HR= stepen rizika; CI= interval pouzdanosti</w:t>
      </w:r>
    </w:p>
    <w:p w14:paraId="3492837D" w14:textId="77777777"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vertAlign w:val="superscript"/>
          <w:lang w:val="sr-Latn-RS"/>
        </w:rPr>
        <w:t>1</w:t>
      </w:r>
      <w:r w:rsidRPr="00C262AC">
        <w:rPr>
          <w:rFonts w:eastAsia="TimesNewRoman"/>
          <w:sz w:val="22"/>
          <w:szCs w:val="22"/>
          <w:lang w:val="sr-Latn-RS"/>
        </w:rPr>
        <w:t xml:space="preserve"> Log rank test, stratifikovano prema opciji randomizacije i primjene hemioterapije (da/ne)</w:t>
      </w:r>
    </w:p>
    <w:p w14:paraId="73CB1B8A" w14:textId="77777777"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vertAlign w:val="superscript"/>
          <w:lang w:val="sr-Latn-RS"/>
        </w:rPr>
        <w:t>2</w:t>
      </w:r>
      <w:r w:rsidRPr="00C262AC">
        <w:rPr>
          <w:rFonts w:eastAsia="TimesNewRoman"/>
          <w:sz w:val="22"/>
          <w:szCs w:val="22"/>
          <w:lang w:val="sr-Latn-RS"/>
        </w:rPr>
        <w:t xml:space="preserve"> DFS događaji: ponovna pojava loko-regionalne bolesti, udaljene metastaze, invazivni kontralateralni</w:t>
      </w:r>
    </w:p>
    <w:p w14:paraId="51EC61C3" w14:textId="77777777" w:rsidR="008707A6" w:rsidRPr="00C262AC" w:rsidRDefault="008707A6">
      <w:pPr>
        <w:jc w:val="both"/>
        <w:rPr>
          <w:rFonts w:eastAsia="TimesNewRoman"/>
          <w:sz w:val="22"/>
          <w:szCs w:val="22"/>
          <w:lang w:val="sr-Latn-RS"/>
        </w:rPr>
      </w:pPr>
      <w:r w:rsidRPr="00C262AC">
        <w:rPr>
          <w:rFonts w:eastAsia="TimesNewRoman"/>
          <w:sz w:val="22"/>
          <w:szCs w:val="22"/>
          <w:lang w:val="sr-Latn-RS"/>
        </w:rPr>
        <w:t>karcinom dojke, neki drugi primarni malignitet (ali ne dojke), smrt bilo kog uzroka bez prethodnog događaja vezanog za karcinom</w:t>
      </w:r>
    </w:p>
    <w:p w14:paraId="746F4D94" w14:textId="77777777" w:rsidR="008707A6" w:rsidRPr="00C262AC" w:rsidRDefault="008707A6">
      <w:pPr>
        <w:autoSpaceDE w:val="0"/>
        <w:autoSpaceDN w:val="0"/>
        <w:adjustRightInd w:val="0"/>
        <w:jc w:val="both"/>
        <w:rPr>
          <w:i/>
          <w:iCs/>
          <w:sz w:val="22"/>
          <w:szCs w:val="22"/>
          <w:lang w:val="sr-Latn-RS"/>
        </w:rPr>
      </w:pPr>
    </w:p>
    <w:p w14:paraId="6D001B80" w14:textId="655E1995" w:rsidR="008707A6" w:rsidRPr="00C262AC" w:rsidRDefault="008707A6">
      <w:pPr>
        <w:autoSpaceDE w:val="0"/>
        <w:autoSpaceDN w:val="0"/>
        <w:adjustRightInd w:val="0"/>
        <w:jc w:val="both"/>
        <w:rPr>
          <w:i/>
          <w:iCs/>
          <w:sz w:val="22"/>
          <w:szCs w:val="22"/>
          <w:lang w:val="sr-Latn-RS"/>
        </w:rPr>
      </w:pPr>
      <w:r w:rsidRPr="00C262AC">
        <w:rPr>
          <w:i/>
          <w:iCs/>
          <w:sz w:val="22"/>
          <w:szCs w:val="22"/>
          <w:lang w:val="sr-Latn-RS"/>
        </w:rPr>
        <w:t>Rezultati medijane vremena praćenja od 96 mjeseci (samo grupe koje su dobijale monoterapiju)</w:t>
      </w:r>
    </w:p>
    <w:p w14:paraId="66084C2F" w14:textId="77777777" w:rsidR="0046672B" w:rsidRPr="00C262AC" w:rsidRDefault="0046672B">
      <w:pPr>
        <w:autoSpaceDE w:val="0"/>
        <w:autoSpaceDN w:val="0"/>
        <w:adjustRightInd w:val="0"/>
        <w:jc w:val="both"/>
        <w:rPr>
          <w:i/>
          <w:iCs/>
          <w:sz w:val="22"/>
          <w:szCs w:val="22"/>
          <w:lang w:val="sr-Latn-RS"/>
        </w:rPr>
      </w:pPr>
    </w:p>
    <w:p w14:paraId="382BFDB4" w14:textId="77777777"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Analiza grupa koje su dobijale monoterapiju (</w:t>
      </w:r>
      <w:r w:rsidRPr="00C262AC">
        <w:rPr>
          <w:i/>
          <w:noProof/>
          <w:sz w:val="22"/>
          <w:szCs w:val="22"/>
          <w:lang w:val="sr-Latn-RS"/>
        </w:rPr>
        <w:t xml:space="preserve">The Monotherapy Arms Analysis, </w:t>
      </w:r>
      <w:r w:rsidRPr="00C262AC">
        <w:rPr>
          <w:i/>
          <w:iCs/>
          <w:sz w:val="22"/>
          <w:szCs w:val="22"/>
          <w:lang w:val="sr-Latn-RS"/>
        </w:rPr>
        <w:t>MAA</w:t>
      </w:r>
      <w:r w:rsidRPr="00C262AC">
        <w:rPr>
          <w:rFonts w:eastAsia="TimesNewRoman"/>
          <w:sz w:val="22"/>
          <w:szCs w:val="22"/>
          <w:lang w:val="sr-Latn-RS"/>
        </w:rPr>
        <w:t>) u smislu dugotrajne efikasnosti monoterapije lijekom Femozol u poređenju sa monoterapijom tamoksifena (medijana vremena trajanja adjuvantne terapije: 5 godina) je predstavljena u Tabeli 5.</w:t>
      </w:r>
    </w:p>
    <w:p w14:paraId="0AB0B424" w14:textId="77777777" w:rsidR="008707A6" w:rsidRPr="00C262AC" w:rsidRDefault="008707A6">
      <w:pPr>
        <w:autoSpaceDE w:val="0"/>
        <w:autoSpaceDN w:val="0"/>
        <w:adjustRightInd w:val="0"/>
        <w:jc w:val="both"/>
        <w:rPr>
          <w:rFonts w:eastAsia="TimesNewRoman"/>
          <w:sz w:val="22"/>
          <w:szCs w:val="22"/>
          <w:lang w:val="sr-Latn-RS"/>
        </w:rPr>
      </w:pPr>
    </w:p>
    <w:p w14:paraId="46E03A02" w14:textId="3006BAE3" w:rsidR="008707A6" w:rsidRPr="00C262AC" w:rsidRDefault="008707A6">
      <w:pPr>
        <w:autoSpaceDE w:val="0"/>
        <w:autoSpaceDN w:val="0"/>
        <w:adjustRightInd w:val="0"/>
        <w:ind w:right="599"/>
        <w:jc w:val="both"/>
        <w:rPr>
          <w:rFonts w:eastAsia="TimesNewRoman,Bold"/>
          <w:bCs/>
          <w:sz w:val="22"/>
          <w:szCs w:val="22"/>
          <w:lang w:val="sr-Latn-RS"/>
        </w:rPr>
      </w:pPr>
      <w:r w:rsidRPr="00C262AC">
        <w:rPr>
          <w:rFonts w:eastAsia="TimesNewRoman,Bold"/>
          <w:b/>
          <w:bCs/>
          <w:sz w:val="22"/>
          <w:szCs w:val="22"/>
          <w:lang w:val="sr-Latn-RS"/>
        </w:rPr>
        <w:lastRenderedPageBreak/>
        <w:t xml:space="preserve">Tabela 5. </w:t>
      </w:r>
      <w:r w:rsidRPr="00C262AC">
        <w:rPr>
          <w:rFonts w:eastAsia="TimesNewRoman,Bold"/>
          <w:bCs/>
          <w:sz w:val="22"/>
          <w:szCs w:val="22"/>
          <w:lang w:val="sr-Latn-RS"/>
        </w:rPr>
        <w:t>Analiza grupa koje su primale monoterapiju: Preživljavanje bez znakova bolesti (DFS) i ukupno preživljavanje (OS), pri medijani vremena praćenja od 96 mjeseca (ITT populacija)</w:t>
      </w:r>
    </w:p>
    <w:tbl>
      <w:tblPr>
        <w:tblStyle w:val="TableGrid"/>
        <w:tblW w:w="9476" w:type="dxa"/>
        <w:tblInd w:w="-5" w:type="dxa"/>
        <w:tblLayout w:type="fixed"/>
        <w:tblCellMar>
          <w:top w:w="8" w:type="dxa"/>
          <w:right w:w="274" w:type="dxa"/>
        </w:tblCellMar>
        <w:tblLook w:val="04A0" w:firstRow="1" w:lastRow="0" w:firstColumn="1" w:lastColumn="0" w:noHBand="0" w:noVBand="1"/>
      </w:tblPr>
      <w:tblGrid>
        <w:gridCol w:w="3818"/>
        <w:gridCol w:w="1127"/>
        <w:gridCol w:w="1324"/>
        <w:gridCol w:w="1842"/>
        <w:gridCol w:w="1365"/>
      </w:tblGrid>
      <w:tr w:rsidR="008707A6" w:rsidRPr="00C262AC" w14:paraId="09826C09" w14:textId="77777777" w:rsidTr="00C02F5A">
        <w:trPr>
          <w:trHeight w:val="600"/>
        </w:trPr>
        <w:tc>
          <w:tcPr>
            <w:tcW w:w="3818" w:type="dxa"/>
            <w:tcBorders>
              <w:top w:val="single" w:sz="6" w:space="0" w:color="000000"/>
              <w:left w:val="single" w:sz="4" w:space="0" w:color="auto"/>
              <w:bottom w:val="single" w:sz="6" w:space="0" w:color="000000"/>
              <w:right w:val="single" w:sz="4" w:space="0" w:color="auto"/>
            </w:tcBorders>
          </w:tcPr>
          <w:p w14:paraId="231E2ADB" w14:textId="77777777" w:rsidR="008707A6" w:rsidRPr="00C262AC" w:rsidRDefault="008707A6">
            <w:pPr>
              <w:spacing w:after="160" w:line="256" w:lineRule="auto"/>
              <w:jc w:val="both"/>
              <w:rPr>
                <w:rFonts w:ascii="Times New Roman" w:hAnsi="Times New Roman"/>
                <w:color w:val="000000"/>
                <w:sz w:val="22"/>
                <w:szCs w:val="22"/>
                <w:lang w:val="sr-Latn-RS"/>
              </w:rPr>
            </w:pPr>
          </w:p>
        </w:tc>
        <w:tc>
          <w:tcPr>
            <w:tcW w:w="1127" w:type="dxa"/>
            <w:tcBorders>
              <w:top w:val="single" w:sz="6" w:space="0" w:color="000000"/>
              <w:left w:val="single" w:sz="4" w:space="0" w:color="auto"/>
              <w:bottom w:val="single" w:sz="6" w:space="0" w:color="000000"/>
              <w:right w:val="single" w:sz="4" w:space="0" w:color="auto"/>
            </w:tcBorders>
            <w:hideMark/>
          </w:tcPr>
          <w:p w14:paraId="575EDC03" w14:textId="77777777" w:rsidR="008707A6" w:rsidRPr="00C262AC" w:rsidRDefault="008707A6">
            <w:pPr>
              <w:spacing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Femozol</w:t>
            </w:r>
            <w:proofErr w:type="spellEnd"/>
          </w:p>
          <w:p w14:paraId="6D2B51BA" w14:textId="77777777" w:rsidR="008707A6" w:rsidRPr="00C262AC" w:rsidRDefault="008707A6">
            <w:pPr>
              <w:tabs>
                <w:tab w:val="left" w:pos="284"/>
              </w:tabs>
              <w:jc w:val="both"/>
              <w:rPr>
                <w:rFonts w:ascii="Times New Roman" w:hAnsi="Times New Roman"/>
                <w:sz w:val="22"/>
                <w:szCs w:val="22"/>
              </w:rPr>
            </w:pPr>
            <w:r w:rsidRPr="00C262AC">
              <w:rPr>
                <w:rFonts w:ascii="Times New Roman" w:hAnsi="Times New Roman"/>
                <w:color w:val="000000"/>
                <w:sz w:val="22"/>
                <w:szCs w:val="22"/>
              </w:rPr>
              <w:t>N=2463</w:t>
            </w:r>
          </w:p>
        </w:tc>
        <w:tc>
          <w:tcPr>
            <w:tcW w:w="1324" w:type="dxa"/>
            <w:tcBorders>
              <w:top w:val="single" w:sz="6" w:space="0" w:color="000000"/>
              <w:left w:val="single" w:sz="4" w:space="0" w:color="auto"/>
              <w:bottom w:val="single" w:sz="6" w:space="0" w:color="000000"/>
              <w:right w:val="single" w:sz="4" w:space="0" w:color="auto"/>
            </w:tcBorders>
            <w:hideMark/>
          </w:tcPr>
          <w:p w14:paraId="31EB4954" w14:textId="77777777" w:rsidR="008707A6" w:rsidRPr="00C262AC" w:rsidRDefault="008707A6">
            <w:pPr>
              <w:spacing w:line="256" w:lineRule="auto"/>
              <w:ind w:left="149" w:hanging="149"/>
              <w:jc w:val="both"/>
              <w:rPr>
                <w:rFonts w:ascii="Times New Roman" w:hAnsi="Times New Roman"/>
                <w:color w:val="000000"/>
                <w:sz w:val="22"/>
                <w:szCs w:val="22"/>
              </w:rPr>
            </w:pPr>
            <w:proofErr w:type="spellStart"/>
            <w:r w:rsidRPr="00C262AC">
              <w:rPr>
                <w:rFonts w:ascii="Times New Roman" w:hAnsi="Times New Roman"/>
                <w:color w:val="000000"/>
                <w:sz w:val="22"/>
                <w:szCs w:val="22"/>
              </w:rPr>
              <w:t>Tamoksifen</w:t>
            </w:r>
            <w:proofErr w:type="spellEnd"/>
            <w:r w:rsidRPr="00C262AC">
              <w:rPr>
                <w:rFonts w:ascii="Times New Roman" w:hAnsi="Times New Roman"/>
                <w:color w:val="000000"/>
                <w:sz w:val="22"/>
                <w:szCs w:val="22"/>
              </w:rPr>
              <w:t xml:space="preserve"> N=2459</w:t>
            </w:r>
          </w:p>
        </w:tc>
        <w:tc>
          <w:tcPr>
            <w:tcW w:w="1842" w:type="dxa"/>
            <w:tcBorders>
              <w:top w:val="single" w:sz="6" w:space="0" w:color="000000"/>
              <w:left w:val="single" w:sz="4" w:space="0" w:color="auto"/>
              <w:bottom w:val="single" w:sz="6" w:space="0" w:color="000000"/>
              <w:right w:val="single" w:sz="4" w:space="0" w:color="auto"/>
            </w:tcBorders>
            <w:hideMark/>
          </w:tcPr>
          <w:p w14:paraId="2A68DFA1" w14:textId="77777777" w:rsidR="008707A6" w:rsidRPr="00C262AC" w:rsidRDefault="008707A6">
            <w:pPr>
              <w:spacing w:line="256" w:lineRule="auto"/>
              <w:ind w:left="302" w:hanging="182"/>
              <w:jc w:val="both"/>
              <w:rPr>
                <w:rFonts w:ascii="Times New Roman" w:hAnsi="Times New Roman"/>
                <w:color w:val="000000"/>
                <w:sz w:val="22"/>
                <w:szCs w:val="22"/>
              </w:rPr>
            </w:pPr>
            <w:proofErr w:type="spellStart"/>
            <w:r w:rsidRPr="00C262AC">
              <w:rPr>
                <w:rFonts w:ascii="Times New Roman" w:hAnsi="Times New Roman"/>
                <w:color w:val="000000"/>
                <w:sz w:val="22"/>
                <w:szCs w:val="22"/>
              </w:rPr>
              <w:t>Stepen</w:t>
            </w:r>
            <w:proofErr w:type="spellEnd"/>
            <w:r w:rsidRPr="00C262AC">
              <w:rPr>
                <w:rFonts w:ascii="Times New Roman" w:hAnsi="Times New Roman"/>
                <w:color w:val="000000"/>
                <w:sz w:val="22"/>
                <w:szCs w:val="22"/>
              </w:rPr>
              <w:t xml:space="preserve"> rizika</w:t>
            </w:r>
            <w:r w:rsidRPr="00C262AC">
              <w:rPr>
                <w:rFonts w:ascii="Times New Roman" w:hAnsi="Times New Roman"/>
                <w:color w:val="000000"/>
                <w:sz w:val="22"/>
                <w:szCs w:val="22"/>
                <w:vertAlign w:val="superscript"/>
              </w:rPr>
              <w:t xml:space="preserve">1 </w:t>
            </w:r>
            <w:r w:rsidRPr="00C262AC">
              <w:rPr>
                <w:rFonts w:ascii="Times New Roman" w:hAnsi="Times New Roman"/>
                <w:color w:val="000000"/>
                <w:sz w:val="22"/>
                <w:szCs w:val="22"/>
              </w:rPr>
              <w:t>(95% CI)</w:t>
            </w:r>
          </w:p>
        </w:tc>
        <w:tc>
          <w:tcPr>
            <w:tcW w:w="1365" w:type="dxa"/>
            <w:tcBorders>
              <w:top w:val="single" w:sz="6" w:space="0" w:color="000000"/>
              <w:left w:val="single" w:sz="4" w:space="0" w:color="auto"/>
              <w:bottom w:val="single" w:sz="6" w:space="0" w:color="000000"/>
              <w:right w:val="single" w:sz="4" w:space="0" w:color="auto"/>
            </w:tcBorders>
            <w:hideMark/>
          </w:tcPr>
          <w:p w14:paraId="1457DB3D" w14:textId="77777777" w:rsidR="008707A6" w:rsidRPr="00C262AC" w:rsidRDefault="008707A6">
            <w:pPr>
              <w:spacing w:line="256" w:lineRule="auto"/>
              <w:jc w:val="both"/>
              <w:rPr>
                <w:rFonts w:ascii="Times New Roman" w:hAnsi="Times New Roman"/>
                <w:color w:val="000000"/>
                <w:sz w:val="22"/>
                <w:szCs w:val="22"/>
              </w:rPr>
            </w:pPr>
            <w:r w:rsidRPr="00C262AC">
              <w:rPr>
                <w:rFonts w:ascii="Times New Roman" w:hAnsi="Times New Roman"/>
                <w:i/>
                <w:color w:val="000000"/>
                <w:sz w:val="22"/>
                <w:szCs w:val="22"/>
              </w:rPr>
              <w:t xml:space="preserve">p </w:t>
            </w:r>
            <w:proofErr w:type="spellStart"/>
            <w:r w:rsidRPr="00C262AC">
              <w:rPr>
                <w:rFonts w:ascii="Times New Roman" w:hAnsi="Times New Roman"/>
                <w:color w:val="000000"/>
                <w:sz w:val="22"/>
                <w:szCs w:val="22"/>
              </w:rPr>
              <w:t>vrijednost</w:t>
            </w:r>
            <w:proofErr w:type="spellEnd"/>
          </w:p>
        </w:tc>
      </w:tr>
      <w:tr w:rsidR="008707A6" w:rsidRPr="00C262AC" w14:paraId="64C4D97C" w14:textId="77777777" w:rsidTr="00C02F5A">
        <w:trPr>
          <w:trHeight w:val="802"/>
        </w:trPr>
        <w:tc>
          <w:tcPr>
            <w:tcW w:w="3818" w:type="dxa"/>
            <w:tcBorders>
              <w:top w:val="single" w:sz="6" w:space="0" w:color="000000"/>
              <w:left w:val="single" w:sz="4" w:space="0" w:color="auto"/>
              <w:bottom w:val="single" w:sz="6" w:space="0" w:color="000000"/>
              <w:right w:val="single" w:sz="4" w:space="0" w:color="auto"/>
            </w:tcBorders>
            <w:hideMark/>
          </w:tcPr>
          <w:p w14:paraId="6B774393" w14:textId="5C12D0D3" w:rsidR="008707A6" w:rsidRPr="00C262AC" w:rsidRDefault="008707A6">
            <w:pPr>
              <w:spacing w:after="9" w:line="256" w:lineRule="auto"/>
              <w:jc w:val="both"/>
              <w:rPr>
                <w:rFonts w:ascii="Times New Roman" w:hAnsi="Times New Roman"/>
                <w:color w:val="000000"/>
                <w:sz w:val="22"/>
                <w:szCs w:val="22"/>
              </w:rPr>
            </w:pPr>
            <w:r w:rsidRPr="00C262AC">
              <w:rPr>
                <w:rFonts w:ascii="Times New Roman" w:hAnsi="Times New Roman"/>
                <w:noProof/>
                <w:sz w:val="22"/>
                <w:szCs w:val="22"/>
                <w:lang w:val="sr-Latn-RS"/>
              </w:rPr>
              <w:t>Događaji kod preživljavanja bez bolesti</w:t>
            </w:r>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primarno</w:t>
            </w:r>
            <w:proofErr w:type="spellEnd"/>
            <w:r w:rsidRPr="00C262AC">
              <w:rPr>
                <w:rFonts w:ascii="Times New Roman" w:hAnsi="Times New Roman"/>
                <w:color w:val="000000"/>
                <w:sz w:val="22"/>
                <w:szCs w:val="22"/>
              </w:rPr>
              <w:t>)</w:t>
            </w:r>
            <w:r w:rsidRPr="00C262AC">
              <w:rPr>
                <w:rFonts w:ascii="Times New Roman" w:hAnsi="Times New Roman"/>
                <w:color w:val="000000"/>
                <w:sz w:val="22"/>
                <w:szCs w:val="22"/>
                <w:vertAlign w:val="superscript"/>
              </w:rPr>
              <w:t>2</w:t>
            </w:r>
          </w:p>
        </w:tc>
        <w:tc>
          <w:tcPr>
            <w:tcW w:w="1127" w:type="dxa"/>
            <w:tcBorders>
              <w:top w:val="single" w:sz="4" w:space="0" w:color="000000"/>
              <w:left w:val="single" w:sz="4" w:space="0" w:color="000000"/>
              <w:bottom w:val="single" w:sz="4" w:space="0" w:color="000000"/>
              <w:right w:val="single" w:sz="4" w:space="0" w:color="000000"/>
            </w:tcBorders>
            <w:hideMark/>
          </w:tcPr>
          <w:p w14:paraId="596841FB" w14:textId="77777777" w:rsidR="008707A6" w:rsidRPr="00C262AC" w:rsidRDefault="008707A6">
            <w:pPr>
              <w:spacing w:line="256" w:lineRule="auto"/>
              <w:ind w:left="192"/>
              <w:jc w:val="both"/>
              <w:rPr>
                <w:rFonts w:ascii="Times New Roman" w:hAnsi="Times New Roman"/>
                <w:color w:val="000000"/>
                <w:sz w:val="22"/>
                <w:szCs w:val="22"/>
              </w:rPr>
            </w:pPr>
            <w:r w:rsidRPr="00C262AC">
              <w:rPr>
                <w:rFonts w:ascii="Times New Roman" w:hAnsi="Times New Roman"/>
                <w:sz w:val="22"/>
                <w:szCs w:val="22"/>
              </w:rPr>
              <w:t>626</w:t>
            </w:r>
          </w:p>
        </w:tc>
        <w:tc>
          <w:tcPr>
            <w:tcW w:w="1324" w:type="dxa"/>
            <w:tcBorders>
              <w:top w:val="single" w:sz="4" w:space="0" w:color="000000"/>
              <w:left w:val="single" w:sz="4" w:space="0" w:color="000000"/>
              <w:bottom w:val="single" w:sz="4" w:space="0" w:color="000000"/>
              <w:right w:val="single" w:sz="4" w:space="0" w:color="000000"/>
            </w:tcBorders>
            <w:hideMark/>
          </w:tcPr>
          <w:p w14:paraId="0FB82376" w14:textId="77777777" w:rsidR="008707A6" w:rsidRPr="00C262AC" w:rsidRDefault="008707A6">
            <w:pPr>
              <w:spacing w:line="256" w:lineRule="auto"/>
              <w:ind w:left="331"/>
              <w:jc w:val="both"/>
              <w:rPr>
                <w:rFonts w:ascii="Times New Roman" w:hAnsi="Times New Roman"/>
                <w:color w:val="000000"/>
                <w:sz w:val="22"/>
                <w:szCs w:val="22"/>
              </w:rPr>
            </w:pPr>
            <w:r w:rsidRPr="00C262AC">
              <w:rPr>
                <w:rFonts w:ascii="Times New Roman" w:hAnsi="Times New Roman"/>
                <w:sz w:val="22"/>
                <w:szCs w:val="22"/>
              </w:rPr>
              <w:t>698</w:t>
            </w:r>
          </w:p>
        </w:tc>
        <w:tc>
          <w:tcPr>
            <w:tcW w:w="1842" w:type="dxa"/>
            <w:tcBorders>
              <w:top w:val="single" w:sz="4" w:space="0" w:color="000000"/>
              <w:left w:val="single" w:sz="4" w:space="0" w:color="000000"/>
              <w:bottom w:val="single" w:sz="4" w:space="0" w:color="000000"/>
              <w:right w:val="single" w:sz="4" w:space="0" w:color="000000"/>
            </w:tcBorders>
            <w:hideMark/>
          </w:tcPr>
          <w:p w14:paraId="26352136" w14:textId="77777777" w:rsidR="008707A6" w:rsidRPr="00C262AC" w:rsidRDefault="008707A6">
            <w:pPr>
              <w:spacing w:line="256" w:lineRule="auto"/>
              <w:jc w:val="both"/>
              <w:rPr>
                <w:rFonts w:ascii="Times New Roman" w:hAnsi="Times New Roman"/>
                <w:color w:val="000000"/>
                <w:sz w:val="22"/>
                <w:szCs w:val="22"/>
              </w:rPr>
            </w:pPr>
            <w:r w:rsidRPr="00C262AC">
              <w:rPr>
                <w:rFonts w:ascii="Times New Roman" w:hAnsi="Times New Roman"/>
                <w:sz w:val="22"/>
                <w:szCs w:val="22"/>
              </w:rPr>
              <w:t>0,87 (0,78, 0,97)</w:t>
            </w:r>
          </w:p>
        </w:tc>
        <w:tc>
          <w:tcPr>
            <w:tcW w:w="1365" w:type="dxa"/>
            <w:tcBorders>
              <w:top w:val="single" w:sz="4" w:space="0" w:color="000000"/>
              <w:left w:val="single" w:sz="4" w:space="0" w:color="000000"/>
              <w:bottom w:val="single" w:sz="4" w:space="0" w:color="000000"/>
              <w:right w:val="single" w:sz="4" w:space="0" w:color="000000"/>
            </w:tcBorders>
            <w:hideMark/>
          </w:tcPr>
          <w:p w14:paraId="5F47E90F" w14:textId="77777777" w:rsidR="008707A6" w:rsidRPr="00C262AC" w:rsidRDefault="008707A6">
            <w:pPr>
              <w:spacing w:line="256" w:lineRule="auto"/>
              <w:ind w:left="264"/>
              <w:jc w:val="both"/>
              <w:rPr>
                <w:rFonts w:ascii="Times New Roman" w:hAnsi="Times New Roman"/>
                <w:color w:val="000000"/>
                <w:sz w:val="22"/>
                <w:szCs w:val="22"/>
              </w:rPr>
            </w:pPr>
            <w:r w:rsidRPr="00C262AC">
              <w:rPr>
                <w:rFonts w:ascii="Times New Roman" w:hAnsi="Times New Roman"/>
                <w:sz w:val="22"/>
                <w:szCs w:val="22"/>
              </w:rPr>
              <w:t>0,01</w:t>
            </w:r>
          </w:p>
        </w:tc>
      </w:tr>
      <w:tr w:rsidR="008707A6" w:rsidRPr="00C262AC" w14:paraId="26CD7F4E" w14:textId="77777777" w:rsidTr="00C02F5A">
        <w:trPr>
          <w:trHeight w:val="605"/>
        </w:trPr>
        <w:tc>
          <w:tcPr>
            <w:tcW w:w="3818" w:type="dxa"/>
            <w:tcBorders>
              <w:top w:val="single" w:sz="6" w:space="0" w:color="000000"/>
              <w:left w:val="single" w:sz="4" w:space="0" w:color="auto"/>
              <w:bottom w:val="single" w:sz="6" w:space="0" w:color="000000"/>
              <w:right w:val="single" w:sz="4" w:space="0" w:color="auto"/>
            </w:tcBorders>
            <w:hideMark/>
          </w:tcPr>
          <w:p w14:paraId="6ED85F9B" w14:textId="77777777" w:rsidR="008707A6" w:rsidRPr="00C262AC" w:rsidRDefault="008707A6">
            <w:pPr>
              <w:spacing w:line="256" w:lineRule="auto"/>
              <w:ind w:left="106"/>
              <w:jc w:val="both"/>
              <w:rPr>
                <w:rFonts w:ascii="Times New Roman" w:hAnsi="Times New Roman"/>
                <w:color w:val="000000"/>
                <w:sz w:val="22"/>
                <w:szCs w:val="22"/>
              </w:rPr>
            </w:pPr>
            <w:r w:rsidRPr="00C262AC">
              <w:rPr>
                <w:rFonts w:ascii="Times New Roman" w:hAnsi="Times New Roman"/>
                <w:noProof/>
                <w:sz w:val="22"/>
                <w:szCs w:val="22"/>
                <w:lang w:val="sr-Latn-RS"/>
              </w:rPr>
              <w:t xml:space="preserve">Vrijeme do udaljenih metastaza </w:t>
            </w:r>
            <w:r w:rsidRPr="00C262AC">
              <w:rPr>
                <w:rFonts w:ascii="Times New Roman" w:hAnsi="Times New Roman"/>
                <w:color w:val="000000"/>
                <w:sz w:val="22"/>
                <w:szCs w:val="22"/>
              </w:rPr>
              <w:t>(</w:t>
            </w:r>
            <w:proofErr w:type="spellStart"/>
            <w:r w:rsidRPr="00C262AC">
              <w:rPr>
                <w:rFonts w:ascii="Times New Roman" w:hAnsi="Times New Roman"/>
                <w:color w:val="000000"/>
                <w:sz w:val="22"/>
                <w:szCs w:val="22"/>
              </w:rPr>
              <w:t>sekundarno</w:t>
            </w:r>
            <w:proofErr w:type="spellEnd"/>
            <w:r w:rsidRPr="00C262AC">
              <w:rPr>
                <w:rFonts w:ascii="Times New Roman" w:hAnsi="Times New Roman"/>
                <w:color w:val="000000"/>
                <w:sz w:val="22"/>
                <w:szCs w:val="22"/>
              </w:rPr>
              <w:t xml:space="preserve">) </w:t>
            </w:r>
          </w:p>
        </w:tc>
        <w:tc>
          <w:tcPr>
            <w:tcW w:w="1127" w:type="dxa"/>
            <w:tcBorders>
              <w:top w:val="single" w:sz="4" w:space="0" w:color="000000"/>
              <w:left w:val="single" w:sz="4" w:space="0" w:color="000000"/>
              <w:bottom w:val="single" w:sz="4" w:space="0" w:color="000000"/>
              <w:right w:val="single" w:sz="4" w:space="0" w:color="000000"/>
            </w:tcBorders>
            <w:hideMark/>
          </w:tcPr>
          <w:p w14:paraId="7DD8BD48" w14:textId="77777777" w:rsidR="008707A6" w:rsidRPr="00C262AC" w:rsidRDefault="008707A6">
            <w:pPr>
              <w:spacing w:line="256" w:lineRule="auto"/>
              <w:ind w:left="192"/>
              <w:jc w:val="both"/>
              <w:rPr>
                <w:rFonts w:ascii="Times New Roman" w:hAnsi="Times New Roman"/>
                <w:color w:val="000000"/>
                <w:sz w:val="22"/>
                <w:szCs w:val="22"/>
              </w:rPr>
            </w:pPr>
            <w:r w:rsidRPr="00C262AC">
              <w:rPr>
                <w:rFonts w:ascii="Times New Roman" w:hAnsi="Times New Roman"/>
                <w:sz w:val="22"/>
                <w:szCs w:val="22"/>
              </w:rPr>
              <w:t>301</w:t>
            </w:r>
          </w:p>
        </w:tc>
        <w:tc>
          <w:tcPr>
            <w:tcW w:w="1324" w:type="dxa"/>
            <w:tcBorders>
              <w:top w:val="single" w:sz="4" w:space="0" w:color="000000"/>
              <w:left w:val="single" w:sz="4" w:space="0" w:color="000000"/>
              <w:bottom w:val="single" w:sz="4" w:space="0" w:color="000000"/>
              <w:right w:val="single" w:sz="4" w:space="0" w:color="000000"/>
            </w:tcBorders>
            <w:hideMark/>
          </w:tcPr>
          <w:p w14:paraId="7EE27CA5" w14:textId="77777777" w:rsidR="008707A6" w:rsidRPr="00C262AC" w:rsidRDefault="008707A6">
            <w:pPr>
              <w:spacing w:line="256" w:lineRule="auto"/>
              <w:ind w:left="331"/>
              <w:jc w:val="both"/>
              <w:rPr>
                <w:rFonts w:ascii="Times New Roman" w:hAnsi="Times New Roman"/>
                <w:color w:val="000000"/>
                <w:sz w:val="22"/>
                <w:szCs w:val="22"/>
              </w:rPr>
            </w:pPr>
            <w:r w:rsidRPr="00C262AC">
              <w:rPr>
                <w:rFonts w:ascii="Times New Roman" w:hAnsi="Times New Roman"/>
                <w:sz w:val="22"/>
                <w:szCs w:val="22"/>
              </w:rPr>
              <w:t>342</w:t>
            </w:r>
          </w:p>
        </w:tc>
        <w:tc>
          <w:tcPr>
            <w:tcW w:w="1842" w:type="dxa"/>
            <w:tcBorders>
              <w:top w:val="single" w:sz="4" w:space="0" w:color="000000"/>
              <w:left w:val="single" w:sz="4" w:space="0" w:color="000000"/>
              <w:bottom w:val="single" w:sz="4" w:space="0" w:color="000000"/>
              <w:right w:val="single" w:sz="4" w:space="0" w:color="000000"/>
            </w:tcBorders>
            <w:hideMark/>
          </w:tcPr>
          <w:p w14:paraId="51D4D222" w14:textId="77777777" w:rsidR="008707A6" w:rsidRPr="00C262AC" w:rsidRDefault="008707A6">
            <w:pPr>
              <w:spacing w:line="256" w:lineRule="auto"/>
              <w:jc w:val="both"/>
              <w:rPr>
                <w:rFonts w:ascii="Times New Roman" w:hAnsi="Times New Roman"/>
                <w:color w:val="000000"/>
                <w:sz w:val="22"/>
                <w:szCs w:val="22"/>
              </w:rPr>
            </w:pPr>
            <w:r w:rsidRPr="00C262AC">
              <w:rPr>
                <w:rFonts w:ascii="Times New Roman" w:hAnsi="Times New Roman"/>
                <w:sz w:val="22"/>
                <w:szCs w:val="22"/>
              </w:rPr>
              <w:t>0,86 (0,74, 1,01)</w:t>
            </w:r>
          </w:p>
        </w:tc>
        <w:tc>
          <w:tcPr>
            <w:tcW w:w="1365" w:type="dxa"/>
            <w:tcBorders>
              <w:top w:val="single" w:sz="4" w:space="0" w:color="000000"/>
              <w:left w:val="single" w:sz="4" w:space="0" w:color="000000"/>
              <w:bottom w:val="single" w:sz="4" w:space="0" w:color="000000"/>
              <w:right w:val="single" w:sz="4" w:space="0" w:color="000000"/>
            </w:tcBorders>
            <w:hideMark/>
          </w:tcPr>
          <w:p w14:paraId="6C8E367E" w14:textId="77777777" w:rsidR="008707A6" w:rsidRPr="00C262AC" w:rsidRDefault="008707A6">
            <w:pPr>
              <w:spacing w:line="256" w:lineRule="auto"/>
              <w:ind w:left="211"/>
              <w:jc w:val="both"/>
              <w:rPr>
                <w:rFonts w:ascii="Times New Roman" w:hAnsi="Times New Roman"/>
                <w:color w:val="000000"/>
                <w:sz w:val="22"/>
                <w:szCs w:val="22"/>
              </w:rPr>
            </w:pPr>
            <w:r w:rsidRPr="00C262AC">
              <w:rPr>
                <w:rFonts w:ascii="Times New Roman" w:hAnsi="Times New Roman"/>
                <w:sz w:val="22"/>
                <w:szCs w:val="22"/>
              </w:rPr>
              <w:t>0,06</w:t>
            </w:r>
          </w:p>
        </w:tc>
      </w:tr>
      <w:tr w:rsidR="008707A6" w:rsidRPr="00C262AC" w14:paraId="0B573B5A" w14:textId="77777777" w:rsidTr="00C02F5A">
        <w:trPr>
          <w:trHeight w:val="490"/>
        </w:trPr>
        <w:tc>
          <w:tcPr>
            <w:tcW w:w="3818" w:type="dxa"/>
            <w:tcBorders>
              <w:top w:val="single" w:sz="6" w:space="0" w:color="000000"/>
              <w:left w:val="single" w:sz="4" w:space="0" w:color="auto"/>
              <w:bottom w:val="single" w:sz="6" w:space="0" w:color="000000"/>
              <w:right w:val="single" w:sz="4" w:space="0" w:color="auto"/>
            </w:tcBorders>
            <w:hideMark/>
          </w:tcPr>
          <w:p w14:paraId="34998CCF" w14:textId="77777777" w:rsidR="008707A6" w:rsidRPr="00C262AC" w:rsidRDefault="008707A6">
            <w:pPr>
              <w:spacing w:after="6" w:line="256" w:lineRule="auto"/>
              <w:ind w:left="106"/>
              <w:jc w:val="both"/>
              <w:rPr>
                <w:rFonts w:ascii="Times New Roman" w:hAnsi="Times New Roman"/>
                <w:color w:val="000000"/>
                <w:sz w:val="22"/>
                <w:szCs w:val="22"/>
                <w:lang w:val="sr-Latn-RS"/>
              </w:rPr>
            </w:pPr>
            <w:r w:rsidRPr="00C262AC">
              <w:rPr>
                <w:rFonts w:ascii="Times New Roman" w:hAnsi="Times New Roman"/>
                <w:color w:val="000000"/>
                <w:sz w:val="22"/>
                <w:szCs w:val="22"/>
                <w:lang w:val="sr-Latn-RS"/>
              </w:rPr>
              <w:t xml:space="preserve">Ukupno preživljavanje </w:t>
            </w:r>
          </w:p>
          <w:p w14:paraId="01BBA0E4" w14:textId="77777777" w:rsidR="008707A6" w:rsidRPr="00C262AC" w:rsidRDefault="008707A6">
            <w:pPr>
              <w:spacing w:line="256" w:lineRule="auto"/>
              <w:ind w:left="106"/>
              <w:jc w:val="both"/>
              <w:rPr>
                <w:rFonts w:ascii="Times New Roman" w:hAnsi="Times New Roman"/>
                <w:color w:val="000000"/>
                <w:sz w:val="22"/>
                <w:szCs w:val="22"/>
                <w:lang w:val="sr-Latn-RS"/>
              </w:rPr>
            </w:pPr>
            <w:r w:rsidRPr="00C262AC">
              <w:rPr>
                <w:rFonts w:ascii="Times New Roman" w:hAnsi="Times New Roman"/>
                <w:color w:val="000000"/>
                <w:sz w:val="22"/>
                <w:szCs w:val="22"/>
                <w:lang w:val="sr-Latn-RS"/>
              </w:rPr>
              <w:t>(sekundarno) – smrtni slučajevi</w:t>
            </w:r>
          </w:p>
        </w:tc>
        <w:tc>
          <w:tcPr>
            <w:tcW w:w="1127" w:type="dxa"/>
            <w:tcBorders>
              <w:top w:val="single" w:sz="4" w:space="0" w:color="000000"/>
              <w:left w:val="single" w:sz="4" w:space="0" w:color="000000"/>
              <w:bottom w:val="single" w:sz="4" w:space="0" w:color="000000"/>
              <w:right w:val="single" w:sz="4" w:space="0" w:color="000000"/>
            </w:tcBorders>
            <w:hideMark/>
          </w:tcPr>
          <w:p w14:paraId="16180D71" w14:textId="77777777" w:rsidR="008707A6" w:rsidRPr="00C262AC" w:rsidRDefault="008707A6">
            <w:pPr>
              <w:spacing w:line="256" w:lineRule="auto"/>
              <w:ind w:left="192"/>
              <w:jc w:val="both"/>
              <w:rPr>
                <w:rFonts w:ascii="Times New Roman" w:hAnsi="Times New Roman"/>
                <w:color w:val="000000"/>
                <w:sz w:val="22"/>
                <w:szCs w:val="22"/>
              </w:rPr>
            </w:pPr>
            <w:r w:rsidRPr="00C262AC">
              <w:rPr>
                <w:rFonts w:ascii="Times New Roman" w:hAnsi="Times New Roman"/>
                <w:sz w:val="22"/>
                <w:szCs w:val="22"/>
              </w:rPr>
              <w:t>393</w:t>
            </w:r>
          </w:p>
        </w:tc>
        <w:tc>
          <w:tcPr>
            <w:tcW w:w="1324" w:type="dxa"/>
            <w:tcBorders>
              <w:top w:val="single" w:sz="4" w:space="0" w:color="000000"/>
              <w:left w:val="single" w:sz="4" w:space="0" w:color="000000"/>
              <w:bottom w:val="single" w:sz="4" w:space="0" w:color="000000"/>
              <w:right w:val="single" w:sz="4" w:space="0" w:color="000000"/>
            </w:tcBorders>
            <w:hideMark/>
          </w:tcPr>
          <w:p w14:paraId="33C86DE3" w14:textId="77777777" w:rsidR="008707A6" w:rsidRPr="00C262AC" w:rsidRDefault="008707A6">
            <w:pPr>
              <w:spacing w:line="256" w:lineRule="auto"/>
              <w:ind w:left="331"/>
              <w:jc w:val="both"/>
              <w:rPr>
                <w:rFonts w:ascii="Times New Roman" w:hAnsi="Times New Roman"/>
                <w:color w:val="000000"/>
                <w:sz w:val="22"/>
                <w:szCs w:val="22"/>
              </w:rPr>
            </w:pPr>
            <w:r w:rsidRPr="00C262AC">
              <w:rPr>
                <w:rFonts w:ascii="Times New Roman" w:hAnsi="Times New Roman"/>
                <w:sz w:val="22"/>
                <w:szCs w:val="22"/>
              </w:rPr>
              <w:t>436</w:t>
            </w:r>
          </w:p>
        </w:tc>
        <w:tc>
          <w:tcPr>
            <w:tcW w:w="1842" w:type="dxa"/>
            <w:tcBorders>
              <w:top w:val="single" w:sz="4" w:space="0" w:color="000000"/>
              <w:left w:val="single" w:sz="4" w:space="0" w:color="000000"/>
              <w:bottom w:val="single" w:sz="4" w:space="0" w:color="000000"/>
              <w:right w:val="single" w:sz="4" w:space="0" w:color="000000"/>
            </w:tcBorders>
            <w:hideMark/>
          </w:tcPr>
          <w:p w14:paraId="2B2C7309" w14:textId="77777777" w:rsidR="008707A6" w:rsidRPr="00C262AC" w:rsidRDefault="008707A6">
            <w:pPr>
              <w:spacing w:line="256" w:lineRule="auto"/>
              <w:jc w:val="both"/>
              <w:rPr>
                <w:rFonts w:ascii="Times New Roman" w:hAnsi="Times New Roman"/>
                <w:color w:val="000000"/>
                <w:sz w:val="22"/>
                <w:szCs w:val="22"/>
              </w:rPr>
            </w:pPr>
            <w:r w:rsidRPr="00C262AC">
              <w:rPr>
                <w:rFonts w:ascii="Times New Roman" w:hAnsi="Times New Roman"/>
                <w:sz w:val="22"/>
                <w:szCs w:val="22"/>
              </w:rPr>
              <w:t>0,89 (077, 1,02)</w:t>
            </w:r>
          </w:p>
        </w:tc>
        <w:tc>
          <w:tcPr>
            <w:tcW w:w="1365" w:type="dxa"/>
            <w:tcBorders>
              <w:top w:val="single" w:sz="4" w:space="0" w:color="000000"/>
              <w:left w:val="single" w:sz="4" w:space="0" w:color="000000"/>
              <w:bottom w:val="single" w:sz="4" w:space="0" w:color="000000"/>
              <w:right w:val="single" w:sz="4" w:space="0" w:color="000000"/>
            </w:tcBorders>
            <w:hideMark/>
          </w:tcPr>
          <w:p w14:paraId="6345E461" w14:textId="77777777" w:rsidR="008707A6" w:rsidRPr="00C262AC" w:rsidRDefault="008707A6">
            <w:pPr>
              <w:spacing w:line="256" w:lineRule="auto"/>
              <w:ind w:left="264"/>
              <w:jc w:val="both"/>
              <w:rPr>
                <w:rFonts w:ascii="Times New Roman" w:hAnsi="Times New Roman"/>
                <w:color w:val="000000"/>
                <w:sz w:val="22"/>
                <w:szCs w:val="22"/>
              </w:rPr>
            </w:pPr>
            <w:r w:rsidRPr="00C262AC">
              <w:rPr>
                <w:rFonts w:ascii="Times New Roman" w:hAnsi="Times New Roman"/>
                <w:sz w:val="22"/>
                <w:szCs w:val="22"/>
              </w:rPr>
              <w:t>0,08</w:t>
            </w:r>
          </w:p>
        </w:tc>
      </w:tr>
      <w:tr w:rsidR="008707A6" w:rsidRPr="00C262AC" w14:paraId="191A7201" w14:textId="77777777" w:rsidTr="00C02F5A">
        <w:trPr>
          <w:trHeight w:val="442"/>
        </w:trPr>
        <w:tc>
          <w:tcPr>
            <w:tcW w:w="3818" w:type="dxa"/>
            <w:tcBorders>
              <w:top w:val="single" w:sz="6" w:space="0" w:color="000000"/>
              <w:left w:val="single" w:sz="4" w:space="0" w:color="auto"/>
              <w:bottom w:val="single" w:sz="6" w:space="0" w:color="000000"/>
              <w:right w:val="single" w:sz="4" w:space="0" w:color="auto"/>
            </w:tcBorders>
            <w:hideMark/>
          </w:tcPr>
          <w:p w14:paraId="2C8CA491" w14:textId="58E21C1F" w:rsidR="008707A6" w:rsidRPr="00C262AC" w:rsidRDefault="005955AB">
            <w:pPr>
              <w:spacing w:after="4" w:line="256" w:lineRule="auto"/>
              <w:jc w:val="both"/>
              <w:rPr>
                <w:rFonts w:ascii="Times New Roman" w:hAnsi="Times New Roman"/>
                <w:color w:val="000000"/>
                <w:sz w:val="22"/>
                <w:szCs w:val="22"/>
              </w:rPr>
            </w:pPr>
            <w:r w:rsidRPr="00C262AC">
              <w:rPr>
                <w:rFonts w:ascii="Times New Roman" w:hAnsi="Times New Roman"/>
                <w:color w:val="000000"/>
                <w:sz w:val="22"/>
                <w:szCs w:val="22"/>
              </w:rPr>
              <w:t xml:space="preserve"> </w:t>
            </w:r>
            <w:proofErr w:type="spellStart"/>
            <w:r w:rsidR="008707A6" w:rsidRPr="00C262AC">
              <w:rPr>
                <w:rFonts w:ascii="Times New Roman" w:hAnsi="Times New Roman"/>
                <w:color w:val="000000"/>
                <w:sz w:val="22"/>
                <w:szCs w:val="22"/>
              </w:rPr>
              <w:t>Cenzurisana</w:t>
            </w:r>
            <w:proofErr w:type="spellEnd"/>
            <w:r w:rsidR="008707A6" w:rsidRPr="00C262AC">
              <w:rPr>
                <w:rFonts w:ascii="Times New Roman" w:hAnsi="Times New Roman"/>
                <w:color w:val="000000"/>
                <w:sz w:val="22"/>
                <w:szCs w:val="22"/>
              </w:rPr>
              <w:t xml:space="preserve"> </w:t>
            </w:r>
            <w:proofErr w:type="spellStart"/>
            <w:r w:rsidR="008707A6" w:rsidRPr="00C262AC">
              <w:rPr>
                <w:rFonts w:ascii="Times New Roman" w:hAnsi="Times New Roman"/>
                <w:color w:val="000000"/>
                <w:sz w:val="22"/>
                <w:szCs w:val="22"/>
              </w:rPr>
              <w:t>analiza</w:t>
            </w:r>
            <w:proofErr w:type="spellEnd"/>
            <w:r w:rsidR="008707A6" w:rsidRPr="00C262AC">
              <w:rPr>
                <w:rFonts w:ascii="Times New Roman" w:hAnsi="Times New Roman"/>
                <w:color w:val="000000"/>
                <w:sz w:val="22"/>
                <w:szCs w:val="22"/>
              </w:rPr>
              <w:t xml:space="preserve"> DFS-a</w:t>
            </w:r>
            <w:r w:rsidR="008707A6" w:rsidRPr="00C262AC">
              <w:rPr>
                <w:rFonts w:ascii="Times New Roman" w:hAnsi="Times New Roman"/>
                <w:color w:val="000000"/>
                <w:sz w:val="22"/>
                <w:szCs w:val="22"/>
                <w:vertAlign w:val="superscript"/>
              </w:rPr>
              <w:t>3</w:t>
            </w:r>
          </w:p>
        </w:tc>
        <w:tc>
          <w:tcPr>
            <w:tcW w:w="1127" w:type="dxa"/>
            <w:tcBorders>
              <w:top w:val="single" w:sz="4" w:space="0" w:color="000000"/>
              <w:left w:val="single" w:sz="4" w:space="0" w:color="000000"/>
              <w:bottom w:val="single" w:sz="4" w:space="0" w:color="000000"/>
              <w:right w:val="single" w:sz="4" w:space="0" w:color="000000"/>
            </w:tcBorders>
            <w:hideMark/>
          </w:tcPr>
          <w:p w14:paraId="2A922359" w14:textId="77777777" w:rsidR="008707A6" w:rsidRPr="00C262AC" w:rsidRDefault="008707A6">
            <w:pPr>
              <w:spacing w:line="256" w:lineRule="auto"/>
              <w:ind w:left="192"/>
              <w:jc w:val="both"/>
              <w:rPr>
                <w:rFonts w:ascii="Times New Roman" w:hAnsi="Times New Roman"/>
                <w:color w:val="000000"/>
                <w:sz w:val="22"/>
                <w:szCs w:val="22"/>
              </w:rPr>
            </w:pPr>
            <w:r w:rsidRPr="00C262AC">
              <w:rPr>
                <w:rFonts w:ascii="Times New Roman" w:hAnsi="Times New Roman"/>
                <w:sz w:val="22"/>
                <w:szCs w:val="22"/>
              </w:rPr>
              <w:t>626</w:t>
            </w:r>
          </w:p>
        </w:tc>
        <w:tc>
          <w:tcPr>
            <w:tcW w:w="1324" w:type="dxa"/>
            <w:tcBorders>
              <w:top w:val="single" w:sz="4" w:space="0" w:color="000000"/>
              <w:left w:val="single" w:sz="4" w:space="0" w:color="000000"/>
              <w:bottom w:val="single" w:sz="4" w:space="0" w:color="000000"/>
              <w:right w:val="single" w:sz="4" w:space="0" w:color="000000"/>
            </w:tcBorders>
            <w:hideMark/>
          </w:tcPr>
          <w:p w14:paraId="4362CA8C" w14:textId="77777777" w:rsidR="008707A6" w:rsidRPr="00C262AC" w:rsidRDefault="008707A6">
            <w:pPr>
              <w:spacing w:line="256" w:lineRule="auto"/>
              <w:ind w:left="331"/>
              <w:jc w:val="both"/>
              <w:rPr>
                <w:rFonts w:ascii="Times New Roman" w:hAnsi="Times New Roman"/>
                <w:color w:val="000000"/>
                <w:sz w:val="22"/>
                <w:szCs w:val="22"/>
              </w:rPr>
            </w:pPr>
            <w:r w:rsidRPr="00C262AC">
              <w:rPr>
                <w:rFonts w:ascii="Times New Roman" w:hAnsi="Times New Roman"/>
                <w:sz w:val="22"/>
                <w:szCs w:val="22"/>
              </w:rPr>
              <w:t>649</w:t>
            </w:r>
          </w:p>
        </w:tc>
        <w:tc>
          <w:tcPr>
            <w:tcW w:w="1842" w:type="dxa"/>
            <w:tcBorders>
              <w:top w:val="single" w:sz="4" w:space="0" w:color="000000"/>
              <w:left w:val="single" w:sz="4" w:space="0" w:color="000000"/>
              <w:bottom w:val="single" w:sz="4" w:space="0" w:color="000000"/>
              <w:right w:val="single" w:sz="4" w:space="0" w:color="000000"/>
            </w:tcBorders>
            <w:hideMark/>
          </w:tcPr>
          <w:p w14:paraId="4001460F" w14:textId="77777777" w:rsidR="008707A6" w:rsidRPr="00C262AC" w:rsidRDefault="008707A6">
            <w:pPr>
              <w:spacing w:line="256" w:lineRule="auto"/>
              <w:ind w:left="5"/>
              <w:jc w:val="both"/>
              <w:rPr>
                <w:rFonts w:ascii="Times New Roman" w:hAnsi="Times New Roman"/>
                <w:color w:val="000000"/>
                <w:sz w:val="22"/>
                <w:szCs w:val="22"/>
              </w:rPr>
            </w:pPr>
            <w:r w:rsidRPr="00C262AC">
              <w:rPr>
                <w:rFonts w:ascii="Times New Roman" w:hAnsi="Times New Roman"/>
                <w:sz w:val="22"/>
                <w:szCs w:val="22"/>
              </w:rPr>
              <w:t>0,83 (0,74, 0,92)</w:t>
            </w:r>
          </w:p>
        </w:tc>
        <w:tc>
          <w:tcPr>
            <w:tcW w:w="1365" w:type="dxa"/>
            <w:tcBorders>
              <w:top w:val="single" w:sz="6" w:space="0" w:color="000000"/>
              <w:left w:val="single" w:sz="4" w:space="0" w:color="auto"/>
              <w:bottom w:val="single" w:sz="6" w:space="0" w:color="000000"/>
              <w:right w:val="single" w:sz="4" w:space="0" w:color="auto"/>
            </w:tcBorders>
          </w:tcPr>
          <w:p w14:paraId="0BE98831" w14:textId="77777777" w:rsidR="008707A6" w:rsidRPr="00C262AC" w:rsidRDefault="008707A6">
            <w:pPr>
              <w:spacing w:after="160" w:line="256" w:lineRule="auto"/>
              <w:jc w:val="both"/>
              <w:rPr>
                <w:rFonts w:ascii="Times New Roman" w:hAnsi="Times New Roman"/>
                <w:color w:val="000000"/>
                <w:sz w:val="22"/>
                <w:szCs w:val="22"/>
              </w:rPr>
            </w:pPr>
          </w:p>
        </w:tc>
      </w:tr>
      <w:tr w:rsidR="008707A6" w:rsidRPr="00C262AC" w14:paraId="6894378D" w14:textId="77777777" w:rsidTr="00C02F5A">
        <w:trPr>
          <w:trHeight w:val="326"/>
        </w:trPr>
        <w:tc>
          <w:tcPr>
            <w:tcW w:w="3818" w:type="dxa"/>
            <w:tcBorders>
              <w:top w:val="single" w:sz="6" w:space="0" w:color="000000"/>
              <w:left w:val="single" w:sz="4" w:space="0" w:color="auto"/>
              <w:bottom w:val="single" w:sz="6" w:space="0" w:color="000000"/>
              <w:right w:val="single" w:sz="4" w:space="0" w:color="auto"/>
            </w:tcBorders>
            <w:hideMark/>
          </w:tcPr>
          <w:p w14:paraId="26945EAA" w14:textId="77777777" w:rsidR="008707A6" w:rsidRPr="00C262AC" w:rsidRDefault="008707A6">
            <w:pPr>
              <w:spacing w:line="256" w:lineRule="auto"/>
              <w:ind w:left="106"/>
              <w:jc w:val="both"/>
              <w:rPr>
                <w:rFonts w:ascii="Times New Roman" w:hAnsi="Times New Roman"/>
                <w:color w:val="000000"/>
                <w:sz w:val="22"/>
                <w:szCs w:val="22"/>
              </w:rPr>
            </w:pPr>
            <w:proofErr w:type="spellStart"/>
            <w:r w:rsidRPr="00C262AC">
              <w:rPr>
                <w:rFonts w:ascii="Times New Roman" w:hAnsi="Times New Roman"/>
                <w:color w:val="000000"/>
                <w:sz w:val="22"/>
                <w:szCs w:val="22"/>
              </w:rPr>
              <w:t>Cenzurisana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analiza</w:t>
            </w:r>
            <w:proofErr w:type="spellEnd"/>
            <w:r w:rsidRPr="00C262AC">
              <w:rPr>
                <w:rFonts w:ascii="Times New Roman" w:hAnsi="Times New Roman"/>
                <w:color w:val="000000"/>
                <w:sz w:val="22"/>
                <w:szCs w:val="22"/>
              </w:rPr>
              <w:t xml:space="preserve"> OS-a</w:t>
            </w:r>
            <w:r w:rsidRPr="00C262AC">
              <w:rPr>
                <w:rFonts w:ascii="Times New Roman" w:hAnsi="Times New Roman"/>
                <w:color w:val="000000"/>
                <w:sz w:val="22"/>
                <w:szCs w:val="22"/>
                <w:vertAlign w:val="superscript"/>
              </w:rPr>
              <w:t>3</w:t>
            </w:r>
          </w:p>
        </w:tc>
        <w:tc>
          <w:tcPr>
            <w:tcW w:w="1127" w:type="dxa"/>
            <w:tcBorders>
              <w:top w:val="single" w:sz="4" w:space="0" w:color="000000"/>
              <w:left w:val="single" w:sz="4" w:space="0" w:color="000000"/>
              <w:bottom w:val="single" w:sz="4" w:space="0" w:color="000000"/>
              <w:right w:val="single" w:sz="4" w:space="0" w:color="000000"/>
            </w:tcBorders>
            <w:hideMark/>
          </w:tcPr>
          <w:p w14:paraId="2500727B" w14:textId="77777777" w:rsidR="008707A6" w:rsidRPr="00C262AC" w:rsidRDefault="008707A6">
            <w:pPr>
              <w:spacing w:line="256" w:lineRule="auto"/>
              <w:ind w:left="192"/>
              <w:jc w:val="both"/>
              <w:rPr>
                <w:rFonts w:ascii="Times New Roman" w:hAnsi="Times New Roman"/>
                <w:color w:val="000000"/>
                <w:sz w:val="22"/>
                <w:szCs w:val="22"/>
              </w:rPr>
            </w:pPr>
            <w:r w:rsidRPr="00C262AC">
              <w:rPr>
                <w:rFonts w:ascii="Times New Roman" w:hAnsi="Times New Roman"/>
                <w:sz w:val="22"/>
                <w:szCs w:val="22"/>
              </w:rPr>
              <w:t>393</w:t>
            </w:r>
          </w:p>
        </w:tc>
        <w:tc>
          <w:tcPr>
            <w:tcW w:w="1324" w:type="dxa"/>
            <w:tcBorders>
              <w:top w:val="single" w:sz="4" w:space="0" w:color="000000"/>
              <w:left w:val="single" w:sz="4" w:space="0" w:color="000000"/>
              <w:bottom w:val="single" w:sz="4" w:space="0" w:color="000000"/>
              <w:right w:val="single" w:sz="4" w:space="0" w:color="000000"/>
            </w:tcBorders>
            <w:hideMark/>
          </w:tcPr>
          <w:p w14:paraId="1D34A08B" w14:textId="77777777" w:rsidR="008707A6" w:rsidRPr="00C262AC" w:rsidRDefault="008707A6">
            <w:pPr>
              <w:spacing w:line="256" w:lineRule="auto"/>
              <w:ind w:left="331"/>
              <w:jc w:val="both"/>
              <w:rPr>
                <w:rFonts w:ascii="Times New Roman" w:hAnsi="Times New Roman"/>
                <w:color w:val="000000"/>
                <w:sz w:val="22"/>
                <w:szCs w:val="22"/>
              </w:rPr>
            </w:pPr>
            <w:r w:rsidRPr="00C262AC">
              <w:rPr>
                <w:rFonts w:ascii="Times New Roman" w:hAnsi="Times New Roman"/>
                <w:sz w:val="22"/>
                <w:szCs w:val="22"/>
              </w:rPr>
              <w:t>419</w:t>
            </w:r>
          </w:p>
        </w:tc>
        <w:tc>
          <w:tcPr>
            <w:tcW w:w="1842" w:type="dxa"/>
            <w:tcBorders>
              <w:top w:val="single" w:sz="4" w:space="0" w:color="000000"/>
              <w:left w:val="single" w:sz="4" w:space="0" w:color="000000"/>
              <w:bottom w:val="single" w:sz="4" w:space="0" w:color="000000"/>
              <w:right w:val="single" w:sz="4" w:space="0" w:color="000000"/>
            </w:tcBorders>
            <w:hideMark/>
          </w:tcPr>
          <w:p w14:paraId="06FFAF65" w14:textId="77777777" w:rsidR="008707A6" w:rsidRPr="00C262AC" w:rsidRDefault="008707A6">
            <w:pPr>
              <w:spacing w:line="256" w:lineRule="auto"/>
              <w:ind w:left="5"/>
              <w:jc w:val="both"/>
              <w:rPr>
                <w:rFonts w:ascii="Times New Roman" w:hAnsi="Times New Roman"/>
                <w:color w:val="000000"/>
                <w:sz w:val="22"/>
                <w:szCs w:val="22"/>
              </w:rPr>
            </w:pPr>
            <w:r w:rsidRPr="00C262AC">
              <w:rPr>
                <w:rFonts w:ascii="Times New Roman" w:hAnsi="Times New Roman"/>
                <w:sz w:val="22"/>
                <w:szCs w:val="22"/>
              </w:rPr>
              <w:t>0,81 (0,70, 0,93)</w:t>
            </w:r>
          </w:p>
        </w:tc>
        <w:tc>
          <w:tcPr>
            <w:tcW w:w="1365" w:type="dxa"/>
            <w:tcBorders>
              <w:top w:val="single" w:sz="6" w:space="0" w:color="000000"/>
              <w:left w:val="single" w:sz="4" w:space="0" w:color="auto"/>
              <w:bottom w:val="single" w:sz="6" w:space="0" w:color="000000"/>
              <w:right w:val="single" w:sz="4" w:space="0" w:color="auto"/>
            </w:tcBorders>
          </w:tcPr>
          <w:p w14:paraId="19F86054" w14:textId="77777777" w:rsidR="008707A6" w:rsidRPr="00C262AC" w:rsidRDefault="008707A6">
            <w:pPr>
              <w:spacing w:after="160" w:line="256" w:lineRule="auto"/>
              <w:jc w:val="both"/>
              <w:rPr>
                <w:rFonts w:ascii="Times New Roman" w:hAnsi="Times New Roman"/>
                <w:color w:val="000000"/>
                <w:sz w:val="22"/>
                <w:szCs w:val="22"/>
              </w:rPr>
            </w:pPr>
          </w:p>
        </w:tc>
      </w:tr>
      <w:tr w:rsidR="008707A6" w:rsidRPr="00C262AC" w14:paraId="5CA80EDA" w14:textId="77777777" w:rsidTr="00C02F5A">
        <w:trPr>
          <w:trHeight w:val="326"/>
        </w:trPr>
        <w:tc>
          <w:tcPr>
            <w:tcW w:w="9476" w:type="dxa"/>
            <w:gridSpan w:val="5"/>
            <w:tcBorders>
              <w:top w:val="single" w:sz="6" w:space="0" w:color="000000"/>
              <w:left w:val="single" w:sz="4" w:space="0" w:color="auto"/>
              <w:bottom w:val="single" w:sz="6" w:space="0" w:color="000000"/>
              <w:right w:val="single" w:sz="4" w:space="0" w:color="auto"/>
            </w:tcBorders>
            <w:hideMark/>
          </w:tcPr>
          <w:p w14:paraId="19240F8A" w14:textId="77777777" w:rsidR="008707A6" w:rsidRPr="00C262AC" w:rsidRDefault="008707A6">
            <w:pPr>
              <w:spacing w:line="247" w:lineRule="auto"/>
              <w:ind w:right="1066"/>
              <w:jc w:val="both"/>
              <w:rPr>
                <w:rFonts w:ascii="Times New Roman" w:hAnsi="Times New Roman"/>
                <w:color w:val="000000"/>
                <w:sz w:val="22"/>
                <w:szCs w:val="22"/>
              </w:rPr>
            </w:pPr>
            <w:r w:rsidRPr="00C262AC">
              <w:rPr>
                <w:rFonts w:ascii="Times New Roman" w:eastAsia="TimesNewRoman" w:hAnsi="Times New Roman"/>
                <w:sz w:val="22"/>
                <w:szCs w:val="22"/>
                <w:vertAlign w:val="superscript"/>
              </w:rPr>
              <w:t>1</w:t>
            </w:r>
            <w:r w:rsidRPr="00C262AC">
              <w:rPr>
                <w:rFonts w:ascii="Times New Roman" w:eastAsia="TimesNewRoman" w:hAnsi="Times New Roman"/>
                <w:sz w:val="22"/>
                <w:szCs w:val="22"/>
              </w:rPr>
              <w:t xml:space="preserve"> </w:t>
            </w:r>
            <w:r w:rsidRPr="00C262AC">
              <w:rPr>
                <w:rFonts w:ascii="Times New Roman" w:hAnsi="Times New Roman"/>
                <w:color w:val="000000"/>
                <w:sz w:val="22"/>
                <w:szCs w:val="22"/>
              </w:rPr>
              <w:t xml:space="preserve">Log rank test, </w:t>
            </w:r>
            <w:proofErr w:type="spellStart"/>
            <w:r w:rsidRPr="00C262AC">
              <w:rPr>
                <w:rFonts w:ascii="Times New Roman" w:hAnsi="Times New Roman"/>
                <w:color w:val="000000"/>
                <w:sz w:val="22"/>
                <w:szCs w:val="22"/>
              </w:rPr>
              <w:t>stratifikovano</w:t>
            </w:r>
            <w:proofErr w:type="spellEnd"/>
            <w:r w:rsidRPr="00C262AC">
              <w:rPr>
                <w:rFonts w:ascii="Times New Roman" w:hAnsi="Times New Roman"/>
                <w:color w:val="000000"/>
                <w:sz w:val="22"/>
                <w:szCs w:val="22"/>
              </w:rPr>
              <w:t xml:space="preserve"> </w:t>
            </w:r>
            <w:r w:rsidRPr="00C262AC">
              <w:rPr>
                <w:rFonts w:ascii="Times New Roman" w:hAnsi="Times New Roman"/>
                <w:noProof/>
                <w:sz w:val="22"/>
                <w:szCs w:val="22"/>
                <w:lang w:val="sr-Latn-RS"/>
              </w:rPr>
              <w:t xml:space="preserve">prema opciji </w:t>
            </w:r>
            <w:proofErr w:type="spellStart"/>
            <w:r w:rsidRPr="00C262AC">
              <w:rPr>
                <w:rFonts w:ascii="Times New Roman" w:hAnsi="Times New Roman"/>
                <w:color w:val="000000"/>
                <w:sz w:val="22"/>
                <w:szCs w:val="22"/>
              </w:rPr>
              <w:t>randomizacije</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primjene</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hemioterapije</w:t>
            </w:r>
            <w:proofErr w:type="spellEnd"/>
            <w:r w:rsidRPr="00C262AC">
              <w:rPr>
                <w:rFonts w:ascii="Times New Roman" w:hAnsi="Times New Roman"/>
                <w:color w:val="000000"/>
                <w:sz w:val="22"/>
                <w:szCs w:val="22"/>
              </w:rPr>
              <w:t xml:space="preserve"> (da/ne)</w:t>
            </w:r>
          </w:p>
          <w:p w14:paraId="1774E984" w14:textId="77777777" w:rsidR="008707A6" w:rsidRPr="00C262AC" w:rsidRDefault="008707A6">
            <w:pPr>
              <w:autoSpaceDE w:val="0"/>
              <w:autoSpaceDN w:val="0"/>
              <w:adjustRightInd w:val="0"/>
              <w:jc w:val="both"/>
              <w:rPr>
                <w:rFonts w:ascii="Times New Roman" w:eastAsia="TimesNewRoman" w:hAnsi="Times New Roman"/>
                <w:sz w:val="22"/>
                <w:szCs w:val="22"/>
              </w:rPr>
            </w:pPr>
            <w:r w:rsidRPr="00C262AC">
              <w:rPr>
                <w:rFonts w:ascii="Times New Roman" w:eastAsia="TimesNewRoman" w:hAnsi="Times New Roman"/>
                <w:sz w:val="22"/>
                <w:szCs w:val="22"/>
                <w:vertAlign w:val="superscript"/>
              </w:rPr>
              <w:t xml:space="preserve">2 </w:t>
            </w:r>
            <w:r w:rsidRPr="00C262AC">
              <w:rPr>
                <w:rFonts w:ascii="Times New Roman" w:eastAsia="TimesNewRoman" w:hAnsi="Times New Roman"/>
                <w:sz w:val="22"/>
                <w:szCs w:val="22"/>
              </w:rPr>
              <w:t xml:space="preserve">DFS </w:t>
            </w:r>
            <w:proofErr w:type="spellStart"/>
            <w:r w:rsidRPr="00C262AC">
              <w:rPr>
                <w:rFonts w:ascii="Times New Roman" w:eastAsia="TimesNewRoman" w:hAnsi="Times New Roman"/>
                <w:sz w:val="22"/>
                <w:szCs w:val="22"/>
              </w:rPr>
              <w:t>događaji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ponovna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pojava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loko-regionalne</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bolesti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udaljene</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metastaze</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invazivni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kontralateralni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karcinom</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dojke</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neki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drugi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primarni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malignitet</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ali</w:t>
            </w:r>
            <w:proofErr w:type="spellEnd"/>
            <w:r w:rsidRPr="00C262AC">
              <w:rPr>
                <w:rFonts w:ascii="Times New Roman" w:eastAsia="TimesNewRoman" w:hAnsi="Times New Roman"/>
                <w:sz w:val="22"/>
                <w:szCs w:val="22"/>
              </w:rPr>
              <w:t xml:space="preserve"> ne </w:t>
            </w:r>
            <w:proofErr w:type="spellStart"/>
            <w:r w:rsidRPr="00C262AC">
              <w:rPr>
                <w:rFonts w:ascii="Times New Roman" w:eastAsia="TimesNewRoman" w:hAnsi="Times New Roman"/>
                <w:sz w:val="22"/>
                <w:szCs w:val="22"/>
              </w:rPr>
              <w:t>dojke</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smrt</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bilo</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kog</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uzroka</w:t>
            </w:r>
            <w:proofErr w:type="spellEnd"/>
            <w:r w:rsidRPr="00C262AC">
              <w:rPr>
                <w:rFonts w:ascii="Times New Roman" w:eastAsia="TimesNewRoman" w:hAnsi="Times New Roman"/>
                <w:sz w:val="22"/>
                <w:szCs w:val="22"/>
              </w:rPr>
              <w:t xml:space="preserve"> bez </w:t>
            </w:r>
            <w:proofErr w:type="spellStart"/>
            <w:r w:rsidRPr="00C262AC">
              <w:rPr>
                <w:rFonts w:ascii="Times New Roman" w:eastAsia="TimesNewRoman" w:hAnsi="Times New Roman"/>
                <w:sz w:val="22"/>
                <w:szCs w:val="22"/>
              </w:rPr>
              <w:t>prethodnog</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događaja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vezanog</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za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karcinom</w:t>
            </w:r>
            <w:proofErr w:type="spellEnd"/>
            <w:r w:rsidRPr="00C262AC">
              <w:rPr>
                <w:rFonts w:ascii="Times New Roman" w:eastAsia="TimesNewRoman" w:hAnsi="Times New Roman"/>
                <w:sz w:val="22"/>
                <w:szCs w:val="22"/>
              </w:rPr>
              <w:t xml:space="preserve"> </w:t>
            </w:r>
          </w:p>
          <w:p w14:paraId="7B2F3242" w14:textId="77777777" w:rsidR="008707A6" w:rsidRPr="00C262AC" w:rsidRDefault="008707A6">
            <w:pPr>
              <w:autoSpaceDE w:val="0"/>
              <w:autoSpaceDN w:val="0"/>
              <w:adjustRightInd w:val="0"/>
              <w:jc w:val="both"/>
              <w:rPr>
                <w:rFonts w:ascii="Times New Roman" w:hAnsi="Times New Roman"/>
                <w:color w:val="000000"/>
                <w:sz w:val="22"/>
                <w:szCs w:val="22"/>
              </w:rPr>
            </w:pPr>
            <w:r w:rsidRPr="00C262AC">
              <w:rPr>
                <w:rFonts w:ascii="Times New Roman" w:eastAsia="TimesNewRoman" w:hAnsi="Times New Roman"/>
                <w:sz w:val="22"/>
                <w:szCs w:val="22"/>
                <w:vertAlign w:val="superscript"/>
              </w:rPr>
              <w:t>3</w:t>
            </w:r>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Zapažanja</w:t>
            </w:r>
            <w:proofErr w:type="spellEnd"/>
            <w:r w:rsidRPr="00C262AC">
              <w:rPr>
                <w:rFonts w:ascii="Times New Roman" w:eastAsia="TimesNewRoman" w:hAnsi="Times New Roman"/>
                <w:sz w:val="22"/>
                <w:szCs w:val="22"/>
              </w:rPr>
              <w:t xml:space="preserve"> u </w:t>
            </w:r>
            <w:proofErr w:type="spellStart"/>
            <w:r w:rsidRPr="00C262AC">
              <w:rPr>
                <w:rFonts w:ascii="Times New Roman" w:eastAsia="TimesNewRoman" w:hAnsi="Times New Roman"/>
                <w:sz w:val="22"/>
                <w:szCs w:val="22"/>
              </w:rPr>
              <w:t>grupi</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koja</w:t>
            </w:r>
            <w:proofErr w:type="spellEnd"/>
            <w:r w:rsidRPr="00C262AC">
              <w:rPr>
                <w:rFonts w:ascii="Times New Roman" w:eastAsia="TimesNewRoman" w:hAnsi="Times New Roman"/>
                <w:sz w:val="22"/>
                <w:szCs w:val="22"/>
              </w:rPr>
              <w:t xml:space="preserve"> je </w:t>
            </w:r>
            <w:proofErr w:type="spellStart"/>
            <w:r w:rsidRPr="00C262AC">
              <w:rPr>
                <w:rFonts w:ascii="Times New Roman" w:eastAsia="TimesNewRoman" w:hAnsi="Times New Roman"/>
                <w:sz w:val="22"/>
                <w:szCs w:val="22"/>
              </w:rPr>
              <w:t>dobijala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tamoksifen</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cenzurisana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su</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onog</w:t>
            </w:r>
            <w:proofErr w:type="spellEnd"/>
            <w:r w:rsidRPr="00C262AC">
              <w:rPr>
                <w:rFonts w:ascii="Times New Roman" w:eastAsia="TimesNewRoman" w:hAnsi="Times New Roman"/>
                <w:sz w:val="22"/>
                <w:szCs w:val="22"/>
              </w:rPr>
              <w:t xml:space="preserve"> dana </w:t>
            </w:r>
            <w:proofErr w:type="spellStart"/>
            <w:r w:rsidRPr="00C262AC">
              <w:rPr>
                <w:rFonts w:ascii="Times New Roman" w:eastAsia="TimesNewRoman" w:hAnsi="Times New Roman"/>
                <w:sz w:val="22"/>
                <w:szCs w:val="22"/>
              </w:rPr>
              <w:t>kada</w:t>
            </w:r>
            <w:proofErr w:type="spellEnd"/>
            <w:r w:rsidRPr="00C262AC">
              <w:rPr>
                <w:rFonts w:ascii="Times New Roman" w:eastAsia="TimesNewRoman" w:hAnsi="Times New Roman"/>
                <w:sz w:val="22"/>
                <w:szCs w:val="22"/>
              </w:rPr>
              <w:t xml:space="preserve"> je </w:t>
            </w:r>
            <w:proofErr w:type="spellStart"/>
            <w:r w:rsidRPr="00C262AC">
              <w:rPr>
                <w:rFonts w:ascii="Times New Roman" w:eastAsia="TimesNewRoman" w:hAnsi="Times New Roman"/>
                <w:sz w:val="22"/>
                <w:szCs w:val="22"/>
              </w:rPr>
              <w:t>došlo</w:t>
            </w:r>
            <w:proofErr w:type="spellEnd"/>
            <w:r w:rsidRPr="00C262AC">
              <w:rPr>
                <w:rFonts w:ascii="Times New Roman" w:eastAsia="TimesNewRoman" w:hAnsi="Times New Roman"/>
                <w:sz w:val="22"/>
                <w:szCs w:val="22"/>
              </w:rPr>
              <w:t xml:space="preserve"> do </w:t>
            </w:r>
            <w:proofErr w:type="spellStart"/>
            <w:r w:rsidRPr="00C262AC">
              <w:rPr>
                <w:rFonts w:ascii="Times New Roman" w:eastAsia="TimesNewRoman" w:hAnsi="Times New Roman"/>
                <w:sz w:val="22"/>
                <w:szCs w:val="22"/>
              </w:rPr>
              <w:t>selektivnog</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prelaska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na</w:t>
            </w:r>
            <w:proofErr w:type="spellEnd"/>
            <w:r w:rsidRPr="00C262AC">
              <w:rPr>
                <w:rFonts w:ascii="Times New Roman" w:eastAsia="TimesNewRoman" w:hAnsi="Times New Roman"/>
                <w:sz w:val="22"/>
                <w:szCs w:val="22"/>
              </w:rPr>
              <w:t xml:space="preserve"> </w:t>
            </w:r>
            <w:proofErr w:type="spellStart"/>
            <w:r w:rsidRPr="00C262AC">
              <w:rPr>
                <w:rFonts w:ascii="Times New Roman" w:eastAsia="TimesNewRoman" w:hAnsi="Times New Roman"/>
                <w:sz w:val="22"/>
                <w:szCs w:val="22"/>
              </w:rPr>
              <w:t>letrozole</w:t>
            </w:r>
            <w:proofErr w:type="spellEnd"/>
          </w:p>
        </w:tc>
      </w:tr>
    </w:tbl>
    <w:p w14:paraId="5A08B5AF" w14:textId="77777777" w:rsidR="00CC58AC" w:rsidRPr="00C262AC" w:rsidRDefault="00CC58AC">
      <w:pPr>
        <w:autoSpaceDE w:val="0"/>
        <w:autoSpaceDN w:val="0"/>
        <w:adjustRightInd w:val="0"/>
        <w:jc w:val="both"/>
        <w:rPr>
          <w:i/>
          <w:iCs/>
          <w:sz w:val="22"/>
          <w:szCs w:val="22"/>
          <w:lang w:val="sr-Latn-RS"/>
        </w:rPr>
      </w:pPr>
    </w:p>
    <w:p w14:paraId="5A81D62C" w14:textId="26EC8074" w:rsidR="00CC58AC" w:rsidRPr="00C262AC" w:rsidRDefault="00CC58AC">
      <w:pPr>
        <w:autoSpaceDE w:val="0"/>
        <w:autoSpaceDN w:val="0"/>
        <w:adjustRightInd w:val="0"/>
        <w:jc w:val="both"/>
        <w:rPr>
          <w:rFonts w:eastAsia="TimesNewRoman"/>
          <w:sz w:val="22"/>
          <w:szCs w:val="22"/>
          <w:lang w:val="sr-Latn-RS"/>
        </w:rPr>
      </w:pPr>
      <w:r w:rsidRPr="00C262AC">
        <w:rPr>
          <w:i/>
          <w:iCs/>
          <w:sz w:val="22"/>
          <w:szCs w:val="22"/>
          <w:lang w:val="sr-Latn-RS"/>
        </w:rPr>
        <w:t>Analiza sekvencijalnih terapija (</w:t>
      </w:r>
      <w:r w:rsidRPr="00C262AC">
        <w:rPr>
          <w:i/>
          <w:noProof/>
          <w:sz w:val="22"/>
          <w:szCs w:val="22"/>
          <w:lang w:val="sr-Latn-RS"/>
        </w:rPr>
        <w:t xml:space="preserve">Sequential Treatments Analysis, </w:t>
      </w:r>
      <w:r w:rsidRPr="00C262AC">
        <w:rPr>
          <w:i/>
          <w:iCs/>
          <w:sz w:val="22"/>
          <w:szCs w:val="22"/>
          <w:lang w:val="sr-Latn-RS"/>
        </w:rPr>
        <w:t>STA</w:t>
      </w:r>
      <w:r w:rsidRPr="00C262AC">
        <w:rPr>
          <w:rFonts w:eastAsia="TimesNewRoman"/>
          <w:sz w:val="22"/>
          <w:szCs w:val="22"/>
          <w:lang w:val="sr-Latn-RS"/>
        </w:rPr>
        <w:t>)</w:t>
      </w:r>
    </w:p>
    <w:p w14:paraId="42023239" w14:textId="77777777" w:rsidR="00CC58AC" w:rsidRPr="00C262AC" w:rsidRDefault="00CC58AC">
      <w:pPr>
        <w:autoSpaceDE w:val="0"/>
        <w:autoSpaceDN w:val="0"/>
        <w:adjustRightInd w:val="0"/>
        <w:jc w:val="both"/>
        <w:rPr>
          <w:iCs/>
          <w:sz w:val="22"/>
          <w:szCs w:val="22"/>
          <w:lang w:val="sr-Latn-RS"/>
        </w:rPr>
      </w:pPr>
    </w:p>
    <w:p w14:paraId="694D7F2F" w14:textId="77777777" w:rsidR="00CC58AC" w:rsidRPr="00C262AC" w:rsidRDefault="00CC58AC">
      <w:pPr>
        <w:autoSpaceDE w:val="0"/>
        <w:autoSpaceDN w:val="0"/>
        <w:adjustRightInd w:val="0"/>
        <w:jc w:val="both"/>
        <w:rPr>
          <w:rFonts w:eastAsia="TimesNewRoman"/>
          <w:sz w:val="22"/>
          <w:szCs w:val="22"/>
          <w:lang w:val="sr-Latn-RS"/>
        </w:rPr>
      </w:pPr>
      <w:r w:rsidRPr="00C262AC">
        <w:rPr>
          <w:iCs/>
          <w:sz w:val="22"/>
          <w:szCs w:val="22"/>
          <w:lang w:val="sr-Latn-RS"/>
        </w:rPr>
        <w:t>Analiza sekvencijalne terapije</w:t>
      </w:r>
      <w:r w:rsidRPr="00C262AC">
        <w:rPr>
          <w:i/>
          <w:iCs/>
          <w:sz w:val="22"/>
          <w:szCs w:val="22"/>
          <w:lang w:val="sr-Latn-RS"/>
        </w:rPr>
        <w:t xml:space="preserve"> </w:t>
      </w:r>
      <w:r w:rsidRPr="00C262AC">
        <w:rPr>
          <w:rFonts w:eastAsia="TimesNewRoman"/>
          <w:sz w:val="22"/>
          <w:szCs w:val="22"/>
          <w:lang w:val="sr-Latn-RS"/>
        </w:rPr>
        <w:t xml:space="preserve">se odnosi na drugo primarno pitanje iz studije BIG 1-98, naime da li je </w:t>
      </w:r>
      <w:r w:rsidRPr="00C262AC">
        <w:rPr>
          <w:noProof/>
          <w:sz w:val="22"/>
          <w:szCs w:val="22"/>
          <w:lang w:val="sr-Latn-RS"/>
        </w:rPr>
        <w:t>sekvencijalno davanje</w:t>
      </w:r>
      <w:r w:rsidRPr="00C262AC">
        <w:rPr>
          <w:rFonts w:eastAsia="TimesNewRoman"/>
          <w:sz w:val="22"/>
          <w:szCs w:val="22"/>
          <w:lang w:val="sr-Latn-RS"/>
        </w:rPr>
        <w:t xml:space="preserve"> tamoksifena i letrozola u kombinaciji superiornije u odnosu na monoterapiju. Nije bilo značajnih razlika u DFS, OS, SDFS ili DDFS kod prelaska sa jedne na drugu terapiju, u odnosu na primjenu monoterapije (Tabela 6).</w:t>
      </w:r>
    </w:p>
    <w:p w14:paraId="5D151D0B" w14:textId="77777777" w:rsidR="00CC58AC" w:rsidRPr="00C262AC" w:rsidRDefault="00CC58AC">
      <w:pPr>
        <w:autoSpaceDE w:val="0"/>
        <w:autoSpaceDN w:val="0"/>
        <w:adjustRightInd w:val="0"/>
        <w:jc w:val="both"/>
        <w:rPr>
          <w:rFonts w:eastAsia="TimesNewRoman"/>
          <w:sz w:val="22"/>
          <w:szCs w:val="22"/>
          <w:lang w:val="sr-Latn-RS"/>
        </w:rPr>
      </w:pPr>
    </w:p>
    <w:p w14:paraId="71A2B521" w14:textId="1FE1DBCD" w:rsidR="00CC58AC" w:rsidRPr="00C262AC" w:rsidRDefault="00CC58AC">
      <w:pPr>
        <w:autoSpaceDE w:val="0"/>
        <w:autoSpaceDN w:val="0"/>
        <w:adjustRightInd w:val="0"/>
        <w:jc w:val="both"/>
        <w:rPr>
          <w:rFonts w:eastAsia="TimesNewRoman,Bold"/>
          <w:bCs/>
          <w:sz w:val="22"/>
          <w:szCs w:val="22"/>
          <w:lang w:val="sr-Latn-RS"/>
        </w:rPr>
      </w:pPr>
      <w:r w:rsidRPr="00C262AC">
        <w:rPr>
          <w:rFonts w:eastAsia="TimesNewRoman,Bold"/>
          <w:b/>
          <w:bCs/>
          <w:sz w:val="22"/>
          <w:szCs w:val="22"/>
          <w:lang w:val="sr-Latn-RS"/>
        </w:rPr>
        <w:t xml:space="preserve">Tabela 6. </w:t>
      </w:r>
      <w:r w:rsidRPr="00C262AC">
        <w:rPr>
          <w:rFonts w:eastAsia="TimesNewRoman,Bold"/>
          <w:bCs/>
          <w:sz w:val="22"/>
          <w:szCs w:val="22"/>
          <w:lang w:val="sr-Latn-RS"/>
        </w:rPr>
        <w:t>Analiza sekvencijalne terapije preživljavanja bez bolesti sa letrozolom kao početnim endokrinološkim lijekom (populacija sa sekvencijalnom terapijom)</w:t>
      </w:r>
    </w:p>
    <w:tbl>
      <w:tblPr>
        <w:tblW w:w="9495" w:type="dxa"/>
        <w:tblLayout w:type="fixed"/>
        <w:tblCellMar>
          <w:top w:w="46" w:type="dxa"/>
          <w:right w:w="8" w:type="dxa"/>
        </w:tblCellMar>
        <w:tblLook w:val="04A0" w:firstRow="1" w:lastRow="0" w:firstColumn="1" w:lastColumn="0" w:noHBand="0" w:noVBand="1"/>
      </w:tblPr>
      <w:tblGrid>
        <w:gridCol w:w="3169"/>
        <w:gridCol w:w="996"/>
        <w:gridCol w:w="1335"/>
        <w:gridCol w:w="1322"/>
        <w:gridCol w:w="1501"/>
        <w:gridCol w:w="1172"/>
      </w:tblGrid>
      <w:tr w:rsidR="00CC58AC" w:rsidRPr="00C262AC" w14:paraId="23A15195" w14:textId="77777777" w:rsidTr="00D01772">
        <w:trPr>
          <w:trHeight w:val="485"/>
        </w:trPr>
        <w:tc>
          <w:tcPr>
            <w:tcW w:w="3168" w:type="dxa"/>
            <w:tcBorders>
              <w:top w:val="single" w:sz="6" w:space="0" w:color="000000"/>
              <w:left w:val="single" w:sz="4" w:space="0" w:color="auto"/>
              <w:bottom w:val="single" w:sz="6" w:space="0" w:color="000000"/>
              <w:right w:val="single" w:sz="4" w:space="0" w:color="auto"/>
            </w:tcBorders>
            <w:hideMark/>
          </w:tcPr>
          <w:p w14:paraId="65562AC4" w14:textId="755DB98F" w:rsidR="00CC58AC" w:rsidRPr="00C262AC" w:rsidRDefault="00CC58AC">
            <w:pPr>
              <w:autoSpaceDE w:val="0"/>
              <w:autoSpaceDN w:val="0"/>
              <w:adjustRightInd w:val="0"/>
              <w:jc w:val="both"/>
              <w:rPr>
                <w:rFonts w:eastAsia="TimesNewRoman"/>
                <w:sz w:val="22"/>
                <w:szCs w:val="22"/>
                <w:lang w:val="sr-Latn-RS"/>
              </w:rPr>
            </w:pPr>
          </w:p>
        </w:tc>
        <w:tc>
          <w:tcPr>
            <w:tcW w:w="996" w:type="dxa"/>
            <w:tcBorders>
              <w:top w:val="single" w:sz="6" w:space="0" w:color="000000"/>
              <w:left w:val="single" w:sz="4" w:space="0" w:color="auto"/>
              <w:bottom w:val="single" w:sz="6" w:space="0" w:color="000000"/>
              <w:right w:val="single" w:sz="4" w:space="0" w:color="auto"/>
            </w:tcBorders>
            <w:hideMark/>
          </w:tcPr>
          <w:p w14:paraId="35B38C5A" w14:textId="77777777" w:rsidR="00CC58AC" w:rsidRPr="00C262AC" w:rsidRDefault="00CC58AC">
            <w:pPr>
              <w:autoSpaceDE w:val="0"/>
              <w:autoSpaceDN w:val="0"/>
              <w:adjustRightInd w:val="0"/>
              <w:jc w:val="both"/>
              <w:rPr>
                <w:rFonts w:eastAsia="TimesNewRoman"/>
                <w:sz w:val="22"/>
                <w:szCs w:val="22"/>
                <w:lang w:val="sr-Latn-RS"/>
              </w:rPr>
            </w:pPr>
            <w:r w:rsidRPr="00C262AC">
              <w:rPr>
                <w:rFonts w:eastAsia="TimesNewRoman"/>
                <w:sz w:val="22"/>
                <w:szCs w:val="22"/>
                <w:lang w:val="sr-Latn-RS"/>
              </w:rPr>
              <w:t>N</w:t>
            </w:r>
          </w:p>
        </w:tc>
        <w:tc>
          <w:tcPr>
            <w:tcW w:w="1334" w:type="dxa"/>
            <w:tcBorders>
              <w:top w:val="single" w:sz="6" w:space="0" w:color="000000"/>
              <w:left w:val="single" w:sz="4" w:space="0" w:color="auto"/>
              <w:bottom w:val="single" w:sz="6" w:space="0" w:color="000000"/>
              <w:right w:val="single" w:sz="4" w:space="0" w:color="auto"/>
            </w:tcBorders>
            <w:hideMark/>
          </w:tcPr>
          <w:p w14:paraId="441C28CB" w14:textId="77777777" w:rsidR="00CC58AC" w:rsidRPr="00C262AC" w:rsidRDefault="00CC58AC">
            <w:pPr>
              <w:autoSpaceDE w:val="0"/>
              <w:autoSpaceDN w:val="0"/>
              <w:adjustRightInd w:val="0"/>
              <w:jc w:val="both"/>
              <w:rPr>
                <w:rFonts w:eastAsia="TimesNewRoman"/>
                <w:sz w:val="22"/>
                <w:szCs w:val="22"/>
                <w:lang w:val="sr-Latn-RS"/>
              </w:rPr>
            </w:pPr>
            <w:r w:rsidRPr="00C262AC">
              <w:rPr>
                <w:rFonts w:eastAsia="TimesNewRoman"/>
                <w:sz w:val="22"/>
                <w:szCs w:val="22"/>
                <w:lang w:val="sr-Latn-RS"/>
              </w:rPr>
              <w:t>Broj događaja</w:t>
            </w:r>
            <w:r w:rsidRPr="00C262AC">
              <w:rPr>
                <w:rFonts w:eastAsia="TimesNewRoman"/>
                <w:sz w:val="22"/>
                <w:szCs w:val="22"/>
                <w:vertAlign w:val="superscript"/>
                <w:lang w:val="sr-Latn-RS"/>
              </w:rPr>
              <w:t>1</w:t>
            </w:r>
          </w:p>
        </w:tc>
        <w:tc>
          <w:tcPr>
            <w:tcW w:w="1321" w:type="dxa"/>
            <w:tcBorders>
              <w:top w:val="single" w:sz="6" w:space="0" w:color="000000"/>
              <w:left w:val="single" w:sz="4" w:space="0" w:color="auto"/>
              <w:bottom w:val="single" w:sz="6" w:space="0" w:color="000000"/>
              <w:right w:val="single" w:sz="4" w:space="0" w:color="auto"/>
            </w:tcBorders>
            <w:hideMark/>
          </w:tcPr>
          <w:p w14:paraId="0755D442" w14:textId="77777777" w:rsidR="00CC58AC" w:rsidRPr="00C262AC" w:rsidRDefault="00CC58AC">
            <w:pPr>
              <w:autoSpaceDE w:val="0"/>
              <w:autoSpaceDN w:val="0"/>
              <w:adjustRightInd w:val="0"/>
              <w:jc w:val="both"/>
              <w:rPr>
                <w:rFonts w:eastAsia="TimesNewRoman"/>
                <w:sz w:val="22"/>
                <w:szCs w:val="22"/>
                <w:lang w:val="sr-Latn-RS"/>
              </w:rPr>
            </w:pPr>
            <w:r w:rsidRPr="00C262AC">
              <w:rPr>
                <w:rFonts w:eastAsia="TimesNewRoman"/>
                <w:sz w:val="22"/>
                <w:szCs w:val="22"/>
                <w:lang w:val="sr-Latn-RS"/>
              </w:rPr>
              <w:t>Stepen rizika</w:t>
            </w:r>
            <w:r w:rsidRPr="00C262AC">
              <w:rPr>
                <w:rFonts w:eastAsia="TimesNewRoman"/>
                <w:sz w:val="22"/>
                <w:szCs w:val="22"/>
                <w:vertAlign w:val="superscript"/>
                <w:lang w:val="sr-Latn-RS"/>
              </w:rPr>
              <w:t>2</w:t>
            </w:r>
          </w:p>
        </w:tc>
        <w:tc>
          <w:tcPr>
            <w:tcW w:w="1500" w:type="dxa"/>
            <w:tcBorders>
              <w:top w:val="single" w:sz="6" w:space="0" w:color="000000"/>
              <w:left w:val="single" w:sz="4" w:space="0" w:color="auto"/>
              <w:bottom w:val="single" w:sz="6" w:space="0" w:color="000000"/>
              <w:right w:val="single" w:sz="4" w:space="0" w:color="auto"/>
            </w:tcBorders>
            <w:hideMark/>
          </w:tcPr>
          <w:p w14:paraId="02BC99A8" w14:textId="77777777" w:rsidR="00CC58AC" w:rsidRPr="00C262AC" w:rsidRDefault="00CC58AC">
            <w:pPr>
              <w:autoSpaceDE w:val="0"/>
              <w:autoSpaceDN w:val="0"/>
              <w:adjustRightInd w:val="0"/>
              <w:jc w:val="both"/>
              <w:rPr>
                <w:rFonts w:eastAsia="TimesNewRoman"/>
                <w:sz w:val="22"/>
                <w:szCs w:val="22"/>
                <w:lang w:val="sr-Latn-RS"/>
              </w:rPr>
            </w:pPr>
            <w:r w:rsidRPr="00C262AC">
              <w:rPr>
                <w:rFonts w:eastAsia="TimesNewRoman"/>
                <w:sz w:val="22"/>
                <w:szCs w:val="22"/>
                <w:lang w:val="sr-Latn-RS"/>
              </w:rPr>
              <w:t>(97.5 % % CI</w:t>
            </w:r>
            <w:r w:rsidRPr="00C262AC">
              <w:rPr>
                <w:rFonts w:eastAsia="TimesNewRoman"/>
                <w:i/>
                <w:sz w:val="22"/>
                <w:szCs w:val="22"/>
                <w:lang w:val="sr-Latn-RS"/>
              </w:rPr>
              <w:t>)</w:t>
            </w:r>
          </w:p>
        </w:tc>
        <w:tc>
          <w:tcPr>
            <w:tcW w:w="1171" w:type="dxa"/>
            <w:tcBorders>
              <w:top w:val="single" w:sz="6" w:space="0" w:color="000000"/>
              <w:left w:val="single" w:sz="4" w:space="0" w:color="auto"/>
              <w:bottom w:val="single" w:sz="6" w:space="0" w:color="000000"/>
              <w:right w:val="single" w:sz="4" w:space="0" w:color="auto"/>
            </w:tcBorders>
            <w:hideMark/>
          </w:tcPr>
          <w:p w14:paraId="185F85EB" w14:textId="77777777" w:rsidR="00CC58AC" w:rsidRPr="00C262AC" w:rsidRDefault="00CC58AC">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Cox model </w:t>
            </w:r>
            <w:r w:rsidRPr="00C262AC">
              <w:rPr>
                <w:rFonts w:eastAsia="TimesNewRoman"/>
                <w:i/>
                <w:sz w:val="22"/>
                <w:szCs w:val="22"/>
                <w:lang w:val="sr-Latn-RS"/>
              </w:rPr>
              <w:t xml:space="preserve">p </w:t>
            </w:r>
            <w:r w:rsidRPr="00C262AC">
              <w:rPr>
                <w:rFonts w:eastAsia="TimesNewRoman"/>
                <w:sz w:val="22"/>
                <w:szCs w:val="22"/>
                <w:lang w:val="sr-Latn-RS"/>
              </w:rPr>
              <w:t>vrijednost</w:t>
            </w:r>
          </w:p>
        </w:tc>
      </w:tr>
      <w:tr w:rsidR="00CC58AC" w:rsidRPr="00C262AC" w14:paraId="4094E2D8" w14:textId="77777777" w:rsidTr="00C02F5A">
        <w:trPr>
          <w:trHeight w:val="365"/>
        </w:trPr>
        <w:tc>
          <w:tcPr>
            <w:tcW w:w="3168" w:type="dxa"/>
            <w:tcBorders>
              <w:top w:val="single" w:sz="6" w:space="0" w:color="000000"/>
              <w:left w:val="single" w:sz="4" w:space="0" w:color="auto"/>
              <w:bottom w:val="single" w:sz="2" w:space="0" w:color="000000"/>
              <w:right w:val="single" w:sz="4" w:space="0" w:color="auto"/>
            </w:tcBorders>
            <w:hideMark/>
          </w:tcPr>
          <w:p w14:paraId="7EC37700" w14:textId="77777777" w:rsidR="00CC58AC" w:rsidRPr="00C262AC" w:rsidRDefault="00CC58AC">
            <w:pPr>
              <w:autoSpaceDE w:val="0"/>
              <w:autoSpaceDN w:val="0"/>
              <w:adjustRightInd w:val="0"/>
              <w:jc w:val="both"/>
              <w:rPr>
                <w:rFonts w:eastAsia="TimesNewRoman"/>
                <w:sz w:val="22"/>
                <w:szCs w:val="22"/>
                <w:lang w:val="sr-Latn-RS"/>
              </w:rPr>
            </w:pPr>
            <w:r w:rsidRPr="00C262AC">
              <w:rPr>
                <w:rFonts w:eastAsia="TimesNewRoman"/>
                <w:sz w:val="22"/>
                <w:szCs w:val="22"/>
                <w:lang w:val="sr-Latn-RS"/>
              </w:rPr>
              <w:t>Letrozol →Tamoksifen</w:t>
            </w:r>
          </w:p>
        </w:tc>
        <w:tc>
          <w:tcPr>
            <w:tcW w:w="996" w:type="dxa"/>
            <w:tcBorders>
              <w:top w:val="single" w:sz="6" w:space="0" w:color="000000"/>
              <w:left w:val="single" w:sz="4" w:space="0" w:color="auto"/>
              <w:bottom w:val="single" w:sz="2" w:space="0" w:color="000000"/>
              <w:right w:val="single" w:sz="4" w:space="0" w:color="auto"/>
            </w:tcBorders>
            <w:vAlign w:val="center"/>
            <w:hideMark/>
          </w:tcPr>
          <w:p w14:paraId="2BB92BD8" w14:textId="77777777" w:rsidR="00CC58AC" w:rsidRPr="00C262AC" w:rsidRDefault="00CC58AC" w:rsidP="00C02F5A">
            <w:pPr>
              <w:autoSpaceDE w:val="0"/>
              <w:autoSpaceDN w:val="0"/>
              <w:adjustRightInd w:val="0"/>
              <w:jc w:val="center"/>
              <w:rPr>
                <w:rFonts w:eastAsia="TimesNewRoman"/>
                <w:sz w:val="22"/>
                <w:szCs w:val="22"/>
                <w:lang w:val="sr-Latn-RS"/>
              </w:rPr>
            </w:pPr>
            <w:r w:rsidRPr="00C262AC">
              <w:rPr>
                <w:rFonts w:eastAsia="TimesNewRoman"/>
                <w:sz w:val="22"/>
                <w:szCs w:val="22"/>
                <w:lang w:val="sr-Latn-RS"/>
              </w:rPr>
              <w:t>1460</w:t>
            </w:r>
          </w:p>
        </w:tc>
        <w:tc>
          <w:tcPr>
            <w:tcW w:w="1334" w:type="dxa"/>
            <w:tcBorders>
              <w:top w:val="single" w:sz="4" w:space="0" w:color="000000"/>
              <w:left w:val="single" w:sz="4" w:space="0" w:color="000000"/>
              <w:bottom w:val="single" w:sz="4" w:space="0" w:color="000000"/>
              <w:right w:val="single" w:sz="4" w:space="0" w:color="000000"/>
            </w:tcBorders>
            <w:vAlign w:val="center"/>
            <w:hideMark/>
          </w:tcPr>
          <w:p w14:paraId="79D3C639" w14:textId="77777777" w:rsidR="00CC58AC" w:rsidRPr="00C262AC" w:rsidRDefault="00CC58AC" w:rsidP="00C02F5A">
            <w:pPr>
              <w:autoSpaceDE w:val="0"/>
              <w:autoSpaceDN w:val="0"/>
              <w:adjustRightInd w:val="0"/>
              <w:jc w:val="center"/>
              <w:rPr>
                <w:rFonts w:eastAsia="TimesNewRoman"/>
                <w:sz w:val="22"/>
                <w:szCs w:val="22"/>
                <w:lang w:val="sr-Latn-RS"/>
              </w:rPr>
            </w:pPr>
            <w:r w:rsidRPr="00C262AC">
              <w:rPr>
                <w:sz w:val="22"/>
                <w:szCs w:val="22"/>
              </w:rPr>
              <w:t>254</w:t>
            </w:r>
          </w:p>
        </w:tc>
        <w:tc>
          <w:tcPr>
            <w:tcW w:w="1321" w:type="dxa"/>
            <w:tcBorders>
              <w:top w:val="single" w:sz="6" w:space="0" w:color="000000"/>
              <w:left w:val="single" w:sz="4" w:space="0" w:color="auto"/>
              <w:bottom w:val="single" w:sz="2" w:space="0" w:color="000000"/>
              <w:right w:val="single" w:sz="4" w:space="0" w:color="auto"/>
            </w:tcBorders>
            <w:vAlign w:val="center"/>
            <w:hideMark/>
          </w:tcPr>
          <w:p w14:paraId="4C6860DB" w14:textId="77777777" w:rsidR="00CC58AC" w:rsidRPr="00C262AC" w:rsidRDefault="00CC58AC" w:rsidP="00C02F5A">
            <w:pPr>
              <w:autoSpaceDE w:val="0"/>
              <w:autoSpaceDN w:val="0"/>
              <w:adjustRightInd w:val="0"/>
              <w:jc w:val="center"/>
              <w:rPr>
                <w:rFonts w:eastAsia="TimesNewRoman"/>
                <w:sz w:val="22"/>
                <w:szCs w:val="22"/>
                <w:lang w:val="sr-Latn-RS"/>
              </w:rPr>
            </w:pPr>
            <w:r w:rsidRPr="00C262AC">
              <w:rPr>
                <w:color w:val="000000"/>
                <w:sz w:val="22"/>
                <w:szCs w:val="22"/>
                <w:lang w:val="sr-Latn-RS" w:eastAsia="sr-Latn-RS"/>
              </w:rPr>
              <w:t>1,03</w:t>
            </w:r>
          </w:p>
        </w:tc>
        <w:tc>
          <w:tcPr>
            <w:tcW w:w="1500" w:type="dxa"/>
            <w:tcBorders>
              <w:top w:val="single" w:sz="6" w:space="0" w:color="000000"/>
              <w:left w:val="single" w:sz="4" w:space="0" w:color="auto"/>
              <w:bottom w:val="single" w:sz="2" w:space="0" w:color="000000"/>
              <w:right w:val="single" w:sz="4" w:space="0" w:color="auto"/>
            </w:tcBorders>
            <w:vAlign w:val="center"/>
            <w:hideMark/>
          </w:tcPr>
          <w:p w14:paraId="5B589DFA" w14:textId="77777777" w:rsidR="00CC58AC" w:rsidRPr="00C262AC" w:rsidRDefault="00CC58AC" w:rsidP="00C02F5A">
            <w:pPr>
              <w:autoSpaceDE w:val="0"/>
              <w:autoSpaceDN w:val="0"/>
              <w:adjustRightInd w:val="0"/>
              <w:jc w:val="center"/>
              <w:rPr>
                <w:rFonts w:eastAsia="TimesNewRoman"/>
                <w:sz w:val="22"/>
                <w:szCs w:val="22"/>
                <w:lang w:val="sr-Latn-RS"/>
              </w:rPr>
            </w:pPr>
            <w:r w:rsidRPr="00C262AC">
              <w:rPr>
                <w:rFonts w:eastAsia="TimesNewRoman"/>
                <w:sz w:val="22"/>
                <w:szCs w:val="22"/>
                <w:lang w:val="sr-Latn-RS"/>
              </w:rPr>
              <w:t>(0,84, 1,26)</w:t>
            </w:r>
          </w:p>
        </w:tc>
        <w:tc>
          <w:tcPr>
            <w:tcW w:w="1171" w:type="dxa"/>
            <w:tcBorders>
              <w:top w:val="single" w:sz="6" w:space="0" w:color="000000"/>
              <w:left w:val="single" w:sz="4" w:space="0" w:color="auto"/>
              <w:bottom w:val="single" w:sz="2" w:space="0" w:color="000000"/>
              <w:right w:val="single" w:sz="4" w:space="0" w:color="auto"/>
            </w:tcBorders>
            <w:vAlign w:val="center"/>
            <w:hideMark/>
          </w:tcPr>
          <w:p w14:paraId="71B179A7" w14:textId="77777777" w:rsidR="00CC58AC" w:rsidRPr="00C262AC" w:rsidRDefault="00CC58AC" w:rsidP="00C02F5A">
            <w:pPr>
              <w:autoSpaceDE w:val="0"/>
              <w:autoSpaceDN w:val="0"/>
              <w:adjustRightInd w:val="0"/>
              <w:jc w:val="center"/>
              <w:rPr>
                <w:rFonts w:eastAsia="TimesNewRoman"/>
                <w:sz w:val="22"/>
                <w:szCs w:val="22"/>
                <w:lang w:val="sr-Latn-RS"/>
              </w:rPr>
            </w:pPr>
            <w:r w:rsidRPr="00C262AC">
              <w:rPr>
                <w:color w:val="000000"/>
                <w:sz w:val="22"/>
                <w:szCs w:val="22"/>
                <w:lang w:val="sr-Latn-RS" w:eastAsia="sr-Latn-RS"/>
              </w:rPr>
              <w:t>0,72</w:t>
            </w:r>
          </w:p>
        </w:tc>
      </w:tr>
      <w:tr w:rsidR="00CC58AC" w:rsidRPr="00C262AC" w14:paraId="5655DB8E" w14:textId="77777777" w:rsidTr="00C02F5A">
        <w:trPr>
          <w:trHeight w:val="365"/>
        </w:trPr>
        <w:tc>
          <w:tcPr>
            <w:tcW w:w="3168" w:type="dxa"/>
            <w:tcBorders>
              <w:top w:val="single" w:sz="2" w:space="0" w:color="000000"/>
              <w:left w:val="single" w:sz="4" w:space="0" w:color="auto"/>
              <w:bottom w:val="single" w:sz="2" w:space="0" w:color="000000"/>
              <w:right w:val="single" w:sz="4" w:space="0" w:color="auto"/>
            </w:tcBorders>
            <w:hideMark/>
          </w:tcPr>
          <w:p w14:paraId="2ACF56F4" w14:textId="77777777" w:rsidR="00CC58AC" w:rsidRPr="00C262AC" w:rsidRDefault="00CC58AC">
            <w:pPr>
              <w:autoSpaceDE w:val="0"/>
              <w:autoSpaceDN w:val="0"/>
              <w:adjustRightInd w:val="0"/>
              <w:jc w:val="both"/>
              <w:rPr>
                <w:rFonts w:eastAsia="TimesNewRoman"/>
                <w:sz w:val="22"/>
                <w:szCs w:val="22"/>
                <w:lang w:val="sr-Latn-RS"/>
              </w:rPr>
            </w:pPr>
            <w:r w:rsidRPr="00C262AC">
              <w:rPr>
                <w:rFonts w:eastAsia="TimesNewRoman"/>
                <w:sz w:val="22"/>
                <w:szCs w:val="22"/>
                <w:lang w:val="sr-Latn-RS"/>
              </w:rPr>
              <w:t>Letrozol</w:t>
            </w:r>
          </w:p>
        </w:tc>
        <w:tc>
          <w:tcPr>
            <w:tcW w:w="996" w:type="dxa"/>
            <w:tcBorders>
              <w:top w:val="single" w:sz="2" w:space="0" w:color="000000"/>
              <w:left w:val="single" w:sz="4" w:space="0" w:color="auto"/>
              <w:bottom w:val="single" w:sz="2" w:space="0" w:color="000000"/>
              <w:right w:val="single" w:sz="4" w:space="0" w:color="auto"/>
            </w:tcBorders>
            <w:vAlign w:val="center"/>
            <w:hideMark/>
          </w:tcPr>
          <w:p w14:paraId="6F47AA5A" w14:textId="77777777" w:rsidR="00CC58AC" w:rsidRPr="00C262AC" w:rsidRDefault="00CC58AC" w:rsidP="00C02F5A">
            <w:pPr>
              <w:autoSpaceDE w:val="0"/>
              <w:autoSpaceDN w:val="0"/>
              <w:adjustRightInd w:val="0"/>
              <w:jc w:val="center"/>
              <w:rPr>
                <w:rFonts w:eastAsia="TimesNewRoman"/>
                <w:sz w:val="22"/>
                <w:szCs w:val="22"/>
                <w:lang w:val="sr-Latn-RS"/>
              </w:rPr>
            </w:pPr>
            <w:r w:rsidRPr="00C262AC">
              <w:rPr>
                <w:rFonts w:eastAsia="TimesNewRoman"/>
                <w:sz w:val="22"/>
                <w:szCs w:val="22"/>
                <w:lang w:val="sr-Latn-RS"/>
              </w:rPr>
              <w:t>1464</w:t>
            </w:r>
          </w:p>
        </w:tc>
        <w:tc>
          <w:tcPr>
            <w:tcW w:w="1334" w:type="dxa"/>
            <w:tcBorders>
              <w:top w:val="single" w:sz="4" w:space="0" w:color="000000"/>
              <w:left w:val="single" w:sz="4" w:space="0" w:color="000000"/>
              <w:bottom w:val="single" w:sz="4" w:space="0" w:color="000000"/>
              <w:right w:val="single" w:sz="4" w:space="0" w:color="000000"/>
            </w:tcBorders>
            <w:vAlign w:val="center"/>
            <w:hideMark/>
          </w:tcPr>
          <w:p w14:paraId="2B5F2520" w14:textId="77777777" w:rsidR="00CC58AC" w:rsidRPr="00C262AC" w:rsidRDefault="00CC58AC" w:rsidP="00C02F5A">
            <w:pPr>
              <w:autoSpaceDE w:val="0"/>
              <w:autoSpaceDN w:val="0"/>
              <w:adjustRightInd w:val="0"/>
              <w:jc w:val="center"/>
              <w:rPr>
                <w:rFonts w:eastAsia="TimesNewRoman"/>
                <w:sz w:val="22"/>
                <w:szCs w:val="22"/>
                <w:lang w:val="sr-Latn-RS"/>
              </w:rPr>
            </w:pPr>
            <w:r w:rsidRPr="00C262AC">
              <w:rPr>
                <w:sz w:val="22"/>
                <w:szCs w:val="22"/>
              </w:rPr>
              <w:t>249</w:t>
            </w:r>
          </w:p>
        </w:tc>
        <w:tc>
          <w:tcPr>
            <w:tcW w:w="1321" w:type="dxa"/>
            <w:tcBorders>
              <w:top w:val="single" w:sz="2" w:space="0" w:color="000000"/>
              <w:left w:val="single" w:sz="4" w:space="0" w:color="auto"/>
              <w:bottom w:val="single" w:sz="2" w:space="0" w:color="000000"/>
              <w:right w:val="single" w:sz="4" w:space="0" w:color="auto"/>
            </w:tcBorders>
            <w:vAlign w:val="center"/>
          </w:tcPr>
          <w:p w14:paraId="7C1FFBC9" w14:textId="77777777" w:rsidR="00CC58AC" w:rsidRPr="00C262AC" w:rsidRDefault="00CC58AC" w:rsidP="00C02F5A">
            <w:pPr>
              <w:autoSpaceDE w:val="0"/>
              <w:autoSpaceDN w:val="0"/>
              <w:adjustRightInd w:val="0"/>
              <w:jc w:val="center"/>
              <w:rPr>
                <w:rFonts w:eastAsia="TimesNewRoman"/>
                <w:sz w:val="22"/>
                <w:szCs w:val="22"/>
                <w:lang w:val="sr-Latn-RS"/>
              </w:rPr>
            </w:pPr>
          </w:p>
        </w:tc>
        <w:tc>
          <w:tcPr>
            <w:tcW w:w="1500" w:type="dxa"/>
            <w:tcBorders>
              <w:top w:val="single" w:sz="2" w:space="0" w:color="000000"/>
              <w:left w:val="single" w:sz="4" w:space="0" w:color="auto"/>
              <w:bottom w:val="single" w:sz="2" w:space="0" w:color="000000"/>
              <w:right w:val="single" w:sz="4" w:space="0" w:color="auto"/>
            </w:tcBorders>
            <w:vAlign w:val="center"/>
          </w:tcPr>
          <w:p w14:paraId="720B52F1" w14:textId="77777777" w:rsidR="00CC58AC" w:rsidRPr="00C262AC" w:rsidRDefault="00CC58AC" w:rsidP="00C02F5A">
            <w:pPr>
              <w:autoSpaceDE w:val="0"/>
              <w:autoSpaceDN w:val="0"/>
              <w:adjustRightInd w:val="0"/>
              <w:jc w:val="center"/>
              <w:rPr>
                <w:rFonts w:eastAsia="TimesNewRoman"/>
                <w:sz w:val="22"/>
                <w:szCs w:val="22"/>
                <w:lang w:val="sr-Latn-RS"/>
              </w:rPr>
            </w:pPr>
          </w:p>
        </w:tc>
        <w:tc>
          <w:tcPr>
            <w:tcW w:w="1171" w:type="dxa"/>
            <w:tcBorders>
              <w:top w:val="single" w:sz="2" w:space="0" w:color="000000"/>
              <w:left w:val="single" w:sz="4" w:space="0" w:color="auto"/>
              <w:bottom w:val="single" w:sz="2" w:space="0" w:color="000000"/>
              <w:right w:val="single" w:sz="4" w:space="0" w:color="auto"/>
            </w:tcBorders>
            <w:vAlign w:val="center"/>
          </w:tcPr>
          <w:p w14:paraId="3779CA62" w14:textId="77777777" w:rsidR="00CC58AC" w:rsidRPr="00C262AC" w:rsidRDefault="00CC58AC" w:rsidP="00C02F5A">
            <w:pPr>
              <w:autoSpaceDE w:val="0"/>
              <w:autoSpaceDN w:val="0"/>
              <w:adjustRightInd w:val="0"/>
              <w:jc w:val="center"/>
              <w:rPr>
                <w:rFonts w:eastAsia="TimesNewRoman"/>
                <w:sz w:val="22"/>
                <w:szCs w:val="22"/>
                <w:lang w:val="sr-Latn-RS"/>
              </w:rPr>
            </w:pPr>
          </w:p>
        </w:tc>
      </w:tr>
      <w:tr w:rsidR="00CC58AC" w:rsidRPr="00C262AC" w14:paraId="44BBB1D2" w14:textId="77777777" w:rsidTr="00D01772">
        <w:trPr>
          <w:trHeight w:val="365"/>
        </w:trPr>
        <w:tc>
          <w:tcPr>
            <w:tcW w:w="9490" w:type="dxa"/>
            <w:gridSpan w:val="6"/>
            <w:tcBorders>
              <w:top w:val="single" w:sz="2" w:space="0" w:color="000000"/>
              <w:left w:val="single" w:sz="4" w:space="0" w:color="auto"/>
              <w:bottom w:val="single" w:sz="6" w:space="0" w:color="000000"/>
              <w:right w:val="single" w:sz="4" w:space="0" w:color="auto"/>
            </w:tcBorders>
            <w:hideMark/>
          </w:tcPr>
          <w:p w14:paraId="36D4BB24" w14:textId="77777777" w:rsidR="00CC58AC" w:rsidRPr="00C262AC" w:rsidRDefault="00CC58AC">
            <w:pPr>
              <w:spacing w:line="247" w:lineRule="auto"/>
              <w:ind w:left="-5" w:right="840" w:hanging="10"/>
              <w:jc w:val="both"/>
              <w:rPr>
                <w:color w:val="000000"/>
                <w:sz w:val="22"/>
                <w:szCs w:val="22"/>
                <w:lang w:val="sr-Latn-RS" w:eastAsia="sr-Latn-RS"/>
              </w:rPr>
            </w:pPr>
            <w:r w:rsidRPr="00C262AC">
              <w:rPr>
                <w:color w:val="000000"/>
                <w:sz w:val="22"/>
                <w:szCs w:val="22"/>
                <w:vertAlign w:val="superscript"/>
                <w:lang w:val="sr-Latn-RS" w:eastAsia="sr-Latn-RS"/>
              </w:rPr>
              <w:t>1</w:t>
            </w:r>
            <w:r w:rsidRPr="00C262AC">
              <w:rPr>
                <w:color w:val="000000"/>
                <w:sz w:val="22"/>
                <w:szCs w:val="22"/>
                <w:lang w:val="sr-Latn-RS" w:eastAsia="sr-Latn-RS"/>
              </w:rPr>
              <w:t xml:space="preserve"> Definisano protokolom, uključujući drugi primarni malignitet (ali ne karcinom dojke), nakon prelaska /nakon dvije godine</w:t>
            </w:r>
          </w:p>
          <w:p w14:paraId="1A1C24C7" w14:textId="77777777" w:rsidR="00CC58AC" w:rsidRPr="00C262AC" w:rsidRDefault="00CC58AC">
            <w:pPr>
              <w:spacing w:line="256" w:lineRule="auto"/>
              <w:jc w:val="both"/>
              <w:rPr>
                <w:rFonts w:eastAsia="TimesNewRoman"/>
                <w:sz w:val="22"/>
                <w:szCs w:val="22"/>
                <w:lang w:val="sr-Latn-RS"/>
              </w:rPr>
            </w:pPr>
            <w:r w:rsidRPr="00C262AC">
              <w:rPr>
                <w:color w:val="000000"/>
                <w:sz w:val="22"/>
                <w:szCs w:val="22"/>
                <w:vertAlign w:val="superscript"/>
                <w:lang w:val="sr-Latn-RS" w:eastAsia="sr-Latn-RS"/>
              </w:rPr>
              <w:t>2</w:t>
            </w:r>
            <w:r w:rsidRPr="00C262AC">
              <w:rPr>
                <w:color w:val="000000"/>
                <w:sz w:val="22"/>
                <w:szCs w:val="22"/>
                <w:lang w:val="sr-Latn-RS" w:eastAsia="sr-Latn-RS"/>
              </w:rPr>
              <w:t xml:space="preserve"> Prilagođeno na osnovu primjene hemioterapije</w:t>
            </w:r>
          </w:p>
        </w:tc>
      </w:tr>
    </w:tbl>
    <w:p w14:paraId="6FC0CC3B" w14:textId="77777777" w:rsidR="008707A6" w:rsidRPr="00C262AC" w:rsidRDefault="008707A6">
      <w:pPr>
        <w:autoSpaceDE w:val="0"/>
        <w:autoSpaceDN w:val="0"/>
        <w:adjustRightInd w:val="0"/>
        <w:jc w:val="both"/>
        <w:rPr>
          <w:rFonts w:eastAsia="TimesNewRoman"/>
          <w:sz w:val="22"/>
          <w:szCs w:val="22"/>
          <w:lang w:val="sr-Latn-RS"/>
        </w:rPr>
      </w:pPr>
    </w:p>
    <w:p w14:paraId="5267DD28" w14:textId="76A7B06F"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Nije bilo značajne razlike u DFS, OS, SDFS ili DDFS u bilo kojoj STA randomiziranih uporednih komparacija (Tabela 7).</w:t>
      </w:r>
    </w:p>
    <w:p w14:paraId="1A288604" w14:textId="77777777" w:rsidR="00CC58AC" w:rsidRPr="00C262AC" w:rsidRDefault="00CC58AC">
      <w:pPr>
        <w:autoSpaceDE w:val="0"/>
        <w:autoSpaceDN w:val="0"/>
        <w:adjustRightInd w:val="0"/>
        <w:jc w:val="both"/>
        <w:rPr>
          <w:rFonts w:eastAsia="TimesNewRoman"/>
          <w:sz w:val="22"/>
          <w:szCs w:val="22"/>
          <w:lang w:val="sr-Latn-RS"/>
        </w:rPr>
      </w:pPr>
    </w:p>
    <w:p w14:paraId="759C2CC2" w14:textId="77777777" w:rsidR="008707A6" w:rsidRPr="00C262AC" w:rsidRDefault="008707A6">
      <w:pPr>
        <w:pStyle w:val="NormalWeb"/>
        <w:spacing w:before="0" w:beforeAutospacing="0" w:after="0" w:afterAutospacing="0"/>
        <w:jc w:val="both"/>
        <w:rPr>
          <w:rFonts w:eastAsia="TimesNewRoman,Bold"/>
          <w:bCs/>
          <w:sz w:val="22"/>
          <w:szCs w:val="22"/>
          <w:lang w:val="sr-Latn-RS"/>
        </w:rPr>
      </w:pPr>
      <w:r w:rsidRPr="00C262AC">
        <w:rPr>
          <w:rFonts w:eastAsia="TimesNewRoman,Bold"/>
          <w:b/>
          <w:bCs/>
          <w:sz w:val="22"/>
          <w:szCs w:val="22"/>
          <w:lang w:val="sr-Latn-RS"/>
        </w:rPr>
        <w:t xml:space="preserve">Tabela 7. </w:t>
      </w:r>
      <w:r w:rsidRPr="00C262AC">
        <w:rPr>
          <w:bCs/>
          <w:noProof/>
          <w:sz w:val="22"/>
          <w:szCs w:val="22"/>
          <w:lang w:val="sr-Latn-RS"/>
        </w:rPr>
        <w:t>STA</w:t>
      </w:r>
      <w:r w:rsidRPr="00C262AC">
        <w:rPr>
          <w:iCs/>
          <w:sz w:val="22"/>
          <w:szCs w:val="22"/>
          <w:lang w:val="sr-Latn-RS"/>
        </w:rPr>
        <w:t xml:space="preserve"> </w:t>
      </w:r>
      <w:r w:rsidRPr="00C262AC">
        <w:rPr>
          <w:rFonts w:eastAsia="TimesNewRoman,Bold"/>
          <w:bCs/>
          <w:sz w:val="22"/>
          <w:szCs w:val="22"/>
          <w:lang w:val="sr-Latn-RS"/>
        </w:rPr>
        <w:t xml:space="preserve">randomiziranog (STA-R) </w:t>
      </w:r>
      <w:r w:rsidRPr="00C262AC">
        <w:rPr>
          <w:noProof/>
          <w:sz w:val="22"/>
          <w:szCs w:val="22"/>
          <w:lang w:val="sr-Latn-RS"/>
        </w:rPr>
        <w:t>preživljvanja bez bolesti</w:t>
      </w:r>
      <w:r w:rsidRPr="00C262AC">
        <w:rPr>
          <w:b/>
          <w:noProof/>
          <w:sz w:val="22"/>
          <w:szCs w:val="22"/>
          <w:lang w:val="sr-Latn-RS"/>
        </w:rPr>
        <w:t xml:space="preserve"> </w:t>
      </w:r>
      <w:r w:rsidRPr="00C262AC">
        <w:rPr>
          <w:rFonts w:eastAsia="TimesNewRoman,Bold"/>
          <w:bCs/>
          <w:sz w:val="22"/>
          <w:szCs w:val="22"/>
          <w:lang w:val="sr-Latn-RS"/>
        </w:rPr>
        <w:t>(ITT STA-R populacija)</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4"/>
        <w:gridCol w:w="2693"/>
        <w:gridCol w:w="1418"/>
      </w:tblGrid>
      <w:tr w:rsidR="008707A6" w:rsidRPr="00C262AC" w14:paraId="05A57A21" w14:textId="77777777" w:rsidTr="008707A6">
        <w:tc>
          <w:tcPr>
            <w:tcW w:w="5353" w:type="dxa"/>
            <w:tcBorders>
              <w:top w:val="single" w:sz="4" w:space="0" w:color="auto"/>
              <w:left w:val="single" w:sz="4" w:space="0" w:color="auto"/>
              <w:bottom w:val="single" w:sz="4" w:space="0" w:color="auto"/>
              <w:right w:val="single" w:sz="4" w:space="0" w:color="auto"/>
            </w:tcBorders>
          </w:tcPr>
          <w:p w14:paraId="036DF788" w14:textId="77777777" w:rsidR="008707A6" w:rsidRPr="00C262AC" w:rsidRDefault="008707A6">
            <w:pPr>
              <w:spacing w:after="120"/>
              <w:jc w:val="both"/>
              <w:rPr>
                <w:sz w:val="22"/>
                <w:szCs w:val="22"/>
                <w:lang w:val="sr-Latn-RS" w:eastAsia="en-GB"/>
              </w:rPr>
            </w:pPr>
          </w:p>
        </w:tc>
        <w:tc>
          <w:tcPr>
            <w:tcW w:w="2693" w:type="dxa"/>
            <w:tcBorders>
              <w:top w:val="single" w:sz="4" w:space="0" w:color="auto"/>
              <w:left w:val="single" w:sz="4" w:space="0" w:color="auto"/>
              <w:bottom w:val="single" w:sz="4" w:space="0" w:color="auto"/>
              <w:right w:val="single" w:sz="4" w:space="0" w:color="auto"/>
            </w:tcBorders>
            <w:hideMark/>
          </w:tcPr>
          <w:p w14:paraId="2CBDC2FF" w14:textId="77777777" w:rsidR="008707A6" w:rsidRPr="00C262AC" w:rsidRDefault="008707A6">
            <w:pPr>
              <w:spacing w:after="120"/>
              <w:jc w:val="both"/>
              <w:rPr>
                <w:sz w:val="22"/>
                <w:szCs w:val="22"/>
                <w:lang w:val="sr-Latn-RS" w:eastAsia="en-GB"/>
              </w:rPr>
            </w:pPr>
            <w:r w:rsidRPr="00C262AC">
              <w:rPr>
                <w:bCs/>
                <w:sz w:val="22"/>
                <w:szCs w:val="22"/>
                <w:lang w:val="sr-Latn-RS" w:eastAsia="pl-PL"/>
              </w:rPr>
              <w:t>Letrozol →Tamoksifen</w:t>
            </w:r>
          </w:p>
        </w:tc>
        <w:tc>
          <w:tcPr>
            <w:tcW w:w="1418" w:type="dxa"/>
            <w:tcBorders>
              <w:top w:val="single" w:sz="4" w:space="0" w:color="auto"/>
              <w:left w:val="single" w:sz="4" w:space="0" w:color="auto"/>
              <w:bottom w:val="single" w:sz="4" w:space="0" w:color="auto"/>
              <w:right w:val="single" w:sz="4" w:space="0" w:color="auto"/>
            </w:tcBorders>
            <w:hideMark/>
          </w:tcPr>
          <w:p w14:paraId="06EE7905" w14:textId="77777777" w:rsidR="008707A6" w:rsidRPr="00C262AC" w:rsidRDefault="008707A6">
            <w:pPr>
              <w:spacing w:after="120"/>
              <w:jc w:val="both"/>
              <w:rPr>
                <w:sz w:val="22"/>
                <w:szCs w:val="22"/>
                <w:lang w:val="sr-Latn-RS" w:eastAsia="en-GB"/>
              </w:rPr>
            </w:pPr>
            <w:r w:rsidRPr="00C262AC">
              <w:rPr>
                <w:bCs/>
                <w:sz w:val="22"/>
                <w:szCs w:val="22"/>
                <w:lang w:val="sr-Latn-RS" w:eastAsia="pl-PL"/>
              </w:rPr>
              <w:t xml:space="preserve">Letrozol </w:t>
            </w:r>
          </w:p>
        </w:tc>
      </w:tr>
      <w:tr w:rsidR="008707A6" w:rsidRPr="00C262AC" w14:paraId="088147A1" w14:textId="77777777" w:rsidTr="008707A6">
        <w:tc>
          <w:tcPr>
            <w:tcW w:w="5353" w:type="dxa"/>
            <w:vMerge w:val="restart"/>
            <w:tcBorders>
              <w:top w:val="single" w:sz="4" w:space="0" w:color="auto"/>
              <w:left w:val="single" w:sz="4" w:space="0" w:color="auto"/>
              <w:bottom w:val="single" w:sz="4" w:space="0" w:color="auto"/>
              <w:right w:val="single" w:sz="4" w:space="0" w:color="auto"/>
            </w:tcBorders>
            <w:hideMark/>
          </w:tcPr>
          <w:p w14:paraId="384AF824" w14:textId="77777777" w:rsidR="008707A6" w:rsidRPr="00C262AC" w:rsidRDefault="008707A6">
            <w:pPr>
              <w:pBdr>
                <w:right w:val="single" w:sz="4" w:space="4" w:color="auto"/>
              </w:pBdr>
              <w:autoSpaceDE w:val="0"/>
              <w:autoSpaceDN w:val="0"/>
              <w:adjustRightInd w:val="0"/>
              <w:jc w:val="both"/>
              <w:rPr>
                <w:sz w:val="22"/>
                <w:szCs w:val="22"/>
                <w:lang w:val="sr-Latn-RS" w:eastAsia="pl-PL"/>
              </w:rPr>
            </w:pPr>
            <w:r w:rsidRPr="00C262AC">
              <w:rPr>
                <w:sz w:val="22"/>
                <w:szCs w:val="22"/>
                <w:lang w:val="sr-Latn-RS" w:eastAsia="pl-PL"/>
              </w:rPr>
              <w:t>Broj pacijenata</w:t>
            </w:r>
          </w:p>
          <w:p w14:paraId="2F1E40BD" w14:textId="77777777" w:rsidR="008707A6" w:rsidRPr="00C262AC" w:rsidRDefault="008707A6">
            <w:pPr>
              <w:pBdr>
                <w:right w:val="single" w:sz="4" w:space="4" w:color="auto"/>
              </w:pBdr>
              <w:autoSpaceDE w:val="0"/>
              <w:autoSpaceDN w:val="0"/>
              <w:adjustRightInd w:val="0"/>
              <w:jc w:val="both"/>
              <w:rPr>
                <w:sz w:val="22"/>
                <w:szCs w:val="22"/>
                <w:lang w:val="sr-Latn-RS" w:eastAsia="pl-PL"/>
              </w:rPr>
            </w:pPr>
            <w:r w:rsidRPr="00C262AC">
              <w:rPr>
                <w:sz w:val="22"/>
                <w:szCs w:val="22"/>
                <w:lang w:val="sr-Latn-RS" w:eastAsia="pl-PL"/>
              </w:rPr>
              <w:t xml:space="preserve">Broj pacijenata sa DFS događajima (definisano prema protokolu) </w:t>
            </w:r>
          </w:p>
          <w:p w14:paraId="36A66D53" w14:textId="77777777" w:rsidR="008707A6" w:rsidRPr="00C262AC" w:rsidRDefault="008707A6">
            <w:pPr>
              <w:pBdr>
                <w:right w:val="single" w:sz="4" w:space="4" w:color="auto"/>
              </w:pBdr>
              <w:spacing w:after="120"/>
              <w:jc w:val="both"/>
              <w:rPr>
                <w:sz w:val="22"/>
                <w:szCs w:val="22"/>
                <w:lang w:val="sr-Latn-RS" w:eastAsia="en-GB"/>
              </w:rPr>
            </w:pPr>
            <w:r w:rsidRPr="00C262AC">
              <w:rPr>
                <w:sz w:val="22"/>
                <w:szCs w:val="22"/>
                <w:lang w:val="sr-Latn-RS" w:eastAsia="pl-PL"/>
              </w:rPr>
              <w:t>Stepen rizika</w:t>
            </w:r>
            <w:r w:rsidRPr="00C262AC">
              <w:rPr>
                <w:sz w:val="22"/>
                <w:szCs w:val="22"/>
                <w:vertAlign w:val="superscript"/>
                <w:lang w:val="sr-Latn-RS" w:eastAsia="pl-PL"/>
              </w:rPr>
              <w:t>1</w:t>
            </w:r>
            <w:r w:rsidRPr="00C262AC">
              <w:rPr>
                <w:sz w:val="22"/>
                <w:szCs w:val="22"/>
                <w:lang w:val="sr-Latn-RS" w:eastAsia="pl-PL"/>
              </w:rPr>
              <w:t xml:space="preserve"> (99% CI)</w:t>
            </w:r>
          </w:p>
        </w:tc>
        <w:tc>
          <w:tcPr>
            <w:tcW w:w="2693" w:type="dxa"/>
            <w:tcBorders>
              <w:top w:val="single" w:sz="4" w:space="0" w:color="auto"/>
              <w:left w:val="single" w:sz="4" w:space="0" w:color="auto"/>
              <w:bottom w:val="nil"/>
              <w:right w:val="single" w:sz="4" w:space="0" w:color="auto"/>
            </w:tcBorders>
            <w:vAlign w:val="center"/>
            <w:hideMark/>
          </w:tcPr>
          <w:p w14:paraId="29BCDAC0" w14:textId="77777777" w:rsidR="008707A6" w:rsidRPr="00C262AC" w:rsidRDefault="008707A6" w:rsidP="009C1FC7">
            <w:pPr>
              <w:jc w:val="both"/>
              <w:rPr>
                <w:sz w:val="22"/>
                <w:szCs w:val="22"/>
                <w:lang w:val="sr-Latn-RS" w:eastAsia="pl-PL"/>
              </w:rPr>
            </w:pPr>
            <w:r w:rsidRPr="00C262AC">
              <w:rPr>
                <w:sz w:val="22"/>
                <w:szCs w:val="22"/>
                <w:lang w:val="sr-Latn-RS" w:eastAsia="pl-PL"/>
              </w:rPr>
              <w:t>1540</w:t>
            </w:r>
          </w:p>
          <w:p w14:paraId="4D20CA2C" w14:textId="77777777" w:rsidR="008707A6" w:rsidRPr="00C262AC" w:rsidRDefault="008707A6">
            <w:pPr>
              <w:jc w:val="both"/>
              <w:rPr>
                <w:sz w:val="22"/>
                <w:szCs w:val="22"/>
                <w:lang w:val="sr-Latn-RS" w:eastAsia="pl-PL"/>
              </w:rPr>
            </w:pPr>
            <w:r w:rsidRPr="00C262AC">
              <w:rPr>
                <w:color w:val="000000"/>
                <w:sz w:val="22"/>
                <w:szCs w:val="22"/>
                <w:lang w:val="sr-Latn-RS" w:eastAsia="sr-Latn-RS"/>
              </w:rPr>
              <w:t>330</w:t>
            </w:r>
          </w:p>
        </w:tc>
        <w:tc>
          <w:tcPr>
            <w:tcW w:w="1418" w:type="dxa"/>
            <w:tcBorders>
              <w:top w:val="single" w:sz="4" w:space="0" w:color="auto"/>
              <w:left w:val="single" w:sz="4" w:space="0" w:color="auto"/>
              <w:bottom w:val="nil"/>
              <w:right w:val="single" w:sz="4" w:space="0" w:color="auto"/>
            </w:tcBorders>
            <w:vAlign w:val="center"/>
            <w:hideMark/>
          </w:tcPr>
          <w:p w14:paraId="7DF8CC54" w14:textId="77777777" w:rsidR="008707A6" w:rsidRPr="00C262AC" w:rsidRDefault="008707A6" w:rsidP="009C1FC7">
            <w:pPr>
              <w:jc w:val="both"/>
              <w:rPr>
                <w:sz w:val="22"/>
                <w:szCs w:val="22"/>
                <w:lang w:val="sr-Latn-RS" w:eastAsia="pl-PL"/>
              </w:rPr>
            </w:pPr>
            <w:r w:rsidRPr="00C262AC">
              <w:rPr>
                <w:sz w:val="22"/>
                <w:szCs w:val="22"/>
                <w:lang w:val="sr-Latn-RS" w:eastAsia="pl-PL"/>
              </w:rPr>
              <w:t>1546</w:t>
            </w:r>
          </w:p>
          <w:p w14:paraId="4CC3A442" w14:textId="77777777" w:rsidR="008707A6" w:rsidRPr="00C262AC" w:rsidRDefault="008707A6">
            <w:pPr>
              <w:jc w:val="both"/>
              <w:rPr>
                <w:sz w:val="22"/>
                <w:szCs w:val="22"/>
                <w:lang w:val="sr-Latn-RS" w:eastAsia="en-GB"/>
              </w:rPr>
            </w:pPr>
            <w:r w:rsidRPr="00C262AC">
              <w:rPr>
                <w:color w:val="000000"/>
                <w:sz w:val="22"/>
                <w:szCs w:val="22"/>
                <w:lang w:val="sr-Latn-RS" w:eastAsia="sr-Latn-RS"/>
              </w:rPr>
              <w:t>319</w:t>
            </w:r>
          </w:p>
        </w:tc>
      </w:tr>
      <w:tr w:rsidR="008707A6" w:rsidRPr="00C262AC" w14:paraId="0357811C" w14:textId="77777777" w:rsidTr="00C02F5A">
        <w:tc>
          <w:tcPr>
            <w:tcW w:w="9464" w:type="dxa"/>
            <w:vMerge/>
            <w:tcBorders>
              <w:top w:val="single" w:sz="4" w:space="0" w:color="auto"/>
              <w:left w:val="single" w:sz="4" w:space="0" w:color="auto"/>
              <w:bottom w:val="single" w:sz="4" w:space="0" w:color="auto"/>
              <w:right w:val="single" w:sz="4" w:space="0" w:color="auto"/>
            </w:tcBorders>
            <w:vAlign w:val="center"/>
            <w:hideMark/>
          </w:tcPr>
          <w:p w14:paraId="62A5A22F" w14:textId="77777777" w:rsidR="008707A6" w:rsidRPr="00C262AC" w:rsidRDefault="008707A6" w:rsidP="00C02F5A">
            <w:pPr>
              <w:jc w:val="both"/>
              <w:rPr>
                <w:sz w:val="22"/>
                <w:szCs w:val="22"/>
                <w:lang w:val="sr-Latn-RS" w:eastAsia="en-GB"/>
              </w:rPr>
            </w:pPr>
          </w:p>
        </w:tc>
        <w:tc>
          <w:tcPr>
            <w:tcW w:w="4111" w:type="dxa"/>
            <w:gridSpan w:val="2"/>
            <w:tcBorders>
              <w:top w:val="nil"/>
              <w:left w:val="single" w:sz="4" w:space="0" w:color="auto"/>
              <w:bottom w:val="single" w:sz="4" w:space="0" w:color="auto"/>
              <w:right w:val="single" w:sz="4" w:space="0" w:color="auto"/>
            </w:tcBorders>
            <w:vAlign w:val="center"/>
            <w:hideMark/>
          </w:tcPr>
          <w:p w14:paraId="074BD5D8" w14:textId="3E85F41D" w:rsidR="008707A6" w:rsidRPr="00C262AC" w:rsidRDefault="008707A6" w:rsidP="009C1FC7">
            <w:pPr>
              <w:spacing w:after="120"/>
              <w:rPr>
                <w:sz w:val="22"/>
                <w:szCs w:val="22"/>
                <w:lang w:val="sr-Latn-RS" w:eastAsia="en-GB"/>
              </w:rPr>
            </w:pPr>
            <w:r w:rsidRPr="00C262AC">
              <w:rPr>
                <w:color w:val="000000"/>
                <w:sz w:val="22"/>
                <w:szCs w:val="22"/>
                <w:lang w:val="sr-Latn-RS" w:eastAsia="sr-Latn-RS"/>
              </w:rPr>
              <w:t>1,04 (0,85, 1,27)</w:t>
            </w:r>
          </w:p>
        </w:tc>
      </w:tr>
      <w:tr w:rsidR="008707A6" w:rsidRPr="00C262AC" w14:paraId="75F78515" w14:textId="77777777" w:rsidTr="008707A6">
        <w:tc>
          <w:tcPr>
            <w:tcW w:w="5353" w:type="dxa"/>
            <w:tcBorders>
              <w:top w:val="single" w:sz="4" w:space="0" w:color="auto"/>
              <w:left w:val="single" w:sz="4" w:space="0" w:color="auto"/>
              <w:bottom w:val="single" w:sz="4" w:space="0" w:color="auto"/>
              <w:right w:val="single" w:sz="4" w:space="0" w:color="auto"/>
            </w:tcBorders>
          </w:tcPr>
          <w:p w14:paraId="4F00C725" w14:textId="77777777" w:rsidR="008707A6" w:rsidRPr="00C262AC" w:rsidRDefault="008707A6">
            <w:pPr>
              <w:spacing w:after="120"/>
              <w:jc w:val="both"/>
              <w:rPr>
                <w:sz w:val="22"/>
                <w:szCs w:val="22"/>
                <w:lang w:val="sr-Latn-RS" w:eastAsia="en-GB"/>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BE4A437" w14:textId="77777777" w:rsidR="008707A6" w:rsidRPr="00C262AC" w:rsidRDefault="008707A6">
            <w:pPr>
              <w:spacing w:after="120"/>
              <w:jc w:val="both"/>
              <w:rPr>
                <w:sz w:val="22"/>
                <w:szCs w:val="22"/>
                <w:lang w:val="sr-Latn-RS" w:eastAsia="en-GB"/>
              </w:rPr>
            </w:pPr>
            <w:r w:rsidRPr="00C262AC">
              <w:rPr>
                <w:bCs/>
                <w:sz w:val="22"/>
                <w:szCs w:val="22"/>
                <w:lang w:val="sr-Latn-RS" w:eastAsia="pl-PL"/>
              </w:rPr>
              <w:t>Letrozol →Tamoksifen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7CC0A6" w14:textId="77777777" w:rsidR="008707A6" w:rsidRPr="00C262AC" w:rsidRDefault="008707A6">
            <w:pPr>
              <w:spacing w:after="120"/>
              <w:jc w:val="both"/>
              <w:rPr>
                <w:sz w:val="22"/>
                <w:szCs w:val="22"/>
                <w:lang w:val="sr-Latn-RS" w:eastAsia="en-GB"/>
              </w:rPr>
            </w:pPr>
            <w:r w:rsidRPr="00C262AC">
              <w:rPr>
                <w:bCs/>
                <w:sz w:val="22"/>
                <w:szCs w:val="22"/>
                <w:lang w:val="sr-Latn-RS" w:eastAsia="pl-PL"/>
              </w:rPr>
              <w:t>Tamoksifen</w:t>
            </w:r>
            <w:r w:rsidRPr="00C262AC">
              <w:rPr>
                <w:bCs/>
                <w:sz w:val="22"/>
                <w:szCs w:val="22"/>
                <w:vertAlign w:val="superscript"/>
                <w:lang w:val="sr-Latn-RS" w:eastAsia="pl-PL"/>
              </w:rPr>
              <w:t>2</w:t>
            </w:r>
          </w:p>
        </w:tc>
      </w:tr>
      <w:tr w:rsidR="008707A6" w:rsidRPr="00C262AC" w14:paraId="4495DC2D" w14:textId="77777777" w:rsidTr="008707A6">
        <w:tc>
          <w:tcPr>
            <w:tcW w:w="5353" w:type="dxa"/>
            <w:vMerge w:val="restart"/>
            <w:tcBorders>
              <w:top w:val="single" w:sz="4" w:space="0" w:color="auto"/>
              <w:left w:val="single" w:sz="4" w:space="0" w:color="auto"/>
              <w:bottom w:val="single" w:sz="4" w:space="0" w:color="auto"/>
              <w:right w:val="single" w:sz="4" w:space="0" w:color="auto"/>
            </w:tcBorders>
            <w:hideMark/>
          </w:tcPr>
          <w:p w14:paraId="33B95C3C" w14:textId="77777777" w:rsidR="008707A6" w:rsidRPr="00C262AC" w:rsidRDefault="008707A6">
            <w:pPr>
              <w:pBdr>
                <w:right w:val="single" w:sz="4" w:space="4" w:color="auto"/>
              </w:pBdr>
              <w:autoSpaceDE w:val="0"/>
              <w:autoSpaceDN w:val="0"/>
              <w:adjustRightInd w:val="0"/>
              <w:jc w:val="both"/>
              <w:rPr>
                <w:sz w:val="22"/>
                <w:szCs w:val="22"/>
                <w:lang w:val="sr-Latn-RS" w:eastAsia="pl-PL"/>
              </w:rPr>
            </w:pPr>
            <w:r w:rsidRPr="00C262AC">
              <w:rPr>
                <w:sz w:val="22"/>
                <w:szCs w:val="22"/>
                <w:lang w:val="sr-Latn-RS" w:eastAsia="pl-PL"/>
              </w:rPr>
              <w:t>Broj pacijenata</w:t>
            </w:r>
          </w:p>
          <w:p w14:paraId="691428F6" w14:textId="27A49D29" w:rsidR="008707A6" w:rsidRPr="00C262AC" w:rsidRDefault="008707A6">
            <w:pPr>
              <w:pBdr>
                <w:right w:val="single" w:sz="4" w:space="4" w:color="auto"/>
              </w:pBdr>
              <w:autoSpaceDE w:val="0"/>
              <w:autoSpaceDN w:val="0"/>
              <w:adjustRightInd w:val="0"/>
              <w:jc w:val="both"/>
              <w:rPr>
                <w:sz w:val="22"/>
                <w:szCs w:val="22"/>
                <w:lang w:val="sr-Latn-RS" w:eastAsia="pl-PL"/>
              </w:rPr>
            </w:pPr>
            <w:r w:rsidRPr="00C262AC">
              <w:rPr>
                <w:sz w:val="22"/>
                <w:szCs w:val="22"/>
                <w:lang w:val="sr-Latn-RS" w:eastAsia="pl-PL"/>
              </w:rPr>
              <w:lastRenderedPageBreak/>
              <w:t xml:space="preserve">Broj pacijenata sa DFS događajima (definisano prema protokolu) </w:t>
            </w:r>
          </w:p>
          <w:p w14:paraId="457443ED" w14:textId="77777777" w:rsidR="008707A6" w:rsidRPr="00C262AC" w:rsidRDefault="008707A6">
            <w:pPr>
              <w:spacing w:after="120"/>
              <w:jc w:val="both"/>
              <w:rPr>
                <w:sz w:val="22"/>
                <w:szCs w:val="22"/>
                <w:lang w:val="sr-Latn-RS" w:eastAsia="en-GB"/>
              </w:rPr>
            </w:pPr>
            <w:r w:rsidRPr="00C262AC">
              <w:rPr>
                <w:sz w:val="22"/>
                <w:szCs w:val="22"/>
                <w:lang w:val="sr-Latn-RS" w:eastAsia="pl-PL"/>
              </w:rPr>
              <w:t>Stepen rizika</w:t>
            </w:r>
            <w:r w:rsidRPr="00C262AC">
              <w:rPr>
                <w:sz w:val="22"/>
                <w:szCs w:val="22"/>
                <w:vertAlign w:val="superscript"/>
                <w:lang w:val="sr-Latn-RS" w:eastAsia="pl-PL"/>
              </w:rPr>
              <w:t>1</w:t>
            </w:r>
            <w:r w:rsidRPr="00C262AC">
              <w:rPr>
                <w:sz w:val="22"/>
                <w:szCs w:val="22"/>
                <w:lang w:val="sr-Latn-RS" w:eastAsia="pl-PL"/>
              </w:rPr>
              <w:t xml:space="preserve"> (99% CI)</w:t>
            </w:r>
          </w:p>
        </w:tc>
        <w:tc>
          <w:tcPr>
            <w:tcW w:w="2693" w:type="dxa"/>
            <w:tcBorders>
              <w:top w:val="single" w:sz="4" w:space="0" w:color="auto"/>
              <w:left w:val="single" w:sz="4" w:space="0" w:color="auto"/>
              <w:bottom w:val="nil"/>
              <w:right w:val="single" w:sz="4" w:space="0" w:color="auto"/>
            </w:tcBorders>
            <w:vAlign w:val="center"/>
            <w:hideMark/>
          </w:tcPr>
          <w:p w14:paraId="185EBDC8" w14:textId="77777777" w:rsidR="008707A6" w:rsidRPr="00C262AC" w:rsidRDefault="008707A6">
            <w:pPr>
              <w:jc w:val="both"/>
              <w:rPr>
                <w:sz w:val="22"/>
                <w:szCs w:val="22"/>
                <w:lang w:val="sr-Latn-RS" w:eastAsia="pl-PL"/>
              </w:rPr>
            </w:pPr>
            <w:r w:rsidRPr="00C262AC">
              <w:rPr>
                <w:sz w:val="22"/>
                <w:szCs w:val="22"/>
                <w:lang w:val="sr-Latn-RS" w:eastAsia="pl-PL"/>
              </w:rPr>
              <w:lastRenderedPageBreak/>
              <w:t>1540</w:t>
            </w:r>
          </w:p>
          <w:p w14:paraId="05A35D9A" w14:textId="77777777" w:rsidR="008707A6" w:rsidRPr="00C262AC" w:rsidRDefault="008707A6" w:rsidP="009C1FC7">
            <w:pPr>
              <w:spacing w:after="120"/>
              <w:jc w:val="both"/>
              <w:rPr>
                <w:b/>
                <w:bCs/>
                <w:sz w:val="22"/>
                <w:szCs w:val="22"/>
                <w:lang w:val="sr-Latn-RS" w:eastAsia="pl-PL"/>
              </w:rPr>
            </w:pPr>
            <w:r w:rsidRPr="00C262AC">
              <w:rPr>
                <w:color w:val="000000"/>
                <w:sz w:val="22"/>
                <w:szCs w:val="22"/>
                <w:lang w:val="sr-Latn-RS" w:eastAsia="sr-Latn-RS"/>
              </w:rPr>
              <w:t>330</w:t>
            </w:r>
          </w:p>
        </w:tc>
        <w:tc>
          <w:tcPr>
            <w:tcW w:w="1418" w:type="dxa"/>
            <w:tcBorders>
              <w:top w:val="single" w:sz="4" w:space="0" w:color="auto"/>
              <w:left w:val="single" w:sz="4" w:space="0" w:color="auto"/>
              <w:bottom w:val="nil"/>
              <w:right w:val="single" w:sz="4" w:space="0" w:color="auto"/>
            </w:tcBorders>
            <w:vAlign w:val="center"/>
            <w:hideMark/>
          </w:tcPr>
          <w:p w14:paraId="674A9C68" w14:textId="77777777" w:rsidR="008707A6" w:rsidRPr="00C262AC" w:rsidRDefault="008707A6">
            <w:pPr>
              <w:jc w:val="both"/>
              <w:rPr>
                <w:sz w:val="22"/>
                <w:szCs w:val="22"/>
                <w:lang w:val="sr-Latn-RS" w:eastAsia="pl-PL"/>
              </w:rPr>
            </w:pPr>
            <w:r w:rsidRPr="00C262AC">
              <w:rPr>
                <w:sz w:val="22"/>
                <w:szCs w:val="22"/>
                <w:lang w:val="sr-Latn-RS" w:eastAsia="pl-PL"/>
              </w:rPr>
              <w:t>1548</w:t>
            </w:r>
          </w:p>
          <w:p w14:paraId="345F3C37" w14:textId="77777777" w:rsidR="008707A6" w:rsidRPr="00C262AC" w:rsidRDefault="008707A6" w:rsidP="009C1FC7">
            <w:pPr>
              <w:spacing w:after="120"/>
              <w:jc w:val="both"/>
              <w:rPr>
                <w:b/>
                <w:bCs/>
                <w:sz w:val="22"/>
                <w:szCs w:val="22"/>
                <w:lang w:val="sr-Latn-RS" w:eastAsia="pl-PL"/>
              </w:rPr>
            </w:pPr>
            <w:r w:rsidRPr="00C262AC">
              <w:rPr>
                <w:color w:val="000000"/>
                <w:sz w:val="22"/>
                <w:szCs w:val="22"/>
                <w:lang w:val="sr-Latn-RS" w:eastAsia="sr-Latn-RS"/>
              </w:rPr>
              <w:t>353</w:t>
            </w:r>
          </w:p>
        </w:tc>
      </w:tr>
      <w:tr w:rsidR="008707A6" w:rsidRPr="00C262AC" w14:paraId="14C4CA06" w14:textId="77777777" w:rsidTr="00C02F5A">
        <w:tc>
          <w:tcPr>
            <w:tcW w:w="9464" w:type="dxa"/>
            <w:vMerge/>
            <w:tcBorders>
              <w:top w:val="single" w:sz="4" w:space="0" w:color="auto"/>
              <w:left w:val="single" w:sz="4" w:space="0" w:color="auto"/>
              <w:bottom w:val="single" w:sz="4" w:space="0" w:color="auto"/>
              <w:right w:val="single" w:sz="4" w:space="0" w:color="auto"/>
            </w:tcBorders>
            <w:vAlign w:val="center"/>
            <w:hideMark/>
          </w:tcPr>
          <w:p w14:paraId="442C8E27" w14:textId="77777777" w:rsidR="008707A6" w:rsidRPr="00C262AC" w:rsidRDefault="008707A6" w:rsidP="00C02F5A">
            <w:pPr>
              <w:jc w:val="both"/>
              <w:rPr>
                <w:sz w:val="22"/>
                <w:szCs w:val="22"/>
                <w:lang w:val="sr-Latn-RS" w:eastAsia="en-GB"/>
              </w:rPr>
            </w:pPr>
          </w:p>
        </w:tc>
        <w:tc>
          <w:tcPr>
            <w:tcW w:w="4111" w:type="dxa"/>
            <w:gridSpan w:val="2"/>
            <w:tcBorders>
              <w:top w:val="nil"/>
              <w:left w:val="single" w:sz="4" w:space="0" w:color="auto"/>
              <w:bottom w:val="nil"/>
              <w:right w:val="single" w:sz="4" w:space="0" w:color="auto"/>
            </w:tcBorders>
            <w:vAlign w:val="center"/>
            <w:hideMark/>
          </w:tcPr>
          <w:p w14:paraId="7C5645E8" w14:textId="633D4F34" w:rsidR="008707A6" w:rsidRPr="00C262AC" w:rsidRDefault="008707A6" w:rsidP="009C1FC7">
            <w:pPr>
              <w:spacing w:after="120"/>
              <w:rPr>
                <w:b/>
                <w:bCs/>
                <w:sz w:val="22"/>
                <w:szCs w:val="22"/>
                <w:lang w:val="sr-Latn-RS" w:eastAsia="pl-PL"/>
              </w:rPr>
            </w:pPr>
            <w:r w:rsidRPr="00C262AC">
              <w:rPr>
                <w:color w:val="000000"/>
                <w:sz w:val="22"/>
                <w:szCs w:val="22"/>
                <w:lang w:val="sr-Latn-RS" w:eastAsia="sr-Latn-RS"/>
              </w:rPr>
              <w:t>0,92 (0,75, 1,12)</w:t>
            </w:r>
          </w:p>
        </w:tc>
      </w:tr>
      <w:tr w:rsidR="008707A6" w:rsidRPr="00C262AC" w14:paraId="2DF32BC8" w14:textId="77777777" w:rsidTr="008707A6">
        <w:tc>
          <w:tcPr>
            <w:tcW w:w="9464" w:type="dxa"/>
            <w:gridSpan w:val="3"/>
            <w:tcBorders>
              <w:top w:val="single" w:sz="4" w:space="0" w:color="auto"/>
              <w:left w:val="single" w:sz="4" w:space="0" w:color="auto"/>
              <w:bottom w:val="single" w:sz="4" w:space="0" w:color="auto"/>
              <w:right w:val="single" w:sz="4" w:space="0" w:color="auto"/>
            </w:tcBorders>
            <w:hideMark/>
          </w:tcPr>
          <w:p w14:paraId="5C86FBA7" w14:textId="712DEB42" w:rsidR="008707A6" w:rsidRPr="00C262AC" w:rsidRDefault="008707A6">
            <w:pPr>
              <w:autoSpaceDE w:val="0"/>
              <w:autoSpaceDN w:val="0"/>
              <w:adjustRightInd w:val="0"/>
              <w:jc w:val="both"/>
              <w:rPr>
                <w:sz w:val="22"/>
                <w:szCs w:val="22"/>
                <w:lang w:val="sr-Latn-RS" w:eastAsia="pl-PL"/>
              </w:rPr>
            </w:pPr>
            <w:r w:rsidRPr="00C262AC">
              <w:rPr>
                <w:sz w:val="22"/>
                <w:szCs w:val="22"/>
                <w:vertAlign w:val="superscript"/>
                <w:lang w:val="sr-Latn-RS" w:eastAsia="pl-PL"/>
              </w:rPr>
              <w:t>1</w:t>
            </w:r>
            <w:r w:rsidR="005955AB" w:rsidRPr="00C262AC">
              <w:rPr>
                <w:sz w:val="22"/>
                <w:szCs w:val="22"/>
                <w:lang w:val="sr-Latn-RS" w:eastAsia="pl-PL"/>
              </w:rPr>
              <w:t xml:space="preserve"> </w:t>
            </w:r>
            <w:r w:rsidRPr="00C262AC">
              <w:rPr>
                <w:sz w:val="22"/>
                <w:szCs w:val="22"/>
                <w:lang w:val="sr-Latn-RS" w:eastAsia="pl-PL"/>
              </w:rPr>
              <w:t>Prilagođeno primjeni hemioterapije (da/ne)</w:t>
            </w:r>
          </w:p>
          <w:p w14:paraId="41712DB4" w14:textId="09A73A1E" w:rsidR="008707A6" w:rsidRPr="00C262AC" w:rsidRDefault="008707A6">
            <w:pPr>
              <w:spacing w:after="120"/>
              <w:jc w:val="both"/>
              <w:rPr>
                <w:sz w:val="22"/>
                <w:szCs w:val="22"/>
                <w:lang w:val="sr-Latn-RS" w:eastAsia="en-GB"/>
              </w:rPr>
            </w:pPr>
            <w:r w:rsidRPr="00C262AC">
              <w:rPr>
                <w:sz w:val="22"/>
                <w:szCs w:val="22"/>
                <w:vertAlign w:val="superscript"/>
                <w:lang w:val="sr-Latn-RS" w:eastAsia="pl-PL"/>
              </w:rPr>
              <w:t>2</w:t>
            </w:r>
            <w:r w:rsidRPr="00C262AC">
              <w:rPr>
                <w:sz w:val="22"/>
                <w:szCs w:val="22"/>
                <w:lang w:val="sr-Latn-RS" w:eastAsia="pl-PL"/>
              </w:rPr>
              <w:t xml:space="preserve"> 624 (40%) pacijenata </w:t>
            </w:r>
            <w:r w:rsidRPr="00C262AC">
              <w:rPr>
                <w:noProof/>
                <w:sz w:val="22"/>
                <w:szCs w:val="22"/>
                <w:lang w:val="sr-Latn-RS"/>
              </w:rPr>
              <w:t>koju su</w:t>
            </w:r>
            <w:r w:rsidRPr="00C262AC">
              <w:rPr>
                <w:sz w:val="22"/>
                <w:szCs w:val="22"/>
                <w:lang w:val="sr-Latn-RS" w:eastAsia="pl-PL"/>
              </w:rPr>
              <w:t xml:space="preserve"> selektivno prelazili na </w:t>
            </w:r>
            <w:r w:rsidRPr="00C262AC">
              <w:rPr>
                <w:noProof/>
                <w:sz w:val="22"/>
                <w:szCs w:val="22"/>
                <w:lang w:val="sr-Latn-RS"/>
              </w:rPr>
              <w:t>poslije terapije tamoksifenom poslije otkrivanja podataka u 2005. godini.</w:t>
            </w:r>
          </w:p>
        </w:tc>
      </w:tr>
    </w:tbl>
    <w:p w14:paraId="64E365E1" w14:textId="77777777" w:rsidR="008707A6" w:rsidRPr="00C262AC" w:rsidRDefault="008707A6">
      <w:pPr>
        <w:autoSpaceDE w:val="0"/>
        <w:autoSpaceDN w:val="0"/>
        <w:adjustRightInd w:val="0"/>
        <w:jc w:val="both"/>
        <w:rPr>
          <w:i/>
          <w:iCs/>
          <w:sz w:val="22"/>
          <w:szCs w:val="22"/>
          <w:lang w:val="sr-Latn-RS"/>
        </w:rPr>
      </w:pPr>
    </w:p>
    <w:p w14:paraId="02C85ADC" w14:textId="77777777" w:rsidR="008707A6" w:rsidRPr="00C262AC" w:rsidRDefault="008707A6">
      <w:pPr>
        <w:autoSpaceDE w:val="0"/>
        <w:autoSpaceDN w:val="0"/>
        <w:adjustRightInd w:val="0"/>
        <w:jc w:val="both"/>
        <w:rPr>
          <w:i/>
          <w:iCs/>
          <w:sz w:val="22"/>
          <w:szCs w:val="22"/>
          <w:lang w:val="sr-Latn-RS"/>
        </w:rPr>
      </w:pPr>
      <w:r w:rsidRPr="00C262AC">
        <w:rPr>
          <w:i/>
          <w:iCs/>
          <w:sz w:val="22"/>
          <w:szCs w:val="22"/>
          <w:lang w:val="sr-Latn-RS"/>
        </w:rPr>
        <w:t>Studija D2407</w:t>
      </w:r>
    </w:p>
    <w:p w14:paraId="5B524F89" w14:textId="77777777" w:rsidR="008707A6" w:rsidRPr="00C262AC" w:rsidRDefault="008707A6">
      <w:pPr>
        <w:autoSpaceDE w:val="0"/>
        <w:autoSpaceDN w:val="0"/>
        <w:adjustRightInd w:val="0"/>
        <w:jc w:val="both"/>
        <w:rPr>
          <w:i/>
          <w:iCs/>
          <w:sz w:val="22"/>
          <w:szCs w:val="22"/>
          <w:lang w:val="sr-Latn-RS"/>
        </w:rPr>
      </w:pPr>
    </w:p>
    <w:p w14:paraId="54ABC130" w14:textId="6F6D3D2E"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Studija D2407 je otvorena, randomizovana, multicentrična bezbjednosna studija, sprovedena nakon dobijanja</w:t>
      </w:r>
      <w:r w:rsidR="005955AB" w:rsidRPr="00C262AC">
        <w:rPr>
          <w:rFonts w:eastAsia="TimesNewRoman"/>
          <w:sz w:val="22"/>
          <w:szCs w:val="22"/>
          <w:lang w:val="sr-Latn-RS"/>
        </w:rPr>
        <w:t xml:space="preserve"> </w:t>
      </w:r>
      <w:r w:rsidRPr="00C262AC">
        <w:rPr>
          <w:rFonts w:eastAsia="TimesNewRoman"/>
          <w:sz w:val="22"/>
          <w:szCs w:val="22"/>
          <w:lang w:val="sr-Latn-RS"/>
        </w:rPr>
        <w:t>dozvole za lijek, dizajnirana tako da poredi efekte adjuvantne terapije letrozolom i tamoksifenom na gustinu koštane mase (BMD) i profile lipida u serumu. Ukupno 262 pacijenta je određeno da dobija ili letrozol tokom 5 godina ili tamoksifen tokom 2 godine, a nakon toga letrozol tokom 3 godine.</w:t>
      </w:r>
    </w:p>
    <w:p w14:paraId="5C1F4173" w14:textId="77777777" w:rsidR="008707A6" w:rsidRPr="00C262AC" w:rsidRDefault="008707A6">
      <w:pPr>
        <w:autoSpaceDE w:val="0"/>
        <w:autoSpaceDN w:val="0"/>
        <w:adjustRightInd w:val="0"/>
        <w:jc w:val="both"/>
        <w:rPr>
          <w:rFonts w:eastAsia="TimesNewRoman"/>
          <w:sz w:val="22"/>
          <w:szCs w:val="22"/>
          <w:lang w:val="sr-Latn-RS"/>
        </w:rPr>
      </w:pPr>
    </w:p>
    <w:p w14:paraId="361ED203" w14:textId="4CD0F4F6"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Nakon 24 mjeseca postojala je značajna statistička razlika u primarnom ishodu; BMD lumbalne kičme (L2- L4) pokazalo je medijanu </w:t>
      </w:r>
      <w:r w:rsidRPr="00C262AC">
        <w:rPr>
          <w:color w:val="000000"/>
          <w:sz w:val="22"/>
          <w:szCs w:val="22"/>
          <w:lang w:val="sr-Latn-RS" w:eastAsia="sr-Latn-RS"/>
        </w:rPr>
        <w:t xml:space="preserve">smanjenja </w:t>
      </w:r>
      <w:r w:rsidRPr="00C262AC">
        <w:rPr>
          <w:rFonts w:eastAsia="TimesNewRoman"/>
          <w:sz w:val="22"/>
          <w:szCs w:val="22"/>
          <w:lang w:val="sr-Latn-RS"/>
        </w:rPr>
        <w:t>od 4,1% za letrozol u odnosu na medijanu povećanja od 0,3% za</w:t>
      </w:r>
      <w:r w:rsidR="005955AB" w:rsidRPr="00C262AC">
        <w:rPr>
          <w:rFonts w:eastAsia="TimesNewRoman"/>
          <w:sz w:val="22"/>
          <w:szCs w:val="22"/>
          <w:lang w:val="sr-Latn-RS"/>
        </w:rPr>
        <w:t xml:space="preserve"> </w:t>
      </w:r>
      <w:r w:rsidRPr="00C262AC">
        <w:rPr>
          <w:rFonts w:eastAsia="TimesNewRoman"/>
          <w:sz w:val="22"/>
          <w:szCs w:val="22"/>
          <w:lang w:val="sr-Latn-RS"/>
        </w:rPr>
        <w:t>tamoksifen.</w:t>
      </w:r>
    </w:p>
    <w:p w14:paraId="576B92E2" w14:textId="77777777" w:rsidR="008707A6" w:rsidRPr="00C262AC" w:rsidRDefault="008707A6">
      <w:pPr>
        <w:autoSpaceDE w:val="0"/>
        <w:autoSpaceDN w:val="0"/>
        <w:adjustRightInd w:val="0"/>
        <w:jc w:val="both"/>
        <w:rPr>
          <w:rFonts w:eastAsia="TimesNewRoman"/>
          <w:sz w:val="22"/>
          <w:szCs w:val="22"/>
          <w:lang w:val="sr-Latn-RS"/>
        </w:rPr>
      </w:pPr>
    </w:p>
    <w:p w14:paraId="7542334C" w14:textId="29A7840A"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Nijedan pacijent sa normalnom BMD na početku terapije, nije razvio osteoporozu tokom 2 godine terapije i</w:t>
      </w:r>
      <w:r w:rsidR="005955AB" w:rsidRPr="00C262AC">
        <w:rPr>
          <w:rFonts w:eastAsia="TimesNewRoman"/>
          <w:sz w:val="22"/>
          <w:szCs w:val="22"/>
          <w:lang w:val="sr-Latn-RS"/>
        </w:rPr>
        <w:t xml:space="preserve"> </w:t>
      </w:r>
      <w:r w:rsidRPr="00C262AC">
        <w:rPr>
          <w:rFonts w:eastAsia="TimesNewRoman"/>
          <w:sz w:val="22"/>
          <w:szCs w:val="22"/>
          <w:lang w:val="sr-Latn-RS"/>
        </w:rPr>
        <w:t xml:space="preserve">samo jedan pacijent, koji je na početku </w:t>
      </w:r>
      <w:proofErr w:type="spellStart"/>
      <w:r w:rsidRPr="00C262AC">
        <w:rPr>
          <w:rFonts w:eastAsia="TimesNewRoman"/>
          <w:sz w:val="22"/>
          <w:szCs w:val="22"/>
          <w:lang w:val="sr-Latn-RS"/>
        </w:rPr>
        <w:t>liječenja</w:t>
      </w:r>
      <w:proofErr w:type="spellEnd"/>
      <w:r w:rsidRPr="00C262AC">
        <w:rPr>
          <w:rFonts w:eastAsia="TimesNewRoman"/>
          <w:sz w:val="22"/>
          <w:szCs w:val="22"/>
          <w:lang w:val="sr-Latn-RS"/>
        </w:rPr>
        <w:t xml:space="preserve"> imao </w:t>
      </w:r>
      <w:proofErr w:type="spellStart"/>
      <w:r w:rsidRPr="00C262AC">
        <w:rPr>
          <w:rFonts w:eastAsia="TimesNewRoman"/>
          <w:sz w:val="22"/>
          <w:szCs w:val="22"/>
          <w:lang w:val="sr-Latn-RS"/>
        </w:rPr>
        <w:t>osteopeniju</w:t>
      </w:r>
      <w:proofErr w:type="spellEnd"/>
      <w:r w:rsidRPr="00C262AC">
        <w:rPr>
          <w:rFonts w:eastAsia="TimesNewRoman"/>
          <w:sz w:val="22"/>
          <w:szCs w:val="22"/>
          <w:lang w:val="sr-Latn-RS"/>
        </w:rPr>
        <w:t xml:space="preserve"> (T skor -1,9), je razvio </w:t>
      </w:r>
      <w:proofErr w:type="spellStart"/>
      <w:r w:rsidRPr="00C262AC">
        <w:rPr>
          <w:rFonts w:eastAsia="TimesNewRoman"/>
          <w:sz w:val="22"/>
          <w:szCs w:val="22"/>
          <w:lang w:val="sr-Latn-RS"/>
        </w:rPr>
        <w:t>osteoporozu</w:t>
      </w:r>
      <w:proofErr w:type="spellEnd"/>
      <w:r w:rsidRPr="00C262AC">
        <w:rPr>
          <w:rFonts w:eastAsia="TimesNewRoman"/>
          <w:sz w:val="22"/>
          <w:szCs w:val="22"/>
          <w:lang w:val="sr-Latn-RS"/>
        </w:rPr>
        <w:t xml:space="preserve"> tokom</w:t>
      </w:r>
      <w:r w:rsidR="005955AB" w:rsidRPr="00C262AC">
        <w:rPr>
          <w:rFonts w:eastAsia="TimesNewRoman"/>
          <w:sz w:val="22"/>
          <w:szCs w:val="22"/>
          <w:lang w:val="sr-Latn-RS"/>
        </w:rPr>
        <w:t xml:space="preserve"> </w:t>
      </w:r>
      <w:r w:rsidRPr="00C262AC">
        <w:rPr>
          <w:rFonts w:eastAsia="TimesNewRoman"/>
          <w:sz w:val="22"/>
          <w:szCs w:val="22"/>
          <w:lang w:val="sr-Latn-RS"/>
        </w:rPr>
        <w:t xml:space="preserve">perioda </w:t>
      </w:r>
      <w:proofErr w:type="spellStart"/>
      <w:r w:rsidRPr="00C262AC">
        <w:rPr>
          <w:rFonts w:eastAsia="TimesNewRoman"/>
          <w:sz w:val="22"/>
          <w:szCs w:val="22"/>
          <w:lang w:val="sr-Latn-RS"/>
        </w:rPr>
        <w:t>liječenja</w:t>
      </w:r>
      <w:proofErr w:type="spellEnd"/>
      <w:r w:rsidRPr="00C262AC">
        <w:rPr>
          <w:rFonts w:eastAsia="TimesNewRoman"/>
          <w:sz w:val="22"/>
          <w:szCs w:val="22"/>
          <w:lang w:val="sr-Latn-RS"/>
        </w:rPr>
        <w:t xml:space="preserve"> (procjena prema centralnom pregledu).</w:t>
      </w:r>
    </w:p>
    <w:p w14:paraId="07B6DB15" w14:textId="0744A35F" w:rsidR="008707A6" w:rsidRPr="00C262AC" w:rsidRDefault="008707A6">
      <w:pPr>
        <w:pStyle w:val="NormalWeb"/>
        <w:jc w:val="both"/>
        <w:rPr>
          <w:rFonts w:eastAsia="TimesNewRoman"/>
          <w:sz w:val="22"/>
          <w:szCs w:val="22"/>
          <w:lang w:val="sr-Latn-RS"/>
        </w:rPr>
      </w:pPr>
      <w:r w:rsidRPr="00C262AC">
        <w:rPr>
          <w:rFonts w:eastAsia="TimesNewRoman"/>
          <w:sz w:val="22"/>
          <w:szCs w:val="22"/>
          <w:lang w:val="sr-Latn-RS"/>
        </w:rPr>
        <w:t>Rezultati BMD cijelog kuka bili su slični onima za lumbalnu</w:t>
      </w:r>
      <w:r w:rsidR="007F407F" w:rsidRPr="00C262AC">
        <w:rPr>
          <w:rFonts w:eastAsia="TimesNewRoman"/>
          <w:sz w:val="22"/>
          <w:szCs w:val="22"/>
          <w:lang w:val="sr-Latn-RS"/>
        </w:rPr>
        <w:t xml:space="preserve"> </w:t>
      </w:r>
      <w:r w:rsidRPr="00C262AC">
        <w:rPr>
          <w:rFonts w:eastAsia="TimesNewRoman"/>
          <w:sz w:val="22"/>
          <w:szCs w:val="22"/>
          <w:lang w:val="sr-Latn-RS"/>
        </w:rPr>
        <w:t>kičm</w:t>
      </w:r>
      <w:r w:rsidR="007F407F" w:rsidRPr="00C262AC">
        <w:rPr>
          <w:rFonts w:eastAsia="TimesNewRoman"/>
          <w:sz w:val="22"/>
          <w:szCs w:val="22"/>
          <w:lang w:val="sr-Latn-RS"/>
        </w:rPr>
        <w:t>u</w:t>
      </w:r>
      <w:r w:rsidRPr="00C262AC">
        <w:rPr>
          <w:rFonts w:eastAsia="TimesNewRoman"/>
          <w:sz w:val="22"/>
          <w:szCs w:val="22"/>
          <w:lang w:val="sr-Latn-RS"/>
        </w:rPr>
        <w:t>, ali manje naglašeni.</w:t>
      </w:r>
    </w:p>
    <w:p w14:paraId="0CFF5A79" w14:textId="77777777"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Nije bilo statistički značajne razlike između terapija u smislu učestalosti fraktura - 15% za grupu koja je dobijala letrozol i 17% za grupu koja je dobijala tamoksifen.</w:t>
      </w:r>
    </w:p>
    <w:p w14:paraId="3B3E7D05" w14:textId="77777777" w:rsidR="008707A6" w:rsidRPr="00C262AC" w:rsidRDefault="008707A6">
      <w:pPr>
        <w:autoSpaceDE w:val="0"/>
        <w:autoSpaceDN w:val="0"/>
        <w:adjustRightInd w:val="0"/>
        <w:jc w:val="both"/>
        <w:rPr>
          <w:rFonts w:eastAsia="TimesNewRoman"/>
          <w:sz w:val="22"/>
          <w:szCs w:val="22"/>
          <w:lang w:val="sr-Latn-RS"/>
        </w:rPr>
      </w:pPr>
    </w:p>
    <w:p w14:paraId="674EF0F8" w14:textId="70490732"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Medijana ukupnog holesterola u grupi koja je dobijala tamoksifen se smanjila za 16% poslije 6 mjeseci, u poređenju sa vrijednostima prije početka primjene terapije, i ovo smanjenje se održavalo i prilikom kasnijih posjeta ljekaru do 24. mjeseca. U grupi koja je dobijala letrozol, vrijednosti ukupnog holesterola bile su relativno stabilne tokom vremena, što daje statistički značajnu razliku u korist tamoksifena u bilo kom periodu praćenja.</w:t>
      </w:r>
    </w:p>
    <w:p w14:paraId="3CA60B17" w14:textId="490449FF" w:rsidR="008707A6" w:rsidRPr="00C262AC" w:rsidRDefault="008707A6">
      <w:pPr>
        <w:autoSpaceDE w:val="0"/>
        <w:autoSpaceDN w:val="0"/>
        <w:adjustRightInd w:val="0"/>
        <w:jc w:val="both"/>
        <w:rPr>
          <w:rFonts w:eastAsia="TimesNewRoman"/>
          <w:sz w:val="22"/>
          <w:szCs w:val="22"/>
          <w:lang w:val="sr-Latn-RS"/>
        </w:rPr>
      </w:pPr>
    </w:p>
    <w:p w14:paraId="42820165" w14:textId="77777777" w:rsidR="008707A6" w:rsidRPr="00C262AC" w:rsidRDefault="008707A6">
      <w:pPr>
        <w:autoSpaceDE w:val="0"/>
        <w:autoSpaceDN w:val="0"/>
        <w:adjustRightInd w:val="0"/>
        <w:jc w:val="both"/>
        <w:rPr>
          <w:rFonts w:eastAsia="TimesNewRoman"/>
          <w:i/>
          <w:iCs/>
          <w:sz w:val="22"/>
          <w:szCs w:val="22"/>
          <w:lang w:val="sr-Latn-RS"/>
        </w:rPr>
      </w:pPr>
      <w:r w:rsidRPr="00C262AC">
        <w:rPr>
          <w:rFonts w:eastAsia="TimesNewRoman"/>
          <w:i/>
          <w:iCs/>
          <w:sz w:val="22"/>
          <w:szCs w:val="22"/>
          <w:lang w:val="sr-Latn-RS"/>
        </w:rPr>
        <w:t>Produžena adjuvantna terapija (MA-17)</w:t>
      </w:r>
    </w:p>
    <w:p w14:paraId="107C66F2" w14:textId="77777777" w:rsidR="008707A6" w:rsidRPr="00C262AC" w:rsidRDefault="008707A6">
      <w:pPr>
        <w:autoSpaceDE w:val="0"/>
        <w:autoSpaceDN w:val="0"/>
        <w:adjustRightInd w:val="0"/>
        <w:jc w:val="both"/>
        <w:rPr>
          <w:rFonts w:eastAsia="TimesNewRoman"/>
          <w:sz w:val="22"/>
          <w:szCs w:val="22"/>
          <w:lang w:val="sr-Latn-RS"/>
        </w:rPr>
      </w:pPr>
    </w:p>
    <w:p w14:paraId="48014F8D" w14:textId="10752C91"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U multicentričnoj, dvostruko slijepoj, randomizovanoj, placebo kontrolisanoj studiji (MA-17), više od 5100 žena</w:t>
      </w:r>
      <w:r w:rsidR="005955AB" w:rsidRPr="00C262AC">
        <w:rPr>
          <w:rFonts w:eastAsia="TimesNewRoman"/>
          <w:sz w:val="22"/>
          <w:szCs w:val="22"/>
          <w:lang w:val="sr-Latn-RS"/>
        </w:rPr>
        <w:t xml:space="preserve"> </w:t>
      </w:r>
      <w:r w:rsidRPr="00C262AC">
        <w:rPr>
          <w:rFonts w:eastAsia="TimesNewRoman"/>
          <w:sz w:val="22"/>
          <w:szCs w:val="22"/>
          <w:lang w:val="sr-Latn-RS"/>
        </w:rPr>
        <w:t>u postmenopauzi koje su receptor-pozitivne ili imaju primarni karcinomom dojke sa nepoznatim afinitetom za</w:t>
      </w:r>
      <w:r w:rsidR="005955AB" w:rsidRPr="00C262AC">
        <w:rPr>
          <w:rFonts w:eastAsia="TimesNewRoman"/>
          <w:sz w:val="22"/>
          <w:szCs w:val="22"/>
          <w:lang w:val="sr-Latn-RS"/>
        </w:rPr>
        <w:t xml:space="preserve"> </w:t>
      </w:r>
      <w:r w:rsidRPr="00C262AC">
        <w:rPr>
          <w:rFonts w:eastAsia="TimesNewRoman"/>
          <w:sz w:val="22"/>
          <w:szCs w:val="22"/>
          <w:lang w:val="sr-Latn-RS"/>
        </w:rPr>
        <w:t xml:space="preserve">receptore, a koje su dobile kompletnu </w:t>
      </w:r>
      <w:proofErr w:type="spellStart"/>
      <w:r w:rsidRPr="00C262AC">
        <w:rPr>
          <w:rFonts w:eastAsia="TimesNewRoman"/>
          <w:sz w:val="22"/>
          <w:szCs w:val="22"/>
          <w:lang w:val="sr-Latn-RS"/>
        </w:rPr>
        <w:t>adjuvantnu</w:t>
      </w:r>
      <w:proofErr w:type="spellEnd"/>
      <w:r w:rsidRPr="00C262AC">
        <w:rPr>
          <w:rFonts w:eastAsia="TimesNewRoman"/>
          <w:sz w:val="22"/>
          <w:szCs w:val="22"/>
          <w:lang w:val="sr-Latn-RS"/>
        </w:rPr>
        <w:t xml:space="preserve"> terapiju </w:t>
      </w:r>
      <w:proofErr w:type="spellStart"/>
      <w:r w:rsidRPr="00C262AC">
        <w:rPr>
          <w:rFonts w:eastAsia="TimesNewRoman"/>
          <w:sz w:val="22"/>
          <w:szCs w:val="22"/>
          <w:lang w:val="sr-Latn-RS"/>
        </w:rPr>
        <w:t>tamoksifenom</w:t>
      </w:r>
      <w:proofErr w:type="spellEnd"/>
      <w:r w:rsidRPr="00C262AC">
        <w:rPr>
          <w:rFonts w:eastAsia="TimesNewRoman"/>
          <w:sz w:val="22"/>
          <w:szCs w:val="22"/>
          <w:lang w:val="sr-Latn-RS"/>
        </w:rPr>
        <w:t xml:space="preserve"> (4,5 do 6 godina), bile su randomizovane ili u grupu koja je dobijala lijek Femozol  ili </w:t>
      </w:r>
      <w:r w:rsidRPr="00C262AC">
        <w:rPr>
          <w:noProof/>
          <w:sz w:val="22"/>
          <w:szCs w:val="22"/>
          <w:lang w:val="sr-Latn-RS"/>
        </w:rPr>
        <w:t xml:space="preserve">u grupu koja je primala </w:t>
      </w:r>
      <w:r w:rsidRPr="00C262AC">
        <w:rPr>
          <w:rFonts w:eastAsia="TimesNewRoman"/>
          <w:sz w:val="22"/>
          <w:szCs w:val="22"/>
          <w:lang w:val="sr-Latn-RS"/>
        </w:rPr>
        <w:t>placebo, tokom 5 godina.</w:t>
      </w:r>
    </w:p>
    <w:p w14:paraId="7555B5C7" w14:textId="77777777" w:rsidR="008707A6" w:rsidRPr="00C262AC" w:rsidRDefault="008707A6">
      <w:pPr>
        <w:autoSpaceDE w:val="0"/>
        <w:autoSpaceDN w:val="0"/>
        <w:adjustRightInd w:val="0"/>
        <w:jc w:val="both"/>
        <w:rPr>
          <w:rFonts w:eastAsia="TimesNewRoman"/>
          <w:sz w:val="22"/>
          <w:szCs w:val="22"/>
          <w:lang w:val="sr-Latn-RS"/>
        </w:rPr>
      </w:pPr>
    </w:p>
    <w:p w14:paraId="742B8029" w14:textId="77777777"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Primarni ishod bio je preživljavanje bez bolesti, definisano kao interval između randomizacije i najranije ponovne pojave loko-regionalne bolesti, udaljene metastaze ili kontralateralnog karcinoma dojke.</w:t>
      </w:r>
    </w:p>
    <w:p w14:paraId="43E0A240" w14:textId="77777777" w:rsidR="008707A6" w:rsidRPr="00C262AC" w:rsidRDefault="008707A6">
      <w:pPr>
        <w:autoSpaceDE w:val="0"/>
        <w:autoSpaceDN w:val="0"/>
        <w:adjustRightInd w:val="0"/>
        <w:jc w:val="both"/>
        <w:rPr>
          <w:rFonts w:eastAsia="TimesNewRoman"/>
          <w:sz w:val="22"/>
          <w:szCs w:val="22"/>
          <w:lang w:val="sr-Latn-RS"/>
        </w:rPr>
      </w:pPr>
    </w:p>
    <w:p w14:paraId="1BBD46BF" w14:textId="39443298"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Prva planirana analiza tokom studije, pri medijani vremena praćenja približno 28 mjeseci (25% pacijenata praćeno je najmanje 38 mjeseci), pokazala je da lijek Femozol značajno smanjuje rizik od ponovne pojave karcinoma dojke za 42% u poređenju sa placebom (HR 0,58; 95% CI 0,45, 0,76; p=0,00003). Korist od primjene letrozola  uočena je bez obzira na nodalni status. Nije bilo statističke razlike u ukupnom preživljavanju: </w:t>
      </w:r>
      <w:r w:rsidR="007F407F" w:rsidRPr="00C262AC">
        <w:rPr>
          <w:rFonts w:eastAsia="TimesNewRoman"/>
          <w:sz w:val="22"/>
          <w:szCs w:val="22"/>
          <w:lang w:val="sr-Latn-RS"/>
        </w:rPr>
        <w:t>(</w:t>
      </w:r>
      <w:r w:rsidRPr="00C262AC">
        <w:rPr>
          <w:rFonts w:eastAsia="TimesNewRoman"/>
          <w:sz w:val="22"/>
          <w:szCs w:val="22"/>
          <w:lang w:val="sr-Latn-RS"/>
        </w:rPr>
        <w:t>letrozol 51 smrtna  slučaja; placebo 62; HR 0,82; 95% CI 0,56, 1,19).</w:t>
      </w:r>
    </w:p>
    <w:p w14:paraId="474FCA87" w14:textId="77777777" w:rsidR="008707A6" w:rsidRPr="00C262AC" w:rsidRDefault="008707A6">
      <w:pPr>
        <w:autoSpaceDE w:val="0"/>
        <w:autoSpaceDN w:val="0"/>
        <w:adjustRightInd w:val="0"/>
        <w:jc w:val="both"/>
        <w:rPr>
          <w:rFonts w:eastAsia="TimesNewRoman"/>
          <w:sz w:val="22"/>
          <w:szCs w:val="22"/>
          <w:lang w:val="sr-Latn-RS"/>
        </w:rPr>
      </w:pPr>
    </w:p>
    <w:p w14:paraId="5B197F46" w14:textId="1F32805E"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Posljedično, nakon ove analize, </w:t>
      </w:r>
      <w:r w:rsidRPr="00C262AC">
        <w:rPr>
          <w:noProof/>
          <w:sz w:val="22"/>
          <w:szCs w:val="22"/>
          <w:lang w:val="sr-Latn-RS"/>
        </w:rPr>
        <w:t>studija više nije bila slijepa i nastavljena je kao otvorena studija</w:t>
      </w:r>
      <w:r w:rsidRPr="00C262AC">
        <w:rPr>
          <w:rFonts w:eastAsia="TimesNewRoman"/>
          <w:sz w:val="22"/>
          <w:szCs w:val="22"/>
          <w:lang w:val="sr-Latn-RS"/>
        </w:rPr>
        <w:t>, a pacijentima iz grupe koja je dobijala placebo bilo je dozvoljeno da pređu na lijek Femozol do 5 godina.</w:t>
      </w:r>
    </w:p>
    <w:p w14:paraId="7C347F49" w14:textId="77777777" w:rsidR="008707A6" w:rsidRPr="00C262AC" w:rsidRDefault="008707A6">
      <w:pPr>
        <w:autoSpaceDE w:val="0"/>
        <w:autoSpaceDN w:val="0"/>
        <w:adjustRightInd w:val="0"/>
        <w:jc w:val="both"/>
        <w:rPr>
          <w:rFonts w:eastAsia="TimesNewRoman"/>
          <w:sz w:val="22"/>
          <w:szCs w:val="22"/>
          <w:lang w:val="sr-Latn-RS"/>
        </w:rPr>
      </w:pPr>
    </w:p>
    <w:p w14:paraId="05041214" w14:textId="77777777"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 xml:space="preserve">Više od 60% podobnih pacijenata (oni koji prilikom otvaranja studije nijesu imali oboljenje) izabralo je da pređe na lijek Femozol. Konačna analiza uključila je 1551 ženu, koje su sa placeba prešle na lijek </w:t>
      </w:r>
      <w:r w:rsidRPr="00C262AC">
        <w:rPr>
          <w:rFonts w:eastAsia="TimesNewRoman"/>
          <w:sz w:val="22"/>
          <w:szCs w:val="22"/>
          <w:lang w:val="sr-Latn-RS"/>
        </w:rPr>
        <w:lastRenderedPageBreak/>
        <w:t>Femozol pri medijani vremena terapije od 31 mjeseca (opseg od 12 do 106 mjeseci), nakon završetka adjuvantne terapije tamoksifenom. Medijana vremena trajanja terapije letrozolom, nakon prelaska, bilo je 40 mjeseci.</w:t>
      </w:r>
    </w:p>
    <w:p w14:paraId="083634CD" w14:textId="77777777" w:rsidR="008707A6" w:rsidRPr="00C262AC" w:rsidRDefault="008707A6">
      <w:pPr>
        <w:autoSpaceDE w:val="0"/>
        <w:autoSpaceDN w:val="0"/>
        <w:adjustRightInd w:val="0"/>
        <w:jc w:val="both"/>
        <w:rPr>
          <w:rFonts w:eastAsia="TimesNewRoman"/>
          <w:sz w:val="22"/>
          <w:szCs w:val="22"/>
          <w:lang w:val="sr-Latn-RS"/>
        </w:rPr>
      </w:pPr>
    </w:p>
    <w:p w14:paraId="22946468" w14:textId="77777777"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t>Finalna analiza sprovedena pri medijani vremena praćenja od 62 mjeseca potvrdila je značajno smanjenje rizika od ponovne pojave karcinoma dojke pri primjeni lijeka Femozol.</w:t>
      </w:r>
    </w:p>
    <w:p w14:paraId="31DCABA5" w14:textId="77777777" w:rsidR="008707A6" w:rsidRPr="00C262AC" w:rsidRDefault="008707A6">
      <w:pPr>
        <w:autoSpaceDE w:val="0"/>
        <w:autoSpaceDN w:val="0"/>
        <w:adjustRightInd w:val="0"/>
        <w:jc w:val="both"/>
        <w:rPr>
          <w:rFonts w:eastAsia="TimesNewRoman"/>
          <w:sz w:val="22"/>
          <w:szCs w:val="22"/>
          <w:lang w:val="sr-Latn-RS"/>
        </w:rPr>
      </w:pPr>
    </w:p>
    <w:p w14:paraId="79B1A5D1" w14:textId="77777777" w:rsidR="008707A6" w:rsidRPr="00C262AC" w:rsidRDefault="008707A6">
      <w:pPr>
        <w:autoSpaceDE w:val="0"/>
        <w:autoSpaceDN w:val="0"/>
        <w:adjustRightInd w:val="0"/>
        <w:jc w:val="both"/>
        <w:rPr>
          <w:rFonts w:eastAsia="TimesNewRoman"/>
          <w:sz w:val="22"/>
          <w:szCs w:val="22"/>
          <w:lang w:val="sr-Latn-RS"/>
        </w:rPr>
      </w:pPr>
    </w:p>
    <w:p w14:paraId="5A0146EE" w14:textId="7DEE3E5F" w:rsidR="00CC58AC" w:rsidRPr="00C262AC" w:rsidRDefault="008707A6">
      <w:pPr>
        <w:autoSpaceDE w:val="0"/>
        <w:autoSpaceDN w:val="0"/>
        <w:adjustRightInd w:val="0"/>
        <w:jc w:val="both"/>
        <w:rPr>
          <w:rFonts w:eastAsia="TimesNewRoman"/>
          <w:sz w:val="22"/>
          <w:szCs w:val="22"/>
          <w:lang w:val="sr-Latn-RS"/>
        </w:rPr>
      </w:pPr>
      <w:r w:rsidRPr="00C262AC">
        <w:rPr>
          <w:rFonts w:eastAsia="TimesNewRoman"/>
          <w:b/>
          <w:bCs/>
          <w:sz w:val="22"/>
          <w:szCs w:val="22"/>
          <w:lang w:val="sr-Latn-RS"/>
        </w:rPr>
        <w:t>Tabela 8.</w:t>
      </w:r>
      <w:r w:rsidRPr="00C262AC">
        <w:rPr>
          <w:rFonts w:eastAsia="TimesNewRoman"/>
          <w:sz w:val="22"/>
          <w:szCs w:val="22"/>
          <w:lang w:val="sr-Latn-RS"/>
        </w:rPr>
        <w:t xml:space="preserve"> Preživljavanje bez bolesti (DFS) i ukupno preživljavanje (OS) (modifikovana ITT populacija)</w:t>
      </w:r>
    </w:p>
    <w:tbl>
      <w:tblPr>
        <w:tblStyle w:val="TableGrid1"/>
        <w:tblW w:w="9360" w:type="dxa"/>
        <w:tblInd w:w="2" w:type="dxa"/>
        <w:tblLayout w:type="fixed"/>
        <w:tblCellMar>
          <w:top w:w="1" w:type="dxa"/>
          <w:left w:w="103" w:type="dxa"/>
          <w:right w:w="115" w:type="dxa"/>
        </w:tblCellMar>
        <w:tblLook w:val="04A0" w:firstRow="1" w:lastRow="0" w:firstColumn="1" w:lastColumn="0" w:noHBand="0" w:noVBand="1"/>
      </w:tblPr>
      <w:tblGrid>
        <w:gridCol w:w="1480"/>
        <w:gridCol w:w="1310"/>
        <w:gridCol w:w="1312"/>
        <w:gridCol w:w="1319"/>
        <w:gridCol w:w="1312"/>
        <w:gridCol w:w="1312"/>
        <w:gridCol w:w="1315"/>
      </w:tblGrid>
      <w:tr w:rsidR="008707A6" w:rsidRPr="00C262AC" w14:paraId="684A718C" w14:textId="77777777" w:rsidTr="00C71D44">
        <w:trPr>
          <w:trHeight w:val="240"/>
        </w:trPr>
        <w:tc>
          <w:tcPr>
            <w:tcW w:w="1480" w:type="dxa"/>
            <w:tcBorders>
              <w:top w:val="single" w:sz="4" w:space="0" w:color="000000"/>
              <w:left w:val="single" w:sz="2" w:space="0" w:color="000000"/>
              <w:bottom w:val="single" w:sz="4" w:space="0" w:color="000000"/>
              <w:right w:val="single" w:sz="4" w:space="0" w:color="000000"/>
            </w:tcBorders>
          </w:tcPr>
          <w:p w14:paraId="58FA04E5" w14:textId="77777777" w:rsidR="008707A6" w:rsidRPr="00C262AC" w:rsidRDefault="008707A6">
            <w:pPr>
              <w:spacing w:after="160" w:line="256" w:lineRule="auto"/>
              <w:jc w:val="both"/>
              <w:rPr>
                <w:rFonts w:ascii="Times New Roman" w:hAnsi="Times New Roman"/>
                <w:color w:val="000000"/>
                <w:sz w:val="22"/>
                <w:szCs w:val="22"/>
                <w:lang w:val="sr-Latn-RS"/>
              </w:rPr>
            </w:pPr>
          </w:p>
        </w:tc>
        <w:tc>
          <w:tcPr>
            <w:tcW w:w="3941" w:type="dxa"/>
            <w:gridSpan w:val="3"/>
            <w:tcBorders>
              <w:top w:val="single" w:sz="4" w:space="0" w:color="000000"/>
              <w:left w:val="single" w:sz="4" w:space="0" w:color="000000"/>
              <w:bottom w:val="single" w:sz="4" w:space="0" w:color="000000"/>
              <w:right w:val="single" w:sz="4" w:space="0" w:color="000000"/>
            </w:tcBorders>
            <w:hideMark/>
          </w:tcPr>
          <w:p w14:paraId="0A9AA64D" w14:textId="77777777" w:rsidR="008707A6" w:rsidRPr="00C262AC" w:rsidRDefault="008707A6">
            <w:pPr>
              <w:spacing w:line="256" w:lineRule="auto"/>
              <w:ind w:left="32"/>
              <w:jc w:val="both"/>
              <w:rPr>
                <w:rFonts w:ascii="Times New Roman" w:hAnsi="Times New Roman"/>
                <w:color w:val="000000"/>
                <w:sz w:val="22"/>
                <w:szCs w:val="22"/>
              </w:rPr>
            </w:pPr>
            <w:proofErr w:type="spellStart"/>
            <w:r w:rsidRPr="00C262AC">
              <w:rPr>
                <w:rFonts w:ascii="Times New Roman" w:hAnsi="Times New Roman"/>
                <w:color w:val="000000"/>
                <w:sz w:val="22"/>
                <w:szCs w:val="22"/>
              </w:rPr>
              <w:t>Medijana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vremena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praćenja</w:t>
            </w:r>
            <w:proofErr w:type="spellEnd"/>
            <w:r w:rsidRPr="00C262AC">
              <w:rPr>
                <w:rFonts w:ascii="Times New Roman" w:hAnsi="Times New Roman"/>
                <w:color w:val="000000"/>
                <w:sz w:val="22"/>
                <w:szCs w:val="22"/>
              </w:rPr>
              <w:t xml:space="preserve"> 28 </w:t>
            </w:r>
            <w:proofErr w:type="spellStart"/>
            <w:r w:rsidRPr="00C262AC">
              <w:rPr>
                <w:rFonts w:ascii="Times New Roman" w:hAnsi="Times New Roman"/>
                <w:color w:val="000000"/>
                <w:sz w:val="22"/>
                <w:szCs w:val="22"/>
              </w:rPr>
              <w:t>mjeseci</w:t>
            </w:r>
            <w:proofErr w:type="spellEnd"/>
          </w:p>
        </w:tc>
        <w:tc>
          <w:tcPr>
            <w:tcW w:w="3939" w:type="dxa"/>
            <w:gridSpan w:val="3"/>
            <w:tcBorders>
              <w:top w:val="single" w:sz="4" w:space="0" w:color="000000"/>
              <w:left w:val="single" w:sz="4" w:space="0" w:color="000000"/>
              <w:bottom w:val="single" w:sz="4" w:space="0" w:color="000000"/>
              <w:right w:val="single" w:sz="4" w:space="0" w:color="000000"/>
            </w:tcBorders>
            <w:hideMark/>
          </w:tcPr>
          <w:p w14:paraId="69EA9B08" w14:textId="77777777" w:rsidR="008707A6" w:rsidRPr="00C262AC" w:rsidRDefault="008707A6">
            <w:pPr>
              <w:spacing w:line="256" w:lineRule="auto"/>
              <w:ind w:left="32"/>
              <w:jc w:val="both"/>
              <w:rPr>
                <w:rFonts w:ascii="Times New Roman" w:hAnsi="Times New Roman"/>
                <w:color w:val="000000"/>
                <w:sz w:val="22"/>
                <w:szCs w:val="22"/>
              </w:rPr>
            </w:pPr>
            <w:proofErr w:type="spellStart"/>
            <w:r w:rsidRPr="00C262AC">
              <w:rPr>
                <w:rFonts w:ascii="Times New Roman" w:hAnsi="Times New Roman"/>
                <w:color w:val="000000"/>
                <w:sz w:val="22"/>
                <w:szCs w:val="22"/>
              </w:rPr>
              <w:t>Medijana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vremena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praćenja</w:t>
            </w:r>
            <w:proofErr w:type="spellEnd"/>
            <w:r w:rsidRPr="00C262AC">
              <w:rPr>
                <w:rFonts w:ascii="Times New Roman" w:hAnsi="Times New Roman"/>
                <w:color w:val="000000"/>
                <w:sz w:val="22"/>
                <w:szCs w:val="22"/>
              </w:rPr>
              <w:t xml:space="preserve"> 62 </w:t>
            </w:r>
            <w:proofErr w:type="spellStart"/>
            <w:r w:rsidRPr="00C262AC">
              <w:rPr>
                <w:rFonts w:ascii="Times New Roman" w:hAnsi="Times New Roman"/>
                <w:color w:val="000000"/>
                <w:sz w:val="22"/>
                <w:szCs w:val="22"/>
              </w:rPr>
              <w:t>mjeseca</w:t>
            </w:r>
            <w:proofErr w:type="spellEnd"/>
          </w:p>
        </w:tc>
      </w:tr>
      <w:tr w:rsidR="008707A6" w:rsidRPr="00C262AC" w14:paraId="4F2AA685" w14:textId="77777777" w:rsidTr="00C71D44">
        <w:trPr>
          <w:trHeight w:val="240"/>
        </w:trPr>
        <w:tc>
          <w:tcPr>
            <w:tcW w:w="1480" w:type="dxa"/>
            <w:tcBorders>
              <w:top w:val="single" w:sz="4" w:space="0" w:color="000000"/>
              <w:left w:val="single" w:sz="2" w:space="0" w:color="000000"/>
              <w:bottom w:val="single" w:sz="4" w:space="0" w:color="000000"/>
              <w:right w:val="single" w:sz="4" w:space="0" w:color="000000"/>
            </w:tcBorders>
          </w:tcPr>
          <w:p w14:paraId="0AF2FA6E" w14:textId="77777777" w:rsidR="008707A6" w:rsidRPr="00C262AC" w:rsidRDefault="008707A6">
            <w:pPr>
              <w:pStyle w:val="Bezodstpw1"/>
              <w:jc w:val="both"/>
              <w:rPr>
                <w:rFonts w:ascii="Times New Roman" w:hAnsi="Times New Roman"/>
                <w:u w:val="single"/>
                <w:lang w:val="sr-Latn-RS" w:eastAsia="pl-PL"/>
              </w:rPr>
            </w:pPr>
          </w:p>
        </w:tc>
        <w:tc>
          <w:tcPr>
            <w:tcW w:w="1310" w:type="dxa"/>
            <w:tcBorders>
              <w:top w:val="single" w:sz="4" w:space="0" w:color="000000"/>
              <w:left w:val="single" w:sz="4" w:space="0" w:color="000000"/>
              <w:bottom w:val="single" w:sz="4" w:space="0" w:color="000000"/>
              <w:right w:val="single" w:sz="4" w:space="0" w:color="000000"/>
            </w:tcBorders>
            <w:hideMark/>
          </w:tcPr>
          <w:p w14:paraId="267DF706"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Letrozol</w:t>
            </w:r>
          </w:p>
          <w:p w14:paraId="497A6956"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N=2582</w:t>
            </w:r>
          </w:p>
        </w:tc>
        <w:tc>
          <w:tcPr>
            <w:tcW w:w="1312" w:type="dxa"/>
            <w:tcBorders>
              <w:top w:val="single" w:sz="4" w:space="0" w:color="000000"/>
              <w:left w:val="single" w:sz="4" w:space="0" w:color="000000"/>
              <w:bottom w:val="single" w:sz="4" w:space="0" w:color="000000"/>
              <w:right w:val="single" w:sz="4" w:space="0" w:color="000000"/>
            </w:tcBorders>
            <w:hideMark/>
          </w:tcPr>
          <w:p w14:paraId="7827DF02"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Placebo</w:t>
            </w:r>
          </w:p>
          <w:p w14:paraId="2CA3369B"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N=2586</w:t>
            </w:r>
          </w:p>
        </w:tc>
        <w:tc>
          <w:tcPr>
            <w:tcW w:w="1319" w:type="dxa"/>
            <w:tcBorders>
              <w:top w:val="single" w:sz="4" w:space="0" w:color="000000"/>
              <w:left w:val="single" w:sz="4" w:space="0" w:color="000000"/>
              <w:bottom w:val="single" w:sz="4" w:space="0" w:color="000000"/>
              <w:right w:val="single" w:sz="4" w:space="0" w:color="000000"/>
            </w:tcBorders>
            <w:hideMark/>
          </w:tcPr>
          <w:p w14:paraId="0C729AEC"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HR</w:t>
            </w:r>
          </w:p>
          <w:p w14:paraId="23AE1592"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(95% Cl)</w:t>
            </w:r>
            <w:r w:rsidRPr="00C262AC">
              <w:rPr>
                <w:rFonts w:ascii="Times New Roman" w:hAnsi="Times New Roman"/>
                <w:vertAlign w:val="superscript"/>
                <w:lang w:val="sr-Latn-RS" w:eastAsia="pl-PL"/>
              </w:rPr>
              <w:t>2</w:t>
            </w:r>
          </w:p>
          <w:p w14:paraId="687E409A"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i/>
                <w:lang w:val="sr-Latn-RS" w:eastAsia="pl-PL"/>
              </w:rPr>
              <w:t xml:space="preserve">p </w:t>
            </w:r>
            <w:r w:rsidRPr="00C262AC">
              <w:rPr>
                <w:rFonts w:ascii="Times New Roman" w:hAnsi="Times New Roman"/>
                <w:lang w:val="sr-Latn-RS" w:eastAsia="pl-PL"/>
              </w:rPr>
              <w:t>vrednost</w:t>
            </w:r>
          </w:p>
        </w:tc>
        <w:tc>
          <w:tcPr>
            <w:tcW w:w="1312" w:type="dxa"/>
            <w:tcBorders>
              <w:top w:val="single" w:sz="4" w:space="0" w:color="000000"/>
              <w:left w:val="single" w:sz="4" w:space="0" w:color="000000"/>
              <w:bottom w:val="single" w:sz="4" w:space="0" w:color="000000"/>
              <w:right w:val="single" w:sz="4" w:space="0" w:color="000000"/>
            </w:tcBorders>
            <w:hideMark/>
          </w:tcPr>
          <w:p w14:paraId="4E81477C"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Letrozol</w:t>
            </w:r>
          </w:p>
          <w:p w14:paraId="50A03D55"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N=2582</w:t>
            </w:r>
          </w:p>
        </w:tc>
        <w:tc>
          <w:tcPr>
            <w:tcW w:w="1312" w:type="dxa"/>
            <w:tcBorders>
              <w:top w:val="single" w:sz="4" w:space="0" w:color="000000"/>
              <w:left w:val="single" w:sz="4" w:space="0" w:color="000000"/>
              <w:bottom w:val="single" w:sz="4" w:space="0" w:color="000000"/>
              <w:right w:val="single" w:sz="4" w:space="0" w:color="000000"/>
            </w:tcBorders>
            <w:hideMark/>
          </w:tcPr>
          <w:p w14:paraId="2E5DC530"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Placebo</w:t>
            </w:r>
          </w:p>
          <w:p w14:paraId="5E629E13"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N=2586</w:t>
            </w:r>
          </w:p>
        </w:tc>
        <w:tc>
          <w:tcPr>
            <w:tcW w:w="1315" w:type="dxa"/>
            <w:tcBorders>
              <w:top w:val="single" w:sz="4" w:space="0" w:color="000000"/>
              <w:left w:val="single" w:sz="4" w:space="0" w:color="000000"/>
              <w:bottom w:val="single" w:sz="4" w:space="0" w:color="000000"/>
              <w:right w:val="single" w:sz="4" w:space="0" w:color="000000"/>
            </w:tcBorders>
            <w:hideMark/>
          </w:tcPr>
          <w:p w14:paraId="08571E5D"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lang w:val="sr-Latn-RS" w:eastAsia="pl-PL"/>
              </w:rPr>
              <w:t>HR</w:t>
            </w:r>
          </w:p>
          <w:p w14:paraId="11349900" w14:textId="77777777" w:rsidR="008707A6" w:rsidRPr="00C262AC" w:rsidRDefault="008707A6">
            <w:pPr>
              <w:pStyle w:val="Bezodstpw1"/>
              <w:jc w:val="both"/>
              <w:rPr>
                <w:rFonts w:ascii="Times New Roman" w:hAnsi="Times New Roman"/>
                <w:vertAlign w:val="superscript"/>
                <w:lang w:val="sr-Latn-RS" w:eastAsia="pl-PL"/>
              </w:rPr>
            </w:pPr>
            <w:r w:rsidRPr="00C262AC">
              <w:rPr>
                <w:rFonts w:ascii="Times New Roman" w:hAnsi="Times New Roman"/>
                <w:lang w:val="sr-Latn-RS" w:eastAsia="pl-PL"/>
              </w:rPr>
              <w:t>(95% Cl)</w:t>
            </w:r>
            <w:r w:rsidRPr="00C262AC">
              <w:rPr>
                <w:rFonts w:ascii="Times New Roman" w:hAnsi="Times New Roman"/>
                <w:vertAlign w:val="superscript"/>
                <w:lang w:val="sr-Latn-RS" w:eastAsia="pl-PL"/>
              </w:rPr>
              <w:t>2</w:t>
            </w:r>
          </w:p>
          <w:p w14:paraId="29DE45DB" w14:textId="77777777" w:rsidR="008707A6" w:rsidRPr="00C262AC" w:rsidRDefault="008707A6">
            <w:pPr>
              <w:pStyle w:val="Bezodstpw1"/>
              <w:jc w:val="both"/>
              <w:rPr>
                <w:rFonts w:ascii="Times New Roman" w:hAnsi="Times New Roman"/>
                <w:lang w:val="sr-Latn-RS" w:eastAsia="pl-PL"/>
              </w:rPr>
            </w:pPr>
            <w:r w:rsidRPr="00C262AC">
              <w:rPr>
                <w:rFonts w:ascii="Times New Roman" w:hAnsi="Times New Roman"/>
                <w:i/>
                <w:lang w:val="sr-Latn-RS" w:eastAsia="pl-PL"/>
              </w:rPr>
              <w:t xml:space="preserve">p </w:t>
            </w:r>
            <w:r w:rsidRPr="00C262AC">
              <w:rPr>
                <w:rFonts w:ascii="Times New Roman" w:hAnsi="Times New Roman"/>
                <w:lang w:val="sr-Latn-RS" w:eastAsia="pl-PL"/>
              </w:rPr>
              <w:t>vrednost</w:t>
            </w:r>
          </w:p>
        </w:tc>
      </w:tr>
      <w:tr w:rsidR="001D1334" w:rsidRPr="00C262AC" w14:paraId="210F3143" w14:textId="77777777" w:rsidTr="0021231A">
        <w:trPr>
          <w:trHeight w:val="240"/>
        </w:trPr>
        <w:tc>
          <w:tcPr>
            <w:tcW w:w="9360" w:type="dxa"/>
            <w:gridSpan w:val="7"/>
            <w:tcBorders>
              <w:top w:val="single" w:sz="4" w:space="0" w:color="000000"/>
              <w:left w:val="single" w:sz="2" w:space="0" w:color="000000"/>
              <w:bottom w:val="single" w:sz="4" w:space="0" w:color="000000"/>
              <w:right w:val="single" w:sz="4" w:space="0" w:color="000000"/>
            </w:tcBorders>
          </w:tcPr>
          <w:p w14:paraId="243F077E" w14:textId="0FC8EC23" w:rsidR="001D1334" w:rsidRPr="00C262AC" w:rsidRDefault="001D1334" w:rsidP="00C71D44">
            <w:pPr>
              <w:pStyle w:val="Bezodstpw1"/>
              <w:jc w:val="both"/>
              <w:rPr>
                <w:rFonts w:ascii="Times New Roman" w:hAnsi="Times New Roman"/>
                <w:lang w:val="sr-Latn-RS" w:eastAsia="pl-PL"/>
              </w:rPr>
            </w:pPr>
            <w:r w:rsidRPr="00C262AC">
              <w:rPr>
                <w:rFonts w:ascii="Times New Roman" w:hAnsi="Times New Roman"/>
                <w:b/>
                <w:color w:val="000000"/>
                <w:lang w:val="sr-Latn-RS"/>
              </w:rPr>
              <w:t>Preživlj</w:t>
            </w:r>
            <w:r w:rsidR="007F407F" w:rsidRPr="00C262AC">
              <w:rPr>
                <w:rFonts w:ascii="Times New Roman" w:hAnsi="Times New Roman"/>
                <w:b/>
                <w:color w:val="000000"/>
                <w:lang w:val="sr-Latn-RS"/>
              </w:rPr>
              <w:t>ava</w:t>
            </w:r>
            <w:r w:rsidRPr="00C262AC">
              <w:rPr>
                <w:rFonts w:ascii="Times New Roman" w:hAnsi="Times New Roman"/>
                <w:b/>
                <w:color w:val="000000"/>
                <w:lang w:val="sr-Latn-RS"/>
              </w:rPr>
              <w:t>nje bez bolesti</w:t>
            </w:r>
            <w:r w:rsidRPr="00C262AC">
              <w:rPr>
                <w:rFonts w:ascii="Times New Roman" w:hAnsi="Times New Roman"/>
                <w:b/>
                <w:color w:val="000000"/>
                <w:vertAlign w:val="superscript"/>
                <w:lang w:val="sr-Latn-RS"/>
              </w:rPr>
              <w:t>3</w:t>
            </w:r>
          </w:p>
        </w:tc>
      </w:tr>
      <w:tr w:rsidR="001D1334" w:rsidRPr="00C262AC" w14:paraId="51A47895" w14:textId="77777777" w:rsidTr="00C02F5A">
        <w:trPr>
          <w:trHeight w:val="727"/>
        </w:trPr>
        <w:tc>
          <w:tcPr>
            <w:tcW w:w="1480" w:type="dxa"/>
            <w:tcBorders>
              <w:top w:val="single" w:sz="2" w:space="0" w:color="000000"/>
              <w:left w:val="single" w:sz="2" w:space="0" w:color="000000"/>
              <w:bottom w:val="single" w:sz="4" w:space="0" w:color="000000"/>
              <w:right w:val="single" w:sz="4" w:space="0" w:color="000000"/>
            </w:tcBorders>
            <w:hideMark/>
          </w:tcPr>
          <w:p w14:paraId="12391E63" w14:textId="77777777" w:rsidR="001D1334" w:rsidRPr="00C262AC" w:rsidRDefault="001D1334" w:rsidP="001D1334">
            <w:pPr>
              <w:spacing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Događaji</w:t>
            </w:r>
            <w:proofErr w:type="spellEnd"/>
          </w:p>
        </w:tc>
        <w:tc>
          <w:tcPr>
            <w:tcW w:w="1310" w:type="dxa"/>
            <w:tcBorders>
              <w:top w:val="single" w:sz="2" w:space="0" w:color="000000"/>
              <w:left w:val="single" w:sz="4" w:space="0" w:color="000000"/>
              <w:bottom w:val="single" w:sz="4" w:space="0" w:color="000000"/>
              <w:right w:val="single" w:sz="4" w:space="0" w:color="000000"/>
            </w:tcBorders>
          </w:tcPr>
          <w:p w14:paraId="344F803A" w14:textId="6F7368B8" w:rsidR="001D1334" w:rsidRPr="00C262AC" w:rsidRDefault="001D1334" w:rsidP="001D1334">
            <w:pPr>
              <w:spacing w:line="256" w:lineRule="auto"/>
              <w:ind w:left="38"/>
              <w:jc w:val="both"/>
              <w:rPr>
                <w:rFonts w:ascii="Times New Roman" w:hAnsi="Times New Roman"/>
                <w:color w:val="000000"/>
                <w:sz w:val="22"/>
                <w:szCs w:val="22"/>
              </w:rPr>
            </w:pPr>
            <w:r w:rsidRPr="00C262AC">
              <w:rPr>
                <w:rFonts w:ascii="Times New Roman" w:hAnsi="Times New Roman"/>
                <w:color w:val="000000"/>
                <w:sz w:val="22"/>
                <w:szCs w:val="22"/>
              </w:rPr>
              <w:t>92 (3.6%)</w:t>
            </w:r>
          </w:p>
        </w:tc>
        <w:tc>
          <w:tcPr>
            <w:tcW w:w="1312" w:type="dxa"/>
            <w:tcBorders>
              <w:top w:val="single" w:sz="2" w:space="0" w:color="000000"/>
              <w:left w:val="single" w:sz="4" w:space="0" w:color="000000"/>
              <w:bottom w:val="single" w:sz="4" w:space="0" w:color="000000"/>
              <w:right w:val="single" w:sz="4" w:space="0" w:color="000000"/>
            </w:tcBorders>
          </w:tcPr>
          <w:p w14:paraId="68F6F6C0" w14:textId="39853B21" w:rsidR="001D1334" w:rsidRPr="00C262AC" w:rsidRDefault="001D1334" w:rsidP="001D1334">
            <w:pPr>
              <w:spacing w:line="256" w:lineRule="auto"/>
              <w:ind w:left="47"/>
              <w:jc w:val="both"/>
              <w:rPr>
                <w:rFonts w:ascii="Times New Roman" w:hAnsi="Times New Roman"/>
                <w:color w:val="000000"/>
                <w:sz w:val="22"/>
                <w:szCs w:val="22"/>
              </w:rPr>
            </w:pPr>
            <w:r w:rsidRPr="00C262AC">
              <w:rPr>
                <w:rFonts w:ascii="Times New Roman" w:hAnsi="Times New Roman"/>
                <w:color w:val="000000"/>
                <w:sz w:val="22"/>
                <w:szCs w:val="22"/>
              </w:rPr>
              <w:t>155 (6.0%)</w:t>
            </w:r>
          </w:p>
        </w:tc>
        <w:tc>
          <w:tcPr>
            <w:tcW w:w="1319" w:type="dxa"/>
            <w:tcBorders>
              <w:top w:val="single" w:sz="2" w:space="0" w:color="000000"/>
              <w:left w:val="single" w:sz="4" w:space="0" w:color="000000"/>
              <w:bottom w:val="single" w:sz="4" w:space="0" w:color="000000"/>
              <w:right w:val="single" w:sz="4" w:space="0" w:color="000000"/>
            </w:tcBorders>
          </w:tcPr>
          <w:p w14:paraId="1C444139" w14:textId="77777777" w:rsidR="001D1334" w:rsidRPr="00C262AC" w:rsidRDefault="001D1334" w:rsidP="001D1334">
            <w:pPr>
              <w:spacing w:line="256" w:lineRule="auto"/>
              <w:ind w:left="48"/>
              <w:jc w:val="both"/>
              <w:rPr>
                <w:rFonts w:ascii="Times New Roman" w:hAnsi="Times New Roman"/>
                <w:color w:val="000000"/>
                <w:sz w:val="22"/>
                <w:szCs w:val="22"/>
              </w:rPr>
            </w:pPr>
            <w:r w:rsidRPr="00C262AC">
              <w:rPr>
                <w:rFonts w:ascii="Times New Roman" w:hAnsi="Times New Roman"/>
                <w:color w:val="000000"/>
                <w:sz w:val="22"/>
                <w:szCs w:val="22"/>
              </w:rPr>
              <w:t>0.58</w:t>
            </w:r>
          </w:p>
          <w:p w14:paraId="0186E2AF" w14:textId="77777777" w:rsidR="001D1334" w:rsidRPr="00C262AC" w:rsidRDefault="001D1334" w:rsidP="001D1334">
            <w:pPr>
              <w:spacing w:line="256" w:lineRule="auto"/>
              <w:ind w:left="48"/>
              <w:jc w:val="both"/>
              <w:rPr>
                <w:rFonts w:ascii="Times New Roman" w:hAnsi="Times New Roman"/>
                <w:color w:val="000000"/>
                <w:sz w:val="22"/>
                <w:szCs w:val="22"/>
              </w:rPr>
            </w:pPr>
            <w:r w:rsidRPr="00C262AC">
              <w:rPr>
                <w:rFonts w:ascii="Times New Roman" w:hAnsi="Times New Roman"/>
                <w:color w:val="000000"/>
                <w:sz w:val="22"/>
                <w:szCs w:val="22"/>
              </w:rPr>
              <w:t>(0.45, 0.76)</w:t>
            </w:r>
          </w:p>
          <w:p w14:paraId="5661339B" w14:textId="074B9058" w:rsidR="001D1334" w:rsidRPr="00C262AC" w:rsidRDefault="001D1334" w:rsidP="001D1334">
            <w:pPr>
              <w:spacing w:line="256" w:lineRule="auto"/>
              <w:ind w:left="48"/>
              <w:jc w:val="both"/>
              <w:rPr>
                <w:rFonts w:ascii="Times New Roman" w:hAnsi="Times New Roman"/>
                <w:color w:val="000000"/>
                <w:sz w:val="22"/>
                <w:szCs w:val="22"/>
              </w:rPr>
            </w:pPr>
            <w:r w:rsidRPr="00C262AC">
              <w:rPr>
                <w:rFonts w:ascii="Times New Roman" w:hAnsi="Times New Roman"/>
                <w:color w:val="000000"/>
                <w:sz w:val="22"/>
                <w:szCs w:val="22"/>
              </w:rPr>
              <w:t>0.00003</w:t>
            </w:r>
          </w:p>
        </w:tc>
        <w:tc>
          <w:tcPr>
            <w:tcW w:w="1312" w:type="dxa"/>
            <w:tcBorders>
              <w:top w:val="single" w:sz="2" w:space="0" w:color="000000"/>
              <w:left w:val="single" w:sz="4" w:space="0" w:color="000000"/>
              <w:bottom w:val="single" w:sz="4" w:space="0" w:color="000000"/>
              <w:right w:val="single" w:sz="4" w:space="0" w:color="000000"/>
            </w:tcBorders>
          </w:tcPr>
          <w:p w14:paraId="6A05A7BC" w14:textId="78ED2D86" w:rsidR="001D1334" w:rsidRPr="00C262AC" w:rsidRDefault="001D1334" w:rsidP="001D1334">
            <w:pPr>
              <w:spacing w:line="256" w:lineRule="auto"/>
              <w:ind w:left="34"/>
              <w:jc w:val="both"/>
              <w:rPr>
                <w:rFonts w:ascii="Times New Roman" w:hAnsi="Times New Roman"/>
                <w:color w:val="000000"/>
                <w:sz w:val="22"/>
                <w:szCs w:val="22"/>
              </w:rPr>
            </w:pPr>
            <w:r w:rsidRPr="00C262AC">
              <w:rPr>
                <w:rFonts w:ascii="Times New Roman" w:hAnsi="Times New Roman"/>
                <w:color w:val="000000"/>
                <w:sz w:val="22"/>
                <w:szCs w:val="22"/>
              </w:rPr>
              <w:t>209 (8.1%)</w:t>
            </w:r>
          </w:p>
        </w:tc>
        <w:tc>
          <w:tcPr>
            <w:tcW w:w="1312" w:type="dxa"/>
            <w:tcBorders>
              <w:top w:val="single" w:sz="2" w:space="0" w:color="000000"/>
              <w:left w:val="single" w:sz="4" w:space="0" w:color="000000"/>
              <w:bottom w:val="single" w:sz="4" w:space="0" w:color="000000"/>
              <w:right w:val="single" w:sz="2" w:space="0" w:color="000000"/>
            </w:tcBorders>
          </w:tcPr>
          <w:p w14:paraId="7600BCBF" w14:textId="3DF8584E" w:rsidR="001D1334" w:rsidRPr="00C262AC" w:rsidRDefault="001D1334" w:rsidP="001D1334">
            <w:pPr>
              <w:spacing w:line="256" w:lineRule="auto"/>
              <w:jc w:val="both"/>
              <w:rPr>
                <w:rFonts w:ascii="Times New Roman" w:hAnsi="Times New Roman"/>
                <w:color w:val="000000"/>
                <w:sz w:val="22"/>
                <w:szCs w:val="22"/>
              </w:rPr>
            </w:pPr>
            <w:r w:rsidRPr="00C262AC">
              <w:rPr>
                <w:rFonts w:ascii="Times New Roman" w:hAnsi="Times New Roman"/>
                <w:color w:val="000000"/>
                <w:sz w:val="22"/>
                <w:szCs w:val="22"/>
              </w:rPr>
              <w:t>286 (11.1%)</w:t>
            </w:r>
          </w:p>
        </w:tc>
        <w:tc>
          <w:tcPr>
            <w:tcW w:w="1315" w:type="dxa"/>
            <w:tcBorders>
              <w:top w:val="single" w:sz="2" w:space="0" w:color="000000"/>
              <w:left w:val="single" w:sz="2" w:space="0" w:color="000000"/>
              <w:bottom w:val="single" w:sz="4" w:space="0" w:color="000000"/>
              <w:right w:val="single" w:sz="4" w:space="0" w:color="000000"/>
            </w:tcBorders>
          </w:tcPr>
          <w:p w14:paraId="31D9D2E2" w14:textId="77777777" w:rsidR="001D1334" w:rsidRPr="00C262AC" w:rsidRDefault="001D1334" w:rsidP="001D1334">
            <w:pPr>
              <w:spacing w:line="256" w:lineRule="auto"/>
              <w:jc w:val="both"/>
              <w:rPr>
                <w:rFonts w:ascii="Times New Roman" w:hAnsi="Times New Roman"/>
                <w:color w:val="000000"/>
                <w:sz w:val="22"/>
                <w:szCs w:val="22"/>
              </w:rPr>
            </w:pPr>
            <w:r w:rsidRPr="00C262AC">
              <w:rPr>
                <w:rFonts w:ascii="Times New Roman" w:hAnsi="Times New Roman"/>
                <w:color w:val="000000"/>
                <w:sz w:val="22"/>
                <w:szCs w:val="22"/>
              </w:rPr>
              <w:t>0.75</w:t>
            </w:r>
          </w:p>
          <w:p w14:paraId="1BE5957C" w14:textId="039220A9" w:rsidR="001D1334" w:rsidRPr="00C262AC" w:rsidRDefault="001D1334" w:rsidP="001D1334">
            <w:pPr>
              <w:spacing w:line="256" w:lineRule="auto"/>
              <w:ind w:right="28"/>
              <w:jc w:val="both"/>
              <w:rPr>
                <w:rFonts w:ascii="Times New Roman" w:hAnsi="Times New Roman"/>
                <w:color w:val="000000"/>
                <w:sz w:val="22"/>
                <w:szCs w:val="22"/>
              </w:rPr>
            </w:pPr>
            <w:r w:rsidRPr="00C262AC">
              <w:rPr>
                <w:rFonts w:ascii="Times New Roman" w:hAnsi="Times New Roman"/>
                <w:color w:val="000000"/>
                <w:sz w:val="22"/>
                <w:szCs w:val="22"/>
              </w:rPr>
              <w:t>(0.63, 0.89)</w:t>
            </w:r>
          </w:p>
        </w:tc>
      </w:tr>
      <w:tr w:rsidR="001D1334" w:rsidRPr="00C262AC" w14:paraId="0A009F24" w14:textId="77777777" w:rsidTr="00C71D44">
        <w:trPr>
          <w:trHeight w:val="480"/>
        </w:trPr>
        <w:tc>
          <w:tcPr>
            <w:tcW w:w="1480" w:type="dxa"/>
            <w:tcBorders>
              <w:top w:val="single" w:sz="4" w:space="0" w:color="000000"/>
              <w:left w:val="single" w:sz="2" w:space="0" w:color="000000"/>
              <w:bottom w:val="single" w:sz="4" w:space="0" w:color="000000"/>
              <w:right w:val="single" w:sz="4" w:space="0" w:color="000000"/>
            </w:tcBorders>
            <w:hideMark/>
          </w:tcPr>
          <w:p w14:paraId="2DB2D15C" w14:textId="77777777" w:rsidR="001D1334" w:rsidRPr="00C262AC" w:rsidRDefault="001D1334" w:rsidP="001D1334">
            <w:pPr>
              <w:spacing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Stepen</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četvorogodišnjeg</w:t>
            </w:r>
            <w:proofErr w:type="spellEnd"/>
            <w:r w:rsidRPr="00C262AC">
              <w:rPr>
                <w:rFonts w:ascii="Times New Roman" w:hAnsi="Times New Roman"/>
                <w:color w:val="000000"/>
                <w:sz w:val="22"/>
                <w:szCs w:val="22"/>
              </w:rPr>
              <w:t xml:space="preserve"> DFS</w:t>
            </w:r>
          </w:p>
        </w:tc>
        <w:tc>
          <w:tcPr>
            <w:tcW w:w="1310" w:type="dxa"/>
            <w:tcBorders>
              <w:top w:val="single" w:sz="4" w:space="0" w:color="000000"/>
              <w:left w:val="single" w:sz="4" w:space="0" w:color="000000"/>
              <w:bottom w:val="single" w:sz="4" w:space="0" w:color="000000"/>
              <w:right w:val="single" w:sz="4" w:space="0" w:color="000000"/>
            </w:tcBorders>
            <w:hideMark/>
          </w:tcPr>
          <w:p w14:paraId="4016791C" w14:textId="77777777" w:rsidR="001D1334" w:rsidRPr="00C262AC" w:rsidRDefault="001D1334" w:rsidP="001D1334">
            <w:pPr>
              <w:spacing w:line="256" w:lineRule="auto"/>
              <w:ind w:left="45"/>
              <w:jc w:val="both"/>
              <w:rPr>
                <w:rFonts w:ascii="Times New Roman" w:hAnsi="Times New Roman"/>
                <w:color w:val="000000"/>
                <w:sz w:val="22"/>
                <w:szCs w:val="22"/>
              </w:rPr>
            </w:pPr>
            <w:r w:rsidRPr="00C262AC">
              <w:rPr>
                <w:rFonts w:ascii="Times New Roman" w:hAnsi="Times New Roman"/>
                <w:color w:val="000000"/>
                <w:sz w:val="22"/>
                <w:szCs w:val="22"/>
              </w:rPr>
              <w:t>94.4%</w:t>
            </w:r>
          </w:p>
        </w:tc>
        <w:tc>
          <w:tcPr>
            <w:tcW w:w="1312" w:type="dxa"/>
            <w:tcBorders>
              <w:top w:val="single" w:sz="4" w:space="0" w:color="000000"/>
              <w:left w:val="single" w:sz="4" w:space="0" w:color="000000"/>
              <w:bottom w:val="single" w:sz="4" w:space="0" w:color="000000"/>
              <w:right w:val="single" w:sz="4" w:space="0" w:color="000000"/>
            </w:tcBorders>
            <w:hideMark/>
          </w:tcPr>
          <w:p w14:paraId="3930F3F9" w14:textId="77777777" w:rsidR="001D1334" w:rsidRPr="00C262AC" w:rsidRDefault="001D1334" w:rsidP="001D1334">
            <w:pPr>
              <w:spacing w:line="256" w:lineRule="auto"/>
              <w:ind w:left="45"/>
              <w:jc w:val="both"/>
              <w:rPr>
                <w:rFonts w:ascii="Times New Roman" w:hAnsi="Times New Roman"/>
                <w:color w:val="000000"/>
                <w:sz w:val="22"/>
                <w:szCs w:val="22"/>
              </w:rPr>
            </w:pPr>
            <w:r w:rsidRPr="00C262AC">
              <w:rPr>
                <w:rFonts w:ascii="Times New Roman" w:hAnsi="Times New Roman"/>
                <w:color w:val="000000"/>
                <w:sz w:val="22"/>
                <w:szCs w:val="22"/>
              </w:rPr>
              <w:t>89.8%</w:t>
            </w:r>
          </w:p>
        </w:tc>
        <w:tc>
          <w:tcPr>
            <w:tcW w:w="1319" w:type="dxa"/>
            <w:tcBorders>
              <w:top w:val="single" w:sz="4" w:space="0" w:color="000000"/>
              <w:left w:val="single" w:sz="4" w:space="0" w:color="000000"/>
              <w:bottom w:val="single" w:sz="4" w:space="0" w:color="000000"/>
              <w:right w:val="single" w:sz="4" w:space="0" w:color="000000"/>
            </w:tcBorders>
          </w:tcPr>
          <w:p w14:paraId="260C7844" w14:textId="77777777" w:rsidR="001D1334" w:rsidRPr="00C262AC" w:rsidRDefault="001D1334" w:rsidP="001D1334">
            <w:pPr>
              <w:spacing w:after="160" w:line="256" w:lineRule="auto"/>
              <w:jc w:val="both"/>
              <w:rPr>
                <w:rFonts w:ascii="Times New Roman" w:hAnsi="Times New Roman"/>
                <w:color w:val="000000"/>
                <w:sz w:val="22"/>
                <w:szCs w:val="22"/>
              </w:rPr>
            </w:pPr>
          </w:p>
        </w:tc>
        <w:tc>
          <w:tcPr>
            <w:tcW w:w="1312" w:type="dxa"/>
            <w:tcBorders>
              <w:top w:val="single" w:sz="4" w:space="0" w:color="000000"/>
              <w:left w:val="single" w:sz="4" w:space="0" w:color="000000"/>
              <w:bottom w:val="single" w:sz="4" w:space="0" w:color="000000"/>
              <w:right w:val="single" w:sz="4" w:space="0" w:color="000000"/>
            </w:tcBorders>
            <w:hideMark/>
          </w:tcPr>
          <w:p w14:paraId="476E9641" w14:textId="77777777" w:rsidR="001D1334" w:rsidRPr="00C262AC" w:rsidRDefault="001D1334" w:rsidP="001D1334">
            <w:pPr>
              <w:spacing w:line="256" w:lineRule="auto"/>
              <w:ind w:left="40"/>
              <w:jc w:val="both"/>
              <w:rPr>
                <w:rFonts w:ascii="Times New Roman" w:hAnsi="Times New Roman"/>
                <w:color w:val="000000"/>
                <w:sz w:val="22"/>
                <w:szCs w:val="22"/>
              </w:rPr>
            </w:pPr>
            <w:r w:rsidRPr="00C262AC">
              <w:rPr>
                <w:rFonts w:ascii="Times New Roman" w:hAnsi="Times New Roman"/>
                <w:color w:val="000000"/>
                <w:sz w:val="22"/>
                <w:szCs w:val="22"/>
              </w:rPr>
              <w:t>94.4%</w:t>
            </w:r>
          </w:p>
        </w:tc>
        <w:tc>
          <w:tcPr>
            <w:tcW w:w="1312" w:type="dxa"/>
            <w:tcBorders>
              <w:top w:val="single" w:sz="4" w:space="0" w:color="000000"/>
              <w:left w:val="single" w:sz="4" w:space="0" w:color="000000"/>
              <w:bottom w:val="single" w:sz="4" w:space="0" w:color="000000"/>
              <w:right w:val="single" w:sz="2" w:space="0" w:color="000000"/>
            </w:tcBorders>
            <w:hideMark/>
          </w:tcPr>
          <w:p w14:paraId="78871560" w14:textId="77777777" w:rsidR="001D1334" w:rsidRPr="00C262AC" w:rsidRDefault="001D1334" w:rsidP="001D1334">
            <w:pPr>
              <w:spacing w:line="256" w:lineRule="auto"/>
              <w:ind w:left="48"/>
              <w:jc w:val="both"/>
              <w:rPr>
                <w:rFonts w:ascii="Times New Roman" w:hAnsi="Times New Roman"/>
                <w:color w:val="000000"/>
                <w:sz w:val="22"/>
                <w:szCs w:val="22"/>
              </w:rPr>
            </w:pPr>
            <w:r w:rsidRPr="00C262AC">
              <w:rPr>
                <w:rFonts w:ascii="Times New Roman" w:hAnsi="Times New Roman"/>
                <w:color w:val="000000"/>
                <w:sz w:val="22"/>
                <w:szCs w:val="22"/>
              </w:rPr>
              <w:t>91.4%</w:t>
            </w:r>
          </w:p>
        </w:tc>
        <w:tc>
          <w:tcPr>
            <w:tcW w:w="1315" w:type="dxa"/>
            <w:tcBorders>
              <w:top w:val="single" w:sz="4" w:space="0" w:color="000000"/>
              <w:left w:val="single" w:sz="2" w:space="0" w:color="000000"/>
              <w:bottom w:val="single" w:sz="4" w:space="0" w:color="000000"/>
              <w:right w:val="single" w:sz="4" w:space="0" w:color="000000"/>
            </w:tcBorders>
          </w:tcPr>
          <w:p w14:paraId="714BF4F0" w14:textId="77777777" w:rsidR="001D1334" w:rsidRPr="00C262AC" w:rsidRDefault="001D1334" w:rsidP="001D1334">
            <w:pPr>
              <w:spacing w:after="160" w:line="256" w:lineRule="auto"/>
              <w:jc w:val="both"/>
              <w:rPr>
                <w:rFonts w:ascii="Times New Roman" w:hAnsi="Times New Roman"/>
                <w:color w:val="000000"/>
                <w:sz w:val="22"/>
                <w:szCs w:val="22"/>
              </w:rPr>
            </w:pPr>
          </w:p>
        </w:tc>
      </w:tr>
      <w:tr w:rsidR="001D1334" w:rsidRPr="00C262AC" w14:paraId="1066F0CC" w14:textId="77777777" w:rsidTr="00C71D44">
        <w:trPr>
          <w:trHeight w:val="250"/>
        </w:trPr>
        <w:tc>
          <w:tcPr>
            <w:tcW w:w="9360" w:type="dxa"/>
            <w:gridSpan w:val="7"/>
            <w:tcBorders>
              <w:top w:val="single" w:sz="4" w:space="0" w:color="000000"/>
              <w:left w:val="single" w:sz="2" w:space="0" w:color="000000"/>
              <w:bottom w:val="single" w:sz="4" w:space="0" w:color="000000"/>
              <w:right w:val="single" w:sz="4" w:space="0" w:color="000000"/>
            </w:tcBorders>
            <w:hideMark/>
          </w:tcPr>
          <w:p w14:paraId="54E5D69C" w14:textId="5BD3899B" w:rsidR="001D1334" w:rsidRPr="00C262AC" w:rsidRDefault="001D1334" w:rsidP="001D1334">
            <w:pPr>
              <w:spacing w:line="256" w:lineRule="auto"/>
              <w:jc w:val="both"/>
              <w:rPr>
                <w:rFonts w:ascii="Times New Roman" w:hAnsi="Times New Roman"/>
                <w:color w:val="000000"/>
                <w:sz w:val="22"/>
                <w:szCs w:val="22"/>
                <w:lang w:val="sr-Latn-RS"/>
              </w:rPr>
            </w:pPr>
            <w:r w:rsidRPr="00C262AC">
              <w:rPr>
                <w:rFonts w:ascii="Times New Roman" w:hAnsi="Times New Roman"/>
                <w:b/>
                <w:color w:val="000000"/>
                <w:sz w:val="22"/>
                <w:szCs w:val="22"/>
                <w:lang w:val="sr-Latn-RS"/>
              </w:rPr>
              <w:t>Preživljavanj</w:t>
            </w:r>
            <w:r w:rsidR="007F407F" w:rsidRPr="00C262AC">
              <w:rPr>
                <w:rFonts w:ascii="Times New Roman" w:hAnsi="Times New Roman"/>
                <w:b/>
                <w:color w:val="000000"/>
                <w:sz w:val="22"/>
                <w:szCs w:val="22"/>
                <w:lang w:val="sr-Latn-RS"/>
              </w:rPr>
              <w:t>e</w:t>
            </w:r>
            <w:r w:rsidRPr="00C262AC">
              <w:rPr>
                <w:rFonts w:ascii="Times New Roman" w:hAnsi="Times New Roman"/>
                <w:b/>
                <w:color w:val="000000"/>
                <w:sz w:val="22"/>
                <w:szCs w:val="22"/>
                <w:lang w:val="sr-Latn-RS"/>
              </w:rPr>
              <w:t xml:space="preserve"> bez bolesti</w:t>
            </w:r>
            <w:r w:rsidRPr="00C262AC">
              <w:rPr>
                <w:rFonts w:ascii="Times New Roman" w:hAnsi="Times New Roman"/>
                <w:b/>
                <w:color w:val="000000"/>
                <w:sz w:val="22"/>
                <w:szCs w:val="22"/>
                <w:vertAlign w:val="superscript"/>
                <w:lang w:val="sr-Latn-RS"/>
              </w:rPr>
              <w:t>3</w:t>
            </w:r>
            <w:r w:rsidRPr="00C262AC">
              <w:rPr>
                <w:rFonts w:ascii="Times New Roman" w:hAnsi="Times New Roman"/>
                <w:b/>
                <w:color w:val="000000"/>
                <w:sz w:val="22"/>
                <w:szCs w:val="22"/>
                <w:lang w:val="sr-Latn-RS"/>
              </w:rPr>
              <w:t>, uključujući smrtni ishod iz bilo kog razloga</w:t>
            </w:r>
          </w:p>
        </w:tc>
      </w:tr>
      <w:tr w:rsidR="001D1334" w:rsidRPr="00C262AC" w14:paraId="64C1DA02" w14:textId="77777777" w:rsidTr="00C71D44">
        <w:trPr>
          <w:trHeight w:val="722"/>
        </w:trPr>
        <w:tc>
          <w:tcPr>
            <w:tcW w:w="1480" w:type="dxa"/>
            <w:tcBorders>
              <w:top w:val="single" w:sz="4" w:space="0" w:color="000000"/>
              <w:left w:val="single" w:sz="2" w:space="0" w:color="000000"/>
              <w:bottom w:val="single" w:sz="2" w:space="0" w:color="000000"/>
              <w:right w:val="single" w:sz="4" w:space="0" w:color="000000"/>
            </w:tcBorders>
            <w:hideMark/>
          </w:tcPr>
          <w:p w14:paraId="58307895" w14:textId="77777777" w:rsidR="001D1334" w:rsidRPr="00C262AC" w:rsidRDefault="001D1334" w:rsidP="001D1334">
            <w:pPr>
              <w:spacing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Događaji</w:t>
            </w:r>
            <w:proofErr w:type="spellEnd"/>
          </w:p>
        </w:tc>
        <w:tc>
          <w:tcPr>
            <w:tcW w:w="1310" w:type="dxa"/>
            <w:tcBorders>
              <w:top w:val="single" w:sz="4" w:space="0" w:color="000000"/>
              <w:left w:val="single" w:sz="4" w:space="0" w:color="000000"/>
              <w:bottom w:val="single" w:sz="2" w:space="0" w:color="000000"/>
              <w:right w:val="single" w:sz="4" w:space="0" w:color="000000"/>
            </w:tcBorders>
            <w:hideMark/>
          </w:tcPr>
          <w:p w14:paraId="568EC7FD" w14:textId="77777777" w:rsidR="001D1334" w:rsidRPr="00C262AC" w:rsidRDefault="001D1334" w:rsidP="001D1334">
            <w:pPr>
              <w:spacing w:line="256" w:lineRule="auto"/>
              <w:ind w:left="42"/>
              <w:jc w:val="both"/>
              <w:rPr>
                <w:rFonts w:ascii="Times New Roman" w:hAnsi="Times New Roman"/>
                <w:color w:val="000000"/>
                <w:sz w:val="22"/>
                <w:szCs w:val="22"/>
              </w:rPr>
            </w:pPr>
            <w:r w:rsidRPr="00C262AC">
              <w:rPr>
                <w:rFonts w:ascii="Times New Roman" w:hAnsi="Times New Roman"/>
                <w:color w:val="000000"/>
                <w:sz w:val="22"/>
                <w:szCs w:val="22"/>
              </w:rPr>
              <w:t>122 (4.7%)</w:t>
            </w:r>
          </w:p>
        </w:tc>
        <w:tc>
          <w:tcPr>
            <w:tcW w:w="1312" w:type="dxa"/>
            <w:tcBorders>
              <w:top w:val="single" w:sz="4" w:space="0" w:color="000000"/>
              <w:left w:val="single" w:sz="4" w:space="0" w:color="000000"/>
              <w:bottom w:val="single" w:sz="2" w:space="0" w:color="000000"/>
              <w:right w:val="single" w:sz="4" w:space="0" w:color="000000"/>
            </w:tcBorders>
            <w:hideMark/>
          </w:tcPr>
          <w:p w14:paraId="3E9B2946" w14:textId="77777777" w:rsidR="001D1334" w:rsidRPr="00C262AC" w:rsidRDefault="001D1334" w:rsidP="001D1334">
            <w:pPr>
              <w:spacing w:line="256" w:lineRule="auto"/>
              <w:ind w:left="47"/>
              <w:jc w:val="both"/>
              <w:rPr>
                <w:rFonts w:ascii="Times New Roman" w:hAnsi="Times New Roman"/>
                <w:color w:val="000000"/>
                <w:sz w:val="22"/>
                <w:szCs w:val="22"/>
              </w:rPr>
            </w:pPr>
            <w:r w:rsidRPr="00C262AC">
              <w:rPr>
                <w:rFonts w:ascii="Times New Roman" w:hAnsi="Times New Roman"/>
                <w:color w:val="000000"/>
                <w:sz w:val="22"/>
                <w:szCs w:val="22"/>
              </w:rPr>
              <w:t>193 (7.5%)</w:t>
            </w:r>
          </w:p>
        </w:tc>
        <w:tc>
          <w:tcPr>
            <w:tcW w:w="1319" w:type="dxa"/>
            <w:tcBorders>
              <w:top w:val="single" w:sz="4" w:space="0" w:color="000000"/>
              <w:left w:val="single" w:sz="4" w:space="0" w:color="000000"/>
              <w:bottom w:val="single" w:sz="2" w:space="0" w:color="000000"/>
              <w:right w:val="single" w:sz="4" w:space="0" w:color="000000"/>
            </w:tcBorders>
            <w:hideMark/>
          </w:tcPr>
          <w:p w14:paraId="618B3FA4" w14:textId="77777777" w:rsidR="001D1334" w:rsidRPr="00C262AC" w:rsidRDefault="001D1334" w:rsidP="001D1334">
            <w:pPr>
              <w:spacing w:line="256" w:lineRule="auto"/>
              <w:ind w:left="74" w:right="28"/>
              <w:jc w:val="both"/>
              <w:rPr>
                <w:rFonts w:ascii="Times New Roman" w:hAnsi="Times New Roman"/>
                <w:color w:val="000000"/>
                <w:sz w:val="22"/>
                <w:szCs w:val="22"/>
              </w:rPr>
            </w:pPr>
            <w:r w:rsidRPr="00C262AC">
              <w:rPr>
                <w:rFonts w:ascii="Times New Roman" w:hAnsi="Times New Roman"/>
                <w:color w:val="000000"/>
                <w:sz w:val="22"/>
                <w:szCs w:val="22"/>
              </w:rPr>
              <w:t>0.62</w:t>
            </w:r>
          </w:p>
          <w:p w14:paraId="36154EEB" w14:textId="77777777" w:rsidR="001D1334" w:rsidRPr="00C262AC" w:rsidRDefault="001D1334" w:rsidP="001D1334">
            <w:pPr>
              <w:spacing w:line="256" w:lineRule="auto"/>
              <w:ind w:right="28"/>
              <w:jc w:val="both"/>
              <w:rPr>
                <w:rFonts w:ascii="Times New Roman" w:hAnsi="Times New Roman"/>
                <w:color w:val="000000"/>
                <w:sz w:val="22"/>
                <w:szCs w:val="22"/>
              </w:rPr>
            </w:pPr>
            <w:r w:rsidRPr="00C262AC">
              <w:rPr>
                <w:rFonts w:ascii="Times New Roman" w:hAnsi="Times New Roman"/>
                <w:color w:val="000000"/>
                <w:sz w:val="22"/>
                <w:szCs w:val="22"/>
              </w:rPr>
              <w:t xml:space="preserve"> (0.49, 0.78)</w:t>
            </w:r>
          </w:p>
        </w:tc>
        <w:tc>
          <w:tcPr>
            <w:tcW w:w="1312" w:type="dxa"/>
            <w:tcBorders>
              <w:top w:val="single" w:sz="4" w:space="0" w:color="000000"/>
              <w:left w:val="single" w:sz="4" w:space="0" w:color="000000"/>
              <w:bottom w:val="single" w:sz="2" w:space="0" w:color="000000"/>
              <w:right w:val="single" w:sz="4" w:space="0" w:color="000000"/>
            </w:tcBorders>
          </w:tcPr>
          <w:p w14:paraId="6A816D21" w14:textId="77777777" w:rsidR="001D1334" w:rsidRPr="00C262AC" w:rsidRDefault="001D1334" w:rsidP="001D1334">
            <w:pPr>
              <w:spacing w:line="256" w:lineRule="auto"/>
              <w:ind w:left="34"/>
              <w:jc w:val="both"/>
              <w:rPr>
                <w:rFonts w:ascii="Times New Roman" w:hAnsi="Times New Roman"/>
                <w:color w:val="000000"/>
                <w:sz w:val="22"/>
                <w:szCs w:val="22"/>
              </w:rPr>
            </w:pPr>
            <w:r w:rsidRPr="00C262AC">
              <w:rPr>
                <w:rFonts w:ascii="Times New Roman" w:hAnsi="Times New Roman"/>
                <w:color w:val="000000"/>
                <w:sz w:val="22"/>
                <w:szCs w:val="22"/>
              </w:rPr>
              <w:t>344</w:t>
            </w:r>
          </w:p>
          <w:p w14:paraId="02446A14" w14:textId="77777777" w:rsidR="001D1334" w:rsidRPr="00C262AC" w:rsidRDefault="001D1334" w:rsidP="001D1334">
            <w:pPr>
              <w:spacing w:line="256" w:lineRule="auto"/>
              <w:ind w:left="33"/>
              <w:jc w:val="both"/>
              <w:rPr>
                <w:rFonts w:ascii="Times New Roman" w:hAnsi="Times New Roman"/>
                <w:color w:val="000000"/>
                <w:sz w:val="22"/>
                <w:szCs w:val="22"/>
              </w:rPr>
            </w:pPr>
            <w:r w:rsidRPr="00C262AC">
              <w:rPr>
                <w:rFonts w:ascii="Times New Roman" w:hAnsi="Times New Roman"/>
                <w:color w:val="000000"/>
                <w:sz w:val="22"/>
                <w:szCs w:val="22"/>
              </w:rPr>
              <w:t>(13.3%)</w:t>
            </w:r>
          </w:p>
          <w:p w14:paraId="15A621A3" w14:textId="77777777" w:rsidR="001D1334" w:rsidRPr="00C262AC" w:rsidRDefault="001D1334" w:rsidP="001D1334">
            <w:pPr>
              <w:spacing w:line="256" w:lineRule="auto"/>
              <w:ind w:left="40"/>
              <w:jc w:val="both"/>
              <w:rPr>
                <w:rFonts w:ascii="Times New Roman" w:hAnsi="Times New Roman"/>
                <w:color w:val="000000"/>
                <w:sz w:val="22"/>
                <w:szCs w:val="22"/>
              </w:rPr>
            </w:pPr>
          </w:p>
        </w:tc>
        <w:tc>
          <w:tcPr>
            <w:tcW w:w="1312" w:type="dxa"/>
            <w:tcBorders>
              <w:top w:val="single" w:sz="4" w:space="0" w:color="000000"/>
              <w:left w:val="single" w:sz="4" w:space="0" w:color="000000"/>
              <w:bottom w:val="single" w:sz="2" w:space="0" w:color="000000"/>
              <w:right w:val="single" w:sz="2" w:space="0" w:color="000000"/>
            </w:tcBorders>
            <w:hideMark/>
          </w:tcPr>
          <w:p w14:paraId="21652FAE" w14:textId="77777777" w:rsidR="001D1334" w:rsidRPr="00C262AC" w:rsidRDefault="001D1334" w:rsidP="001D1334">
            <w:pPr>
              <w:spacing w:line="256" w:lineRule="auto"/>
              <w:jc w:val="both"/>
              <w:rPr>
                <w:rFonts w:ascii="Times New Roman" w:hAnsi="Times New Roman"/>
                <w:color w:val="000000"/>
                <w:sz w:val="22"/>
                <w:szCs w:val="22"/>
              </w:rPr>
            </w:pPr>
            <w:r w:rsidRPr="00C262AC">
              <w:rPr>
                <w:rFonts w:ascii="Times New Roman" w:hAnsi="Times New Roman"/>
                <w:color w:val="000000"/>
                <w:sz w:val="22"/>
                <w:szCs w:val="22"/>
              </w:rPr>
              <w:t>402 (15.5%)</w:t>
            </w:r>
          </w:p>
          <w:p w14:paraId="41E2D8F0" w14:textId="6B19DAAF" w:rsidR="001D1334" w:rsidRPr="00C262AC" w:rsidRDefault="001D1334" w:rsidP="001D1334">
            <w:pPr>
              <w:spacing w:line="256" w:lineRule="auto"/>
              <w:ind w:left="48"/>
              <w:jc w:val="both"/>
              <w:rPr>
                <w:rFonts w:ascii="Times New Roman" w:hAnsi="Times New Roman"/>
                <w:color w:val="000000"/>
                <w:sz w:val="22"/>
                <w:szCs w:val="22"/>
              </w:rPr>
            </w:pPr>
          </w:p>
        </w:tc>
        <w:tc>
          <w:tcPr>
            <w:tcW w:w="1315" w:type="dxa"/>
            <w:tcBorders>
              <w:top w:val="single" w:sz="4" w:space="0" w:color="000000"/>
              <w:left w:val="single" w:sz="2" w:space="0" w:color="000000"/>
              <w:bottom w:val="single" w:sz="2" w:space="0" w:color="000000"/>
              <w:right w:val="single" w:sz="4" w:space="0" w:color="000000"/>
            </w:tcBorders>
            <w:hideMark/>
          </w:tcPr>
          <w:p w14:paraId="36A947E7" w14:textId="77777777" w:rsidR="001D1334" w:rsidRPr="00C262AC" w:rsidRDefault="001D1334" w:rsidP="001D1334">
            <w:pPr>
              <w:spacing w:line="256" w:lineRule="auto"/>
              <w:ind w:left="72" w:right="28"/>
              <w:jc w:val="both"/>
              <w:rPr>
                <w:rFonts w:ascii="Times New Roman" w:hAnsi="Times New Roman"/>
                <w:color w:val="000000"/>
                <w:sz w:val="22"/>
                <w:szCs w:val="22"/>
              </w:rPr>
            </w:pPr>
            <w:r w:rsidRPr="00C262AC">
              <w:rPr>
                <w:rFonts w:ascii="Times New Roman" w:hAnsi="Times New Roman"/>
                <w:color w:val="000000"/>
                <w:sz w:val="22"/>
                <w:szCs w:val="22"/>
              </w:rPr>
              <w:t xml:space="preserve">0.89 </w:t>
            </w:r>
          </w:p>
          <w:p w14:paraId="17384528" w14:textId="77777777" w:rsidR="001D1334" w:rsidRPr="00C262AC" w:rsidRDefault="001D1334" w:rsidP="001D1334">
            <w:pPr>
              <w:spacing w:line="256" w:lineRule="auto"/>
              <w:ind w:right="28"/>
              <w:jc w:val="both"/>
              <w:rPr>
                <w:rFonts w:ascii="Times New Roman" w:hAnsi="Times New Roman"/>
                <w:color w:val="000000"/>
                <w:sz w:val="22"/>
                <w:szCs w:val="22"/>
              </w:rPr>
            </w:pPr>
            <w:r w:rsidRPr="00C262AC">
              <w:rPr>
                <w:rFonts w:ascii="Times New Roman" w:hAnsi="Times New Roman"/>
                <w:color w:val="000000"/>
                <w:sz w:val="22"/>
                <w:szCs w:val="22"/>
              </w:rPr>
              <w:t>(0.77, 1.03)</w:t>
            </w:r>
          </w:p>
        </w:tc>
      </w:tr>
      <w:tr w:rsidR="001D1334" w:rsidRPr="00C262AC" w14:paraId="10224D19" w14:textId="77777777" w:rsidTr="00C71D44">
        <w:trPr>
          <w:trHeight w:val="487"/>
        </w:trPr>
        <w:tc>
          <w:tcPr>
            <w:tcW w:w="1480" w:type="dxa"/>
            <w:tcBorders>
              <w:top w:val="single" w:sz="2" w:space="0" w:color="000000"/>
              <w:left w:val="single" w:sz="2" w:space="0" w:color="000000"/>
              <w:bottom w:val="single" w:sz="4" w:space="0" w:color="000000"/>
              <w:right w:val="single" w:sz="4" w:space="0" w:color="000000"/>
            </w:tcBorders>
            <w:hideMark/>
          </w:tcPr>
          <w:p w14:paraId="7BD56DB1" w14:textId="77777777" w:rsidR="001D1334" w:rsidRPr="00C262AC" w:rsidRDefault="001D1334" w:rsidP="001D1334">
            <w:pPr>
              <w:spacing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Stepen</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petogodišnjeg</w:t>
            </w:r>
            <w:proofErr w:type="spellEnd"/>
            <w:r w:rsidRPr="00C262AC">
              <w:rPr>
                <w:rFonts w:ascii="Times New Roman" w:hAnsi="Times New Roman"/>
                <w:color w:val="000000"/>
                <w:sz w:val="22"/>
                <w:szCs w:val="22"/>
              </w:rPr>
              <w:t xml:space="preserve"> DFS</w:t>
            </w:r>
          </w:p>
        </w:tc>
        <w:tc>
          <w:tcPr>
            <w:tcW w:w="1310" w:type="dxa"/>
            <w:tcBorders>
              <w:top w:val="single" w:sz="2" w:space="0" w:color="000000"/>
              <w:left w:val="single" w:sz="4" w:space="0" w:color="000000"/>
              <w:bottom w:val="single" w:sz="4" w:space="0" w:color="000000"/>
              <w:right w:val="single" w:sz="4" w:space="0" w:color="000000"/>
            </w:tcBorders>
            <w:hideMark/>
          </w:tcPr>
          <w:p w14:paraId="45DE1FE1" w14:textId="77777777" w:rsidR="001D1334" w:rsidRPr="00C262AC" w:rsidRDefault="001D1334" w:rsidP="001D1334">
            <w:pPr>
              <w:spacing w:line="256" w:lineRule="auto"/>
              <w:ind w:left="45"/>
              <w:jc w:val="both"/>
              <w:rPr>
                <w:rFonts w:ascii="Times New Roman" w:hAnsi="Times New Roman"/>
                <w:color w:val="000000"/>
                <w:sz w:val="22"/>
                <w:szCs w:val="22"/>
              </w:rPr>
            </w:pPr>
            <w:r w:rsidRPr="00C262AC">
              <w:rPr>
                <w:rFonts w:ascii="Times New Roman" w:hAnsi="Times New Roman"/>
                <w:color w:val="000000"/>
                <w:sz w:val="22"/>
                <w:szCs w:val="22"/>
              </w:rPr>
              <w:t>90.5%</w:t>
            </w:r>
          </w:p>
        </w:tc>
        <w:tc>
          <w:tcPr>
            <w:tcW w:w="1312" w:type="dxa"/>
            <w:tcBorders>
              <w:top w:val="single" w:sz="2" w:space="0" w:color="000000"/>
              <w:left w:val="single" w:sz="4" w:space="0" w:color="000000"/>
              <w:bottom w:val="single" w:sz="4" w:space="0" w:color="000000"/>
              <w:right w:val="single" w:sz="4" w:space="0" w:color="000000"/>
            </w:tcBorders>
            <w:hideMark/>
          </w:tcPr>
          <w:p w14:paraId="7579C8E3" w14:textId="77777777" w:rsidR="001D1334" w:rsidRPr="00C262AC" w:rsidRDefault="001D1334" w:rsidP="001D1334">
            <w:pPr>
              <w:spacing w:line="256" w:lineRule="auto"/>
              <w:ind w:left="45"/>
              <w:jc w:val="both"/>
              <w:rPr>
                <w:rFonts w:ascii="Times New Roman" w:hAnsi="Times New Roman"/>
                <w:color w:val="000000"/>
                <w:sz w:val="22"/>
                <w:szCs w:val="22"/>
              </w:rPr>
            </w:pPr>
            <w:r w:rsidRPr="00C262AC">
              <w:rPr>
                <w:rFonts w:ascii="Times New Roman" w:hAnsi="Times New Roman"/>
                <w:color w:val="000000"/>
                <w:sz w:val="22"/>
                <w:szCs w:val="22"/>
              </w:rPr>
              <w:t>80.8%</w:t>
            </w:r>
          </w:p>
        </w:tc>
        <w:tc>
          <w:tcPr>
            <w:tcW w:w="1319" w:type="dxa"/>
            <w:tcBorders>
              <w:top w:val="single" w:sz="2" w:space="0" w:color="000000"/>
              <w:left w:val="single" w:sz="4" w:space="0" w:color="000000"/>
              <w:bottom w:val="single" w:sz="4" w:space="0" w:color="000000"/>
              <w:right w:val="single" w:sz="4" w:space="0" w:color="000000"/>
            </w:tcBorders>
          </w:tcPr>
          <w:p w14:paraId="5C1C979C" w14:textId="77777777" w:rsidR="001D1334" w:rsidRPr="00C262AC" w:rsidRDefault="001D1334" w:rsidP="001D1334">
            <w:pPr>
              <w:spacing w:after="160" w:line="256" w:lineRule="auto"/>
              <w:jc w:val="both"/>
              <w:rPr>
                <w:rFonts w:ascii="Times New Roman" w:hAnsi="Times New Roman"/>
                <w:color w:val="000000"/>
                <w:sz w:val="22"/>
                <w:szCs w:val="22"/>
              </w:rPr>
            </w:pPr>
          </w:p>
        </w:tc>
        <w:tc>
          <w:tcPr>
            <w:tcW w:w="1312" w:type="dxa"/>
            <w:tcBorders>
              <w:top w:val="single" w:sz="2" w:space="0" w:color="000000"/>
              <w:left w:val="single" w:sz="4" w:space="0" w:color="000000"/>
              <w:bottom w:val="single" w:sz="4" w:space="0" w:color="000000"/>
              <w:right w:val="single" w:sz="4" w:space="0" w:color="000000"/>
            </w:tcBorders>
            <w:hideMark/>
          </w:tcPr>
          <w:p w14:paraId="4FF13248" w14:textId="77777777" w:rsidR="001D1334" w:rsidRPr="00C262AC" w:rsidRDefault="001D1334" w:rsidP="001D1334">
            <w:pPr>
              <w:spacing w:line="256" w:lineRule="auto"/>
              <w:ind w:left="40"/>
              <w:jc w:val="both"/>
              <w:rPr>
                <w:rFonts w:ascii="Times New Roman" w:hAnsi="Times New Roman"/>
                <w:color w:val="000000"/>
                <w:sz w:val="22"/>
                <w:szCs w:val="22"/>
              </w:rPr>
            </w:pPr>
            <w:r w:rsidRPr="00C262AC">
              <w:rPr>
                <w:rFonts w:ascii="Times New Roman" w:hAnsi="Times New Roman"/>
                <w:color w:val="000000"/>
                <w:sz w:val="22"/>
                <w:szCs w:val="22"/>
              </w:rPr>
              <w:t>88.8%</w:t>
            </w:r>
          </w:p>
        </w:tc>
        <w:tc>
          <w:tcPr>
            <w:tcW w:w="1312" w:type="dxa"/>
            <w:tcBorders>
              <w:top w:val="single" w:sz="2" w:space="0" w:color="000000"/>
              <w:left w:val="single" w:sz="4" w:space="0" w:color="000000"/>
              <w:bottom w:val="single" w:sz="4" w:space="0" w:color="000000"/>
              <w:right w:val="single" w:sz="2" w:space="0" w:color="000000"/>
            </w:tcBorders>
            <w:hideMark/>
          </w:tcPr>
          <w:p w14:paraId="7322E299" w14:textId="77777777" w:rsidR="001D1334" w:rsidRPr="00C262AC" w:rsidRDefault="001D1334" w:rsidP="001D1334">
            <w:pPr>
              <w:spacing w:line="256" w:lineRule="auto"/>
              <w:ind w:left="48"/>
              <w:jc w:val="both"/>
              <w:rPr>
                <w:rFonts w:ascii="Times New Roman" w:hAnsi="Times New Roman"/>
                <w:color w:val="000000"/>
                <w:sz w:val="22"/>
                <w:szCs w:val="22"/>
              </w:rPr>
            </w:pPr>
            <w:r w:rsidRPr="00C262AC">
              <w:rPr>
                <w:rFonts w:ascii="Times New Roman" w:hAnsi="Times New Roman"/>
                <w:color w:val="000000"/>
                <w:sz w:val="22"/>
                <w:szCs w:val="22"/>
              </w:rPr>
              <w:t>86.7%</w:t>
            </w:r>
          </w:p>
        </w:tc>
        <w:tc>
          <w:tcPr>
            <w:tcW w:w="1315" w:type="dxa"/>
            <w:tcBorders>
              <w:top w:val="single" w:sz="2" w:space="0" w:color="000000"/>
              <w:left w:val="single" w:sz="2" w:space="0" w:color="000000"/>
              <w:bottom w:val="single" w:sz="4" w:space="0" w:color="000000"/>
              <w:right w:val="single" w:sz="4" w:space="0" w:color="000000"/>
            </w:tcBorders>
          </w:tcPr>
          <w:p w14:paraId="1C5BFDBF" w14:textId="77777777" w:rsidR="001D1334" w:rsidRPr="00C262AC" w:rsidRDefault="001D1334" w:rsidP="001D1334">
            <w:pPr>
              <w:spacing w:after="160" w:line="256" w:lineRule="auto"/>
              <w:jc w:val="both"/>
              <w:rPr>
                <w:rFonts w:ascii="Times New Roman" w:hAnsi="Times New Roman"/>
                <w:color w:val="000000"/>
                <w:sz w:val="22"/>
                <w:szCs w:val="22"/>
              </w:rPr>
            </w:pPr>
          </w:p>
        </w:tc>
      </w:tr>
      <w:tr w:rsidR="001D1334" w:rsidRPr="00C262AC" w14:paraId="55FEB002" w14:textId="77777777" w:rsidTr="00C262AC">
        <w:trPr>
          <w:trHeight w:val="660"/>
        </w:trPr>
        <w:tc>
          <w:tcPr>
            <w:tcW w:w="1480" w:type="dxa"/>
            <w:tcBorders>
              <w:top w:val="single" w:sz="4" w:space="0" w:color="000000"/>
              <w:left w:val="single" w:sz="2" w:space="0" w:color="000000"/>
              <w:bottom w:val="single" w:sz="4" w:space="0" w:color="000000"/>
              <w:right w:val="single" w:sz="4" w:space="0" w:color="000000"/>
            </w:tcBorders>
          </w:tcPr>
          <w:p w14:paraId="550DD93F" w14:textId="2ECA0D54" w:rsidR="001D1334" w:rsidRPr="00C262AC" w:rsidRDefault="001D1334" w:rsidP="001D1334">
            <w:pPr>
              <w:spacing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Udaljene</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metastaze</w:t>
            </w:r>
            <w:proofErr w:type="spellEnd"/>
            <w:r w:rsidRPr="00C262AC">
              <w:rPr>
                <w:rFonts w:ascii="Times New Roman" w:hAnsi="Times New Roman"/>
                <w:color w:val="000000"/>
                <w:sz w:val="22"/>
                <w:szCs w:val="22"/>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14:paraId="28FE97FF" w14:textId="77777777" w:rsidR="001D1334" w:rsidRPr="00C262AC" w:rsidRDefault="001D1334" w:rsidP="00C02F5A">
            <w:pPr>
              <w:spacing w:line="256" w:lineRule="auto"/>
              <w:jc w:val="center"/>
              <w:rPr>
                <w:rFonts w:ascii="Times New Roman" w:hAnsi="Times New Roman"/>
                <w:color w:val="000000"/>
                <w:sz w:val="22"/>
                <w:szCs w:val="22"/>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A44145A" w14:textId="77777777" w:rsidR="001D1334" w:rsidRPr="00C262AC" w:rsidRDefault="001D1334" w:rsidP="00C02F5A">
            <w:pPr>
              <w:spacing w:line="256" w:lineRule="auto"/>
              <w:jc w:val="center"/>
              <w:rPr>
                <w:rFonts w:ascii="Times New Roman" w:hAnsi="Times New Roman"/>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6C6057E9" w14:textId="2F7A043F" w:rsidR="001D1334" w:rsidRPr="00C262AC" w:rsidRDefault="001D1334" w:rsidP="00C02F5A">
            <w:pPr>
              <w:spacing w:line="256" w:lineRule="auto"/>
              <w:ind w:right="28"/>
              <w:jc w:val="center"/>
              <w:rPr>
                <w:rFonts w:ascii="Times New Roman" w:hAnsi="Times New Roman"/>
                <w:color w:val="000000"/>
                <w:sz w:val="22"/>
                <w:szCs w:val="22"/>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7DAA26F" w14:textId="14CE877C" w:rsidR="001D1334" w:rsidRPr="00C262AC" w:rsidRDefault="001D1334" w:rsidP="00C02F5A">
            <w:pPr>
              <w:spacing w:line="256" w:lineRule="auto"/>
              <w:ind w:left="37"/>
              <w:jc w:val="center"/>
              <w:rPr>
                <w:rFonts w:ascii="Times New Roman" w:hAnsi="Times New Roman"/>
                <w:color w:val="000000"/>
                <w:sz w:val="22"/>
                <w:szCs w:val="22"/>
              </w:rPr>
            </w:pPr>
          </w:p>
        </w:tc>
        <w:tc>
          <w:tcPr>
            <w:tcW w:w="1312" w:type="dxa"/>
            <w:tcBorders>
              <w:top w:val="single" w:sz="4" w:space="0" w:color="000000"/>
              <w:left w:val="single" w:sz="4" w:space="0" w:color="000000"/>
              <w:bottom w:val="single" w:sz="4" w:space="0" w:color="000000"/>
              <w:right w:val="single" w:sz="2" w:space="0" w:color="000000"/>
            </w:tcBorders>
            <w:vAlign w:val="center"/>
          </w:tcPr>
          <w:p w14:paraId="59964C59" w14:textId="23574979" w:rsidR="001D1334" w:rsidRPr="00C262AC" w:rsidRDefault="001D1334" w:rsidP="00C02F5A">
            <w:pPr>
              <w:spacing w:line="256" w:lineRule="auto"/>
              <w:ind w:left="107" w:right="71"/>
              <w:jc w:val="center"/>
              <w:rPr>
                <w:rFonts w:ascii="Times New Roman" w:hAnsi="Times New Roman"/>
                <w:color w:val="000000"/>
                <w:sz w:val="22"/>
                <w:szCs w:val="22"/>
              </w:rPr>
            </w:pPr>
          </w:p>
        </w:tc>
        <w:tc>
          <w:tcPr>
            <w:tcW w:w="1315" w:type="dxa"/>
            <w:tcBorders>
              <w:top w:val="single" w:sz="4" w:space="0" w:color="000000"/>
              <w:left w:val="single" w:sz="2" w:space="0" w:color="000000"/>
              <w:bottom w:val="single" w:sz="4" w:space="0" w:color="000000"/>
              <w:right w:val="single" w:sz="4" w:space="0" w:color="000000"/>
            </w:tcBorders>
            <w:vAlign w:val="center"/>
          </w:tcPr>
          <w:p w14:paraId="57C9062C" w14:textId="34C2F34D" w:rsidR="001D1334" w:rsidRPr="00C262AC" w:rsidRDefault="001D1334" w:rsidP="00C02F5A">
            <w:pPr>
              <w:spacing w:line="256" w:lineRule="auto"/>
              <w:ind w:right="28"/>
              <w:jc w:val="center"/>
              <w:rPr>
                <w:rFonts w:ascii="Times New Roman" w:hAnsi="Times New Roman"/>
                <w:color w:val="000000"/>
                <w:sz w:val="22"/>
                <w:szCs w:val="22"/>
              </w:rPr>
            </w:pPr>
          </w:p>
        </w:tc>
      </w:tr>
      <w:tr w:rsidR="001D1334" w:rsidRPr="00C262AC" w14:paraId="20C797F7" w14:textId="77777777" w:rsidTr="00C02F5A">
        <w:trPr>
          <w:trHeight w:val="960"/>
        </w:trPr>
        <w:tc>
          <w:tcPr>
            <w:tcW w:w="1480" w:type="dxa"/>
            <w:tcBorders>
              <w:top w:val="single" w:sz="4" w:space="0" w:color="000000"/>
              <w:left w:val="single" w:sz="2" w:space="0" w:color="000000"/>
              <w:bottom w:val="single" w:sz="4" w:space="0" w:color="000000"/>
              <w:right w:val="single" w:sz="4" w:space="0" w:color="000000"/>
            </w:tcBorders>
          </w:tcPr>
          <w:p w14:paraId="4D28BA6D" w14:textId="77777777" w:rsidR="001D1334" w:rsidRPr="00C262AC" w:rsidRDefault="001D1334" w:rsidP="001D1334">
            <w:pPr>
              <w:spacing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Događaji</w:t>
            </w:r>
            <w:proofErr w:type="spellEnd"/>
          </w:p>
          <w:p w14:paraId="4691387B" w14:textId="77777777" w:rsidR="001D1334" w:rsidRPr="00C262AC" w:rsidRDefault="001D1334" w:rsidP="001D1334">
            <w:pPr>
              <w:spacing w:line="256" w:lineRule="auto"/>
              <w:jc w:val="both"/>
              <w:rPr>
                <w:rFonts w:ascii="Times New Roman" w:hAnsi="Times New Roman"/>
                <w:color w:val="000000"/>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5C27E2C3" w14:textId="4616D036" w:rsidR="001D1334" w:rsidRPr="00C262AC" w:rsidRDefault="001D1334" w:rsidP="00C02F5A">
            <w:pPr>
              <w:spacing w:line="256" w:lineRule="auto"/>
              <w:jc w:val="center"/>
              <w:rPr>
                <w:rFonts w:ascii="Times New Roman" w:hAnsi="Times New Roman"/>
                <w:color w:val="000000"/>
                <w:sz w:val="22"/>
                <w:szCs w:val="22"/>
              </w:rPr>
            </w:pPr>
            <w:r w:rsidRPr="00C262AC">
              <w:rPr>
                <w:rFonts w:ascii="Times New Roman" w:hAnsi="Times New Roman"/>
                <w:color w:val="000000"/>
                <w:sz w:val="22"/>
                <w:szCs w:val="22"/>
              </w:rPr>
              <w:t>57 (2.2%)</w:t>
            </w:r>
          </w:p>
          <w:p w14:paraId="4C309DAD" w14:textId="77777777" w:rsidR="001D1334" w:rsidRPr="00C262AC" w:rsidRDefault="001D1334" w:rsidP="00C02F5A">
            <w:pPr>
              <w:spacing w:line="256" w:lineRule="auto"/>
              <w:jc w:val="center"/>
              <w:rPr>
                <w:rFonts w:ascii="Times New Roman" w:hAnsi="Times New Roman"/>
                <w:color w:val="000000"/>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001DCB45" w14:textId="4AEF4E47" w:rsidR="001D1334" w:rsidRPr="00C262AC" w:rsidRDefault="001D1334" w:rsidP="00C02F5A">
            <w:pPr>
              <w:spacing w:line="256" w:lineRule="auto"/>
              <w:jc w:val="center"/>
              <w:rPr>
                <w:rFonts w:ascii="Times New Roman" w:hAnsi="Times New Roman"/>
                <w:color w:val="000000"/>
                <w:sz w:val="22"/>
                <w:szCs w:val="22"/>
              </w:rPr>
            </w:pPr>
            <w:r w:rsidRPr="00C262AC">
              <w:rPr>
                <w:rFonts w:ascii="Times New Roman" w:hAnsi="Times New Roman"/>
                <w:color w:val="000000"/>
                <w:sz w:val="22"/>
                <w:szCs w:val="22"/>
              </w:rPr>
              <w:t>93 (3.6%)</w:t>
            </w:r>
          </w:p>
        </w:tc>
        <w:tc>
          <w:tcPr>
            <w:tcW w:w="1319" w:type="dxa"/>
            <w:tcBorders>
              <w:top w:val="single" w:sz="4" w:space="0" w:color="000000"/>
              <w:left w:val="single" w:sz="4" w:space="0" w:color="000000"/>
              <w:bottom w:val="single" w:sz="4" w:space="0" w:color="000000"/>
              <w:right w:val="single" w:sz="4" w:space="0" w:color="000000"/>
            </w:tcBorders>
          </w:tcPr>
          <w:p w14:paraId="3244C35E" w14:textId="77777777" w:rsidR="001D1334" w:rsidRPr="00C262AC" w:rsidRDefault="001D1334" w:rsidP="00C02F5A">
            <w:pPr>
              <w:spacing w:line="256" w:lineRule="auto"/>
              <w:ind w:left="74" w:right="28"/>
              <w:jc w:val="center"/>
              <w:rPr>
                <w:rFonts w:ascii="Times New Roman" w:hAnsi="Times New Roman"/>
                <w:color w:val="000000"/>
                <w:sz w:val="22"/>
                <w:szCs w:val="22"/>
              </w:rPr>
            </w:pPr>
            <w:r w:rsidRPr="00C262AC">
              <w:rPr>
                <w:rFonts w:ascii="Times New Roman" w:hAnsi="Times New Roman"/>
                <w:color w:val="000000"/>
                <w:sz w:val="22"/>
                <w:szCs w:val="22"/>
              </w:rPr>
              <w:t xml:space="preserve">0.61 </w:t>
            </w:r>
          </w:p>
          <w:p w14:paraId="120BCC3E" w14:textId="07CE28C8" w:rsidR="001D1334" w:rsidRPr="00C262AC" w:rsidRDefault="001D1334" w:rsidP="00C02F5A">
            <w:pPr>
              <w:spacing w:line="256" w:lineRule="auto"/>
              <w:ind w:right="28"/>
              <w:rPr>
                <w:rFonts w:ascii="Times New Roman" w:hAnsi="Times New Roman"/>
                <w:color w:val="000000"/>
                <w:sz w:val="22"/>
                <w:szCs w:val="22"/>
              </w:rPr>
            </w:pPr>
            <w:r w:rsidRPr="00C262AC">
              <w:rPr>
                <w:rFonts w:ascii="Times New Roman" w:hAnsi="Times New Roman"/>
                <w:color w:val="000000"/>
                <w:sz w:val="22"/>
                <w:szCs w:val="22"/>
              </w:rPr>
              <w:t>(0.44, 0.84)</w:t>
            </w:r>
          </w:p>
        </w:tc>
        <w:tc>
          <w:tcPr>
            <w:tcW w:w="1312" w:type="dxa"/>
            <w:tcBorders>
              <w:top w:val="single" w:sz="4" w:space="0" w:color="000000"/>
              <w:left w:val="single" w:sz="4" w:space="0" w:color="000000"/>
              <w:bottom w:val="single" w:sz="4" w:space="0" w:color="000000"/>
              <w:right w:val="single" w:sz="4" w:space="0" w:color="000000"/>
            </w:tcBorders>
          </w:tcPr>
          <w:p w14:paraId="3B18C438" w14:textId="77777777" w:rsidR="001D1334" w:rsidRPr="00C262AC" w:rsidRDefault="001D1334" w:rsidP="00C02F5A">
            <w:pPr>
              <w:spacing w:line="256" w:lineRule="auto"/>
              <w:ind w:left="34"/>
              <w:jc w:val="center"/>
              <w:rPr>
                <w:rFonts w:ascii="Times New Roman" w:hAnsi="Times New Roman"/>
                <w:color w:val="000000"/>
                <w:sz w:val="22"/>
                <w:szCs w:val="22"/>
              </w:rPr>
            </w:pPr>
            <w:r w:rsidRPr="00C262AC">
              <w:rPr>
                <w:rFonts w:ascii="Times New Roman" w:hAnsi="Times New Roman"/>
                <w:color w:val="000000"/>
                <w:sz w:val="22"/>
                <w:szCs w:val="22"/>
              </w:rPr>
              <w:t xml:space="preserve">142 </w:t>
            </w:r>
          </w:p>
          <w:p w14:paraId="69A72683" w14:textId="4F0983F9" w:rsidR="001D1334" w:rsidRPr="00C262AC" w:rsidRDefault="001D1334" w:rsidP="00C02F5A">
            <w:pPr>
              <w:spacing w:line="256" w:lineRule="auto"/>
              <w:ind w:left="34"/>
              <w:jc w:val="center"/>
              <w:rPr>
                <w:rFonts w:ascii="Times New Roman" w:hAnsi="Times New Roman"/>
                <w:color w:val="000000"/>
                <w:sz w:val="22"/>
                <w:szCs w:val="22"/>
              </w:rPr>
            </w:pPr>
            <w:r w:rsidRPr="00C262AC">
              <w:rPr>
                <w:rFonts w:ascii="Times New Roman" w:hAnsi="Times New Roman"/>
                <w:color w:val="000000"/>
                <w:sz w:val="22"/>
                <w:szCs w:val="22"/>
              </w:rPr>
              <w:t>(5.5%)</w:t>
            </w:r>
          </w:p>
        </w:tc>
        <w:tc>
          <w:tcPr>
            <w:tcW w:w="1312" w:type="dxa"/>
            <w:tcBorders>
              <w:top w:val="single" w:sz="4" w:space="0" w:color="000000"/>
              <w:left w:val="single" w:sz="4" w:space="0" w:color="000000"/>
              <w:bottom w:val="single" w:sz="4" w:space="0" w:color="000000"/>
              <w:right w:val="single" w:sz="2" w:space="0" w:color="000000"/>
            </w:tcBorders>
          </w:tcPr>
          <w:p w14:paraId="4C7D5C71" w14:textId="6CC655E7" w:rsidR="001D1334" w:rsidRPr="00C262AC" w:rsidRDefault="001D1334" w:rsidP="00C02F5A">
            <w:pPr>
              <w:spacing w:line="256" w:lineRule="auto"/>
              <w:ind w:left="107" w:right="71"/>
              <w:jc w:val="center"/>
              <w:rPr>
                <w:rFonts w:ascii="Times New Roman" w:hAnsi="Times New Roman"/>
                <w:color w:val="000000"/>
                <w:sz w:val="22"/>
                <w:szCs w:val="22"/>
              </w:rPr>
            </w:pPr>
            <w:r w:rsidRPr="00C262AC">
              <w:rPr>
                <w:rFonts w:ascii="Times New Roman" w:hAnsi="Times New Roman"/>
                <w:color w:val="000000"/>
                <w:sz w:val="22"/>
                <w:szCs w:val="22"/>
              </w:rPr>
              <w:t>169 (6.5%)</w:t>
            </w:r>
          </w:p>
        </w:tc>
        <w:tc>
          <w:tcPr>
            <w:tcW w:w="1315" w:type="dxa"/>
            <w:tcBorders>
              <w:top w:val="single" w:sz="4" w:space="0" w:color="000000"/>
              <w:left w:val="single" w:sz="2" w:space="0" w:color="000000"/>
              <w:bottom w:val="single" w:sz="4" w:space="0" w:color="000000"/>
              <w:right w:val="single" w:sz="4" w:space="0" w:color="000000"/>
            </w:tcBorders>
          </w:tcPr>
          <w:p w14:paraId="6F36414F" w14:textId="77777777" w:rsidR="001D1334" w:rsidRPr="00C262AC" w:rsidRDefault="001D1334" w:rsidP="00C02F5A">
            <w:pPr>
              <w:spacing w:line="256" w:lineRule="auto"/>
              <w:ind w:left="72" w:right="28"/>
              <w:jc w:val="center"/>
              <w:rPr>
                <w:rFonts w:ascii="Times New Roman" w:hAnsi="Times New Roman"/>
                <w:color w:val="000000"/>
                <w:sz w:val="22"/>
                <w:szCs w:val="22"/>
              </w:rPr>
            </w:pPr>
            <w:r w:rsidRPr="00C262AC">
              <w:rPr>
                <w:rFonts w:ascii="Times New Roman" w:hAnsi="Times New Roman"/>
                <w:color w:val="000000"/>
                <w:sz w:val="22"/>
                <w:szCs w:val="22"/>
              </w:rPr>
              <w:t xml:space="preserve">0.88 </w:t>
            </w:r>
          </w:p>
          <w:p w14:paraId="005039D7" w14:textId="13CBECD5" w:rsidR="001D1334" w:rsidRPr="00C262AC" w:rsidRDefault="001D1334" w:rsidP="00C02F5A">
            <w:pPr>
              <w:spacing w:line="256" w:lineRule="auto"/>
              <w:ind w:right="28"/>
              <w:rPr>
                <w:rFonts w:ascii="Times New Roman" w:hAnsi="Times New Roman"/>
                <w:color w:val="000000"/>
                <w:sz w:val="22"/>
                <w:szCs w:val="22"/>
              </w:rPr>
            </w:pPr>
            <w:r w:rsidRPr="00C262AC">
              <w:rPr>
                <w:rFonts w:ascii="Times New Roman" w:hAnsi="Times New Roman"/>
                <w:color w:val="000000"/>
                <w:sz w:val="22"/>
                <w:szCs w:val="22"/>
              </w:rPr>
              <w:t>(0.70, 1.10)</w:t>
            </w:r>
          </w:p>
        </w:tc>
      </w:tr>
      <w:tr w:rsidR="001D1334" w:rsidRPr="00C262AC" w14:paraId="3F9528ED" w14:textId="77777777" w:rsidTr="00C71D44">
        <w:trPr>
          <w:trHeight w:val="245"/>
        </w:trPr>
        <w:tc>
          <w:tcPr>
            <w:tcW w:w="9360" w:type="dxa"/>
            <w:gridSpan w:val="7"/>
            <w:tcBorders>
              <w:top w:val="single" w:sz="4" w:space="0" w:color="000000"/>
              <w:left w:val="single" w:sz="2" w:space="0" w:color="000000"/>
              <w:bottom w:val="single" w:sz="4" w:space="0" w:color="000000"/>
              <w:right w:val="single" w:sz="4" w:space="0" w:color="000000"/>
            </w:tcBorders>
            <w:hideMark/>
          </w:tcPr>
          <w:p w14:paraId="26B31764" w14:textId="77777777" w:rsidR="001D1334" w:rsidRPr="00C262AC" w:rsidRDefault="001D1334" w:rsidP="001D1334">
            <w:pPr>
              <w:spacing w:line="256" w:lineRule="auto"/>
              <w:jc w:val="both"/>
              <w:rPr>
                <w:rFonts w:ascii="Times New Roman" w:hAnsi="Times New Roman"/>
                <w:color w:val="000000"/>
                <w:sz w:val="22"/>
                <w:szCs w:val="22"/>
              </w:rPr>
            </w:pPr>
            <w:proofErr w:type="spellStart"/>
            <w:r w:rsidRPr="00C262AC">
              <w:rPr>
                <w:rFonts w:ascii="Times New Roman" w:hAnsi="Times New Roman"/>
                <w:b/>
                <w:color w:val="000000"/>
                <w:sz w:val="22"/>
                <w:szCs w:val="22"/>
              </w:rPr>
              <w:t>Ukupno</w:t>
            </w:r>
            <w:proofErr w:type="spellEnd"/>
            <w:r w:rsidRPr="00C262AC">
              <w:rPr>
                <w:rFonts w:ascii="Times New Roman" w:hAnsi="Times New Roman"/>
                <w:b/>
                <w:color w:val="000000"/>
                <w:sz w:val="22"/>
                <w:szCs w:val="22"/>
              </w:rPr>
              <w:t xml:space="preserve"> </w:t>
            </w:r>
            <w:proofErr w:type="spellStart"/>
            <w:r w:rsidRPr="00C262AC">
              <w:rPr>
                <w:rFonts w:ascii="Times New Roman" w:hAnsi="Times New Roman"/>
                <w:b/>
                <w:color w:val="000000"/>
                <w:sz w:val="22"/>
                <w:szCs w:val="22"/>
              </w:rPr>
              <w:t>preživljavanje</w:t>
            </w:r>
            <w:proofErr w:type="spellEnd"/>
          </w:p>
        </w:tc>
      </w:tr>
      <w:tr w:rsidR="001D1334" w:rsidRPr="00C262AC" w14:paraId="5292AC57" w14:textId="77777777" w:rsidTr="00C02F5A">
        <w:trPr>
          <w:trHeight w:val="960"/>
        </w:trPr>
        <w:tc>
          <w:tcPr>
            <w:tcW w:w="1480" w:type="dxa"/>
            <w:tcBorders>
              <w:top w:val="single" w:sz="4" w:space="0" w:color="000000"/>
              <w:left w:val="single" w:sz="2" w:space="0" w:color="000000"/>
              <w:bottom w:val="single" w:sz="4" w:space="0" w:color="000000"/>
              <w:right w:val="single" w:sz="4" w:space="0" w:color="000000"/>
            </w:tcBorders>
            <w:hideMark/>
          </w:tcPr>
          <w:p w14:paraId="584FDE85" w14:textId="77777777" w:rsidR="001D1334" w:rsidRPr="00C262AC" w:rsidRDefault="001D1334" w:rsidP="001D1334">
            <w:pPr>
              <w:spacing w:after="212" w:line="256" w:lineRule="auto"/>
              <w:jc w:val="both"/>
              <w:rPr>
                <w:rFonts w:ascii="Times New Roman" w:hAnsi="Times New Roman"/>
                <w:color w:val="000000"/>
                <w:sz w:val="22"/>
                <w:szCs w:val="22"/>
              </w:rPr>
            </w:pPr>
            <w:proofErr w:type="spellStart"/>
            <w:r w:rsidRPr="00C262AC">
              <w:rPr>
                <w:rFonts w:ascii="Times New Roman" w:hAnsi="Times New Roman"/>
                <w:color w:val="000000"/>
                <w:sz w:val="22"/>
                <w:szCs w:val="22"/>
              </w:rPr>
              <w:t>Smrti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ishodi</w:t>
            </w:r>
            <w:proofErr w:type="spellEnd"/>
          </w:p>
          <w:p w14:paraId="0B1866AB" w14:textId="387F8741" w:rsidR="001D1334" w:rsidRPr="00C262AC" w:rsidRDefault="001D1334" w:rsidP="001D1334">
            <w:pPr>
              <w:spacing w:line="256" w:lineRule="auto"/>
              <w:jc w:val="both"/>
              <w:rPr>
                <w:rFonts w:ascii="Times New Roman" w:hAnsi="Times New Roman"/>
                <w:color w:val="000000"/>
                <w:sz w:val="22"/>
                <w:szCs w:val="22"/>
              </w:rPr>
            </w:pPr>
          </w:p>
        </w:tc>
        <w:tc>
          <w:tcPr>
            <w:tcW w:w="1310" w:type="dxa"/>
            <w:tcBorders>
              <w:top w:val="single" w:sz="4" w:space="0" w:color="000000"/>
              <w:left w:val="single" w:sz="4" w:space="0" w:color="000000"/>
              <w:bottom w:val="single" w:sz="4" w:space="0" w:color="000000"/>
              <w:right w:val="single" w:sz="4" w:space="0" w:color="000000"/>
            </w:tcBorders>
            <w:hideMark/>
          </w:tcPr>
          <w:p w14:paraId="42275323" w14:textId="0F7494F8" w:rsidR="001D1334" w:rsidRPr="00C262AC" w:rsidRDefault="001D1334" w:rsidP="00C02F5A">
            <w:pPr>
              <w:spacing w:after="220" w:line="256" w:lineRule="auto"/>
              <w:ind w:left="38"/>
              <w:jc w:val="center"/>
              <w:rPr>
                <w:rFonts w:ascii="Times New Roman" w:hAnsi="Times New Roman"/>
                <w:color w:val="000000"/>
                <w:sz w:val="22"/>
                <w:szCs w:val="22"/>
              </w:rPr>
            </w:pPr>
            <w:r w:rsidRPr="00C262AC">
              <w:rPr>
                <w:rFonts w:ascii="Times New Roman" w:hAnsi="Times New Roman"/>
                <w:color w:val="000000"/>
                <w:sz w:val="22"/>
                <w:szCs w:val="22"/>
              </w:rPr>
              <w:t>51 (2.0%)</w:t>
            </w:r>
          </w:p>
          <w:p w14:paraId="79AD3536" w14:textId="0683A518" w:rsidR="001D1334" w:rsidRPr="00C262AC" w:rsidRDefault="001D1334" w:rsidP="00C02F5A">
            <w:pPr>
              <w:spacing w:after="220" w:line="256" w:lineRule="auto"/>
              <w:ind w:left="38"/>
              <w:jc w:val="center"/>
              <w:rPr>
                <w:rFonts w:ascii="Times New Roman" w:hAnsi="Times New Roman"/>
                <w:color w:val="000000"/>
                <w:sz w:val="22"/>
                <w:szCs w:val="22"/>
              </w:rPr>
            </w:pPr>
          </w:p>
        </w:tc>
        <w:tc>
          <w:tcPr>
            <w:tcW w:w="1312" w:type="dxa"/>
            <w:tcBorders>
              <w:top w:val="single" w:sz="4" w:space="0" w:color="000000"/>
              <w:left w:val="single" w:sz="4" w:space="0" w:color="000000"/>
              <w:bottom w:val="single" w:sz="4" w:space="0" w:color="000000"/>
              <w:right w:val="single" w:sz="4" w:space="0" w:color="000000"/>
            </w:tcBorders>
            <w:hideMark/>
          </w:tcPr>
          <w:p w14:paraId="05C43475" w14:textId="4652A35E" w:rsidR="001D1334" w:rsidRPr="00C262AC" w:rsidRDefault="001D1334" w:rsidP="00C02F5A">
            <w:pPr>
              <w:spacing w:after="220" w:line="256" w:lineRule="auto"/>
              <w:ind w:left="42"/>
              <w:jc w:val="center"/>
              <w:rPr>
                <w:rFonts w:ascii="Times New Roman" w:hAnsi="Times New Roman"/>
                <w:color w:val="000000"/>
                <w:sz w:val="22"/>
                <w:szCs w:val="22"/>
              </w:rPr>
            </w:pPr>
            <w:r w:rsidRPr="00C262AC">
              <w:rPr>
                <w:rFonts w:ascii="Times New Roman" w:hAnsi="Times New Roman"/>
                <w:color w:val="000000"/>
                <w:sz w:val="22"/>
                <w:szCs w:val="22"/>
              </w:rPr>
              <w:t>62 (2.4%)</w:t>
            </w:r>
          </w:p>
        </w:tc>
        <w:tc>
          <w:tcPr>
            <w:tcW w:w="1319" w:type="dxa"/>
            <w:tcBorders>
              <w:top w:val="single" w:sz="4" w:space="0" w:color="000000"/>
              <w:left w:val="single" w:sz="4" w:space="0" w:color="000000"/>
              <w:bottom w:val="single" w:sz="4" w:space="0" w:color="000000"/>
              <w:right w:val="single" w:sz="4" w:space="0" w:color="000000"/>
            </w:tcBorders>
            <w:hideMark/>
          </w:tcPr>
          <w:p w14:paraId="531D2D64" w14:textId="77777777" w:rsidR="001D1334" w:rsidRPr="00C262AC" w:rsidRDefault="001D1334" w:rsidP="00C02F5A">
            <w:pPr>
              <w:spacing w:line="256" w:lineRule="auto"/>
              <w:ind w:left="43"/>
              <w:jc w:val="center"/>
              <w:rPr>
                <w:rFonts w:ascii="Times New Roman" w:hAnsi="Times New Roman"/>
                <w:color w:val="000000"/>
                <w:sz w:val="22"/>
                <w:szCs w:val="22"/>
              </w:rPr>
            </w:pPr>
            <w:r w:rsidRPr="00C262AC">
              <w:rPr>
                <w:rFonts w:ascii="Times New Roman" w:hAnsi="Times New Roman"/>
                <w:color w:val="000000"/>
                <w:sz w:val="22"/>
                <w:szCs w:val="22"/>
              </w:rPr>
              <w:t>0.82</w:t>
            </w:r>
          </w:p>
          <w:p w14:paraId="21633AB5" w14:textId="6B522CFB" w:rsidR="001D1334" w:rsidRPr="00C262AC" w:rsidRDefault="001D1334" w:rsidP="00C02F5A">
            <w:pPr>
              <w:spacing w:line="256" w:lineRule="auto"/>
              <w:ind w:left="6"/>
              <w:jc w:val="center"/>
              <w:rPr>
                <w:rFonts w:ascii="Times New Roman" w:hAnsi="Times New Roman"/>
                <w:color w:val="000000"/>
                <w:sz w:val="22"/>
                <w:szCs w:val="22"/>
              </w:rPr>
            </w:pPr>
            <w:r w:rsidRPr="00C262AC">
              <w:rPr>
                <w:rFonts w:ascii="Times New Roman" w:hAnsi="Times New Roman"/>
                <w:color w:val="000000"/>
                <w:sz w:val="22"/>
                <w:szCs w:val="22"/>
              </w:rPr>
              <w:t xml:space="preserve">(0.56, 1.19) </w:t>
            </w:r>
          </w:p>
        </w:tc>
        <w:tc>
          <w:tcPr>
            <w:tcW w:w="1312" w:type="dxa"/>
            <w:tcBorders>
              <w:top w:val="single" w:sz="4" w:space="0" w:color="000000"/>
              <w:left w:val="single" w:sz="4" w:space="0" w:color="000000"/>
              <w:bottom w:val="single" w:sz="4" w:space="0" w:color="000000"/>
              <w:right w:val="single" w:sz="4" w:space="0" w:color="000000"/>
            </w:tcBorders>
            <w:hideMark/>
          </w:tcPr>
          <w:p w14:paraId="76D00260" w14:textId="02268D20" w:rsidR="001D1334" w:rsidRPr="00C262AC" w:rsidRDefault="001D1334" w:rsidP="00C02F5A">
            <w:pPr>
              <w:spacing w:after="208" w:line="256" w:lineRule="auto"/>
              <w:ind w:left="42"/>
              <w:jc w:val="center"/>
              <w:rPr>
                <w:rFonts w:ascii="Times New Roman" w:hAnsi="Times New Roman"/>
                <w:color w:val="000000"/>
                <w:sz w:val="22"/>
                <w:szCs w:val="22"/>
              </w:rPr>
            </w:pPr>
            <w:r w:rsidRPr="00C262AC">
              <w:rPr>
                <w:rFonts w:ascii="Times New Roman" w:hAnsi="Times New Roman"/>
                <w:color w:val="000000"/>
                <w:sz w:val="22"/>
                <w:szCs w:val="22"/>
              </w:rPr>
              <w:t>236 (9.1%)</w:t>
            </w:r>
          </w:p>
          <w:p w14:paraId="5A4FFEBD" w14:textId="23A37682" w:rsidR="001D1334" w:rsidRPr="00C262AC" w:rsidRDefault="001D1334" w:rsidP="00C02F5A">
            <w:pPr>
              <w:spacing w:line="256" w:lineRule="auto"/>
              <w:ind w:left="37"/>
              <w:jc w:val="center"/>
              <w:rPr>
                <w:rFonts w:ascii="Times New Roman" w:hAnsi="Times New Roman"/>
                <w:color w:val="000000"/>
                <w:sz w:val="22"/>
                <w:szCs w:val="22"/>
              </w:rPr>
            </w:pPr>
          </w:p>
        </w:tc>
        <w:tc>
          <w:tcPr>
            <w:tcW w:w="1312" w:type="dxa"/>
            <w:tcBorders>
              <w:top w:val="single" w:sz="4" w:space="0" w:color="000000"/>
              <w:left w:val="single" w:sz="4" w:space="0" w:color="000000"/>
              <w:bottom w:val="single" w:sz="4" w:space="0" w:color="000000"/>
              <w:right w:val="single" w:sz="2" w:space="0" w:color="000000"/>
            </w:tcBorders>
            <w:hideMark/>
          </w:tcPr>
          <w:p w14:paraId="49EC8C80" w14:textId="0CE74274" w:rsidR="001D1334" w:rsidRPr="00C262AC" w:rsidRDefault="001D1334" w:rsidP="00C02F5A">
            <w:pPr>
              <w:spacing w:after="208" w:line="256" w:lineRule="auto"/>
              <w:ind w:left="45"/>
              <w:jc w:val="center"/>
              <w:rPr>
                <w:rFonts w:ascii="Times New Roman" w:hAnsi="Times New Roman"/>
                <w:color w:val="000000"/>
                <w:sz w:val="22"/>
                <w:szCs w:val="22"/>
              </w:rPr>
            </w:pPr>
            <w:r w:rsidRPr="00C262AC">
              <w:rPr>
                <w:rFonts w:ascii="Times New Roman" w:hAnsi="Times New Roman"/>
                <w:color w:val="000000"/>
                <w:sz w:val="22"/>
                <w:szCs w:val="22"/>
              </w:rPr>
              <w:t>232 (9.0%)</w:t>
            </w:r>
          </w:p>
          <w:p w14:paraId="57F47B6F" w14:textId="47B5220C" w:rsidR="001D1334" w:rsidRPr="00C262AC" w:rsidRDefault="001D1334" w:rsidP="00C02F5A">
            <w:pPr>
              <w:spacing w:line="256" w:lineRule="auto"/>
              <w:ind w:left="40"/>
              <w:jc w:val="center"/>
              <w:rPr>
                <w:rFonts w:ascii="Times New Roman" w:hAnsi="Times New Roman"/>
                <w:color w:val="000000"/>
                <w:sz w:val="22"/>
                <w:szCs w:val="22"/>
              </w:rPr>
            </w:pPr>
          </w:p>
        </w:tc>
        <w:tc>
          <w:tcPr>
            <w:tcW w:w="1315" w:type="dxa"/>
            <w:tcBorders>
              <w:top w:val="single" w:sz="4" w:space="0" w:color="000000"/>
              <w:left w:val="single" w:sz="2" w:space="0" w:color="000000"/>
              <w:bottom w:val="single" w:sz="4" w:space="0" w:color="000000"/>
              <w:right w:val="single" w:sz="4" w:space="0" w:color="000000"/>
            </w:tcBorders>
            <w:hideMark/>
          </w:tcPr>
          <w:p w14:paraId="59302E75" w14:textId="77777777" w:rsidR="001D1334" w:rsidRPr="00C262AC" w:rsidRDefault="001D1334" w:rsidP="00C02F5A">
            <w:pPr>
              <w:spacing w:line="256" w:lineRule="auto"/>
              <w:ind w:left="46"/>
              <w:jc w:val="center"/>
              <w:rPr>
                <w:rFonts w:ascii="Times New Roman" w:hAnsi="Times New Roman"/>
                <w:color w:val="000000"/>
                <w:sz w:val="22"/>
                <w:szCs w:val="22"/>
              </w:rPr>
            </w:pPr>
            <w:r w:rsidRPr="00C262AC">
              <w:rPr>
                <w:rFonts w:ascii="Times New Roman" w:hAnsi="Times New Roman"/>
                <w:color w:val="000000"/>
                <w:sz w:val="22"/>
                <w:szCs w:val="22"/>
              </w:rPr>
              <w:t>1.13</w:t>
            </w:r>
          </w:p>
          <w:p w14:paraId="66F4A60A" w14:textId="55163FFB" w:rsidR="001D1334" w:rsidRPr="00C262AC" w:rsidRDefault="001D1334" w:rsidP="00C02F5A">
            <w:pPr>
              <w:spacing w:line="256" w:lineRule="auto"/>
              <w:ind w:left="45"/>
              <w:jc w:val="center"/>
              <w:rPr>
                <w:rFonts w:ascii="Times New Roman" w:hAnsi="Times New Roman"/>
                <w:color w:val="000000"/>
                <w:sz w:val="22"/>
                <w:szCs w:val="22"/>
              </w:rPr>
            </w:pPr>
            <w:r w:rsidRPr="00C262AC">
              <w:rPr>
                <w:rFonts w:ascii="Times New Roman" w:hAnsi="Times New Roman"/>
                <w:color w:val="000000"/>
                <w:sz w:val="22"/>
                <w:szCs w:val="22"/>
              </w:rPr>
              <w:t xml:space="preserve">(0.95, 1.36) </w:t>
            </w:r>
          </w:p>
        </w:tc>
      </w:tr>
      <w:tr w:rsidR="001D1334" w:rsidRPr="00C262AC" w14:paraId="5AE544FF" w14:textId="77777777" w:rsidTr="00C71D44">
        <w:trPr>
          <w:trHeight w:val="960"/>
        </w:trPr>
        <w:tc>
          <w:tcPr>
            <w:tcW w:w="1480" w:type="dxa"/>
            <w:tcBorders>
              <w:top w:val="single" w:sz="4" w:space="0" w:color="000000"/>
              <w:left w:val="single" w:sz="2" w:space="0" w:color="000000"/>
              <w:bottom w:val="single" w:sz="4" w:space="0" w:color="000000"/>
              <w:right w:val="single" w:sz="4" w:space="0" w:color="000000"/>
            </w:tcBorders>
          </w:tcPr>
          <w:p w14:paraId="19B8B735" w14:textId="6A7E67F0" w:rsidR="001D1334" w:rsidRPr="00C262AC" w:rsidRDefault="001D1334" w:rsidP="001D1334">
            <w:pPr>
              <w:spacing w:after="212" w:line="256" w:lineRule="auto"/>
              <w:jc w:val="both"/>
              <w:rPr>
                <w:rFonts w:ascii="Times New Roman" w:hAnsi="Times New Roman"/>
                <w:color w:val="000000"/>
                <w:sz w:val="22"/>
                <w:szCs w:val="22"/>
              </w:rPr>
            </w:pPr>
            <w:r w:rsidRPr="00C262AC">
              <w:rPr>
                <w:rFonts w:ascii="Times New Roman" w:hAnsi="Times New Roman"/>
                <w:color w:val="000000"/>
                <w:sz w:val="22"/>
                <w:szCs w:val="22"/>
              </w:rPr>
              <w:t>Smrti ishodi</w:t>
            </w:r>
            <w:r w:rsidRPr="00C262AC">
              <w:rPr>
                <w:rFonts w:ascii="Times New Roman" w:hAnsi="Times New Roman"/>
                <w:color w:val="000000"/>
                <w:sz w:val="22"/>
                <w:szCs w:val="22"/>
                <w:vertAlign w:val="superscript"/>
              </w:rPr>
              <w:t>4</w:t>
            </w:r>
          </w:p>
        </w:tc>
        <w:tc>
          <w:tcPr>
            <w:tcW w:w="1310" w:type="dxa"/>
            <w:tcBorders>
              <w:top w:val="single" w:sz="4" w:space="0" w:color="000000"/>
              <w:left w:val="single" w:sz="4" w:space="0" w:color="000000"/>
              <w:bottom w:val="single" w:sz="4" w:space="0" w:color="000000"/>
              <w:right w:val="single" w:sz="4" w:space="0" w:color="000000"/>
            </w:tcBorders>
          </w:tcPr>
          <w:p w14:paraId="5E5919A9" w14:textId="03179397" w:rsidR="001D1334" w:rsidRPr="00C262AC" w:rsidRDefault="001D1334" w:rsidP="001D1334">
            <w:pPr>
              <w:spacing w:after="220" w:line="256" w:lineRule="auto"/>
              <w:ind w:left="38"/>
              <w:jc w:val="both"/>
              <w:rPr>
                <w:rFonts w:ascii="Times New Roman" w:hAnsi="Times New Roman"/>
                <w:color w:val="000000"/>
                <w:sz w:val="22"/>
                <w:szCs w:val="22"/>
              </w:rPr>
            </w:pPr>
            <w:r w:rsidRPr="00C262AC">
              <w:rPr>
                <w:rFonts w:ascii="Times New Roman" w:hAnsi="Times New Roman"/>
                <w:color w:val="000000"/>
                <w:sz w:val="22"/>
                <w:szCs w:val="22"/>
              </w:rPr>
              <w:t>--</w:t>
            </w:r>
          </w:p>
        </w:tc>
        <w:tc>
          <w:tcPr>
            <w:tcW w:w="1312" w:type="dxa"/>
            <w:tcBorders>
              <w:top w:val="single" w:sz="4" w:space="0" w:color="000000"/>
              <w:left w:val="single" w:sz="4" w:space="0" w:color="000000"/>
              <w:bottom w:val="single" w:sz="4" w:space="0" w:color="000000"/>
              <w:right w:val="single" w:sz="4" w:space="0" w:color="000000"/>
            </w:tcBorders>
          </w:tcPr>
          <w:p w14:paraId="1B3A4515" w14:textId="3B207491" w:rsidR="001D1334" w:rsidRPr="00C262AC" w:rsidRDefault="001D1334" w:rsidP="001D1334">
            <w:pPr>
              <w:spacing w:after="220" w:line="256" w:lineRule="auto"/>
              <w:ind w:left="42"/>
              <w:jc w:val="both"/>
              <w:rPr>
                <w:rFonts w:ascii="Times New Roman" w:hAnsi="Times New Roman"/>
                <w:color w:val="000000"/>
                <w:sz w:val="22"/>
                <w:szCs w:val="22"/>
              </w:rPr>
            </w:pPr>
            <w:r w:rsidRPr="00C262AC">
              <w:rPr>
                <w:rFonts w:ascii="Times New Roman" w:hAnsi="Times New Roman"/>
                <w:color w:val="000000"/>
                <w:sz w:val="22"/>
                <w:szCs w:val="22"/>
              </w:rPr>
              <w:t>--</w:t>
            </w:r>
          </w:p>
        </w:tc>
        <w:tc>
          <w:tcPr>
            <w:tcW w:w="1319" w:type="dxa"/>
            <w:tcBorders>
              <w:top w:val="single" w:sz="4" w:space="0" w:color="000000"/>
              <w:left w:val="single" w:sz="4" w:space="0" w:color="000000"/>
              <w:bottom w:val="single" w:sz="4" w:space="0" w:color="000000"/>
              <w:right w:val="single" w:sz="4" w:space="0" w:color="000000"/>
            </w:tcBorders>
          </w:tcPr>
          <w:p w14:paraId="2579048E" w14:textId="2B824F60" w:rsidR="001D1334" w:rsidRPr="00C262AC" w:rsidRDefault="001D1334" w:rsidP="001D1334">
            <w:pPr>
              <w:spacing w:line="256" w:lineRule="auto"/>
              <w:ind w:left="43"/>
              <w:jc w:val="both"/>
              <w:rPr>
                <w:rFonts w:ascii="Times New Roman" w:hAnsi="Times New Roman"/>
                <w:color w:val="000000"/>
                <w:sz w:val="22"/>
                <w:szCs w:val="22"/>
              </w:rPr>
            </w:pPr>
            <w:r w:rsidRPr="00C262AC">
              <w:rPr>
                <w:rFonts w:ascii="Times New Roman" w:hAnsi="Times New Roman"/>
                <w:color w:val="000000"/>
                <w:sz w:val="22"/>
                <w:szCs w:val="22"/>
              </w:rPr>
              <w:t>--</w:t>
            </w:r>
          </w:p>
        </w:tc>
        <w:tc>
          <w:tcPr>
            <w:tcW w:w="1312" w:type="dxa"/>
            <w:tcBorders>
              <w:top w:val="single" w:sz="4" w:space="0" w:color="000000"/>
              <w:left w:val="single" w:sz="4" w:space="0" w:color="000000"/>
              <w:bottom w:val="single" w:sz="4" w:space="0" w:color="000000"/>
              <w:right w:val="single" w:sz="4" w:space="0" w:color="000000"/>
            </w:tcBorders>
          </w:tcPr>
          <w:p w14:paraId="33A59547" w14:textId="77777777" w:rsidR="001D1334" w:rsidRPr="00C262AC" w:rsidRDefault="001D1334" w:rsidP="001D1334">
            <w:pPr>
              <w:spacing w:after="208" w:line="256" w:lineRule="auto"/>
              <w:ind w:left="42"/>
              <w:jc w:val="both"/>
              <w:rPr>
                <w:rFonts w:ascii="Times New Roman" w:hAnsi="Times New Roman"/>
                <w:color w:val="000000"/>
                <w:sz w:val="22"/>
                <w:szCs w:val="22"/>
              </w:rPr>
            </w:pPr>
            <w:r w:rsidRPr="00C262AC">
              <w:rPr>
                <w:rFonts w:ascii="Times New Roman" w:hAnsi="Times New Roman"/>
                <w:color w:val="000000"/>
                <w:sz w:val="22"/>
                <w:szCs w:val="22"/>
              </w:rPr>
              <w:t>236</w:t>
            </w:r>
            <w:r w:rsidRPr="00C262AC">
              <w:rPr>
                <w:rFonts w:ascii="Times New Roman" w:hAnsi="Times New Roman"/>
                <w:color w:val="000000"/>
                <w:sz w:val="22"/>
                <w:szCs w:val="22"/>
                <w:vertAlign w:val="superscript"/>
              </w:rPr>
              <w:t>5</w:t>
            </w:r>
          </w:p>
          <w:p w14:paraId="2EB091D4" w14:textId="725CA00E" w:rsidR="001D1334" w:rsidRPr="00C262AC" w:rsidRDefault="001D1334" w:rsidP="001D1334">
            <w:pPr>
              <w:spacing w:after="208" w:line="256" w:lineRule="auto"/>
              <w:ind w:left="42"/>
              <w:jc w:val="both"/>
              <w:rPr>
                <w:rFonts w:ascii="Times New Roman" w:hAnsi="Times New Roman"/>
                <w:color w:val="000000"/>
                <w:sz w:val="22"/>
                <w:szCs w:val="22"/>
              </w:rPr>
            </w:pPr>
            <w:r w:rsidRPr="00C262AC">
              <w:rPr>
                <w:rFonts w:ascii="Times New Roman" w:hAnsi="Times New Roman"/>
                <w:color w:val="000000"/>
                <w:sz w:val="22"/>
                <w:szCs w:val="22"/>
              </w:rPr>
              <w:t>(9.1%)</w:t>
            </w:r>
          </w:p>
        </w:tc>
        <w:tc>
          <w:tcPr>
            <w:tcW w:w="1312" w:type="dxa"/>
            <w:tcBorders>
              <w:top w:val="single" w:sz="4" w:space="0" w:color="000000"/>
              <w:left w:val="single" w:sz="4" w:space="0" w:color="000000"/>
              <w:bottom w:val="single" w:sz="4" w:space="0" w:color="000000"/>
              <w:right w:val="single" w:sz="2" w:space="0" w:color="000000"/>
            </w:tcBorders>
          </w:tcPr>
          <w:p w14:paraId="208C87A5" w14:textId="77777777" w:rsidR="001D1334" w:rsidRPr="00C262AC" w:rsidRDefault="001D1334" w:rsidP="001D1334">
            <w:pPr>
              <w:spacing w:after="208" w:line="256" w:lineRule="auto"/>
              <w:ind w:left="45"/>
              <w:jc w:val="both"/>
              <w:rPr>
                <w:rFonts w:ascii="Times New Roman" w:hAnsi="Times New Roman"/>
                <w:color w:val="000000"/>
                <w:sz w:val="22"/>
                <w:szCs w:val="22"/>
              </w:rPr>
            </w:pPr>
            <w:r w:rsidRPr="00C262AC">
              <w:rPr>
                <w:rFonts w:ascii="Times New Roman" w:hAnsi="Times New Roman"/>
                <w:color w:val="000000"/>
                <w:sz w:val="22"/>
                <w:szCs w:val="22"/>
              </w:rPr>
              <w:t>170</w:t>
            </w:r>
            <w:r w:rsidRPr="00C262AC">
              <w:rPr>
                <w:rFonts w:ascii="Times New Roman" w:hAnsi="Times New Roman"/>
                <w:color w:val="000000"/>
                <w:sz w:val="22"/>
                <w:szCs w:val="22"/>
                <w:vertAlign w:val="superscript"/>
              </w:rPr>
              <w:t>6</w:t>
            </w:r>
          </w:p>
          <w:p w14:paraId="46D74E7A" w14:textId="4A3C95B7" w:rsidR="001D1334" w:rsidRPr="00C262AC" w:rsidRDefault="001D1334" w:rsidP="001D1334">
            <w:pPr>
              <w:spacing w:after="208" w:line="256" w:lineRule="auto"/>
              <w:ind w:left="45"/>
              <w:jc w:val="both"/>
              <w:rPr>
                <w:rFonts w:ascii="Times New Roman" w:hAnsi="Times New Roman"/>
                <w:color w:val="000000"/>
                <w:sz w:val="22"/>
                <w:szCs w:val="22"/>
              </w:rPr>
            </w:pPr>
            <w:r w:rsidRPr="00C262AC">
              <w:rPr>
                <w:rFonts w:ascii="Times New Roman" w:hAnsi="Times New Roman"/>
                <w:color w:val="000000"/>
                <w:sz w:val="22"/>
                <w:szCs w:val="22"/>
              </w:rPr>
              <w:t>(6.6%)</w:t>
            </w:r>
          </w:p>
        </w:tc>
        <w:tc>
          <w:tcPr>
            <w:tcW w:w="1315" w:type="dxa"/>
            <w:tcBorders>
              <w:top w:val="single" w:sz="4" w:space="0" w:color="000000"/>
              <w:left w:val="single" w:sz="2" w:space="0" w:color="000000"/>
              <w:bottom w:val="single" w:sz="4" w:space="0" w:color="000000"/>
              <w:right w:val="single" w:sz="4" w:space="0" w:color="000000"/>
            </w:tcBorders>
          </w:tcPr>
          <w:p w14:paraId="48B4C896" w14:textId="5895B04A" w:rsidR="001D1334" w:rsidRPr="00C262AC" w:rsidRDefault="001D1334" w:rsidP="001D1334">
            <w:pPr>
              <w:spacing w:line="256" w:lineRule="auto"/>
              <w:ind w:left="46"/>
              <w:jc w:val="both"/>
              <w:rPr>
                <w:rFonts w:ascii="Times New Roman" w:hAnsi="Times New Roman"/>
                <w:color w:val="000000"/>
                <w:sz w:val="22"/>
                <w:szCs w:val="22"/>
              </w:rPr>
            </w:pPr>
            <w:r w:rsidRPr="00C262AC">
              <w:rPr>
                <w:rFonts w:ascii="Times New Roman" w:hAnsi="Times New Roman"/>
                <w:color w:val="000000"/>
                <w:sz w:val="22"/>
                <w:szCs w:val="22"/>
              </w:rPr>
              <w:t>0.78</w:t>
            </w:r>
          </w:p>
          <w:p w14:paraId="0198EA9E" w14:textId="77777777" w:rsidR="001D1334" w:rsidRPr="00C262AC" w:rsidRDefault="001D1334" w:rsidP="001D1334">
            <w:pPr>
              <w:spacing w:line="256" w:lineRule="auto"/>
              <w:ind w:left="46"/>
              <w:jc w:val="both"/>
              <w:rPr>
                <w:rFonts w:ascii="Times New Roman" w:hAnsi="Times New Roman"/>
                <w:color w:val="000000"/>
                <w:sz w:val="22"/>
                <w:szCs w:val="22"/>
              </w:rPr>
            </w:pPr>
          </w:p>
          <w:p w14:paraId="4CEA7DB4" w14:textId="5A7FF3C0" w:rsidR="001D1334" w:rsidRPr="00C262AC" w:rsidRDefault="001D1334" w:rsidP="001D1334">
            <w:pPr>
              <w:spacing w:line="256" w:lineRule="auto"/>
              <w:ind w:left="46"/>
              <w:jc w:val="both"/>
              <w:rPr>
                <w:rFonts w:ascii="Times New Roman" w:hAnsi="Times New Roman"/>
                <w:color w:val="000000"/>
                <w:sz w:val="22"/>
                <w:szCs w:val="22"/>
              </w:rPr>
            </w:pPr>
            <w:r w:rsidRPr="00C262AC">
              <w:rPr>
                <w:rFonts w:ascii="Times New Roman" w:hAnsi="Times New Roman"/>
                <w:color w:val="000000"/>
                <w:sz w:val="22"/>
                <w:szCs w:val="22"/>
              </w:rPr>
              <w:t>(0.64, 0.96)</w:t>
            </w:r>
          </w:p>
        </w:tc>
      </w:tr>
      <w:tr w:rsidR="001D1334" w:rsidRPr="00C262AC" w14:paraId="29414820" w14:textId="77777777" w:rsidTr="00C71D44">
        <w:trPr>
          <w:trHeight w:val="2626"/>
        </w:trPr>
        <w:tc>
          <w:tcPr>
            <w:tcW w:w="9360" w:type="dxa"/>
            <w:gridSpan w:val="7"/>
            <w:tcBorders>
              <w:top w:val="single" w:sz="4" w:space="0" w:color="000000"/>
              <w:left w:val="single" w:sz="2" w:space="0" w:color="000000"/>
              <w:bottom w:val="single" w:sz="4" w:space="0" w:color="000000"/>
              <w:right w:val="single" w:sz="4" w:space="0" w:color="000000"/>
            </w:tcBorders>
            <w:hideMark/>
          </w:tcPr>
          <w:p w14:paraId="5FEA7639" w14:textId="77777777" w:rsidR="001D1334" w:rsidRPr="00C262AC" w:rsidRDefault="001D1334" w:rsidP="001D1334">
            <w:pPr>
              <w:spacing w:line="216" w:lineRule="auto"/>
              <w:ind w:right="72"/>
              <w:jc w:val="both"/>
              <w:rPr>
                <w:rFonts w:ascii="Times New Roman" w:hAnsi="Times New Roman"/>
                <w:color w:val="000000"/>
                <w:sz w:val="22"/>
                <w:szCs w:val="22"/>
                <w:vertAlign w:val="superscript"/>
                <w:lang w:val="sr-Latn-RS"/>
              </w:rPr>
            </w:pPr>
            <w:r w:rsidRPr="00C262AC">
              <w:rPr>
                <w:rFonts w:ascii="Times New Roman" w:hAnsi="Times New Roman"/>
                <w:color w:val="000000"/>
                <w:sz w:val="22"/>
                <w:szCs w:val="22"/>
                <w:lang w:val="sr-Latn-RS"/>
              </w:rPr>
              <w:t>HR= stepen rizika; CI= Interval pouzdanosti</w:t>
            </w:r>
          </w:p>
          <w:p w14:paraId="40C642C5" w14:textId="77777777" w:rsidR="001D1334" w:rsidRPr="00C262AC" w:rsidRDefault="001D1334" w:rsidP="001D1334">
            <w:pPr>
              <w:spacing w:line="216" w:lineRule="auto"/>
              <w:ind w:right="72"/>
              <w:jc w:val="both"/>
              <w:rPr>
                <w:rFonts w:ascii="Times New Roman" w:hAnsi="Times New Roman"/>
                <w:color w:val="000000"/>
                <w:sz w:val="22"/>
                <w:szCs w:val="22"/>
                <w:lang w:val="sr-Latn-RS"/>
              </w:rPr>
            </w:pPr>
            <w:r w:rsidRPr="00C262AC">
              <w:rPr>
                <w:rFonts w:ascii="Times New Roman" w:hAnsi="Times New Roman"/>
                <w:color w:val="000000"/>
                <w:sz w:val="22"/>
                <w:szCs w:val="22"/>
                <w:vertAlign w:val="superscript"/>
                <w:lang w:val="sr-Latn-RS"/>
              </w:rPr>
              <w:t>1</w:t>
            </w:r>
            <w:r w:rsidRPr="00C262AC">
              <w:rPr>
                <w:rFonts w:ascii="Times New Roman" w:hAnsi="Times New Roman"/>
                <w:color w:val="000000"/>
                <w:sz w:val="22"/>
                <w:szCs w:val="22"/>
                <w:lang w:val="sr-Latn-RS"/>
              </w:rPr>
              <w:t xml:space="preserve"> Kada su otkriveni podaci studije 2003. godine, 1551 pacijent u randomiziranoj grupi koja je dobijala placebo (60% od onih koji su bili podobni za prebacivanje, tj. koji nijesu imali oboljenje) je prebačen na letrozol u prosjeku 31 mjesec nakon randomizacije. Analiza koje je ovde predstavljena ne uzima u obzir selektivne prelaske.</w:t>
            </w:r>
          </w:p>
          <w:p w14:paraId="10FC6625" w14:textId="77777777" w:rsidR="001D1334" w:rsidRPr="00C262AC" w:rsidRDefault="001D1334" w:rsidP="001D1334">
            <w:pPr>
              <w:spacing w:line="256" w:lineRule="auto"/>
              <w:jc w:val="both"/>
              <w:rPr>
                <w:rFonts w:ascii="Times New Roman" w:hAnsi="Times New Roman"/>
                <w:color w:val="000000"/>
                <w:sz w:val="22"/>
                <w:szCs w:val="22"/>
              </w:rPr>
            </w:pPr>
            <w:r w:rsidRPr="00C262AC">
              <w:rPr>
                <w:rFonts w:ascii="Times New Roman" w:hAnsi="Times New Roman"/>
                <w:color w:val="000000"/>
                <w:sz w:val="22"/>
                <w:szCs w:val="22"/>
                <w:vertAlign w:val="superscript"/>
              </w:rPr>
              <w:t>2</w:t>
            </w:r>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Stratifikovano</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statusom</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receptora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nodalnim</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statusom</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prethodnom</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adjuvantnom</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hemioterapijom</w:t>
            </w:r>
            <w:proofErr w:type="spellEnd"/>
            <w:r w:rsidRPr="00C262AC">
              <w:rPr>
                <w:rFonts w:ascii="Times New Roman" w:hAnsi="Times New Roman"/>
                <w:color w:val="000000"/>
                <w:sz w:val="22"/>
                <w:szCs w:val="22"/>
              </w:rPr>
              <w:t>.</w:t>
            </w:r>
          </w:p>
          <w:p w14:paraId="3DE76678" w14:textId="77777777" w:rsidR="001D1334" w:rsidRPr="00C262AC" w:rsidRDefault="001D1334" w:rsidP="001D1334">
            <w:pPr>
              <w:spacing w:line="256" w:lineRule="auto"/>
              <w:jc w:val="both"/>
              <w:rPr>
                <w:rFonts w:ascii="Times New Roman" w:hAnsi="Times New Roman"/>
                <w:color w:val="000000"/>
                <w:sz w:val="22"/>
                <w:szCs w:val="22"/>
              </w:rPr>
            </w:pPr>
            <w:r w:rsidRPr="00C262AC">
              <w:rPr>
                <w:rFonts w:ascii="Times New Roman" w:hAnsi="Times New Roman"/>
                <w:color w:val="000000"/>
                <w:sz w:val="22"/>
                <w:szCs w:val="22"/>
                <w:vertAlign w:val="superscript"/>
              </w:rPr>
              <w:t>3</w:t>
            </w:r>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Protokolom</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definisani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događaji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preživljavanja</w:t>
            </w:r>
            <w:proofErr w:type="spellEnd"/>
            <w:r w:rsidRPr="00C262AC">
              <w:rPr>
                <w:rFonts w:ascii="Times New Roman" w:hAnsi="Times New Roman"/>
                <w:color w:val="000000"/>
                <w:sz w:val="22"/>
                <w:szCs w:val="22"/>
              </w:rPr>
              <w:t xml:space="preserve"> bez </w:t>
            </w:r>
            <w:proofErr w:type="spellStart"/>
            <w:r w:rsidRPr="00C262AC">
              <w:rPr>
                <w:rFonts w:ascii="Times New Roman" w:hAnsi="Times New Roman"/>
                <w:color w:val="000000"/>
                <w:sz w:val="22"/>
                <w:szCs w:val="22"/>
              </w:rPr>
              <w:t>bolesti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ponovna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pojava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loko-regionalne</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bolesti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udaljene</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metastaze</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ili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kontralateralni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karcinom</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dojke</w:t>
            </w:r>
            <w:proofErr w:type="spellEnd"/>
            <w:r w:rsidRPr="00C262AC">
              <w:rPr>
                <w:rFonts w:ascii="Times New Roman" w:hAnsi="Times New Roman"/>
                <w:color w:val="000000"/>
                <w:sz w:val="22"/>
                <w:szCs w:val="22"/>
              </w:rPr>
              <w:t xml:space="preserve">. </w:t>
            </w:r>
          </w:p>
          <w:p w14:paraId="7152D8F1" w14:textId="77777777" w:rsidR="001D1334" w:rsidRPr="00C262AC" w:rsidRDefault="001D1334" w:rsidP="001D1334">
            <w:pPr>
              <w:spacing w:line="216" w:lineRule="auto"/>
              <w:ind w:right="435"/>
              <w:jc w:val="both"/>
              <w:rPr>
                <w:rFonts w:ascii="Times New Roman" w:hAnsi="Times New Roman"/>
                <w:color w:val="000000"/>
                <w:sz w:val="22"/>
                <w:szCs w:val="22"/>
              </w:rPr>
            </w:pPr>
            <w:r w:rsidRPr="00C262AC">
              <w:rPr>
                <w:rFonts w:ascii="Times New Roman" w:hAnsi="Times New Roman"/>
                <w:color w:val="000000"/>
                <w:sz w:val="22"/>
                <w:szCs w:val="22"/>
                <w:vertAlign w:val="superscript"/>
              </w:rPr>
              <w:t>4</w:t>
            </w:r>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Eksploratorna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analiza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cenzurisani</w:t>
            </w:r>
            <w:proofErr w:type="spellEnd"/>
            <w:r w:rsidRPr="00C262AC">
              <w:rPr>
                <w:rFonts w:ascii="Times New Roman" w:hAnsi="Times New Roman"/>
                <w:color w:val="000000"/>
                <w:sz w:val="22"/>
                <w:szCs w:val="22"/>
              </w:rPr>
              <w:t xml:space="preserve"> period </w:t>
            </w:r>
            <w:proofErr w:type="spellStart"/>
            <w:r w:rsidRPr="00C262AC">
              <w:rPr>
                <w:rFonts w:ascii="Times New Roman" w:hAnsi="Times New Roman"/>
                <w:color w:val="000000"/>
                <w:sz w:val="22"/>
                <w:szCs w:val="22"/>
              </w:rPr>
              <w:t>praćenja</w:t>
            </w:r>
            <w:proofErr w:type="spellEnd"/>
            <w:r w:rsidRPr="00C262AC">
              <w:rPr>
                <w:rFonts w:ascii="Times New Roman" w:hAnsi="Times New Roman"/>
                <w:color w:val="000000"/>
                <w:sz w:val="22"/>
                <w:szCs w:val="22"/>
              </w:rPr>
              <w:t xml:space="preserve"> od dana </w:t>
            </w:r>
            <w:proofErr w:type="spellStart"/>
            <w:r w:rsidRPr="00C262AC">
              <w:rPr>
                <w:rFonts w:ascii="Times New Roman" w:hAnsi="Times New Roman"/>
                <w:color w:val="000000"/>
                <w:sz w:val="22"/>
                <w:szCs w:val="22"/>
              </w:rPr>
              <w:t>prebacivanja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ako</w:t>
            </w:r>
            <w:proofErr w:type="spellEnd"/>
            <w:r w:rsidRPr="00C262AC">
              <w:rPr>
                <w:rFonts w:ascii="Times New Roman" w:hAnsi="Times New Roman"/>
                <w:color w:val="000000"/>
                <w:sz w:val="22"/>
                <w:szCs w:val="22"/>
              </w:rPr>
              <w:t xml:space="preserve"> se </w:t>
            </w:r>
            <w:proofErr w:type="spellStart"/>
            <w:r w:rsidRPr="00C262AC">
              <w:rPr>
                <w:rFonts w:ascii="Times New Roman" w:hAnsi="Times New Roman"/>
                <w:color w:val="000000"/>
                <w:sz w:val="22"/>
                <w:szCs w:val="22"/>
              </w:rPr>
              <w:t>desilo</w:t>
            </w:r>
            <w:proofErr w:type="spellEnd"/>
            <w:r w:rsidRPr="00C262AC">
              <w:rPr>
                <w:rFonts w:ascii="Times New Roman" w:hAnsi="Times New Roman"/>
                <w:color w:val="000000"/>
                <w:sz w:val="22"/>
                <w:szCs w:val="22"/>
              </w:rPr>
              <w:t xml:space="preserve">) u </w:t>
            </w:r>
            <w:proofErr w:type="spellStart"/>
            <w:r w:rsidRPr="00C262AC">
              <w:rPr>
                <w:rFonts w:ascii="Times New Roman" w:hAnsi="Times New Roman"/>
                <w:color w:val="000000"/>
                <w:sz w:val="22"/>
                <w:szCs w:val="22"/>
              </w:rPr>
              <w:t>grupi</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koja</w:t>
            </w:r>
            <w:proofErr w:type="spellEnd"/>
            <w:r w:rsidRPr="00C262AC">
              <w:rPr>
                <w:rFonts w:ascii="Times New Roman" w:hAnsi="Times New Roman"/>
                <w:color w:val="000000"/>
                <w:sz w:val="22"/>
                <w:szCs w:val="22"/>
              </w:rPr>
              <w:t xml:space="preserve"> je </w:t>
            </w:r>
            <w:proofErr w:type="spellStart"/>
            <w:r w:rsidRPr="00C262AC">
              <w:rPr>
                <w:rFonts w:ascii="Times New Roman" w:hAnsi="Times New Roman"/>
                <w:color w:val="000000"/>
                <w:sz w:val="22"/>
                <w:szCs w:val="22"/>
              </w:rPr>
              <w:t>dobijala</w:t>
            </w:r>
            <w:proofErr w:type="spellEnd"/>
            <w:r w:rsidRPr="00C262AC">
              <w:rPr>
                <w:rFonts w:ascii="Times New Roman" w:hAnsi="Times New Roman"/>
                <w:color w:val="000000"/>
                <w:sz w:val="22"/>
                <w:szCs w:val="22"/>
              </w:rPr>
              <w:t xml:space="preserve"> placebo</w:t>
            </w:r>
          </w:p>
          <w:p w14:paraId="12597D1B" w14:textId="77777777" w:rsidR="001D1334" w:rsidRPr="00C262AC" w:rsidRDefault="001D1334" w:rsidP="001D1334">
            <w:pPr>
              <w:spacing w:line="256" w:lineRule="auto"/>
              <w:jc w:val="both"/>
              <w:rPr>
                <w:rFonts w:ascii="Times New Roman" w:hAnsi="Times New Roman"/>
                <w:color w:val="000000"/>
                <w:sz w:val="22"/>
                <w:szCs w:val="22"/>
              </w:rPr>
            </w:pPr>
            <w:r w:rsidRPr="00C262AC">
              <w:rPr>
                <w:rFonts w:ascii="Times New Roman" w:hAnsi="Times New Roman"/>
                <w:color w:val="000000"/>
                <w:sz w:val="22"/>
                <w:szCs w:val="22"/>
                <w:vertAlign w:val="superscript"/>
              </w:rPr>
              <w:t xml:space="preserve">5 </w:t>
            </w:r>
            <w:proofErr w:type="spellStart"/>
            <w:r w:rsidRPr="00C262AC">
              <w:rPr>
                <w:rFonts w:ascii="Times New Roman" w:hAnsi="Times New Roman"/>
                <w:color w:val="000000"/>
                <w:sz w:val="22"/>
                <w:szCs w:val="22"/>
              </w:rPr>
              <w:t>Medijana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vremena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praćenja</w:t>
            </w:r>
            <w:proofErr w:type="spellEnd"/>
            <w:r w:rsidRPr="00C262AC">
              <w:rPr>
                <w:rFonts w:ascii="Times New Roman" w:hAnsi="Times New Roman"/>
                <w:color w:val="000000"/>
                <w:sz w:val="22"/>
                <w:szCs w:val="22"/>
              </w:rPr>
              <w:t xml:space="preserve"> 62 </w:t>
            </w:r>
            <w:proofErr w:type="spellStart"/>
            <w:r w:rsidRPr="00C262AC">
              <w:rPr>
                <w:rFonts w:ascii="Times New Roman" w:hAnsi="Times New Roman"/>
                <w:color w:val="000000"/>
                <w:sz w:val="22"/>
                <w:szCs w:val="22"/>
              </w:rPr>
              <w:t>mjeseca</w:t>
            </w:r>
            <w:proofErr w:type="spellEnd"/>
          </w:p>
          <w:p w14:paraId="0E21297D" w14:textId="77777777" w:rsidR="001D1334" w:rsidRPr="00C262AC" w:rsidRDefault="001D1334" w:rsidP="001D1334">
            <w:pPr>
              <w:spacing w:line="256" w:lineRule="auto"/>
              <w:ind w:left="120" w:right="2735" w:hanging="120"/>
              <w:jc w:val="both"/>
              <w:rPr>
                <w:rFonts w:ascii="Times New Roman" w:hAnsi="Times New Roman"/>
                <w:color w:val="000000"/>
                <w:sz w:val="22"/>
                <w:szCs w:val="22"/>
              </w:rPr>
            </w:pPr>
            <w:r w:rsidRPr="00C262AC">
              <w:rPr>
                <w:rFonts w:ascii="Times New Roman" w:hAnsi="Times New Roman"/>
                <w:color w:val="000000"/>
                <w:sz w:val="22"/>
                <w:szCs w:val="22"/>
                <w:vertAlign w:val="superscript"/>
              </w:rPr>
              <w:t>6</w:t>
            </w:r>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Medijana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vremena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praćenja</w:t>
            </w:r>
            <w:proofErr w:type="spellEnd"/>
            <w:r w:rsidRPr="00C262AC">
              <w:rPr>
                <w:rFonts w:ascii="Times New Roman" w:hAnsi="Times New Roman"/>
                <w:color w:val="000000"/>
                <w:sz w:val="22"/>
                <w:szCs w:val="22"/>
              </w:rPr>
              <w:t xml:space="preserve"> do </w:t>
            </w:r>
            <w:proofErr w:type="spellStart"/>
            <w:r w:rsidRPr="00C262AC">
              <w:rPr>
                <w:rFonts w:ascii="Times New Roman" w:hAnsi="Times New Roman"/>
                <w:color w:val="000000"/>
                <w:sz w:val="22"/>
                <w:szCs w:val="22"/>
              </w:rPr>
              <w:t>prebacivanja</w:t>
            </w:r>
            <w:proofErr w:type="spellEnd"/>
            <w:r w:rsidRPr="00C262AC">
              <w:rPr>
                <w:rFonts w:ascii="Times New Roman" w:hAnsi="Times New Roman"/>
                <w:color w:val="000000"/>
                <w:sz w:val="22"/>
                <w:szCs w:val="22"/>
              </w:rPr>
              <w:t xml:space="preserve"> (</w:t>
            </w:r>
            <w:proofErr w:type="spellStart"/>
            <w:r w:rsidRPr="00C262AC">
              <w:rPr>
                <w:rFonts w:ascii="Times New Roman" w:hAnsi="Times New Roman"/>
                <w:color w:val="000000"/>
                <w:sz w:val="22"/>
                <w:szCs w:val="22"/>
              </w:rPr>
              <w:t>ako</w:t>
            </w:r>
            <w:proofErr w:type="spellEnd"/>
            <w:r w:rsidRPr="00C262AC">
              <w:rPr>
                <w:rFonts w:ascii="Times New Roman" w:hAnsi="Times New Roman"/>
                <w:color w:val="000000"/>
                <w:sz w:val="22"/>
                <w:szCs w:val="22"/>
              </w:rPr>
              <w:t xml:space="preserve"> se </w:t>
            </w:r>
            <w:proofErr w:type="spellStart"/>
            <w:r w:rsidRPr="00C262AC">
              <w:rPr>
                <w:rFonts w:ascii="Times New Roman" w:hAnsi="Times New Roman"/>
                <w:color w:val="000000"/>
                <w:sz w:val="22"/>
                <w:szCs w:val="22"/>
              </w:rPr>
              <w:t>desilo</w:t>
            </w:r>
            <w:proofErr w:type="spellEnd"/>
            <w:r w:rsidRPr="00C262AC">
              <w:rPr>
                <w:rFonts w:ascii="Times New Roman" w:hAnsi="Times New Roman"/>
                <w:color w:val="000000"/>
                <w:sz w:val="22"/>
                <w:szCs w:val="22"/>
              </w:rPr>
              <w:t xml:space="preserve">) 37 </w:t>
            </w:r>
            <w:proofErr w:type="spellStart"/>
            <w:r w:rsidRPr="00C262AC">
              <w:rPr>
                <w:rFonts w:ascii="Times New Roman" w:hAnsi="Times New Roman"/>
                <w:color w:val="000000"/>
                <w:sz w:val="22"/>
                <w:szCs w:val="22"/>
              </w:rPr>
              <w:t>mjeseci</w:t>
            </w:r>
            <w:proofErr w:type="spellEnd"/>
          </w:p>
        </w:tc>
      </w:tr>
    </w:tbl>
    <w:p w14:paraId="4878B171" w14:textId="77777777" w:rsidR="008707A6" w:rsidRPr="00C262AC" w:rsidRDefault="008707A6">
      <w:pPr>
        <w:autoSpaceDE w:val="0"/>
        <w:autoSpaceDN w:val="0"/>
        <w:adjustRightInd w:val="0"/>
        <w:jc w:val="both"/>
        <w:rPr>
          <w:rFonts w:eastAsia="TimesNewRoman"/>
          <w:sz w:val="22"/>
          <w:szCs w:val="22"/>
          <w:lang w:val="sr-Latn-RS"/>
        </w:rPr>
      </w:pPr>
    </w:p>
    <w:p w14:paraId="593C1045" w14:textId="4D7D0F3D" w:rsidR="008707A6" w:rsidRPr="00C262AC" w:rsidRDefault="008707A6">
      <w:pPr>
        <w:autoSpaceDE w:val="0"/>
        <w:autoSpaceDN w:val="0"/>
        <w:adjustRightInd w:val="0"/>
        <w:jc w:val="both"/>
        <w:rPr>
          <w:rFonts w:eastAsia="TimesNewRoman"/>
          <w:sz w:val="22"/>
          <w:szCs w:val="22"/>
          <w:lang w:val="sr-Latn-RS"/>
        </w:rPr>
      </w:pPr>
      <w:r w:rsidRPr="00C262AC">
        <w:rPr>
          <w:rFonts w:eastAsia="TimesNewRoman"/>
          <w:sz w:val="22"/>
          <w:szCs w:val="22"/>
          <w:lang w:val="sr-Latn-RS"/>
        </w:rPr>
        <w:lastRenderedPageBreak/>
        <w:t xml:space="preserve">U MA-17 podstudiji </w:t>
      </w:r>
      <w:r w:rsidRPr="00C262AC">
        <w:rPr>
          <w:noProof/>
          <w:sz w:val="22"/>
          <w:szCs w:val="22"/>
          <w:lang w:val="sr-Latn-RS"/>
        </w:rPr>
        <w:t>kostiju,</w:t>
      </w:r>
      <w:r w:rsidRPr="00C262AC">
        <w:rPr>
          <w:rFonts w:eastAsia="TimesNewRoman"/>
          <w:sz w:val="22"/>
          <w:szCs w:val="22"/>
          <w:lang w:val="sr-Latn-RS"/>
        </w:rPr>
        <w:t xml:space="preserve"> u kojoj su istovremeno </w:t>
      </w:r>
      <w:r w:rsidRPr="00C262AC">
        <w:rPr>
          <w:noProof/>
          <w:sz w:val="22"/>
          <w:szCs w:val="22"/>
          <w:lang w:val="sr-Latn-RS"/>
        </w:rPr>
        <w:t>davani</w:t>
      </w:r>
      <w:r w:rsidRPr="00C262AC">
        <w:rPr>
          <w:rFonts w:eastAsia="TimesNewRoman"/>
          <w:sz w:val="22"/>
          <w:szCs w:val="22"/>
          <w:lang w:val="sr-Latn-RS"/>
        </w:rPr>
        <w:t xml:space="preserve"> kalcijum i vitamin D, javilo se veće smanjenje BMD u poređenju sa  </w:t>
      </w:r>
      <w:proofErr w:type="spellStart"/>
      <w:r w:rsidRPr="00C262AC">
        <w:rPr>
          <w:rFonts w:eastAsia="TimesNewRoman"/>
          <w:sz w:val="22"/>
          <w:szCs w:val="22"/>
          <w:lang w:val="sr-Latn-RS"/>
        </w:rPr>
        <w:t>vrijednostima</w:t>
      </w:r>
      <w:proofErr w:type="spellEnd"/>
      <w:r w:rsidRPr="00C262AC">
        <w:rPr>
          <w:rFonts w:eastAsia="TimesNewRoman"/>
          <w:sz w:val="22"/>
          <w:szCs w:val="22"/>
          <w:lang w:val="sr-Latn-RS"/>
        </w:rPr>
        <w:t xml:space="preserve"> prije početk</w:t>
      </w:r>
      <w:r w:rsidR="007F407F" w:rsidRPr="00C262AC">
        <w:rPr>
          <w:rFonts w:eastAsia="TimesNewRoman"/>
          <w:sz w:val="22"/>
          <w:szCs w:val="22"/>
          <w:lang w:val="sr-Latn-RS"/>
        </w:rPr>
        <w:t>a</w:t>
      </w:r>
      <w:r w:rsidRPr="00C262AC">
        <w:rPr>
          <w:rFonts w:eastAsia="TimesNewRoman"/>
          <w:sz w:val="22"/>
          <w:szCs w:val="22"/>
          <w:lang w:val="sr-Latn-RS"/>
        </w:rPr>
        <w:t xml:space="preserve"> </w:t>
      </w:r>
      <w:r w:rsidRPr="00C262AC">
        <w:rPr>
          <w:noProof/>
          <w:sz w:val="22"/>
          <w:szCs w:val="22"/>
          <w:lang w:val="sr-Latn-RS"/>
        </w:rPr>
        <w:t xml:space="preserve">terapije, kada je primjenjivan </w:t>
      </w:r>
      <w:r w:rsidRPr="00C262AC">
        <w:rPr>
          <w:rFonts w:eastAsia="TimesNewRoman"/>
          <w:sz w:val="22"/>
          <w:szCs w:val="22"/>
          <w:lang w:val="sr-Latn-RS"/>
        </w:rPr>
        <w:t>letrozol u odnosu na primjenu placeba. Jedina statistički značajna razlika se javila druge godine i odnosila se na BMD cijelog kuka (medijana smanjenja za letrozol 3.8% u odnosu na medijanu smanjenja za placebo 2.0%).</w:t>
      </w:r>
    </w:p>
    <w:p w14:paraId="5EB8ED36" w14:textId="41EDFC71" w:rsidR="008707A6" w:rsidRPr="00C262AC" w:rsidRDefault="008707A6" w:rsidP="00C02F5A">
      <w:pPr>
        <w:tabs>
          <w:tab w:val="left" w:pos="540"/>
          <w:tab w:val="left" w:pos="569"/>
        </w:tabs>
        <w:jc w:val="both"/>
        <w:rPr>
          <w:b/>
          <w:bCs/>
          <w:sz w:val="22"/>
          <w:szCs w:val="22"/>
          <w:lang w:val="sr-Latn-RS"/>
        </w:rPr>
      </w:pPr>
    </w:p>
    <w:p w14:paraId="425EB85E" w14:textId="77777777" w:rsidR="003456C6" w:rsidRPr="00C262AC" w:rsidRDefault="003456C6">
      <w:pPr>
        <w:autoSpaceDE w:val="0"/>
        <w:autoSpaceDN w:val="0"/>
        <w:adjustRightInd w:val="0"/>
        <w:jc w:val="both"/>
        <w:rPr>
          <w:rFonts w:eastAsia="TimesNewRoman"/>
          <w:sz w:val="22"/>
          <w:szCs w:val="22"/>
          <w:lang w:val="sr-Latn-RS"/>
        </w:rPr>
      </w:pPr>
      <w:r w:rsidRPr="00C262AC">
        <w:rPr>
          <w:rFonts w:eastAsia="TimesNewRoman"/>
          <w:sz w:val="22"/>
          <w:szCs w:val="22"/>
          <w:lang w:val="sr-Latn-RS"/>
        </w:rPr>
        <w:t>U MA-17 podstudiji lipida nije bilo značajnih razlika između letrozola i placeba u vrijednostima ukupnog holesterola ili bilo koje frakcije lipida.</w:t>
      </w:r>
    </w:p>
    <w:p w14:paraId="46D3CDAF" w14:textId="77777777" w:rsidR="003456C6" w:rsidRPr="00C262AC" w:rsidRDefault="003456C6">
      <w:pPr>
        <w:autoSpaceDE w:val="0"/>
        <w:autoSpaceDN w:val="0"/>
        <w:adjustRightInd w:val="0"/>
        <w:jc w:val="both"/>
        <w:rPr>
          <w:rFonts w:eastAsia="TimesNewRoman"/>
          <w:sz w:val="22"/>
          <w:szCs w:val="22"/>
          <w:lang w:val="sr-Latn-RS"/>
        </w:rPr>
      </w:pPr>
    </w:p>
    <w:p w14:paraId="46867CC1" w14:textId="024A8759" w:rsidR="003456C6" w:rsidRPr="00C262AC" w:rsidRDefault="003456C6">
      <w:pPr>
        <w:autoSpaceDE w:val="0"/>
        <w:autoSpaceDN w:val="0"/>
        <w:adjustRightInd w:val="0"/>
        <w:jc w:val="both"/>
        <w:rPr>
          <w:rFonts w:eastAsia="TimesNewRoman"/>
          <w:sz w:val="22"/>
          <w:szCs w:val="22"/>
          <w:lang w:val="sr-Latn-RS"/>
        </w:rPr>
      </w:pPr>
      <w:r w:rsidRPr="00C262AC">
        <w:rPr>
          <w:rFonts w:eastAsia="TimesNewRoman"/>
          <w:sz w:val="22"/>
          <w:szCs w:val="22"/>
          <w:lang w:val="sr-Latn-RS"/>
        </w:rPr>
        <w:t>U ažuriranoj podstudiji kvalitet života nije bilo značajnih razlika između terapija, u smislu zbirnog skora fizičke komponente ili zbirnog skora mentalne komponente, ili u smislu skora bilo kog segmenta SF-36 skale. Prema MENQOL skali, značajno više žena u grupi koja je dobijala lijek Femozol  nego u grupi</w:t>
      </w:r>
      <w:r w:rsidRPr="00C262AC">
        <w:rPr>
          <w:noProof/>
          <w:sz w:val="22"/>
          <w:szCs w:val="22"/>
          <w:lang w:val="sr-Latn-RS"/>
        </w:rPr>
        <w:t xml:space="preserve"> koja je dobijala placebo, </w:t>
      </w:r>
      <w:r w:rsidRPr="00C262AC">
        <w:rPr>
          <w:rFonts w:eastAsia="TimesNewRoman"/>
          <w:sz w:val="22"/>
          <w:szCs w:val="22"/>
          <w:lang w:val="sr-Latn-RS"/>
        </w:rPr>
        <w:t>su bile više uznemirene (najčešće u prvoj godini liječenja) simptomima koji su posljedica devijacije estrogena;</w:t>
      </w:r>
      <w:r w:rsidR="00505D04" w:rsidRPr="00C262AC">
        <w:rPr>
          <w:rFonts w:eastAsia="TimesNewRoman"/>
          <w:sz w:val="22"/>
          <w:szCs w:val="22"/>
          <w:lang w:val="sr-Latn-RS"/>
        </w:rPr>
        <w:t xml:space="preserve"> </w:t>
      </w:r>
      <w:r w:rsidRPr="00C262AC">
        <w:rPr>
          <w:rFonts w:eastAsia="TimesNewRoman"/>
          <w:sz w:val="22"/>
          <w:szCs w:val="22"/>
          <w:lang w:val="sr-Latn-RS"/>
        </w:rPr>
        <w:t>naleti vrućine i suvoća vagine. Simptom koji su uznemiravali većinu žena u obje terapijske grupe bili su bol u mišićima, sa statistički značajnom razlikom u korist placeba.</w:t>
      </w:r>
    </w:p>
    <w:p w14:paraId="306CCB36" w14:textId="77777777" w:rsidR="003456C6" w:rsidRPr="00C262AC" w:rsidRDefault="003456C6">
      <w:pPr>
        <w:autoSpaceDE w:val="0"/>
        <w:autoSpaceDN w:val="0"/>
        <w:adjustRightInd w:val="0"/>
        <w:jc w:val="both"/>
        <w:rPr>
          <w:i/>
          <w:iCs/>
          <w:sz w:val="22"/>
          <w:szCs w:val="22"/>
          <w:lang w:val="sr-Latn-RS"/>
        </w:rPr>
      </w:pPr>
    </w:p>
    <w:p w14:paraId="58BC9AF3" w14:textId="77777777" w:rsidR="003456C6" w:rsidRPr="00C262AC" w:rsidRDefault="003456C6">
      <w:pPr>
        <w:autoSpaceDE w:val="0"/>
        <w:autoSpaceDN w:val="0"/>
        <w:adjustRightInd w:val="0"/>
        <w:jc w:val="both"/>
        <w:rPr>
          <w:i/>
          <w:iCs/>
          <w:sz w:val="22"/>
          <w:szCs w:val="22"/>
          <w:u w:val="single"/>
          <w:lang w:val="sr-Latn-RS"/>
        </w:rPr>
      </w:pPr>
      <w:r w:rsidRPr="00C262AC">
        <w:rPr>
          <w:i/>
          <w:iCs/>
          <w:sz w:val="22"/>
          <w:szCs w:val="22"/>
          <w:u w:val="single"/>
          <w:lang w:val="sr-Latn-RS"/>
        </w:rPr>
        <w:t>Neoadjuvanta terapija</w:t>
      </w:r>
    </w:p>
    <w:p w14:paraId="1F9BC31E" w14:textId="226C1BDA" w:rsidR="003456C6" w:rsidRPr="00C262AC" w:rsidRDefault="003456C6">
      <w:pPr>
        <w:autoSpaceDE w:val="0"/>
        <w:autoSpaceDN w:val="0"/>
        <w:adjustRightInd w:val="0"/>
        <w:jc w:val="both"/>
        <w:rPr>
          <w:rFonts w:eastAsia="TimesNewRoman"/>
          <w:sz w:val="22"/>
          <w:szCs w:val="22"/>
          <w:lang w:val="sr-Latn-RS"/>
        </w:rPr>
      </w:pPr>
      <w:r w:rsidRPr="00C262AC">
        <w:rPr>
          <w:rFonts w:eastAsia="TimesNewRoman"/>
          <w:sz w:val="22"/>
          <w:szCs w:val="22"/>
          <w:lang w:val="sr-Latn-RS"/>
        </w:rPr>
        <w:t>Dvostruko slijepa studija (P024) sprovedena je kod 337 žena u postmenopauzi sa karcinomom dojke koje su</w:t>
      </w:r>
      <w:r w:rsidR="007F407F" w:rsidRPr="00C262AC">
        <w:rPr>
          <w:rFonts w:eastAsia="TimesNewRoman"/>
          <w:sz w:val="22"/>
          <w:szCs w:val="22"/>
          <w:lang w:val="sr-Latn-RS"/>
        </w:rPr>
        <w:t xml:space="preserve"> </w:t>
      </w:r>
      <w:proofErr w:type="spellStart"/>
      <w:r w:rsidRPr="00C262AC">
        <w:rPr>
          <w:rFonts w:eastAsia="TimesNewRoman"/>
          <w:sz w:val="22"/>
          <w:szCs w:val="22"/>
          <w:lang w:val="sr-Latn-RS"/>
        </w:rPr>
        <w:t>randomizovano</w:t>
      </w:r>
      <w:proofErr w:type="spellEnd"/>
      <w:r w:rsidRPr="00C262AC">
        <w:rPr>
          <w:rFonts w:eastAsia="TimesNewRoman"/>
          <w:sz w:val="22"/>
          <w:szCs w:val="22"/>
          <w:lang w:val="sr-Latn-RS"/>
        </w:rPr>
        <w:t xml:space="preserve">  raspoređene da dobijaju lijek Femozol 2.5 mg tokom 4 mjeseca ili tamoksifen tokom 4 mjeseca. Prije započinjanja terapije svi pacijenti su imali stadijum tumora T2-T4c, N0-2, M0, ER i/ili PgR pozitivan i nijedan pacijent  nije bio  kvalifikovan za poštednu operaciju dojke. Na osnovu kliničke procjene bilo je 55% objektivnih odgovora u grupi koja je dobijala lijek Femozol u poređenju sa 36% u grupi koja je dobijala tamoksifen (p&lt;0.001). Ovaj nalaz je dosljedno potvrđen ultrazvukom (Femozol 35% prema 25% tamoksifen, p=0.04) i mamografijom (Femozol 34% prema 16% tamoksifen, p&lt;0.001). Ukupno 45% pacijenata u grupi koja je dobijala lijek Femozol prema 35% pacijenata u grupi koja je dobijala tamoksifen (p=0.02) podvrgnuto je poštednoj terapiji dojke. </w:t>
      </w:r>
    </w:p>
    <w:p w14:paraId="35992BB1" w14:textId="4C4D71A6" w:rsidR="003456C6" w:rsidRPr="00C262AC" w:rsidRDefault="003456C6">
      <w:pPr>
        <w:autoSpaceDE w:val="0"/>
        <w:autoSpaceDN w:val="0"/>
        <w:adjustRightInd w:val="0"/>
        <w:jc w:val="both"/>
        <w:rPr>
          <w:rFonts w:eastAsia="TimesNewRoman"/>
          <w:sz w:val="22"/>
          <w:szCs w:val="22"/>
          <w:lang w:val="sr-Latn-RS"/>
        </w:rPr>
      </w:pPr>
      <w:r w:rsidRPr="00C262AC">
        <w:rPr>
          <w:rFonts w:eastAsia="TimesNewRoman"/>
          <w:sz w:val="22"/>
          <w:szCs w:val="22"/>
          <w:lang w:val="sr-Latn-RS"/>
        </w:rPr>
        <w:t>Tokom četvoromjesečnog perioda preoperativne pripreme, kod 12% pacijenata liječenih lijekom Femozol i 17% pacijenata liječenih tamoksifenom, došlo je do progresije bolesti.</w:t>
      </w:r>
    </w:p>
    <w:p w14:paraId="520DDB99" w14:textId="77777777" w:rsidR="00B207D0" w:rsidRPr="00C262AC" w:rsidRDefault="00B207D0">
      <w:pPr>
        <w:autoSpaceDE w:val="0"/>
        <w:autoSpaceDN w:val="0"/>
        <w:adjustRightInd w:val="0"/>
        <w:jc w:val="both"/>
        <w:rPr>
          <w:rFonts w:eastAsia="TimesNewRoman"/>
          <w:sz w:val="22"/>
          <w:szCs w:val="22"/>
          <w:lang w:val="sr-Latn-RS"/>
        </w:rPr>
      </w:pPr>
    </w:p>
    <w:p w14:paraId="26D397FF" w14:textId="77777777" w:rsidR="007F407F" w:rsidRPr="00C262AC" w:rsidRDefault="003456C6" w:rsidP="00C02F5A">
      <w:pPr>
        <w:pStyle w:val="NormalWeb"/>
        <w:spacing w:before="0" w:beforeAutospacing="0" w:after="0" w:afterAutospacing="0"/>
        <w:jc w:val="both"/>
        <w:rPr>
          <w:bCs/>
          <w:i/>
          <w:sz w:val="22"/>
          <w:szCs w:val="22"/>
          <w:u w:val="single"/>
          <w:lang w:val="sr-Latn-RS"/>
        </w:rPr>
      </w:pPr>
      <w:r w:rsidRPr="00C262AC">
        <w:rPr>
          <w:bCs/>
          <w:i/>
          <w:sz w:val="22"/>
          <w:szCs w:val="22"/>
          <w:u w:val="single"/>
          <w:lang w:val="sr-Latn-RS"/>
        </w:rPr>
        <w:t>Prva linija terapije</w:t>
      </w:r>
    </w:p>
    <w:p w14:paraId="0F823B2D" w14:textId="30744EE4" w:rsidR="003456C6" w:rsidRPr="00C262AC" w:rsidRDefault="003456C6" w:rsidP="00C02F5A">
      <w:pPr>
        <w:pStyle w:val="NormalWeb"/>
        <w:spacing w:before="0" w:beforeAutospacing="0" w:after="0" w:afterAutospacing="0"/>
        <w:jc w:val="both"/>
        <w:rPr>
          <w:sz w:val="22"/>
          <w:szCs w:val="22"/>
          <w:lang w:val="sr-Latn-RS"/>
        </w:rPr>
      </w:pPr>
      <w:r w:rsidRPr="00C262AC">
        <w:rPr>
          <w:sz w:val="22"/>
          <w:szCs w:val="22"/>
          <w:lang w:val="sr-Latn-RS"/>
        </w:rPr>
        <w:t xml:space="preserve">Sprovedena je jedna </w:t>
      </w:r>
      <w:r w:rsidRPr="00C262AC">
        <w:rPr>
          <w:rFonts w:eastAsia="TimesNewRoman"/>
          <w:sz w:val="22"/>
          <w:szCs w:val="22"/>
          <w:lang w:val="sr-Latn-RS"/>
        </w:rPr>
        <w:t>kontrolisana, dvostruko slijepa studija</w:t>
      </w:r>
      <w:r w:rsidRPr="00C262AC">
        <w:rPr>
          <w:sz w:val="22"/>
          <w:szCs w:val="22"/>
          <w:lang w:val="sr-Latn-RS"/>
        </w:rPr>
        <w:t xml:space="preserve"> radi poređena lijeka Femozol 2.5 mg u odnosu na </w:t>
      </w:r>
      <w:proofErr w:type="spellStart"/>
      <w:r w:rsidRPr="00C262AC">
        <w:rPr>
          <w:sz w:val="22"/>
          <w:szCs w:val="22"/>
          <w:lang w:val="sr-Latn-RS"/>
        </w:rPr>
        <w:t>tamoksifen</w:t>
      </w:r>
      <w:proofErr w:type="spellEnd"/>
      <w:r w:rsidRPr="00C262AC">
        <w:rPr>
          <w:sz w:val="22"/>
          <w:szCs w:val="22"/>
          <w:lang w:val="sr-Latn-RS"/>
        </w:rPr>
        <w:t xml:space="preserve"> 20 mg kao prva linija terapije kod žena u postmenopauzi sa uznapredovalim karcinomom dojke. Kod 907 žena, lijek Femozol je je bio superiorniji u odnosu na  tamoksifen </w:t>
      </w:r>
      <w:r w:rsidRPr="00C262AC">
        <w:rPr>
          <w:noProof/>
          <w:sz w:val="22"/>
          <w:szCs w:val="22"/>
          <w:lang w:val="sr-Latn-RS"/>
        </w:rPr>
        <w:t xml:space="preserve">u smislu vremena do </w:t>
      </w:r>
      <w:r w:rsidRPr="00C262AC">
        <w:rPr>
          <w:sz w:val="22"/>
          <w:szCs w:val="22"/>
          <w:lang w:val="sr-Latn-RS"/>
        </w:rPr>
        <w:t xml:space="preserve">progresije bolesti (primarni ishod) i </w:t>
      </w:r>
      <w:r w:rsidRPr="00C262AC">
        <w:rPr>
          <w:noProof/>
          <w:sz w:val="22"/>
          <w:szCs w:val="22"/>
          <w:lang w:val="sr-Latn-RS"/>
        </w:rPr>
        <w:t xml:space="preserve">u smislu </w:t>
      </w:r>
      <w:r w:rsidRPr="00C262AC">
        <w:rPr>
          <w:sz w:val="22"/>
          <w:szCs w:val="22"/>
          <w:lang w:val="sr-Latn-RS"/>
        </w:rPr>
        <w:t xml:space="preserve">ukupnog objektivnog odgovora </w:t>
      </w:r>
      <w:r w:rsidRPr="00C262AC">
        <w:rPr>
          <w:noProof/>
          <w:sz w:val="22"/>
          <w:szCs w:val="22"/>
          <w:lang w:val="sr-Latn-RS"/>
        </w:rPr>
        <w:t>(</w:t>
      </w:r>
      <w:r w:rsidRPr="00C262AC">
        <w:rPr>
          <w:i/>
          <w:noProof/>
          <w:sz w:val="22"/>
          <w:szCs w:val="22"/>
          <w:lang w:val="sr-Latn-RS"/>
        </w:rPr>
        <w:t>objective response rate, ORR</w:t>
      </w:r>
      <w:r w:rsidRPr="00C262AC">
        <w:rPr>
          <w:noProof/>
          <w:sz w:val="22"/>
          <w:szCs w:val="22"/>
          <w:lang w:val="sr-Latn-RS"/>
        </w:rPr>
        <w:t>)</w:t>
      </w:r>
      <w:r w:rsidRPr="00C262AC">
        <w:rPr>
          <w:sz w:val="22"/>
          <w:szCs w:val="22"/>
          <w:lang w:val="sr-Latn-RS"/>
        </w:rPr>
        <w:t>, vremenu do prestanka djelovanja lijeka i kliničke koristi.</w:t>
      </w:r>
    </w:p>
    <w:p w14:paraId="05D49DD8" w14:textId="77777777" w:rsidR="007F407F" w:rsidRPr="00C262AC" w:rsidRDefault="007F407F" w:rsidP="007F407F">
      <w:pPr>
        <w:pStyle w:val="NormalWeb"/>
        <w:spacing w:before="0" w:beforeAutospacing="0" w:after="0" w:afterAutospacing="0"/>
        <w:jc w:val="both"/>
        <w:rPr>
          <w:sz w:val="22"/>
          <w:szCs w:val="22"/>
          <w:lang w:val="sr-Latn-RS"/>
        </w:rPr>
      </w:pPr>
      <w:r w:rsidRPr="00C262AC">
        <w:rPr>
          <w:sz w:val="22"/>
          <w:szCs w:val="22"/>
          <w:lang w:val="sr-Latn-RS"/>
        </w:rPr>
        <w:t>Rezultati su prikazani u tabeli 9.</w:t>
      </w:r>
    </w:p>
    <w:p w14:paraId="4D3059CE" w14:textId="77777777" w:rsidR="00B207D0" w:rsidRPr="00C262AC" w:rsidRDefault="00B207D0" w:rsidP="00C02F5A">
      <w:pPr>
        <w:pStyle w:val="NormalWeb"/>
        <w:spacing w:before="0" w:beforeAutospacing="0" w:after="0" w:afterAutospacing="0"/>
        <w:jc w:val="both"/>
        <w:rPr>
          <w:bCs/>
          <w:i/>
          <w:sz w:val="22"/>
          <w:szCs w:val="22"/>
          <w:lang w:val="sr-Latn-RS"/>
        </w:rPr>
      </w:pPr>
    </w:p>
    <w:p w14:paraId="1224E758" w14:textId="77777777" w:rsidR="003456C6" w:rsidRPr="00C262AC" w:rsidRDefault="003456C6">
      <w:pPr>
        <w:jc w:val="both"/>
        <w:rPr>
          <w:rFonts w:eastAsia="TimesNewRoman,Bold"/>
          <w:bCs/>
          <w:sz w:val="22"/>
          <w:szCs w:val="22"/>
          <w:lang w:val="sr-Latn-RS"/>
        </w:rPr>
      </w:pPr>
      <w:r w:rsidRPr="00C262AC">
        <w:rPr>
          <w:rFonts w:eastAsia="TimesNewRoman,Bold"/>
          <w:b/>
          <w:bCs/>
          <w:sz w:val="22"/>
          <w:szCs w:val="22"/>
          <w:lang w:val="sr-Latn-RS"/>
        </w:rPr>
        <w:t>Tabela 9</w:t>
      </w:r>
      <w:r w:rsidRPr="00C262AC">
        <w:rPr>
          <w:rFonts w:eastAsia="TimesNewRoman,Bold"/>
          <w:bCs/>
          <w:sz w:val="22"/>
          <w:szCs w:val="22"/>
          <w:lang w:val="sr-Latn-RS"/>
        </w:rPr>
        <w:t>. Rezultati kod medijane vremena praćenja od 32 mjeseca</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126"/>
        <w:gridCol w:w="2127"/>
        <w:gridCol w:w="2126"/>
      </w:tblGrid>
      <w:tr w:rsidR="003456C6" w:rsidRPr="00C262AC" w14:paraId="6F2B8006" w14:textId="77777777" w:rsidTr="003456C6">
        <w:trPr>
          <w:trHeight w:val="563"/>
          <w:tblHeader/>
        </w:trPr>
        <w:tc>
          <w:tcPr>
            <w:tcW w:w="2518" w:type="dxa"/>
            <w:tcBorders>
              <w:top w:val="single" w:sz="4" w:space="0" w:color="auto"/>
              <w:left w:val="single" w:sz="4" w:space="0" w:color="auto"/>
              <w:bottom w:val="single" w:sz="4" w:space="0" w:color="auto"/>
              <w:right w:val="single" w:sz="4" w:space="0" w:color="auto"/>
            </w:tcBorders>
            <w:hideMark/>
          </w:tcPr>
          <w:p w14:paraId="2CCBE513" w14:textId="77777777" w:rsidR="003456C6" w:rsidRPr="00C262AC" w:rsidRDefault="003456C6">
            <w:pPr>
              <w:pStyle w:val="Table"/>
              <w:spacing w:before="0" w:after="0"/>
              <w:jc w:val="both"/>
              <w:rPr>
                <w:szCs w:val="22"/>
                <w:lang w:val="sr-Latn-RS"/>
              </w:rPr>
            </w:pPr>
            <w:r w:rsidRPr="00C262AC">
              <w:rPr>
                <w:szCs w:val="22"/>
                <w:lang w:val="sr-Latn-RS"/>
              </w:rPr>
              <w:t>Varijabla</w:t>
            </w:r>
          </w:p>
        </w:tc>
        <w:tc>
          <w:tcPr>
            <w:tcW w:w="2126" w:type="dxa"/>
            <w:tcBorders>
              <w:top w:val="single" w:sz="4" w:space="0" w:color="auto"/>
              <w:left w:val="single" w:sz="4" w:space="0" w:color="auto"/>
              <w:bottom w:val="single" w:sz="4" w:space="0" w:color="auto"/>
              <w:right w:val="single" w:sz="4" w:space="0" w:color="auto"/>
            </w:tcBorders>
            <w:hideMark/>
          </w:tcPr>
          <w:p w14:paraId="251FD608" w14:textId="77777777" w:rsidR="003456C6" w:rsidRPr="00C262AC" w:rsidRDefault="003456C6">
            <w:pPr>
              <w:pStyle w:val="Table"/>
              <w:spacing w:before="0" w:after="0"/>
              <w:jc w:val="both"/>
              <w:rPr>
                <w:szCs w:val="22"/>
                <w:lang w:val="sr-Latn-RS"/>
              </w:rPr>
            </w:pPr>
            <w:r w:rsidRPr="00C262AC">
              <w:rPr>
                <w:szCs w:val="22"/>
                <w:lang w:val="sr-Latn-RS"/>
              </w:rPr>
              <w:t>Statistika</w:t>
            </w:r>
          </w:p>
        </w:tc>
        <w:tc>
          <w:tcPr>
            <w:tcW w:w="2127" w:type="dxa"/>
            <w:tcBorders>
              <w:top w:val="single" w:sz="4" w:space="0" w:color="auto"/>
              <w:left w:val="single" w:sz="4" w:space="0" w:color="auto"/>
              <w:bottom w:val="single" w:sz="4" w:space="0" w:color="auto"/>
              <w:right w:val="single" w:sz="4" w:space="0" w:color="auto"/>
            </w:tcBorders>
            <w:hideMark/>
          </w:tcPr>
          <w:p w14:paraId="5162B95C" w14:textId="77777777" w:rsidR="003456C6" w:rsidRPr="00C262AC" w:rsidRDefault="003456C6">
            <w:pPr>
              <w:pStyle w:val="Table"/>
              <w:spacing w:before="0" w:after="0"/>
              <w:jc w:val="both"/>
              <w:rPr>
                <w:szCs w:val="22"/>
                <w:lang w:val="sr-Latn-RS"/>
              </w:rPr>
            </w:pPr>
            <w:r w:rsidRPr="00C262AC">
              <w:rPr>
                <w:szCs w:val="22"/>
                <w:lang w:val="sr-Latn-RS"/>
              </w:rPr>
              <w:t>Femozol</w:t>
            </w:r>
          </w:p>
          <w:p w14:paraId="536DF110" w14:textId="77777777" w:rsidR="003456C6" w:rsidRPr="00C262AC" w:rsidRDefault="003456C6">
            <w:pPr>
              <w:pStyle w:val="Table"/>
              <w:spacing w:before="0" w:after="0"/>
              <w:jc w:val="both"/>
              <w:rPr>
                <w:szCs w:val="22"/>
                <w:lang w:val="sr-Latn-RS"/>
              </w:rPr>
            </w:pPr>
            <w:r w:rsidRPr="00C262AC">
              <w:rPr>
                <w:szCs w:val="22"/>
                <w:lang w:val="sr-Latn-RS"/>
              </w:rPr>
              <w:t>n=453</w:t>
            </w:r>
          </w:p>
        </w:tc>
        <w:tc>
          <w:tcPr>
            <w:tcW w:w="2126" w:type="dxa"/>
            <w:tcBorders>
              <w:top w:val="single" w:sz="4" w:space="0" w:color="auto"/>
              <w:left w:val="single" w:sz="4" w:space="0" w:color="auto"/>
              <w:bottom w:val="single" w:sz="4" w:space="0" w:color="auto"/>
              <w:right w:val="single" w:sz="4" w:space="0" w:color="auto"/>
            </w:tcBorders>
            <w:hideMark/>
          </w:tcPr>
          <w:p w14:paraId="3BC5C935" w14:textId="77777777" w:rsidR="003456C6" w:rsidRPr="00C262AC" w:rsidRDefault="003456C6">
            <w:pPr>
              <w:pStyle w:val="Table"/>
              <w:spacing w:before="0" w:after="0"/>
              <w:jc w:val="both"/>
              <w:rPr>
                <w:szCs w:val="22"/>
                <w:lang w:val="sr-Latn-RS"/>
              </w:rPr>
            </w:pPr>
            <w:r w:rsidRPr="00C262AC">
              <w:rPr>
                <w:szCs w:val="22"/>
                <w:lang w:val="sr-Latn-RS"/>
              </w:rPr>
              <w:t>Tamoksifen</w:t>
            </w:r>
          </w:p>
          <w:p w14:paraId="2DC4BA4A" w14:textId="77777777" w:rsidR="003456C6" w:rsidRPr="00C262AC" w:rsidRDefault="003456C6">
            <w:pPr>
              <w:pStyle w:val="Table"/>
              <w:spacing w:before="0" w:after="0"/>
              <w:jc w:val="both"/>
              <w:rPr>
                <w:szCs w:val="22"/>
                <w:lang w:val="sr-Latn-RS"/>
              </w:rPr>
            </w:pPr>
            <w:r w:rsidRPr="00C262AC">
              <w:rPr>
                <w:szCs w:val="22"/>
                <w:lang w:val="sr-Latn-RS"/>
              </w:rPr>
              <w:t>n=454</w:t>
            </w:r>
          </w:p>
        </w:tc>
      </w:tr>
      <w:tr w:rsidR="003456C6" w:rsidRPr="00C262AC" w14:paraId="790ED56E" w14:textId="77777777" w:rsidTr="003456C6">
        <w:trPr>
          <w:trHeight w:val="289"/>
        </w:trPr>
        <w:tc>
          <w:tcPr>
            <w:tcW w:w="2518" w:type="dxa"/>
            <w:vMerge w:val="restart"/>
            <w:tcBorders>
              <w:top w:val="single" w:sz="4" w:space="0" w:color="auto"/>
              <w:left w:val="single" w:sz="4" w:space="0" w:color="auto"/>
              <w:bottom w:val="single" w:sz="4" w:space="0" w:color="auto"/>
              <w:right w:val="single" w:sz="4" w:space="0" w:color="auto"/>
            </w:tcBorders>
            <w:hideMark/>
          </w:tcPr>
          <w:p w14:paraId="72DB4988" w14:textId="77777777" w:rsidR="003456C6" w:rsidRPr="00C262AC" w:rsidRDefault="003456C6">
            <w:pPr>
              <w:autoSpaceDE w:val="0"/>
              <w:autoSpaceDN w:val="0"/>
              <w:adjustRightInd w:val="0"/>
              <w:jc w:val="both"/>
              <w:rPr>
                <w:rFonts w:eastAsia="TimesNewRoman,Bold"/>
                <w:bCs/>
                <w:sz w:val="22"/>
                <w:szCs w:val="22"/>
                <w:lang w:val="sr-Latn-RS"/>
              </w:rPr>
            </w:pPr>
            <w:r w:rsidRPr="00C262AC">
              <w:rPr>
                <w:rFonts w:eastAsia="TimesNewRoman,Bold"/>
                <w:bCs/>
                <w:sz w:val="22"/>
                <w:szCs w:val="22"/>
                <w:lang w:val="sr-Latn-RS"/>
              </w:rPr>
              <w:t>Vrijeme do pojave</w:t>
            </w:r>
          </w:p>
          <w:p w14:paraId="61A0E136" w14:textId="77777777" w:rsidR="003456C6" w:rsidRPr="00C262AC" w:rsidRDefault="003456C6">
            <w:pPr>
              <w:pStyle w:val="Table"/>
              <w:spacing w:before="0" w:after="0"/>
              <w:jc w:val="both"/>
              <w:rPr>
                <w:szCs w:val="22"/>
                <w:lang w:val="sr-Latn-RS"/>
              </w:rPr>
            </w:pPr>
            <w:r w:rsidRPr="00C262AC">
              <w:rPr>
                <w:rFonts w:eastAsia="TimesNewRoman,Bold"/>
                <w:bCs/>
                <w:szCs w:val="22"/>
                <w:lang w:val="sr-Latn-RS"/>
              </w:rPr>
              <w:t>progresije bolesti</w:t>
            </w:r>
          </w:p>
        </w:tc>
        <w:tc>
          <w:tcPr>
            <w:tcW w:w="2126" w:type="dxa"/>
            <w:tcBorders>
              <w:top w:val="single" w:sz="4" w:space="0" w:color="auto"/>
              <w:left w:val="single" w:sz="4" w:space="0" w:color="auto"/>
              <w:bottom w:val="single" w:sz="4" w:space="0" w:color="auto"/>
              <w:right w:val="single" w:sz="4" w:space="0" w:color="auto"/>
            </w:tcBorders>
            <w:hideMark/>
          </w:tcPr>
          <w:p w14:paraId="73ECC9BA" w14:textId="77777777" w:rsidR="003456C6" w:rsidRPr="00C262AC" w:rsidRDefault="003456C6">
            <w:pPr>
              <w:pStyle w:val="Table"/>
              <w:spacing w:before="0" w:after="0"/>
              <w:jc w:val="both"/>
              <w:rPr>
                <w:szCs w:val="22"/>
                <w:lang w:val="sr-Latn-RS"/>
              </w:rPr>
            </w:pPr>
            <w:r w:rsidRPr="00C262AC">
              <w:rPr>
                <w:rFonts w:eastAsia="TimesNewRoman"/>
                <w:szCs w:val="22"/>
                <w:lang w:val="sr-Latn-RS"/>
              </w:rPr>
              <w:t>Medijana vremena</w:t>
            </w:r>
          </w:p>
        </w:tc>
        <w:tc>
          <w:tcPr>
            <w:tcW w:w="2127" w:type="dxa"/>
            <w:tcBorders>
              <w:top w:val="single" w:sz="4" w:space="0" w:color="auto"/>
              <w:left w:val="single" w:sz="4" w:space="0" w:color="auto"/>
              <w:bottom w:val="single" w:sz="4" w:space="0" w:color="auto"/>
              <w:right w:val="single" w:sz="4" w:space="0" w:color="auto"/>
            </w:tcBorders>
            <w:hideMark/>
          </w:tcPr>
          <w:p w14:paraId="5E03E11A" w14:textId="77777777" w:rsidR="003456C6" w:rsidRPr="00C262AC" w:rsidRDefault="003456C6">
            <w:pPr>
              <w:pStyle w:val="Table"/>
              <w:spacing w:before="0" w:after="0"/>
              <w:jc w:val="both"/>
              <w:rPr>
                <w:szCs w:val="22"/>
                <w:lang w:val="sr-Latn-RS"/>
              </w:rPr>
            </w:pPr>
            <w:r w:rsidRPr="00C262AC">
              <w:rPr>
                <w:szCs w:val="22"/>
                <w:lang w:val="sr-Latn-RS"/>
              </w:rPr>
              <w:t xml:space="preserve">9,4 </w:t>
            </w:r>
            <w:r w:rsidRPr="00C262AC">
              <w:rPr>
                <w:rFonts w:eastAsia="TimesNewRoman"/>
                <w:szCs w:val="22"/>
                <w:lang w:val="sr-Latn-RS"/>
              </w:rPr>
              <w:t>mjeseci</w:t>
            </w:r>
          </w:p>
        </w:tc>
        <w:tc>
          <w:tcPr>
            <w:tcW w:w="2126" w:type="dxa"/>
            <w:tcBorders>
              <w:top w:val="single" w:sz="4" w:space="0" w:color="auto"/>
              <w:left w:val="single" w:sz="4" w:space="0" w:color="auto"/>
              <w:bottom w:val="single" w:sz="4" w:space="0" w:color="auto"/>
              <w:right w:val="single" w:sz="4" w:space="0" w:color="auto"/>
            </w:tcBorders>
            <w:hideMark/>
          </w:tcPr>
          <w:p w14:paraId="55DF7816" w14:textId="77777777" w:rsidR="003456C6" w:rsidRPr="00C262AC" w:rsidRDefault="003456C6">
            <w:pPr>
              <w:pStyle w:val="Table"/>
              <w:spacing w:before="0" w:after="0"/>
              <w:jc w:val="both"/>
              <w:rPr>
                <w:szCs w:val="22"/>
                <w:lang w:val="sr-Latn-RS"/>
              </w:rPr>
            </w:pPr>
            <w:r w:rsidRPr="00C262AC">
              <w:rPr>
                <w:szCs w:val="22"/>
                <w:lang w:val="sr-Latn-RS"/>
              </w:rPr>
              <w:t>6,0 mjeseci</w:t>
            </w:r>
          </w:p>
        </w:tc>
      </w:tr>
      <w:tr w:rsidR="003456C6" w:rsidRPr="00C262AC" w14:paraId="7850C2ED" w14:textId="77777777" w:rsidTr="003456C6">
        <w:trPr>
          <w:trHeight w:val="273"/>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91EDD50" w14:textId="77777777" w:rsidR="003456C6" w:rsidRPr="00C262AC" w:rsidRDefault="003456C6" w:rsidP="00C02F5A">
            <w:pPr>
              <w:jc w:val="both"/>
              <w:rPr>
                <w:sz w:val="22"/>
                <w:szCs w:val="22"/>
                <w:lang w:val="sr-Latn-RS" w:eastAsia="en-GB"/>
              </w:rPr>
            </w:pPr>
          </w:p>
        </w:tc>
        <w:tc>
          <w:tcPr>
            <w:tcW w:w="2126" w:type="dxa"/>
            <w:tcBorders>
              <w:top w:val="single" w:sz="4" w:space="0" w:color="auto"/>
              <w:left w:val="single" w:sz="4" w:space="0" w:color="auto"/>
              <w:bottom w:val="single" w:sz="4" w:space="0" w:color="auto"/>
              <w:right w:val="single" w:sz="4" w:space="0" w:color="auto"/>
            </w:tcBorders>
            <w:hideMark/>
          </w:tcPr>
          <w:p w14:paraId="401D25BF" w14:textId="77777777" w:rsidR="003456C6" w:rsidRPr="00C262AC" w:rsidRDefault="003456C6">
            <w:pPr>
              <w:autoSpaceDE w:val="0"/>
              <w:autoSpaceDN w:val="0"/>
              <w:adjustRightInd w:val="0"/>
              <w:jc w:val="both"/>
              <w:rPr>
                <w:sz w:val="22"/>
                <w:szCs w:val="22"/>
                <w:lang w:val="sr-Latn-RS"/>
              </w:rPr>
            </w:pPr>
            <w:r w:rsidRPr="00C262AC">
              <w:rPr>
                <w:sz w:val="22"/>
                <w:szCs w:val="22"/>
                <w:lang w:val="sr-Latn-RS"/>
              </w:rPr>
              <w:t xml:space="preserve">(95% CI </w:t>
            </w:r>
            <w:r w:rsidRPr="00C262AC">
              <w:rPr>
                <w:rFonts w:eastAsia="TimesNewRoman"/>
                <w:sz w:val="22"/>
                <w:szCs w:val="22"/>
                <w:lang w:val="sr-Latn-RS"/>
              </w:rPr>
              <w:t>za medijanu vremena</w:t>
            </w:r>
            <w:r w:rsidRPr="00C262AC">
              <w:rPr>
                <w:sz w:val="22"/>
                <w:szCs w:val="22"/>
                <w:lang w:val="sr-Latn-RS"/>
              </w:rPr>
              <w:t>)</w:t>
            </w:r>
          </w:p>
        </w:tc>
        <w:tc>
          <w:tcPr>
            <w:tcW w:w="2127" w:type="dxa"/>
            <w:tcBorders>
              <w:top w:val="single" w:sz="4" w:space="0" w:color="auto"/>
              <w:left w:val="single" w:sz="4" w:space="0" w:color="auto"/>
              <w:bottom w:val="single" w:sz="4" w:space="0" w:color="auto"/>
              <w:right w:val="single" w:sz="4" w:space="0" w:color="auto"/>
            </w:tcBorders>
            <w:hideMark/>
          </w:tcPr>
          <w:p w14:paraId="393DE881" w14:textId="77777777" w:rsidR="003456C6" w:rsidRPr="00C262AC" w:rsidRDefault="003456C6">
            <w:pPr>
              <w:pStyle w:val="Table"/>
              <w:spacing w:before="0" w:after="0"/>
              <w:jc w:val="both"/>
              <w:rPr>
                <w:szCs w:val="22"/>
                <w:lang w:val="sr-Latn-RS"/>
              </w:rPr>
            </w:pPr>
            <w:r w:rsidRPr="00C262AC">
              <w:rPr>
                <w:szCs w:val="22"/>
                <w:lang w:val="sr-Latn-RS"/>
              </w:rPr>
              <w:t>(8.9, 11.6 mjeseci)</w:t>
            </w:r>
          </w:p>
        </w:tc>
        <w:tc>
          <w:tcPr>
            <w:tcW w:w="2126" w:type="dxa"/>
            <w:tcBorders>
              <w:top w:val="single" w:sz="4" w:space="0" w:color="auto"/>
              <w:left w:val="single" w:sz="4" w:space="0" w:color="auto"/>
              <w:bottom w:val="single" w:sz="4" w:space="0" w:color="auto"/>
              <w:right w:val="single" w:sz="4" w:space="0" w:color="auto"/>
            </w:tcBorders>
            <w:hideMark/>
          </w:tcPr>
          <w:p w14:paraId="170D67B8" w14:textId="77777777" w:rsidR="003456C6" w:rsidRPr="00C262AC" w:rsidRDefault="003456C6">
            <w:pPr>
              <w:pStyle w:val="Table"/>
              <w:spacing w:before="0" w:after="0"/>
              <w:jc w:val="both"/>
              <w:rPr>
                <w:szCs w:val="22"/>
                <w:lang w:val="sr-Latn-RS"/>
              </w:rPr>
            </w:pPr>
            <w:r w:rsidRPr="00C262AC">
              <w:rPr>
                <w:szCs w:val="22"/>
                <w:lang w:val="sr-Latn-RS"/>
              </w:rPr>
              <w:t>(5.4, 6.3 mjeseci)</w:t>
            </w:r>
          </w:p>
        </w:tc>
      </w:tr>
      <w:tr w:rsidR="003456C6" w:rsidRPr="00C262AC" w14:paraId="58B92E3F" w14:textId="77777777" w:rsidTr="003456C6">
        <w:trPr>
          <w:cantSplit/>
          <w:trHeight w:val="289"/>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D52EA12" w14:textId="77777777" w:rsidR="003456C6" w:rsidRPr="00C262AC" w:rsidRDefault="003456C6" w:rsidP="00C02F5A">
            <w:pPr>
              <w:jc w:val="both"/>
              <w:rPr>
                <w:sz w:val="22"/>
                <w:szCs w:val="22"/>
                <w:lang w:val="sr-Latn-RS" w:eastAsia="en-GB"/>
              </w:rPr>
            </w:pPr>
          </w:p>
        </w:tc>
        <w:tc>
          <w:tcPr>
            <w:tcW w:w="2126" w:type="dxa"/>
            <w:tcBorders>
              <w:top w:val="single" w:sz="4" w:space="0" w:color="auto"/>
              <w:left w:val="single" w:sz="4" w:space="0" w:color="auto"/>
              <w:bottom w:val="single" w:sz="4" w:space="0" w:color="auto"/>
              <w:right w:val="single" w:sz="4" w:space="0" w:color="auto"/>
            </w:tcBorders>
            <w:hideMark/>
          </w:tcPr>
          <w:p w14:paraId="00EA84A4" w14:textId="77777777" w:rsidR="003456C6" w:rsidRPr="00C262AC" w:rsidRDefault="003456C6">
            <w:pPr>
              <w:pStyle w:val="Table"/>
              <w:spacing w:before="0" w:after="0"/>
              <w:jc w:val="both"/>
              <w:rPr>
                <w:szCs w:val="22"/>
                <w:lang w:val="sr-Latn-RS"/>
              </w:rPr>
            </w:pPr>
            <w:r w:rsidRPr="00C262AC">
              <w:rPr>
                <w:szCs w:val="22"/>
                <w:lang w:val="sr-Latn-RS"/>
              </w:rPr>
              <w:t>Stepen rizika (HR)</w:t>
            </w:r>
          </w:p>
        </w:tc>
        <w:tc>
          <w:tcPr>
            <w:tcW w:w="4253" w:type="dxa"/>
            <w:gridSpan w:val="2"/>
            <w:tcBorders>
              <w:top w:val="single" w:sz="4" w:space="0" w:color="auto"/>
              <w:left w:val="single" w:sz="4" w:space="0" w:color="auto"/>
              <w:bottom w:val="single" w:sz="4" w:space="0" w:color="auto"/>
              <w:right w:val="single" w:sz="4" w:space="0" w:color="auto"/>
            </w:tcBorders>
            <w:hideMark/>
          </w:tcPr>
          <w:p w14:paraId="3FEF41B9" w14:textId="77777777" w:rsidR="003456C6" w:rsidRPr="00C262AC" w:rsidRDefault="003456C6">
            <w:pPr>
              <w:pStyle w:val="Table"/>
              <w:spacing w:before="0" w:after="0"/>
              <w:jc w:val="both"/>
              <w:rPr>
                <w:szCs w:val="22"/>
                <w:lang w:val="sr-Latn-RS"/>
              </w:rPr>
            </w:pPr>
            <w:r w:rsidRPr="00C262AC">
              <w:rPr>
                <w:szCs w:val="22"/>
                <w:lang w:val="sr-Latn-RS"/>
              </w:rPr>
              <w:t>0.72</w:t>
            </w:r>
          </w:p>
        </w:tc>
      </w:tr>
      <w:tr w:rsidR="003456C6" w:rsidRPr="00C262AC" w14:paraId="12E11ABD" w14:textId="77777777" w:rsidTr="003456C6">
        <w:trPr>
          <w:cantSplit/>
          <w:trHeight w:val="289"/>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3301C99" w14:textId="77777777" w:rsidR="003456C6" w:rsidRPr="00C262AC" w:rsidRDefault="003456C6" w:rsidP="00C02F5A">
            <w:pPr>
              <w:jc w:val="both"/>
              <w:rPr>
                <w:sz w:val="22"/>
                <w:szCs w:val="22"/>
                <w:lang w:val="sr-Latn-RS" w:eastAsia="en-GB"/>
              </w:rPr>
            </w:pPr>
          </w:p>
        </w:tc>
        <w:tc>
          <w:tcPr>
            <w:tcW w:w="2126" w:type="dxa"/>
            <w:tcBorders>
              <w:top w:val="single" w:sz="4" w:space="0" w:color="auto"/>
              <w:left w:val="single" w:sz="4" w:space="0" w:color="auto"/>
              <w:bottom w:val="single" w:sz="4" w:space="0" w:color="auto"/>
              <w:right w:val="single" w:sz="4" w:space="0" w:color="auto"/>
            </w:tcBorders>
            <w:hideMark/>
          </w:tcPr>
          <w:p w14:paraId="77C60121" w14:textId="77777777" w:rsidR="003456C6" w:rsidRPr="00C262AC" w:rsidRDefault="003456C6">
            <w:pPr>
              <w:pStyle w:val="Table"/>
              <w:spacing w:before="0" w:after="0"/>
              <w:jc w:val="both"/>
              <w:rPr>
                <w:szCs w:val="22"/>
                <w:lang w:val="sr-Latn-RS"/>
              </w:rPr>
            </w:pPr>
            <w:r w:rsidRPr="00C262AC">
              <w:rPr>
                <w:szCs w:val="22"/>
                <w:lang w:val="sr-Latn-RS"/>
              </w:rPr>
              <w:t>(95% CI za HR)</w:t>
            </w:r>
          </w:p>
        </w:tc>
        <w:tc>
          <w:tcPr>
            <w:tcW w:w="4253" w:type="dxa"/>
            <w:gridSpan w:val="2"/>
            <w:tcBorders>
              <w:top w:val="single" w:sz="4" w:space="0" w:color="auto"/>
              <w:left w:val="single" w:sz="4" w:space="0" w:color="auto"/>
              <w:bottom w:val="single" w:sz="4" w:space="0" w:color="auto"/>
              <w:right w:val="single" w:sz="4" w:space="0" w:color="auto"/>
            </w:tcBorders>
            <w:hideMark/>
          </w:tcPr>
          <w:p w14:paraId="0226503E" w14:textId="77777777" w:rsidR="003456C6" w:rsidRPr="00C262AC" w:rsidRDefault="003456C6">
            <w:pPr>
              <w:pStyle w:val="Table"/>
              <w:spacing w:before="0" w:after="0"/>
              <w:jc w:val="both"/>
              <w:rPr>
                <w:szCs w:val="22"/>
                <w:lang w:val="sr-Latn-RS"/>
              </w:rPr>
            </w:pPr>
            <w:r w:rsidRPr="00C262AC">
              <w:rPr>
                <w:szCs w:val="22"/>
                <w:lang w:val="sr-Latn-RS"/>
              </w:rPr>
              <w:t>(0.62, 0.83)</w:t>
            </w:r>
          </w:p>
        </w:tc>
      </w:tr>
      <w:tr w:rsidR="003456C6" w:rsidRPr="00C262AC" w14:paraId="7BF2BDEF" w14:textId="77777777" w:rsidTr="003456C6">
        <w:trPr>
          <w:cantSplit/>
          <w:trHeight w:val="289"/>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0CB91B0" w14:textId="77777777" w:rsidR="003456C6" w:rsidRPr="00C262AC" w:rsidRDefault="003456C6" w:rsidP="00C02F5A">
            <w:pPr>
              <w:jc w:val="both"/>
              <w:rPr>
                <w:sz w:val="22"/>
                <w:szCs w:val="22"/>
                <w:lang w:val="sr-Latn-RS" w:eastAsia="en-GB"/>
              </w:rPr>
            </w:pPr>
          </w:p>
        </w:tc>
        <w:tc>
          <w:tcPr>
            <w:tcW w:w="2126" w:type="dxa"/>
            <w:tcBorders>
              <w:top w:val="single" w:sz="4" w:space="0" w:color="auto"/>
              <w:left w:val="single" w:sz="4" w:space="0" w:color="auto"/>
              <w:bottom w:val="single" w:sz="4" w:space="0" w:color="auto"/>
              <w:right w:val="single" w:sz="4" w:space="0" w:color="auto"/>
            </w:tcBorders>
            <w:hideMark/>
          </w:tcPr>
          <w:p w14:paraId="7CA0F349" w14:textId="364F5D9F" w:rsidR="003456C6" w:rsidRPr="00C262AC" w:rsidRDefault="003456C6">
            <w:pPr>
              <w:pStyle w:val="Table"/>
              <w:spacing w:before="0" w:after="0"/>
              <w:jc w:val="both"/>
              <w:rPr>
                <w:i/>
                <w:szCs w:val="22"/>
                <w:lang w:val="sr-Latn-RS"/>
              </w:rPr>
            </w:pPr>
          </w:p>
        </w:tc>
        <w:tc>
          <w:tcPr>
            <w:tcW w:w="4253" w:type="dxa"/>
            <w:gridSpan w:val="2"/>
            <w:tcBorders>
              <w:top w:val="single" w:sz="4" w:space="0" w:color="auto"/>
              <w:left w:val="single" w:sz="4" w:space="0" w:color="auto"/>
              <w:bottom w:val="single" w:sz="4" w:space="0" w:color="auto"/>
              <w:right w:val="single" w:sz="4" w:space="0" w:color="auto"/>
            </w:tcBorders>
            <w:hideMark/>
          </w:tcPr>
          <w:p w14:paraId="45A23C5E" w14:textId="55EF735B" w:rsidR="003456C6" w:rsidRPr="00C262AC" w:rsidRDefault="00E318EA">
            <w:pPr>
              <w:pStyle w:val="Table"/>
              <w:spacing w:before="0" w:after="0"/>
              <w:jc w:val="both"/>
              <w:rPr>
                <w:szCs w:val="22"/>
                <w:lang w:val="sr-Latn-RS"/>
              </w:rPr>
            </w:pPr>
            <w:r w:rsidRPr="00C262AC">
              <w:rPr>
                <w:i/>
                <w:szCs w:val="22"/>
                <w:lang w:val="sr-Latn-RS"/>
              </w:rPr>
              <w:t>p</w:t>
            </w:r>
            <w:r w:rsidRPr="00C262AC">
              <w:rPr>
                <w:szCs w:val="22"/>
                <w:lang w:val="sr-Latn-RS"/>
              </w:rPr>
              <w:t xml:space="preserve"> </w:t>
            </w:r>
            <w:r w:rsidR="003456C6" w:rsidRPr="00C262AC">
              <w:rPr>
                <w:szCs w:val="22"/>
                <w:lang w:val="sr-Latn-RS"/>
              </w:rPr>
              <w:t>&lt;0.0001</w:t>
            </w:r>
          </w:p>
        </w:tc>
      </w:tr>
      <w:tr w:rsidR="003456C6" w:rsidRPr="00C262AC" w14:paraId="45D177F8" w14:textId="77777777" w:rsidTr="003456C6">
        <w:trPr>
          <w:trHeight w:val="581"/>
        </w:trPr>
        <w:tc>
          <w:tcPr>
            <w:tcW w:w="2518" w:type="dxa"/>
            <w:vMerge w:val="restart"/>
            <w:tcBorders>
              <w:top w:val="single" w:sz="4" w:space="0" w:color="auto"/>
              <w:left w:val="single" w:sz="4" w:space="0" w:color="auto"/>
              <w:bottom w:val="single" w:sz="4" w:space="0" w:color="auto"/>
              <w:right w:val="single" w:sz="4" w:space="0" w:color="auto"/>
            </w:tcBorders>
            <w:hideMark/>
          </w:tcPr>
          <w:p w14:paraId="2A6D6739" w14:textId="77777777" w:rsidR="003456C6" w:rsidRPr="00C262AC" w:rsidRDefault="003456C6">
            <w:pPr>
              <w:pStyle w:val="Table"/>
              <w:jc w:val="both"/>
              <w:rPr>
                <w:szCs w:val="22"/>
                <w:lang w:val="sr-Latn-RS"/>
              </w:rPr>
            </w:pPr>
            <w:r w:rsidRPr="00C262AC">
              <w:rPr>
                <w:szCs w:val="22"/>
                <w:lang w:val="sr-Latn-RS"/>
              </w:rPr>
              <w:t>Stepen objektivnog</w:t>
            </w:r>
          </w:p>
          <w:p w14:paraId="421DB0AD" w14:textId="77777777" w:rsidR="003456C6" w:rsidRPr="00C262AC" w:rsidRDefault="003456C6">
            <w:pPr>
              <w:pStyle w:val="Table"/>
              <w:spacing w:before="0" w:after="0"/>
              <w:jc w:val="both"/>
              <w:rPr>
                <w:b/>
                <w:szCs w:val="22"/>
                <w:lang w:val="sr-Latn-RS"/>
              </w:rPr>
            </w:pPr>
            <w:r w:rsidRPr="00C262AC">
              <w:rPr>
                <w:szCs w:val="22"/>
                <w:lang w:val="sr-Latn-RS"/>
              </w:rPr>
              <w:t>odgovora (ORR)</w:t>
            </w:r>
          </w:p>
        </w:tc>
        <w:tc>
          <w:tcPr>
            <w:tcW w:w="2126" w:type="dxa"/>
            <w:tcBorders>
              <w:top w:val="single" w:sz="4" w:space="0" w:color="auto"/>
              <w:left w:val="single" w:sz="4" w:space="0" w:color="auto"/>
              <w:bottom w:val="single" w:sz="4" w:space="0" w:color="auto"/>
              <w:right w:val="single" w:sz="4" w:space="0" w:color="auto"/>
            </w:tcBorders>
            <w:hideMark/>
          </w:tcPr>
          <w:p w14:paraId="080FB4D1" w14:textId="77777777" w:rsidR="003456C6" w:rsidRPr="00C262AC" w:rsidRDefault="003456C6">
            <w:pPr>
              <w:pStyle w:val="Table"/>
              <w:spacing w:before="0" w:after="0"/>
              <w:jc w:val="both"/>
              <w:rPr>
                <w:szCs w:val="22"/>
                <w:lang w:val="sr-Latn-RS"/>
              </w:rPr>
            </w:pPr>
            <w:r w:rsidRPr="00C262AC">
              <w:rPr>
                <w:szCs w:val="22"/>
                <w:lang w:val="sr-Latn-RS"/>
              </w:rPr>
              <w:t>CR+PR</w:t>
            </w:r>
          </w:p>
        </w:tc>
        <w:tc>
          <w:tcPr>
            <w:tcW w:w="2127" w:type="dxa"/>
            <w:tcBorders>
              <w:top w:val="single" w:sz="4" w:space="0" w:color="auto"/>
              <w:left w:val="single" w:sz="4" w:space="0" w:color="auto"/>
              <w:bottom w:val="single" w:sz="4" w:space="0" w:color="auto"/>
              <w:right w:val="single" w:sz="4" w:space="0" w:color="auto"/>
            </w:tcBorders>
            <w:hideMark/>
          </w:tcPr>
          <w:p w14:paraId="5D9872D7" w14:textId="77777777" w:rsidR="003456C6" w:rsidRPr="00C262AC" w:rsidRDefault="003456C6">
            <w:pPr>
              <w:pStyle w:val="Table"/>
              <w:spacing w:before="0" w:after="0"/>
              <w:jc w:val="both"/>
              <w:rPr>
                <w:szCs w:val="22"/>
                <w:lang w:val="sr-Latn-RS"/>
              </w:rPr>
            </w:pPr>
            <w:r w:rsidRPr="00C262AC">
              <w:rPr>
                <w:szCs w:val="22"/>
                <w:lang w:val="sr-Latn-RS"/>
              </w:rPr>
              <w:t>145 (32%)</w:t>
            </w:r>
          </w:p>
        </w:tc>
        <w:tc>
          <w:tcPr>
            <w:tcW w:w="2126" w:type="dxa"/>
            <w:tcBorders>
              <w:top w:val="single" w:sz="4" w:space="0" w:color="auto"/>
              <w:left w:val="single" w:sz="4" w:space="0" w:color="auto"/>
              <w:bottom w:val="single" w:sz="4" w:space="0" w:color="auto"/>
              <w:right w:val="single" w:sz="4" w:space="0" w:color="auto"/>
            </w:tcBorders>
            <w:hideMark/>
          </w:tcPr>
          <w:p w14:paraId="3C7A95CC" w14:textId="77777777" w:rsidR="003456C6" w:rsidRPr="00C262AC" w:rsidRDefault="003456C6">
            <w:pPr>
              <w:pStyle w:val="Table"/>
              <w:spacing w:before="0" w:after="0"/>
              <w:jc w:val="both"/>
              <w:rPr>
                <w:szCs w:val="22"/>
                <w:lang w:val="sr-Latn-RS"/>
              </w:rPr>
            </w:pPr>
            <w:r w:rsidRPr="00C262AC">
              <w:rPr>
                <w:szCs w:val="22"/>
                <w:lang w:val="sr-Latn-RS"/>
              </w:rPr>
              <w:t>95 (21%)</w:t>
            </w:r>
          </w:p>
        </w:tc>
      </w:tr>
      <w:tr w:rsidR="003456C6" w:rsidRPr="00C262AC" w14:paraId="342EB82B" w14:textId="77777777" w:rsidTr="003456C6">
        <w:trPr>
          <w:trHeight w:val="289"/>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FF43C2A" w14:textId="77777777" w:rsidR="003456C6" w:rsidRPr="00C262AC" w:rsidRDefault="003456C6" w:rsidP="00C02F5A">
            <w:pPr>
              <w:jc w:val="both"/>
              <w:rPr>
                <w:b/>
                <w:sz w:val="22"/>
                <w:szCs w:val="22"/>
                <w:lang w:val="sr-Latn-RS" w:eastAsia="en-GB"/>
              </w:rPr>
            </w:pPr>
          </w:p>
        </w:tc>
        <w:tc>
          <w:tcPr>
            <w:tcW w:w="2126" w:type="dxa"/>
            <w:tcBorders>
              <w:top w:val="single" w:sz="4" w:space="0" w:color="auto"/>
              <w:left w:val="single" w:sz="4" w:space="0" w:color="auto"/>
              <w:bottom w:val="single" w:sz="4" w:space="0" w:color="auto"/>
              <w:right w:val="single" w:sz="4" w:space="0" w:color="auto"/>
            </w:tcBorders>
            <w:hideMark/>
          </w:tcPr>
          <w:p w14:paraId="27B4CD48" w14:textId="77777777" w:rsidR="003456C6" w:rsidRPr="00C262AC" w:rsidRDefault="003456C6">
            <w:pPr>
              <w:pStyle w:val="Table"/>
              <w:spacing w:before="0" w:after="0"/>
              <w:jc w:val="both"/>
              <w:rPr>
                <w:szCs w:val="22"/>
                <w:lang w:val="sr-Latn-RS"/>
              </w:rPr>
            </w:pPr>
            <w:r w:rsidRPr="00C262AC">
              <w:rPr>
                <w:szCs w:val="22"/>
                <w:lang w:val="sr-Latn-RS"/>
              </w:rPr>
              <w:t>(95% CI za HR)</w:t>
            </w:r>
          </w:p>
        </w:tc>
        <w:tc>
          <w:tcPr>
            <w:tcW w:w="2127" w:type="dxa"/>
            <w:tcBorders>
              <w:top w:val="single" w:sz="4" w:space="0" w:color="auto"/>
              <w:left w:val="single" w:sz="4" w:space="0" w:color="auto"/>
              <w:bottom w:val="single" w:sz="4" w:space="0" w:color="auto"/>
              <w:right w:val="single" w:sz="4" w:space="0" w:color="auto"/>
            </w:tcBorders>
            <w:hideMark/>
          </w:tcPr>
          <w:p w14:paraId="5E341B92" w14:textId="77777777" w:rsidR="003456C6" w:rsidRPr="00C262AC" w:rsidRDefault="003456C6">
            <w:pPr>
              <w:pStyle w:val="Table"/>
              <w:spacing w:before="0" w:after="0"/>
              <w:jc w:val="both"/>
              <w:rPr>
                <w:szCs w:val="22"/>
                <w:lang w:val="sr-Latn-RS"/>
              </w:rPr>
            </w:pPr>
            <w:r w:rsidRPr="00C262AC">
              <w:rPr>
                <w:szCs w:val="22"/>
                <w:lang w:val="sr-Latn-RS"/>
              </w:rPr>
              <w:t>(28, 36%)</w:t>
            </w:r>
          </w:p>
        </w:tc>
        <w:tc>
          <w:tcPr>
            <w:tcW w:w="2126" w:type="dxa"/>
            <w:tcBorders>
              <w:top w:val="single" w:sz="4" w:space="0" w:color="auto"/>
              <w:left w:val="single" w:sz="4" w:space="0" w:color="auto"/>
              <w:bottom w:val="single" w:sz="4" w:space="0" w:color="auto"/>
              <w:right w:val="single" w:sz="4" w:space="0" w:color="auto"/>
            </w:tcBorders>
            <w:hideMark/>
          </w:tcPr>
          <w:p w14:paraId="101296C5" w14:textId="77777777" w:rsidR="003456C6" w:rsidRPr="00C262AC" w:rsidRDefault="003456C6">
            <w:pPr>
              <w:pStyle w:val="Table"/>
              <w:spacing w:before="0" w:after="0"/>
              <w:jc w:val="both"/>
              <w:rPr>
                <w:szCs w:val="22"/>
                <w:lang w:val="sr-Latn-RS"/>
              </w:rPr>
            </w:pPr>
            <w:r w:rsidRPr="00C262AC">
              <w:rPr>
                <w:szCs w:val="22"/>
                <w:lang w:val="sr-Latn-RS"/>
              </w:rPr>
              <w:t>(17, 25%)</w:t>
            </w:r>
          </w:p>
        </w:tc>
      </w:tr>
      <w:tr w:rsidR="003456C6" w:rsidRPr="00C262AC" w14:paraId="5869CA36" w14:textId="77777777" w:rsidTr="003456C6">
        <w:trPr>
          <w:cantSplit/>
          <w:trHeight w:val="289"/>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F5C10B9" w14:textId="77777777" w:rsidR="003456C6" w:rsidRPr="00C262AC" w:rsidRDefault="003456C6" w:rsidP="00C02F5A">
            <w:pPr>
              <w:jc w:val="both"/>
              <w:rPr>
                <w:b/>
                <w:sz w:val="22"/>
                <w:szCs w:val="22"/>
                <w:lang w:val="sr-Latn-RS" w:eastAsia="en-GB"/>
              </w:rPr>
            </w:pPr>
          </w:p>
        </w:tc>
        <w:tc>
          <w:tcPr>
            <w:tcW w:w="2126" w:type="dxa"/>
            <w:tcBorders>
              <w:top w:val="single" w:sz="4" w:space="0" w:color="auto"/>
              <w:left w:val="single" w:sz="4" w:space="0" w:color="auto"/>
              <w:bottom w:val="single" w:sz="4" w:space="0" w:color="auto"/>
              <w:right w:val="single" w:sz="4" w:space="0" w:color="auto"/>
            </w:tcBorders>
            <w:hideMark/>
          </w:tcPr>
          <w:p w14:paraId="09FA97E0" w14:textId="77777777" w:rsidR="003456C6" w:rsidRPr="00C262AC" w:rsidRDefault="003456C6">
            <w:pPr>
              <w:pStyle w:val="Table"/>
              <w:spacing w:before="0" w:after="0"/>
              <w:jc w:val="both"/>
              <w:rPr>
                <w:szCs w:val="22"/>
                <w:lang w:val="sr-Latn-RS"/>
              </w:rPr>
            </w:pPr>
            <w:r w:rsidRPr="00C262AC">
              <w:rPr>
                <w:szCs w:val="22"/>
                <w:lang w:val="sr-Latn-RS"/>
              </w:rPr>
              <w:t>Odnos mogućnosti</w:t>
            </w:r>
          </w:p>
        </w:tc>
        <w:tc>
          <w:tcPr>
            <w:tcW w:w="4253" w:type="dxa"/>
            <w:gridSpan w:val="2"/>
            <w:tcBorders>
              <w:top w:val="single" w:sz="4" w:space="0" w:color="auto"/>
              <w:left w:val="single" w:sz="4" w:space="0" w:color="auto"/>
              <w:bottom w:val="single" w:sz="4" w:space="0" w:color="auto"/>
              <w:right w:val="single" w:sz="4" w:space="0" w:color="auto"/>
            </w:tcBorders>
            <w:hideMark/>
          </w:tcPr>
          <w:p w14:paraId="6DA119DB" w14:textId="77777777" w:rsidR="003456C6" w:rsidRPr="00C262AC" w:rsidRDefault="003456C6">
            <w:pPr>
              <w:pStyle w:val="Table"/>
              <w:spacing w:before="0" w:after="0"/>
              <w:jc w:val="both"/>
              <w:rPr>
                <w:szCs w:val="22"/>
                <w:lang w:val="sr-Latn-RS"/>
              </w:rPr>
            </w:pPr>
            <w:r w:rsidRPr="00C262AC">
              <w:rPr>
                <w:szCs w:val="22"/>
                <w:lang w:val="sr-Latn-RS"/>
              </w:rPr>
              <w:t>1.78</w:t>
            </w:r>
          </w:p>
        </w:tc>
      </w:tr>
      <w:tr w:rsidR="003456C6" w:rsidRPr="00C262AC" w14:paraId="15C00176" w14:textId="77777777" w:rsidTr="003456C6">
        <w:trPr>
          <w:cantSplit/>
          <w:trHeight w:val="273"/>
        </w:trPr>
        <w:tc>
          <w:tcPr>
            <w:tcW w:w="2518" w:type="dxa"/>
            <w:vMerge w:val="restart"/>
            <w:tcBorders>
              <w:top w:val="single" w:sz="4" w:space="0" w:color="auto"/>
              <w:left w:val="single" w:sz="4" w:space="0" w:color="auto"/>
              <w:bottom w:val="single" w:sz="4" w:space="0" w:color="auto"/>
              <w:right w:val="single" w:sz="4" w:space="0" w:color="auto"/>
            </w:tcBorders>
          </w:tcPr>
          <w:p w14:paraId="6D7F69EF" w14:textId="77777777" w:rsidR="003456C6" w:rsidRPr="00C262AC" w:rsidRDefault="003456C6">
            <w:pPr>
              <w:pStyle w:val="Table"/>
              <w:spacing w:before="0" w:after="0"/>
              <w:jc w:val="both"/>
              <w:rPr>
                <w:b/>
                <w:szCs w:val="22"/>
                <w:lang w:val="sr-Latn-RS"/>
              </w:rPr>
            </w:pPr>
          </w:p>
        </w:tc>
        <w:tc>
          <w:tcPr>
            <w:tcW w:w="2126" w:type="dxa"/>
            <w:tcBorders>
              <w:top w:val="single" w:sz="4" w:space="0" w:color="auto"/>
              <w:left w:val="single" w:sz="4" w:space="0" w:color="auto"/>
              <w:bottom w:val="single" w:sz="4" w:space="0" w:color="auto"/>
              <w:right w:val="single" w:sz="4" w:space="0" w:color="auto"/>
            </w:tcBorders>
            <w:hideMark/>
          </w:tcPr>
          <w:p w14:paraId="4C0FDA61" w14:textId="77777777" w:rsidR="003456C6" w:rsidRPr="00C262AC" w:rsidRDefault="003456C6">
            <w:pPr>
              <w:pStyle w:val="Table"/>
              <w:spacing w:before="0" w:after="0"/>
              <w:jc w:val="both"/>
              <w:rPr>
                <w:szCs w:val="22"/>
                <w:lang w:val="sr-Latn-RS"/>
              </w:rPr>
            </w:pPr>
            <w:r w:rsidRPr="00C262AC">
              <w:rPr>
                <w:szCs w:val="22"/>
                <w:lang w:val="sr-Latn-RS"/>
              </w:rPr>
              <w:t>(95% CI za odnos mogućnosti)</w:t>
            </w:r>
          </w:p>
        </w:tc>
        <w:tc>
          <w:tcPr>
            <w:tcW w:w="4253" w:type="dxa"/>
            <w:gridSpan w:val="2"/>
            <w:tcBorders>
              <w:top w:val="single" w:sz="4" w:space="0" w:color="auto"/>
              <w:left w:val="single" w:sz="4" w:space="0" w:color="auto"/>
              <w:bottom w:val="single" w:sz="4" w:space="0" w:color="auto"/>
              <w:right w:val="single" w:sz="4" w:space="0" w:color="auto"/>
            </w:tcBorders>
            <w:hideMark/>
          </w:tcPr>
          <w:p w14:paraId="17398C17" w14:textId="77777777" w:rsidR="003456C6" w:rsidRPr="00C262AC" w:rsidRDefault="003456C6">
            <w:pPr>
              <w:pStyle w:val="Table"/>
              <w:spacing w:before="0" w:after="0"/>
              <w:jc w:val="both"/>
              <w:rPr>
                <w:szCs w:val="22"/>
                <w:lang w:val="sr-Latn-RS"/>
              </w:rPr>
            </w:pPr>
            <w:r w:rsidRPr="00C262AC">
              <w:rPr>
                <w:szCs w:val="22"/>
                <w:lang w:val="sr-Latn-RS"/>
              </w:rPr>
              <w:t>(1.32, 2.40)</w:t>
            </w:r>
          </w:p>
        </w:tc>
      </w:tr>
      <w:tr w:rsidR="003456C6" w:rsidRPr="00C262AC" w14:paraId="1ECE62BE" w14:textId="77777777" w:rsidTr="003456C6">
        <w:trPr>
          <w:cantSplit/>
          <w:trHeight w:val="289"/>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204BAB4" w14:textId="77777777" w:rsidR="003456C6" w:rsidRPr="00C262AC" w:rsidRDefault="003456C6" w:rsidP="00C02F5A">
            <w:pPr>
              <w:jc w:val="both"/>
              <w:rPr>
                <w:b/>
                <w:sz w:val="22"/>
                <w:szCs w:val="22"/>
                <w:lang w:val="sr-Latn-RS" w:eastAsia="en-GB"/>
              </w:rPr>
            </w:pPr>
          </w:p>
        </w:tc>
        <w:tc>
          <w:tcPr>
            <w:tcW w:w="2126" w:type="dxa"/>
            <w:tcBorders>
              <w:top w:val="single" w:sz="4" w:space="0" w:color="auto"/>
              <w:left w:val="single" w:sz="4" w:space="0" w:color="auto"/>
              <w:bottom w:val="single" w:sz="4" w:space="0" w:color="auto"/>
              <w:right w:val="single" w:sz="4" w:space="0" w:color="auto"/>
            </w:tcBorders>
            <w:hideMark/>
          </w:tcPr>
          <w:p w14:paraId="0A7B2CAA" w14:textId="1DC77927" w:rsidR="003456C6" w:rsidRPr="00C262AC" w:rsidRDefault="003456C6">
            <w:pPr>
              <w:pStyle w:val="Table"/>
              <w:spacing w:before="0" w:after="0"/>
              <w:jc w:val="both"/>
              <w:rPr>
                <w:i/>
                <w:szCs w:val="22"/>
                <w:lang w:val="sr-Latn-RS"/>
              </w:rPr>
            </w:pPr>
          </w:p>
        </w:tc>
        <w:tc>
          <w:tcPr>
            <w:tcW w:w="4253" w:type="dxa"/>
            <w:gridSpan w:val="2"/>
            <w:tcBorders>
              <w:top w:val="single" w:sz="4" w:space="0" w:color="auto"/>
              <w:left w:val="single" w:sz="4" w:space="0" w:color="auto"/>
              <w:bottom w:val="single" w:sz="4" w:space="0" w:color="auto"/>
              <w:right w:val="single" w:sz="4" w:space="0" w:color="auto"/>
            </w:tcBorders>
            <w:hideMark/>
          </w:tcPr>
          <w:p w14:paraId="326D1BC0" w14:textId="0CACA35A" w:rsidR="003456C6" w:rsidRPr="00C262AC" w:rsidRDefault="00E318EA">
            <w:pPr>
              <w:pStyle w:val="Table"/>
              <w:spacing w:before="0" w:after="0"/>
              <w:jc w:val="both"/>
              <w:rPr>
                <w:szCs w:val="22"/>
                <w:lang w:val="sr-Latn-RS"/>
              </w:rPr>
            </w:pPr>
            <w:r w:rsidRPr="00C262AC">
              <w:rPr>
                <w:i/>
                <w:szCs w:val="22"/>
                <w:lang w:val="sr-Latn-RS"/>
              </w:rPr>
              <w:t>p</w:t>
            </w:r>
            <w:r w:rsidRPr="00C262AC">
              <w:rPr>
                <w:szCs w:val="22"/>
                <w:lang w:val="sr-Latn-RS"/>
              </w:rPr>
              <w:t xml:space="preserve"> =</w:t>
            </w:r>
            <w:r w:rsidR="003456C6" w:rsidRPr="00C262AC">
              <w:rPr>
                <w:szCs w:val="22"/>
                <w:lang w:val="sr-Latn-RS"/>
              </w:rPr>
              <w:t>0.0002</w:t>
            </w:r>
          </w:p>
        </w:tc>
      </w:tr>
    </w:tbl>
    <w:p w14:paraId="6EAEE0FC" w14:textId="77777777" w:rsidR="003456C6" w:rsidRPr="00C262AC" w:rsidRDefault="003456C6">
      <w:pPr>
        <w:jc w:val="both"/>
        <w:rPr>
          <w:sz w:val="22"/>
          <w:szCs w:val="22"/>
          <w:lang w:val="sr-Latn-RS"/>
        </w:rPr>
      </w:pPr>
    </w:p>
    <w:p w14:paraId="45FA1075" w14:textId="77777777" w:rsidR="003456C6" w:rsidRPr="00C262AC" w:rsidRDefault="003456C6">
      <w:pPr>
        <w:jc w:val="both"/>
        <w:rPr>
          <w:rFonts w:eastAsia="TimesNewRoman"/>
          <w:sz w:val="22"/>
          <w:szCs w:val="22"/>
          <w:lang w:val="sr-Latn-RS"/>
        </w:rPr>
      </w:pPr>
      <w:r w:rsidRPr="00C262AC">
        <w:rPr>
          <w:rFonts w:eastAsia="TimesNewRoman"/>
          <w:sz w:val="22"/>
          <w:szCs w:val="22"/>
          <w:lang w:val="sr-Latn-RS"/>
        </w:rPr>
        <w:lastRenderedPageBreak/>
        <w:t>Vrijeme do progresije bolesti bilo je značajno duže, a stepen odgovora značajno viši za letrozol, bez obzira na to da li je primjenjivana adjuvantna anti-estrogena terapija ili ne. Vrijeme do progresije bolesti bilo je značajno duže za letrozol bez obzira na dominantno mjesto oboljenja. Medijana vremena do progresije bolesti bilo je 12.1 mjesec za letrozol i 6.4 mjeseca za tamoksifen, samo kod pacijenata sa oboljenjem mekog tkiva, i medijana vremena od 8.3 mjeseca za letrozol i 4.6 mjeseci za tamoksifen, kod pacijenata sa viscelarnim metastazama.</w:t>
      </w:r>
    </w:p>
    <w:p w14:paraId="25561FC3" w14:textId="77777777" w:rsidR="003456C6" w:rsidRPr="00C262AC" w:rsidRDefault="003456C6">
      <w:pPr>
        <w:autoSpaceDE w:val="0"/>
        <w:autoSpaceDN w:val="0"/>
        <w:adjustRightInd w:val="0"/>
        <w:jc w:val="both"/>
        <w:rPr>
          <w:rFonts w:eastAsia="TimesNewRoman"/>
          <w:sz w:val="22"/>
          <w:szCs w:val="22"/>
          <w:lang w:val="sr-Latn-RS"/>
        </w:rPr>
      </w:pPr>
    </w:p>
    <w:p w14:paraId="3FDCFE3F" w14:textId="77777777" w:rsidR="00E318EA" w:rsidRPr="00C262AC" w:rsidRDefault="003456C6" w:rsidP="00E318EA">
      <w:pPr>
        <w:autoSpaceDE w:val="0"/>
        <w:autoSpaceDN w:val="0"/>
        <w:adjustRightInd w:val="0"/>
        <w:jc w:val="both"/>
        <w:rPr>
          <w:rFonts w:eastAsia="TimesNewRoman"/>
          <w:sz w:val="22"/>
          <w:szCs w:val="22"/>
          <w:lang w:val="sr-Latn-RS"/>
        </w:rPr>
      </w:pPr>
      <w:r w:rsidRPr="00C262AC">
        <w:rPr>
          <w:rFonts w:eastAsia="TimesNewRoman"/>
          <w:sz w:val="22"/>
          <w:szCs w:val="22"/>
          <w:lang w:val="sr-Latn-RS"/>
        </w:rPr>
        <w:t>Dizajn studije je dozvoljavao pacijentima da usljed progresije bolesti unakrsno prelaze u drugu terapijsku grupu</w:t>
      </w:r>
      <w:r w:rsidR="00E318EA" w:rsidRPr="00C262AC">
        <w:rPr>
          <w:rFonts w:eastAsia="TimesNewRoman"/>
          <w:sz w:val="22"/>
          <w:szCs w:val="22"/>
          <w:lang w:val="sr-Latn-RS"/>
        </w:rPr>
        <w:t xml:space="preserve"> ili da izađu iz studije. Oko 50% pacijenata prešlo je u suprotnu terapijsku grupu, a unakrsno prelaženje je bilo završeno za 36 mjeseci. Medijana vremena do prelaska bila je 17 mjeseci (iz letrozol grupe u tamoksifen grupu) i 13 mjeseci (iz tamoksifen grupe u letrozol grupu).</w:t>
      </w:r>
    </w:p>
    <w:p w14:paraId="1C128D48" w14:textId="77777777" w:rsidR="00E318EA" w:rsidRPr="00C262AC" w:rsidRDefault="00E318EA" w:rsidP="00E318EA">
      <w:pPr>
        <w:autoSpaceDE w:val="0"/>
        <w:autoSpaceDN w:val="0"/>
        <w:adjustRightInd w:val="0"/>
        <w:jc w:val="both"/>
        <w:rPr>
          <w:rFonts w:eastAsia="TimesNewRoman"/>
          <w:sz w:val="22"/>
          <w:szCs w:val="22"/>
          <w:lang w:val="sr-Latn-RS"/>
        </w:rPr>
      </w:pPr>
    </w:p>
    <w:p w14:paraId="74CD9930" w14:textId="1C8A41E8" w:rsidR="00E318EA" w:rsidRPr="00C262AC" w:rsidRDefault="003456C6" w:rsidP="00E318EA">
      <w:pPr>
        <w:autoSpaceDE w:val="0"/>
        <w:autoSpaceDN w:val="0"/>
        <w:adjustRightInd w:val="0"/>
        <w:jc w:val="both"/>
        <w:rPr>
          <w:rFonts w:eastAsia="TimesNewRoman"/>
          <w:sz w:val="22"/>
          <w:szCs w:val="22"/>
          <w:lang w:val="sr-Latn-RS"/>
        </w:rPr>
      </w:pPr>
      <w:r w:rsidRPr="00C262AC">
        <w:rPr>
          <w:rFonts w:eastAsia="TimesNewRoman"/>
          <w:sz w:val="22"/>
          <w:szCs w:val="22"/>
          <w:lang w:val="sr-Latn-RS"/>
        </w:rPr>
        <w:t>Liječenje lijekom Femozol kao prvom linijom terapije, uznapredovalog karcinoma dojke, dovelo je do medijane</w:t>
      </w:r>
      <w:r w:rsidR="00E318EA" w:rsidRPr="00C262AC">
        <w:rPr>
          <w:rFonts w:eastAsia="TimesNewRoman"/>
          <w:sz w:val="22"/>
          <w:szCs w:val="22"/>
          <w:lang w:val="sr-Latn-RS"/>
        </w:rPr>
        <w:t xml:space="preserve"> </w:t>
      </w:r>
      <w:r w:rsidRPr="00C262AC">
        <w:rPr>
          <w:rFonts w:eastAsia="TimesNewRoman"/>
          <w:sz w:val="22"/>
          <w:szCs w:val="22"/>
          <w:lang w:val="sr-Latn-RS"/>
        </w:rPr>
        <w:t>ukupnog preživljavanja od 34 mjeseca u poređenju sa 30 mjeseci za tamoksifena (logrank test p=0.53, nije</w:t>
      </w:r>
      <w:r w:rsidR="00E318EA" w:rsidRPr="00C262AC">
        <w:rPr>
          <w:rFonts w:eastAsia="TimesNewRoman"/>
          <w:sz w:val="22"/>
          <w:szCs w:val="22"/>
          <w:lang w:val="sr-Latn-RS"/>
        </w:rPr>
        <w:t xml:space="preserve"> značajno). Odsustvo prednosti letrozola koje se odnosi na ukupno preživljavanje može se objasniti dizajnom studije koji je omogućavao unakrsno prelaženje.</w:t>
      </w:r>
    </w:p>
    <w:p w14:paraId="16FCC911" w14:textId="77777777" w:rsidR="003456C6" w:rsidRPr="00C262AC" w:rsidRDefault="003456C6">
      <w:pPr>
        <w:jc w:val="both"/>
        <w:rPr>
          <w:rFonts w:eastAsia="TimesNewRoman"/>
          <w:sz w:val="22"/>
          <w:szCs w:val="22"/>
          <w:lang w:val="sr-Latn-RS"/>
        </w:rPr>
      </w:pPr>
    </w:p>
    <w:p w14:paraId="7ABA52CF" w14:textId="77777777" w:rsidR="003456C6" w:rsidRPr="00C262AC" w:rsidRDefault="003456C6">
      <w:pPr>
        <w:autoSpaceDE w:val="0"/>
        <w:autoSpaceDN w:val="0"/>
        <w:adjustRightInd w:val="0"/>
        <w:jc w:val="both"/>
        <w:rPr>
          <w:rFonts w:eastAsia="TimesNewRoman"/>
          <w:bCs/>
          <w:i/>
          <w:sz w:val="22"/>
          <w:szCs w:val="22"/>
          <w:u w:val="single"/>
          <w:lang w:val="sr-Latn-RS"/>
        </w:rPr>
      </w:pPr>
      <w:r w:rsidRPr="00C262AC">
        <w:rPr>
          <w:rFonts w:eastAsia="TimesNewRoman"/>
          <w:bCs/>
          <w:i/>
          <w:sz w:val="22"/>
          <w:szCs w:val="22"/>
          <w:u w:val="single"/>
          <w:lang w:val="sr-Latn-RS"/>
        </w:rPr>
        <w:t>Druga linija terapije</w:t>
      </w:r>
    </w:p>
    <w:p w14:paraId="276AF6AC" w14:textId="7D30990C" w:rsidR="003456C6" w:rsidRPr="00C262AC" w:rsidRDefault="003456C6">
      <w:pPr>
        <w:autoSpaceDE w:val="0"/>
        <w:autoSpaceDN w:val="0"/>
        <w:adjustRightInd w:val="0"/>
        <w:jc w:val="both"/>
        <w:rPr>
          <w:rFonts w:eastAsia="TimesNewRoman"/>
          <w:sz w:val="22"/>
          <w:szCs w:val="22"/>
          <w:lang w:val="sr-Latn-RS"/>
        </w:rPr>
      </w:pPr>
      <w:r w:rsidRPr="00C262AC">
        <w:rPr>
          <w:rFonts w:eastAsia="TimesNewRoman"/>
          <w:sz w:val="22"/>
          <w:szCs w:val="22"/>
          <w:lang w:val="sr-Latn-RS"/>
        </w:rPr>
        <w:t>Sprovedene su dvije dobro kontrolisane kliničke studije radi poređenja dvije doze letrozola (0.5 mg i 2.5 mg) u</w:t>
      </w:r>
      <w:r w:rsidR="00E318EA" w:rsidRPr="00C262AC">
        <w:rPr>
          <w:rFonts w:eastAsia="TimesNewRoman"/>
          <w:sz w:val="22"/>
          <w:szCs w:val="22"/>
          <w:lang w:val="sr-Latn-RS"/>
        </w:rPr>
        <w:t xml:space="preserve"> odnosu na megestrol-acetat i u odnosu na aminoglutetimid, kod žena u postmenopauzi sa uznapredovalim karcinomom dojke koje su ranije liječene anti-estrogenima.</w:t>
      </w:r>
    </w:p>
    <w:p w14:paraId="2BE0457B" w14:textId="72977DB3" w:rsidR="003456C6" w:rsidRPr="00C262AC" w:rsidRDefault="003456C6" w:rsidP="00C02F5A">
      <w:pPr>
        <w:autoSpaceDE w:val="0"/>
        <w:autoSpaceDN w:val="0"/>
        <w:adjustRightInd w:val="0"/>
        <w:jc w:val="both"/>
        <w:rPr>
          <w:rFonts w:eastAsia="TimesNewRoman"/>
          <w:sz w:val="22"/>
          <w:szCs w:val="22"/>
          <w:lang w:val="sr-Latn-RS"/>
        </w:rPr>
      </w:pPr>
      <w:r w:rsidRPr="00C262AC">
        <w:rPr>
          <w:rFonts w:eastAsia="TimesNewRoman"/>
          <w:sz w:val="22"/>
          <w:szCs w:val="22"/>
          <w:lang w:val="sr-Latn-RS"/>
        </w:rPr>
        <w:t>Vrijeme do progresije bolesti nije bilo značajno različito između letrozola 2.5 mg i megestrol-acetata (p=0.07).</w:t>
      </w:r>
      <w:r w:rsidR="00E318EA" w:rsidRPr="00C262AC">
        <w:rPr>
          <w:rFonts w:eastAsia="TimesNewRoman"/>
          <w:sz w:val="22"/>
          <w:szCs w:val="22"/>
          <w:lang w:val="sr-Latn-RS"/>
        </w:rPr>
        <w:t xml:space="preserve"> </w:t>
      </w:r>
      <w:r w:rsidRPr="00C262AC">
        <w:rPr>
          <w:rFonts w:eastAsia="TimesNewRoman"/>
          <w:sz w:val="22"/>
          <w:szCs w:val="22"/>
          <w:lang w:val="sr-Latn-RS"/>
        </w:rPr>
        <w:t>Statistički značajne razlike uočene su u korist letrozola 2.5 mg u poređenju sa megestrol-acetatom,u smislu stepenu ukupnog objektivnog odgovora tumora (24% prema 16%, p=0.04), i u vremenu do prestanka djelovanja</w:t>
      </w:r>
      <w:r w:rsidR="00E318EA" w:rsidRPr="00C262AC">
        <w:rPr>
          <w:rFonts w:eastAsia="TimesNewRoman"/>
          <w:sz w:val="22"/>
          <w:szCs w:val="22"/>
          <w:lang w:val="sr-Latn-RS"/>
        </w:rPr>
        <w:t xml:space="preserve"> </w:t>
      </w:r>
      <w:r w:rsidRPr="00C262AC">
        <w:rPr>
          <w:rFonts w:eastAsia="TimesNewRoman"/>
          <w:sz w:val="22"/>
          <w:szCs w:val="22"/>
          <w:lang w:val="sr-Latn-RS"/>
        </w:rPr>
        <w:t>lijeka (p=0.04). Ukupno preživljavanje nije bilo značajno različito između ove dvije grupe (p=0.2).</w:t>
      </w:r>
    </w:p>
    <w:p w14:paraId="55D64165" w14:textId="77777777" w:rsidR="003456C6" w:rsidRPr="00C262AC" w:rsidRDefault="003456C6">
      <w:pPr>
        <w:jc w:val="both"/>
        <w:rPr>
          <w:rFonts w:eastAsia="TimesNewRoman"/>
          <w:sz w:val="22"/>
          <w:szCs w:val="22"/>
          <w:lang w:val="sr-Latn-RS"/>
        </w:rPr>
      </w:pPr>
    </w:p>
    <w:p w14:paraId="1FC96A48" w14:textId="47EFE773" w:rsidR="003456C6" w:rsidRPr="00C262AC" w:rsidRDefault="003456C6">
      <w:pPr>
        <w:autoSpaceDE w:val="0"/>
        <w:autoSpaceDN w:val="0"/>
        <w:adjustRightInd w:val="0"/>
        <w:jc w:val="both"/>
        <w:rPr>
          <w:rFonts w:eastAsia="TimesNewRoman"/>
          <w:sz w:val="22"/>
          <w:szCs w:val="22"/>
          <w:lang w:val="sr-Latn-RS"/>
        </w:rPr>
      </w:pPr>
      <w:r w:rsidRPr="00C262AC">
        <w:rPr>
          <w:rFonts w:eastAsia="TimesNewRoman"/>
          <w:sz w:val="22"/>
          <w:szCs w:val="22"/>
          <w:lang w:val="sr-Latn-RS"/>
        </w:rPr>
        <w:t>U drugoj studiji, stepen odgovora nije bio statistički značajan između letrozola 2.5 mg i aminoglutetimida</w:t>
      </w:r>
      <w:r w:rsidR="00E318EA" w:rsidRPr="00C262AC">
        <w:rPr>
          <w:rFonts w:eastAsia="TimesNewRoman"/>
          <w:sz w:val="22"/>
          <w:szCs w:val="22"/>
          <w:lang w:val="sr-Latn-RS"/>
        </w:rPr>
        <w:t xml:space="preserve"> </w:t>
      </w:r>
      <w:r w:rsidRPr="00C262AC">
        <w:rPr>
          <w:rFonts w:eastAsia="TimesNewRoman"/>
          <w:sz w:val="22"/>
          <w:szCs w:val="22"/>
          <w:lang w:val="sr-Latn-RS"/>
        </w:rPr>
        <w:t>(p=0.06). Letrozol 2.5 mg je bio statistički superiorniji u odnosu na aminoglutetimid u smislu vremena do</w:t>
      </w:r>
      <w:r w:rsidR="00E318EA" w:rsidRPr="00C262AC">
        <w:rPr>
          <w:rFonts w:eastAsia="TimesNewRoman"/>
          <w:sz w:val="22"/>
          <w:szCs w:val="22"/>
          <w:lang w:val="sr-Latn-RS"/>
        </w:rPr>
        <w:t xml:space="preserve"> </w:t>
      </w:r>
      <w:r w:rsidRPr="00C262AC">
        <w:rPr>
          <w:rFonts w:eastAsia="TimesNewRoman"/>
          <w:sz w:val="22"/>
          <w:szCs w:val="22"/>
          <w:lang w:val="sr-Latn-RS"/>
        </w:rPr>
        <w:t>progresije bolesti (p=0.008), vremena do prestanka djelovanja lijeka (p=0.003) i ukupnog preživljavanja</w:t>
      </w:r>
      <w:r w:rsidR="00E318EA" w:rsidRPr="00C262AC">
        <w:rPr>
          <w:rFonts w:eastAsia="TimesNewRoman"/>
          <w:sz w:val="22"/>
          <w:szCs w:val="22"/>
          <w:lang w:val="sr-Latn-RS"/>
        </w:rPr>
        <w:t xml:space="preserve"> </w:t>
      </w:r>
      <w:r w:rsidRPr="00C262AC">
        <w:rPr>
          <w:rFonts w:eastAsia="TimesNewRoman"/>
          <w:sz w:val="22"/>
          <w:szCs w:val="22"/>
          <w:lang w:val="sr-Latn-RS"/>
        </w:rPr>
        <w:t>(p=0.002).</w:t>
      </w:r>
    </w:p>
    <w:p w14:paraId="0CFF1630" w14:textId="77777777" w:rsidR="003456C6" w:rsidRPr="00C262AC" w:rsidRDefault="003456C6">
      <w:pPr>
        <w:autoSpaceDE w:val="0"/>
        <w:autoSpaceDN w:val="0"/>
        <w:adjustRightInd w:val="0"/>
        <w:jc w:val="both"/>
        <w:rPr>
          <w:rFonts w:eastAsia="TimesNewRoman"/>
          <w:sz w:val="22"/>
          <w:szCs w:val="22"/>
          <w:lang w:val="sr-Latn-RS"/>
        </w:rPr>
      </w:pPr>
    </w:p>
    <w:p w14:paraId="3102F499" w14:textId="77777777" w:rsidR="003456C6" w:rsidRPr="00C262AC" w:rsidRDefault="003456C6">
      <w:pPr>
        <w:autoSpaceDE w:val="0"/>
        <w:autoSpaceDN w:val="0"/>
        <w:adjustRightInd w:val="0"/>
        <w:jc w:val="both"/>
        <w:rPr>
          <w:rFonts w:eastAsia="TimesNewRoman"/>
          <w:i/>
          <w:sz w:val="22"/>
          <w:szCs w:val="22"/>
          <w:u w:val="single"/>
          <w:lang w:val="sr-Latn-RS"/>
        </w:rPr>
      </w:pPr>
      <w:r w:rsidRPr="00C262AC">
        <w:rPr>
          <w:rFonts w:eastAsia="TimesNewRoman"/>
          <w:i/>
          <w:sz w:val="22"/>
          <w:szCs w:val="22"/>
          <w:u w:val="single"/>
          <w:lang w:val="sr-Latn-RS"/>
        </w:rPr>
        <w:t>Karcinom dojke kod muškaraca</w:t>
      </w:r>
    </w:p>
    <w:p w14:paraId="61FA4E98" w14:textId="7A1F16CB" w:rsidR="003456C6" w:rsidRPr="00C262AC" w:rsidRDefault="003456C6" w:rsidP="00C02F5A">
      <w:pPr>
        <w:tabs>
          <w:tab w:val="left" w:pos="540"/>
          <w:tab w:val="left" w:pos="569"/>
        </w:tabs>
        <w:jc w:val="both"/>
        <w:rPr>
          <w:rFonts w:eastAsia="TimesNewRoman"/>
          <w:sz w:val="22"/>
          <w:szCs w:val="22"/>
          <w:lang w:val="sr-Latn-RS"/>
        </w:rPr>
      </w:pPr>
      <w:r w:rsidRPr="00C262AC">
        <w:rPr>
          <w:rFonts w:eastAsia="TimesNewRoman"/>
          <w:sz w:val="22"/>
          <w:szCs w:val="22"/>
          <w:lang w:val="sr-Latn-RS"/>
        </w:rPr>
        <w:t>Primjena letrozola kod muškaraca sa karcinomom dojke nije ispitivana.</w:t>
      </w:r>
    </w:p>
    <w:p w14:paraId="15BA6A07" w14:textId="77777777" w:rsidR="003456C6" w:rsidRPr="00C262AC" w:rsidRDefault="003456C6" w:rsidP="00C02F5A">
      <w:pPr>
        <w:tabs>
          <w:tab w:val="left" w:pos="540"/>
          <w:tab w:val="left" w:pos="569"/>
        </w:tabs>
        <w:jc w:val="both"/>
        <w:rPr>
          <w:b/>
          <w:bCs/>
          <w:sz w:val="22"/>
          <w:szCs w:val="22"/>
          <w:lang w:val="sr-Latn-RS"/>
        </w:rPr>
      </w:pPr>
    </w:p>
    <w:p w14:paraId="7D9AD25A"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5.2. </w:t>
      </w:r>
      <w:r w:rsidR="00480FB1" w:rsidRPr="00C262AC">
        <w:rPr>
          <w:b/>
          <w:bCs/>
          <w:sz w:val="22"/>
          <w:szCs w:val="22"/>
          <w:lang w:val="sr-Latn-RS"/>
        </w:rPr>
        <w:tab/>
      </w:r>
      <w:r w:rsidRPr="00C262AC">
        <w:rPr>
          <w:b/>
          <w:bCs/>
          <w:sz w:val="22"/>
          <w:szCs w:val="22"/>
          <w:lang w:val="sr-Latn-RS"/>
        </w:rPr>
        <w:t>Farmakokinetički podaci</w:t>
      </w:r>
      <w:r w:rsidR="003A7059" w:rsidRPr="00C262AC">
        <w:rPr>
          <w:b/>
          <w:bCs/>
          <w:sz w:val="22"/>
          <w:szCs w:val="22"/>
          <w:lang w:val="sr-Latn-RS"/>
        </w:rPr>
        <w:t xml:space="preserve"> </w:t>
      </w:r>
    </w:p>
    <w:p w14:paraId="7D9AD25B" w14:textId="2B8240D2" w:rsidR="0072020E" w:rsidRPr="00C262AC" w:rsidRDefault="0072020E" w:rsidP="00C02F5A">
      <w:pPr>
        <w:tabs>
          <w:tab w:val="left" w:pos="540"/>
          <w:tab w:val="left" w:pos="569"/>
        </w:tabs>
        <w:jc w:val="both"/>
        <w:rPr>
          <w:bCs/>
          <w:sz w:val="22"/>
          <w:szCs w:val="22"/>
          <w:lang w:val="sr-Latn-RS"/>
        </w:rPr>
      </w:pPr>
    </w:p>
    <w:p w14:paraId="441B20FE" w14:textId="77777777" w:rsidR="003456C6" w:rsidRPr="00C262AC" w:rsidRDefault="003456C6">
      <w:pPr>
        <w:pStyle w:val="NormalWeb"/>
        <w:spacing w:before="0" w:beforeAutospacing="0" w:after="0" w:afterAutospacing="0"/>
        <w:jc w:val="both"/>
        <w:rPr>
          <w:i/>
          <w:sz w:val="22"/>
          <w:szCs w:val="22"/>
          <w:u w:val="single"/>
          <w:lang w:val="sr-Latn-RS"/>
        </w:rPr>
      </w:pPr>
      <w:r w:rsidRPr="00C262AC">
        <w:rPr>
          <w:i/>
          <w:sz w:val="22"/>
          <w:szCs w:val="22"/>
          <w:u w:val="single"/>
          <w:lang w:val="sr-Latn-RS"/>
        </w:rPr>
        <w:t xml:space="preserve">Resorpcija </w:t>
      </w:r>
    </w:p>
    <w:p w14:paraId="5FCD974C" w14:textId="77777777" w:rsidR="003456C6" w:rsidRPr="00C262AC" w:rsidRDefault="003456C6">
      <w:pPr>
        <w:pStyle w:val="BodyTextIndent3"/>
        <w:tabs>
          <w:tab w:val="left" w:pos="284"/>
        </w:tabs>
        <w:ind w:left="0"/>
        <w:jc w:val="both"/>
        <w:rPr>
          <w:noProof/>
          <w:sz w:val="22"/>
          <w:szCs w:val="22"/>
          <w:lang w:val="sr-Latn-RS"/>
        </w:rPr>
      </w:pPr>
      <w:r w:rsidRPr="00C262AC">
        <w:rPr>
          <w:sz w:val="22"/>
          <w:szCs w:val="22"/>
          <w:lang w:val="sr-Latn-RS"/>
        </w:rPr>
        <w:t>Letrozol se brzo i potpuno resorbuje iz gastrointestinalnog trakta (srednja apsolutna bioraspoloživosti: 99.9%). Hrana blago smanjuje stepen resorpcije (medijana t</w:t>
      </w:r>
      <w:r w:rsidRPr="00C262AC">
        <w:rPr>
          <w:sz w:val="22"/>
          <w:szCs w:val="22"/>
          <w:vertAlign w:val="subscript"/>
          <w:lang w:val="sr-Latn-RS"/>
        </w:rPr>
        <w:t>max</w:t>
      </w:r>
      <w:r w:rsidRPr="00C262AC">
        <w:rPr>
          <w:sz w:val="22"/>
          <w:szCs w:val="22"/>
          <w:lang w:val="sr-Latn-RS"/>
        </w:rPr>
        <w:t>: 1 sat našte prema 2 sata nakon obroka; i srednja C</w:t>
      </w:r>
      <w:r w:rsidRPr="00C262AC">
        <w:rPr>
          <w:sz w:val="22"/>
          <w:szCs w:val="22"/>
          <w:vertAlign w:val="subscript"/>
          <w:lang w:val="sr-Latn-RS"/>
        </w:rPr>
        <w:t>max</w:t>
      </w:r>
      <w:r w:rsidRPr="00C262AC">
        <w:rPr>
          <w:sz w:val="22"/>
          <w:szCs w:val="22"/>
          <w:lang w:val="sr-Latn-RS"/>
        </w:rPr>
        <w:t xml:space="preserve">: 129 ± 20.3 nmol/l našte prema 98.7 ± 18.6 nmol/l nakon obroka), ali obim resorpcije (PIK) nije izmijenjen. </w:t>
      </w:r>
      <w:r w:rsidRPr="00C262AC">
        <w:rPr>
          <w:noProof/>
          <w:sz w:val="22"/>
          <w:szCs w:val="22"/>
          <w:lang w:val="sr-Latn-RS"/>
        </w:rPr>
        <w:t>Smatra se da manji efekti na stepen resorpcije nijesu od kliničkog značaja i zbog toga se letrozol  može uzimati nezavisno od obroka.</w:t>
      </w:r>
    </w:p>
    <w:p w14:paraId="6D323571" w14:textId="77777777" w:rsidR="003456C6" w:rsidRPr="00C262AC" w:rsidRDefault="003456C6">
      <w:pPr>
        <w:pStyle w:val="NormalWeb"/>
        <w:spacing w:before="0" w:beforeAutospacing="0" w:after="0" w:afterAutospacing="0"/>
        <w:jc w:val="both"/>
        <w:rPr>
          <w:sz w:val="22"/>
          <w:szCs w:val="22"/>
          <w:lang w:val="sr-Latn-RS"/>
        </w:rPr>
      </w:pPr>
    </w:p>
    <w:p w14:paraId="3A393367" w14:textId="77777777" w:rsidR="003456C6" w:rsidRPr="00C262AC" w:rsidRDefault="003456C6">
      <w:pPr>
        <w:pStyle w:val="NormalWeb"/>
        <w:spacing w:before="0" w:beforeAutospacing="0" w:after="0" w:afterAutospacing="0"/>
        <w:jc w:val="both"/>
        <w:rPr>
          <w:i/>
          <w:sz w:val="22"/>
          <w:szCs w:val="22"/>
          <w:u w:val="single"/>
          <w:lang w:val="sr-Latn-RS"/>
        </w:rPr>
      </w:pPr>
      <w:r w:rsidRPr="00C262AC">
        <w:rPr>
          <w:bCs/>
          <w:i/>
          <w:iCs/>
          <w:sz w:val="22"/>
          <w:szCs w:val="22"/>
          <w:u w:val="single"/>
          <w:lang w:val="sr-Latn-RS"/>
        </w:rPr>
        <w:t>Distribucija</w:t>
      </w:r>
    </w:p>
    <w:p w14:paraId="3F75B9EE" w14:textId="2E651161" w:rsidR="003456C6" w:rsidRPr="00C262AC" w:rsidRDefault="003456C6">
      <w:pPr>
        <w:jc w:val="both"/>
        <w:rPr>
          <w:sz w:val="22"/>
          <w:szCs w:val="22"/>
          <w:lang w:val="sr-Latn-RS"/>
        </w:rPr>
      </w:pPr>
      <w:r w:rsidRPr="00C262AC">
        <w:rPr>
          <w:noProof/>
          <w:sz w:val="22"/>
          <w:szCs w:val="22"/>
          <w:lang w:val="sr-Latn-RS"/>
        </w:rPr>
        <w:t>Procenat vezivanja za proteine plazme je oko</w:t>
      </w:r>
      <w:r w:rsidRPr="00C262AC">
        <w:rPr>
          <w:sz w:val="22"/>
          <w:szCs w:val="22"/>
          <w:lang w:val="sr-Latn-RS"/>
        </w:rPr>
        <w:t xml:space="preserve"> 60%, uglavnom za albumine (55%). Koncentracija letrozola u eritrocitima iznosi oko 80% u odnosu na koncentraciju u plazmi. Nakon primjene  2.5 mg </w:t>
      </w:r>
      <w:r w:rsidRPr="00C262AC">
        <w:rPr>
          <w:sz w:val="22"/>
          <w:szCs w:val="22"/>
          <w:vertAlign w:val="superscript"/>
          <w:lang w:val="sr-Latn-RS"/>
        </w:rPr>
        <w:t>14</w:t>
      </w:r>
      <w:r w:rsidRPr="00C262AC">
        <w:rPr>
          <w:sz w:val="22"/>
          <w:szCs w:val="22"/>
          <w:lang w:val="sr-Latn-RS"/>
        </w:rPr>
        <w:t xml:space="preserve">C-obilježenog letrozola, približno 82% radioaktivnosti u plazmi poticalo je od neizmijenjenog jedinjenja, zbog </w:t>
      </w:r>
      <w:r w:rsidRPr="00C262AC">
        <w:rPr>
          <w:noProof/>
          <w:sz w:val="22"/>
          <w:szCs w:val="22"/>
          <w:lang w:val="sr-Latn-RS"/>
        </w:rPr>
        <w:t>, zbog čega je mala sistemska izloženost metabolitu</w:t>
      </w:r>
      <w:r w:rsidRPr="00C262AC">
        <w:rPr>
          <w:sz w:val="22"/>
          <w:szCs w:val="22"/>
          <w:lang w:val="sr-Latn-RS"/>
        </w:rPr>
        <w:t xml:space="preserve">. Letrozol se brzo i u velikoj mjeri distribuira u tkiva. Njegov volumen distribucije u ravnotežnom stanju je oko 1.87 ± 0.47 </w:t>
      </w:r>
      <w:r w:rsidR="007F407F" w:rsidRPr="00C262AC">
        <w:rPr>
          <w:sz w:val="22"/>
          <w:szCs w:val="22"/>
          <w:lang w:val="sr-Latn-RS"/>
        </w:rPr>
        <w:t>l</w:t>
      </w:r>
      <w:r w:rsidRPr="00C262AC">
        <w:rPr>
          <w:sz w:val="22"/>
          <w:szCs w:val="22"/>
          <w:lang w:val="sr-Latn-RS"/>
        </w:rPr>
        <w:t xml:space="preserve">/kg. </w:t>
      </w:r>
    </w:p>
    <w:p w14:paraId="226AAC31" w14:textId="77777777" w:rsidR="003456C6" w:rsidRPr="00C262AC" w:rsidRDefault="003456C6">
      <w:pPr>
        <w:pStyle w:val="NormalWeb"/>
        <w:spacing w:after="0" w:afterAutospacing="0"/>
        <w:jc w:val="both"/>
        <w:rPr>
          <w:i/>
          <w:sz w:val="22"/>
          <w:szCs w:val="22"/>
          <w:u w:val="single"/>
          <w:lang w:val="sr-Latn-RS"/>
        </w:rPr>
      </w:pPr>
      <w:r w:rsidRPr="00C262AC">
        <w:rPr>
          <w:bCs/>
          <w:i/>
          <w:iCs/>
          <w:sz w:val="22"/>
          <w:szCs w:val="22"/>
          <w:u w:val="single"/>
          <w:lang w:val="sr-Latn-RS"/>
        </w:rPr>
        <w:t>Biotransformacija</w:t>
      </w:r>
    </w:p>
    <w:p w14:paraId="715C8746" w14:textId="0B13879F" w:rsidR="003456C6" w:rsidRPr="00C262AC" w:rsidRDefault="003456C6">
      <w:pPr>
        <w:jc w:val="both"/>
        <w:rPr>
          <w:sz w:val="22"/>
          <w:szCs w:val="22"/>
          <w:lang w:val="sr-Latn-RS"/>
        </w:rPr>
      </w:pPr>
      <w:r w:rsidRPr="00C262AC">
        <w:rPr>
          <w:sz w:val="22"/>
          <w:szCs w:val="22"/>
          <w:lang w:val="sr-Latn-RS"/>
        </w:rPr>
        <w:t xml:space="preserve">Metabolički klirens do farmakološki inaktivnog karbinol-metabolita je glavni put eliminacije </w:t>
      </w:r>
      <w:proofErr w:type="spellStart"/>
      <w:r w:rsidRPr="00C262AC">
        <w:rPr>
          <w:sz w:val="22"/>
          <w:szCs w:val="22"/>
          <w:lang w:val="sr-Latn-RS"/>
        </w:rPr>
        <w:t>letrozola</w:t>
      </w:r>
      <w:proofErr w:type="spellEnd"/>
      <w:r w:rsidRPr="00C262AC">
        <w:rPr>
          <w:sz w:val="22"/>
          <w:szCs w:val="22"/>
          <w:lang w:val="sr-Latn-RS"/>
        </w:rPr>
        <w:t xml:space="preserve"> (</w:t>
      </w:r>
      <w:proofErr w:type="spellStart"/>
      <w:r w:rsidRPr="00C262AC">
        <w:rPr>
          <w:sz w:val="22"/>
          <w:szCs w:val="22"/>
          <w:lang w:val="sr-Latn-RS"/>
        </w:rPr>
        <w:t>CL</w:t>
      </w:r>
      <w:r w:rsidRPr="00C262AC">
        <w:rPr>
          <w:sz w:val="22"/>
          <w:szCs w:val="22"/>
          <w:vertAlign w:val="subscript"/>
          <w:lang w:val="sr-Latn-RS"/>
        </w:rPr>
        <w:t>m</w:t>
      </w:r>
      <w:proofErr w:type="spellEnd"/>
      <w:r w:rsidRPr="00C262AC">
        <w:rPr>
          <w:sz w:val="22"/>
          <w:szCs w:val="22"/>
          <w:lang w:val="sr-Latn-RS"/>
        </w:rPr>
        <w:t xml:space="preserve">= 2.1 </w:t>
      </w:r>
      <w:r w:rsidR="007F407F" w:rsidRPr="00C262AC">
        <w:rPr>
          <w:sz w:val="22"/>
          <w:szCs w:val="22"/>
          <w:lang w:val="sr-Latn-RS"/>
        </w:rPr>
        <w:t>l</w:t>
      </w:r>
      <w:r w:rsidRPr="00C262AC">
        <w:rPr>
          <w:sz w:val="22"/>
          <w:szCs w:val="22"/>
          <w:lang w:val="sr-Latn-RS"/>
        </w:rPr>
        <w:t xml:space="preserve">/h), ali je relativno spor u poređenju sa protokom krvi kroz jetru (oko 90 </w:t>
      </w:r>
      <w:r w:rsidR="00505D04" w:rsidRPr="00C262AC">
        <w:rPr>
          <w:sz w:val="22"/>
          <w:szCs w:val="22"/>
          <w:lang w:val="sr-Latn-RS"/>
        </w:rPr>
        <w:t>l</w:t>
      </w:r>
      <w:r w:rsidRPr="00C262AC">
        <w:rPr>
          <w:sz w:val="22"/>
          <w:szCs w:val="22"/>
          <w:lang w:val="sr-Latn-RS"/>
        </w:rPr>
        <w:t xml:space="preserve">/h). Pokazano je da su </w:t>
      </w:r>
      <w:r w:rsidRPr="00C262AC">
        <w:rPr>
          <w:noProof/>
          <w:sz w:val="22"/>
          <w:szCs w:val="22"/>
          <w:lang w:val="sr-Latn-RS"/>
        </w:rPr>
        <w:t xml:space="preserve">izoenzimi citohroma  P450  </w:t>
      </w:r>
      <w:r w:rsidRPr="00C262AC">
        <w:rPr>
          <w:sz w:val="22"/>
          <w:szCs w:val="22"/>
          <w:lang w:val="sr-Latn-RS"/>
        </w:rPr>
        <w:t xml:space="preserve">3A4 i 2A6 sposobni da konvertuju letrozol do njegovog metabolita.  Fromiranje manjih neidentifikovanih metabolita i direktna renalna i fekalna eksrkrecijaigra samo malu ulogu u ukupnoj eliminaciji letrozola. Tokom 2 nedjelje nakon primjene 2.5 mg </w:t>
      </w:r>
      <w:r w:rsidRPr="00C262AC">
        <w:rPr>
          <w:sz w:val="22"/>
          <w:szCs w:val="22"/>
          <w:vertAlign w:val="superscript"/>
          <w:lang w:val="sr-Latn-RS"/>
        </w:rPr>
        <w:t>14</w:t>
      </w:r>
      <w:r w:rsidRPr="00C262AC">
        <w:rPr>
          <w:sz w:val="22"/>
          <w:szCs w:val="22"/>
          <w:lang w:val="sr-Latn-RS"/>
        </w:rPr>
        <w:t xml:space="preserve">C-obilježenog </w:t>
      </w:r>
      <w:r w:rsidRPr="00C262AC">
        <w:rPr>
          <w:sz w:val="22"/>
          <w:szCs w:val="22"/>
          <w:lang w:val="sr-Latn-RS"/>
        </w:rPr>
        <w:lastRenderedPageBreak/>
        <w:t xml:space="preserve">letrozola kod zdravih dobrovoljaca u postmenopauzi, 88.2 ± 7.6% radioaktivnosti se pojavilo u urinu i 3.8 ± 0.9% u fecesu. Najmanje 75% radioaktivnosti koja se pojavila u urinu do 216 sati (84.7 ± 7.8% doze) je pripisana glukuronidu karbinol metabolita, oko 9% dvoma </w:t>
      </w:r>
      <w:r w:rsidRPr="00C262AC">
        <w:rPr>
          <w:noProof/>
          <w:sz w:val="22"/>
          <w:szCs w:val="22"/>
          <w:lang w:val="sr-Latn-RS"/>
        </w:rPr>
        <w:t>neidentifikovanim</w:t>
      </w:r>
      <w:r w:rsidRPr="00C262AC">
        <w:rPr>
          <w:sz w:val="22"/>
          <w:szCs w:val="22"/>
          <w:lang w:val="sr-Latn-RS"/>
        </w:rPr>
        <w:t xml:space="preserve"> metabolitima i 6% nepromijenjenom letrozolu.</w:t>
      </w:r>
    </w:p>
    <w:p w14:paraId="05BE8078" w14:textId="77777777" w:rsidR="003456C6" w:rsidRPr="00C262AC" w:rsidRDefault="003456C6">
      <w:pPr>
        <w:jc w:val="both"/>
        <w:rPr>
          <w:sz w:val="22"/>
          <w:szCs w:val="22"/>
          <w:lang w:val="sr-Latn-RS"/>
        </w:rPr>
      </w:pPr>
    </w:p>
    <w:p w14:paraId="78532EC4" w14:textId="77777777" w:rsidR="003456C6" w:rsidRPr="00C262AC" w:rsidRDefault="003456C6">
      <w:pPr>
        <w:jc w:val="both"/>
        <w:rPr>
          <w:i/>
          <w:sz w:val="22"/>
          <w:szCs w:val="22"/>
          <w:u w:val="single"/>
          <w:lang w:val="sr-Latn-RS"/>
        </w:rPr>
      </w:pPr>
      <w:r w:rsidRPr="00C262AC">
        <w:rPr>
          <w:i/>
          <w:sz w:val="22"/>
          <w:szCs w:val="22"/>
          <w:u w:val="single"/>
          <w:lang w:val="sr-Latn-RS"/>
        </w:rPr>
        <w:t>Eliminacija</w:t>
      </w:r>
    </w:p>
    <w:p w14:paraId="2A3617BB" w14:textId="77777777" w:rsidR="003456C6" w:rsidRPr="00C262AC" w:rsidRDefault="003456C6">
      <w:pPr>
        <w:jc w:val="both"/>
        <w:rPr>
          <w:sz w:val="22"/>
          <w:szCs w:val="22"/>
          <w:lang w:val="sr-Latn-RS"/>
        </w:rPr>
      </w:pPr>
      <w:r w:rsidRPr="00C262AC">
        <w:rPr>
          <w:sz w:val="22"/>
          <w:szCs w:val="22"/>
          <w:lang w:val="sr-Latn-RS"/>
        </w:rPr>
        <w:t xml:space="preserve">Prividno poluvrijeme eliminacije u plazmi je oko 2 do 4 dana. Nakon primjene 2.5 mg letrozola dnevno, ravnotežno stanje se dostiže u periodu od 2 -6 nedjelja. Koncentracije u plazmi u stanju ravnoteže su oko 7 puta veće od koncentracija izmjerenih nakon primjene jedne doze od 2.5 mg, dok su 1.5 do 2 puta veće od vrijednosti u ravnotežnom stanju predviđenih </w:t>
      </w:r>
      <w:r w:rsidRPr="00C262AC">
        <w:rPr>
          <w:noProof/>
          <w:sz w:val="22"/>
          <w:szCs w:val="22"/>
          <w:lang w:val="sr-Latn-RS"/>
        </w:rPr>
        <w:t>na osnovu merenja</w:t>
      </w:r>
      <w:r w:rsidRPr="00C262AC">
        <w:rPr>
          <w:sz w:val="22"/>
          <w:szCs w:val="22"/>
          <w:lang w:val="sr-Latn-RS"/>
        </w:rPr>
        <w:t xml:space="preserve"> koncentracija nakon primjene jedne doze, ukazujući na blagu nelinearnost u farmakokinetici letrozola usljed dnevne primjene od 2.5 mg. </w:t>
      </w:r>
      <w:r w:rsidRPr="00C262AC">
        <w:rPr>
          <w:noProof/>
          <w:sz w:val="22"/>
          <w:szCs w:val="22"/>
          <w:lang w:val="sr-Latn-RS"/>
        </w:rPr>
        <w:t>S obzirom da se ravnotežne koncentracije odražavaju</w:t>
      </w:r>
      <w:r w:rsidRPr="00C262AC">
        <w:rPr>
          <w:sz w:val="22"/>
          <w:szCs w:val="22"/>
          <w:lang w:val="sr-Latn-RS"/>
        </w:rPr>
        <w:t xml:space="preserve"> tokom vremena, može se zaključiti da ne dolazi do kontinuirane akumulacije letrozola.</w:t>
      </w:r>
    </w:p>
    <w:p w14:paraId="78392497" w14:textId="77777777" w:rsidR="003456C6" w:rsidRPr="00C262AC" w:rsidRDefault="003456C6">
      <w:pPr>
        <w:pStyle w:val="BodyTextIndent3"/>
        <w:tabs>
          <w:tab w:val="left" w:pos="284"/>
        </w:tabs>
        <w:ind w:left="0"/>
        <w:jc w:val="both"/>
        <w:rPr>
          <w:noProof/>
          <w:sz w:val="22"/>
          <w:szCs w:val="22"/>
          <w:u w:val="single"/>
          <w:lang w:val="sr-Latn-RS"/>
        </w:rPr>
      </w:pPr>
    </w:p>
    <w:p w14:paraId="433DB5E2" w14:textId="77777777" w:rsidR="003456C6" w:rsidRPr="00C262AC" w:rsidRDefault="003456C6">
      <w:pPr>
        <w:pStyle w:val="BodyTextIndent3"/>
        <w:tabs>
          <w:tab w:val="left" w:pos="284"/>
        </w:tabs>
        <w:ind w:left="0"/>
        <w:jc w:val="both"/>
        <w:rPr>
          <w:noProof/>
          <w:sz w:val="22"/>
          <w:szCs w:val="22"/>
          <w:u w:val="single"/>
          <w:lang w:val="sr-Latn-RS"/>
        </w:rPr>
      </w:pPr>
      <w:r w:rsidRPr="00C262AC">
        <w:rPr>
          <w:noProof/>
          <w:sz w:val="22"/>
          <w:szCs w:val="22"/>
          <w:u w:val="single"/>
          <w:lang w:val="sr-Latn-RS"/>
        </w:rPr>
        <w:t>Linearnost/ne-linearnost</w:t>
      </w:r>
    </w:p>
    <w:p w14:paraId="4E311530" w14:textId="15DBB542" w:rsidR="003456C6" w:rsidRPr="00C262AC" w:rsidRDefault="003456C6">
      <w:pPr>
        <w:pStyle w:val="BodyTextIndent3"/>
        <w:tabs>
          <w:tab w:val="left" w:pos="284"/>
        </w:tabs>
        <w:ind w:left="0"/>
        <w:jc w:val="both"/>
        <w:rPr>
          <w:noProof/>
          <w:sz w:val="22"/>
          <w:szCs w:val="22"/>
          <w:lang w:val="sr-Latn-RS"/>
        </w:rPr>
      </w:pPr>
      <w:r w:rsidRPr="00C262AC">
        <w:rPr>
          <w:noProof/>
          <w:sz w:val="22"/>
          <w:szCs w:val="22"/>
          <w:lang w:val="sr-Latn-RS"/>
        </w:rPr>
        <w:t>Farmakokinetika letrozola je dozno proporcionalna poslije jednokratne oralne doze od 10 mg (opseg doze: 0,01 do 30 mg) i posle dnevne doze do 1,0 mg (opseg doze: 0,1 do 5 mg). Posle jednokratne oralne doze od 30 mg došlo je do blagog povećanja PIK-a zbog prekomjerne proprocionalnosti doze. Prekomjerna proporcionalnost doze je najverovatnije nastala kao rezultat saturacije metaboličkog procesa eliminacije. Nivoi ravnotežnih stanja su postignuti  posle 1 do 2 mjeseca u svim testiranim doznim režimima</w:t>
      </w:r>
      <w:r w:rsidR="007F407F" w:rsidRPr="00C262AC">
        <w:rPr>
          <w:noProof/>
          <w:sz w:val="22"/>
          <w:szCs w:val="22"/>
          <w:lang w:val="sr-Latn-RS"/>
        </w:rPr>
        <w:t xml:space="preserve"> </w:t>
      </w:r>
      <w:r w:rsidRPr="00C262AC">
        <w:rPr>
          <w:noProof/>
          <w:sz w:val="22"/>
          <w:szCs w:val="22"/>
          <w:lang w:val="sr-Latn-RS"/>
        </w:rPr>
        <w:t xml:space="preserve">(0,1 – 5,0 mg dnevno). </w:t>
      </w:r>
    </w:p>
    <w:p w14:paraId="4C06C2E8" w14:textId="77777777" w:rsidR="003456C6" w:rsidRPr="00C262AC" w:rsidRDefault="003456C6">
      <w:pPr>
        <w:pStyle w:val="NormalWeb"/>
        <w:spacing w:after="0" w:afterAutospacing="0"/>
        <w:jc w:val="both"/>
        <w:rPr>
          <w:b/>
          <w:i/>
          <w:sz w:val="22"/>
          <w:szCs w:val="22"/>
          <w:u w:val="single"/>
          <w:lang w:val="sr-Latn-RS"/>
        </w:rPr>
      </w:pPr>
      <w:r w:rsidRPr="00C262AC">
        <w:rPr>
          <w:b/>
          <w:bCs/>
          <w:i/>
          <w:iCs/>
          <w:sz w:val="22"/>
          <w:szCs w:val="22"/>
          <w:u w:val="single"/>
          <w:lang w:val="sr-Latn-RS"/>
        </w:rPr>
        <w:t>Posebne populacije</w:t>
      </w:r>
    </w:p>
    <w:p w14:paraId="3A700A69" w14:textId="77777777" w:rsidR="003456C6" w:rsidRPr="00C262AC" w:rsidRDefault="003456C6">
      <w:pPr>
        <w:jc w:val="both"/>
        <w:rPr>
          <w:i/>
          <w:sz w:val="22"/>
          <w:szCs w:val="22"/>
          <w:u w:val="single"/>
          <w:lang w:val="sr-Latn-RS"/>
        </w:rPr>
      </w:pPr>
    </w:p>
    <w:p w14:paraId="774C2699" w14:textId="77777777" w:rsidR="003456C6" w:rsidRPr="00C262AC" w:rsidRDefault="003456C6">
      <w:pPr>
        <w:jc w:val="both"/>
        <w:rPr>
          <w:i/>
          <w:sz w:val="22"/>
          <w:szCs w:val="22"/>
          <w:u w:val="single"/>
          <w:lang w:val="sr-Latn-RS"/>
        </w:rPr>
      </w:pPr>
      <w:r w:rsidRPr="00C262AC">
        <w:rPr>
          <w:i/>
          <w:sz w:val="22"/>
          <w:szCs w:val="22"/>
          <w:u w:val="single"/>
          <w:lang w:val="sr-Latn-RS"/>
        </w:rPr>
        <w:t>Stariji pacijenti</w:t>
      </w:r>
    </w:p>
    <w:p w14:paraId="3F71AE39" w14:textId="77777777" w:rsidR="003456C6" w:rsidRPr="00C262AC" w:rsidRDefault="003456C6">
      <w:pPr>
        <w:pStyle w:val="BodyTextIndent3"/>
        <w:tabs>
          <w:tab w:val="left" w:pos="284"/>
        </w:tabs>
        <w:ind w:left="0"/>
        <w:jc w:val="both"/>
        <w:rPr>
          <w:noProof/>
          <w:sz w:val="22"/>
          <w:szCs w:val="22"/>
          <w:lang w:val="sr-Latn-RS"/>
        </w:rPr>
      </w:pPr>
      <w:r w:rsidRPr="00C262AC">
        <w:rPr>
          <w:noProof/>
          <w:sz w:val="22"/>
          <w:szCs w:val="22"/>
          <w:lang w:val="sr-Latn-RS"/>
        </w:rPr>
        <w:t>Uzrast nema efekat na farmakokinetiku letrozola.</w:t>
      </w:r>
    </w:p>
    <w:p w14:paraId="07359741" w14:textId="77777777" w:rsidR="003456C6" w:rsidRPr="00C262AC" w:rsidRDefault="003456C6">
      <w:pPr>
        <w:jc w:val="both"/>
        <w:rPr>
          <w:sz w:val="22"/>
          <w:szCs w:val="22"/>
          <w:lang w:val="sr-Latn-RS"/>
        </w:rPr>
      </w:pPr>
    </w:p>
    <w:p w14:paraId="2DF84439" w14:textId="77777777" w:rsidR="003456C6" w:rsidRPr="00C262AC" w:rsidRDefault="003456C6">
      <w:pPr>
        <w:jc w:val="both"/>
        <w:rPr>
          <w:sz w:val="22"/>
          <w:szCs w:val="22"/>
          <w:u w:val="single"/>
          <w:lang w:val="sr-Latn-RS"/>
        </w:rPr>
      </w:pPr>
      <w:r w:rsidRPr="00C262AC">
        <w:rPr>
          <w:sz w:val="22"/>
          <w:szCs w:val="22"/>
          <w:u w:val="single"/>
          <w:lang w:val="sr-Latn-RS"/>
        </w:rPr>
        <w:t>Oštećenje funkcije bubrega</w:t>
      </w:r>
    </w:p>
    <w:p w14:paraId="285E0D9C" w14:textId="7CD1AB11" w:rsidR="003456C6" w:rsidRPr="00C262AC" w:rsidRDefault="003456C6">
      <w:pPr>
        <w:spacing w:after="208" w:line="247" w:lineRule="auto"/>
        <w:ind w:left="-5" w:right="18" w:hanging="10"/>
        <w:jc w:val="both"/>
        <w:rPr>
          <w:color w:val="000000"/>
          <w:sz w:val="22"/>
          <w:szCs w:val="22"/>
          <w:lang w:val="sr-Latn-RS" w:eastAsia="sr-Latn-RS"/>
        </w:rPr>
      </w:pPr>
      <w:r w:rsidRPr="00C262AC">
        <w:rPr>
          <w:sz w:val="22"/>
          <w:szCs w:val="22"/>
          <w:lang w:val="sr-Latn-RS"/>
        </w:rPr>
        <w:t xml:space="preserve">U studiji koja je uključivala 19 dobrovoljaca sa različitim stepenom funkcije bubrega (24-časovni klirens kreatinina 9-116 ml/min) nakon primjene pojedinačne doze od 2,5 mg, nijesu utvrđeni efekti na farmakokinetiku letrozola.  Dodatno uz navedenu </w:t>
      </w:r>
      <w:r w:rsidRPr="00C262AC">
        <w:rPr>
          <w:color w:val="000000"/>
          <w:sz w:val="22"/>
          <w:szCs w:val="22"/>
          <w:lang w:val="sr-Latn-RS" w:eastAsia="sr-Latn-RS"/>
        </w:rPr>
        <w:t xml:space="preserve">studiju </w:t>
      </w:r>
      <w:r w:rsidRPr="00C262AC">
        <w:rPr>
          <w:sz w:val="22"/>
          <w:szCs w:val="22"/>
          <w:lang w:val="sr-Latn-RS"/>
        </w:rPr>
        <w:t>u kojoj se</w:t>
      </w:r>
      <w:r w:rsidRPr="00C262AC">
        <w:rPr>
          <w:color w:val="000000"/>
          <w:sz w:val="22"/>
          <w:szCs w:val="22"/>
          <w:lang w:val="sr-Latn-RS" w:eastAsia="sr-Latn-RS"/>
        </w:rPr>
        <w:t xml:space="preserve"> procjenjuje uticaj oštećenja bubrega na letrozol, analiza kovarijante je izvedena na </w:t>
      </w:r>
      <w:r w:rsidRPr="00C262AC">
        <w:rPr>
          <w:sz w:val="22"/>
          <w:szCs w:val="22"/>
          <w:lang w:val="sr-Latn-RS"/>
        </w:rPr>
        <w:t xml:space="preserve"> podacima iz dvije pivotalne studije </w:t>
      </w:r>
      <w:r w:rsidRPr="00C262AC">
        <w:rPr>
          <w:color w:val="000000"/>
          <w:sz w:val="22"/>
          <w:szCs w:val="22"/>
          <w:lang w:val="sr-Latn-RS" w:eastAsia="sr-Latn-RS"/>
        </w:rPr>
        <w:t>(studija AR/BC2 i studija AR/BC3). Izračunati klirens kreatinina (CL</w:t>
      </w:r>
      <w:r w:rsidRPr="00C262AC">
        <w:rPr>
          <w:color w:val="000000"/>
          <w:sz w:val="22"/>
          <w:szCs w:val="22"/>
          <w:vertAlign w:val="subscript"/>
          <w:lang w:val="sr-Latn-RS" w:eastAsia="sr-Latn-RS"/>
        </w:rPr>
        <w:t>CR</w:t>
      </w:r>
      <w:r w:rsidRPr="00C262AC">
        <w:rPr>
          <w:color w:val="000000"/>
          <w:sz w:val="22"/>
          <w:szCs w:val="22"/>
          <w:lang w:val="sr-Latn-RS" w:eastAsia="sr-Latn-RS"/>
        </w:rPr>
        <w:t>) [studija AR/BC2 opseg: 19 to 187 m</w:t>
      </w:r>
      <w:r w:rsidR="007F407F" w:rsidRPr="00C262AC">
        <w:rPr>
          <w:color w:val="000000"/>
          <w:sz w:val="22"/>
          <w:szCs w:val="22"/>
          <w:lang w:val="sr-Latn-RS" w:eastAsia="sr-Latn-RS"/>
        </w:rPr>
        <w:t>l</w:t>
      </w:r>
      <w:r w:rsidRPr="00C262AC">
        <w:rPr>
          <w:color w:val="000000"/>
          <w:sz w:val="22"/>
          <w:szCs w:val="22"/>
          <w:lang w:val="sr-Latn-RS" w:eastAsia="sr-Latn-RS"/>
        </w:rPr>
        <w:t>/min; studija AR/BC3 opseg: 10 to 180 m</w:t>
      </w:r>
      <w:r w:rsidR="007F407F" w:rsidRPr="00C262AC">
        <w:rPr>
          <w:color w:val="000000"/>
          <w:sz w:val="22"/>
          <w:szCs w:val="22"/>
          <w:lang w:val="sr-Latn-RS" w:eastAsia="sr-Latn-RS"/>
        </w:rPr>
        <w:t>l</w:t>
      </w:r>
      <w:r w:rsidRPr="00C262AC">
        <w:rPr>
          <w:color w:val="000000"/>
          <w:sz w:val="22"/>
          <w:szCs w:val="22"/>
          <w:lang w:val="sr-Latn-RS" w:eastAsia="sr-Latn-RS"/>
        </w:rPr>
        <w:t>/min] nije pokazao statistički značajnu povezanost između minimalnih koncentracijama letrozola u plazmi u ravnotežnom stanju (C</w:t>
      </w:r>
      <w:r w:rsidRPr="00C262AC">
        <w:rPr>
          <w:color w:val="000000"/>
          <w:sz w:val="22"/>
          <w:szCs w:val="22"/>
          <w:vertAlign w:val="subscript"/>
          <w:lang w:val="sr-Latn-RS" w:eastAsia="sr-Latn-RS"/>
        </w:rPr>
        <w:t>min</w:t>
      </w:r>
      <w:r w:rsidRPr="00C262AC">
        <w:rPr>
          <w:color w:val="000000"/>
          <w:sz w:val="22"/>
          <w:szCs w:val="22"/>
          <w:lang w:val="sr-Latn-RS" w:eastAsia="sr-Latn-RS"/>
        </w:rPr>
        <w:t xml:space="preserve">). </w:t>
      </w:r>
      <w:r w:rsidRPr="00C262AC">
        <w:rPr>
          <w:sz w:val="22"/>
          <w:szCs w:val="22"/>
          <w:lang w:val="sr-Latn-RS"/>
        </w:rPr>
        <w:t xml:space="preserve">Nadalje, </w:t>
      </w:r>
      <w:r w:rsidRPr="00C262AC">
        <w:rPr>
          <w:color w:val="000000"/>
          <w:sz w:val="22"/>
          <w:szCs w:val="22"/>
          <w:lang w:val="sr-Latn-RS" w:eastAsia="sr-Latn-RS"/>
        </w:rPr>
        <w:t xml:space="preserve">podaci iz studije AR/BC2 i studije AR/BC3 u drugoj liniji metastatskog karcinoma dojke nijesu pokazali dokaze neželjenog dejstva letrozola na CLcr ili </w:t>
      </w:r>
      <w:r w:rsidRPr="00C262AC">
        <w:rPr>
          <w:sz w:val="22"/>
          <w:szCs w:val="22"/>
          <w:lang w:val="sr-Latn-RS"/>
        </w:rPr>
        <w:t>ili štetno delovanje na funkciju bubrega</w:t>
      </w:r>
      <w:r w:rsidRPr="00C262AC">
        <w:rPr>
          <w:color w:val="000000"/>
          <w:sz w:val="22"/>
          <w:szCs w:val="22"/>
          <w:lang w:val="sr-Latn-RS" w:eastAsia="sr-Latn-RS"/>
        </w:rPr>
        <w:t>.</w:t>
      </w:r>
    </w:p>
    <w:p w14:paraId="3B3CD76A" w14:textId="0AE11056" w:rsidR="003456C6" w:rsidRPr="00C262AC" w:rsidRDefault="003456C6">
      <w:pPr>
        <w:spacing w:line="247" w:lineRule="auto"/>
        <w:ind w:left="-5" w:right="18" w:hanging="10"/>
        <w:jc w:val="both"/>
        <w:rPr>
          <w:color w:val="000000"/>
          <w:sz w:val="22"/>
          <w:szCs w:val="22"/>
          <w:lang w:val="sr-Latn-RS" w:eastAsia="sr-Latn-RS"/>
        </w:rPr>
      </w:pPr>
      <w:r w:rsidRPr="00C262AC">
        <w:rPr>
          <w:color w:val="000000"/>
          <w:sz w:val="22"/>
          <w:szCs w:val="22"/>
          <w:lang w:val="sr-Latn-RS" w:eastAsia="sr-Latn-RS"/>
        </w:rPr>
        <w:t>Zbog toga, nije potrebno podešavanje doze kod pacijenta sa oštećenjem funkcije bubrega (</w:t>
      </w:r>
      <w:proofErr w:type="spellStart"/>
      <w:r w:rsidRPr="00C262AC">
        <w:rPr>
          <w:color w:val="000000"/>
          <w:sz w:val="22"/>
          <w:szCs w:val="22"/>
          <w:lang w:val="sr-Latn-RS" w:eastAsia="sr-Latn-RS"/>
        </w:rPr>
        <w:t>CLcr</w:t>
      </w:r>
      <w:proofErr w:type="spellEnd"/>
      <w:r w:rsidRPr="00C262AC">
        <w:rPr>
          <w:color w:val="000000"/>
          <w:sz w:val="22"/>
          <w:szCs w:val="22"/>
          <w:lang w:val="sr-Latn-RS" w:eastAsia="sr-Latn-RS"/>
        </w:rPr>
        <w:t xml:space="preserve"> ≥10 m</w:t>
      </w:r>
      <w:r w:rsidR="007F407F" w:rsidRPr="00C262AC">
        <w:rPr>
          <w:color w:val="000000"/>
          <w:sz w:val="22"/>
          <w:szCs w:val="22"/>
          <w:lang w:val="sr-Latn-RS" w:eastAsia="sr-Latn-RS"/>
        </w:rPr>
        <w:t>l</w:t>
      </w:r>
      <w:r w:rsidRPr="00C262AC">
        <w:rPr>
          <w:color w:val="000000"/>
          <w:sz w:val="22"/>
          <w:szCs w:val="22"/>
          <w:lang w:val="sr-Latn-RS" w:eastAsia="sr-Latn-RS"/>
        </w:rPr>
        <w:t xml:space="preserve">/min). </w:t>
      </w:r>
      <w:r w:rsidRPr="00C262AC">
        <w:rPr>
          <w:sz w:val="22"/>
          <w:szCs w:val="22"/>
          <w:lang w:val="sr-Latn-RS"/>
        </w:rPr>
        <w:t xml:space="preserve">Malo informacija </w:t>
      </w:r>
      <w:r w:rsidRPr="00C262AC">
        <w:rPr>
          <w:color w:val="000000"/>
          <w:sz w:val="22"/>
          <w:szCs w:val="22"/>
          <w:lang w:val="sr-Latn-RS" w:eastAsia="sr-Latn-RS"/>
        </w:rPr>
        <w:t xml:space="preserve">je dostupno </w:t>
      </w:r>
      <w:r w:rsidRPr="00C262AC">
        <w:rPr>
          <w:sz w:val="22"/>
          <w:szCs w:val="22"/>
          <w:lang w:val="sr-Latn-RS"/>
        </w:rPr>
        <w:t>o pacijentima sa teškim oštećenjem bubrega (</w:t>
      </w:r>
      <w:r w:rsidRPr="00C262AC">
        <w:rPr>
          <w:color w:val="000000"/>
          <w:sz w:val="22"/>
          <w:szCs w:val="22"/>
          <w:lang w:val="sr-Latn-RS" w:eastAsia="sr-Latn-RS"/>
        </w:rPr>
        <w:t>funkcije (</w:t>
      </w:r>
      <w:proofErr w:type="spellStart"/>
      <w:r w:rsidRPr="00C262AC">
        <w:rPr>
          <w:color w:val="000000"/>
          <w:sz w:val="22"/>
          <w:szCs w:val="22"/>
          <w:lang w:val="sr-Latn-RS" w:eastAsia="sr-Latn-RS"/>
        </w:rPr>
        <w:t>CLcr</w:t>
      </w:r>
      <w:proofErr w:type="spellEnd"/>
      <w:r w:rsidRPr="00C262AC">
        <w:rPr>
          <w:color w:val="000000"/>
          <w:sz w:val="22"/>
          <w:szCs w:val="22"/>
          <w:lang w:val="sr-Latn-RS" w:eastAsia="sr-Latn-RS"/>
        </w:rPr>
        <w:t xml:space="preserve"> &lt;10 m</w:t>
      </w:r>
      <w:r w:rsidR="007F407F" w:rsidRPr="00C262AC">
        <w:rPr>
          <w:color w:val="000000"/>
          <w:sz w:val="22"/>
          <w:szCs w:val="22"/>
          <w:lang w:val="sr-Latn-RS" w:eastAsia="sr-Latn-RS"/>
        </w:rPr>
        <w:t>l</w:t>
      </w:r>
      <w:r w:rsidRPr="00C262AC">
        <w:rPr>
          <w:color w:val="000000"/>
          <w:sz w:val="22"/>
          <w:szCs w:val="22"/>
          <w:lang w:val="sr-Latn-RS" w:eastAsia="sr-Latn-RS"/>
        </w:rPr>
        <w:t>/min).</w:t>
      </w:r>
    </w:p>
    <w:p w14:paraId="2820CAC3" w14:textId="77777777" w:rsidR="003456C6" w:rsidRPr="00C262AC" w:rsidRDefault="003456C6">
      <w:pPr>
        <w:pStyle w:val="Header"/>
        <w:tabs>
          <w:tab w:val="left" w:pos="284"/>
        </w:tabs>
        <w:jc w:val="both"/>
        <w:rPr>
          <w:sz w:val="22"/>
          <w:szCs w:val="22"/>
          <w:lang w:val="sr-Latn-RS"/>
        </w:rPr>
      </w:pPr>
    </w:p>
    <w:p w14:paraId="0D0F58BC" w14:textId="77777777" w:rsidR="003456C6" w:rsidRPr="00C262AC" w:rsidRDefault="003456C6">
      <w:pPr>
        <w:pStyle w:val="Header"/>
        <w:tabs>
          <w:tab w:val="left" w:pos="284"/>
        </w:tabs>
        <w:jc w:val="both"/>
        <w:rPr>
          <w:i/>
          <w:iCs/>
          <w:sz w:val="22"/>
          <w:szCs w:val="22"/>
          <w:u w:val="single"/>
          <w:lang w:val="sr-Latn-RS"/>
        </w:rPr>
      </w:pPr>
      <w:r w:rsidRPr="00C262AC">
        <w:rPr>
          <w:i/>
          <w:iCs/>
          <w:sz w:val="22"/>
          <w:szCs w:val="22"/>
          <w:u w:val="single"/>
          <w:lang w:val="sr-Latn-RS"/>
        </w:rPr>
        <w:t>Oštećenje funkcije jetre</w:t>
      </w:r>
    </w:p>
    <w:p w14:paraId="20CBD920" w14:textId="6DD4CBAD" w:rsidR="003456C6" w:rsidRPr="00C262AC" w:rsidRDefault="003456C6">
      <w:pPr>
        <w:tabs>
          <w:tab w:val="left" w:pos="540"/>
          <w:tab w:val="left" w:pos="569"/>
        </w:tabs>
        <w:jc w:val="both"/>
        <w:rPr>
          <w:bCs/>
          <w:sz w:val="22"/>
          <w:szCs w:val="22"/>
          <w:lang w:val="sr-Latn-RS"/>
        </w:rPr>
      </w:pPr>
      <w:r w:rsidRPr="00C262AC">
        <w:rPr>
          <w:sz w:val="22"/>
          <w:szCs w:val="22"/>
          <w:lang w:val="sr-Latn-RS"/>
        </w:rPr>
        <w:t xml:space="preserve">U sličnoj studiji koja je uključivala ispitanike sa različitim stepenom funkcije jetre, srednje vrijednosti PIK-a  kod dobrovoljaca sa umjerenim oštećenjem jetre (Child-Pugh B) bile su 37 % više u odnosu na ispitanike </w:t>
      </w:r>
      <w:r w:rsidR="007F407F" w:rsidRPr="00C262AC">
        <w:rPr>
          <w:sz w:val="22"/>
          <w:szCs w:val="22"/>
          <w:lang w:val="sr-Latn-RS"/>
        </w:rPr>
        <w:t xml:space="preserve">sa </w:t>
      </w:r>
      <w:r w:rsidRPr="00C262AC">
        <w:rPr>
          <w:sz w:val="22"/>
          <w:szCs w:val="22"/>
          <w:lang w:val="sr-Latn-RS"/>
        </w:rPr>
        <w:t xml:space="preserve">normalnom funkcijom jetre, ali </w:t>
      </w:r>
      <w:r w:rsidR="007F407F" w:rsidRPr="00C262AC">
        <w:rPr>
          <w:sz w:val="22"/>
          <w:szCs w:val="22"/>
          <w:lang w:val="sr-Latn-RS"/>
        </w:rPr>
        <w:t xml:space="preserve">su </w:t>
      </w:r>
      <w:r w:rsidRPr="00C262AC">
        <w:rPr>
          <w:sz w:val="22"/>
          <w:szCs w:val="22"/>
          <w:lang w:val="sr-Latn-RS"/>
        </w:rPr>
        <w:t xml:space="preserve">i dalje </w:t>
      </w:r>
      <w:r w:rsidR="007F407F" w:rsidRPr="00C262AC">
        <w:rPr>
          <w:sz w:val="22"/>
          <w:szCs w:val="22"/>
          <w:lang w:val="sr-Latn-RS"/>
        </w:rPr>
        <w:t xml:space="preserve">bile </w:t>
      </w:r>
      <w:r w:rsidRPr="00C262AC">
        <w:rPr>
          <w:sz w:val="22"/>
          <w:szCs w:val="22"/>
          <w:lang w:val="sr-Latn-RS"/>
        </w:rPr>
        <w:t xml:space="preserve">u opsegu zabilježenih kod ispitanika bez oštećenja funkcije jetre. </w:t>
      </w:r>
      <w:r w:rsidRPr="00C262AC">
        <w:rPr>
          <w:rFonts w:eastAsia="TimesNewRoman"/>
          <w:sz w:val="22"/>
          <w:szCs w:val="22"/>
          <w:lang w:val="sr-Latn-RS"/>
        </w:rPr>
        <w:t>U studiji u kojoj su upoređivane farmakokinetike letrozola nakon primjene jedne oralne doze kod osam muških ispitanika sa cirozom jetre i teškim oštećenjem jetre (Child-Pugh C) u odnosu na zdrave dobrovoljce (N=8), PIK i poluvrijeme eliminacije su bili viši za 95% odnosno 187%. Zbog toga, letrozol treba primjenjvati sa oprezom kod pacijenata sa teškim oštećenjem jetre uzimajući u obzir odnos rizika i koristi kod svakog pacijenta ponaosob.</w:t>
      </w:r>
    </w:p>
    <w:p w14:paraId="3EFD8D8F" w14:textId="77777777" w:rsidR="003456C6" w:rsidRPr="00C262AC" w:rsidRDefault="003456C6" w:rsidP="00C02F5A">
      <w:pPr>
        <w:tabs>
          <w:tab w:val="left" w:pos="540"/>
          <w:tab w:val="left" w:pos="569"/>
        </w:tabs>
        <w:jc w:val="both"/>
        <w:rPr>
          <w:bCs/>
          <w:sz w:val="22"/>
          <w:szCs w:val="22"/>
          <w:lang w:val="sr-Latn-RS"/>
        </w:rPr>
      </w:pPr>
    </w:p>
    <w:p w14:paraId="7D9AD25C"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5.3. </w:t>
      </w:r>
      <w:r w:rsidR="00480FB1" w:rsidRPr="00C262AC">
        <w:rPr>
          <w:b/>
          <w:bCs/>
          <w:sz w:val="22"/>
          <w:szCs w:val="22"/>
          <w:lang w:val="sr-Latn-RS"/>
        </w:rPr>
        <w:tab/>
      </w:r>
      <w:r w:rsidRPr="00C262AC">
        <w:rPr>
          <w:b/>
          <w:bCs/>
          <w:sz w:val="22"/>
          <w:szCs w:val="22"/>
          <w:lang w:val="sr-Latn-RS"/>
        </w:rPr>
        <w:t xml:space="preserve">Pretklinički podaci o bezbjednosti </w:t>
      </w:r>
    </w:p>
    <w:p w14:paraId="7D9AD25D" w14:textId="77777777" w:rsidR="00836B35" w:rsidRPr="00C262AC" w:rsidRDefault="00836B35" w:rsidP="00C02F5A">
      <w:pPr>
        <w:tabs>
          <w:tab w:val="left" w:pos="540"/>
          <w:tab w:val="left" w:pos="569"/>
        </w:tabs>
        <w:jc w:val="both"/>
        <w:rPr>
          <w:bCs/>
          <w:sz w:val="22"/>
          <w:szCs w:val="22"/>
          <w:lang w:val="sr-Latn-RS"/>
        </w:rPr>
      </w:pPr>
    </w:p>
    <w:p w14:paraId="49190B4C" w14:textId="77777777" w:rsidR="003456C6" w:rsidRPr="00C262AC" w:rsidRDefault="003456C6">
      <w:pPr>
        <w:autoSpaceDE w:val="0"/>
        <w:autoSpaceDN w:val="0"/>
        <w:adjustRightInd w:val="0"/>
        <w:jc w:val="both"/>
        <w:rPr>
          <w:sz w:val="22"/>
          <w:szCs w:val="22"/>
          <w:lang w:val="sr-Latn-RS"/>
        </w:rPr>
      </w:pPr>
      <w:r w:rsidRPr="00C262AC">
        <w:rPr>
          <w:sz w:val="22"/>
          <w:szCs w:val="22"/>
          <w:lang w:val="sr-Latn-RS"/>
        </w:rPr>
        <w:t>U različitim pretkliničkim studijama bezbjednosti sprovedenim kod standardnih životinjskih vrsta, nije bilo dokaza o sistemskoj toksičnosti ili toksičnosti ciljnih organa.</w:t>
      </w:r>
    </w:p>
    <w:p w14:paraId="60D342E4" w14:textId="77777777" w:rsidR="003456C6" w:rsidRPr="00C262AC" w:rsidRDefault="003456C6">
      <w:pPr>
        <w:autoSpaceDE w:val="0"/>
        <w:autoSpaceDN w:val="0"/>
        <w:adjustRightInd w:val="0"/>
        <w:jc w:val="both"/>
        <w:rPr>
          <w:sz w:val="22"/>
          <w:szCs w:val="22"/>
          <w:lang w:val="sr-Latn-RS"/>
        </w:rPr>
      </w:pPr>
    </w:p>
    <w:p w14:paraId="23BA0E54" w14:textId="77777777" w:rsidR="003456C6" w:rsidRPr="00C262AC" w:rsidRDefault="003456C6">
      <w:pPr>
        <w:jc w:val="both"/>
        <w:rPr>
          <w:sz w:val="22"/>
          <w:szCs w:val="22"/>
          <w:lang w:val="sr-Latn-RS"/>
        </w:rPr>
      </w:pPr>
      <w:r w:rsidRPr="00C262AC">
        <w:rPr>
          <w:sz w:val="22"/>
          <w:szCs w:val="22"/>
          <w:lang w:val="sr-Latn-RS"/>
        </w:rPr>
        <w:lastRenderedPageBreak/>
        <w:t xml:space="preserve">Letrozol je pokazao mali stepen akutne toksičnosti kod glodara koji su </w:t>
      </w:r>
      <w:r w:rsidRPr="00C262AC">
        <w:rPr>
          <w:noProof/>
          <w:sz w:val="22"/>
          <w:szCs w:val="22"/>
          <w:lang w:val="sr-Latn-RS"/>
        </w:rPr>
        <w:t xml:space="preserve">bili izloženi </w:t>
      </w:r>
      <w:r w:rsidRPr="00C262AC">
        <w:rPr>
          <w:sz w:val="22"/>
          <w:szCs w:val="22"/>
          <w:lang w:val="sr-Latn-RS"/>
        </w:rPr>
        <w:t xml:space="preserve">dozi do 2000 mg/kg. Kod pasa, letrozol je </w:t>
      </w:r>
      <w:r w:rsidRPr="00C262AC">
        <w:rPr>
          <w:noProof/>
          <w:sz w:val="22"/>
          <w:szCs w:val="22"/>
          <w:lang w:val="sr-Latn-RS"/>
        </w:rPr>
        <w:t xml:space="preserve">uzrokovao pojavu znakova </w:t>
      </w:r>
      <w:r w:rsidRPr="00C262AC">
        <w:rPr>
          <w:sz w:val="22"/>
          <w:szCs w:val="22"/>
          <w:lang w:val="sr-Latn-RS"/>
        </w:rPr>
        <w:t>umjerene toksičnosti pri dozi od 100 mg/kg.</w:t>
      </w:r>
    </w:p>
    <w:p w14:paraId="33C47CC4" w14:textId="77777777" w:rsidR="003456C6" w:rsidRPr="00C262AC" w:rsidRDefault="003456C6">
      <w:pPr>
        <w:jc w:val="both"/>
        <w:rPr>
          <w:sz w:val="22"/>
          <w:szCs w:val="22"/>
          <w:lang w:val="sr-Latn-RS"/>
        </w:rPr>
      </w:pPr>
      <w:r w:rsidRPr="00C262AC">
        <w:rPr>
          <w:sz w:val="22"/>
          <w:szCs w:val="22"/>
          <w:lang w:val="sr-Latn-RS"/>
        </w:rPr>
        <w:t xml:space="preserve"> </w:t>
      </w:r>
    </w:p>
    <w:p w14:paraId="13F3334A" w14:textId="77777777" w:rsidR="003456C6" w:rsidRPr="00C262AC" w:rsidRDefault="003456C6">
      <w:pPr>
        <w:pStyle w:val="BodyTextIndent3"/>
        <w:tabs>
          <w:tab w:val="left" w:pos="284"/>
        </w:tabs>
        <w:ind w:left="0"/>
        <w:jc w:val="both"/>
        <w:rPr>
          <w:noProof/>
          <w:sz w:val="22"/>
          <w:szCs w:val="22"/>
          <w:lang w:val="sr-Latn-RS"/>
        </w:rPr>
      </w:pPr>
      <w:r w:rsidRPr="00C262AC">
        <w:rPr>
          <w:sz w:val="22"/>
          <w:szCs w:val="22"/>
          <w:lang w:val="sr-Latn-RS"/>
        </w:rPr>
        <w:t xml:space="preserve">U studijama toksičnosti nakon primjene ponovljanih doza kod pacova i pasa do 12 mjeseci, glavni nalazi se </w:t>
      </w:r>
      <w:r w:rsidRPr="00C262AC">
        <w:rPr>
          <w:noProof/>
          <w:sz w:val="22"/>
          <w:szCs w:val="22"/>
          <w:lang w:val="sr-Latn-RS"/>
        </w:rPr>
        <w:t xml:space="preserve">mogu pripisati </w:t>
      </w:r>
      <w:r w:rsidRPr="00C262AC">
        <w:rPr>
          <w:sz w:val="22"/>
          <w:szCs w:val="22"/>
          <w:lang w:val="sr-Latn-RS"/>
        </w:rPr>
        <w:t xml:space="preserve">farmakološkoj aktivnosti supstance. </w:t>
      </w:r>
      <w:r w:rsidRPr="00C262AC">
        <w:rPr>
          <w:noProof/>
          <w:sz w:val="22"/>
          <w:szCs w:val="22"/>
          <w:lang w:val="sr-Latn-RS"/>
        </w:rPr>
        <w:t>Doza koja nije uzrokovala neželjena dejstva bila je 0,3mg/kg, kod obje vrste. Oralna primjena letrozola kod ženki pacova dovela je do smanjenja parenja i stope trudnoća i do povećanja pre-implantacijskog  gubitka.</w:t>
      </w:r>
    </w:p>
    <w:p w14:paraId="74034751" w14:textId="77777777" w:rsidR="003456C6" w:rsidRPr="00C262AC" w:rsidRDefault="003456C6">
      <w:pPr>
        <w:jc w:val="both"/>
        <w:rPr>
          <w:sz w:val="22"/>
          <w:szCs w:val="22"/>
          <w:lang w:val="sr-Latn-RS"/>
        </w:rPr>
      </w:pPr>
    </w:p>
    <w:p w14:paraId="3CD3D96D" w14:textId="243C3969" w:rsidR="003456C6" w:rsidRPr="00C262AC" w:rsidRDefault="003456C6">
      <w:pPr>
        <w:jc w:val="both"/>
        <w:rPr>
          <w:sz w:val="22"/>
          <w:szCs w:val="22"/>
          <w:lang w:val="sr-Latn-RS"/>
        </w:rPr>
      </w:pPr>
      <w:r w:rsidRPr="00C262AC">
        <w:rPr>
          <w:sz w:val="22"/>
          <w:szCs w:val="22"/>
          <w:lang w:val="sr-Latn-RS"/>
        </w:rPr>
        <w:t xml:space="preserve">I in vitro i in vivo ispitivanja mutagenog potencijala letrozola nijesu </w:t>
      </w:r>
      <w:r w:rsidRPr="00C262AC">
        <w:rPr>
          <w:noProof/>
          <w:sz w:val="22"/>
          <w:szCs w:val="22"/>
          <w:lang w:val="sr-Latn-RS"/>
        </w:rPr>
        <w:t xml:space="preserve">otkrila indikacije za bilo koji oblik </w:t>
      </w:r>
      <w:r w:rsidRPr="00C262AC">
        <w:rPr>
          <w:sz w:val="22"/>
          <w:szCs w:val="22"/>
          <w:lang w:val="sr-Latn-RS"/>
        </w:rPr>
        <w:t xml:space="preserve"> </w:t>
      </w:r>
      <w:proofErr w:type="spellStart"/>
      <w:r w:rsidRPr="00C262AC">
        <w:rPr>
          <w:sz w:val="22"/>
          <w:szCs w:val="22"/>
          <w:lang w:val="sr-Latn-RS"/>
        </w:rPr>
        <w:t>genotoksičnost</w:t>
      </w:r>
      <w:r w:rsidR="007F407F" w:rsidRPr="00C262AC">
        <w:rPr>
          <w:sz w:val="22"/>
          <w:szCs w:val="22"/>
          <w:lang w:val="sr-Latn-RS"/>
        </w:rPr>
        <w:t>i</w:t>
      </w:r>
      <w:proofErr w:type="spellEnd"/>
      <w:r w:rsidRPr="00C262AC">
        <w:rPr>
          <w:sz w:val="22"/>
          <w:szCs w:val="22"/>
          <w:lang w:val="sr-Latn-RS"/>
        </w:rPr>
        <w:t>.</w:t>
      </w:r>
    </w:p>
    <w:p w14:paraId="2648ECC3" w14:textId="77777777" w:rsidR="003456C6" w:rsidRPr="00C262AC" w:rsidRDefault="003456C6">
      <w:pPr>
        <w:jc w:val="both"/>
        <w:rPr>
          <w:sz w:val="22"/>
          <w:szCs w:val="22"/>
          <w:lang w:val="sr-Latn-RS"/>
        </w:rPr>
      </w:pPr>
    </w:p>
    <w:p w14:paraId="56AFB73A" w14:textId="6DFC3AF3" w:rsidR="003456C6" w:rsidRPr="00C262AC" w:rsidRDefault="003456C6">
      <w:pPr>
        <w:autoSpaceDE w:val="0"/>
        <w:autoSpaceDN w:val="0"/>
        <w:adjustRightInd w:val="0"/>
        <w:jc w:val="both"/>
        <w:rPr>
          <w:sz w:val="22"/>
          <w:szCs w:val="22"/>
          <w:lang w:val="sr-Latn-RS"/>
        </w:rPr>
      </w:pPr>
      <w:r w:rsidRPr="00C262AC">
        <w:rPr>
          <w:noProof/>
          <w:sz w:val="22"/>
          <w:szCs w:val="22"/>
          <w:lang w:val="sr-Latn-RS"/>
        </w:rPr>
        <w:t>U studiji kancerogenosti kod pacova,  koja je trajala</w:t>
      </w:r>
      <w:r w:rsidRPr="00C262AC">
        <w:rPr>
          <w:sz w:val="22"/>
          <w:szCs w:val="22"/>
          <w:lang w:val="sr-Latn-RS"/>
        </w:rPr>
        <w:t xml:space="preserve"> 104 nedjelje</w:t>
      </w:r>
      <w:r w:rsidRPr="00C262AC">
        <w:rPr>
          <w:noProof/>
          <w:sz w:val="22"/>
          <w:szCs w:val="22"/>
          <w:lang w:val="sr-Latn-RS"/>
        </w:rPr>
        <w:t>, nijesu uočeni tumori povezani sa terapijom kod mužjaka pacova</w:t>
      </w:r>
      <w:r w:rsidRPr="00C262AC">
        <w:rPr>
          <w:sz w:val="22"/>
          <w:szCs w:val="22"/>
          <w:lang w:val="sr-Latn-RS"/>
        </w:rPr>
        <w:t>. Kod ženki pacova, uočeno je smanjenje incidence benignih i malignih tumora dojke pri primjeni svih doza letrozola.</w:t>
      </w:r>
    </w:p>
    <w:p w14:paraId="2E15035D" w14:textId="77777777" w:rsidR="003456C6" w:rsidRPr="00C262AC" w:rsidRDefault="003456C6">
      <w:pPr>
        <w:autoSpaceDE w:val="0"/>
        <w:autoSpaceDN w:val="0"/>
        <w:adjustRightInd w:val="0"/>
        <w:jc w:val="both"/>
        <w:rPr>
          <w:sz w:val="22"/>
          <w:szCs w:val="22"/>
          <w:lang w:val="sr-Latn-RS"/>
        </w:rPr>
      </w:pPr>
    </w:p>
    <w:p w14:paraId="772ED1B6" w14:textId="728F31F1" w:rsidR="003456C6" w:rsidRPr="00C262AC" w:rsidRDefault="003456C6">
      <w:pPr>
        <w:autoSpaceDE w:val="0"/>
        <w:autoSpaceDN w:val="0"/>
        <w:adjustRightInd w:val="0"/>
        <w:jc w:val="both"/>
        <w:rPr>
          <w:sz w:val="22"/>
          <w:szCs w:val="22"/>
          <w:lang w:val="sr-Latn-RS"/>
        </w:rPr>
      </w:pPr>
      <w:r w:rsidRPr="00C262AC">
        <w:rPr>
          <w:noProof/>
          <w:sz w:val="22"/>
          <w:szCs w:val="22"/>
          <w:lang w:val="sr-Latn-RS"/>
        </w:rPr>
        <w:t xml:space="preserve">U studiji karcinogenosti na miševima koja je trajala 104 nedjelje, nijesu zabilježeni tumori povezani sa primjenom lijeka kod mužjaka. </w:t>
      </w:r>
      <w:r w:rsidRPr="00C262AC">
        <w:rPr>
          <w:sz w:val="22"/>
          <w:szCs w:val="22"/>
          <w:lang w:val="sr-Latn-RS"/>
        </w:rPr>
        <w:t>Kod ženki miševa</w:t>
      </w:r>
      <w:r w:rsidRPr="00C262AC">
        <w:rPr>
          <w:noProof/>
          <w:sz w:val="22"/>
          <w:szCs w:val="22"/>
          <w:lang w:val="sr-Latn-RS"/>
        </w:rPr>
        <w:t>, generalno je povećana dozno-zavisna incidenca benignih tumora granuloza teka ćelija jajnika pri svim testiranim dozama letrozola.</w:t>
      </w:r>
      <w:r w:rsidRPr="00C262AC">
        <w:rPr>
          <w:sz w:val="22"/>
          <w:szCs w:val="22"/>
          <w:lang w:val="sr-Latn-RS"/>
        </w:rPr>
        <w:t xml:space="preserve">. </w:t>
      </w:r>
      <w:r w:rsidRPr="00C262AC">
        <w:rPr>
          <w:noProof/>
          <w:sz w:val="22"/>
          <w:szCs w:val="22"/>
          <w:lang w:val="sr-Latn-RS"/>
        </w:rPr>
        <w:t>Za ove tumore se smatra da su povezani sa farmakološkom inhibicijom sinteze estrogena i mogu nastati  zbog povećanja LH koje nastaje zbog smanjenja cirkulišućeg estrogena.</w:t>
      </w:r>
    </w:p>
    <w:p w14:paraId="5A302588" w14:textId="502480C6" w:rsidR="003456C6" w:rsidRPr="00C262AC" w:rsidRDefault="003456C6">
      <w:pPr>
        <w:autoSpaceDE w:val="0"/>
        <w:autoSpaceDN w:val="0"/>
        <w:adjustRightInd w:val="0"/>
        <w:jc w:val="both"/>
        <w:rPr>
          <w:sz w:val="22"/>
          <w:szCs w:val="22"/>
          <w:lang w:val="sr-Latn-RS"/>
        </w:rPr>
      </w:pPr>
      <w:r w:rsidRPr="00C262AC">
        <w:rPr>
          <w:sz w:val="22"/>
          <w:szCs w:val="22"/>
          <w:lang w:val="sr-Latn-RS"/>
        </w:rPr>
        <w:t xml:space="preserve">Letrozol je bio embriotoksičan i fetotoksičan kod skotnih ženki pacova i zečeva nakon oralne primjene  u klinički  relevantnim dozama. Kod pacova koji su imali žive fetuse, postojala je povećana incidenca fetalnih malformacija uključujući kupolastu glavu, i cervikalnu/centralnu vertebralnu fuziju. Kod zečeva nije uočena povećana incidenca fetalnih malformacija. Nije poznato da li je ovo bila indirektna posljedica farmakoloških karakteristika (inhibicija biosinteze estrogena) ili direktnih efekata </w:t>
      </w:r>
      <w:proofErr w:type="spellStart"/>
      <w:r w:rsidRPr="00C262AC">
        <w:rPr>
          <w:sz w:val="22"/>
          <w:szCs w:val="22"/>
          <w:lang w:val="sr-Latn-RS"/>
        </w:rPr>
        <w:t>lijeka</w:t>
      </w:r>
      <w:proofErr w:type="spellEnd"/>
      <w:r w:rsidRPr="00C262AC">
        <w:rPr>
          <w:sz w:val="22"/>
          <w:szCs w:val="22"/>
          <w:lang w:val="sr-Latn-RS"/>
        </w:rPr>
        <w:t xml:space="preserve"> (</w:t>
      </w:r>
      <w:proofErr w:type="spellStart"/>
      <w:r w:rsidRPr="00C262AC">
        <w:rPr>
          <w:sz w:val="22"/>
          <w:szCs w:val="22"/>
          <w:lang w:val="sr-Latn-RS"/>
        </w:rPr>
        <w:t>vidjeti</w:t>
      </w:r>
      <w:proofErr w:type="spellEnd"/>
      <w:r w:rsidRPr="00C262AC">
        <w:rPr>
          <w:sz w:val="22"/>
          <w:szCs w:val="22"/>
          <w:lang w:val="sr-Latn-RS"/>
        </w:rPr>
        <w:t xml:space="preserve"> </w:t>
      </w:r>
      <w:proofErr w:type="spellStart"/>
      <w:r w:rsidR="007F407F" w:rsidRPr="00C262AC">
        <w:rPr>
          <w:sz w:val="22"/>
          <w:szCs w:val="22"/>
          <w:lang w:val="sr-Latn-RS"/>
        </w:rPr>
        <w:t>djelove</w:t>
      </w:r>
      <w:proofErr w:type="spellEnd"/>
      <w:r w:rsidR="007F407F" w:rsidRPr="00C262AC">
        <w:rPr>
          <w:sz w:val="22"/>
          <w:szCs w:val="22"/>
          <w:lang w:val="sr-Latn-RS"/>
        </w:rPr>
        <w:t xml:space="preserve"> </w:t>
      </w:r>
      <w:r w:rsidRPr="00C262AC">
        <w:rPr>
          <w:sz w:val="22"/>
          <w:szCs w:val="22"/>
          <w:lang w:val="sr-Latn-RS"/>
        </w:rPr>
        <w:t>4.3 i 4.6).</w:t>
      </w:r>
    </w:p>
    <w:p w14:paraId="041CBA56" w14:textId="77777777" w:rsidR="003456C6" w:rsidRPr="00C262AC" w:rsidRDefault="003456C6">
      <w:pPr>
        <w:autoSpaceDE w:val="0"/>
        <w:autoSpaceDN w:val="0"/>
        <w:adjustRightInd w:val="0"/>
        <w:jc w:val="both"/>
        <w:rPr>
          <w:sz w:val="22"/>
          <w:szCs w:val="22"/>
          <w:lang w:val="sr-Latn-RS"/>
        </w:rPr>
      </w:pPr>
    </w:p>
    <w:p w14:paraId="5D25263E" w14:textId="225F4038" w:rsidR="003456C6" w:rsidRPr="00C262AC" w:rsidRDefault="003456C6">
      <w:pPr>
        <w:autoSpaceDE w:val="0"/>
        <w:autoSpaceDN w:val="0"/>
        <w:adjustRightInd w:val="0"/>
        <w:jc w:val="both"/>
        <w:rPr>
          <w:sz w:val="22"/>
          <w:szCs w:val="22"/>
          <w:lang w:val="sr-Latn-RS"/>
        </w:rPr>
      </w:pPr>
      <w:r w:rsidRPr="00C262AC">
        <w:rPr>
          <w:sz w:val="22"/>
          <w:szCs w:val="22"/>
          <w:lang w:val="sr-Latn-RS"/>
        </w:rPr>
        <w:t xml:space="preserve">Pretklinička </w:t>
      </w:r>
      <w:r w:rsidRPr="00C262AC">
        <w:rPr>
          <w:noProof/>
          <w:sz w:val="22"/>
          <w:szCs w:val="22"/>
          <w:lang w:val="sr-Latn-RS"/>
        </w:rPr>
        <w:t>posmatranja</w:t>
      </w:r>
      <w:r w:rsidRPr="00C262AC">
        <w:rPr>
          <w:sz w:val="22"/>
          <w:szCs w:val="22"/>
          <w:lang w:val="sr-Latn-RS"/>
        </w:rPr>
        <w:t xml:space="preserve"> bila su ograničena na ona koja su povezana sa prepoznatim farmakološkim dejstvima, </w:t>
      </w:r>
      <w:r w:rsidRPr="00C262AC">
        <w:rPr>
          <w:noProof/>
          <w:sz w:val="22"/>
          <w:szCs w:val="22"/>
          <w:lang w:val="sr-Latn-RS"/>
        </w:rPr>
        <w:t xml:space="preserve">što je jedino bezbjednosno pitanje koje se tiče </w:t>
      </w:r>
      <w:r w:rsidRPr="00C262AC">
        <w:rPr>
          <w:sz w:val="22"/>
          <w:szCs w:val="22"/>
          <w:lang w:val="sr-Latn-RS"/>
        </w:rPr>
        <w:t xml:space="preserve">primjene kod ljudi,  </w:t>
      </w:r>
      <w:r w:rsidRPr="00C262AC">
        <w:rPr>
          <w:noProof/>
          <w:sz w:val="22"/>
          <w:szCs w:val="22"/>
          <w:lang w:val="sr-Latn-RS"/>
        </w:rPr>
        <w:t xml:space="preserve">a dobija se iz </w:t>
      </w:r>
      <w:r w:rsidRPr="00C262AC">
        <w:rPr>
          <w:sz w:val="22"/>
          <w:szCs w:val="22"/>
          <w:lang w:val="sr-Latn-RS"/>
        </w:rPr>
        <w:t>studija na životinjama.</w:t>
      </w:r>
    </w:p>
    <w:p w14:paraId="3B2F792A" w14:textId="77777777" w:rsidR="00166D3A" w:rsidRPr="00C262AC" w:rsidRDefault="00166D3A">
      <w:pPr>
        <w:autoSpaceDE w:val="0"/>
        <w:autoSpaceDN w:val="0"/>
        <w:adjustRightInd w:val="0"/>
        <w:jc w:val="both"/>
        <w:rPr>
          <w:sz w:val="22"/>
          <w:szCs w:val="22"/>
          <w:lang w:val="sr-Latn-RS"/>
        </w:rPr>
      </w:pPr>
    </w:p>
    <w:p w14:paraId="753910C8" w14:textId="5AD783D0" w:rsidR="003456C6" w:rsidRPr="00C262AC" w:rsidRDefault="003456C6">
      <w:pPr>
        <w:tabs>
          <w:tab w:val="left" w:pos="540"/>
          <w:tab w:val="left" w:pos="569"/>
        </w:tabs>
        <w:jc w:val="both"/>
        <w:rPr>
          <w:b/>
          <w:bCs/>
          <w:sz w:val="22"/>
          <w:szCs w:val="22"/>
          <w:lang w:val="sr-Latn-RS"/>
        </w:rPr>
      </w:pPr>
    </w:p>
    <w:p w14:paraId="7D9AD25F"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6. </w:t>
      </w:r>
      <w:r w:rsidR="00480FB1" w:rsidRPr="00C262AC">
        <w:rPr>
          <w:b/>
          <w:bCs/>
          <w:sz w:val="22"/>
          <w:szCs w:val="22"/>
          <w:lang w:val="sr-Latn-RS"/>
        </w:rPr>
        <w:tab/>
      </w:r>
      <w:r w:rsidRPr="00C262AC">
        <w:rPr>
          <w:b/>
          <w:bCs/>
          <w:sz w:val="22"/>
          <w:szCs w:val="22"/>
          <w:lang w:val="sr-Latn-RS"/>
        </w:rPr>
        <w:t>FARMACEUTSKI PODACI</w:t>
      </w:r>
    </w:p>
    <w:p w14:paraId="7D9AD260" w14:textId="77777777" w:rsidR="00836B35" w:rsidRPr="00C262AC" w:rsidRDefault="00836B35" w:rsidP="00C02F5A">
      <w:pPr>
        <w:tabs>
          <w:tab w:val="left" w:pos="540"/>
          <w:tab w:val="left" w:pos="569"/>
        </w:tabs>
        <w:jc w:val="both"/>
        <w:rPr>
          <w:bCs/>
          <w:sz w:val="22"/>
          <w:szCs w:val="22"/>
          <w:lang w:val="sr-Latn-RS"/>
        </w:rPr>
      </w:pPr>
    </w:p>
    <w:p w14:paraId="7D9AD261"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6.1. </w:t>
      </w:r>
      <w:r w:rsidR="00480FB1" w:rsidRPr="00C262AC">
        <w:rPr>
          <w:b/>
          <w:bCs/>
          <w:sz w:val="22"/>
          <w:szCs w:val="22"/>
          <w:lang w:val="sr-Latn-RS"/>
        </w:rPr>
        <w:tab/>
      </w:r>
      <w:r w:rsidRPr="00C262AC">
        <w:rPr>
          <w:b/>
          <w:bCs/>
          <w:sz w:val="22"/>
          <w:szCs w:val="22"/>
          <w:lang w:val="sr-Latn-RS"/>
        </w:rPr>
        <w:t>Lista pomoćnih supstanci</w:t>
      </w:r>
      <w:r w:rsidR="002E0135" w:rsidRPr="00C262AC">
        <w:rPr>
          <w:b/>
          <w:bCs/>
          <w:sz w:val="22"/>
          <w:szCs w:val="22"/>
          <w:lang w:val="sr-Latn-RS"/>
        </w:rPr>
        <w:t xml:space="preserve"> (ekscipijenasa)</w:t>
      </w:r>
    </w:p>
    <w:p w14:paraId="7D9AD262" w14:textId="376115AD" w:rsidR="0072020E" w:rsidRPr="00C262AC" w:rsidRDefault="0072020E" w:rsidP="00C02F5A">
      <w:pPr>
        <w:tabs>
          <w:tab w:val="left" w:pos="540"/>
          <w:tab w:val="left" w:pos="569"/>
        </w:tabs>
        <w:jc w:val="both"/>
        <w:rPr>
          <w:bCs/>
          <w:sz w:val="22"/>
          <w:szCs w:val="22"/>
          <w:lang w:val="sr-Latn-RS"/>
        </w:rPr>
      </w:pPr>
    </w:p>
    <w:p w14:paraId="153BC4E0" w14:textId="59F40BFE" w:rsidR="00B0791A" w:rsidRPr="00C262AC" w:rsidRDefault="00B0791A">
      <w:pPr>
        <w:pStyle w:val="Header"/>
        <w:jc w:val="both"/>
        <w:rPr>
          <w:sz w:val="22"/>
          <w:szCs w:val="22"/>
          <w:lang w:val="sr-Latn-RS"/>
        </w:rPr>
      </w:pPr>
      <w:bookmarkStart w:id="0" w:name="_Hlk69924928"/>
      <w:r w:rsidRPr="00C262AC">
        <w:rPr>
          <w:i/>
          <w:sz w:val="22"/>
          <w:szCs w:val="22"/>
          <w:lang w:val="sr-Latn-RS"/>
        </w:rPr>
        <w:t xml:space="preserve">Jezgro tablete: </w:t>
      </w:r>
      <w:bookmarkEnd w:id="0"/>
      <w:r w:rsidRPr="00C262AC">
        <w:rPr>
          <w:iCs/>
          <w:sz w:val="22"/>
          <w:szCs w:val="22"/>
          <w:lang w:val="sr-Latn-RS"/>
        </w:rPr>
        <w:t>l</w:t>
      </w:r>
      <w:r w:rsidRPr="00C262AC">
        <w:rPr>
          <w:sz w:val="22"/>
          <w:szCs w:val="22"/>
          <w:lang w:val="sr-Latn-RS"/>
        </w:rPr>
        <w:t>aktoza, monohidrat;  kukuruzni skrob;  celuloza, mikrokristalna;  natrijum skrob</w:t>
      </w:r>
      <w:r w:rsidR="00550E8B" w:rsidRPr="00C262AC">
        <w:rPr>
          <w:sz w:val="22"/>
          <w:szCs w:val="22"/>
          <w:lang w:val="sr-Latn-RS"/>
        </w:rPr>
        <w:t xml:space="preserve"> </w:t>
      </w:r>
      <w:r w:rsidRPr="00C262AC">
        <w:rPr>
          <w:sz w:val="22"/>
          <w:szCs w:val="22"/>
          <w:lang w:val="sr-Latn-RS"/>
        </w:rPr>
        <w:t>glikolat; talk; magnezijum</w:t>
      </w:r>
      <w:r w:rsidR="00550E8B" w:rsidRPr="00C262AC">
        <w:rPr>
          <w:sz w:val="22"/>
          <w:szCs w:val="22"/>
          <w:lang w:val="sr-Latn-RS"/>
        </w:rPr>
        <w:t xml:space="preserve"> </w:t>
      </w:r>
      <w:r w:rsidRPr="00C262AC">
        <w:rPr>
          <w:sz w:val="22"/>
          <w:szCs w:val="22"/>
          <w:lang w:val="sr-Latn-RS"/>
        </w:rPr>
        <w:t>stearat.</w:t>
      </w:r>
    </w:p>
    <w:p w14:paraId="30FC7435" w14:textId="77777777" w:rsidR="00B0791A" w:rsidRPr="00C262AC" w:rsidRDefault="00B0791A">
      <w:pPr>
        <w:pStyle w:val="Header"/>
        <w:tabs>
          <w:tab w:val="left" w:pos="284"/>
        </w:tabs>
        <w:jc w:val="both"/>
        <w:rPr>
          <w:sz w:val="22"/>
          <w:szCs w:val="22"/>
          <w:lang w:val="sr-Latn-RS"/>
        </w:rPr>
      </w:pPr>
    </w:p>
    <w:p w14:paraId="6002DCE2" w14:textId="6A2676FC" w:rsidR="00B0791A" w:rsidRPr="00C262AC" w:rsidRDefault="00B0791A">
      <w:pPr>
        <w:pStyle w:val="Header"/>
        <w:tabs>
          <w:tab w:val="left" w:pos="284"/>
        </w:tabs>
        <w:jc w:val="both"/>
        <w:rPr>
          <w:sz w:val="22"/>
          <w:szCs w:val="22"/>
          <w:lang w:val="sr-Latn-RS"/>
        </w:rPr>
      </w:pPr>
      <w:r w:rsidRPr="00C262AC">
        <w:rPr>
          <w:i/>
          <w:iCs/>
          <w:sz w:val="22"/>
          <w:szCs w:val="22"/>
          <w:lang w:val="sr-Latn-RS"/>
        </w:rPr>
        <w:t>Film omotač:</w:t>
      </w:r>
      <w:r w:rsidRPr="00C262AC">
        <w:rPr>
          <w:sz w:val="22"/>
          <w:szCs w:val="22"/>
          <w:lang w:val="sr-Latn-RS"/>
        </w:rPr>
        <w:t xml:space="preserve"> hidroksipropilmetilceluloza;</w:t>
      </w:r>
      <w:r w:rsidR="00550E8B" w:rsidRPr="00C262AC">
        <w:rPr>
          <w:sz w:val="22"/>
          <w:szCs w:val="22"/>
          <w:lang w:val="sr-Latn-RS"/>
        </w:rPr>
        <w:t xml:space="preserve"> </w:t>
      </w:r>
      <w:r w:rsidRPr="00C262AC">
        <w:rPr>
          <w:sz w:val="22"/>
          <w:szCs w:val="22"/>
          <w:lang w:val="sr-Latn-RS"/>
        </w:rPr>
        <w:t>hidroksipropilceluloza; talk; ulje sjemena pamuka; gvožđe</w:t>
      </w:r>
      <w:r w:rsidR="00550E8B" w:rsidRPr="00C262AC">
        <w:rPr>
          <w:sz w:val="22"/>
          <w:szCs w:val="22"/>
          <w:lang w:val="sr-Latn-RS"/>
        </w:rPr>
        <w:t xml:space="preserve"> (III) </w:t>
      </w:r>
      <w:r w:rsidRPr="00C262AC">
        <w:rPr>
          <w:sz w:val="22"/>
          <w:szCs w:val="22"/>
          <w:lang w:val="sr-Latn-RS"/>
        </w:rPr>
        <w:t>oksid</w:t>
      </w:r>
      <w:r w:rsidR="007F407F" w:rsidRPr="00C262AC">
        <w:rPr>
          <w:sz w:val="22"/>
          <w:szCs w:val="22"/>
          <w:lang w:val="sr-Latn-RS"/>
        </w:rPr>
        <w:t>,</w:t>
      </w:r>
      <w:r w:rsidRPr="00C262AC">
        <w:rPr>
          <w:sz w:val="22"/>
          <w:szCs w:val="22"/>
          <w:lang w:val="sr-Latn-RS"/>
        </w:rPr>
        <w:t xml:space="preserve"> žuti (E172); gvožđe</w:t>
      </w:r>
      <w:r w:rsidR="00550E8B" w:rsidRPr="00C262AC">
        <w:rPr>
          <w:sz w:val="22"/>
          <w:szCs w:val="22"/>
          <w:lang w:val="sr-Latn-RS"/>
        </w:rPr>
        <w:t xml:space="preserve"> (III)</w:t>
      </w:r>
      <w:r w:rsidRPr="00C262AC">
        <w:rPr>
          <w:sz w:val="22"/>
          <w:szCs w:val="22"/>
          <w:lang w:val="sr-Latn-RS"/>
        </w:rPr>
        <w:t xml:space="preserve"> oksid, crveni (E172); titan</w:t>
      </w:r>
      <w:r w:rsidR="00550E8B" w:rsidRPr="00C262AC">
        <w:rPr>
          <w:sz w:val="22"/>
          <w:szCs w:val="22"/>
          <w:lang w:val="sr-Latn-RS"/>
        </w:rPr>
        <w:t xml:space="preserve"> </w:t>
      </w:r>
      <w:r w:rsidRPr="00C262AC">
        <w:rPr>
          <w:sz w:val="22"/>
          <w:szCs w:val="22"/>
          <w:lang w:val="sr-Latn-RS"/>
        </w:rPr>
        <w:t>dioksid (E171).</w:t>
      </w:r>
    </w:p>
    <w:p w14:paraId="22895482" w14:textId="77777777" w:rsidR="00B0791A" w:rsidRPr="00C262AC" w:rsidRDefault="00B0791A" w:rsidP="00C02F5A">
      <w:pPr>
        <w:tabs>
          <w:tab w:val="left" w:pos="540"/>
          <w:tab w:val="left" w:pos="569"/>
        </w:tabs>
        <w:jc w:val="both"/>
        <w:rPr>
          <w:bCs/>
          <w:sz w:val="22"/>
          <w:szCs w:val="22"/>
          <w:lang w:val="sr-Latn-RS"/>
        </w:rPr>
      </w:pPr>
    </w:p>
    <w:p w14:paraId="7D9AD263"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6.2. </w:t>
      </w:r>
      <w:r w:rsidR="00480FB1" w:rsidRPr="00C262AC">
        <w:rPr>
          <w:b/>
          <w:bCs/>
          <w:sz w:val="22"/>
          <w:szCs w:val="22"/>
          <w:lang w:val="sr-Latn-RS"/>
        </w:rPr>
        <w:tab/>
      </w:r>
      <w:r w:rsidRPr="00C262AC">
        <w:rPr>
          <w:b/>
          <w:bCs/>
          <w:sz w:val="22"/>
          <w:szCs w:val="22"/>
          <w:lang w:val="sr-Latn-RS"/>
        </w:rPr>
        <w:t>Inkompatibilnost</w:t>
      </w:r>
      <w:r w:rsidR="002846DB" w:rsidRPr="00C262AC">
        <w:rPr>
          <w:b/>
          <w:bCs/>
          <w:sz w:val="22"/>
          <w:szCs w:val="22"/>
          <w:lang w:val="sr-Latn-RS"/>
        </w:rPr>
        <w:t>i</w:t>
      </w:r>
    </w:p>
    <w:p w14:paraId="7D9AD264" w14:textId="30C941B9" w:rsidR="0072020E" w:rsidRPr="00C262AC" w:rsidRDefault="0072020E" w:rsidP="00C02F5A">
      <w:pPr>
        <w:tabs>
          <w:tab w:val="left" w:pos="540"/>
          <w:tab w:val="left" w:pos="569"/>
        </w:tabs>
        <w:jc w:val="both"/>
        <w:rPr>
          <w:bCs/>
          <w:sz w:val="22"/>
          <w:szCs w:val="22"/>
          <w:lang w:val="sr-Latn-RS"/>
        </w:rPr>
      </w:pPr>
    </w:p>
    <w:p w14:paraId="10190F90" w14:textId="10E78298" w:rsidR="00B0791A" w:rsidRPr="00C262AC" w:rsidRDefault="00D14852">
      <w:pPr>
        <w:tabs>
          <w:tab w:val="left" w:pos="540"/>
          <w:tab w:val="left" w:pos="569"/>
        </w:tabs>
        <w:jc w:val="both"/>
        <w:rPr>
          <w:b/>
          <w:bCs/>
          <w:sz w:val="22"/>
          <w:szCs w:val="22"/>
          <w:lang w:val="sr-Latn-RS"/>
        </w:rPr>
      </w:pPr>
      <w:r w:rsidRPr="00C262AC">
        <w:rPr>
          <w:sz w:val="22"/>
          <w:szCs w:val="22"/>
          <w:lang w:val="sr-Latn-RS"/>
        </w:rPr>
        <w:t>Nije primjenljivo</w:t>
      </w:r>
      <w:r w:rsidR="00B0791A" w:rsidRPr="00C262AC">
        <w:rPr>
          <w:sz w:val="22"/>
          <w:szCs w:val="22"/>
          <w:lang w:val="sr-Latn-RS"/>
        </w:rPr>
        <w:t>.</w:t>
      </w:r>
    </w:p>
    <w:p w14:paraId="33EB1BBE" w14:textId="77777777" w:rsidR="00B0791A" w:rsidRPr="00C262AC" w:rsidRDefault="00B0791A" w:rsidP="00C02F5A">
      <w:pPr>
        <w:tabs>
          <w:tab w:val="left" w:pos="540"/>
          <w:tab w:val="left" w:pos="569"/>
        </w:tabs>
        <w:jc w:val="both"/>
        <w:rPr>
          <w:bCs/>
          <w:sz w:val="22"/>
          <w:szCs w:val="22"/>
          <w:lang w:val="sr-Latn-RS"/>
        </w:rPr>
      </w:pPr>
    </w:p>
    <w:p w14:paraId="7D9AD265"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6.3.</w:t>
      </w:r>
      <w:r w:rsidR="00C05DF8" w:rsidRPr="00C262AC">
        <w:rPr>
          <w:b/>
          <w:bCs/>
          <w:sz w:val="22"/>
          <w:szCs w:val="22"/>
          <w:lang w:val="sr-Latn-RS"/>
        </w:rPr>
        <w:t xml:space="preserve"> </w:t>
      </w:r>
      <w:r w:rsidR="00480FB1" w:rsidRPr="00C262AC">
        <w:rPr>
          <w:b/>
          <w:bCs/>
          <w:sz w:val="22"/>
          <w:szCs w:val="22"/>
          <w:lang w:val="sr-Latn-RS"/>
        </w:rPr>
        <w:tab/>
      </w:r>
      <w:r w:rsidRPr="00C262AC">
        <w:rPr>
          <w:b/>
          <w:bCs/>
          <w:sz w:val="22"/>
          <w:szCs w:val="22"/>
          <w:lang w:val="sr-Latn-RS"/>
        </w:rPr>
        <w:t>Rok upotrebe</w:t>
      </w:r>
    </w:p>
    <w:p w14:paraId="7D9AD266" w14:textId="5E140AFD" w:rsidR="0072020E" w:rsidRPr="00C262AC" w:rsidRDefault="0072020E" w:rsidP="00C02F5A">
      <w:pPr>
        <w:tabs>
          <w:tab w:val="left" w:pos="540"/>
          <w:tab w:val="left" w:pos="569"/>
        </w:tabs>
        <w:jc w:val="both"/>
        <w:rPr>
          <w:bCs/>
          <w:sz w:val="22"/>
          <w:szCs w:val="22"/>
          <w:lang w:val="sr-Latn-RS"/>
        </w:rPr>
      </w:pPr>
    </w:p>
    <w:p w14:paraId="36E613CC" w14:textId="77777777" w:rsidR="00B0791A" w:rsidRPr="00C262AC" w:rsidRDefault="00B0791A">
      <w:pPr>
        <w:tabs>
          <w:tab w:val="left" w:pos="540"/>
          <w:tab w:val="left" w:pos="569"/>
        </w:tabs>
        <w:jc w:val="both"/>
        <w:rPr>
          <w:bCs/>
          <w:sz w:val="22"/>
          <w:szCs w:val="22"/>
          <w:lang w:val="sr-Latn-RS"/>
        </w:rPr>
      </w:pPr>
      <w:r w:rsidRPr="00C262AC">
        <w:rPr>
          <w:sz w:val="22"/>
          <w:szCs w:val="22"/>
          <w:lang w:val="sr-Latn-RS"/>
        </w:rPr>
        <w:t>4 godine.</w:t>
      </w:r>
    </w:p>
    <w:p w14:paraId="41F6733D" w14:textId="77777777" w:rsidR="00B0791A" w:rsidRPr="00C262AC" w:rsidRDefault="00B0791A" w:rsidP="00C02F5A">
      <w:pPr>
        <w:tabs>
          <w:tab w:val="left" w:pos="540"/>
          <w:tab w:val="left" w:pos="569"/>
        </w:tabs>
        <w:jc w:val="both"/>
        <w:rPr>
          <w:bCs/>
          <w:sz w:val="22"/>
          <w:szCs w:val="22"/>
          <w:lang w:val="sr-Latn-RS"/>
        </w:rPr>
      </w:pPr>
    </w:p>
    <w:p w14:paraId="7D9AD267" w14:textId="77777777" w:rsidR="0072020E"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6.4. </w:t>
      </w:r>
      <w:r w:rsidR="00480FB1" w:rsidRPr="00C262AC">
        <w:rPr>
          <w:b/>
          <w:bCs/>
          <w:sz w:val="22"/>
          <w:szCs w:val="22"/>
          <w:lang w:val="sr-Latn-RS"/>
        </w:rPr>
        <w:tab/>
      </w:r>
      <w:r w:rsidRPr="00C262AC">
        <w:rPr>
          <w:b/>
          <w:bCs/>
          <w:sz w:val="22"/>
          <w:szCs w:val="22"/>
          <w:lang w:val="sr-Latn-RS"/>
        </w:rPr>
        <w:t>Posebne mjere upozorenja pri čuvanju</w:t>
      </w:r>
      <w:r w:rsidR="00F8570A" w:rsidRPr="00C262AC">
        <w:rPr>
          <w:b/>
          <w:bCs/>
          <w:sz w:val="22"/>
          <w:szCs w:val="22"/>
          <w:lang w:val="sr-Latn-RS"/>
        </w:rPr>
        <w:t xml:space="preserve"> lijeka</w:t>
      </w:r>
    </w:p>
    <w:p w14:paraId="7D9AD268" w14:textId="47B447AC" w:rsidR="00EC2532" w:rsidRPr="00C262AC" w:rsidRDefault="00EC2532" w:rsidP="00C02F5A">
      <w:pPr>
        <w:tabs>
          <w:tab w:val="left" w:pos="540"/>
          <w:tab w:val="left" w:pos="569"/>
        </w:tabs>
        <w:jc w:val="both"/>
        <w:rPr>
          <w:bCs/>
          <w:sz w:val="22"/>
          <w:szCs w:val="22"/>
          <w:lang w:val="sr-Latn-RS"/>
        </w:rPr>
      </w:pPr>
    </w:p>
    <w:p w14:paraId="7707091F" w14:textId="2BAA8F95" w:rsidR="00B0791A" w:rsidRPr="00C262AC" w:rsidRDefault="00B0791A">
      <w:pPr>
        <w:pStyle w:val="Header"/>
        <w:tabs>
          <w:tab w:val="left" w:pos="284"/>
        </w:tabs>
        <w:jc w:val="both"/>
        <w:rPr>
          <w:sz w:val="22"/>
          <w:szCs w:val="22"/>
          <w:lang w:val="sr-Latn-RS"/>
        </w:rPr>
      </w:pPr>
      <w:r w:rsidRPr="00C262AC">
        <w:rPr>
          <w:sz w:val="22"/>
          <w:szCs w:val="22"/>
          <w:lang w:val="sr-Latn-RS"/>
        </w:rPr>
        <w:t>Ne zaht</w:t>
      </w:r>
      <w:r w:rsidR="00D33034" w:rsidRPr="00C262AC">
        <w:rPr>
          <w:sz w:val="22"/>
          <w:szCs w:val="22"/>
          <w:lang w:val="sr-Latn-RS"/>
        </w:rPr>
        <w:t>i</w:t>
      </w:r>
      <w:r w:rsidRPr="00C262AC">
        <w:rPr>
          <w:sz w:val="22"/>
          <w:szCs w:val="22"/>
          <w:lang w:val="sr-Latn-RS"/>
        </w:rPr>
        <w:t xml:space="preserve">jevaju se posebni uslovi čuvanja lijeka.  </w:t>
      </w:r>
    </w:p>
    <w:p w14:paraId="6A2E75D0" w14:textId="77777777" w:rsidR="00B0791A" w:rsidRPr="00C262AC" w:rsidRDefault="00B0791A" w:rsidP="00C02F5A">
      <w:pPr>
        <w:tabs>
          <w:tab w:val="left" w:pos="540"/>
          <w:tab w:val="left" w:pos="569"/>
        </w:tabs>
        <w:jc w:val="both"/>
        <w:rPr>
          <w:bCs/>
          <w:sz w:val="22"/>
          <w:szCs w:val="22"/>
          <w:lang w:val="sr-Latn-RS"/>
        </w:rPr>
      </w:pPr>
    </w:p>
    <w:p w14:paraId="7D9AD269" w14:textId="77777777" w:rsidR="0072020E" w:rsidRPr="00C262AC" w:rsidRDefault="0072020E" w:rsidP="00C02F5A">
      <w:pPr>
        <w:tabs>
          <w:tab w:val="left" w:pos="540"/>
          <w:tab w:val="left" w:pos="569"/>
        </w:tabs>
        <w:jc w:val="both"/>
        <w:rPr>
          <w:b/>
          <w:bCs/>
          <w:sz w:val="22"/>
          <w:szCs w:val="22"/>
          <w:lang w:val="fr-FR"/>
        </w:rPr>
      </w:pPr>
      <w:r w:rsidRPr="00C262AC">
        <w:rPr>
          <w:b/>
          <w:bCs/>
          <w:sz w:val="22"/>
          <w:szCs w:val="22"/>
          <w:lang w:val="fr-FR"/>
        </w:rPr>
        <w:t xml:space="preserve">6.5. </w:t>
      </w:r>
      <w:r w:rsidR="00480FB1" w:rsidRPr="00C262AC">
        <w:rPr>
          <w:b/>
          <w:bCs/>
          <w:sz w:val="22"/>
          <w:szCs w:val="22"/>
          <w:lang w:val="fr-FR"/>
        </w:rPr>
        <w:tab/>
      </w:r>
      <w:proofErr w:type="spellStart"/>
      <w:r w:rsidR="002846DB" w:rsidRPr="00C262AC">
        <w:rPr>
          <w:b/>
          <w:bCs/>
          <w:sz w:val="22"/>
          <w:szCs w:val="22"/>
          <w:lang w:val="fr-FR"/>
        </w:rPr>
        <w:t>Vrsta</w:t>
      </w:r>
      <w:proofErr w:type="spellEnd"/>
      <w:r w:rsidR="002846DB" w:rsidRPr="00C262AC">
        <w:rPr>
          <w:b/>
          <w:bCs/>
          <w:sz w:val="22"/>
          <w:szCs w:val="22"/>
          <w:lang w:val="fr-FR"/>
        </w:rPr>
        <w:t xml:space="preserve"> i </w:t>
      </w:r>
      <w:proofErr w:type="spellStart"/>
      <w:r w:rsidR="002846DB" w:rsidRPr="00C262AC">
        <w:rPr>
          <w:b/>
          <w:bCs/>
          <w:sz w:val="22"/>
          <w:szCs w:val="22"/>
          <w:lang w:val="fr-FR"/>
        </w:rPr>
        <w:t>sadržaj</w:t>
      </w:r>
      <w:proofErr w:type="spellEnd"/>
      <w:r w:rsidR="002846DB" w:rsidRPr="00C262AC">
        <w:rPr>
          <w:b/>
          <w:bCs/>
          <w:sz w:val="22"/>
          <w:szCs w:val="22"/>
          <w:lang w:val="fr-FR"/>
        </w:rPr>
        <w:t xml:space="preserve"> </w:t>
      </w:r>
      <w:proofErr w:type="spellStart"/>
      <w:r w:rsidR="00F8570A" w:rsidRPr="00C262AC">
        <w:rPr>
          <w:b/>
          <w:bCs/>
          <w:sz w:val="22"/>
          <w:szCs w:val="22"/>
          <w:lang w:val="fr-FR"/>
        </w:rPr>
        <w:t>pakovanja</w:t>
      </w:r>
      <w:proofErr w:type="spellEnd"/>
      <w:r w:rsidR="00C06864" w:rsidRPr="00C262AC">
        <w:rPr>
          <w:b/>
          <w:bCs/>
          <w:sz w:val="22"/>
          <w:szCs w:val="22"/>
          <w:lang w:val="fr-FR"/>
        </w:rPr>
        <w:t xml:space="preserve"> </w:t>
      </w:r>
    </w:p>
    <w:p w14:paraId="7D9AD26A" w14:textId="425AB564" w:rsidR="0072020E" w:rsidRPr="00C262AC" w:rsidRDefault="0072020E" w:rsidP="00C02F5A">
      <w:pPr>
        <w:tabs>
          <w:tab w:val="left" w:pos="540"/>
          <w:tab w:val="left" w:pos="569"/>
        </w:tabs>
        <w:jc w:val="both"/>
        <w:rPr>
          <w:bCs/>
          <w:sz w:val="22"/>
          <w:szCs w:val="22"/>
          <w:lang w:val="fr-FR"/>
        </w:rPr>
      </w:pPr>
    </w:p>
    <w:p w14:paraId="2D89DB67" w14:textId="46CA62A1" w:rsidR="00B0791A" w:rsidRPr="00C262AC" w:rsidRDefault="00B0791A">
      <w:pPr>
        <w:jc w:val="both"/>
        <w:rPr>
          <w:sz w:val="22"/>
          <w:szCs w:val="22"/>
          <w:lang w:val="sr-Latn-RS"/>
        </w:rPr>
      </w:pPr>
      <w:r w:rsidRPr="00C262AC">
        <w:rPr>
          <w:sz w:val="22"/>
          <w:szCs w:val="22"/>
          <w:lang w:val="sr-Latn-RS"/>
        </w:rPr>
        <w:t xml:space="preserve">Unutrašnje pakovanje je </w:t>
      </w:r>
      <w:bookmarkStart w:id="1" w:name="_Hlk536711918"/>
      <w:r w:rsidRPr="00C262AC">
        <w:rPr>
          <w:sz w:val="22"/>
          <w:szCs w:val="22"/>
          <w:lang w:val="sr-Latn-RS"/>
        </w:rPr>
        <w:t>blister (PVC/Alu)</w:t>
      </w:r>
      <w:bookmarkEnd w:id="1"/>
      <w:r w:rsidRPr="00C262AC">
        <w:rPr>
          <w:sz w:val="22"/>
          <w:szCs w:val="22"/>
          <w:lang w:val="sr-Latn-RS"/>
        </w:rPr>
        <w:t xml:space="preserve"> sa</w:t>
      </w:r>
      <w:r w:rsidR="00AC64B4" w:rsidRPr="00C262AC">
        <w:rPr>
          <w:sz w:val="22"/>
          <w:szCs w:val="22"/>
          <w:lang w:val="sr-Latn-RS"/>
        </w:rPr>
        <w:t xml:space="preserve"> </w:t>
      </w:r>
      <w:r w:rsidRPr="00C262AC">
        <w:rPr>
          <w:sz w:val="22"/>
          <w:szCs w:val="22"/>
          <w:lang w:val="sr-Latn-RS"/>
        </w:rPr>
        <w:t>10 film tableta.</w:t>
      </w:r>
    </w:p>
    <w:p w14:paraId="1CB2C860" w14:textId="1C89B1ED" w:rsidR="00B0791A" w:rsidRPr="00C262AC" w:rsidRDefault="00B0791A">
      <w:pPr>
        <w:jc w:val="both"/>
        <w:rPr>
          <w:sz w:val="22"/>
          <w:szCs w:val="22"/>
          <w:lang w:val="sr-Latn-RS"/>
        </w:rPr>
      </w:pPr>
      <w:r w:rsidRPr="00C262AC">
        <w:rPr>
          <w:sz w:val="22"/>
          <w:szCs w:val="22"/>
          <w:lang w:val="sr-Latn-RS"/>
        </w:rPr>
        <w:lastRenderedPageBreak/>
        <w:t>Spoljašnje pakovanje je složiva kartonska kutija u kojoj se nalaze 3 blistera (ukupno 30 film tableta) i Uputstvo za lijek.</w:t>
      </w:r>
    </w:p>
    <w:p w14:paraId="2CEDA841" w14:textId="77777777" w:rsidR="00B0791A" w:rsidRPr="00C262AC" w:rsidRDefault="00B0791A" w:rsidP="00C02F5A">
      <w:pPr>
        <w:tabs>
          <w:tab w:val="left" w:pos="540"/>
          <w:tab w:val="left" w:pos="569"/>
        </w:tabs>
        <w:jc w:val="both"/>
        <w:rPr>
          <w:bCs/>
          <w:sz w:val="22"/>
          <w:szCs w:val="22"/>
          <w:lang w:val="sr-Latn-RS"/>
        </w:rPr>
      </w:pPr>
    </w:p>
    <w:p w14:paraId="7D9AD26B" w14:textId="0BFA8B8A" w:rsidR="002846DB"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6.6. </w:t>
      </w:r>
      <w:r w:rsidR="00480FB1" w:rsidRPr="00C262AC">
        <w:rPr>
          <w:b/>
          <w:bCs/>
          <w:sz w:val="22"/>
          <w:szCs w:val="22"/>
          <w:lang w:val="sr-Latn-RS"/>
        </w:rPr>
        <w:tab/>
      </w:r>
      <w:r w:rsidRPr="00C262AC">
        <w:rPr>
          <w:b/>
          <w:bCs/>
          <w:color w:val="000000"/>
          <w:sz w:val="22"/>
          <w:szCs w:val="22"/>
          <w:lang w:val="sr-Latn-RS"/>
        </w:rPr>
        <w:t>Posebne mjere opreza pri odlaganju materijala koji treba odbaciti nakon primjene lijeka</w:t>
      </w:r>
      <w:r w:rsidRPr="00C262AC">
        <w:rPr>
          <w:b/>
          <w:bCs/>
          <w:sz w:val="22"/>
          <w:szCs w:val="22"/>
          <w:lang w:val="sr-Latn-RS"/>
        </w:rPr>
        <w:t xml:space="preserve"> </w:t>
      </w:r>
      <w:r w:rsidR="00310F03" w:rsidRPr="00C262AC">
        <w:rPr>
          <w:b/>
          <w:bCs/>
          <w:sz w:val="22"/>
          <w:szCs w:val="22"/>
          <w:lang w:val="sr-Latn-RS"/>
        </w:rPr>
        <w:t>(i druga uputs</w:t>
      </w:r>
      <w:r w:rsidR="0029494E" w:rsidRPr="00C262AC">
        <w:rPr>
          <w:b/>
          <w:bCs/>
          <w:sz w:val="22"/>
          <w:szCs w:val="22"/>
          <w:lang w:val="sr-Latn-RS"/>
        </w:rPr>
        <w:t>t</w:t>
      </w:r>
      <w:r w:rsidR="00310F03" w:rsidRPr="00C262AC">
        <w:rPr>
          <w:b/>
          <w:bCs/>
          <w:sz w:val="22"/>
          <w:szCs w:val="22"/>
          <w:lang w:val="sr-Latn-RS"/>
        </w:rPr>
        <w:t xml:space="preserve">va za rukovanje lijekom) </w:t>
      </w:r>
    </w:p>
    <w:p w14:paraId="7D9AD26C" w14:textId="77777777" w:rsidR="00B66A70" w:rsidRPr="00C262AC" w:rsidRDefault="00B66A70" w:rsidP="00C02F5A">
      <w:pPr>
        <w:tabs>
          <w:tab w:val="left" w:pos="540"/>
          <w:tab w:val="left" w:pos="569"/>
        </w:tabs>
        <w:jc w:val="both"/>
        <w:rPr>
          <w:b/>
          <w:bCs/>
          <w:sz w:val="22"/>
          <w:szCs w:val="22"/>
          <w:lang w:val="sr-Latn-RS"/>
        </w:rPr>
      </w:pPr>
    </w:p>
    <w:p w14:paraId="02AFED98" w14:textId="77777777" w:rsidR="00B0791A" w:rsidRPr="00C262AC" w:rsidRDefault="00B0791A">
      <w:pPr>
        <w:jc w:val="both"/>
        <w:rPr>
          <w:sz w:val="22"/>
          <w:szCs w:val="22"/>
          <w:lang w:val="sr-Latn-RS"/>
        </w:rPr>
      </w:pPr>
      <w:r w:rsidRPr="00C262AC">
        <w:rPr>
          <w:sz w:val="22"/>
          <w:szCs w:val="22"/>
          <w:lang w:val="sr-Latn-RS"/>
        </w:rPr>
        <w:t>Neupotrijebljeni lijek se odlaže i uništava u skladu sa važećim propisima.</w:t>
      </w:r>
    </w:p>
    <w:p w14:paraId="7D9AD26D" w14:textId="3D6A0B34" w:rsidR="0072020E" w:rsidRPr="00C262AC" w:rsidRDefault="0072020E" w:rsidP="00C02F5A">
      <w:pPr>
        <w:tabs>
          <w:tab w:val="left" w:pos="540"/>
          <w:tab w:val="left" w:pos="569"/>
        </w:tabs>
        <w:jc w:val="both"/>
        <w:rPr>
          <w:bCs/>
          <w:sz w:val="22"/>
          <w:szCs w:val="22"/>
          <w:lang w:val="sr-Latn-RS"/>
        </w:rPr>
      </w:pPr>
    </w:p>
    <w:p w14:paraId="283C9C3D" w14:textId="77777777" w:rsidR="001D1334" w:rsidRPr="00C262AC" w:rsidRDefault="001D1334" w:rsidP="00C02F5A">
      <w:pPr>
        <w:tabs>
          <w:tab w:val="left" w:pos="540"/>
          <w:tab w:val="left" w:pos="569"/>
        </w:tabs>
        <w:jc w:val="both"/>
        <w:rPr>
          <w:bCs/>
          <w:sz w:val="22"/>
          <w:szCs w:val="22"/>
          <w:lang w:val="sr-Latn-RS"/>
        </w:rPr>
      </w:pPr>
    </w:p>
    <w:p w14:paraId="7D9AD26E" w14:textId="77777777" w:rsidR="00F8570A" w:rsidRPr="00C262AC" w:rsidRDefault="0072020E" w:rsidP="00C02F5A">
      <w:pPr>
        <w:tabs>
          <w:tab w:val="left" w:pos="540"/>
          <w:tab w:val="left" w:pos="569"/>
        </w:tabs>
        <w:jc w:val="both"/>
        <w:rPr>
          <w:b/>
          <w:bCs/>
          <w:sz w:val="22"/>
          <w:szCs w:val="22"/>
          <w:lang w:val="sr-Latn-RS"/>
        </w:rPr>
      </w:pPr>
      <w:r w:rsidRPr="00C262AC">
        <w:rPr>
          <w:b/>
          <w:bCs/>
          <w:sz w:val="22"/>
          <w:szCs w:val="22"/>
          <w:lang w:val="sr-Latn-RS"/>
        </w:rPr>
        <w:t xml:space="preserve">7. </w:t>
      </w:r>
      <w:r w:rsidR="00480FB1" w:rsidRPr="00C262AC">
        <w:rPr>
          <w:b/>
          <w:bCs/>
          <w:sz w:val="22"/>
          <w:szCs w:val="22"/>
          <w:lang w:val="sr-Latn-RS"/>
        </w:rPr>
        <w:tab/>
      </w:r>
      <w:r w:rsidRPr="00C262AC">
        <w:rPr>
          <w:b/>
          <w:bCs/>
          <w:sz w:val="22"/>
          <w:szCs w:val="22"/>
          <w:lang w:val="sr-Latn-RS"/>
        </w:rPr>
        <w:t>NOSILAC DOZVOLE</w:t>
      </w:r>
      <w:r w:rsidR="00483928" w:rsidRPr="00C262AC">
        <w:rPr>
          <w:b/>
          <w:bCs/>
          <w:sz w:val="22"/>
          <w:szCs w:val="22"/>
          <w:lang w:val="sr-Latn-RS"/>
        </w:rPr>
        <w:t xml:space="preserve"> </w:t>
      </w:r>
    </w:p>
    <w:p w14:paraId="4BE3F67D" w14:textId="77777777" w:rsidR="00B0791A" w:rsidRPr="00C262AC" w:rsidRDefault="00B0791A">
      <w:pPr>
        <w:pStyle w:val="Header"/>
        <w:tabs>
          <w:tab w:val="left" w:pos="284"/>
        </w:tabs>
        <w:jc w:val="both"/>
        <w:rPr>
          <w:sz w:val="22"/>
          <w:szCs w:val="22"/>
          <w:lang w:val="sr-Latn-RS"/>
        </w:rPr>
      </w:pPr>
    </w:p>
    <w:p w14:paraId="1A75FE51" w14:textId="5C588B46" w:rsidR="00B0791A" w:rsidRPr="00C262AC" w:rsidRDefault="00B0791A">
      <w:pPr>
        <w:pStyle w:val="Header"/>
        <w:tabs>
          <w:tab w:val="left" w:pos="284"/>
        </w:tabs>
        <w:jc w:val="both"/>
        <w:rPr>
          <w:sz w:val="22"/>
          <w:szCs w:val="22"/>
          <w:lang w:val="sr-Latn-RS"/>
        </w:rPr>
      </w:pPr>
      <w:r w:rsidRPr="00C262AC">
        <w:rPr>
          <w:sz w:val="22"/>
          <w:szCs w:val="22"/>
          <w:lang w:val="sr-Latn-RS"/>
        </w:rPr>
        <w:t>PharmaSwiss - Montenegro, PharmaSwiss d.o.o. Beograd,</w:t>
      </w:r>
      <w:r w:rsidRPr="00C262AC">
        <w:rPr>
          <w:sz w:val="22"/>
          <w:szCs w:val="22"/>
          <w:lang w:val="sr-Latn-CS"/>
        </w:rPr>
        <w:t xml:space="preserve"> </w:t>
      </w:r>
      <w:r w:rsidRPr="00C262AC">
        <w:rPr>
          <w:sz w:val="22"/>
          <w:szCs w:val="22"/>
          <w:lang w:val="sr-Latn-RS"/>
        </w:rPr>
        <w:t>dio stranog društva u Podgorici,</w:t>
      </w:r>
    </w:p>
    <w:p w14:paraId="3BAA22E5" w14:textId="68EF650E" w:rsidR="00B0791A" w:rsidRPr="00C262AC" w:rsidRDefault="00B0791A">
      <w:pPr>
        <w:tabs>
          <w:tab w:val="left" w:pos="540"/>
          <w:tab w:val="left" w:pos="569"/>
        </w:tabs>
        <w:jc w:val="both"/>
        <w:rPr>
          <w:sz w:val="22"/>
          <w:szCs w:val="22"/>
          <w:lang w:val="sr-Latn-CS"/>
        </w:rPr>
      </w:pPr>
      <w:r w:rsidRPr="00C262AC">
        <w:rPr>
          <w:sz w:val="22"/>
          <w:szCs w:val="22"/>
          <w:lang w:val="sr-Latn-CS"/>
        </w:rPr>
        <w:t xml:space="preserve">Rimski trg </w:t>
      </w:r>
      <w:r w:rsidR="0054152C" w:rsidRPr="00C262AC">
        <w:rPr>
          <w:sz w:val="22"/>
          <w:szCs w:val="22"/>
          <w:lang w:val="sr-Latn-CS"/>
        </w:rPr>
        <w:t xml:space="preserve">br. </w:t>
      </w:r>
      <w:r w:rsidRPr="00C262AC">
        <w:rPr>
          <w:sz w:val="22"/>
          <w:szCs w:val="22"/>
          <w:lang w:val="sr-Latn-CS"/>
        </w:rPr>
        <w:t>16, Podgorica, Crna Gora</w:t>
      </w:r>
    </w:p>
    <w:p w14:paraId="45C5A078" w14:textId="77777777" w:rsidR="001D1334" w:rsidRPr="00C262AC" w:rsidRDefault="001D1334">
      <w:pPr>
        <w:tabs>
          <w:tab w:val="left" w:pos="540"/>
          <w:tab w:val="left" w:pos="569"/>
        </w:tabs>
        <w:jc w:val="both"/>
        <w:rPr>
          <w:bCs/>
          <w:sz w:val="22"/>
          <w:szCs w:val="22"/>
        </w:rPr>
      </w:pPr>
    </w:p>
    <w:p w14:paraId="7D9AD270" w14:textId="77777777" w:rsidR="00C37FD7" w:rsidRPr="00C262AC" w:rsidRDefault="00C37FD7" w:rsidP="00C02F5A">
      <w:pPr>
        <w:tabs>
          <w:tab w:val="left" w:pos="540"/>
          <w:tab w:val="left" w:pos="569"/>
        </w:tabs>
        <w:jc w:val="both"/>
        <w:rPr>
          <w:bCs/>
          <w:sz w:val="22"/>
          <w:szCs w:val="22"/>
        </w:rPr>
      </w:pPr>
    </w:p>
    <w:p w14:paraId="7D9AD271" w14:textId="77777777" w:rsidR="0072020E" w:rsidRPr="00C262AC" w:rsidRDefault="0072020E" w:rsidP="00C02F5A">
      <w:pPr>
        <w:tabs>
          <w:tab w:val="left" w:pos="540"/>
          <w:tab w:val="left" w:pos="569"/>
        </w:tabs>
        <w:jc w:val="both"/>
        <w:rPr>
          <w:b/>
          <w:bCs/>
          <w:sz w:val="22"/>
          <w:szCs w:val="22"/>
        </w:rPr>
      </w:pPr>
      <w:r w:rsidRPr="00C262AC">
        <w:rPr>
          <w:b/>
          <w:bCs/>
          <w:sz w:val="22"/>
          <w:szCs w:val="22"/>
        </w:rPr>
        <w:t xml:space="preserve">8. </w:t>
      </w:r>
      <w:r w:rsidR="00480FB1" w:rsidRPr="00C262AC">
        <w:rPr>
          <w:b/>
          <w:bCs/>
          <w:sz w:val="22"/>
          <w:szCs w:val="22"/>
        </w:rPr>
        <w:tab/>
      </w:r>
      <w:r w:rsidRPr="00C262AC">
        <w:rPr>
          <w:b/>
          <w:bCs/>
          <w:sz w:val="22"/>
          <w:szCs w:val="22"/>
        </w:rPr>
        <w:t>BROJ DOZVOLE</w:t>
      </w:r>
      <w:r w:rsidR="008A6D43" w:rsidRPr="00C262AC">
        <w:rPr>
          <w:b/>
          <w:bCs/>
          <w:sz w:val="22"/>
          <w:szCs w:val="22"/>
        </w:rPr>
        <w:t xml:space="preserve"> ZA STAVLJANJE LIJEKA U PROMET</w:t>
      </w:r>
    </w:p>
    <w:p w14:paraId="6A4D6C8E" w14:textId="4C859E41" w:rsidR="00B0791A" w:rsidRDefault="00B0791A">
      <w:pPr>
        <w:tabs>
          <w:tab w:val="left" w:pos="540"/>
          <w:tab w:val="left" w:pos="569"/>
        </w:tabs>
        <w:jc w:val="both"/>
        <w:rPr>
          <w:sz w:val="22"/>
          <w:szCs w:val="22"/>
          <w:lang w:val="sr-Latn-RS"/>
        </w:rPr>
      </w:pPr>
    </w:p>
    <w:p w14:paraId="3D14FC1B" w14:textId="7A1CCE6C" w:rsidR="00B86B91" w:rsidRPr="00C262AC" w:rsidRDefault="00B86B91">
      <w:pPr>
        <w:tabs>
          <w:tab w:val="left" w:pos="540"/>
          <w:tab w:val="left" w:pos="569"/>
        </w:tabs>
        <w:jc w:val="both"/>
        <w:rPr>
          <w:sz w:val="22"/>
          <w:szCs w:val="22"/>
          <w:lang w:val="sr-Latn-RS"/>
        </w:rPr>
      </w:pPr>
      <w:r>
        <w:rPr>
          <w:rFonts w:ascii="TimesNewRoman" w:eastAsia="TimesNewRoman" w:cs="TimesNewRoman"/>
          <w:sz w:val="22"/>
          <w:szCs w:val="22"/>
          <w:lang w:eastAsia="sr-Latn-ME"/>
        </w:rPr>
        <w:t xml:space="preserve">2030/24/506 - 8429 </w:t>
      </w:r>
      <w:bookmarkStart w:id="2" w:name="_GoBack"/>
      <w:bookmarkEnd w:id="2"/>
    </w:p>
    <w:p w14:paraId="7D9AD272" w14:textId="5646DB11" w:rsidR="0072020E" w:rsidRPr="00C262AC" w:rsidRDefault="0072020E">
      <w:pPr>
        <w:tabs>
          <w:tab w:val="left" w:pos="540"/>
          <w:tab w:val="left" w:pos="569"/>
        </w:tabs>
        <w:jc w:val="both"/>
        <w:rPr>
          <w:bCs/>
          <w:sz w:val="22"/>
          <w:szCs w:val="22"/>
        </w:rPr>
      </w:pPr>
    </w:p>
    <w:p w14:paraId="7D9AD274" w14:textId="77777777" w:rsidR="0072020E" w:rsidRPr="00C262AC" w:rsidRDefault="0072020E" w:rsidP="00C02F5A">
      <w:pPr>
        <w:tabs>
          <w:tab w:val="left" w:pos="540"/>
          <w:tab w:val="left" w:pos="569"/>
        </w:tabs>
        <w:jc w:val="both"/>
        <w:rPr>
          <w:b/>
          <w:bCs/>
          <w:sz w:val="22"/>
          <w:szCs w:val="22"/>
          <w:lang w:val="fr-FR"/>
        </w:rPr>
      </w:pPr>
      <w:r w:rsidRPr="00C262AC">
        <w:rPr>
          <w:b/>
          <w:bCs/>
          <w:sz w:val="22"/>
          <w:szCs w:val="22"/>
          <w:lang w:val="fr-FR"/>
        </w:rPr>
        <w:t xml:space="preserve">9. </w:t>
      </w:r>
      <w:r w:rsidR="00480FB1" w:rsidRPr="00C262AC">
        <w:rPr>
          <w:b/>
          <w:bCs/>
          <w:sz w:val="22"/>
          <w:szCs w:val="22"/>
          <w:lang w:val="fr-FR"/>
        </w:rPr>
        <w:tab/>
      </w:r>
      <w:r w:rsidRPr="00C262AC">
        <w:rPr>
          <w:b/>
          <w:bCs/>
          <w:sz w:val="22"/>
          <w:szCs w:val="22"/>
          <w:lang w:val="fr-FR"/>
        </w:rPr>
        <w:t xml:space="preserve">DATUM </w:t>
      </w:r>
      <w:r w:rsidR="00C05DF8" w:rsidRPr="00C262AC">
        <w:rPr>
          <w:b/>
          <w:bCs/>
          <w:sz w:val="22"/>
          <w:szCs w:val="22"/>
          <w:lang w:val="fr-FR"/>
        </w:rPr>
        <w:t xml:space="preserve">PRVE </w:t>
      </w:r>
      <w:r w:rsidR="008A6D43" w:rsidRPr="00C262AC">
        <w:rPr>
          <w:b/>
          <w:bCs/>
          <w:sz w:val="22"/>
          <w:szCs w:val="22"/>
          <w:lang w:val="fr-FR"/>
        </w:rPr>
        <w:t>DOZVOLE</w:t>
      </w:r>
      <w:r w:rsidR="00C05DF8" w:rsidRPr="00C262AC">
        <w:rPr>
          <w:b/>
          <w:bCs/>
          <w:sz w:val="22"/>
          <w:szCs w:val="22"/>
          <w:lang w:val="fr-FR"/>
        </w:rPr>
        <w:t>/OBNOVE DOZVOLE</w:t>
      </w:r>
      <w:r w:rsidR="008A6D43" w:rsidRPr="00C262AC">
        <w:rPr>
          <w:b/>
          <w:bCs/>
          <w:sz w:val="22"/>
          <w:szCs w:val="22"/>
          <w:lang w:val="fr-FR"/>
        </w:rPr>
        <w:t xml:space="preserve"> ZA STAVLJANJE LIJEKA U PROMET</w:t>
      </w:r>
    </w:p>
    <w:p w14:paraId="7B6DE890" w14:textId="77777777" w:rsidR="00AC64B4" w:rsidRPr="00C262AC" w:rsidRDefault="00AC64B4" w:rsidP="00AC64B4">
      <w:pPr>
        <w:tabs>
          <w:tab w:val="left" w:pos="540"/>
          <w:tab w:val="left" w:pos="569"/>
        </w:tabs>
        <w:jc w:val="both"/>
        <w:rPr>
          <w:sz w:val="22"/>
          <w:szCs w:val="22"/>
          <w:lang w:val="sr-Latn-RS"/>
        </w:rPr>
      </w:pPr>
    </w:p>
    <w:p w14:paraId="2983C073" w14:textId="6C6C6A9D" w:rsidR="00AC64B4" w:rsidRPr="00C262AC" w:rsidRDefault="00AC64B4" w:rsidP="00AC64B4">
      <w:pPr>
        <w:tabs>
          <w:tab w:val="left" w:pos="540"/>
          <w:tab w:val="left" w:pos="569"/>
        </w:tabs>
        <w:jc w:val="both"/>
        <w:rPr>
          <w:sz w:val="22"/>
          <w:szCs w:val="22"/>
          <w:lang w:val="sr-Latn-RS"/>
        </w:rPr>
      </w:pPr>
      <w:r w:rsidRPr="00C262AC">
        <w:rPr>
          <w:sz w:val="22"/>
          <w:szCs w:val="22"/>
          <w:lang w:val="sr-Latn-RS"/>
        </w:rPr>
        <w:t>Datum prve dozvole:</w:t>
      </w:r>
      <w:r w:rsidR="00C262AC">
        <w:rPr>
          <w:sz w:val="22"/>
          <w:szCs w:val="22"/>
          <w:lang w:val="sr-Latn-RS"/>
        </w:rPr>
        <w:t xml:space="preserve"> </w:t>
      </w:r>
      <w:r w:rsidR="00C262AC" w:rsidRPr="00C262AC">
        <w:rPr>
          <w:sz w:val="22"/>
          <w:szCs w:val="22"/>
          <w:lang w:val="sr-Latn-RS"/>
        </w:rPr>
        <w:t>21.12.2012. godine</w:t>
      </w:r>
    </w:p>
    <w:p w14:paraId="7E4A0FCC" w14:textId="2745FE0B" w:rsidR="00B0791A" w:rsidRPr="00C262AC" w:rsidRDefault="00AC64B4" w:rsidP="00AC64B4">
      <w:pPr>
        <w:tabs>
          <w:tab w:val="left" w:pos="540"/>
          <w:tab w:val="left" w:pos="569"/>
        </w:tabs>
        <w:jc w:val="both"/>
        <w:rPr>
          <w:sz w:val="22"/>
          <w:szCs w:val="22"/>
          <w:lang w:val="sr-Latn-RS"/>
        </w:rPr>
      </w:pPr>
      <w:r w:rsidRPr="00C262AC">
        <w:rPr>
          <w:sz w:val="22"/>
          <w:szCs w:val="22"/>
          <w:lang w:val="sr-Latn-RS"/>
        </w:rPr>
        <w:t>Datum poslednje obnove dozvole:</w:t>
      </w:r>
      <w:r w:rsidR="00C262AC">
        <w:rPr>
          <w:sz w:val="22"/>
          <w:szCs w:val="22"/>
          <w:lang w:val="sr-Latn-RS"/>
        </w:rPr>
        <w:t xml:space="preserve"> 06.02.2024. godine</w:t>
      </w:r>
    </w:p>
    <w:p w14:paraId="631AF8B7" w14:textId="69789B9C" w:rsidR="00B0791A" w:rsidRPr="00C262AC" w:rsidRDefault="00B0791A">
      <w:pPr>
        <w:tabs>
          <w:tab w:val="left" w:pos="540"/>
          <w:tab w:val="left" w:pos="569"/>
        </w:tabs>
        <w:jc w:val="both"/>
        <w:rPr>
          <w:bCs/>
          <w:sz w:val="22"/>
          <w:szCs w:val="22"/>
          <w:lang w:val="fr-FR"/>
        </w:rPr>
      </w:pPr>
    </w:p>
    <w:p w14:paraId="52F6A53C" w14:textId="77777777" w:rsidR="00AC64B4" w:rsidRPr="00C262AC" w:rsidRDefault="00AC64B4">
      <w:pPr>
        <w:tabs>
          <w:tab w:val="left" w:pos="540"/>
          <w:tab w:val="left" w:pos="569"/>
        </w:tabs>
        <w:jc w:val="both"/>
        <w:rPr>
          <w:bCs/>
          <w:sz w:val="22"/>
          <w:szCs w:val="22"/>
          <w:lang w:val="fr-FR"/>
        </w:rPr>
      </w:pPr>
    </w:p>
    <w:p w14:paraId="7D9AD277" w14:textId="32FAA632" w:rsidR="003F6A59" w:rsidRDefault="0072020E" w:rsidP="00C02F5A">
      <w:pPr>
        <w:tabs>
          <w:tab w:val="left" w:pos="540"/>
          <w:tab w:val="left" w:pos="569"/>
        </w:tabs>
        <w:ind w:left="540" w:hanging="540"/>
        <w:jc w:val="both"/>
        <w:rPr>
          <w:b/>
          <w:bCs/>
          <w:sz w:val="22"/>
          <w:szCs w:val="22"/>
          <w:lang w:val="fr-FR"/>
        </w:rPr>
      </w:pPr>
      <w:r w:rsidRPr="00C262AC">
        <w:rPr>
          <w:b/>
          <w:bCs/>
          <w:sz w:val="22"/>
          <w:szCs w:val="22"/>
          <w:lang w:val="fr-FR"/>
        </w:rPr>
        <w:t xml:space="preserve">10. </w:t>
      </w:r>
      <w:r w:rsidR="00480FB1" w:rsidRPr="00C262AC">
        <w:rPr>
          <w:b/>
          <w:bCs/>
          <w:sz w:val="22"/>
          <w:szCs w:val="22"/>
          <w:lang w:val="fr-FR"/>
        </w:rPr>
        <w:tab/>
      </w:r>
      <w:r w:rsidR="002846DB" w:rsidRPr="00C262AC">
        <w:rPr>
          <w:b/>
          <w:bCs/>
          <w:sz w:val="22"/>
          <w:szCs w:val="22"/>
          <w:lang w:val="fr-FR"/>
        </w:rPr>
        <w:t>D</w:t>
      </w:r>
      <w:r w:rsidR="00EC2532" w:rsidRPr="00C262AC">
        <w:rPr>
          <w:b/>
          <w:bCs/>
          <w:sz w:val="22"/>
          <w:szCs w:val="22"/>
          <w:lang w:val="fr-FR"/>
        </w:rPr>
        <w:t xml:space="preserve">ATUM REVIZIJE TEKSTA </w:t>
      </w:r>
    </w:p>
    <w:p w14:paraId="54C693DF" w14:textId="3EA433BD" w:rsidR="00C262AC" w:rsidRDefault="00C262AC" w:rsidP="00C02F5A">
      <w:pPr>
        <w:tabs>
          <w:tab w:val="left" w:pos="540"/>
          <w:tab w:val="left" w:pos="569"/>
        </w:tabs>
        <w:ind w:left="540" w:hanging="540"/>
        <w:jc w:val="both"/>
        <w:rPr>
          <w:b/>
          <w:bCs/>
          <w:sz w:val="22"/>
          <w:szCs w:val="22"/>
          <w:lang w:val="fr-FR"/>
        </w:rPr>
      </w:pPr>
    </w:p>
    <w:p w14:paraId="3C61BEAA" w14:textId="5DE2A4E7" w:rsidR="00C262AC" w:rsidRPr="00C262AC" w:rsidRDefault="00C262AC" w:rsidP="00C02F5A">
      <w:pPr>
        <w:tabs>
          <w:tab w:val="left" w:pos="540"/>
          <w:tab w:val="left" w:pos="569"/>
        </w:tabs>
        <w:ind w:left="540" w:hanging="540"/>
        <w:jc w:val="both"/>
        <w:rPr>
          <w:bCs/>
          <w:sz w:val="22"/>
          <w:szCs w:val="22"/>
          <w:lang w:val="fr-FR"/>
        </w:rPr>
      </w:pPr>
      <w:proofErr w:type="spellStart"/>
      <w:r w:rsidRPr="00C262AC">
        <w:rPr>
          <w:bCs/>
          <w:sz w:val="22"/>
          <w:szCs w:val="22"/>
          <w:lang w:val="fr-FR"/>
        </w:rPr>
        <w:t>Februar</w:t>
      </w:r>
      <w:proofErr w:type="spellEnd"/>
      <w:r w:rsidRPr="00C262AC">
        <w:rPr>
          <w:bCs/>
          <w:sz w:val="22"/>
          <w:szCs w:val="22"/>
          <w:lang w:val="fr-FR"/>
        </w:rPr>
        <w:t xml:space="preserve">, 2024. </w:t>
      </w:r>
      <w:proofErr w:type="spellStart"/>
      <w:proofErr w:type="gramStart"/>
      <w:r w:rsidRPr="00C262AC">
        <w:rPr>
          <w:bCs/>
          <w:sz w:val="22"/>
          <w:szCs w:val="22"/>
          <w:lang w:val="fr-FR"/>
        </w:rPr>
        <w:t>godine</w:t>
      </w:r>
      <w:proofErr w:type="spellEnd"/>
      <w:proofErr w:type="gramEnd"/>
    </w:p>
    <w:p w14:paraId="7D9AD278" w14:textId="77777777" w:rsidR="003F6A59" w:rsidRPr="00C262AC" w:rsidRDefault="003F6A59" w:rsidP="00C02F5A">
      <w:pPr>
        <w:tabs>
          <w:tab w:val="left" w:pos="540"/>
          <w:tab w:val="left" w:pos="569"/>
        </w:tabs>
        <w:jc w:val="both"/>
        <w:rPr>
          <w:bCs/>
          <w:sz w:val="22"/>
          <w:szCs w:val="22"/>
          <w:lang w:val="fr-FR"/>
        </w:rPr>
      </w:pPr>
    </w:p>
    <w:p w14:paraId="7D9AD279" w14:textId="77777777" w:rsidR="008A6D43" w:rsidRPr="00C262AC" w:rsidRDefault="008A6D43" w:rsidP="00C02F5A">
      <w:pPr>
        <w:tabs>
          <w:tab w:val="left" w:pos="540"/>
          <w:tab w:val="left" w:pos="569"/>
        </w:tabs>
        <w:jc w:val="both"/>
        <w:rPr>
          <w:bCs/>
          <w:sz w:val="22"/>
          <w:szCs w:val="22"/>
          <w:lang w:val="fr-FR"/>
        </w:rPr>
      </w:pPr>
    </w:p>
    <w:p w14:paraId="7D9AD280" w14:textId="2D5D9582" w:rsidR="003F6A59" w:rsidRPr="00C262AC" w:rsidRDefault="003F6A59" w:rsidP="00C02F5A">
      <w:pPr>
        <w:jc w:val="both"/>
        <w:rPr>
          <w:sz w:val="22"/>
          <w:szCs w:val="22"/>
          <w:lang w:val="pl-PL"/>
        </w:rPr>
      </w:pPr>
    </w:p>
    <w:sectPr w:rsidR="003F6A59" w:rsidRPr="00C262AC"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2509D" w14:textId="77777777" w:rsidR="00BF3A35" w:rsidRDefault="00BF3A35">
      <w:r>
        <w:separator/>
      </w:r>
    </w:p>
  </w:endnote>
  <w:endnote w:type="continuationSeparator" w:id="0">
    <w:p w14:paraId="774AEA95" w14:textId="77777777" w:rsidR="00BF3A35" w:rsidRDefault="00BF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A1"/>
    <w:family w:val="auto"/>
    <w:notTrueType/>
    <w:pitch w:val="default"/>
    <w:sig w:usb0="00000087" w:usb1="080F0000" w:usb2="00000010" w:usb3="00000000" w:csb0="0012000B"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D287" w14:textId="3FFD0BE7" w:rsidR="000303DE" w:rsidRPr="00B23F69" w:rsidRDefault="000303D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86B91">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86B91">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8ECC4" w14:textId="77777777" w:rsidR="00BF3A35" w:rsidRDefault="00BF3A35">
      <w:r>
        <w:separator/>
      </w:r>
    </w:p>
  </w:footnote>
  <w:footnote w:type="continuationSeparator" w:id="0">
    <w:p w14:paraId="4595D4DC" w14:textId="77777777" w:rsidR="00BF3A35" w:rsidRDefault="00BF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03DE"/>
    <w:rsid w:val="00036FA0"/>
    <w:rsid w:val="0003793F"/>
    <w:rsid w:val="00057E35"/>
    <w:rsid w:val="00076726"/>
    <w:rsid w:val="00080303"/>
    <w:rsid w:val="00090458"/>
    <w:rsid w:val="000A3F58"/>
    <w:rsid w:val="000D2343"/>
    <w:rsid w:val="000D3449"/>
    <w:rsid w:val="000D425A"/>
    <w:rsid w:val="000D60CC"/>
    <w:rsid w:val="000E2084"/>
    <w:rsid w:val="000E6F55"/>
    <w:rsid w:val="000F77FA"/>
    <w:rsid w:val="00107BF7"/>
    <w:rsid w:val="00126F53"/>
    <w:rsid w:val="0014766D"/>
    <w:rsid w:val="001536CC"/>
    <w:rsid w:val="00166D3A"/>
    <w:rsid w:val="001A3FBA"/>
    <w:rsid w:val="001A5518"/>
    <w:rsid w:val="001B1C6A"/>
    <w:rsid w:val="001C1263"/>
    <w:rsid w:val="001C1417"/>
    <w:rsid w:val="001D1334"/>
    <w:rsid w:val="001E390B"/>
    <w:rsid w:val="001F42FB"/>
    <w:rsid w:val="001F719A"/>
    <w:rsid w:val="002031B3"/>
    <w:rsid w:val="0021231A"/>
    <w:rsid w:val="00215931"/>
    <w:rsid w:val="00227BDB"/>
    <w:rsid w:val="00234CB1"/>
    <w:rsid w:val="002352F8"/>
    <w:rsid w:val="002510A5"/>
    <w:rsid w:val="00251196"/>
    <w:rsid w:val="00254A0A"/>
    <w:rsid w:val="002626D6"/>
    <w:rsid w:val="00266046"/>
    <w:rsid w:val="002846DB"/>
    <w:rsid w:val="00284CCD"/>
    <w:rsid w:val="002862E7"/>
    <w:rsid w:val="002872F8"/>
    <w:rsid w:val="0029494E"/>
    <w:rsid w:val="002C562D"/>
    <w:rsid w:val="002C5816"/>
    <w:rsid w:val="002C6637"/>
    <w:rsid w:val="002D5B5A"/>
    <w:rsid w:val="002E0135"/>
    <w:rsid w:val="002E1DA5"/>
    <w:rsid w:val="002E37A5"/>
    <w:rsid w:val="002F5B0A"/>
    <w:rsid w:val="00310F03"/>
    <w:rsid w:val="0031115E"/>
    <w:rsid w:val="003247D2"/>
    <w:rsid w:val="003445C1"/>
    <w:rsid w:val="003456C6"/>
    <w:rsid w:val="00355B61"/>
    <w:rsid w:val="00362686"/>
    <w:rsid w:val="00371510"/>
    <w:rsid w:val="00396DFD"/>
    <w:rsid w:val="003A7059"/>
    <w:rsid w:val="003B7A36"/>
    <w:rsid w:val="003C17AB"/>
    <w:rsid w:val="003C7823"/>
    <w:rsid w:val="003E1DCC"/>
    <w:rsid w:val="003F6A59"/>
    <w:rsid w:val="004065C8"/>
    <w:rsid w:val="00411B4B"/>
    <w:rsid w:val="00415BEE"/>
    <w:rsid w:val="00427F85"/>
    <w:rsid w:val="00436F42"/>
    <w:rsid w:val="004378B4"/>
    <w:rsid w:val="00451314"/>
    <w:rsid w:val="00452E9D"/>
    <w:rsid w:val="004534C7"/>
    <w:rsid w:val="0046672B"/>
    <w:rsid w:val="004671AA"/>
    <w:rsid w:val="00480FB1"/>
    <w:rsid w:val="00483928"/>
    <w:rsid w:val="004D6103"/>
    <w:rsid w:val="004E3BCE"/>
    <w:rsid w:val="004F0E97"/>
    <w:rsid w:val="00501DD1"/>
    <w:rsid w:val="00505D04"/>
    <w:rsid w:val="00511DD5"/>
    <w:rsid w:val="00515C21"/>
    <w:rsid w:val="00530BD7"/>
    <w:rsid w:val="0054152C"/>
    <w:rsid w:val="00545CD2"/>
    <w:rsid w:val="005476F3"/>
    <w:rsid w:val="00550E8B"/>
    <w:rsid w:val="00572527"/>
    <w:rsid w:val="00573E40"/>
    <w:rsid w:val="00575B4D"/>
    <w:rsid w:val="00576348"/>
    <w:rsid w:val="005955AB"/>
    <w:rsid w:val="005A0B2E"/>
    <w:rsid w:val="005A23D2"/>
    <w:rsid w:val="005A36CB"/>
    <w:rsid w:val="005B49B8"/>
    <w:rsid w:val="005C0741"/>
    <w:rsid w:val="005C2195"/>
    <w:rsid w:val="005C5EF4"/>
    <w:rsid w:val="005E2E0B"/>
    <w:rsid w:val="005E7A7D"/>
    <w:rsid w:val="006144E7"/>
    <w:rsid w:val="00646BD1"/>
    <w:rsid w:val="00652A6E"/>
    <w:rsid w:val="006561C2"/>
    <w:rsid w:val="00671CB3"/>
    <w:rsid w:val="00674BAF"/>
    <w:rsid w:val="00682200"/>
    <w:rsid w:val="00697BB7"/>
    <w:rsid w:val="006A1497"/>
    <w:rsid w:val="006B0BD1"/>
    <w:rsid w:val="006D0997"/>
    <w:rsid w:val="006D20A5"/>
    <w:rsid w:val="006D37BF"/>
    <w:rsid w:val="006E3F4D"/>
    <w:rsid w:val="00702E22"/>
    <w:rsid w:val="0072020E"/>
    <w:rsid w:val="00772338"/>
    <w:rsid w:val="00786071"/>
    <w:rsid w:val="007A3ECB"/>
    <w:rsid w:val="007A728A"/>
    <w:rsid w:val="007F407F"/>
    <w:rsid w:val="00824AB9"/>
    <w:rsid w:val="00836B35"/>
    <w:rsid w:val="00843BDE"/>
    <w:rsid w:val="008707A6"/>
    <w:rsid w:val="0089705C"/>
    <w:rsid w:val="008A6D43"/>
    <w:rsid w:val="008B491E"/>
    <w:rsid w:val="008C1A28"/>
    <w:rsid w:val="008C2E98"/>
    <w:rsid w:val="008D3BB4"/>
    <w:rsid w:val="008E3D2E"/>
    <w:rsid w:val="008E4284"/>
    <w:rsid w:val="008E49BD"/>
    <w:rsid w:val="008E53E9"/>
    <w:rsid w:val="008E5771"/>
    <w:rsid w:val="008F1ECD"/>
    <w:rsid w:val="00940B9B"/>
    <w:rsid w:val="0095676E"/>
    <w:rsid w:val="00956983"/>
    <w:rsid w:val="00963CF0"/>
    <w:rsid w:val="00964BB1"/>
    <w:rsid w:val="009775D9"/>
    <w:rsid w:val="00997175"/>
    <w:rsid w:val="009A1847"/>
    <w:rsid w:val="009A2394"/>
    <w:rsid w:val="009B062A"/>
    <w:rsid w:val="009B28D7"/>
    <w:rsid w:val="009C1FC7"/>
    <w:rsid w:val="009C51E7"/>
    <w:rsid w:val="009E7C6F"/>
    <w:rsid w:val="009F1793"/>
    <w:rsid w:val="009F2D23"/>
    <w:rsid w:val="00A01D69"/>
    <w:rsid w:val="00A02335"/>
    <w:rsid w:val="00A12C6D"/>
    <w:rsid w:val="00A46C9A"/>
    <w:rsid w:val="00A619F3"/>
    <w:rsid w:val="00A62A73"/>
    <w:rsid w:val="00A87FF6"/>
    <w:rsid w:val="00AA0A3B"/>
    <w:rsid w:val="00AA2763"/>
    <w:rsid w:val="00AA31C0"/>
    <w:rsid w:val="00AA33B6"/>
    <w:rsid w:val="00AB50CA"/>
    <w:rsid w:val="00AB6D64"/>
    <w:rsid w:val="00AC53CE"/>
    <w:rsid w:val="00AC64B4"/>
    <w:rsid w:val="00AD2193"/>
    <w:rsid w:val="00AD2E99"/>
    <w:rsid w:val="00AE375E"/>
    <w:rsid w:val="00AF2AC7"/>
    <w:rsid w:val="00AF74CE"/>
    <w:rsid w:val="00B0791A"/>
    <w:rsid w:val="00B207D0"/>
    <w:rsid w:val="00B208DB"/>
    <w:rsid w:val="00B23F69"/>
    <w:rsid w:val="00B60619"/>
    <w:rsid w:val="00B66A70"/>
    <w:rsid w:val="00B67366"/>
    <w:rsid w:val="00B80EE1"/>
    <w:rsid w:val="00B84135"/>
    <w:rsid w:val="00B86B91"/>
    <w:rsid w:val="00BF3A35"/>
    <w:rsid w:val="00C02F5A"/>
    <w:rsid w:val="00C04D34"/>
    <w:rsid w:val="00C05DF8"/>
    <w:rsid w:val="00C06864"/>
    <w:rsid w:val="00C10F54"/>
    <w:rsid w:val="00C23D8D"/>
    <w:rsid w:val="00C262AC"/>
    <w:rsid w:val="00C37AA3"/>
    <w:rsid w:val="00C37FD7"/>
    <w:rsid w:val="00C43419"/>
    <w:rsid w:val="00C44CF3"/>
    <w:rsid w:val="00C61BE0"/>
    <w:rsid w:val="00C70B0E"/>
    <w:rsid w:val="00C71D44"/>
    <w:rsid w:val="00C773CA"/>
    <w:rsid w:val="00C83785"/>
    <w:rsid w:val="00C905AD"/>
    <w:rsid w:val="00C94C0D"/>
    <w:rsid w:val="00CA1FEB"/>
    <w:rsid w:val="00CA2E4B"/>
    <w:rsid w:val="00CC2419"/>
    <w:rsid w:val="00CC58AC"/>
    <w:rsid w:val="00CD4F85"/>
    <w:rsid w:val="00CD6F02"/>
    <w:rsid w:val="00CD7E10"/>
    <w:rsid w:val="00CE246D"/>
    <w:rsid w:val="00CF07A0"/>
    <w:rsid w:val="00CF3E03"/>
    <w:rsid w:val="00D0082A"/>
    <w:rsid w:val="00D01772"/>
    <w:rsid w:val="00D14852"/>
    <w:rsid w:val="00D21455"/>
    <w:rsid w:val="00D33034"/>
    <w:rsid w:val="00D47634"/>
    <w:rsid w:val="00D61C86"/>
    <w:rsid w:val="00D709B3"/>
    <w:rsid w:val="00DA2ED6"/>
    <w:rsid w:val="00DB76B8"/>
    <w:rsid w:val="00DC2EA1"/>
    <w:rsid w:val="00DD6AAF"/>
    <w:rsid w:val="00DE3F5C"/>
    <w:rsid w:val="00DF1D20"/>
    <w:rsid w:val="00E02213"/>
    <w:rsid w:val="00E21324"/>
    <w:rsid w:val="00E246B9"/>
    <w:rsid w:val="00E318EA"/>
    <w:rsid w:val="00E31FEA"/>
    <w:rsid w:val="00E33724"/>
    <w:rsid w:val="00E41066"/>
    <w:rsid w:val="00E45169"/>
    <w:rsid w:val="00E47787"/>
    <w:rsid w:val="00E51C30"/>
    <w:rsid w:val="00E52F10"/>
    <w:rsid w:val="00E64180"/>
    <w:rsid w:val="00E74AEE"/>
    <w:rsid w:val="00E868E5"/>
    <w:rsid w:val="00E9237A"/>
    <w:rsid w:val="00E939FA"/>
    <w:rsid w:val="00EA1021"/>
    <w:rsid w:val="00EA5765"/>
    <w:rsid w:val="00EC2532"/>
    <w:rsid w:val="00ED7812"/>
    <w:rsid w:val="00EF3B86"/>
    <w:rsid w:val="00F12E13"/>
    <w:rsid w:val="00F317E9"/>
    <w:rsid w:val="00F34554"/>
    <w:rsid w:val="00F45F77"/>
    <w:rsid w:val="00F5167F"/>
    <w:rsid w:val="00F52258"/>
    <w:rsid w:val="00F8570A"/>
    <w:rsid w:val="00F91C7B"/>
    <w:rsid w:val="00FB6CE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AD20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tdHeader,h"/>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NormalWeb">
    <w:name w:val="Normal (Web)"/>
    <w:basedOn w:val="Normal"/>
    <w:unhideWhenUsed/>
    <w:rsid w:val="00E41066"/>
    <w:pPr>
      <w:spacing w:before="100" w:beforeAutospacing="1" w:after="100" w:afterAutospacing="1"/>
    </w:pPr>
    <w:rPr>
      <w:lang w:val="sr-Latn-CS" w:eastAsia="sr-Latn-CS"/>
    </w:rPr>
  </w:style>
  <w:style w:type="character" w:customStyle="1" w:styleId="HeaderChar">
    <w:name w:val="Header Char"/>
    <w:aliases w:val="ctdHeader Char,h Char"/>
    <w:basedOn w:val="DefaultParagraphFont"/>
    <w:link w:val="Header"/>
    <w:locked/>
    <w:rsid w:val="00E41066"/>
    <w:rPr>
      <w:sz w:val="24"/>
      <w:szCs w:val="24"/>
      <w:lang w:val="en-US" w:eastAsia="en-US"/>
    </w:rPr>
  </w:style>
  <w:style w:type="paragraph" w:styleId="BodyTextIndent3">
    <w:name w:val="Body Text Indent 3"/>
    <w:basedOn w:val="Normal"/>
    <w:link w:val="BodyTextIndent3Char"/>
    <w:unhideWhenUsed/>
    <w:rsid w:val="006E3F4D"/>
    <w:pPr>
      <w:tabs>
        <w:tab w:val="left" w:pos="426"/>
      </w:tabs>
      <w:ind w:left="284"/>
    </w:pPr>
    <w:rPr>
      <w:szCs w:val="20"/>
    </w:rPr>
  </w:style>
  <w:style w:type="character" w:customStyle="1" w:styleId="BodyTextIndent3Char">
    <w:name w:val="Body Text Indent 3 Char"/>
    <w:basedOn w:val="DefaultParagraphFont"/>
    <w:link w:val="BodyTextIndent3"/>
    <w:rsid w:val="006E3F4D"/>
    <w:rPr>
      <w:sz w:val="24"/>
      <w:lang w:val="en-US" w:eastAsia="en-US"/>
    </w:rPr>
  </w:style>
  <w:style w:type="paragraph" w:customStyle="1" w:styleId="Default">
    <w:name w:val="Default"/>
    <w:rsid w:val="008707A6"/>
    <w:pPr>
      <w:autoSpaceDE w:val="0"/>
      <w:autoSpaceDN w:val="0"/>
      <w:adjustRightInd w:val="0"/>
    </w:pPr>
    <w:rPr>
      <w:color w:val="000000"/>
      <w:sz w:val="24"/>
      <w:szCs w:val="24"/>
      <w:lang w:val="en-GB" w:eastAsia="en-GB"/>
    </w:rPr>
  </w:style>
  <w:style w:type="table" w:customStyle="1" w:styleId="TableGrid">
    <w:name w:val="TableGrid"/>
    <w:rsid w:val="008707A6"/>
    <w:rPr>
      <w:rFonts w:ascii="Calibri" w:hAnsi="Calibri"/>
      <w:sz w:val="22"/>
      <w:szCs w:val="22"/>
    </w:rPr>
    <w:tblPr>
      <w:tblCellMar>
        <w:top w:w="0" w:type="dxa"/>
        <w:left w:w="0" w:type="dxa"/>
        <w:bottom w:w="0" w:type="dxa"/>
        <w:right w:w="0" w:type="dxa"/>
      </w:tblCellMar>
    </w:tblPr>
  </w:style>
  <w:style w:type="paragraph" w:customStyle="1" w:styleId="Bezodstpw1">
    <w:name w:val="Bez odstępów1"/>
    <w:uiPriority w:val="1"/>
    <w:qFormat/>
    <w:rsid w:val="008707A6"/>
    <w:pPr>
      <w:tabs>
        <w:tab w:val="left" w:pos="567"/>
      </w:tabs>
    </w:pPr>
    <w:rPr>
      <w:sz w:val="22"/>
      <w:lang w:val="en-GB" w:eastAsia="en-US"/>
    </w:rPr>
  </w:style>
  <w:style w:type="table" w:customStyle="1" w:styleId="TableGrid1">
    <w:name w:val="TableGrid1"/>
    <w:rsid w:val="008707A6"/>
    <w:rPr>
      <w:rFonts w:ascii="Calibri" w:hAnsi="Calibri"/>
      <w:sz w:val="22"/>
      <w:szCs w:val="22"/>
    </w:rPr>
    <w:tblPr>
      <w:tblCellMar>
        <w:top w:w="0" w:type="dxa"/>
        <w:left w:w="0" w:type="dxa"/>
        <w:bottom w:w="0" w:type="dxa"/>
        <w:right w:w="0" w:type="dxa"/>
      </w:tblCellMar>
    </w:tblPr>
  </w:style>
  <w:style w:type="paragraph" w:customStyle="1" w:styleId="Table">
    <w:name w:val="Table"/>
    <w:basedOn w:val="Normal"/>
    <w:rsid w:val="003456C6"/>
    <w:pPr>
      <w:spacing w:before="40" w:after="40"/>
    </w:pPr>
    <w:rPr>
      <w:sz w:val="22"/>
      <w:szCs w:val="20"/>
      <w:lang w:val="en-IE" w:eastAsia="en-GB"/>
    </w:rPr>
  </w:style>
  <w:style w:type="character" w:styleId="Hyperlink">
    <w:name w:val="Hyperlink"/>
    <w:basedOn w:val="DefaultParagraphFont"/>
    <w:rsid w:val="002626D6"/>
    <w:rPr>
      <w:color w:val="0563C1" w:themeColor="hyperlink"/>
      <w:u w:val="single"/>
    </w:rPr>
  </w:style>
  <w:style w:type="paragraph" w:styleId="Revision">
    <w:name w:val="Revision"/>
    <w:hidden/>
    <w:uiPriority w:val="99"/>
    <w:semiHidden/>
    <w:rsid w:val="00C02F5A"/>
    <w:rPr>
      <w:sz w:val="24"/>
      <w:szCs w:val="24"/>
      <w:lang w:val="en-US" w:eastAsia="en-US"/>
    </w:rPr>
  </w:style>
  <w:style w:type="paragraph" w:styleId="ListParagraph">
    <w:name w:val="List Paragraph"/>
    <w:basedOn w:val="Normal"/>
    <w:uiPriority w:val="34"/>
    <w:qFormat/>
    <w:rsid w:val="00287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950">
      <w:bodyDiv w:val="1"/>
      <w:marLeft w:val="0"/>
      <w:marRight w:val="0"/>
      <w:marTop w:val="0"/>
      <w:marBottom w:val="0"/>
      <w:divBdr>
        <w:top w:val="none" w:sz="0" w:space="0" w:color="auto"/>
        <w:left w:val="none" w:sz="0" w:space="0" w:color="auto"/>
        <w:bottom w:val="none" w:sz="0" w:space="0" w:color="auto"/>
        <w:right w:val="none" w:sz="0" w:space="0" w:color="auto"/>
      </w:divBdr>
    </w:div>
    <w:div w:id="13658264">
      <w:bodyDiv w:val="1"/>
      <w:marLeft w:val="0"/>
      <w:marRight w:val="0"/>
      <w:marTop w:val="0"/>
      <w:marBottom w:val="0"/>
      <w:divBdr>
        <w:top w:val="none" w:sz="0" w:space="0" w:color="auto"/>
        <w:left w:val="none" w:sz="0" w:space="0" w:color="auto"/>
        <w:bottom w:val="none" w:sz="0" w:space="0" w:color="auto"/>
        <w:right w:val="none" w:sz="0" w:space="0" w:color="auto"/>
      </w:divBdr>
    </w:div>
    <w:div w:id="52629729">
      <w:bodyDiv w:val="1"/>
      <w:marLeft w:val="0"/>
      <w:marRight w:val="0"/>
      <w:marTop w:val="0"/>
      <w:marBottom w:val="0"/>
      <w:divBdr>
        <w:top w:val="none" w:sz="0" w:space="0" w:color="auto"/>
        <w:left w:val="none" w:sz="0" w:space="0" w:color="auto"/>
        <w:bottom w:val="none" w:sz="0" w:space="0" w:color="auto"/>
        <w:right w:val="none" w:sz="0" w:space="0" w:color="auto"/>
      </w:divBdr>
    </w:div>
    <w:div w:id="66154123">
      <w:bodyDiv w:val="1"/>
      <w:marLeft w:val="0"/>
      <w:marRight w:val="0"/>
      <w:marTop w:val="0"/>
      <w:marBottom w:val="0"/>
      <w:divBdr>
        <w:top w:val="none" w:sz="0" w:space="0" w:color="auto"/>
        <w:left w:val="none" w:sz="0" w:space="0" w:color="auto"/>
        <w:bottom w:val="none" w:sz="0" w:space="0" w:color="auto"/>
        <w:right w:val="none" w:sz="0" w:space="0" w:color="auto"/>
      </w:divBdr>
    </w:div>
    <w:div w:id="98570456">
      <w:bodyDiv w:val="1"/>
      <w:marLeft w:val="0"/>
      <w:marRight w:val="0"/>
      <w:marTop w:val="0"/>
      <w:marBottom w:val="0"/>
      <w:divBdr>
        <w:top w:val="none" w:sz="0" w:space="0" w:color="auto"/>
        <w:left w:val="none" w:sz="0" w:space="0" w:color="auto"/>
        <w:bottom w:val="none" w:sz="0" w:space="0" w:color="auto"/>
        <w:right w:val="none" w:sz="0" w:space="0" w:color="auto"/>
      </w:divBdr>
    </w:div>
    <w:div w:id="130952239">
      <w:bodyDiv w:val="1"/>
      <w:marLeft w:val="0"/>
      <w:marRight w:val="0"/>
      <w:marTop w:val="0"/>
      <w:marBottom w:val="0"/>
      <w:divBdr>
        <w:top w:val="none" w:sz="0" w:space="0" w:color="auto"/>
        <w:left w:val="none" w:sz="0" w:space="0" w:color="auto"/>
        <w:bottom w:val="none" w:sz="0" w:space="0" w:color="auto"/>
        <w:right w:val="none" w:sz="0" w:space="0" w:color="auto"/>
      </w:divBdr>
    </w:div>
    <w:div w:id="284315368">
      <w:bodyDiv w:val="1"/>
      <w:marLeft w:val="0"/>
      <w:marRight w:val="0"/>
      <w:marTop w:val="0"/>
      <w:marBottom w:val="0"/>
      <w:divBdr>
        <w:top w:val="none" w:sz="0" w:space="0" w:color="auto"/>
        <w:left w:val="none" w:sz="0" w:space="0" w:color="auto"/>
        <w:bottom w:val="none" w:sz="0" w:space="0" w:color="auto"/>
        <w:right w:val="none" w:sz="0" w:space="0" w:color="auto"/>
      </w:divBdr>
    </w:div>
    <w:div w:id="472990494">
      <w:bodyDiv w:val="1"/>
      <w:marLeft w:val="0"/>
      <w:marRight w:val="0"/>
      <w:marTop w:val="0"/>
      <w:marBottom w:val="0"/>
      <w:divBdr>
        <w:top w:val="none" w:sz="0" w:space="0" w:color="auto"/>
        <w:left w:val="none" w:sz="0" w:space="0" w:color="auto"/>
        <w:bottom w:val="none" w:sz="0" w:space="0" w:color="auto"/>
        <w:right w:val="none" w:sz="0" w:space="0" w:color="auto"/>
      </w:divBdr>
    </w:div>
    <w:div w:id="489054839">
      <w:bodyDiv w:val="1"/>
      <w:marLeft w:val="0"/>
      <w:marRight w:val="0"/>
      <w:marTop w:val="0"/>
      <w:marBottom w:val="0"/>
      <w:divBdr>
        <w:top w:val="none" w:sz="0" w:space="0" w:color="auto"/>
        <w:left w:val="none" w:sz="0" w:space="0" w:color="auto"/>
        <w:bottom w:val="none" w:sz="0" w:space="0" w:color="auto"/>
        <w:right w:val="none" w:sz="0" w:space="0" w:color="auto"/>
      </w:divBdr>
    </w:div>
    <w:div w:id="647244326">
      <w:bodyDiv w:val="1"/>
      <w:marLeft w:val="0"/>
      <w:marRight w:val="0"/>
      <w:marTop w:val="0"/>
      <w:marBottom w:val="0"/>
      <w:divBdr>
        <w:top w:val="none" w:sz="0" w:space="0" w:color="auto"/>
        <w:left w:val="none" w:sz="0" w:space="0" w:color="auto"/>
        <w:bottom w:val="none" w:sz="0" w:space="0" w:color="auto"/>
        <w:right w:val="none" w:sz="0" w:space="0" w:color="auto"/>
      </w:divBdr>
    </w:div>
    <w:div w:id="762795963">
      <w:bodyDiv w:val="1"/>
      <w:marLeft w:val="0"/>
      <w:marRight w:val="0"/>
      <w:marTop w:val="0"/>
      <w:marBottom w:val="0"/>
      <w:divBdr>
        <w:top w:val="none" w:sz="0" w:space="0" w:color="auto"/>
        <w:left w:val="none" w:sz="0" w:space="0" w:color="auto"/>
        <w:bottom w:val="none" w:sz="0" w:space="0" w:color="auto"/>
        <w:right w:val="none" w:sz="0" w:space="0" w:color="auto"/>
      </w:divBdr>
    </w:div>
    <w:div w:id="981932634">
      <w:bodyDiv w:val="1"/>
      <w:marLeft w:val="0"/>
      <w:marRight w:val="0"/>
      <w:marTop w:val="0"/>
      <w:marBottom w:val="0"/>
      <w:divBdr>
        <w:top w:val="none" w:sz="0" w:space="0" w:color="auto"/>
        <w:left w:val="none" w:sz="0" w:space="0" w:color="auto"/>
        <w:bottom w:val="none" w:sz="0" w:space="0" w:color="auto"/>
        <w:right w:val="none" w:sz="0" w:space="0" w:color="auto"/>
      </w:divBdr>
    </w:div>
    <w:div w:id="1014842446">
      <w:bodyDiv w:val="1"/>
      <w:marLeft w:val="0"/>
      <w:marRight w:val="0"/>
      <w:marTop w:val="0"/>
      <w:marBottom w:val="0"/>
      <w:divBdr>
        <w:top w:val="none" w:sz="0" w:space="0" w:color="auto"/>
        <w:left w:val="none" w:sz="0" w:space="0" w:color="auto"/>
        <w:bottom w:val="none" w:sz="0" w:space="0" w:color="auto"/>
        <w:right w:val="none" w:sz="0" w:space="0" w:color="auto"/>
      </w:divBdr>
    </w:div>
    <w:div w:id="1017195225">
      <w:bodyDiv w:val="1"/>
      <w:marLeft w:val="0"/>
      <w:marRight w:val="0"/>
      <w:marTop w:val="0"/>
      <w:marBottom w:val="0"/>
      <w:divBdr>
        <w:top w:val="none" w:sz="0" w:space="0" w:color="auto"/>
        <w:left w:val="none" w:sz="0" w:space="0" w:color="auto"/>
        <w:bottom w:val="none" w:sz="0" w:space="0" w:color="auto"/>
        <w:right w:val="none" w:sz="0" w:space="0" w:color="auto"/>
      </w:divBdr>
    </w:div>
    <w:div w:id="1130972903">
      <w:bodyDiv w:val="1"/>
      <w:marLeft w:val="0"/>
      <w:marRight w:val="0"/>
      <w:marTop w:val="0"/>
      <w:marBottom w:val="0"/>
      <w:divBdr>
        <w:top w:val="none" w:sz="0" w:space="0" w:color="auto"/>
        <w:left w:val="none" w:sz="0" w:space="0" w:color="auto"/>
        <w:bottom w:val="none" w:sz="0" w:space="0" w:color="auto"/>
        <w:right w:val="none" w:sz="0" w:space="0" w:color="auto"/>
      </w:divBdr>
    </w:div>
    <w:div w:id="1167935586">
      <w:bodyDiv w:val="1"/>
      <w:marLeft w:val="0"/>
      <w:marRight w:val="0"/>
      <w:marTop w:val="0"/>
      <w:marBottom w:val="0"/>
      <w:divBdr>
        <w:top w:val="none" w:sz="0" w:space="0" w:color="auto"/>
        <w:left w:val="none" w:sz="0" w:space="0" w:color="auto"/>
        <w:bottom w:val="none" w:sz="0" w:space="0" w:color="auto"/>
        <w:right w:val="none" w:sz="0" w:space="0" w:color="auto"/>
      </w:divBdr>
    </w:div>
    <w:div w:id="1241327426">
      <w:bodyDiv w:val="1"/>
      <w:marLeft w:val="0"/>
      <w:marRight w:val="0"/>
      <w:marTop w:val="0"/>
      <w:marBottom w:val="0"/>
      <w:divBdr>
        <w:top w:val="none" w:sz="0" w:space="0" w:color="auto"/>
        <w:left w:val="none" w:sz="0" w:space="0" w:color="auto"/>
        <w:bottom w:val="none" w:sz="0" w:space="0" w:color="auto"/>
        <w:right w:val="none" w:sz="0" w:space="0" w:color="auto"/>
      </w:divBdr>
    </w:div>
    <w:div w:id="1315135109">
      <w:bodyDiv w:val="1"/>
      <w:marLeft w:val="0"/>
      <w:marRight w:val="0"/>
      <w:marTop w:val="0"/>
      <w:marBottom w:val="0"/>
      <w:divBdr>
        <w:top w:val="none" w:sz="0" w:space="0" w:color="auto"/>
        <w:left w:val="none" w:sz="0" w:space="0" w:color="auto"/>
        <w:bottom w:val="none" w:sz="0" w:space="0" w:color="auto"/>
        <w:right w:val="none" w:sz="0" w:space="0" w:color="auto"/>
      </w:divBdr>
    </w:div>
    <w:div w:id="1410496830">
      <w:bodyDiv w:val="1"/>
      <w:marLeft w:val="0"/>
      <w:marRight w:val="0"/>
      <w:marTop w:val="0"/>
      <w:marBottom w:val="0"/>
      <w:divBdr>
        <w:top w:val="none" w:sz="0" w:space="0" w:color="auto"/>
        <w:left w:val="none" w:sz="0" w:space="0" w:color="auto"/>
        <w:bottom w:val="none" w:sz="0" w:space="0" w:color="auto"/>
        <w:right w:val="none" w:sz="0" w:space="0" w:color="auto"/>
      </w:divBdr>
    </w:div>
    <w:div w:id="1427964484">
      <w:bodyDiv w:val="1"/>
      <w:marLeft w:val="0"/>
      <w:marRight w:val="0"/>
      <w:marTop w:val="0"/>
      <w:marBottom w:val="0"/>
      <w:divBdr>
        <w:top w:val="none" w:sz="0" w:space="0" w:color="auto"/>
        <w:left w:val="none" w:sz="0" w:space="0" w:color="auto"/>
        <w:bottom w:val="none" w:sz="0" w:space="0" w:color="auto"/>
        <w:right w:val="none" w:sz="0" w:space="0" w:color="auto"/>
      </w:divBdr>
    </w:div>
    <w:div w:id="1444304114">
      <w:bodyDiv w:val="1"/>
      <w:marLeft w:val="0"/>
      <w:marRight w:val="0"/>
      <w:marTop w:val="0"/>
      <w:marBottom w:val="0"/>
      <w:divBdr>
        <w:top w:val="none" w:sz="0" w:space="0" w:color="auto"/>
        <w:left w:val="none" w:sz="0" w:space="0" w:color="auto"/>
        <w:bottom w:val="none" w:sz="0" w:space="0" w:color="auto"/>
        <w:right w:val="none" w:sz="0" w:space="0" w:color="auto"/>
      </w:divBdr>
    </w:div>
    <w:div w:id="1468469301">
      <w:bodyDiv w:val="1"/>
      <w:marLeft w:val="0"/>
      <w:marRight w:val="0"/>
      <w:marTop w:val="0"/>
      <w:marBottom w:val="0"/>
      <w:divBdr>
        <w:top w:val="none" w:sz="0" w:space="0" w:color="auto"/>
        <w:left w:val="none" w:sz="0" w:space="0" w:color="auto"/>
        <w:bottom w:val="none" w:sz="0" w:space="0" w:color="auto"/>
        <w:right w:val="none" w:sz="0" w:space="0" w:color="auto"/>
      </w:divBdr>
    </w:div>
    <w:div w:id="1590768837">
      <w:bodyDiv w:val="1"/>
      <w:marLeft w:val="0"/>
      <w:marRight w:val="0"/>
      <w:marTop w:val="0"/>
      <w:marBottom w:val="0"/>
      <w:divBdr>
        <w:top w:val="none" w:sz="0" w:space="0" w:color="auto"/>
        <w:left w:val="none" w:sz="0" w:space="0" w:color="auto"/>
        <w:bottom w:val="none" w:sz="0" w:space="0" w:color="auto"/>
        <w:right w:val="none" w:sz="0" w:space="0" w:color="auto"/>
      </w:divBdr>
    </w:div>
    <w:div w:id="1598974832">
      <w:bodyDiv w:val="1"/>
      <w:marLeft w:val="0"/>
      <w:marRight w:val="0"/>
      <w:marTop w:val="0"/>
      <w:marBottom w:val="0"/>
      <w:divBdr>
        <w:top w:val="none" w:sz="0" w:space="0" w:color="auto"/>
        <w:left w:val="none" w:sz="0" w:space="0" w:color="auto"/>
        <w:bottom w:val="none" w:sz="0" w:space="0" w:color="auto"/>
        <w:right w:val="none" w:sz="0" w:space="0" w:color="auto"/>
      </w:divBdr>
    </w:div>
    <w:div w:id="1632784447">
      <w:bodyDiv w:val="1"/>
      <w:marLeft w:val="0"/>
      <w:marRight w:val="0"/>
      <w:marTop w:val="0"/>
      <w:marBottom w:val="0"/>
      <w:divBdr>
        <w:top w:val="none" w:sz="0" w:space="0" w:color="auto"/>
        <w:left w:val="none" w:sz="0" w:space="0" w:color="auto"/>
        <w:bottom w:val="none" w:sz="0" w:space="0" w:color="auto"/>
        <w:right w:val="none" w:sz="0" w:space="0" w:color="auto"/>
      </w:divBdr>
    </w:div>
    <w:div w:id="1711104125">
      <w:bodyDiv w:val="1"/>
      <w:marLeft w:val="0"/>
      <w:marRight w:val="0"/>
      <w:marTop w:val="0"/>
      <w:marBottom w:val="0"/>
      <w:divBdr>
        <w:top w:val="none" w:sz="0" w:space="0" w:color="auto"/>
        <w:left w:val="none" w:sz="0" w:space="0" w:color="auto"/>
        <w:bottom w:val="none" w:sz="0" w:space="0" w:color="auto"/>
        <w:right w:val="none" w:sz="0" w:space="0" w:color="auto"/>
      </w:divBdr>
    </w:div>
    <w:div w:id="1744403096">
      <w:bodyDiv w:val="1"/>
      <w:marLeft w:val="0"/>
      <w:marRight w:val="0"/>
      <w:marTop w:val="0"/>
      <w:marBottom w:val="0"/>
      <w:divBdr>
        <w:top w:val="none" w:sz="0" w:space="0" w:color="auto"/>
        <w:left w:val="none" w:sz="0" w:space="0" w:color="auto"/>
        <w:bottom w:val="none" w:sz="0" w:space="0" w:color="auto"/>
        <w:right w:val="none" w:sz="0" w:space="0" w:color="auto"/>
      </w:divBdr>
    </w:div>
    <w:div w:id="1827937744">
      <w:bodyDiv w:val="1"/>
      <w:marLeft w:val="0"/>
      <w:marRight w:val="0"/>
      <w:marTop w:val="0"/>
      <w:marBottom w:val="0"/>
      <w:divBdr>
        <w:top w:val="none" w:sz="0" w:space="0" w:color="auto"/>
        <w:left w:val="none" w:sz="0" w:space="0" w:color="auto"/>
        <w:bottom w:val="none" w:sz="0" w:space="0" w:color="auto"/>
        <w:right w:val="none" w:sz="0" w:space="0" w:color="auto"/>
      </w:divBdr>
    </w:div>
    <w:div w:id="1840080292">
      <w:bodyDiv w:val="1"/>
      <w:marLeft w:val="0"/>
      <w:marRight w:val="0"/>
      <w:marTop w:val="0"/>
      <w:marBottom w:val="0"/>
      <w:divBdr>
        <w:top w:val="none" w:sz="0" w:space="0" w:color="auto"/>
        <w:left w:val="none" w:sz="0" w:space="0" w:color="auto"/>
        <w:bottom w:val="none" w:sz="0" w:space="0" w:color="auto"/>
        <w:right w:val="none" w:sz="0" w:space="0" w:color="auto"/>
      </w:divBdr>
    </w:div>
    <w:div w:id="1899591841">
      <w:bodyDiv w:val="1"/>
      <w:marLeft w:val="0"/>
      <w:marRight w:val="0"/>
      <w:marTop w:val="0"/>
      <w:marBottom w:val="0"/>
      <w:divBdr>
        <w:top w:val="none" w:sz="0" w:space="0" w:color="auto"/>
        <w:left w:val="none" w:sz="0" w:space="0" w:color="auto"/>
        <w:bottom w:val="none" w:sz="0" w:space="0" w:color="auto"/>
        <w:right w:val="none" w:sz="0" w:space="0" w:color="auto"/>
      </w:divBdr>
    </w:div>
    <w:div w:id="21222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A977-1D3B-4C6E-BA86-6004880F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6900</Words>
  <Characters>39335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46143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13</cp:revision>
  <dcterms:created xsi:type="dcterms:W3CDTF">2024-01-30T08:40:00Z</dcterms:created>
  <dcterms:modified xsi:type="dcterms:W3CDTF">2024-02-06T09:03:00Z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