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4F5A1" w14:textId="77777777" w:rsidR="00F91C7B" w:rsidRPr="006D669F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6F00BD0" w14:textId="77777777" w:rsidR="002510A5" w:rsidRPr="006D669F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6D669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6201FABC" w14:textId="77777777" w:rsidR="002510A5" w:rsidRPr="006D669F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0FCE5C7" w14:textId="77777777" w:rsidR="003C17AB" w:rsidRPr="006D669F" w:rsidRDefault="003C17AB" w:rsidP="00CA1FEB">
      <w:pPr>
        <w:rPr>
          <w:sz w:val="22"/>
          <w:szCs w:val="22"/>
          <w:lang w:val="sr-Latn-ME"/>
        </w:rPr>
      </w:pPr>
    </w:p>
    <w:p w14:paraId="0512DCB1" w14:textId="77777777" w:rsidR="00C37FD7" w:rsidRPr="006D669F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A91A93" w14:textId="77777777" w:rsidR="00411B4B" w:rsidRPr="006D669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>1.</w:t>
      </w:r>
      <w:r w:rsidR="00F5167F" w:rsidRPr="006D669F">
        <w:rPr>
          <w:b/>
          <w:bCs/>
          <w:sz w:val="22"/>
          <w:szCs w:val="22"/>
          <w:lang w:val="sr-Latn-ME"/>
        </w:rPr>
        <w:tab/>
      </w:r>
      <w:r w:rsidR="002846DB" w:rsidRPr="006D669F">
        <w:rPr>
          <w:b/>
          <w:bCs/>
          <w:sz w:val="22"/>
          <w:szCs w:val="22"/>
          <w:lang w:val="sr-Latn-ME"/>
        </w:rPr>
        <w:t xml:space="preserve">NAZIV </w:t>
      </w:r>
      <w:r w:rsidRPr="006D669F">
        <w:rPr>
          <w:b/>
          <w:bCs/>
          <w:sz w:val="22"/>
          <w:szCs w:val="22"/>
          <w:lang w:val="sr-Latn-ME"/>
        </w:rPr>
        <w:t>LIJEKA</w:t>
      </w:r>
    </w:p>
    <w:p w14:paraId="556D584C" w14:textId="77777777" w:rsidR="00EC2532" w:rsidRPr="006D669F" w:rsidRDefault="00EC2532">
      <w:pPr>
        <w:rPr>
          <w:sz w:val="22"/>
          <w:szCs w:val="22"/>
          <w:lang w:val="sr-Latn-ME"/>
        </w:rPr>
      </w:pP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9360"/>
        <w:gridCol w:w="828"/>
      </w:tblGrid>
      <w:tr w:rsidR="008343E0" w:rsidRPr="006D669F" w14:paraId="46479EB1" w14:textId="77777777" w:rsidTr="001A5D16">
        <w:trPr>
          <w:cantSplit/>
          <w:trHeight w:val="525"/>
        </w:trPr>
        <w:tc>
          <w:tcPr>
            <w:tcW w:w="10188" w:type="dxa"/>
            <w:gridSpan w:val="2"/>
            <w:vAlign w:val="center"/>
          </w:tcPr>
          <w:p w14:paraId="6D0DD23F" w14:textId="6F8F5FC4" w:rsidR="008343E0" w:rsidRPr="006D669F" w:rsidRDefault="008343E0" w:rsidP="001A5D16">
            <w:pPr>
              <w:tabs>
                <w:tab w:val="left" w:pos="284"/>
                <w:tab w:val="center" w:pos="4320"/>
                <w:tab w:val="right" w:pos="8640"/>
              </w:tabs>
              <w:rPr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sz w:val="22"/>
                <w:szCs w:val="22"/>
                <w:lang w:val="sr-Latn-ME"/>
              </w:rPr>
              <w:t>Mydocalm</w:t>
            </w:r>
            <w:proofErr w:type="spellEnd"/>
            <w:r w:rsidRPr="006D669F">
              <w:rPr>
                <w:sz w:val="22"/>
                <w:szCs w:val="22"/>
                <w:lang w:val="sr-Latn-ME"/>
              </w:rPr>
              <w:t>, 150 mg, film tablet</w:t>
            </w:r>
            <w:r w:rsidR="00A55F71" w:rsidRPr="006D669F">
              <w:rPr>
                <w:sz w:val="22"/>
                <w:szCs w:val="22"/>
                <w:lang w:val="sr-Latn-ME"/>
              </w:rPr>
              <w:t>a</w:t>
            </w:r>
          </w:p>
        </w:tc>
      </w:tr>
      <w:tr w:rsidR="008343E0" w:rsidRPr="006D669F" w14:paraId="4030A85F" w14:textId="77777777" w:rsidTr="001A5D16">
        <w:trPr>
          <w:gridAfter w:val="1"/>
          <w:wAfter w:w="828" w:type="dxa"/>
        </w:trPr>
        <w:tc>
          <w:tcPr>
            <w:tcW w:w="9360" w:type="dxa"/>
            <w:vAlign w:val="center"/>
          </w:tcPr>
          <w:p w14:paraId="449FC40B" w14:textId="77777777" w:rsidR="008343E0" w:rsidRPr="006D669F" w:rsidRDefault="008343E0" w:rsidP="001A5D16">
            <w:pPr>
              <w:tabs>
                <w:tab w:val="left" w:pos="284"/>
                <w:tab w:val="center" w:pos="4320"/>
                <w:tab w:val="right" w:pos="8640"/>
              </w:tabs>
              <w:rPr>
                <w:sz w:val="22"/>
                <w:szCs w:val="22"/>
                <w:lang w:val="sr-Latn-ME"/>
              </w:rPr>
            </w:pPr>
            <w:r w:rsidRPr="006D669F">
              <w:rPr>
                <w:sz w:val="22"/>
                <w:szCs w:val="22"/>
                <w:lang w:val="sr-Latn-ME"/>
              </w:rPr>
              <w:t xml:space="preserve">INN: </w:t>
            </w:r>
            <w:proofErr w:type="spellStart"/>
            <w:r w:rsidRPr="006D669F">
              <w:rPr>
                <w:sz w:val="22"/>
                <w:szCs w:val="22"/>
                <w:lang w:val="sr-Latn-ME"/>
              </w:rPr>
              <w:t>tolperison</w:t>
            </w:r>
            <w:proofErr w:type="spellEnd"/>
          </w:p>
        </w:tc>
      </w:tr>
    </w:tbl>
    <w:p w14:paraId="32E227D3" w14:textId="77777777" w:rsidR="006D20A5" w:rsidRPr="006D669F" w:rsidRDefault="006D20A5">
      <w:pPr>
        <w:rPr>
          <w:bCs/>
          <w:sz w:val="22"/>
          <w:szCs w:val="22"/>
          <w:lang w:val="sr-Latn-ME"/>
        </w:rPr>
      </w:pPr>
    </w:p>
    <w:p w14:paraId="291E9D46" w14:textId="77777777" w:rsidR="00530BD7" w:rsidRPr="006D669F" w:rsidRDefault="00530BD7">
      <w:pPr>
        <w:rPr>
          <w:bCs/>
          <w:sz w:val="22"/>
          <w:szCs w:val="22"/>
          <w:lang w:val="sr-Latn-ME"/>
        </w:rPr>
      </w:pPr>
    </w:p>
    <w:p w14:paraId="1684552F" w14:textId="77777777" w:rsidR="00411B4B" w:rsidRPr="006D669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2. </w:t>
      </w:r>
      <w:r w:rsidR="00F5167F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KVALITATIVNI I KVANTITATIVNI SASTAV</w:t>
      </w:r>
    </w:p>
    <w:p w14:paraId="6DC49BE0" w14:textId="77777777" w:rsidR="005A0B2E" w:rsidRPr="006D669F" w:rsidRDefault="005A0B2E">
      <w:pPr>
        <w:rPr>
          <w:sz w:val="22"/>
          <w:szCs w:val="22"/>
          <w:lang w:val="sr-Latn-ME"/>
        </w:rPr>
      </w:pPr>
    </w:p>
    <w:p w14:paraId="7D02BAEB" w14:textId="6A59C58E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Jedna film tableta sadrži 150 mg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="00A55F71"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hidrohlorida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32770A77" w14:textId="3D6D5AEB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Pomoćna supstanca sa potvrđenim dejstvom: svaka film tableta sadrži 146,285 mg laktoze, </w:t>
      </w:r>
      <w:proofErr w:type="spellStart"/>
      <w:r w:rsidRPr="006D669F">
        <w:rPr>
          <w:sz w:val="22"/>
          <w:szCs w:val="22"/>
          <w:lang w:val="sr-Latn-ME"/>
        </w:rPr>
        <w:t>monohidrat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7AC5DFAF" w14:textId="77777777" w:rsidR="008343E0" w:rsidRPr="006D669F" w:rsidRDefault="008343E0">
      <w:pPr>
        <w:rPr>
          <w:sz w:val="22"/>
          <w:szCs w:val="22"/>
          <w:lang w:val="sr-Latn-ME"/>
        </w:rPr>
      </w:pPr>
    </w:p>
    <w:p w14:paraId="2A9CDC3C" w14:textId="1BD94F5A" w:rsidR="0003793F" w:rsidRPr="006D669F" w:rsidRDefault="0003793F">
      <w:pPr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Za spisak svih </w:t>
      </w:r>
      <w:proofErr w:type="spellStart"/>
      <w:r w:rsidRPr="006D669F">
        <w:rPr>
          <w:sz w:val="22"/>
          <w:szCs w:val="22"/>
          <w:lang w:val="sr-Latn-ME"/>
        </w:rPr>
        <w:t>ekscipijenasa</w:t>
      </w:r>
      <w:proofErr w:type="spellEnd"/>
      <w:r w:rsidRPr="006D669F">
        <w:rPr>
          <w:sz w:val="22"/>
          <w:szCs w:val="22"/>
          <w:lang w:val="sr-Latn-ME"/>
        </w:rPr>
        <w:t>, pogledati dio 6.1.</w:t>
      </w:r>
    </w:p>
    <w:p w14:paraId="5EB9A703" w14:textId="77777777" w:rsidR="0003793F" w:rsidRPr="006D669F" w:rsidRDefault="0003793F">
      <w:pPr>
        <w:rPr>
          <w:sz w:val="22"/>
          <w:szCs w:val="22"/>
          <w:lang w:val="sr-Latn-ME"/>
        </w:rPr>
      </w:pPr>
    </w:p>
    <w:p w14:paraId="1349074B" w14:textId="77777777" w:rsidR="00C37FD7" w:rsidRPr="006D669F" w:rsidRDefault="00C37FD7">
      <w:pPr>
        <w:rPr>
          <w:sz w:val="22"/>
          <w:szCs w:val="22"/>
          <w:lang w:val="sr-Latn-ME"/>
        </w:rPr>
      </w:pPr>
    </w:p>
    <w:p w14:paraId="73A97C9E" w14:textId="77777777" w:rsidR="00411B4B" w:rsidRPr="006D669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3. </w:t>
      </w:r>
      <w:r w:rsidR="00F5167F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FARMACEUTSKI OBLIK</w:t>
      </w:r>
      <w:r w:rsidR="009F2D23" w:rsidRPr="006D669F">
        <w:rPr>
          <w:b/>
          <w:bCs/>
          <w:sz w:val="22"/>
          <w:szCs w:val="22"/>
          <w:lang w:val="sr-Latn-ME"/>
        </w:rPr>
        <w:t xml:space="preserve"> </w:t>
      </w:r>
    </w:p>
    <w:p w14:paraId="481EB854" w14:textId="77777777" w:rsidR="00411B4B" w:rsidRPr="006D669F" w:rsidRDefault="00411B4B">
      <w:pPr>
        <w:rPr>
          <w:bCs/>
          <w:sz w:val="22"/>
          <w:szCs w:val="22"/>
          <w:lang w:val="sr-Latn-ME"/>
        </w:rPr>
      </w:pPr>
    </w:p>
    <w:p w14:paraId="755AF2E9" w14:textId="10FCD366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Film tablet</w:t>
      </w:r>
      <w:r w:rsidR="001D1158" w:rsidRPr="006D669F">
        <w:rPr>
          <w:sz w:val="22"/>
          <w:szCs w:val="22"/>
          <w:lang w:val="sr-Latn-ME"/>
        </w:rPr>
        <w:t>a</w:t>
      </w:r>
      <w:r w:rsidRPr="006D669F">
        <w:rPr>
          <w:sz w:val="22"/>
          <w:szCs w:val="22"/>
          <w:lang w:val="sr-Latn-ME"/>
        </w:rPr>
        <w:t>.</w:t>
      </w:r>
    </w:p>
    <w:p w14:paraId="3D25D0E0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Bijele ili skoro bijele, okrugle, </w:t>
      </w:r>
      <w:proofErr w:type="spellStart"/>
      <w:r w:rsidRPr="006D669F">
        <w:rPr>
          <w:sz w:val="22"/>
          <w:szCs w:val="22"/>
          <w:lang w:val="sr-Latn-ME"/>
        </w:rPr>
        <w:t>bikonveksne</w:t>
      </w:r>
      <w:proofErr w:type="spellEnd"/>
      <w:r w:rsidRPr="006D669F">
        <w:rPr>
          <w:sz w:val="22"/>
          <w:szCs w:val="22"/>
          <w:lang w:val="sr-Latn-ME"/>
        </w:rPr>
        <w:t xml:space="preserve"> film tablete slabog specifičnog mirisa, sa utisnutom oznakom "150" sa jedne strane.</w:t>
      </w:r>
    </w:p>
    <w:p w14:paraId="5D923CF7" w14:textId="7909D8B0" w:rsidR="00EC2532" w:rsidRPr="006D669F" w:rsidRDefault="00EC2532">
      <w:pPr>
        <w:rPr>
          <w:bCs/>
          <w:sz w:val="22"/>
          <w:szCs w:val="22"/>
          <w:lang w:val="sr-Latn-ME"/>
        </w:rPr>
      </w:pPr>
    </w:p>
    <w:p w14:paraId="09CADF1D" w14:textId="77777777" w:rsidR="001D1158" w:rsidRPr="006D669F" w:rsidRDefault="001D1158">
      <w:pPr>
        <w:rPr>
          <w:bCs/>
          <w:sz w:val="22"/>
          <w:szCs w:val="22"/>
          <w:lang w:val="sr-Latn-ME"/>
        </w:rPr>
      </w:pPr>
    </w:p>
    <w:p w14:paraId="4E39B063" w14:textId="77777777" w:rsidR="00411B4B" w:rsidRPr="006D669F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KLINIČKI PODACI</w:t>
      </w:r>
    </w:p>
    <w:p w14:paraId="1630ABF2" w14:textId="77777777" w:rsidR="00CD6F02" w:rsidRPr="006D669F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4411E8E" w14:textId="77777777" w:rsidR="00411B4B" w:rsidRPr="006D669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4.1.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Terapijske indikacije</w:t>
      </w:r>
    </w:p>
    <w:p w14:paraId="313E1DE8" w14:textId="02611ABF" w:rsidR="00411B4B" w:rsidRPr="006D669F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F000D25" w14:textId="77777777" w:rsidR="008343E0" w:rsidRPr="006D669F" w:rsidRDefault="008343E0" w:rsidP="008343E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Simptomatska</w:t>
      </w:r>
      <w:proofErr w:type="spellEnd"/>
      <w:r w:rsidRPr="006D669F">
        <w:rPr>
          <w:sz w:val="22"/>
          <w:szCs w:val="22"/>
          <w:lang w:val="sr-Latn-ME"/>
        </w:rPr>
        <w:t xml:space="preserve"> terapija </w:t>
      </w:r>
      <w:proofErr w:type="spellStart"/>
      <w:r w:rsidRPr="006D669F">
        <w:rPr>
          <w:sz w:val="22"/>
          <w:szCs w:val="22"/>
          <w:lang w:val="sr-Latn-ME"/>
        </w:rPr>
        <w:t>spasticiteta</w:t>
      </w:r>
      <w:proofErr w:type="spellEnd"/>
      <w:r w:rsidRPr="006D669F">
        <w:rPr>
          <w:sz w:val="22"/>
          <w:szCs w:val="22"/>
          <w:lang w:val="sr-Latn-ME"/>
        </w:rPr>
        <w:t xml:space="preserve"> nakon moždanog udara kod odraslih.</w:t>
      </w:r>
    </w:p>
    <w:p w14:paraId="624BBF8A" w14:textId="77777777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70E0B79" w14:textId="77777777" w:rsidR="00411B4B" w:rsidRPr="006D669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4.2.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Doziranje i način primjene</w:t>
      </w:r>
    </w:p>
    <w:p w14:paraId="30DAF1A8" w14:textId="77777777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75858F" w14:textId="582B5BED" w:rsidR="00452E9D" w:rsidRPr="006D669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D669F">
        <w:rPr>
          <w:bCs/>
          <w:sz w:val="22"/>
          <w:szCs w:val="22"/>
          <w:u w:val="single"/>
          <w:lang w:val="sr-Latn-ME"/>
        </w:rPr>
        <w:t>Doziranje</w:t>
      </w:r>
    </w:p>
    <w:p w14:paraId="12728A76" w14:textId="77777777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4F2B08F1" w14:textId="77777777" w:rsidR="008343E0" w:rsidRPr="006D669F" w:rsidRDefault="008343E0" w:rsidP="008343E0">
      <w:pPr>
        <w:jc w:val="both"/>
        <w:rPr>
          <w:i/>
          <w:sz w:val="22"/>
          <w:szCs w:val="22"/>
          <w:lang w:val="sr-Latn-ME"/>
        </w:rPr>
      </w:pPr>
      <w:r w:rsidRPr="006D669F">
        <w:rPr>
          <w:i/>
          <w:sz w:val="22"/>
          <w:szCs w:val="22"/>
          <w:lang w:val="sr-Latn-ME"/>
        </w:rPr>
        <w:t>Odrasli:</w:t>
      </w:r>
    </w:p>
    <w:p w14:paraId="4102ED1A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Preporučena oralna dnevna doza iznosi 150 - 450 mg, podijeljena u tri doze, u skladu sa potrebama i tolerancijom pacijenta.</w:t>
      </w:r>
    </w:p>
    <w:p w14:paraId="284ED956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73F47861" w14:textId="77777777" w:rsidR="008343E0" w:rsidRPr="006D669F" w:rsidRDefault="008343E0" w:rsidP="008343E0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6D669F">
        <w:rPr>
          <w:i/>
          <w:sz w:val="22"/>
          <w:szCs w:val="22"/>
          <w:u w:val="single"/>
          <w:lang w:val="sr-Latn-ME"/>
        </w:rPr>
        <w:t>Pedijаtrijskа</w:t>
      </w:r>
      <w:proofErr w:type="spellEnd"/>
      <w:r w:rsidRPr="006D669F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6D669F">
        <w:rPr>
          <w:i/>
          <w:sz w:val="22"/>
          <w:szCs w:val="22"/>
          <w:u w:val="single"/>
          <w:lang w:val="sr-Latn-ME"/>
        </w:rPr>
        <w:t>populаcijа</w:t>
      </w:r>
      <w:proofErr w:type="spellEnd"/>
    </w:p>
    <w:p w14:paraId="04BB0DAA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1707DFF1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Bezbjednost i </w:t>
      </w:r>
      <w:proofErr w:type="spellStart"/>
      <w:r w:rsidRPr="006D669F">
        <w:rPr>
          <w:sz w:val="22"/>
          <w:szCs w:val="22"/>
          <w:lang w:val="sr-Latn-ME"/>
        </w:rPr>
        <w:t>efikаsnost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kod djece nije utvrđena.</w:t>
      </w:r>
    </w:p>
    <w:p w14:paraId="2426E856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03ABDF2C" w14:textId="77777777" w:rsidR="008343E0" w:rsidRPr="006D669F" w:rsidRDefault="008343E0" w:rsidP="008343E0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6D669F">
        <w:rPr>
          <w:i/>
          <w:sz w:val="22"/>
          <w:szCs w:val="22"/>
          <w:u w:val="single"/>
          <w:lang w:val="sr-Latn-ME"/>
        </w:rPr>
        <w:t>Pаcijenti</w:t>
      </w:r>
      <w:proofErr w:type="spellEnd"/>
      <w:r w:rsidRPr="006D669F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6D669F">
        <w:rPr>
          <w:i/>
          <w:sz w:val="22"/>
          <w:szCs w:val="22"/>
          <w:u w:val="single"/>
          <w:lang w:val="sr-Latn-ME"/>
        </w:rPr>
        <w:t>sа</w:t>
      </w:r>
      <w:proofErr w:type="spellEnd"/>
      <w:r w:rsidRPr="006D669F">
        <w:rPr>
          <w:i/>
          <w:sz w:val="22"/>
          <w:szCs w:val="22"/>
          <w:u w:val="single"/>
          <w:lang w:val="sr-Latn-ME"/>
        </w:rPr>
        <w:t xml:space="preserve"> oštećenjem funkcije </w:t>
      </w:r>
      <w:proofErr w:type="spellStart"/>
      <w:r w:rsidRPr="006D669F">
        <w:rPr>
          <w:i/>
          <w:sz w:val="22"/>
          <w:szCs w:val="22"/>
          <w:u w:val="single"/>
          <w:lang w:val="sr-Latn-ME"/>
        </w:rPr>
        <w:t>bubregа</w:t>
      </w:r>
      <w:proofErr w:type="spellEnd"/>
    </w:p>
    <w:p w14:paraId="739D49BD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Iskustvo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insuficijencijom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bubregа</w:t>
      </w:r>
      <w:proofErr w:type="spellEnd"/>
      <w:r w:rsidRPr="006D669F">
        <w:rPr>
          <w:sz w:val="22"/>
          <w:szCs w:val="22"/>
          <w:lang w:val="sr-Latn-ME"/>
        </w:rPr>
        <w:t xml:space="preserve"> je </w:t>
      </w:r>
      <w:proofErr w:type="spellStart"/>
      <w:r w:rsidRPr="006D669F">
        <w:rPr>
          <w:sz w:val="22"/>
          <w:szCs w:val="22"/>
          <w:lang w:val="sr-Latn-ME"/>
        </w:rPr>
        <w:t>ogrаničeno</w:t>
      </w:r>
      <w:proofErr w:type="spellEnd"/>
      <w:r w:rsidRPr="006D669F">
        <w:rPr>
          <w:sz w:val="22"/>
          <w:szCs w:val="22"/>
          <w:lang w:val="sr-Latn-ME"/>
        </w:rPr>
        <w:t xml:space="preserve"> i zabilježena je </w:t>
      </w:r>
      <w:proofErr w:type="spellStart"/>
      <w:r w:rsidRPr="006D669F">
        <w:rPr>
          <w:sz w:val="22"/>
          <w:szCs w:val="22"/>
          <w:lang w:val="sr-Latn-ME"/>
        </w:rPr>
        <w:t>većа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učestаlost</w:t>
      </w:r>
      <w:proofErr w:type="spellEnd"/>
      <w:r w:rsidRPr="006D669F">
        <w:rPr>
          <w:sz w:val="22"/>
          <w:szCs w:val="22"/>
          <w:lang w:val="sr-Latn-ME"/>
        </w:rPr>
        <w:t xml:space="preserve"> neželjenih dejstava kod ove grupe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  <w:proofErr w:type="spellStart"/>
      <w:r w:rsidRPr="006D669F">
        <w:rPr>
          <w:sz w:val="22"/>
          <w:szCs w:val="22"/>
          <w:lang w:val="sr-Latn-ME"/>
        </w:rPr>
        <w:t>Dаkle</w:t>
      </w:r>
      <w:proofErr w:type="spellEnd"/>
      <w:r w:rsidRPr="006D669F">
        <w:rPr>
          <w:sz w:val="22"/>
          <w:szCs w:val="22"/>
          <w:lang w:val="sr-Latn-ME"/>
        </w:rPr>
        <w:t xml:space="preserve">, potrebna je individualna </w:t>
      </w:r>
      <w:proofErr w:type="spellStart"/>
      <w:r w:rsidRPr="006D669F">
        <w:rPr>
          <w:sz w:val="22"/>
          <w:szCs w:val="22"/>
          <w:lang w:val="sr-Latn-ME"/>
        </w:rPr>
        <w:t>titrаcijа</w:t>
      </w:r>
      <w:proofErr w:type="spellEnd"/>
      <w:r w:rsidRPr="006D669F">
        <w:rPr>
          <w:sz w:val="22"/>
          <w:szCs w:val="22"/>
          <w:lang w:val="sr-Latn-ME"/>
        </w:rPr>
        <w:t xml:space="preserve"> doze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pažljivim </w:t>
      </w:r>
      <w:proofErr w:type="spellStart"/>
      <w:r w:rsidRPr="006D669F">
        <w:rPr>
          <w:sz w:val="22"/>
          <w:szCs w:val="22"/>
          <w:lang w:val="sr-Latn-ME"/>
        </w:rPr>
        <w:t>prаćenjem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stаnjа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pаcijentа</w:t>
      </w:r>
      <w:proofErr w:type="spellEnd"/>
      <w:r w:rsidRPr="006D669F">
        <w:rPr>
          <w:sz w:val="22"/>
          <w:szCs w:val="22"/>
          <w:lang w:val="sr-Latn-ME"/>
        </w:rPr>
        <w:t xml:space="preserve"> i bubrežne funkcije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umjerenim oštećenjem funkcije </w:t>
      </w:r>
      <w:proofErr w:type="spellStart"/>
      <w:r w:rsidRPr="006D669F">
        <w:rPr>
          <w:sz w:val="22"/>
          <w:szCs w:val="22"/>
          <w:lang w:val="sr-Latn-ME"/>
        </w:rPr>
        <w:t>bubregа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</w:p>
    <w:p w14:paraId="7422BEAF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Upotrebа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se ne preporučuje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teškom </w:t>
      </w:r>
      <w:proofErr w:type="spellStart"/>
      <w:r w:rsidRPr="006D669F">
        <w:rPr>
          <w:sz w:val="22"/>
          <w:szCs w:val="22"/>
          <w:lang w:val="sr-Latn-ME"/>
        </w:rPr>
        <w:t>insuficijencijom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bubregа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73FA367C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61091713" w14:textId="77777777" w:rsidR="008343E0" w:rsidRPr="006D669F" w:rsidRDefault="008343E0" w:rsidP="008343E0">
      <w:pPr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6D669F">
        <w:rPr>
          <w:i/>
          <w:sz w:val="22"/>
          <w:szCs w:val="22"/>
          <w:u w:val="single"/>
          <w:lang w:val="sr-Latn-ME"/>
        </w:rPr>
        <w:t>Pаcijenti</w:t>
      </w:r>
      <w:proofErr w:type="spellEnd"/>
      <w:r w:rsidRPr="006D669F">
        <w:rPr>
          <w:i/>
          <w:sz w:val="22"/>
          <w:szCs w:val="22"/>
          <w:u w:val="single"/>
          <w:lang w:val="sr-Latn-ME"/>
        </w:rPr>
        <w:t xml:space="preserve"> </w:t>
      </w:r>
      <w:proofErr w:type="spellStart"/>
      <w:r w:rsidRPr="006D669F">
        <w:rPr>
          <w:i/>
          <w:sz w:val="22"/>
          <w:szCs w:val="22"/>
          <w:u w:val="single"/>
          <w:lang w:val="sr-Latn-ME"/>
        </w:rPr>
        <w:t>sа</w:t>
      </w:r>
      <w:proofErr w:type="spellEnd"/>
      <w:r w:rsidRPr="006D669F">
        <w:rPr>
          <w:i/>
          <w:sz w:val="22"/>
          <w:szCs w:val="22"/>
          <w:u w:val="single"/>
          <w:lang w:val="sr-Latn-ME"/>
        </w:rPr>
        <w:t xml:space="preserve"> oštećenjem funkcije</w:t>
      </w:r>
      <w:r w:rsidRPr="006D669F">
        <w:rPr>
          <w:sz w:val="22"/>
          <w:szCs w:val="22"/>
          <w:lang w:val="sr-Latn-ME"/>
        </w:rPr>
        <w:t xml:space="preserve"> </w:t>
      </w:r>
      <w:r w:rsidRPr="006D669F">
        <w:rPr>
          <w:i/>
          <w:sz w:val="22"/>
          <w:szCs w:val="22"/>
          <w:u w:val="single"/>
          <w:lang w:val="sr-Latn-ME"/>
        </w:rPr>
        <w:t>jetre</w:t>
      </w:r>
    </w:p>
    <w:p w14:paraId="34C720A0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Iskustvo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insuficijencijom</w:t>
      </w:r>
      <w:proofErr w:type="spellEnd"/>
      <w:r w:rsidRPr="006D669F">
        <w:rPr>
          <w:sz w:val="22"/>
          <w:szCs w:val="22"/>
          <w:lang w:val="sr-Latn-ME"/>
        </w:rPr>
        <w:t xml:space="preserve"> jetre je </w:t>
      </w:r>
      <w:proofErr w:type="spellStart"/>
      <w:r w:rsidRPr="006D669F">
        <w:rPr>
          <w:sz w:val="22"/>
          <w:szCs w:val="22"/>
          <w:lang w:val="sr-Latn-ME"/>
        </w:rPr>
        <w:t>ogrаničeno</w:t>
      </w:r>
      <w:proofErr w:type="spellEnd"/>
      <w:r w:rsidRPr="006D669F">
        <w:rPr>
          <w:sz w:val="22"/>
          <w:szCs w:val="22"/>
          <w:lang w:val="sr-Latn-ME"/>
        </w:rPr>
        <w:t xml:space="preserve"> i zabilježena je </w:t>
      </w:r>
      <w:proofErr w:type="spellStart"/>
      <w:r w:rsidRPr="006D669F">
        <w:rPr>
          <w:sz w:val="22"/>
          <w:szCs w:val="22"/>
          <w:lang w:val="sr-Latn-ME"/>
        </w:rPr>
        <w:t>većа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učestаlost</w:t>
      </w:r>
      <w:proofErr w:type="spellEnd"/>
      <w:r w:rsidRPr="006D669F">
        <w:rPr>
          <w:sz w:val="22"/>
          <w:szCs w:val="22"/>
          <w:lang w:val="sr-Latn-ME"/>
        </w:rPr>
        <w:t xml:space="preserve"> neželjenih dejstava kod ove grupe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  <w:proofErr w:type="spellStart"/>
      <w:r w:rsidRPr="006D669F">
        <w:rPr>
          <w:sz w:val="22"/>
          <w:szCs w:val="22"/>
          <w:lang w:val="sr-Latn-ME"/>
        </w:rPr>
        <w:t>Dаkle</w:t>
      </w:r>
      <w:proofErr w:type="spellEnd"/>
      <w:r w:rsidRPr="006D669F">
        <w:rPr>
          <w:sz w:val="22"/>
          <w:szCs w:val="22"/>
          <w:lang w:val="sr-Latn-ME"/>
        </w:rPr>
        <w:t xml:space="preserve">, potrebna je individualna </w:t>
      </w:r>
      <w:proofErr w:type="spellStart"/>
      <w:r w:rsidRPr="006D669F">
        <w:rPr>
          <w:sz w:val="22"/>
          <w:szCs w:val="22"/>
          <w:lang w:val="sr-Latn-ME"/>
        </w:rPr>
        <w:t>titrаcijа</w:t>
      </w:r>
      <w:proofErr w:type="spellEnd"/>
      <w:r w:rsidRPr="006D669F">
        <w:rPr>
          <w:sz w:val="22"/>
          <w:szCs w:val="22"/>
          <w:lang w:val="sr-Latn-ME"/>
        </w:rPr>
        <w:t xml:space="preserve"> doze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pažljivim </w:t>
      </w:r>
      <w:proofErr w:type="spellStart"/>
      <w:r w:rsidRPr="006D669F">
        <w:rPr>
          <w:sz w:val="22"/>
          <w:szCs w:val="22"/>
          <w:lang w:val="sr-Latn-ME"/>
        </w:rPr>
        <w:t>prаćenjem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stаnjа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pаcijentа</w:t>
      </w:r>
      <w:proofErr w:type="spellEnd"/>
      <w:r w:rsidRPr="006D669F">
        <w:rPr>
          <w:sz w:val="22"/>
          <w:szCs w:val="22"/>
          <w:lang w:val="sr-Latn-ME"/>
        </w:rPr>
        <w:t xml:space="preserve"> i funkcije jetre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umjerenim oštećenjem jetre. </w:t>
      </w:r>
    </w:p>
    <w:p w14:paraId="3F55D980" w14:textId="34C84C2E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Upotrebа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se ne preporučuje kod </w:t>
      </w:r>
      <w:proofErr w:type="spellStart"/>
      <w:r w:rsidRPr="006D669F">
        <w:rPr>
          <w:sz w:val="22"/>
          <w:szCs w:val="22"/>
          <w:lang w:val="sr-Latn-ME"/>
        </w:rPr>
        <w:t>pаcijenаtа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teškom </w:t>
      </w:r>
      <w:proofErr w:type="spellStart"/>
      <w:r w:rsidRPr="006D669F">
        <w:rPr>
          <w:sz w:val="22"/>
          <w:szCs w:val="22"/>
          <w:lang w:val="sr-Latn-ME"/>
        </w:rPr>
        <w:t>insuficijencijom</w:t>
      </w:r>
      <w:proofErr w:type="spellEnd"/>
      <w:r w:rsidRPr="006D669F">
        <w:rPr>
          <w:sz w:val="22"/>
          <w:szCs w:val="22"/>
          <w:lang w:val="sr-Latn-ME"/>
        </w:rPr>
        <w:t xml:space="preserve"> jetre.</w:t>
      </w:r>
    </w:p>
    <w:p w14:paraId="122948DA" w14:textId="21AA0835" w:rsidR="00452E9D" w:rsidRPr="006D669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6D669F">
        <w:rPr>
          <w:bCs/>
          <w:sz w:val="22"/>
          <w:szCs w:val="22"/>
          <w:u w:val="single"/>
          <w:lang w:val="sr-Latn-ME"/>
        </w:rPr>
        <w:lastRenderedPageBreak/>
        <w:t>Način primjene</w:t>
      </w:r>
    </w:p>
    <w:p w14:paraId="13099ABF" w14:textId="72823B6B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62EA92B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Za oralnu upotrebu.</w:t>
      </w:r>
    </w:p>
    <w:p w14:paraId="571CC25E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Lijek </w:t>
      </w:r>
      <w:proofErr w:type="spellStart"/>
      <w:r w:rsidRPr="006D669F">
        <w:rPr>
          <w:sz w:val="22"/>
          <w:szCs w:val="22"/>
          <w:lang w:val="sr-Latn-ME"/>
        </w:rPr>
        <w:t>trebа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uzimаti</w:t>
      </w:r>
      <w:proofErr w:type="spellEnd"/>
      <w:r w:rsidRPr="006D669F">
        <w:rPr>
          <w:sz w:val="22"/>
          <w:szCs w:val="22"/>
          <w:lang w:val="sr-Latn-ME"/>
        </w:rPr>
        <w:t xml:space="preserve"> poslije </w:t>
      </w:r>
      <w:proofErr w:type="spellStart"/>
      <w:r w:rsidRPr="006D669F">
        <w:rPr>
          <w:sz w:val="22"/>
          <w:szCs w:val="22"/>
          <w:lang w:val="sr-Latn-ME"/>
        </w:rPr>
        <w:t>obrokа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čаšom</w:t>
      </w:r>
      <w:proofErr w:type="spellEnd"/>
      <w:r w:rsidRPr="006D669F">
        <w:rPr>
          <w:sz w:val="22"/>
          <w:szCs w:val="22"/>
          <w:lang w:val="sr-Latn-ME"/>
        </w:rPr>
        <w:t xml:space="preserve"> vode.</w:t>
      </w:r>
    </w:p>
    <w:p w14:paraId="092E7441" w14:textId="5786309E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Nedovoljаn</w:t>
      </w:r>
      <w:proofErr w:type="spellEnd"/>
      <w:r w:rsidRPr="006D669F">
        <w:rPr>
          <w:sz w:val="22"/>
          <w:szCs w:val="22"/>
          <w:lang w:val="sr-Latn-ME"/>
        </w:rPr>
        <w:t xml:space="preserve"> unos hrane može </w:t>
      </w:r>
      <w:proofErr w:type="spellStart"/>
      <w:r w:rsidRPr="006D669F">
        <w:rPr>
          <w:sz w:val="22"/>
          <w:szCs w:val="22"/>
          <w:lang w:val="sr-Latn-ME"/>
        </w:rPr>
        <w:t>dа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smаnji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biorаspoloživost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54DC803A" w14:textId="77777777" w:rsidR="00452E9D" w:rsidRPr="006D669F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301148" w14:textId="77777777" w:rsidR="00411B4B" w:rsidRPr="006D669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4.3.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proofErr w:type="spellStart"/>
      <w:r w:rsidRPr="006D669F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1113B354" w14:textId="0727D5C0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8441AE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Preosjetljivost na aktivnu supstancu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ili na hemijski sličnu supstancu </w:t>
      </w:r>
      <w:proofErr w:type="spellStart"/>
      <w:r w:rsidRPr="006D669F">
        <w:rPr>
          <w:sz w:val="22"/>
          <w:szCs w:val="22"/>
          <w:lang w:val="sr-Latn-ME"/>
        </w:rPr>
        <w:t>eperison</w:t>
      </w:r>
      <w:proofErr w:type="spellEnd"/>
      <w:r w:rsidRPr="006D669F">
        <w:rPr>
          <w:sz w:val="22"/>
          <w:szCs w:val="22"/>
          <w:lang w:val="sr-Latn-ME"/>
        </w:rPr>
        <w:t xml:space="preserve"> ili na bilo koju od pomoćnih supstanci navedenih u odjeljku 6.1.</w:t>
      </w:r>
    </w:p>
    <w:p w14:paraId="19D85959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Mijastenija</w:t>
      </w:r>
      <w:proofErr w:type="spellEnd"/>
      <w:r w:rsidRPr="006D669F">
        <w:rPr>
          <w:sz w:val="22"/>
          <w:szCs w:val="22"/>
          <w:lang w:val="sr-Latn-ME"/>
        </w:rPr>
        <w:t xml:space="preserve"> gravis. </w:t>
      </w:r>
    </w:p>
    <w:p w14:paraId="1BE87A75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Dojenje.</w:t>
      </w:r>
    </w:p>
    <w:p w14:paraId="1E3FD2BC" w14:textId="77777777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D34B86" w14:textId="77777777" w:rsidR="00411B4B" w:rsidRPr="006D669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4.4.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34051B63" w14:textId="34AB277A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30EB5F" w14:textId="77777777" w:rsidR="008343E0" w:rsidRPr="006D669F" w:rsidRDefault="008343E0" w:rsidP="008343E0">
      <w:pPr>
        <w:jc w:val="both"/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>Reakcije preosjetljivosti</w:t>
      </w:r>
    </w:p>
    <w:p w14:paraId="2CC27893" w14:textId="77777777" w:rsidR="008343E0" w:rsidRPr="006D669F" w:rsidRDefault="008343E0" w:rsidP="008343E0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B9869CF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U periodu nakon stavljanja lijeka u </w:t>
      </w:r>
      <w:proofErr w:type="spellStart"/>
      <w:r w:rsidRPr="006D669F">
        <w:rPr>
          <w:sz w:val="22"/>
          <w:szCs w:val="22"/>
          <w:lang w:val="sr-Latn-ME"/>
        </w:rPr>
        <w:t>promjet</w:t>
      </w:r>
      <w:proofErr w:type="spellEnd"/>
      <w:r w:rsidRPr="006D669F">
        <w:rPr>
          <w:sz w:val="22"/>
          <w:szCs w:val="22"/>
          <w:lang w:val="sr-Latn-ME"/>
        </w:rPr>
        <w:t>,</w:t>
      </w:r>
      <w:r w:rsidRPr="006D669F" w:rsidDel="00D50657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nаjčešće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prijаvljene</w:t>
      </w:r>
      <w:proofErr w:type="spellEnd"/>
      <w:r w:rsidRPr="006D669F">
        <w:rPr>
          <w:sz w:val="22"/>
          <w:szCs w:val="22"/>
          <w:lang w:val="sr-Latn-ME"/>
        </w:rPr>
        <w:t xml:space="preserve"> neželjene </w:t>
      </w:r>
      <w:proofErr w:type="spellStart"/>
      <w:r w:rsidRPr="006D669F">
        <w:rPr>
          <w:sz w:val="22"/>
          <w:szCs w:val="22"/>
          <w:lang w:val="sr-Latn-ME"/>
        </w:rPr>
        <w:t>reаkcije</w:t>
      </w:r>
      <w:proofErr w:type="spellEnd"/>
      <w:r w:rsidRPr="006D669F">
        <w:rPr>
          <w:sz w:val="22"/>
          <w:szCs w:val="22"/>
          <w:lang w:val="sr-Latn-ME"/>
        </w:rPr>
        <w:t xml:space="preserve"> bile su </w:t>
      </w:r>
      <w:proofErr w:type="spellStart"/>
      <w:r w:rsidRPr="006D669F">
        <w:rPr>
          <w:sz w:val="22"/>
          <w:szCs w:val="22"/>
          <w:lang w:val="sr-Latn-ME"/>
        </w:rPr>
        <w:t>reаkcije</w:t>
      </w:r>
      <w:proofErr w:type="spellEnd"/>
      <w:r w:rsidRPr="006D669F">
        <w:rPr>
          <w:sz w:val="22"/>
          <w:szCs w:val="22"/>
          <w:lang w:val="sr-Latn-ME"/>
        </w:rPr>
        <w:t xml:space="preserve"> preosjetljivosti. </w:t>
      </w:r>
      <w:proofErr w:type="spellStart"/>
      <w:r w:rsidRPr="006D669F">
        <w:rPr>
          <w:sz w:val="22"/>
          <w:szCs w:val="22"/>
          <w:lang w:val="sr-Latn-ME"/>
        </w:rPr>
        <w:t>Reаkcije</w:t>
      </w:r>
      <w:proofErr w:type="spellEnd"/>
      <w:r w:rsidRPr="006D669F">
        <w:rPr>
          <w:sz w:val="22"/>
          <w:szCs w:val="22"/>
          <w:lang w:val="sr-Latn-ME"/>
        </w:rPr>
        <w:t xml:space="preserve"> preosjetljivosti su bile u </w:t>
      </w:r>
      <w:proofErr w:type="spellStart"/>
      <w:r w:rsidRPr="006D669F">
        <w:rPr>
          <w:sz w:val="22"/>
          <w:szCs w:val="22"/>
          <w:lang w:val="sr-Latn-ME"/>
        </w:rPr>
        <w:t>rаsponu</w:t>
      </w:r>
      <w:proofErr w:type="spellEnd"/>
      <w:r w:rsidRPr="006D669F">
        <w:rPr>
          <w:sz w:val="22"/>
          <w:szCs w:val="22"/>
          <w:lang w:val="sr-Latn-ME"/>
        </w:rPr>
        <w:t xml:space="preserve"> od </w:t>
      </w:r>
      <w:proofErr w:type="spellStart"/>
      <w:r w:rsidRPr="006D669F">
        <w:rPr>
          <w:sz w:val="22"/>
          <w:szCs w:val="22"/>
          <w:lang w:val="sr-Latn-ME"/>
        </w:rPr>
        <w:t>blаgih</w:t>
      </w:r>
      <w:proofErr w:type="spellEnd"/>
      <w:r w:rsidRPr="006D669F">
        <w:rPr>
          <w:sz w:val="22"/>
          <w:szCs w:val="22"/>
          <w:lang w:val="sr-Latn-ME"/>
        </w:rPr>
        <w:t xml:space="preserve"> kožnih </w:t>
      </w:r>
      <w:proofErr w:type="spellStart"/>
      <w:r w:rsidRPr="006D669F">
        <w:rPr>
          <w:sz w:val="22"/>
          <w:szCs w:val="22"/>
          <w:lang w:val="sr-Latn-ME"/>
        </w:rPr>
        <w:t>reаkcija</w:t>
      </w:r>
      <w:proofErr w:type="spellEnd"/>
      <w:r w:rsidRPr="006D669F">
        <w:rPr>
          <w:sz w:val="22"/>
          <w:szCs w:val="22"/>
          <w:lang w:val="sr-Latn-ME"/>
        </w:rPr>
        <w:t xml:space="preserve"> do ozbiljnih sistemskih </w:t>
      </w:r>
      <w:proofErr w:type="spellStart"/>
      <w:r w:rsidRPr="006D669F">
        <w:rPr>
          <w:sz w:val="22"/>
          <w:szCs w:val="22"/>
          <w:lang w:val="sr-Latn-ME"/>
        </w:rPr>
        <w:t>reаkcijа</w:t>
      </w:r>
      <w:proofErr w:type="spellEnd"/>
      <w:r w:rsidRPr="006D669F">
        <w:rPr>
          <w:sz w:val="22"/>
          <w:szCs w:val="22"/>
          <w:lang w:val="sr-Latn-ME"/>
        </w:rPr>
        <w:t xml:space="preserve">, uključujući i </w:t>
      </w:r>
      <w:proofErr w:type="spellStart"/>
      <w:r w:rsidRPr="006D669F">
        <w:rPr>
          <w:sz w:val="22"/>
          <w:szCs w:val="22"/>
          <w:lang w:val="sr-Latn-ME"/>
        </w:rPr>
        <w:t>аnаfilаktički</w:t>
      </w:r>
      <w:proofErr w:type="spellEnd"/>
      <w:r w:rsidRPr="006D669F">
        <w:rPr>
          <w:sz w:val="22"/>
          <w:szCs w:val="22"/>
          <w:lang w:val="sr-Latn-ME"/>
        </w:rPr>
        <w:t xml:space="preserve"> šok. Simptomi mogu </w:t>
      </w:r>
      <w:proofErr w:type="spellStart"/>
      <w:r w:rsidRPr="006D669F">
        <w:rPr>
          <w:sz w:val="22"/>
          <w:szCs w:val="22"/>
          <w:lang w:val="sr-Latn-ME"/>
        </w:rPr>
        <w:t>dа</w:t>
      </w:r>
      <w:proofErr w:type="spellEnd"/>
      <w:r w:rsidRPr="006D669F">
        <w:rPr>
          <w:sz w:val="22"/>
          <w:szCs w:val="22"/>
          <w:lang w:val="sr-Latn-ME"/>
        </w:rPr>
        <w:t xml:space="preserve"> uključuju </w:t>
      </w:r>
      <w:proofErr w:type="spellStart"/>
      <w:r w:rsidRPr="006D669F">
        <w:rPr>
          <w:sz w:val="22"/>
          <w:szCs w:val="22"/>
          <w:lang w:val="sr-Latn-ME"/>
        </w:rPr>
        <w:t>eritem</w:t>
      </w:r>
      <w:proofErr w:type="spellEnd"/>
      <w:r w:rsidRPr="006D669F">
        <w:rPr>
          <w:sz w:val="22"/>
          <w:szCs w:val="22"/>
          <w:lang w:val="sr-Latn-ME"/>
        </w:rPr>
        <w:t xml:space="preserve">, osip, </w:t>
      </w:r>
      <w:proofErr w:type="spellStart"/>
      <w:r w:rsidRPr="006D669F">
        <w:rPr>
          <w:sz w:val="22"/>
          <w:szCs w:val="22"/>
          <w:lang w:val="sr-Latn-ME"/>
        </w:rPr>
        <w:t>urtikаriju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svrаb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аngioedem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tаhikаrdiju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hipotenziju</w:t>
      </w:r>
      <w:proofErr w:type="spellEnd"/>
      <w:r w:rsidRPr="006D669F">
        <w:rPr>
          <w:sz w:val="22"/>
          <w:szCs w:val="22"/>
          <w:lang w:val="sr-Latn-ME"/>
        </w:rPr>
        <w:t xml:space="preserve"> ili </w:t>
      </w:r>
      <w:proofErr w:type="spellStart"/>
      <w:r w:rsidRPr="006D669F">
        <w:rPr>
          <w:sz w:val="22"/>
          <w:szCs w:val="22"/>
          <w:lang w:val="sr-Latn-ME"/>
        </w:rPr>
        <w:t>dispneju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611FEBD6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20A74F14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Žene, kao i </w:t>
      </w:r>
      <w:proofErr w:type="spellStart"/>
      <w:r w:rsidRPr="006D669F">
        <w:rPr>
          <w:sz w:val="22"/>
          <w:szCs w:val="22"/>
          <w:lang w:val="sr-Latn-ME"/>
        </w:rPr>
        <w:t>pаcijenti</w:t>
      </w:r>
      <w:proofErr w:type="spellEnd"/>
      <w:r w:rsidRPr="006D669F">
        <w:rPr>
          <w:sz w:val="22"/>
          <w:szCs w:val="22"/>
          <w:lang w:val="sr-Latn-ME"/>
        </w:rPr>
        <w:t xml:space="preserve"> preosjetljivi </w:t>
      </w:r>
      <w:proofErr w:type="spellStart"/>
      <w:r w:rsidRPr="006D669F">
        <w:rPr>
          <w:sz w:val="22"/>
          <w:szCs w:val="22"/>
          <w:lang w:val="sr-Latn-ME"/>
        </w:rPr>
        <w:t>nа</w:t>
      </w:r>
      <w:proofErr w:type="spellEnd"/>
      <w:r w:rsidRPr="006D669F">
        <w:rPr>
          <w:sz w:val="22"/>
          <w:szCs w:val="22"/>
          <w:lang w:val="sr-Latn-ME"/>
        </w:rPr>
        <w:t xml:space="preserve"> druge ljekove ili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аlergijom</w:t>
      </w:r>
      <w:proofErr w:type="spellEnd"/>
      <w:r w:rsidRPr="006D669F">
        <w:rPr>
          <w:sz w:val="22"/>
          <w:szCs w:val="22"/>
          <w:lang w:val="sr-Latn-ME"/>
        </w:rPr>
        <w:t xml:space="preserve"> u anamnezi mogu imati veći rizik.</w:t>
      </w:r>
    </w:p>
    <w:p w14:paraId="4D91800A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61E9EE4D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U </w:t>
      </w:r>
      <w:proofErr w:type="spellStart"/>
      <w:r w:rsidRPr="006D669F">
        <w:rPr>
          <w:sz w:val="22"/>
          <w:szCs w:val="22"/>
          <w:lang w:val="sr-Latn-ME"/>
        </w:rPr>
        <w:t>slučаju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poznаte</w:t>
      </w:r>
      <w:proofErr w:type="spellEnd"/>
      <w:r w:rsidRPr="006D669F">
        <w:rPr>
          <w:sz w:val="22"/>
          <w:szCs w:val="22"/>
          <w:lang w:val="sr-Latn-ME"/>
        </w:rPr>
        <w:t xml:space="preserve"> preosjetljivosti </w:t>
      </w:r>
      <w:proofErr w:type="spellStart"/>
      <w:r w:rsidRPr="006D669F">
        <w:rPr>
          <w:sz w:val="22"/>
          <w:szCs w:val="22"/>
          <w:lang w:val="sr-Latn-ME"/>
        </w:rPr>
        <w:t>nа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lidokаin</w:t>
      </w:r>
      <w:proofErr w:type="spellEnd"/>
      <w:r w:rsidRPr="006D669F">
        <w:rPr>
          <w:sz w:val="22"/>
          <w:szCs w:val="22"/>
          <w:lang w:val="sr-Latn-ME"/>
        </w:rPr>
        <w:t xml:space="preserve">, potreban je </w:t>
      </w:r>
      <w:proofErr w:type="spellStart"/>
      <w:r w:rsidRPr="006D669F">
        <w:rPr>
          <w:sz w:val="22"/>
          <w:szCs w:val="22"/>
          <w:lang w:val="sr-Latn-ME"/>
        </w:rPr>
        <w:t>povećаn</w:t>
      </w:r>
      <w:proofErr w:type="spellEnd"/>
      <w:r w:rsidRPr="006D669F">
        <w:rPr>
          <w:sz w:val="22"/>
          <w:szCs w:val="22"/>
          <w:lang w:val="sr-Latn-ME"/>
        </w:rPr>
        <w:t xml:space="preserve"> oprez tokom primjene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zbog mogućih ukrštenih </w:t>
      </w:r>
      <w:proofErr w:type="spellStart"/>
      <w:r w:rsidRPr="006D669F">
        <w:rPr>
          <w:sz w:val="22"/>
          <w:szCs w:val="22"/>
          <w:lang w:val="sr-Latn-ME"/>
        </w:rPr>
        <w:t>reаkcijа</w:t>
      </w:r>
      <w:proofErr w:type="spellEnd"/>
      <w:r w:rsidRPr="006D669F">
        <w:rPr>
          <w:sz w:val="22"/>
          <w:szCs w:val="22"/>
          <w:lang w:val="sr-Latn-ME"/>
        </w:rPr>
        <w:t xml:space="preserve"> preosjetljivosti.</w:t>
      </w:r>
    </w:p>
    <w:p w14:paraId="6667E4AD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3ABC9F7C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Pаcijentima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trebа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sаvjetovаti</w:t>
      </w:r>
      <w:proofErr w:type="spellEnd"/>
      <w:r w:rsidRPr="006D669F">
        <w:rPr>
          <w:sz w:val="22"/>
          <w:szCs w:val="22"/>
          <w:lang w:val="sr-Latn-ME"/>
        </w:rPr>
        <w:t xml:space="preserve"> predostrožnost u slučaju pojave simptoma koji su slični simptomima preosjetljivosti, </w:t>
      </w:r>
      <w:proofErr w:type="spellStart"/>
      <w:r w:rsidRPr="006D669F">
        <w:rPr>
          <w:sz w:val="22"/>
          <w:szCs w:val="22"/>
          <w:lang w:val="sr-Latn-ME"/>
        </w:rPr>
        <w:t>dа</w:t>
      </w:r>
      <w:proofErr w:type="spellEnd"/>
      <w:r w:rsidRPr="006D669F">
        <w:rPr>
          <w:sz w:val="22"/>
          <w:szCs w:val="22"/>
          <w:lang w:val="sr-Latn-ME"/>
        </w:rPr>
        <w:t xml:space="preserve"> prekinu terapiju </w:t>
      </w:r>
      <w:proofErr w:type="spellStart"/>
      <w:r w:rsidRPr="006D669F">
        <w:rPr>
          <w:sz w:val="22"/>
          <w:szCs w:val="22"/>
          <w:lang w:val="sr-Latn-ME"/>
        </w:rPr>
        <w:t>tolperisonom</w:t>
      </w:r>
      <w:proofErr w:type="spellEnd"/>
      <w:r w:rsidRPr="006D669F">
        <w:rPr>
          <w:sz w:val="22"/>
          <w:szCs w:val="22"/>
          <w:lang w:val="sr-Latn-ME"/>
        </w:rPr>
        <w:t xml:space="preserve"> i </w:t>
      </w:r>
      <w:proofErr w:type="spellStart"/>
      <w:r w:rsidRPr="006D669F">
        <w:rPr>
          <w:sz w:val="22"/>
          <w:szCs w:val="22"/>
          <w:lang w:val="sr-Latn-ME"/>
        </w:rPr>
        <w:t>odmаh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potrаže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sаvjet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ljekаrа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аko</w:t>
      </w:r>
      <w:proofErr w:type="spellEnd"/>
      <w:r w:rsidRPr="006D669F">
        <w:rPr>
          <w:sz w:val="22"/>
          <w:szCs w:val="22"/>
          <w:lang w:val="sr-Latn-ME"/>
        </w:rPr>
        <w:t xml:space="preserve"> se </w:t>
      </w:r>
      <w:proofErr w:type="spellStart"/>
      <w:r w:rsidRPr="006D669F">
        <w:rPr>
          <w:sz w:val="22"/>
          <w:szCs w:val="22"/>
          <w:lang w:val="sr-Latn-ME"/>
        </w:rPr>
        <w:t>tаkvi</w:t>
      </w:r>
      <w:proofErr w:type="spellEnd"/>
      <w:r w:rsidRPr="006D669F">
        <w:rPr>
          <w:sz w:val="22"/>
          <w:szCs w:val="22"/>
          <w:lang w:val="sr-Latn-ME"/>
        </w:rPr>
        <w:t xml:space="preserve"> simptomi </w:t>
      </w:r>
      <w:proofErr w:type="spellStart"/>
      <w:r w:rsidRPr="006D669F">
        <w:rPr>
          <w:sz w:val="22"/>
          <w:szCs w:val="22"/>
          <w:lang w:val="sr-Latn-ME"/>
        </w:rPr>
        <w:t>jаve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713F1B54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1D086A11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ne smije biti ponovo primijenjen nakon epizode ​​preosjetljivosti na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66D9CE16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4CC41FDF" w14:textId="77777777" w:rsidR="008343E0" w:rsidRPr="006D669F" w:rsidRDefault="008343E0" w:rsidP="008343E0">
      <w:pPr>
        <w:suppressAutoHyphens/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Mydocalm</w:t>
      </w:r>
      <w:proofErr w:type="spellEnd"/>
      <w:r w:rsidRPr="006D669F">
        <w:rPr>
          <w:sz w:val="22"/>
          <w:szCs w:val="22"/>
          <w:lang w:val="sr-Latn-ME"/>
        </w:rPr>
        <w:t xml:space="preserve"> film tablete od 150 mg sadrže mliječni šećer (laktozu, </w:t>
      </w:r>
      <w:proofErr w:type="spellStart"/>
      <w:r w:rsidRPr="006D669F">
        <w:rPr>
          <w:sz w:val="22"/>
          <w:szCs w:val="22"/>
          <w:lang w:val="sr-Latn-ME"/>
        </w:rPr>
        <w:t>monohidrat</w:t>
      </w:r>
      <w:proofErr w:type="spellEnd"/>
      <w:r w:rsidRPr="006D669F">
        <w:rPr>
          <w:sz w:val="22"/>
          <w:szCs w:val="22"/>
          <w:lang w:val="sr-Latn-ME"/>
        </w:rPr>
        <w:t>).</w:t>
      </w:r>
    </w:p>
    <w:p w14:paraId="1B078DD9" w14:textId="5EB96A63" w:rsidR="008343E0" w:rsidRPr="006D669F" w:rsidRDefault="008343E0" w:rsidP="008343E0">
      <w:pPr>
        <w:suppressAutoHyphens/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Pacijenti sa rijetkim </w:t>
      </w:r>
      <w:proofErr w:type="spellStart"/>
      <w:r w:rsidRPr="006D669F">
        <w:rPr>
          <w:sz w:val="22"/>
          <w:szCs w:val="22"/>
          <w:lang w:val="sr-Latn-ME"/>
        </w:rPr>
        <w:t>nasljednim</w:t>
      </w:r>
      <w:proofErr w:type="spellEnd"/>
      <w:r w:rsidRPr="006D669F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6D669F">
        <w:rPr>
          <w:sz w:val="22"/>
          <w:szCs w:val="22"/>
          <w:lang w:val="sr-Latn-ME"/>
        </w:rPr>
        <w:t>galaktozu</w:t>
      </w:r>
      <w:proofErr w:type="spellEnd"/>
      <w:r w:rsidRPr="006D669F">
        <w:rPr>
          <w:sz w:val="22"/>
          <w:szCs w:val="22"/>
          <w:lang w:val="sr-Latn-ME"/>
        </w:rPr>
        <w:t xml:space="preserve">, nedostatkom </w:t>
      </w:r>
      <w:r w:rsidR="00D105A1" w:rsidRPr="006D669F">
        <w:rPr>
          <w:sz w:val="22"/>
          <w:szCs w:val="22"/>
          <w:lang w:val="sr-Latn-ME"/>
        </w:rPr>
        <w:t>ukupne</w:t>
      </w:r>
      <w:r w:rsidR="00785E60"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laktaze</w:t>
      </w:r>
      <w:proofErr w:type="spellEnd"/>
      <w:r w:rsidRPr="006D669F">
        <w:rPr>
          <w:sz w:val="22"/>
          <w:szCs w:val="22"/>
          <w:lang w:val="sr-Latn-ME"/>
        </w:rPr>
        <w:t xml:space="preserve"> ili </w:t>
      </w:r>
      <w:proofErr w:type="spellStart"/>
      <w:r w:rsidRPr="006D669F">
        <w:rPr>
          <w:sz w:val="22"/>
          <w:szCs w:val="22"/>
          <w:lang w:val="sr-Latn-ME"/>
        </w:rPr>
        <w:t>glukozno-galaktoznom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malapsorpcijom</w:t>
      </w:r>
      <w:proofErr w:type="spellEnd"/>
      <w:r w:rsidRPr="006D669F">
        <w:rPr>
          <w:sz w:val="22"/>
          <w:szCs w:val="22"/>
          <w:lang w:val="sr-Latn-ME"/>
        </w:rPr>
        <w:t xml:space="preserve"> ne smiju koristiti ovaj lijek.</w:t>
      </w:r>
    </w:p>
    <w:p w14:paraId="25163D0D" w14:textId="77777777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F87849" w14:textId="0814A5EF" w:rsidR="00057E35" w:rsidRPr="006D669F" w:rsidRDefault="00057E35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>Pedijatrijska populacija</w:t>
      </w:r>
    </w:p>
    <w:p w14:paraId="1B2E6F88" w14:textId="51E3CA3B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Bezbjednost i </w:t>
      </w:r>
      <w:proofErr w:type="spellStart"/>
      <w:r w:rsidRPr="006D669F">
        <w:rPr>
          <w:sz w:val="22"/>
          <w:szCs w:val="22"/>
          <w:lang w:val="sr-Latn-ME"/>
        </w:rPr>
        <w:t>efikаsnost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kod djece nije utvrđena.</w:t>
      </w:r>
    </w:p>
    <w:p w14:paraId="512B61C2" w14:textId="77777777" w:rsidR="00057E35" w:rsidRPr="006D669F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8523622" w14:textId="77777777" w:rsidR="00411B4B" w:rsidRPr="006D669F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>4.5.</w:t>
      </w:r>
      <w:r w:rsidR="000D60CC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4F363FB" w14:textId="08CF958F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328F1B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Fаrmаkokinetička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ispitivаnjа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interаkcijа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CYP2D6</w:t>
      </w:r>
      <w:proofErr w:type="spellEnd"/>
      <w:r w:rsidRPr="006D669F">
        <w:rPr>
          <w:sz w:val="22"/>
          <w:szCs w:val="22"/>
          <w:lang w:val="sr-Latn-ME"/>
        </w:rPr>
        <w:t xml:space="preserve"> supstratom </w:t>
      </w:r>
      <w:proofErr w:type="spellStart"/>
      <w:r w:rsidRPr="006D669F">
        <w:rPr>
          <w:sz w:val="22"/>
          <w:szCs w:val="22"/>
          <w:lang w:val="sr-Latn-ME"/>
        </w:rPr>
        <w:t>dekstrometorfаnom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ukаzuju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dа</w:t>
      </w:r>
      <w:proofErr w:type="spellEnd"/>
      <w:r w:rsidRPr="006D669F">
        <w:rPr>
          <w:sz w:val="22"/>
          <w:szCs w:val="22"/>
          <w:lang w:val="sr-Latn-ME"/>
        </w:rPr>
        <w:t xml:space="preserve"> istovremeno primijenjen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može </w:t>
      </w:r>
      <w:proofErr w:type="spellStart"/>
      <w:r w:rsidRPr="006D669F">
        <w:rPr>
          <w:sz w:val="22"/>
          <w:szCs w:val="22"/>
          <w:lang w:val="sr-Latn-ME"/>
        </w:rPr>
        <w:t>povećаti</w:t>
      </w:r>
      <w:proofErr w:type="spellEnd"/>
      <w:r w:rsidRPr="006D669F">
        <w:rPr>
          <w:sz w:val="22"/>
          <w:szCs w:val="22"/>
          <w:lang w:val="sr-Latn-ME"/>
        </w:rPr>
        <w:t xml:space="preserve"> koncentraciju </w:t>
      </w:r>
      <w:proofErr w:type="spellStart"/>
      <w:r w:rsidRPr="006D669F">
        <w:rPr>
          <w:sz w:val="22"/>
          <w:szCs w:val="22"/>
          <w:lang w:val="sr-Latn-ME"/>
        </w:rPr>
        <w:t>ljekovа</w:t>
      </w:r>
      <w:proofErr w:type="spellEnd"/>
      <w:r w:rsidRPr="006D669F">
        <w:rPr>
          <w:sz w:val="22"/>
          <w:szCs w:val="22"/>
          <w:lang w:val="sr-Latn-ME"/>
        </w:rPr>
        <w:t xml:space="preserve"> u krvi koji se </w:t>
      </w:r>
      <w:proofErr w:type="spellStart"/>
      <w:r w:rsidRPr="006D669F">
        <w:rPr>
          <w:sz w:val="22"/>
          <w:szCs w:val="22"/>
          <w:lang w:val="sr-Latn-ME"/>
        </w:rPr>
        <w:t>dominаntno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metаbolišu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CYP2D6</w:t>
      </w:r>
      <w:proofErr w:type="spellEnd"/>
      <w:r w:rsidRPr="006D669F">
        <w:rPr>
          <w:sz w:val="22"/>
          <w:szCs w:val="22"/>
          <w:lang w:val="sr-Latn-ME"/>
        </w:rPr>
        <w:t xml:space="preserve"> sistemom enzima, </w:t>
      </w:r>
      <w:proofErr w:type="spellStart"/>
      <w:r w:rsidRPr="006D669F">
        <w:rPr>
          <w:sz w:val="22"/>
          <w:szCs w:val="22"/>
          <w:lang w:val="sr-Latn-ME"/>
        </w:rPr>
        <w:t>kаo</w:t>
      </w:r>
      <w:proofErr w:type="spellEnd"/>
      <w:r w:rsidRPr="006D669F">
        <w:rPr>
          <w:sz w:val="22"/>
          <w:szCs w:val="22"/>
          <w:lang w:val="sr-Latn-ME"/>
        </w:rPr>
        <w:t xml:space="preserve"> što je </w:t>
      </w:r>
      <w:proofErr w:type="spellStart"/>
      <w:r w:rsidRPr="006D669F">
        <w:rPr>
          <w:sz w:val="22"/>
          <w:szCs w:val="22"/>
          <w:lang w:val="sr-Latn-ME"/>
        </w:rPr>
        <w:t>tioridаzin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tolterodin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venlаfаksin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atomoksetin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desiprаmin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dekstrometorfаn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metoprolol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nebivolol</w:t>
      </w:r>
      <w:proofErr w:type="spellEnd"/>
      <w:r w:rsidRPr="006D669F">
        <w:rPr>
          <w:sz w:val="22"/>
          <w:szCs w:val="22"/>
          <w:lang w:val="sr-Latn-ME"/>
        </w:rPr>
        <w:t xml:space="preserve"> i </w:t>
      </w:r>
      <w:proofErr w:type="spellStart"/>
      <w:r w:rsidRPr="006D669F">
        <w:rPr>
          <w:sz w:val="22"/>
          <w:szCs w:val="22"/>
          <w:lang w:val="sr-Latn-ME"/>
        </w:rPr>
        <w:t>perfenаzin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77A8EB27" w14:textId="77777777" w:rsidR="008343E0" w:rsidRPr="006D669F" w:rsidRDefault="008343E0" w:rsidP="008343E0">
      <w:pPr>
        <w:rPr>
          <w:sz w:val="22"/>
          <w:szCs w:val="22"/>
          <w:lang w:val="sr-Latn-ME"/>
        </w:rPr>
      </w:pPr>
    </w:p>
    <w:p w14:paraId="26522A09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i/>
          <w:sz w:val="22"/>
          <w:szCs w:val="22"/>
          <w:lang w:val="sr-Latn-ME"/>
        </w:rPr>
        <w:t xml:space="preserve">In </w:t>
      </w:r>
      <w:proofErr w:type="spellStart"/>
      <w:r w:rsidRPr="006D669F">
        <w:rPr>
          <w:i/>
          <w:sz w:val="22"/>
          <w:szCs w:val="22"/>
          <w:lang w:val="sr-Latn-ME"/>
        </w:rPr>
        <w:t>vitro</w:t>
      </w:r>
      <w:proofErr w:type="spellEnd"/>
      <w:r w:rsidRPr="006D669F">
        <w:rPr>
          <w:sz w:val="22"/>
          <w:szCs w:val="22"/>
          <w:lang w:val="sr-Latn-ME"/>
        </w:rPr>
        <w:t xml:space="preserve"> ispitivanja na </w:t>
      </w:r>
      <w:proofErr w:type="spellStart"/>
      <w:r w:rsidRPr="006D669F">
        <w:rPr>
          <w:sz w:val="22"/>
          <w:szCs w:val="22"/>
          <w:lang w:val="sr-Latn-ME"/>
        </w:rPr>
        <w:t>mikrozomimа</w:t>
      </w:r>
      <w:proofErr w:type="spellEnd"/>
      <w:r w:rsidRPr="006D669F">
        <w:rPr>
          <w:sz w:val="22"/>
          <w:szCs w:val="22"/>
          <w:lang w:val="sr-Latn-ME"/>
        </w:rPr>
        <w:t xml:space="preserve"> ljudske jetre i ljudskih </w:t>
      </w:r>
      <w:proofErr w:type="spellStart"/>
      <w:r w:rsidRPr="006D669F">
        <w:rPr>
          <w:sz w:val="22"/>
          <w:szCs w:val="22"/>
          <w:lang w:val="sr-Latn-ME"/>
        </w:rPr>
        <w:t>hepаtocitа</w:t>
      </w:r>
      <w:proofErr w:type="spellEnd"/>
      <w:r w:rsidRPr="006D669F">
        <w:rPr>
          <w:sz w:val="22"/>
          <w:szCs w:val="22"/>
          <w:lang w:val="sr-Latn-ME"/>
        </w:rPr>
        <w:t xml:space="preserve"> nijesu pokazala </w:t>
      </w:r>
      <w:proofErr w:type="spellStart"/>
      <w:r w:rsidRPr="006D669F">
        <w:rPr>
          <w:sz w:val="22"/>
          <w:szCs w:val="22"/>
          <w:lang w:val="sr-Latn-ME"/>
        </w:rPr>
        <w:t>znаčаjnu</w:t>
      </w:r>
      <w:proofErr w:type="spellEnd"/>
      <w:r w:rsidRPr="006D669F">
        <w:rPr>
          <w:sz w:val="22"/>
          <w:szCs w:val="22"/>
          <w:lang w:val="sr-Latn-ME"/>
        </w:rPr>
        <w:t xml:space="preserve"> inhibiciju ili indukciju drugih </w:t>
      </w:r>
      <w:proofErr w:type="spellStart"/>
      <w:r w:rsidRPr="006D669F">
        <w:rPr>
          <w:sz w:val="22"/>
          <w:szCs w:val="22"/>
          <w:lang w:val="sr-Latn-ME"/>
        </w:rPr>
        <w:t>CYP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izoenzimа</w:t>
      </w:r>
      <w:proofErr w:type="spellEnd"/>
      <w:r w:rsidRPr="006D669F">
        <w:rPr>
          <w:sz w:val="22"/>
          <w:szCs w:val="22"/>
          <w:lang w:val="sr-Latn-ME"/>
        </w:rPr>
        <w:t xml:space="preserve"> (</w:t>
      </w:r>
      <w:proofErr w:type="spellStart"/>
      <w:r w:rsidRPr="006D669F">
        <w:rPr>
          <w:sz w:val="22"/>
          <w:szCs w:val="22"/>
          <w:lang w:val="sr-Latn-ME"/>
        </w:rPr>
        <w:t>CYP2B6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CYP2C8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CYP2C9</w:t>
      </w:r>
      <w:proofErr w:type="spellEnd"/>
      <w:r w:rsidRPr="006D669F">
        <w:rPr>
          <w:sz w:val="22"/>
          <w:szCs w:val="22"/>
          <w:lang w:val="sr-Latn-ME"/>
        </w:rPr>
        <w:t>, CYP2C19, CYP1A2, CYP3A4).</w:t>
      </w:r>
    </w:p>
    <w:p w14:paraId="39236047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1D3168CC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Povećаnje</w:t>
      </w:r>
      <w:proofErr w:type="spellEnd"/>
      <w:r w:rsidRPr="006D669F">
        <w:rPr>
          <w:sz w:val="22"/>
          <w:szCs w:val="22"/>
          <w:lang w:val="sr-Latn-ME"/>
        </w:rPr>
        <w:t xml:space="preserve"> izloženosti </w:t>
      </w:r>
      <w:proofErr w:type="spellStart"/>
      <w:r w:rsidRPr="006D669F">
        <w:rPr>
          <w:sz w:val="22"/>
          <w:szCs w:val="22"/>
          <w:lang w:val="sr-Latn-ME"/>
        </w:rPr>
        <w:t>tolperisonu</w:t>
      </w:r>
      <w:proofErr w:type="spellEnd"/>
      <w:r w:rsidRPr="006D669F">
        <w:rPr>
          <w:sz w:val="22"/>
          <w:szCs w:val="22"/>
          <w:lang w:val="sr-Latn-ME"/>
        </w:rPr>
        <w:t xml:space="preserve"> se ne očekuje poslije istovremene primjene </w:t>
      </w:r>
      <w:proofErr w:type="spellStart"/>
      <w:r w:rsidRPr="006D669F">
        <w:rPr>
          <w:sz w:val="22"/>
          <w:szCs w:val="22"/>
          <w:lang w:val="sr-Latn-ME"/>
        </w:rPr>
        <w:t>CYP2D6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supstrаtа</w:t>
      </w:r>
      <w:proofErr w:type="spellEnd"/>
      <w:r w:rsidRPr="006D669F">
        <w:rPr>
          <w:sz w:val="22"/>
          <w:szCs w:val="22"/>
          <w:lang w:val="sr-Latn-ME"/>
        </w:rPr>
        <w:t xml:space="preserve"> i/ili drugih </w:t>
      </w:r>
      <w:proofErr w:type="spellStart"/>
      <w:r w:rsidRPr="006D669F">
        <w:rPr>
          <w:sz w:val="22"/>
          <w:szCs w:val="22"/>
          <w:lang w:val="sr-Latn-ME"/>
        </w:rPr>
        <w:t>ljekovа</w:t>
      </w:r>
      <w:proofErr w:type="spellEnd"/>
      <w:r w:rsidRPr="006D669F">
        <w:rPr>
          <w:sz w:val="22"/>
          <w:szCs w:val="22"/>
          <w:lang w:val="sr-Latn-ME"/>
        </w:rPr>
        <w:t xml:space="preserve"> zbog </w:t>
      </w:r>
      <w:proofErr w:type="spellStart"/>
      <w:r w:rsidRPr="006D669F">
        <w:rPr>
          <w:sz w:val="22"/>
          <w:szCs w:val="22"/>
          <w:lang w:val="sr-Latn-ME"/>
        </w:rPr>
        <w:t>rаznolikosti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metаboličkih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putevа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0B8E2E42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68914CC7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Biorаspoloživost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se </w:t>
      </w:r>
      <w:proofErr w:type="spellStart"/>
      <w:r w:rsidRPr="006D669F">
        <w:rPr>
          <w:sz w:val="22"/>
          <w:szCs w:val="22"/>
          <w:lang w:val="sr-Latn-ME"/>
        </w:rPr>
        <w:t>smаnjuje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kаdа</w:t>
      </w:r>
      <w:proofErr w:type="spellEnd"/>
      <w:r w:rsidRPr="006D669F">
        <w:rPr>
          <w:sz w:val="22"/>
          <w:szCs w:val="22"/>
          <w:lang w:val="sr-Latn-ME"/>
        </w:rPr>
        <w:t xml:space="preserve"> se </w:t>
      </w:r>
      <w:proofErr w:type="spellStart"/>
      <w:r w:rsidRPr="006D669F">
        <w:rPr>
          <w:sz w:val="22"/>
          <w:szCs w:val="22"/>
          <w:lang w:val="sr-Latn-ME"/>
        </w:rPr>
        <w:t>uzimа</w:t>
      </w:r>
      <w:proofErr w:type="spellEnd"/>
      <w:r w:rsidRPr="006D669F">
        <w:rPr>
          <w:sz w:val="22"/>
          <w:szCs w:val="22"/>
          <w:lang w:val="sr-Latn-ME"/>
        </w:rPr>
        <w:t xml:space="preserve"> bez </w:t>
      </w:r>
      <w:proofErr w:type="spellStart"/>
      <w:r w:rsidRPr="006D669F">
        <w:rPr>
          <w:sz w:val="22"/>
          <w:szCs w:val="22"/>
          <w:lang w:val="sr-Latn-ME"/>
        </w:rPr>
        <w:t>hrаne</w:t>
      </w:r>
      <w:proofErr w:type="spellEnd"/>
      <w:r w:rsidRPr="006D669F">
        <w:rPr>
          <w:sz w:val="22"/>
          <w:szCs w:val="22"/>
          <w:lang w:val="sr-Latn-ME"/>
        </w:rPr>
        <w:t xml:space="preserve">, te se na osnovu navedenog preporučuje konzistentna primjena u odnosu </w:t>
      </w:r>
      <w:proofErr w:type="spellStart"/>
      <w:r w:rsidRPr="006D669F">
        <w:rPr>
          <w:sz w:val="22"/>
          <w:szCs w:val="22"/>
          <w:lang w:val="sr-Latn-ME"/>
        </w:rPr>
        <w:t>nа</w:t>
      </w:r>
      <w:proofErr w:type="spellEnd"/>
      <w:r w:rsidRPr="006D669F">
        <w:rPr>
          <w:sz w:val="22"/>
          <w:szCs w:val="22"/>
          <w:lang w:val="sr-Latn-ME"/>
        </w:rPr>
        <w:t xml:space="preserve"> obroke (vidi odjeljke 4.2 i 5.2).</w:t>
      </w:r>
    </w:p>
    <w:p w14:paraId="293B4DFA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0E738D0B" w14:textId="4379B9C8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lastRenderedPageBreak/>
        <w:t>Iаko</w:t>
      </w:r>
      <w:proofErr w:type="spellEnd"/>
      <w:r w:rsidRPr="006D669F">
        <w:rPr>
          <w:sz w:val="22"/>
          <w:szCs w:val="22"/>
          <w:lang w:val="sr-Latn-ME"/>
        </w:rPr>
        <w:t xml:space="preserve"> je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supstanca</w:t>
      </w:r>
      <w:r w:rsidR="00D105A1" w:rsidRPr="006D669F">
        <w:rPr>
          <w:sz w:val="22"/>
          <w:szCs w:val="22"/>
          <w:lang w:val="sr-Latn-ME"/>
        </w:rPr>
        <w:t xml:space="preserve"> koja d</w:t>
      </w:r>
      <w:r w:rsidR="004D234B" w:rsidRPr="006D669F">
        <w:rPr>
          <w:sz w:val="22"/>
          <w:szCs w:val="22"/>
          <w:lang w:val="sr-Latn-ME"/>
        </w:rPr>
        <w:t>j</w:t>
      </w:r>
      <w:r w:rsidR="00D105A1" w:rsidRPr="006D669F">
        <w:rPr>
          <w:sz w:val="22"/>
          <w:szCs w:val="22"/>
          <w:lang w:val="sr-Latn-ME"/>
        </w:rPr>
        <w:t>eluje na centralni nervni sistem</w:t>
      </w:r>
      <w:r w:rsidRPr="006D669F">
        <w:rPr>
          <w:sz w:val="22"/>
          <w:szCs w:val="22"/>
          <w:lang w:val="sr-Latn-ME"/>
        </w:rPr>
        <w:t xml:space="preserve">, njegov </w:t>
      </w:r>
      <w:proofErr w:type="spellStart"/>
      <w:r w:rsidRPr="006D669F">
        <w:rPr>
          <w:sz w:val="22"/>
          <w:szCs w:val="22"/>
          <w:lang w:val="sr-Latn-ME"/>
        </w:rPr>
        <w:t>potencijаl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dа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izаzove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sedаciju</w:t>
      </w:r>
      <w:proofErr w:type="spellEnd"/>
      <w:r w:rsidRPr="006D669F">
        <w:rPr>
          <w:sz w:val="22"/>
          <w:szCs w:val="22"/>
          <w:lang w:val="sr-Latn-ME"/>
        </w:rPr>
        <w:t xml:space="preserve"> je mali.</w:t>
      </w:r>
      <w:r w:rsidR="00D105A1" w:rsidRPr="006D669F">
        <w:rPr>
          <w:sz w:val="22"/>
          <w:szCs w:val="22"/>
          <w:lang w:val="sr-Latn-ME"/>
        </w:rPr>
        <w:t xml:space="preserve"> </w:t>
      </w:r>
      <w:r w:rsidRPr="006D669F">
        <w:rPr>
          <w:sz w:val="22"/>
          <w:szCs w:val="22"/>
          <w:lang w:val="sr-Latn-ME"/>
        </w:rPr>
        <w:t xml:space="preserve">U </w:t>
      </w:r>
      <w:proofErr w:type="spellStart"/>
      <w:r w:rsidRPr="006D669F">
        <w:rPr>
          <w:sz w:val="22"/>
          <w:szCs w:val="22"/>
          <w:lang w:val="sr-Latn-ME"/>
        </w:rPr>
        <w:t>slučаju</w:t>
      </w:r>
      <w:proofErr w:type="spellEnd"/>
      <w:r w:rsidRPr="006D669F">
        <w:rPr>
          <w:sz w:val="22"/>
          <w:szCs w:val="22"/>
          <w:lang w:val="sr-Latn-ME"/>
        </w:rPr>
        <w:t xml:space="preserve"> istovremene primjene sa drugim centralno-djelujućim </w:t>
      </w:r>
      <w:proofErr w:type="spellStart"/>
      <w:r w:rsidRPr="006D669F">
        <w:rPr>
          <w:sz w:val="22"/>
          <w:szCs w:val="22"/>
          <w:lang w:val="sr-Latn-ME"/>
        </w:rPr>
        <w:t>miorelaksansima</w:t>
      </w:r>
      <w:proofErr w:type="spellEnd"/>
      <w:r w:rsidRPr="006D669F">
        <w:rPr>
          <w:sz w:val="22"/>
          <w:szCs w:val="22"/>
          <w:lang w:val="sr-Latn-ME"/>
        </w:rPr>
        <w:t xml:space="preserve">, potrebno je razmotriti </w:t>
      </w:r>
      <w:proofErr w:type="spellStart"/>
      <w:r w:rsidRPr="006D669F">
        <w:rPr>
          <w:sz w:val="22"/>
          <w:szCs w:val="22"/>
          <w:lang w:val="sr-Latn-ME"/>
        </w:rPr>
        <w:t>smаnjenje</w:t>
      </w:r>
      <w:proofErr w:type="spellEnd"/>
      <w:r w:rsidRPr="006D669F">
        <w:rPr>
          <w:sz w:val="22"/>
          <w:szCs w:val="22"/>
          <w:lang w:val="sr-Latn-ME"/>
        </w:rPr>
        <w:t xml:space="preserve"> doze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01F6A416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</w:p>
    <w:p w14:paraId="6E017F3C" w14:textId="77777777" w:rsidR="008343E0" w:rsidRPr="006D669F" w:rsidRDefault="008343E0" w:rsidP="008343E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Tolperison-hidrohlorid</w:t>
      </w:r>
      <w:proofErr w:type="spellEnd"/>
      <w:r w:rsidRPr="006D669F">
        <w:rPr>
          <w:sz w:val="22"/>
          <w:szCs w:val="22"/>
          <w:lang w:val="sr-Latn-ME"/>
        </w:rPr>
        <w:t xml:space="preserve"> pojačava dejstvo </w:t>
      </w:r>
      <w:proofErr w:type="spellStart"/>
      <w:r w:rsidRPr="006D669F">
        <w:rPr>
          <w:sz w:val="22"/>
          <w:szCs w:val="22"/>
          <w:lang w:val="sr-Latn-ME"/>
        </w:rPr>
        <w:t>nifluminske</w:t>
      </w:r>
      <w:proofErr w:type="spellEnd"/>
      <w:r w:rsidRPr="006D669F">
        <w:rPr>
          <w:sz w:val="22"/>
          <w:szCs w:val="22"/>
          <w:lang w:val="sr-Latn-ME"/>
        </w:rPr>
        <w:t xml:space="preserve"> kiseline. U slučaju istovremene primjene ova dva lijeka, treba razmotriti smanjenje doze </w:t>
      </w:r>
      <w:proofErr w:type="spellStart"/>
      <w:r w:rsidRPr="006D669F">
        <w:rPr>
          <w:sz w:val="22"/>
          <w:szCs w:val="22"/>
          <w:lang w:val="sr-Latn-ME"/>
        </w:rPr>
        <w:t>nifluminske</w:t>
      </w:r>
      <w:proofErr w:type="spellEnd"/>
      <w:r w:rsidRPr="006D669F">
        <w:rPr>
          <w:sz w:val="22"/>
          <w:szCs w:val="22"/>
          <w:lang w:val="sr-Latn-ME"/>
        </w:rPr>
        <w:t xml:space="preserve"> kiseline ili drugih NSAIL.</w:t>
      </w:r>
    </w:p>
    <w:p w14:paraId="1EA93A69" w14:textId="77777777" w:rsidR="008343E0" w:rsidRPr="006D669F" w:rsidRDefault="008343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4F85C7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4.6.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="006D20A5" w:rsidRPr="006D669F">
        <w:rPr>
          <w:b/>
          <w:sz w:val="22"/>
          <w:szCs w:val="22"/>
          <w:lang w:val="sr-Latn-ME"/>
        </w:rPr>
        <w:t>Plodnost, trudnoća i dojenje</w:t>
      </w:r>
    </w:p>
    <w:p w14:paraId="6A2061FE" w14:textId="77777777" w:rsidR="002031B3" w:rsidRPr="006D669F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75C3B91" w14:textId="3E42C1B8" w:rsidR="007A3ECB" w:rsidRPr="006D669F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>Trudnoća</w:t>
      </w:r>
    </w:p>
    <w:p w14:paraId="220E7A06" w14:textId="77777777" w:rsidR="008343E0" w:rsidRPr="006D669F" w:rsidRDefault="008343E0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BBF812C" w14:textId="20A4E399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Na osnovu eksperimenata na životinjama smatra se da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nije </w:t>
      </w:r>
      <w:proofErr w:type="spellStart"/>
      <w:r w:rsidRPr="006D669F">
        <w:rPr>
          <w:sz w:val="22"/>
          <w:szCs w:val="22"/>
          <w:lang w:val="sr-Latn-ME"/>
        </w:rPr>
        <w:t>teratogen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70BC32BB" w14:textId="77777777" w:rsidR="00D105A1" w:rsidRPr="006D669F" w:rsidRDefault="00D105A1" w:rsidP="008343E0">
      <w:pPr>
        <w:jc w:val="both"/>
        <w:rPr>
          <w:sz w:val="22"/>
          <w:szCs w:val="22"/>
          <w:lang w:val="sr-Latn-ME"/>
        </w:rPr>
      </w:pPr>
    </w:p>
    <w:p w14:paraId="5CCB5EEE" w14:textId="341863C6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Zbog nedostatka relevantnih kliničkih podataka i mogućeg rizika od </w:t>
      </w:r>
      <w:proofErr w:type="spellStart"/>
      <w:r w:rsidRPr="006D669F">
        <w:rPr>
          <w:sz w:val="22"/>
          <w:szCs w:val="22"/>
          <w:lang w:val="sr-Latn-ME"/>
        </w:rPr>
        <w:t>embriotoksičnosti</w:t>
      </w:r>
      <w:proofErr w:type="spellEnd"/>
      <w:r w:rsidRPr="006D669F">
        <w:rPr>
          <w:sz w:val="22"/>
          <w:szCs w:val="22"/>
          <w:lang w:val="sr-Latn-ME"/>
        </w:rPr>
        <w:t xml:space="preserve">,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ne bi trebalo primjenjivati u trudnoći (naročito ne u prvom </w:t>
      </w:r>
      <w:proofErr w:type="spellStart"/>
      <w:r w:rsidRPr="006D669F">
        <w:rPr>
          <w:sz w:val="22"/>
          <w:szCs w:val="22"/>
          <w:lang w:val="sr-Latn-ME"/>
        </w:rPr>
        <w:t>trimjestru</w:t>
      </w:r>
      <w:proofErr w:type="spellEnd"/>
      <w:r w:rsidRPr="006D669F">
        <w:rPr>
          <w:sz w:val="22"/>
          <w:szCs w:val="22"/>
          <w:lang w:val="sr-Latn-ME"/>
        </w:rPr>
        <w:t xml:space="preserve">), osim ako očekivane koristi jasno opravdavaju potencijalni rizik po fetus. </w:t>
      </w:r>
    </w:p>
    <w:p w14:paraId="286611E7" w14:textId="77777777" w:rsidR="002031B3" w:rsidRPr="006D669F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6EC997DE" w14:textId="6BF96720" w:rsidR="0072020E" w:rsidRPr="006D669F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 xml:space="preserve">Dojenje </w:t>
      </w:r>
    </w:p>
    <w:p w14:paraId="59F629A4" w14:textId="168A36CF" w:rsidR="008343E0" w:rsidRPr="006D669F" w:rsidRDefault="008343E0" w:rsidP="008343E0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Nije poznato da li se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izlučuje u majčino mlijeko, pa je primjena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kontraindikovana u periodu dojenja.</w:t>
      </w:r>
    </w:p>
    <w:p w14:paraId="46D40E64" w14:textId="77777777" w:rsidR="00227BDB" w:rsidRPr="006D669F" w:rsidRDefault="00227BD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5038FE26" w14:textId="77777777" w:rsidR="0072020E" w:rsidRPr="006D669F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4.7.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 xml:space="preserve">Uticaj na </w:t>
      </w:r>
      <w:r w:rsidR="002031B3" w:rsidRPr="006D669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6D669F">
        <w:rPr>
          <w:b/>
          <w:bCs/>
          <w:sz w:val="22"/>
          <w:szCs w:val="22"/>
          <w:lang w:val="sr-Latn-ME"/>
        </w:rPr>
        <w:t>upravljanja vozili</w:t>
      </w:r>
      <w:r w:rsidRPr="006D669F">
        <w:rPr>
          <w:b/>
          <w:bCs/>
          <w:sz w:val="22"/>
          <w:szCs w:val="22"/>
          <w:lang w:val="sr-Latn-ME"/>
        </w:rPr>
        <w:t>m</w:t>
      </w:r>
      <w:r w:rsidR="00F34554" w:rsidRPr="006D669F">
        <w:rPr>
          <w:b/>
          <w:bCs/>
          <w:sz w:val="22"/>
          <w:szCs w:val="22"/>
          <w:lang w:val="sr-Latn-ME"/>
        </w:rPr>
        <w:t>a</w:t>
      </w:r>
      <w:r w:rsidRPr="006D669F">
        <w:rPr>
          <w:b/>
          <w:bCs/>
          <w:sz w:val="22"/>
          <w:szCs w:val="22"/>
          <w:lang w:val="sr-Latn-ME"/>
        </w:rPr>
        <w:t xml:space="preserve"> i </w:t>
      </w:r>
      <w:r w:rsidR="000D3449" w:rsidRPr="006D669F">
        <w:rPr>
          <w:b/>
          <w:bCs/>
          <w:sz w:val="22"/>
          <w:szCs w:val="22"/>
          <w:lang w:val="sr-Latn-ME"/>
        </w:rPr>
        <w:t xml:space="preserve">rukovanje </w:t>
      </w:r>
      <w:r w:rsidRPr="006D669F">
        <w:rPr>
          <w:b/>
          <w:bCs/>
          <w:sz w:val="22"/>
          <w:szCs w:val="22"/>
          <w:lang w:val="sr-Latn-ME"/>
        </w:rPr>
        <w:t>mašinama</w:t>
      </w:r>
    </w:p>
    <w:p w14:paraId="357AE041" w14:textId="46BB1AB8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514FC5" w14:textId="77777777" w:rsidR="008343E0" w:rsidRPr="006D669F" w:rsidRDefault="008343E0" w:rsidP="008343E0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Mydocalm</w:t>
      </w:r>
      <w:proofErr w:type="spellEnd"/>
      <w:r w:rsidRPr="006D669F">
        <w:rPr>
          <w:sz w:val="22"/>
          <w:szCs w:val="22"/>
          <w:lang w:val="sr-Latn-ME"/>
        </w:rPr>
        <w:t xml:space="preserve"> nema uticaja na sposobnost </w:t>
      </w:r>
      <w:r w:rsidRPr="006D669F">
        <w:rPr>
          <w:bCs/>
          <w:spacing w:val="-8"/>
          <w:sz w:val="22"/>
          <w:szCs w:val="22"/>
          <w:lang w:val="sr-Latn-ME"/>
        </w:rPr>
        <w:t>upravljanja motornim vozilom i rukovanja mašinama.</w:t>
      </w:r>
    </w:p>
    <w:p w14:paraId="556DF914" w14:textId="77777777" w:rsidR="008343E0" w:rsidRPr="006D669F" w:rsidRDefault="008343E0" w:rsidP="008343E0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Pacijenti kod kojih se javi vrtoglavica, pospanost, poremećaj pažnje, epilepsija, zamagljen vid ili mišićna slabost dok uzimaju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treba da se obrate svom ljekaru.</w:t>
      </w:r>
    </w:p>
    <w:p w14:paraId="12FCCD01" w14:textId="77777777" w:rsidR="008343E0" w:rsidRPr="006D669F" w:rsidRDefault="008343E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5F9FF65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4.8.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Neželjena dejstva</w:t>
      </w:r>
    </w:p>
    <w:p w14:paraId="22C7A11B" w14:textId="2FF53BE6" w:rsidR="004E70AD" w:rsidRPr="006D669F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E1441BF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Bezbjednosni</w:t>
      </w:r>
      <w:proofErr w:type="spellEnd"/>
      <w:r w:rsidRPr="006D669F">
        <w:rPr>
          <w:sz w:val="22"/>
          <w:szCs w:val="22"/>
          <w:lang w:val="sr-Latn-ME"/>
        </w:rPr>
        <w:t xml:space="preserve"> profil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je utvrđen na osnovu podataka na više od 12000 pacijenata. Na osnovu ovih podataka, najčešća neželjena dejstva prema sistemu organa su poremećaji kože i potkožnog tkiva, opšti poremećaji, neurološki i gastrointestinalni poremećaji.</w:t>
      </w:r>
    </w:p>
    <w:p w14:paraId="3A2AF0C3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1C634168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Na osnovu </w:t>
      </w:r>
      <w:proofErr w:type="spellStart"/>
      <w:r w:rsidRPr="006D669F">
        <w:rPr>
          <w:sz w:val="22"/>
          <w:szCs w:val="22"/>
          <w:lang w:val="sr-Latn-ME"/>
        </w:rPr>
        <w:t>postmarketinških</w:t>
      </w:r>
      <w:proofErr w:type="spellEnd"/>
      <w:r w:rsidRPr="006D669F">
        <w:rPr>
          <w:sz w:val="22"/>
          <w:szCs w:val="22"/>
          <w:lang w:val="sr-Latn-ME"/>
        </w:rPr>
        <w:t xml:space="preserve"> podataka, reakcije preosjetljivosti povezane sa primjenom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, predstavljaju 50-60% </w:t>
      </w:r>
      <w:proofErr w:type="spellStart"/>
      <w:r w:rsidRPr="006D669F">
        <w:rPr>
          <w:sz w:val="22"/>
          <w:szCs w:val="22"/>
          <w:lang w:val="sr-Latn-ME"/>
        </w:rPr>
        <w:t>zabilježenih</w:t>
      </w:r>
      <w:proofErr w:type="spellEnd"/>
      <w:r w:rsidRPr="006D669F">
        <w:rPr>
          <w:sz w:val="22"/>
          <w:szCs w:val="22"/>
          <w:lang w:val="sr-Latn-ME"/>
        </w:rPr>
        <w:t xml:space="preserve"> slučajeva. Najveći broj ovih slučajeva nijesu bili ozbiljnog </w:t>
      </w:r>
      <w:proofErr w:type="spellStart"/>
      <w:r w:rsidRPr="006D669F">
        <w:rPr>
          <w:sz w:val="22"/>
          <w:szCs w:val="22"/>
          <w:lang w:val="sr-Latn-ME"/>
        </w:rPr>
        <w:t>karakatera</w:t>
      </w:r>
      <w:proofErr w:type="spellEnd"/>
      <w:r w:rsidRPr="006D669F">
        <w:rPr>
          <w:sz w:val="22"/>
          <w:szCs w:val="22"/>
          <w:lang w:val="sr-Latn-ME"/>
        </w:rPr>
        <w:t xml:space="preserve">, spontano su prolazili i nisu imali dugoročne štetne </w:t>
      </w:r>
      <w:proofErr w:type="spellStart"/>
      <w:r w:rsidRPr="006D669F">
        <w:rPr>
          <w:sz w:val="22"/>
          <w:szCs w:val="22"/>
          <w:lang w:val="sr-Latn-ME"/>
        </w:rPr>
        <w:t>posledice</w:t>
      </w:r>
      <w:proofErr w:type="spellEnd"/>
      <w:r w:rsidRPr="006D669F">
        <w:rPr>
          <w:sz w:val="22"/>
          <w:szCs w:val="22"/>
          <w:lang w:val="sr-Latn-ME"/>
        </w:rPr>
        <w:t xml:space="preserve"> po zdravlje. Životno-</w:t>
      </w:r>
      <w:proofErr w:type="spellStart"/>
      <w:r w:rsidRPr="006D669F">
        <w:rPr>
          <w:sz w:val="22"/>
          <w:szCs w:val="22"/>
          <w:lang w:val="sr-Latn-ME"/>
        </w:rPr>
        <w:t>ugrožavajuće</w:t>
      </w:r>
      <w:proofErr w:type="spellEnd"/>
      <w:r w:rsidRPr="006D669F">
        <w:rPr>
          <w:sz w:val="22"/>
          <w:szCs w:val="22"/>
          <w:lang w:val="sr-Latn-ME"/>
        </w:rPr>
        <w:t xml:space="preserve"> reakcije preosjetljivosti su zabilježene veoma rijetko.</w:t>
      </w:r>
    </w:p>
    <w:p w14:paraId="26D10115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3B23555A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Tabela u nastavku pokazuje neželjena dejstva kodirana prema </w:t>
      </w:r>
      <w:proofErr w:type="spellStart"/>
      <w:r w:rsidRPr="006D669F">
        <w:rPr>
          <w:sz w:val="22"/>
          <w:szCs w:val="22"/>
          <w:lang w:val="sr-Latn-ME"/>
        </w:rPr>
        <w:t>MedDRA</w:t>
      </w:r>
      <w:proofErr w:type="spellEnd"/>
      <w:r w:rsidRPr="006D669F">
        <w:rPr>
          <w:sz w:val="22"/>
          <w:szCs w:val="22"/>
          <w:lang w:val="sr-Latn-ME"/>
        </w:rPr>
        <w:t xml:space="preserve"> klasi sistema</w:t>
      </w:r>
      <w:r w:rsidRPr="006D669F" w:rsidDel="00EF2DCE">
        <w:rPr>
          <w:sz w:val="22"/>
          <w:szCs w:val="22"/>
          <w:lang w:val="sr-Latn-ME"/>
        </w:rPr>
        <w:t xml:space="preserve"> </w:t>
      </w:r>
      <w:r w:rsidRPr="006D669F">
        <w:rPr>
          <w:sz w:val="22"/>
          <w:szCs w:val="22"/>
          <w:lang w:val="sr-Latn-ME"/>
        </w:rPr>
        <w:t>organa i prikazuje njihovu učestalost pojavljivanja: veoma često (≥ 1/10), često (≥ 1/100 do &lt; 1/10), povremeno (≥ 1/1000 do &lt; 1/100),  rijetko (≥ 1/10000 do &lt; 1/1000), veoma rijetko (&lt; 1/10000).</w:t>
      </w:r>
    </w:p>
    <w:p w14:paraId="6E07B501" w14:textId="6528BC43" w:rsidR="008343E0" w:rsidRPr="006D669F" w:rsidRDefault="008343E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9099" w:type="dxa"/>
        <w:tblLayout w:type="fixed"/>
        <w:tblLook w:val="04A0" w:firstRow="1" w:lastRow="0" w:firstColumn="1" w:lastColumn="0" w:noHBand="0" w:noVBand="1"/>
      </w:tblPr>
      <w:tblGrid>
        <w:gridCol w:w="16"/>
        <w:gridCol w:w="2319"/>
        <w:gridCol w:w="10"/>
        <w:gridCol w:w="2074"/>
        <w:gridCol w:w="2150"/>
        <w:gridCol w:w="2530"/>
      </w:tblGrid>
      <w:tr w:rsidR="005650A2" w:rsidRPr="006D669F" w14:paraId="7CD3AE6E" w14:textId="77777777" w:rsidTr="008966E2">
        <w:trPr>
          <w:trHeight w:val="302"/>
        </w:trPr>
        <w:tc>
          <w:tcPr>
            <w:tcW w:w="23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1DD5D16F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MedDRA</w:t>
            </w:r>
            <w:proofErr w:type="spellEnd"/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 xml:space="preserve"> klasa sistema organa 17.0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2ED05948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Povremena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09FDDD5A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Rijetka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6B217007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Veoma rijetka</w:t>
            </w:r>
          </w:p>
        </w:tc>
      </w:tr>
      <w:tr w:rsidR="005650A2" w:rsidRPr="006D669F" w14:paraId="33D61AA5" w14:textId="77777777" w:rsidTr="008966E2">
        <w:trPr>
          <w:trHeight w:val="574"/>
        </w:trPr>
        <w:tc>
          <w:tcPr>
            <w:tcW w:w="23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D7B5C2" w14:textId="77777777" w:rsidR="005650A2" w:rsidRPr="006D669F" w:rsidRDefault="005650A2" w:rsidP="001A5D16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7164C0CB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(≥1/1000 to &lt;1/100)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3B3B3"/>
            <w:hideMark/>
          </w:tcPr>
          <w:p w14:paraId="41452C79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(≥1/10000 to &lt;1/1000)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3B3B3"/>
            <w:hideMark/>
          </w:tcPr>
          <w:p w14:paraId="15C7FA32" w14:textId="77777777" w:rsidR="005650A2" w:rsidRPr="006D669F" w:rsidRDefault="005650A2" w:rsidP="001A5D16">
            <w:pPr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(&lt;1/10000)</w:t>
            </w:r>
          </w:p>
        </w:tc>
      </w:tr>
      <w:tr w:rsidR="005650A2" w:rsidRPr="006D669F" w14:paraId="7544001B" w14:textId="77777777" w:rsidTr="008966E2">
        <w:trPr>
          <w:trHeight w:val="417"/>
        </w:trPr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8F48C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krvi i limfnog sistema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7913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9C0E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E689DF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Anemija</w:t>
            </w:r>
          </w:p>
        </w:tc>
      </w:tr>
      <w:tr w:rsidR="005650A2" w:rsidRPr="006D669F" w14:paraId="2CD33210" w14:textId="77777777" w:rsidTr="008966E2">
        <w:trPr>
          <w:trHeight w:val="302"/>
        </w:trPr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12AE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7541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27F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B1B4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Limfadenopatija</w:t>
            </w:r>
            <w:proofErr w:type="spellEnd"/>
          </w:p>
        </w:tc>
      </w:tr>
      <w:tr w:rsidR="005650A2" w:rsidRPr="006D669F" w14:paraId="21492AE1" w14:textId="77777777" w:rsidTr="008966E2">
        <w:trPr>
          <w:trHeight w:val="604"/>
        </w:trPr>
        <w:tc>
          <w:tcPr>
            <w:tcW w:w="233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46A67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imunskog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20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BC0D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4EEE6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Reakcija preosjetljivosti*</w:t>
            </w:r>
          </w:p>
        </w:tc>
        <w:tc>
          <w:tcPr>
            <w:tcW w:w="2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DE5E5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Anafilaktički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 šok</w:t>
            </w:r>
          </w:p>
        </w:tc>
      </w:tr>
      <w:tr w:rsidR="005650A2" w:rsidRPr="006D669F" w14:paraId="1D4095CA" w14:textId="77777777" w:rsidTr="008966E2">
        <w:trPr>
          <w:trHeight w:val="302"/>
        </w:trPr>
        <w:tc>
          <w:tcPr>
            <w:tcW w:w="23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C56B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0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5EE1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C2BF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Anafilaktička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reakcija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C72C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5650A2" w:rsidRPr="006D669F" w14:paraId="0F418E18" w14:textId="77777777" w:rsidTr="008966E2">
        <w:trPr>
          <w:trHeight w:val="60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1FB4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metabolizma i ishrane</w:t>
            </w: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01482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Anoreksija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8A14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10CB6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Polidipsija</w:t>
            </w:r>
            <w:proofErr w:type="spellEnd"/>
          </w:p>
        </w:tc>
      </w:tr>
      <w:tr w:rsidR="00BF4A75" w:rsidRPr="006D669F" w14:paraId="7A34E22D" w14:textId="77777777" w:rsidTr="008966E2">
        <w:trPr>
          <w:trHeight w:val="60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D861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lastRenderedPageBreak/>
              <w:t xml:space="preserve">Psihijatrijski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96C594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Insomnija</w:t>
            </w:r>
            <w:proofErr w:type="spellEnd"/>
          </w:p>
          <w:p w14:paraId="2C1DDAC7" w14:textId="33267610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Poremećaj spavanja</w:t>
            </w:r>
          </w:p>
        </w:tc>
        <w:tc>
          <w:tcPr>
            <w:tcW w:w="21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E8870B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Smanjena aktivnost</w:t>
            </w:r>
          </w:p>
          <w:p w14:paraId="105EE075" w14:textId="01919F25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Depresija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C04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Konfuzija</w:t>
            </w:r>
          </w:p>
        </w:tc>
      </w:tr>
      <w:tr w:rsidR="00BF4A75" w:rsidRPr="006D669F" w14:paraId="2F722FA2" w14:textId="77777777" w:rsidTr="008966E2">
        <w:trPr>
          <w:trHeight w:val="185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A6B0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nervnog sistema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58C6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Glavobolja</w:t>
            </w:r>
          </w:p>
          <w:p w14:paraId="05AC6725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Vrtoglavica</w:t>
            </w:r>
          </w:p>
          <w:p w14:paraId="41FDA74B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Pospanost</w:t>
            </w:r>
          </w:p>
          <w:p w14:paraId="3B07D29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  <w:p w14:paraId="3625FB37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  <w:p w14:paraId="5DE7A153" w14:textId="6A232E1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662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Poremećaji pažnje</w:t>
            </w:r>
          </w:p>
          <w:p w14:paraId="5AE3F121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Tremor</w:t>
            </w:r>
            <w:proofErr w:type="spellEnd"/>
          </w:p>
          <w:p w14:paraId="75A66377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Epilepsija</w:t>
            </w:r>
          </w:p>
          <w:p w14:paraId="0B42BC54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Hipoestezija</w:t>
            </w:r>
            <w:proofErr w:type="spellEnd"/>
          </w:p>
          <w:p w14:paraId="1A3F8BCE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Parestezija</w:t>
            </w:r>
            <w:proofErr w:type="spellEnd"/>
          </w:p>
          <w:p w14:paraId="1A24E2DE" w14:textId="12E31489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Letargija</w:t>
            </w: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01FD7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5650A2" w:rsidRPr="006D669F" w14:paraId="3F7E0F40" w14:textId="77777777" w:rsidTr="008966E2">
        <w:trPr>
          <w:trHeight w:val="60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81A7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oka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9FFC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B68DB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Zamućen vid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5907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BF4A75" w:rsidRPr="006D669F" w14:paraId="0428F6D7" w14:textId="77777777" w:rsidTr="008966E2">
        <w:trPr>
          <w:trHeight w:val="891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DC7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uha i labirinta</w:t>
            </w:r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E538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F141F6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Tinitus</w:t>
            </w:r>
            <w:proofErr w:type="spellEnd"/>
          </w:p>
          <w:p w14:paraId="253A6D16" w14:textId="027C472C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Vertigo</w:t>
            </w:r>
            <w:proofErr w:type="spellEnd"/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35E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BF4A75" w:rsidRPr="006D669F" w14:paraId="26B40D98" w14:textId="77777777" w:rsidTr="008966E2">
        <w:trPr>
          <w:trHeight w:val="1229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36A5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Kardiološki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52950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04D9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Angina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pektoris</w:t>
            </w:r>
            <w:proofErr w:type="spellEnd"/>
          </w:p>
          <w:p w14:paraId="070BCBDB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Tahikardija</w:t>
            </w:r>
          </w:p>
          <w:p w14:paraId="6A984DEC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Palpitacije</w:t>
            </w:r>
            <w:proofErr w:type="spellEnd"/>
          </w:p>
          <w:p w14:paraId="6C6EC5F1" w14:textId="0F551AB5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8D4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Bradikardija</w:t>
            </w:r>
            <w:proofErr w:type="spellEnd"/>
          </w:p>
        </w:tc>
      </w:tr>
      <w:tr w:rsidR="005650A2" w:rsidRPr="006D669F" w14:paraId="7D6AB39E" w14:textId="77777777" w:rsidTr="008966E2">
        <w:trPr>
          <w:trHeight w:val="302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952E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Vaskularni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FEC37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Hipotenzija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C00A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Nalijeti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vrućine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131A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5650A2" w:rsidRPr="006D669F" w14:paraId="0C0283BC" w14:textId="77777777" w:rsidTr="008966E2">
        <w:trPr>
          <w:trHeight w:val="119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9B92D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medijastinalni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A1BB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471E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Dispneja</w:t>
            </w:r>
            <w:proofErr w:type="spellEnd"/>
          </w:p>
          <w:p w14:paraId="4EC33A71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Epistaksa</w:t>
            </w:r>
            <w:proofErr w:type="spellEnd"/>
          </w:p>
          <w:p w14:paraId="32A5D426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Tahipneja</w:t>
            </w:r>
            <w:proofErr w:type="spellEnd"/>
          </w:p>
        </w:tc>
        <w:tc>
          <w:tcPr>
            <w:tcW w:w="2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87A24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F20F67" w:rsidRPr="006D669F" w14:paraId="68013908" w14:textId="77777777" w:rsidTr="008966E2">
        <w:trPr>
          <w:trHeight w:val="1843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0E4C2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Gastrointestinalni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7259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Osjećaj nelagodnosti u abdomenu</w:t>
            </w:r>
          </w:p>
          <w:p w14:paraId="761E6B43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Dijareja</w:t>
            </w:r>
          </w:p>
          <w:p w14:paraId="0805EC9E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Suvoća usta</w:t>
            </w:r>
          </w:p>
          <w:p w14:paraId="665325DD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Dispepsija</w:t>
            </w:r>
          </w:p>
          <w:p w14:paraId="42D4C1BD" w14:textId="1EE07F88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Mučnina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1F2F9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Epigastrični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bol</w:t>
            </w:r>
          </w:p>
          <w:p w14:paraId="2D42F354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Konstipacija</w:t>
            </w:r>
          </w:p>
          <w:p w14:paraId="7C7DB22E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Nadutost</w:t>
            </w:r>
          </w:p>
          <w:p w14:paraId="7D2998A7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Povraćanje</w:t>
            </w:r>
          </w:p>
          <w:p w14:paraId="771952A3" w14:textId="3FD227F1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3565" w14:textId="77777777" w:rsidR="00F20F67" w:rsidRPr="006D669F" w:rsidRDefault="00F20F67" w:rsidP="001A5D16">
            <w:pPr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b/>
                <w:bCs/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5650A2" w:rsidRPr="006D669F" w14:paraId="68FBF326" w14:textId="77777777" w:rsidTr="008966E2">
        <w:trPr>
          <w:trHeight w:val="604"/>
        </w:trPr>
        <w:tc>
          <w:tcPr>
            <w:tcW w:w="23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85EB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Hepatobilijarni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3793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ECE0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Blago oštećenje funkcije jetre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2B90" w14:textId="77777777" w:rsidR="005650A2" w:rsidRPr="006D669F" w:rsidRDefault="005650A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F20F67" w:rsidRPr="006D669F" w14:paraId="5D44F572" w14:textId="77777777" w:rsidTr="008966E2">
        <w:trPr>
          <w:gridBefore w:val="1"/>
          <w:wBefore w:w="16" w:type="dxa"/>
          <w:trHeight w:val="1551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EFB8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kože i potkožnog tkiva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236F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BEE4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Alergijski dermatitis</w:t>
            </w:r>
          </w:p>
          <w:p w14:paraId="519515C1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Hiperhidrozis</w:t>
            </w:r>
            <w:proofErr w:type="spellEnd"/>
          </w:p>
          <w:p w14:paraId="5F7080A7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Pruritus</w:t>
            </w:r>
            <w:proofErr w:type="spellEnd"/>
          </w:p>
          <w:p w14:paraId="7A0463F3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Urtikarija</w:t>
            </w:r>
          </w:p>
          <w:p w14:paraId="00143F02" w14:textId="157B66F4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Osip</w:t>
            </w: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</w:tcPr>
          <w:p w14:paraId="23C1CF93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</w:tr>
      <w:tr w:rsidR="00BF4A75" w:rsidRPr="006D669F" w14:paraId="295CC4EB" w14:textId="77777777" w:rsidTr="008966E2">
        <w:trPr>
          <w:gridBefore w:val="1"/>
          <w:wBefore w:w="16" w:type="dxa"/>
          <w:trHeight w:val="927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5902" w14:textId="0D5BD123" w:rsidR="00BF4A75" w:rsidRPr="006D669F" w:rsidRDefault="008966E2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>
              <w:rPr>
                <w:noProof/>
                <w:color w:val="000000"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72D1C8" wp14:editId="7915AD46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596900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638C5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47pt" to="217.9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BF4A75"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="00BF4A75" w:rsidRPr="006D669F">
              <w:rPr>
                <w:color w:val="000000"/>
                <w:sz w:val="22"/>
                <w:szCs w:val="22"/>
                <w:lang w:val="sr-Latn-ME"/>
              </w:rPr>
              <w:t xml:space="preserve"> mišićno- koštanog, sistema i vezivnog tkiva</w:t>
            </w:r>
          </w:p>
        </w:tc>
        <w:tc>
          <w:tcPr>
            <w:tcW w:w="20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596BC3F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Mišićna slabost</w:t>
            </w:r>
          </w:p>
          <w:p w14:paraId="32C0AE1B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Mijalgija</w:t>
            </w:r>
            <w:proofErr w:type="spellEnd"/>
          </w:p>
          <w:p w14:paraId="14EE786C" w14:textId="24E406F8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Bol u ekstremitetima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80C8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Nelagodnost u ekstremitetima</w:t>
            </w:r>
          </w:p>
        </w:tc>
        <w:tc>
          <w:tcPr>
            <w:tcW w:w="2530" w:type="dxa"/>
            <w:tcBorders>
              <w:top w:val="single" w:sz="4" w:space="0" w:color="auto"/>
              <w:right w:val="single" w:sz="4" w:space="0" w:color="auto"/>
            </w:tcBorders>
          </w:tcPr>
          <w:p w14:paraId="44EF3F50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Osteopenija</w:t>
            </w:r>
            <w:proofErr w:type="spellEnd"/>
          </w:p>
        </w:tc>
      </w:tr>
      <w:tr w:rsidR="00F20F67" w:rsidRPr="006D669F" w14:paraId="66C8A378" w14:textId="77777777" w:rsidTr="008966E2">
        <w:trPr>
          <w:gridBefore w:val="1"/>
          <w:wBefore w:w="16" w:type="dxa"/>
          <w:trHeight w:val="302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D4AC" w14:textId="5BD64EEF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Poremećaji bubrega 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urinarnog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sistema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9C4D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0145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Enureza</w:t>
            </w:r>
            <w:proofErr w:type="spellEnd"/>
          </w:p>
          <w:p w14:paraId="6E2243A9" w14:textId="7D11410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Proteinurija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96D1" w14:textId="77777777" w:rsidR="00F20F67" w:rsidRPr="006D669F" w:rsidRDefault="00F20F67" w:rsidP="001A5D16">
            <w:pPr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BF4A75" w:rsidRPr="006D669F" w14:paraId="164261A1" w14:textId="77777777" w:rsidTr="008966E2">
        <w:trPr>
          <w:gridBefore w:val="1"/>
          <w:wBefore w:w="16" w:type="dxa"/>
          <w:trHeight w:val="1239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D861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Opšti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poremjećaji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i reakcije na mjestu primjene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D3BEC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Astenija</w:t>
            </w:r>
          </w:p>
          <w:p w14:paraId="60609CC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Nelagodnost</w:t>
            </w:r>
          </w:p>
          <w:p w14:paraId="756A9803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Zamor</w:t>
            </w:r>
          </w:p>
          <w:p w14:paraId="6C64BD07" w14:textId="1556AD9E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9CD5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Osjećaj mamurluka</w:t>
            </w:r>
          </w:p>
          <w:p w14:paraId="3D97635B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Osjećaj vrućine</w:t>
            </w:r>
          </w:p>
          <w:p w14:paraId="73CB7AF0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Iritabilnost</w:t>
            </w:r>
            <w:proofErr w:type="spellEnd"/>
          </w:p>
          <w:p w14:paraId="6FB4B3CB" w14:textId="60384411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Žeđ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7580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Nelagodnost u grudima</w:t>
            </w:r>
          </w:p>
        </w:tc>
      </w:tr>
      <w:tr w:rsidR="00BF4A75" w:rsidRPr="006D669F" w14:paraId="3EAC9DF9" w14:textId="77777777" w:rsidTr="008966E2">
        <w:trPr>
          <w:gridBefore w:val="1"/>
          <w:wBefore w:w="16" w:type="dxa"/>
          <w:trHeight w:val="2448"/>
        </w:trPr>
        <w:tc>
          <w:tcPr>
            <w:tcW w:w="23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C027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lastRenderedPageBreak/>
              <w:t>Ispitivanja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7AFF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DF9E" w14:textId="682BD2BA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Smanjen krvni pritisak</w:t>
            </w:r>
          </w:p>
          <w:p w14:paraId="4CD583F5" w14:textId="6BB0E833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Povećan nivo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bilirubina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u krvi</w:t>
            </w:r>
          </w:p>
          <w:p w14:paraId="363420CD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Abnormalne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vrednosti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enzima jetre</w:t>
            </w:r>
          </w:p>
          <w:p w14:paraId="08DB274D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Smanjen broj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trombocita</w:t>
            </w:r>
            <w:proofErr w:type="spellEnd"/>
          </w:p>
          <w:p w14:paraId="017B78E2" w14:textId="5A7F6BBE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>Povećan broj bijelih krvnih zrnaca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2D52" w14:textId="77777777" w:rsidR="00BF4A75" w:rsidRPr="006D669F" w:rsidRDefault="00BF4A75" w:rsidP="001A5D16">
            <w:pPr>
              <w:rPr>
                <w:color w:val="000000"/>
                <w:sz w:val="22"/>
                <w:szCs w:val="22"/>
                <w:lang w:val="sr-Latn-ME"/>
              </w:rPr>
            </w:pPr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Povećan nivo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vrednosti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6D669F">
              <w:rPr>
                <w:color w:val="000000"/>
                <w:sz w:val="22"/>
                <w:szCs w:val="22"/>
                <w:lang w:val="sr-Latn-ME"/>
              </w:rPr>
              <w:t>kreatinina</w:t>
            </w:r>
            <w:proofErr w:type="spellEnd"/>
            <w:r w:rsidRPr="006D669F">
              <w:rPr>
                <w:color w:val="000000"/>
                <w:sz w:val="22"/>
                <w:szCs w:val="22"/>
                <w:lang w:val="sr-Latn-ME"/>
              </w:rPr>
              <w:t xml:space="preserve"> u krvi</w:t>
            </w:r>
          </w:p>
        </w:tc>
      </w:tr>
    </w:tbl>
    <w:p w14:paraId="66CB3C51" w14:textId="620E6474" w:rsidR="005650A2" w:rsidRPr="006D669F" w:rsidRDefault="008966E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>
        <w:rPr>
          <w:b/>
          <w:bCs/>
          <w:noProof/>
          <w:sz w:val="22"/>
          <w:szCs w:val="22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0AF39" wp14:editId="51113A7F">
                <wp:simplePos x="0" y="0"/>
                <wp:positionH relativeFrom="column">
                  <wp:posOffset>23494</wp:posOffset>
                </wp:positionH>
                <wp:positionV relativeFrom="paragraph">
                  <wp:posOffset>-2569210</wp:posOffset>
                </wp:positionV>
                <wp:extent cx="14763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986E2B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-202.3pt" to="118.1pt,-2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16BB79A0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spacing w:before="80" w:after="80"/>
        <w:jc w:val="both"/>
        <w:rPr>
          <w:bCs/>
          <w:sz w:val="22"/>
          <w:szCs w:val="22"/>
          <w:lang w:val="sr-Latn-ME"/>
        </w:rPr>
      </w:pPr>
      <w:r w:rsidRPr="006D669F">
        <w:rPr>
          <w:color w:val="000000"/>
          <w:sz w:val="22"/>
          <w:szCs w:val="22"/>
          <w:lang w:val="sr-Latn-ME"/>
        </w:rPr>
        <w:t xml:space="preserve">* </w:t>
      </w:r>
      <w:r w:rsidRPr="006D669F">
        <w:rPr>
          <w:bCs/>
          <w:sz w:val="22"/>
          <w:szCs w:val="22"/>
          <w:lang w:val="sr-Latn-ME"/>
        </w:rPr>
        <w:t xml:space="preserve">Tokom </w:t>
      </w:r>
      <w:proofErr w:type="spellStart"/>
      <w:r w:rsidRPr="006D669F">
        <w:rPr>
          <w:bCs/>
          <w:sz w:val="22"/>
          <w:szCs w:val="22"/>
          <w:lang w:val="sr-Latn-ME"/>
        </w:rPr>
        <w:t>postmarketinškog</w:t>
      </w:r>
      <w:proofErr w:type="spellEnd"/>
      <w:r w:rsidRPr="006D669F">
        <w:rPr>
          <w:bCs/>
          <w:sz w:val="22"/>
          <w:szCs w:val="22"/>
          <w:lang w:val="sr-Latn-ME"/>
        </w:rPr>
        <w:t xml:space="preserve"> praćenja prijavljene su sledeće reakcije (nepoznata učestalost): </w:t>
      </w:r>
      <w:proofErr w:type="spellStart"/>
      <w:r w:rsidRPr="006D669F">
        <w:rPr>
          <w:bCs/>
          <w:sz w:val="22"/>
          <w:szCs w:val="22"/>
          <w:lang w:val="sr-Latn-ME"/>
        </w:rPr>
        <w:t>angioedem</w:t>
      </w:r>
      <w:proofErr w:type="spellEnd"/>
      <w:r w:rsidRPr="006D669F">
        <w:rPr>
          <w:bCs/>
          <w:sz w:val="22"/>
          <w:szCs w:val="22"/>
          <w:lang w:val="sr-Latn-ME"/>
        </w:rPr>
        <w:t xml:space="preserve"> (uključujući </w:t>
      </w:r>
      <w:proofErr w:type="spellStart"/>
      <w:r w:rsidRPr="006D669F">
        <w:rPr>
          <w:bCs/>
          <w:sz w:val="22"/>
          <w:szCs w:val="22"/>
          <w:lang w:val="sr-Latn-ME"/>
        </w:rPr>
        <w:t>edem</w:t>
      </w:r>
      <w:proofErr w:type="spellEnd"/>
      <w:r w:rsidRPr="006D669F">
        <w:rPr>
          <w:bCs/>
          <w:sz w:val="22"/>
          <w:szCs w:val="22"/>
          <w:lang w:val="sr-Latn-ME"/>
        </w:rPr>
        <w:t xml:space="preserve"> lica, oticanje usana).</w:t>
      </w:r>
    </w:p>
    <w:p w14:paraId="2845BEF5" w14:textId="77777777" w:rsidR="005650A2" w:rsidRPr="006D669F" w:rsidRDefault="005650A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F7C535C" w14:textId="77777777" w:rsidR="005A23D2" w:rsidRPr="006D669F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6D669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F96E65C" w14:textId="77777777" w:rsidR="005A23D2" w:rsidRPr="006D669F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6D669F">
        <w:rPr>
          <w:rFonts w:eastAsia="Calibri"/>
          <w:sz w:val="22"/>
          <w:szCs w:val="22"/>
          <w:lang w:val="sr-Latn-ME"/>
        </w:rPr>
        <w:t>inuirano praćenje odnosa korist</w:t>
      </w:r>
      <w:r w:rsidRPr="006D669F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6D669F">
        <w:rPr>
          <w:rFonts w:eastAsia="Calibri"/>
          <w:sz w:val="22"/>
          <w:szCs w:val="22"/>
          <w:lang w:val="sr-Latn-ME"/>
        </w:rPr>
        <w:t xml:space="preserve"> </w:t>
      </w:r>
      <w:r w:rsidRPr="006D669F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6D669F">
        <w:rPr>
          <w:rFonts w:eastAsia="Calibri"/>
          <w:sz w:val="22"/>
          <w:szCs w:val="22"/>
          <w:lang w:val="sr-Latn-ME"/>
        </w:rPr>
        <w:t>Institutu</w:t>
      </w:r>
      <w:r w:rsidRPr="006D669F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6D669F">
        <w:rPr>
          <w:rFonts w:eastAsia="Calibri"/>
          <w:sz w:val="22"/>
          <w:szCs w:val="22"/>
          <w:lang w:val="sr-Latn-ME"/>
        </w:rPr>
        <w:t xml:space="preserve"> </w:t>
      </w:r>
      <w:r w:rsidRPr="006D669F">
        <w:rPr>
          <w:rFonts w:eastAsia="Calibri"/>
          <w:sz w:val="22"/>
          <w:szCs w:val="22"/>
          <w:lang w:val="sr-Latn-ME"/>
        </w:rPr>
        <w:t>(</w:t>
      </w:r>
      <w:r w:rsidR="004E70AD" w:rsidRPr="006D669F">
        <w:rPr>
          <w:rFonts w:eastAsia="Calibri"/>
          <w:sz w:val="22"/>
          <w:szCs w:val="22"/>
          <w:lang w:val="sr-Latn-ME"/>
        </w:rPr>
        <w:t>CInMED</w:t>
      </w:r>
      <w:r w:rsidRPr="006D669F">
        <w:rPr>
          <w:rFonts w:eastAsia="Calibri"/>
          <w:sz w:val="22"/>
          <w:szCs w:val="22"/>
          <w:lang w:val="sr-Latn-ME"/>
        </w:rPr>
        <w:t>):</w:t>
      </w:r>
    </w:p>
    <w:p w14:paraId="1B102D84" w14:textId="77777777" w:rsidR="005A23D2" w:rsidRPr="006D669F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6D669F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56AEEF7A" w14:textId="77777777" w:rsidR="005A23D2" w:rsidRPr="006D669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6D669F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102602F3" w14:textId="77777777" w:rsidR="00EA5765" w:rsidRPr="006D669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D4BDFC6" w14:textId="77777777" w:rsidR="00EA5765" w:rsidRPr="006D669F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02D46AF4" w14:textId="77777777" w:rsidR="005A23D2" w:rsidRPr="006D669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>tel: +382 (0) 20 310 280</w:t>
      </w:r>
    </w:p>
    <w:p w14:paraId="2A17B2B6" w14:textId="77777777" w:rsidR="00EA5765" w:rsidRPr="006D669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6D669F">
        <w:rPr>
          <w:rFonts w:eastAsia="Calibri"/>
          <w:sz w:val="22"/>
          <w:szCs w:val="22"/>
          <w:lang w:val="sr-Latn-ME"/>
        </w:rPr>
        <w:t>fax</w:t>
      </w:r>
      <w:proofErr w:type="spellEnd"/>
      <w:r w:rsidRPr="006D669F">
        <w:rPr>
          <w:rFonts w:eastAsia="Calibri"/>
          <w:sz w:val="22"/>
          <w:szCs w:val="22"/>
          <w:lang w:val="sr-Latn-ME"/>
        </w:rPr>
        <w:t>:</w:t>
      </w:r>
      <w:r w:rsidR="00EA5765" w:rsidRPr="006D669F">
        <w:rPr>
          <w:rFonts w:eastAsia="Calibri"/>
          <w:sz w:val="22"/>
          <w:szCs w:val="22"/>
          <w:lang w:val="sr-Latn-ME"/>
        </w:rPr>
        <w:t xml:space="preserve"> </w:t>
      </w:r>
      <w:r w:rsidRPr="006D669F">
        <w:rPr>
          <w:rFonts w:eastAsia="Calibri"/>
          <w:sz w:val="22"/>
          <w:szCs w:val="22"/>
          <w:lang w:val="sr-Latn-ME"/>
        </w:rPr>
        <w:t>+382 (0) 20 310 581</w:t>
      </w:r>
    </w:p>
    <w:p w14:paraId="6A2FC011" w14:textId="77777777" w:rsidR="005A23D2" w:rsidRPr="006D669F" w:rsidRDefault="003A11C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6D669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44E835C0" w14:textId="77777777" w:rsidR="00EA5765" w:rsidRPr="006D669F" w:rsidRDefault="003A11C9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6D669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1B62DDF8" w14:textId="77777777" w:rsidR="005A23D2" w:rsidRPr="006D669F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D669F">
        <w:rPr>
          <w:rFonts w:eastAsia="Calibri"/>
          <w:sz w:val="22"/>
          <w:szCs w:val="22"/>
          <w:lang w:val="sr-Latn-ME"/>
        </w:rPr>
        <w:t>putem IS zdravstvene zaštite</w:t>
      </w:r>
    </w:p>
    <w:p w14:paraId="18D449AC" w14:textId="77777777" w:rsidR="00785E60" w:rsidRPr="006D669F" w:rsidRDefault="00785E60" w:rsidP="00785E60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proofErr w:type="spellStart"/>
      <w:r w:rsidRPr="006D669F">
        <w:rPr>
          <w:rFonts w:eastAsia="Calibri"/>
          <w:sz w:val="22"/>
          <w:szCs w:val="22"/>
          <w:lang w:val="sr-Latn-RS"/>
        </w:rPr>
        <w:t>QR</w:t>
      </w:r>
      <w:proofErr w:type="spellEnd"/>
      <w:r w:rsidRPr="006D669F">
        <w:rPr>
          <w:rFonts w:eastAsia="Calibri"/>
          <w:sz w:val="22"/>
          <w:szCs w:val="22"/>
          <w:lang w:val="sr-Latn-RS"/>
        </w:rPr>
        <w:t xml:space="preserve"> kod za </w:t>
      </w:r>
      <w:proofErr w:type="spellStart"/>
      <w:r w:rsidRPr="006D669F">
        <w:rPr>
          <w:rFonts w:eastAsia="Calibri"/>
          <w:sz w:val="22"/>
          <w:szCs w:val="22"/>
          <w:lang w:val="sr-Latn-RS"/>
        </w:rPr>
        <w:t>online</w:t>
      </w:r>
      <w:proofErr w:type="spellEnd"/>
      <w:r w:rsidRPr="006D669F">
        <w:rPr>
          <w:rFonts w:eastAsia="Calibri"/>
          <w:sz w:val="22"/>
          <w:szCs w:val="22"/>
          <w:lang w:val="sr-Latn-RS"/>
        </w:rPr>
        <w:t xml:space="preserve"> prijavu sumnje na neželjeno dejstvo </w:t>
      </w:r>
      <w:proofErr w:type="spellStart"/>
      <w:r w:rsidRPr="006D669F">
        <w:rPr>
          <w:rFonts w:eastAsia="Calibri"/>
          <w:sz w:val="22"/>
          <w:szCs w:val="22"/>
          <w:lang w:val="sr-Latn-RS"/>
        </w:rPr>
        <w:t>lijeka</w:t>
      </w:r>
      <w:proofErr w:type="spellEnd"/>
      <w:r w:rsidRPr="006D669F">
        <w:rPr>
          <w:rFonts w:eastAsia="Calibri"/>
          <w:sz w:val="22"/>
          <w:szCs w:val="22"/>
          <w:lang w:val="sr-Latn-RS"/>
        </w:rPr>
        <w:t>:</w:t>
      </w:r>
    </w:p>
    <w:p w14:paraId="231B1C42" w14:textId="77777777" w:rsidR="00785E60" w:rsidRPr="006D669F" w:rsidRDefault="00785E60" w:rsidP="00785E60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6217E279" w14:textId="77777777" w:rsidR="00785E60" w:rsidRPr="006D669F" w:rsidRDefault="00785E60" w:rsidP="00785E60">
      <w:pPr>
        <w:pStyle w:val="NoSpacing"/>
        <w:rPr>
          <w:rFonts w:eastAsia="Calibri"/>
          <w:sz w:val="22"/>
          <w:szCs w:val="22"/>
          <w:lang w:val="sr-Latn-RS"/>
        </w:rPr>
      </w:pPr>
      <w:r w:rsidRPr="006D669F">
        <w:rPr>
          <w:noProof/>
          <w:sz w:val="22"/>
          <w:szCs w:val="22"/>
          <w:lang w:val="sr-Latn-ME" w:eastAsia="sr-Latn-ME"/>
        </w:rPr>
        <w:drawing>
          <wp:inline distT="0" distB="0" distL="0" distR="0" wp14:anchorId="49581545" wp14:editId="5334E5B0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A370E" w14:textId="77777777" w:rsidR="00836B35" w:rsidRPr="006D669F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4EE442" w14:textId="77777777" w:rsidR="00CD6F02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4.9.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proofErr w:type="spellStart"/>
      <w:r w:rsidRPr="006D669F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6D669F">
        <w:rPr>
          <w:b/>
          <w:bCs/>
          <w:sz w:val="22"/>
          <w:szCs w:val="22"/>
          <w:lang w:val="sr-Latn-ME"/>
        </w:rPr>
        <w:t xml:space="preserve"> </w:t>
      </w:r>
    </w:p>
    <w:p w14:paraId="5B979F74" w14:textId="77777777" w:rsidR="00CD6F02" w:rsidRPr="006D669F" w:rsidRDefault="00CD6F0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BB3277" w14:textId="0AB3BEAA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Simptomi </w:t>
      </w:r>
      <w:proofErr w:type="spellStart"/>
      <w:r w:rsidRPr="006D669F">
        <w:rPr>
          <w:sz w:val="22"/>
          <w:szCs w:val="22"/>
          <w:lang w:val="sr-Latn-ME"/>
        </w:rPr>
        <w:t>predoziranja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r w:rsidR="00BF4A75" w:rsidRPr="006D669F">
        <w:rPr>
          <w:sz w:val="22"/>
          <w:szCs w:val="22"/>
          <w:lang w:val="sr-Latn-ME"/>
        </w:rPr>
        <w:t>mogu</w:t>
      </w:r>
      <w:r w:rsidR="00785E60" w:rsidRPr="006D669F">
        <w:rPr>
          <w:sz w:val="22"/>
          <w:szCs w:val="22"/>
          <w:lang w:val="sr-Latn-ME"/>
        </w:rPr>
        <w:t xml:space="preserve"> </w:t>
      </w:r>
      <w:r w:rsidRPr="006D669F">
        <w:rPr>
          <w:sz w:val="22"/>
          <w:szCs w:val="22"/>
          <w:lang w:val="sr-Latn-ME"/>
        </w:rPr>
        <w:t>uključ</w:t>
      </w:r>
      <w:r w:rsidR="00BF4A75" w:rsidRPr="006D669F">
        <w:rPr>
          <w:sz w:val="22"/>
          <w:szCs w:val="22"/>
          <w:lang w:val="sr-Latn-ME"/>
        </w:rPr>
        <w:t>ivati</w:t>
      </w:r>
      <w:r w:rsidRPr="006D669F">
        <w:rPr>
          <w:sz w:val="22"/>
          <w:szCs w:val="22"/>
          <w:lang w:val="sr-Latn-ME"/>
        </w:rPr>
        <w:t xml:space="preserve"> pospanost, gastrointestinalne simptome (mučninu, povraćanje, </w:t>
      </w:r>
      <w:proofErr w:type="spellStart"/>
      <w:r w:rsidRPr="006D669F">
        <w:rPr>
          <w:sz w:val="22"/>
          <w:szCs w:val="22"/>
          <w:lang w:val="sr-Latn-ME"/>
        </w:rPr>
        <w:t>epigastrični</w:t>
      </w:r>
      <w:proofErr w:type="spellEnd"/>
      <w:r w:rsidRPr="006D669F">
        <w:rPr>
          <w:sz w:val="22"/>
          <w:szCs w:val="22"/>
          <w:lang w:val="sr-Latn-ME"/>
        </w:rPr>
        <w:t xml:space="preserve"> bol), tahikardiju, hipertenziju, </w:t>
      </w:r>
      <w:proofErr w:type="spellStart"/>
      <w:r w:rsidRPr="006D669F">
        <w:rPr>
          <w:sz w:val="22"/>
          <w:szCs w:val="22"/>
          <w:lang w:val="sr-Latn-ME"/>
        </w:rPr>
        <w:t>bradikineziju</w:t>
      </w:r>
      <w:proofErr w:type="spellEnd"/>
      <w:r w:rsidRPr="006D669F">
        <w:rPr>
          <w:sz w:val="22"/>
          <w:szCs w:val="22"/>
          <w:lang w:val="sr-Latn-ME"/>
        </w:rPr>
        <w:t xml:space="preserve"> i </w:t>
      </w:r>
      <w:proofErr w:type="spellStart"/>
      <w:r w:rsidRPr="006D669F">
        <w:rPr>
          <w:sz w:val="22"/>
          <w:szCs w:val="22"/>
          <w:lang w:val="sr-Latn-ME"/>
        </w:rPr>
        <w:t>vertigo</w:t>
      </w:r>
      <w:proofErr w:type="spellEnd"/>
      <w:r w:rsidRPr="006D669F">
        <w:rPr>
          <w:sz w:val="22"/>
          <w:szCs w:val="22"/>
          <w:lang w:val="sr-Latn-ME"/>
        </w:rPr>
        <w:t>. U težim slučajevima su zabilježeni epileptični napadi</w:t>
      </w:r>
      <w:r w:rsidR="00BF4A75" w:rsidRPr="006D669F">
        <w:rPr>
          <w:sz w:val="22"/>
          <w:szCs w:val="22"/>
          <w:lang w:val="sr-Latn-ME"/>
        </w:rPr>
        <w:t xml:space="preserve">, respiratorna depresija, </w:t>
      </w:r>
      <w:proofErr w:type="spellStart"/>
      <w:r w:rsidR="00BF4A75" w:rsidRPr="006D669F">
        <w:rPr>
          <w:sz w:val="22"/>
          <w:szCs w:val="22"/>
          <w:lang w:val="sr-Latn-ME"/>
        </w:rPr>
        <w:t>apnea</w:t>
      </w:r>
      <w:proofErr w:type="spellEnd"/>
      <w:r w:rsidRPr="006D669F">
        <w:rPr>
          <w:sz w:val="22"/>
          <w:szCs w:val="22"/>
          <w:lang w:val="sr-Latn-ME"/>
        </w:rPr>
        <w:t xml:space="preserve"> i koma.</w:t>
      </w:r>
    </w:p>
    <w:p w14:paraId="358BF1DF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Ne postoji specifični antidot za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. Preporučuje se </w:t>
      </w:r>
      <w:proofErr w:type="spellStart"/>
      <w:r w:rsidRPr="006D669F">
        <w:rPr>
          <w:sz w:val="22"/>
          <w:szCs w:val="22"/>
          <w:lang w:val="sr-Latn-ME"/>
        </w:rPr>
        <w:t>simptomatska</w:t>
      </w:r>
      <w:proofErr w:type="spellEnd"/>
      <w:r w:rsidRPr="006D669F">
        <w:rPr>
          <w:sz w:val="22"/>
          <w:szCs w:val="22"/>
          <w:lang w:val="sr-Latn-ME"/>
        </w:rPr>
        <w:t xml:space="preserve"> terapija.</w:t>
      </w:r>
    </w:p>
    <w:p w14:paraId="62CCF90F" w14:textId="1E59AF77" w:rsidR="00227BDB" w:rsidRPr="006D669F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AD3C39" w14:textId="77777777" w:rsidR="001D1158" w:rsidRPr="006D669F" w:rsidRDefault="001D115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7B9F12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5.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FARMAKOLOŠK</w:t>
      </w:r>
      <w:r w:rsidR="000D425A" w:rsidRPr="006D669F">
        <w:rPr>
          <w:b/>
          <w:bCs/>
          <w:sz w:val="22"/>
          <w:szCs w:val="22"/>
          <w:lang w:val="sr-Latn-ME"/>
        </w:rPr>
        <w:t>I</w:t>
      </w:r>
      <w:r w:rsidRPr="006D669F">
        <w:rPr>
          <w:b/>
          <w:bCs/>
          <w:sz w:val="22"/>
          <w:szCs w:val="22"/>
          <w:lang w:val="sr-Latn-ME"/>
        </w:rPr>
        <w:t xml:space="preserve"> PODACI</w:t>
      </w:r>
    </w:p>
    <w:p w14:paraId="5D926196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B68EA2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5.1.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proofErr w:type="spellStart"/>
      <w:r w:rsidRPr="006D669F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6D669F">
        <w:rPr>
          <w:b/>
          <w:bCs/>
          <w:sz w:val="22"/>
          <w:szCs w:val="22"/>
          <w:lang w:val="sr-Latn-ME"/>
        </w:rPr>
        <w:t xml:space="preserve"> podaci</w:t>
      </w:r>
      <w:r w:rsidR="003A7059" w:rsidRPr="006D669F">
        <w:rPr>
          <w:b/>
          <w:bCs/>
          <w:sz w:val="22"/>
          <w:szCs w:val="22"/>
          <w:lang w:val="sr-Latn-ME"/>
        </w:rPr>
        <w:t xml:space="preserve"> </w:t>
      </w:r>
    </w:p>
    <w:p w14:paraId="1D8AC035" w14:textId="77777777" w:rsidR="00F45F77" w:rsidRPr="006D669F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EFC858C" w14:textId="22B9712F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6D669F">
        <w:rPr>
          <w:bCs/>
          <w:sz w:val="22"/>
          <w:szCs w:val="22"/>
          <w:lang w:val="sr-Latn-ME"/>
        </w:rPr>
        <w:t>Farmakoterapijska</w:t>
      </w:r>
      <w:proofErr w:type="spellEnd"/>
      <w:r w:rsidRPr="006D669F">
        <w:rPr>
          <w:bCs/>
          <w:sz w:val="22"/>
          <w:szCs w:val="22"/>
          <w:lang w:val="sr-Latn-ME"/>
        </w:rPr>
        <w:t xml:space="preserve"> grupa:</w:t>
      </w:r>
      <w:r w:rsidR="005650A2" w:rsidRPr="006D669F">
        <w:rPr>
          <w:sz w:val="22"/>
          <w:szCs w:val="22"/>
          <w:lang w:val="sr-Latn-ME"/>
        </w:rPr>
        <w:t xml:space="preserve"> </w:t>
      </w:r>
      <w:proofErr w:type="spellStart"/>
      <w:r w:rsidR="005650A2" w:rsidRPr="006D669F">
        <w:rPr>
          <w:bCs/>
          <w:sz w:val="22"/>
          <w:szCs w:val="22"/>
          <w:lang w:val="sr-Latn-ME"/>
        </w:rPr>
        <w:t>Miorelaksansi</w:t>
      </w:r>
      <w:proofErr w:type="spellEnd"/>
      <w:r w:rsidR="005650A2" w:rsidRPr="006D669F">
        <w:rPr>
          <w:bCs/>
          <w:sz w:val="22"/>
          <w:szCs w:val="22"/>
          <w:lang w:val="sr-Latn-ME"/>
        </w:rPr>
        <w:t xml:space="preserve">; Ostali </w:t>
      </w:r>
      <w:proofErr w:type="spellStart"/>
      <w:r w:rsidR="005650A2" w:rsidRPr="006D669F">
        <w:rPr>
          <w:bCs/>
          <w:sz w:val="22"/>
          <w:szCs w:val="22"/>
          <w:lang w:val="sr-Latn-ME"/>
        </w:rPr>
        <w:t>miorelaksansi</w:t>
      </w:r>
      <w:proofErr w:type="spellEnd"/>
      <w:r w:rsidR="005650A2" w:rsidRPr="006D669F">
        <w:rPr>
          <w:bCs/>
          <w:sz w:val="22"/>
          <w:szCs w:val="22"/>
          <w:lang w:val="sr-Latn-ME"/>
        </w:rPr>
        <w:t xml:space="preserve"> sa centralnim </w:t>
      </w:r>
      <w:proofErr w:type="spellStart"/>
      <w:r w:rsidR="005650A2" w:rsidRPr="006D669F">
        <w:rPr>
          <w:bCs/>
          <w:sz w:val="22"/>
          <w:szCs w:val="22"/>
          <w:lang w:val="sr-Latn-ME"/>
        </w:rPr>
        <w:t>delovanjem</w:t>
      </w:r>
      <w:proofErr w:type="spellEnd"/>
    </w:p>
    <w:p w14:paraId="4B5BDECF" w14:textId="244F7ADF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D669F">
        <w:rPr>
          <w:bCs/>
          <w:sz w:val="22"/>
          <w:szCs w:val="22"/>
          <w:lang w:val="sr-Latn-ME"/>
        </w:rPr>
        <w:t>ATC kod:</w:t>
      </w:r>
      <w:r w:rsidR="005650A2" w:rsidRPr="006D669F">
        <w:rPr>
          <w:sz w:val="22"/>
          <w:szCs w:val="22"/>
          <w:lang w:val="sr-Latn-ME"/>
        </w:rPr>
        <w:t xml:space="preserve"> </w:t>
      </w:r>
      <w:r w:rsidR="005650A2" w:rsidRPr="006D669F">
        <w:rPr>
          <w:bCs/>
          <w:sz w:val="22"/>
          <w:szCs w:val="22"/>
          <w:lang w:val="sr-Latn-ME"/>
        </w:rPr>
        <w:t>M03BX04</w:t>
      </w:r>
    </w:p>
    <w:p w14:paraId="13847E05" w14:textId="5CE335D8" w:rsidR="005650A2" w:rsidRPr="006D669F" w:rsidRDefault="005650A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C6819A7" w14:textId="77777777" w:rsidR="005650A2" w:rsidRPr="006D669F" w:rsidRDefault="005650A2" w:rsidP="005650A2">
      <w:pPr>
        <w:jc w:val="both"/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>Mehanizam dejstva</w:t>
      </w:r>
    </w:p>
    <w:p w14:paraId="20AD1488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2AF9585C" w14:textId="686960DD" w:rsidR="005650A2" w:rsidRPr="006D669F" w:rsidRDefault="0007127A" w:rsidP="005650A2">
      <w:pPr>
        <w:jc w:val="both"/>
        <w:rPr>
          <w:sz w:val="22"/>
          <w:szCs w:val="22"/>
          <w:lang w:val="sr-Latn-ME"/>
        </w:rPr>
      </w:pPr>
      <w:proofErr w:type="spellStart"/>
      <w:r>
        <w:rPr>
          <w:sz w:val="22"/>
          <w:szCs w:val="22"/>
          <w:lang w:val="sr-Latn-ME"/>
        </w:rPr>
        <w:lastRenderedPageBreak/>
        <w:t>Tolperison</w:t>
      </w:r>
      <w:proofErr w:type="spellEnd"/>
      <w:r>
        <w:rPr>
          <w:sz w:val="22"/>
          <w:szCs w:val="22"/>
          <w:lang w:val="sr-Latn-ME"/>
        </w:rPr>
        <w:t xml:space="preserve"> </w:t>
      </w:r>
      <w:proofErr w:type="spellStart"/>
      <w:r w:rsidR="005650A2" w:rsidRPr="006D669F">
        <w:rPr>
          <w:sz w:val="22"/>
          <w:szCs w:val="22"/>
          <w:lang w:val="sr-Latn-ME"/>
        </w:rPr>
        <w:t>hidrohlorid</w:t>
      </w:r>
      <w:proofErr w:type="spellEnd"/>
      <w:r w:rsidR="005650A2" w:rsidRPr="006D669F">
        <w:rPr>
          <w:sz w:val="22"/>
          <w:szCs w:val="22"/>
          <w:lang w:val="sr-Latn-ME"/>
        </w:rPr>
        <w:t xml:space="preserve"> je </w:t>
      </w:r>
      <w:proofErr w:type="spellStart"/>
      <w:r w:rsidR="005650A2" w:rsidRPr="006D669F">
        <w:rPr>
          <w:sz w:val="22"/>
          <w:szCs w:val="22"/>
          <w:lang w:val="sr-Latn-ME"/>
        </w:rPr>
        <w:t>miorelaksans</w:t>
      </w:r>
      <w:proofErr w:type="spellEnd"/>
      <w:r w:rsidR="005650A2" w:rsidRPr="006D669F">
        <w:rPr>
          <w:sz w:val="22"/>
          <w:szCs w:val="22"/>
          <w:lang w:val="sr-Latn-ME"/>
        </w:rPr>
        <w:t xml:space="preserve"> centralnog dejstva. Precizni mehanizam dejstva </w:t>
      </w:r>
      <w:proofErr w:type="spellStart"/>
      <w:r w:rsidR="005650A2" w:rsidRPr="006D669F">
        <w:rPr>
          <w:sz w:val="22"/>
          <w:szCs w:val="22"/>
          <w:lang w:val="sr-Latn-ME"/>
        </w:rPr>
        <w:t>tolperisona</w:t>
      </w:r>
      <w:proofErr w:type="spellEnd"/>
      <w:r w:rsidR="005650A2" w:rsidRPr="006D669F">
        <w:rPr>
          <w:sz w:val="22"/>
          <w:szCs w:val="22"/>
          <w:lang w:val="sr-Latn-ME"/>
        </w:rPr>
        <w:t xml:space="preserve"> nije u potpunosti razjašnjen.</w:t>
      </w:r>
    </w:p>
    <w:p w14:paraId="3ABF88AE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60EB4B15" w14:textId="77777777" w:rsidR="005650A2" w:rsidRPr="006D669F" w:rsidRDefault="005650A2" w:rsidP="005650A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6D669F">
        <w:rPr>
          <w:sz w:val="22"/>
          <w:szCs w:val="22"/>
          <w:u w:val="single"/>
          <w:lang w:val="sr-Latn-ME"/>
        </w:rPr>
        <w:t>Farmakodinamsko</w:t>
      </w:r>
      <w:proofErr w:type="spellEnd"/>
      <w:r w:rsidRPr="006D669F">
        <w:rPr>
          <w:sz w:val="22"/>
          <w:szCs w:val="22"/>
          <w:u w:val="single"/>
          <w:lang w:val="sr-Latn-ME"/>
        </w:rPr>
        <w:t xml:space="preserve"> dejstvo</w:t>
      </w:r>
    </w:p>
    <w:p w14:paraId="3DAC5698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ima visok afinitet za nervno tkivo, dostižući najveće koncentracije u ćelijama mozga, kičmenoj moždini i perifernim nervnim tkivima.</w:t>
      </w:r>
    </w:p>
    <w:p w14:paraId="1782E9A0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144961E4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Najistaknutiji efekat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je njegovo inhibitorno dejstvo na spinalne refleksne puteve. Ovaj efekat, zajedno sa inhibitornim efektom na silazne kontrolne puteve, može da bude glavno </w:t>
      </w:r>
      <w:proofErr w:type="spellStart"/>
      <w:r w:rsidRPr="006D669F">
        <w:rPr>
          <w:sz w:val="22"/>
          <w:szCs w:val="22"/>
          <w:lang w:val="sr-Latn-ME"/>
        </w:rPr>
        <w:t>delovanje</w:t>
      </w:r>
      <w:proofErr w:type="spellEnd"/>
      <w:r w:rsidRPr="006D669F">
        <w:rPr>
          <w:sz w:val="22"/>
          <w:szCs w:val="22"/>
          <w:lang w:val="sr-Latn-ME"/>
        </w:rPr>
        <w:t xml:space="preserve"> koje doprinosi terapijskoj koristi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5E3D153C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Hemijska struktura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podseća</w:t>
      </w:r>
      <w:proofErr w:type="spellEnd"/>
      <w:r w:rsidRPr="006D669F">
        <w:rPr>
          <w:sz w:val="22"/>
          <w:szCs w:val="22"/>
          <w:lang w:val="sr-Latn-ME"/>
        </w:rPr>
        <w:t xml:space="preserve"> na strukturu </w:t>
      </w:r>
      <w:proofErr w:type="spellStart"/>
      <w:r w:rsidRPr="006D669F">
        <w:rPr>
          <w:sz w:val="22"/>
          <w:szCs w:val="22"/>
          <w:lang w:val="sr-Latn-ME"/>
        </w:rPr>
        <w:t>lidokaina</w:t>
      </w:r>
      <w:proofErr w:type="spellEnd"/>
      <w:r w:rsidRPr="006D669F">
        <w:rPr>
          <w:sz w:val="22"/>
          <w:szCs w:val="22"/>
          <w:lang w:val="sr-Latn-ME"/>
        </w:rPr>
        <w:t xml:space="preserve">. Zajedničko sa </w:t>
      </w:r>
      <w:proofErr w:type="spellStart"/>
      <w:r w:rsidRPr="006D669F">
        <w:rPr>
          <w:sz w:val="22"/>
          <w:szCs w:val="22"/>
          <w:lang w:val="sr-Latn-ME"/>
        </w:rPr>
        <w:t>lidokainom</w:t>
      </w:r>
      <w:proofErr w:type="spellEnd"/>
      <w:r w:rsidRPr="006D669F">
        <w:rPr>
          <w:sz w:val="22"/>
          <w:szCs w:val="22"/>
          <w:lang w:val="sr-Latn-ME"/>
        </w:rPr>
        <w:t xml:space="preserve"> ima to da stabilizuje membranu i smanjuje električnu </w:t>
      </w:r>
      <w:proofErr w:type="spellStart"/>
      <w:r w:rsidRPr="006D669F">
        <w:rPr>
          <w:sz w:val="22"/>
          <w:szCs w:val="22"/>
          <w:lang w:val="sr-Latn-ME"/>
        </w:rPr>
        <w:t>ekcitabilnost</w:t>
      </w:r>
      <w:proofErr w:type="spellEnd"/>
      <w:r w:rsidRPr="006D669F">
        <w:rPr>
          <w:sz w:val="22"/>
          <w:szCs w:val="22"/>
          <w:lang w:val="sr-Latn-ME"/>
        </w:rPr>
        <w:t xml:space="preserve"> motornih </w:t>
      </w:r>
      <w:proofErr w:type="spellStart"/>
      <w:r w:rsidRPr="006D669F">
        <w:rPr>
          <w:sz w:val="22"/>
          <w:szCs w:val="22"/>
          <w:lang w:val="sr-Latn-ME"/>
        </w:rPr>
        <w:t>neurona</w:t>
      </w:r>
      <w:proofErr w:type="spellEnd"/>
      <w:r w:rsidRPr="006D669F">
        <w:rPr>
          <w:sz w:val="22"/>
          <w:szCs w:val="22"/>
          <w:lang w:val="sr-Latn-ME"/>
        </w:rPr>
        <w:t xml:space="preserve"> i primarnih </w:t>
      </w:r>
      <w:proofErr w:type="spellStart"/>
      <w:r w:rsidRPr="006D669F">
        <w:rPr>
          <w:sz w:val="22"/>
          <w:szCs w:val="22"/>
          <w:lang w:val="sr-Latn-ME"/>
        </w:rPr>
        <w:t>aferentnih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neurona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na </w:t>
      </w:r>
      <w:proofErr w:type="spellStart"/>
      <w:r w:rsidRPr="006D669F">
        <w:rPr>
          <w:sz w:val="22"/>
          <w:szCs w:val="22"/>
          <w:lang w:val="sr-Latn-ME"/>
        </w:rPr>
        <w:t>dozno</w:t>
      </w:r>
      <w:proofErr w:type="spellEnd"/>
      <w:r w:rsidRPr="006D669F">
        <w:rPr>
          <w:sz w:val="22"/>
          <w:szCs w:val="22"/>
          <w:lang w:val="sr-Latn-ME"/>
        </w:rPr>
        <w:t xml:space="preserve"> zavisni način inhibira naponski zavisne natrijumske kanale i posledično, amplituda i frekvencija akcionog potencijala je smanjena (ovaj efekat je najistaknutiji kod </w:t>
      </w:r>
      <w:proofErr w:type="spellStart"/>
      <w:r w:rsidRPr="006D669F">
        <w:rPr>
          <w:sz w:val="22"/>
          <w:szCs w:val="22"/>
          <w:lang w:val="sr-Latn-ME"/>
        </w:rPr>
        <w:t>neurona</w:t>
      </w:r>
      <w:proofErr w:type="spellEnd"/>
      <w:r w:rsidRPr="006D669F">
        <w:rPr>
          <w:sz w:val="22"/>
          <w:szCs w:val="22"/>
          <w:lang w:val="sr-Latn-ME"/>
        </w:rPr>
        <w:t xml:space="preserve"> zadnjeg roga kičmene moždine).</w:t>
      </w:r>
    </w:p>
    <w:p w14:paraId="68647B7B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Inhibitorni efekat za naponski zavisne </w:t>
      </w:r>
      <w:proofErr w:type="spellStart"/>
      <w:r w:rsidRPr="006D669F">
        <w:rPr>
          <w:sz w:val="22"/>
          <w:szCs w:val="22"/>
          <w:lang w:val="sr-Latn-ME"/>
        </w:rPr>
        <w:t>kalcijumske</w:t>
      </w:r>
      <w:proofErr w:type="spellEnd"/>
      <w:r w:rsidRPr="006D669F">
        <w:rPr>
          <w:sz w:val="22"/>
          <w:szCs w:val="22"/>
          <w:lang w:val="sr-Latn-ME"/>
        </w:rPr>
        <w:t xml:space="preserve"> kanale je dokazan, što ukazuje da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može takođe da smanjuje oslobađanje </w:t>
      </w:r>
      <w:proofErr w:type="spellStart"/>
      <w:r w:rsidRPr="006D669F">
        <w:rPr>
          <w:sz w:val="22"/>
          <w:szCs w:val="22"/>
          <w:lang w:val="sr-Latn-ME"/>
        </w:rPr>
        <w:t>transmitera</w:t>
      </w:r>
      <w:proofErr w:type="spellEnd"/>
      <w:r w:rsidRPr="006D669F">
        <w:rPr>
          <w:sz w:val="22"/>
          <w:szCs w:val="22"/>
          <w:lang w:val="sr-Latn-ME"/>
        </w:rPr>
        <w:t xml:space="preserve">, pored toga što stabilizuje membranu. Konačno,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takođe ima slaba alfa </w:t>
      </w:r>
      <w:proofErr w:type="spellStart"/>
      <w:r w:rsidRPr="006D669F">
        <w:rPr>
          <w:sz w:val="22"/>
          <w:szCs w:val="22"/>
          <w:lang w:val="sr-Latn-ME"/>
        </w:rPr>
        <w:t>adrenergična</w:t>
      </w:r>
      <w:proofErr w:type="spellEnd"/>
      <w:r w:rsidRPr="006D669F">
        <w:rPr>
          <w:sz w:val="22"/>
          <w:szCs w:val="22"/>
          <w:lang w:val="sr-Latn-ME"/>
        </w:rPr>
        <w:t xml:space="preserve"> antagonistička i anti-</w:t>
      </w:r>
      <w:proofErr w:type="spellStart"/>
      <w:r w:rsidRPr="006D669F">
        <w:rPr>
          <w:sz w:val="22"/>
          <w:szCs w:val="22"/>
          <w:lang w:val="sr-Latn-ME"/>
        </w:rPr>
        <w:t>muskarinska</w:t>
      </w:r>
      <w:proofErr w:type="spellEnd"/>
      <w:r w:rsidRPr="006D669F">
        <w:rPr>
          <w:sz w:val="22"/>
          <w:szCs w:val="22"/>
          <w:lang w:val="sr-Latn-ME"/>
        </w:rPr>
        <w:t xml:space="preserve"> svojstva.</w:t>
      </w:r>
    </w:p>
    <w:p w14:paraId="71E211F8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8D853B4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iCs/>
          <w:sz w:val="22"/>
          <w:szCs w:val="22"/>
          <w:u w:val="single"/>
          <w:lang w:val="sr-Latn-ME"/>
        </w:rPr>
      </w:pPr>
      <w:proofErr w:type="spellStart"/>
      <w:r w:rsidRPr="006D669F">
        <w:rPr>
          <w:rFonts w:eastAsia="TimesNewRoman,Italic"/>
          <w:iCs/>
          <w:sz w:val="22"/>
          <w:szCs w:val="22"/>
          <w:u w:val="single"/>
          <w:lang w:val="sr-Latn-ME"/>
        </w:rPr>
        <w:t>Kliničkа</w:t>
      </w:r>
      <w:proofErr w:type="spellEnd"/>
      <w:r w:rsidRPr="006D669F">
        <w:rPr>
          <w:rFonts w:eastAsia="TimesNewRoman,Italic"/>
          <w:iCs/>
          <w:sz w:val="22"/>
          <w:szCs w:val="22"/>
          <w:u w:val="single"/>
          <w:lang w:val="sr-Latn-ME"/>
        </w:rPr>
        <w:t xml:space="preserve"> </w:t>
      </w:r>
      <w:proofErr w:type="spellStart"/>
      <w:r w:rsidRPr="006D669F">
        <w:rPr>
          <w:rFonts w:eastAsia="TimesNewRoman,Italic"/>
          <w:iCs/>
          <w:sz w:val="22"/>
          <w:szCs w:val="22"/>
          <w:u w:val="single"/>
          <w:lang w:val="sr-Latn-ME"/>
        </w:rPr>
        <w:t>efikаsnost</w:t>
      </w:r>
      <w:proofErr w:type="spellEnd"/>
      <w:r w:rsidRPr="006D669F">
        <w:rPr>
          <w:rFonts w:eastAsia="TimesNewRoman,Italic"/>
          <w:iCs/>
          <w:sz w:val="22"/>
          <w:szCs w:val="22"/>
          <w:u w:val="single"/>
          <w:lang w:val="sr-Latn-ME"/>
        </w:rPr>
        <w:t xml:space="preserve"> i </w:t>
      </w:r>
      <w:proofErr w:type="spellStart"/>
      <w:r w:rsidRPr="006D669F">
        <w:rPr>
          <w:rFonts w:eastAsia="TimesNewRoman,Italic"/>
          <w:iCs/>
          <w:sz w:val="22"/>
          <w:szCs w:val="22"/>
          <w:u w:val="single"/>
          <w:lang w:val="sr-Latn-ME"/>
        </w:rPr>
        <w:t>bezjbednost</w:t>
      </w:r>
      <w:proofErr w:type="spellEnd"/>
    </w:p>
    <w:p w14:paraId="6E0FD690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i/>
          <w:iCs/>
          <w:sz w:val="22"/>
          <w:szCs w:val="22"/>
          <w:lang w:val="sr-Latn-ME"/>
        </w:rPr>
      </w:pPr>
    </w:p>
    <w:p w14:paraId="70A738A9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  <w:proofErr w:type="spellStart"/>
      <w:r w:rsidRPr="006D669F">
        <w:rPr>
          <w:rFonts w:eastAsia="TimesNewRoman,Italic"/>
          <w:sz w:val="22"/>
          <w:szCs w:val="22"/>
          <w:lang w:val="sr-Latn-ME"/>
        </w:rPr>
        <w:t>Efikаsnost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je potvrđena kod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spasticiteta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nakon moždanog udara.</w:t>
      </w:r>
    </w:p>
    <w:p w14:paraId="5A35B064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</w:p>
    <w:p w14:paraId="58BCD60D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  <w:proofErr w:type="spellStart"/>
      <w:r w:rsidRPr="006D669F">
        <w:rPr>
          <w:rFonts w:eastAsia="TimesNewRoman,Italic"/>
          <w:sz w:val="22"/>
          <w:szCs w:val="22"/>
          <w:lang w:val="sr-Latn-ME"/>
        </w:rPr>
        <w:t>Rezultаti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randomizovane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dvostruko-slijepe,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plаcebo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kontrolisаne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studije na 120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pаcijenаtа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spasticitetom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nakon moždanog udara,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pokаzаli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su visoko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stаtistički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znаčаjаn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nаpredаk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kod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spаsticitetа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nakon primjene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na osnovu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Ashworthove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skаle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definisаno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kаo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primаrni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pаrаmetar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efikasnosti. Ukupna procjena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efikаsnosti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od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strаne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pаcijenаtа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i ispitivača je potvrdila superiornost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u odnosu na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plаcebo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(p &lt;0,001). </w:t>
      </w:r>
      <w:r w:rsidRPr="006D669F">
        <w:rPr>
          <w:sz w:val="22"/>
          <w:szCs w:val="22"/>
          <w:lang w:val="sr-Latn-ME"/>
        </w:rPr>
        <w:t xml:space="preserve">Prosječno poboljšanje vrijednosti na </w:t>
      </w:r>
      <w:proofErr w:type="spellStart"/>
      <w:r w:rsidRPr="006D669F">
        <w:rPr>
          <w:sz w:val="22"/>
          <w:szCs w:val="22"/>
          <w:lang w:val="sr-Latn-ME"/>
        </w:rPr>
        <w:t>Ashworthovoj</w:t>
      </w:r>
      <w:proofErr w:type="spellEnd"/>
      <w:r w:rsidRPr="006D669F">
        <w:rPr>
          <w:sz w:val="22"/>
          <w:szCs w:val="22"/>
          <w:lang w:val="sr-Latn-ME"/>
        </w:rPr>
        <w:t xml:space="preserve"> skali  je bilo 32% u opštoj </w:t>
      </w:r>
      <w:proofErr w:type="spellStart"/>
      <w:r w:rsidRPr="006D669F">
        <w:rPr>
          <w:sz w:val="22"/>
          <w:szCs w:val="22"/>
          <w:lang w:val="sr-Latn-ME"/>
        </w:rPr>
        <w:t>ITT</w:t>
      </w:r>
      <w:proofErr w:type="spellEnd"/>
      <w:r w:rsidRPr="006D669F">
        <w:rPr>
          <w:sz w:val="22"/>
          <w:szCs w:val="22"/>
          <w:lang w:val="sr-Latn-ME"/>
        </w:rPr>
        <w:t xml:space="preserve"> (</w:t>
      </w:r>
      <w:proofErr w:type="spellStart"/>
      <w:r w:rsidRPr="006D669F">
        <w:rPr>
          <w:i/>
          <w:sz w:val="22"/>
          <w:szCs w:val="22"/>
          <w:lang w:val="sr-Latn-ME"/>
        </w:rPr>
        <w:t>intention</w:t>
      </w:r>
      <w:proofErr w:type="spellEnd"/>
      <w:r w:rsidRPr="006D669F">
        <w:rPr>
          <w:i/>
          <w:sz w:val="22"/>
          <w:szCs w:val="22"/>
          <w:lang w:val="sr-Latn-ME"/>
        </w:rPr>
        <w:t xml:space="preserve"> to </w:t>
      </w:r>
      <w:proofErr w:type="spellStart"/>
      <w:r w:rsidRPr="006D669F">
        <w:rPr>
          <w:i/>
          <w:sz w:val="22"/>
          <w:szCs w:val="22"/>
          <w:lang w:val="sr-Latn-ME"/>
        </w:rPr>
        <w:t>treat</w:t>
      </w:r>
      <w:proofErr w:type="spellEnd"/>
      <w:r w:rsidRPr="006D669F">
        <w:rPr>
          <w:sz w:val="22"/>
          <w:szCs w:val="22"/>
          <w:lang w:val="sr-Latn-ME"/>
        </w:rPr>
        <w:t xml:space="preserve">) populaciji i 42 % u podgrupi pacijenata  koji su dobijali dnevnu dozu od 300 mg - 450 mg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Rezultаti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pаrаmetаrа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funkcionаlnih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testovа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tаkođe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su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pokаzаli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definitvnu tendenciju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kа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boljoj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efikаsnosti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u odnosu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nа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plаcebo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međutim, nivo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stаtističke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znаčаjnosti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nije dostignut.</w:t>
      </w:r>
    </w:p>
    <w:p w14:paraId="5F6C95E0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</w:p>
    <w:p w14:paraId="63BE9474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  <w:r w:rsidRPr="006D669F">
        <w:rPr>
          <w:rFonts w:eastAsia="TimesNewRoman,Italic"/>
          <w:sz w:val="22"/>
          <w:szCs w:val="22"/>
          <w:lang w:val="sr-Latn-ME"/>
        </w:rPr>
        <w:t xml:space="preserve">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randomizovanoj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dvostruko-slijepoj, komparativnoj kliničkoj studiji na 48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pаcijenаtа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moždanim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lezijama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efikаsnost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bilа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je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sličnа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bаklofenu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u pogledu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poboljšаnjа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Bаrthelovog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indeksа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dok je zabilježeno da je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bio superioran u odnosu na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bаklofen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, u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poboljšаnju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na osnovu </w:t>
      </w:r>
      <w:proofErr w:type="spellStart"/>
      <w:r w:rsidRPr="006D669F">
        <w:rPr>
          <w:rFonts w:eastAsia="TimesNewRoman,Italic"/>
          <w:i/>
          <w:iCs/>
          <w:sz w:val="22"/>
          <w:szCs w:val="22"/>
          <w:lang w:val="sr-Latn-ME"/>
        </w:rPr>
        <w:t>Rivermead</w:t>
      </w:r>
      <w:proofErr w:type="spellEnd"/>
      <w:r w:rsidRPr="006D669F">
        <w:rPr>
          <w:rFonts w:eastAsia="TimesNewRoman,Italic"/>
          <w:i/>
          <w:iCs/>
          <w:sz w:val="22"/>
          <w:szCs w:val="22"/>
          <w:lang w:val="sr-Latn-ME"/>
        </w:rPr>
        <w:t xml:space="preserve"> Motor</w:t>
      </w:r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i/>
          <w:iCs/>
          <w:sz w:val="22"/>
          <w:szCs w:val="22"/>
          <w:lang w:val="sr-Latn-ME"/>
        </w:rPr>
        <w:t>Assessment</w:t>
      </w:r>
      <w:proofErr w:type="spellEnd"/>
      <w:r w:rsidRPr="006D669F">
        <w:rPr>
          <w:rFonts w:eastAsia="TimesNewRoman,Italic"/>
          <w:i/>
          <w:iCs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skаle</w:t>
      </w:r>
      <w:proofErr w:type="spellEnd"/>
      <w:r w:rsidRPr="006D669F">
        <w:rPr>
          <w:sz w:val="22"/>
          <w:szCs w:val="22"/>
          <w:lang w:val="sr-Latn-ME"/>
        </w:rPr>
        <w:t xml:space="preserve"> (RMAS).</w:t>
      </w:r>
    </w:p>
    <w:p w14:paraId="21521D6E" w14:textId="77777777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</w:p>
    <w:p w14:paraId="663FBF07" w14:textId="349D37B2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  <w:proofErr w:type="spellStart"/>
      <w:r w:rsidRPr="006D669F">
        <w:rPr>
          <w:rFonts w:eastAsia="TimesNewRoman,Italic"/>
          <w:sz w:val="22"/>
          <w:szCs w:val="22"/>
          <w:lang w:val="sr-Latn-ME"/>
        </w:rPr>
        <w:t>Dokаzi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za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prednost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terаpije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tolperisonom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kod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pаcijenаtа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povećаnim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tonusom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mišićа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kao posljedice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lokomotornih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poremećaja osim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spаsticitetа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nakon moždanog udara su ostali kontroverzni.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Iаko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su neke studije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pokаzale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pozitivne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rezultаte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r w:rsidRPr="006D669F">
        <w:rPr>
          <w:sz w:val="22"/>
          <w:szCs w:val="22"/>
          <w:lang w:val="sr-Latn-ME"/>
        </w:rPr>
        <w:t>nekih testiranih parametara</w:t>
      </w:r>
      <w:r w:rsidRPr="006D669F">
        <w:rPr>
          <w:rFonts w:eastAsia="TimesNewRoman,Italic"/>
          <w:sz w:val="22"/>
          <w:szCs w:val="22"/>
          <w:lang w:val="sr-Latn-ME"/>
        </w:rPr>
        <w:t xml:space="preserve">, druge studije nijesu uspjele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dа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dokаžu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prednosti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u ovim stanjima. </w:t>
      </w:r>
    </w:p>
    <w:p w14:paraId="0E6E64BC" w14:textId="3C1B3532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</w:p>
    <w:p w14:paraId="7AD4A224" w14:textId="702AD72C" w:rsidR="005650A2" w:rsidRPr="006D669F" w:rsidRDefault="005650A2" w:rsidP="005650A2">
      <w:pPr>
        <w:autoSpaceDE w:val="0"/>
        <w:autoSpaceDN w:val="0"/>
        <w:adjustRightInd w:val="0"/>
        <w:jc w:val="both"/>
        <w:rPr>
          <w:rFonts w:eastAsia="TimesNewRoman,Italic"/>
          <w:sz w:val="22"/>
          <w:szCs w:val="22"/>
          <w:lang w:val="sr-Latn-ME"/>
        </w:rPr>
      </w:pPr>
      <w:proofErr w:type="spellStart"/>
      <w:r w:rsidRPr="006D669F">
        <w:rPr>
          <w:rFonts w:eastAsia="TimesNewRoman,Italic"/>
          <w:sz w:val="22"/>
          <w:szCs w:val="22"/>
          <w:lang w:val="sr-Latn-ME"/>
        </w:rPr>
        <w:t>Bezbjednosni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profil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tolperisona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je </w:t>
      </w:r>
      <w:r w:rsidRPr="006D669F">
        <w:rPr>
          <w:sz w:val="22"/>
          <w:szCs w:val="22"/>
          <w:lang w:val="sr-Latn-ME"/>
        </w:rPr>
        <w:t>ustanovljen</w:t>
      </w:r>
      <w:r w:rsidRPr="006D669F">
        <w:rPr>
          <w:rFonts w:eastAsia="TimesNewRoman,Italic"/>
          <w:sz w:val="22"/>
          <w:szCs w:val="22"/>
          <w:lang w:val="sr-Latn-ME"/>
        </w:rPr>
        <w:t xml:space="preserve"> na osnovu podataka iz kliničkih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studijа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kod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pаcijenаtа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sа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povećаnim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tonusom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mišićа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</w:t>
      </w:r>
      <w:proofErr w:type="spellStart"/>
      <w:r w:rsidRPr="006D669F">
        <w:rPr>
          <w:rFonts w:eastAsia="TimesNewRoman,Italic"/>
          <w:sz w:val="22"/>
          <w:szCs w:val="22"/>
          <w:lang w:val="sr-Latn-ME"/>
        </w:rPr>
        <w:t>rаzličite</w:t>
      </w:r>
      <w:proofErr w:type="spellEnd"/>
      <w:r w:rsidRPr="006D669F">
        <w:rPr>
          <w:rFonts w:eastAsia="TimesNewRoman,Italic"/>
          <w:sz w:val="22"/>
          <w:szCs w:val="22"/>
          <w:lang w:val="sr-Latn-ME"/>
        </w:rPr>
        <w:t xml:space="preserve"> etiologije </w:t>
      </w:r>
      <w:r w:rsidRPr="006D669F">
        <w:rPr>
          <w:sz w:val="22"/>
          <w:szCs w:val="22"/>
          <w:lang w:val="sr-Latn-ME"/>
        </w:rPr>
        <w:t>i na osnovu spontanih prijava neželjenih reakcija.</w:t>
      </w:r>
    </w:p>
    <w:p w14:paraId="1E7F8411" w14:textId="77777777" w:rsidR="002E37A5" w:rsidRPr="006D669F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CFA43FD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5.2.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proofErr w:type="spellStart"/>
      <w:r w:rsidRPr="006D669F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6D669F">
        <w:rPr>
          <w:b/>
          <w:bCs/>
          <w:sz w:val="22"/>
          <w:szCs w:val="22"/>
          <w:lang w:val="sr-Latn-ME"/>
        </w:rPr>
        <w:t xml:space="preserve"> podaci</w:t>
      </w:r>
      <w:r w:rsidR="003A7059" w:rsidRPr="006D669F">
        <w:rPr>
          <w:b/>
          <w:bCs/>
          <w:sz w:val="22"/>
          <w:szCs w:val="22"/>
          <w:lang w:val="sr-Latn-ME"/>
        </w:rPr>
        <w:t xml:space="preserve"> </w:t>
      </w:r>
    </w:p>
    <w:p w14:paraId="480F0326" w14:textId="7105FC52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D98E9D1" w14:textId="77777777" w:rsidR="005650A2" w:rsidRPr="006D669F" w:rsidRDefault="005650A2" w:rsidP="005650A2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6D669F">
        <w:rPr>
          <w:sz w:val="22"/>
          <w:szCs w:val="22"/>
          <w:u w:val="single"/>
          <w:lang w:val="sr-Latn-ME"/>
        </w:rPr>
        <w:t>Resoprcija</w:t>
      </w:r>
      <w:proofErr w:type="spellEnd"/>
      <w:r w:rsidRPr="006D669F">
        <w:rPr>
          <w:sz w:val="22"/>
          <w:szCs w:val="22"/>
          <w:u w:val="single"/>
          <w:lang w:val="sr-Latn-ME"/>
        </w:rPr>
        <w:t xml:space="preserve">, distribucija i </w:t>
      </w:r>
      <w:proofErr w:type="spellStart"/>
      <w:r w:rsidRPr="006D669F">
        <w:rPr>
          <w:sz w:val="22"/>
          <w:szCs w:val="22"/>
          <w:u w:val="single"/>
          <w:lang w:val="sr-Latn-ME"/>
        </w:rPr>
        <w:t>biotransformacija</w:t>
      </w:r>
      <w:proofErr w:type="spellEnd"/>
    </w:p>
    <w:p w14:paraId="4E4EDFFA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Kada se primijeni oralno,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se dobro resorbuje iz tankog crijeva. Maksimalna koncentracija u plazmi postiže se u intervalu od 0,5 do 1,5 sata poslije uzimanja. Zbog intenzivnog metabolizma prvog prolaska, </w:t>
      </w:r>
      <w:proofErr w:type="spellStart"/>
      <w:r w:rsidRPr="006D669F">
        <w:rPr>
          <w:sz w:val="22"/>
          <w:szCs w:val="22"/>
          <w:lang w:val="sr-Latn-ME"/>
        </w:rPr>
        <w:t>bioraspoloživost</w:t>
      </w:r>
      <w:proofErr w:type="spellEnd"/>
      <w:r w:rsidRPr="006D669F">
        <w:rPr>
          <w:sz w:val="22"/>
          <w:szCs w:val="22"/>
          <w:lang w:val="sr-Latn-ME"/>
        </w:rPr>
        <w:t xml:space="preserve"> preparata iznosi oko 20%.</w:t>
      </w:r>
    </w:p>
    <w:p w14:paraId="42F3469F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09E92293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Obroci sa visokim procentom masti </w:t>
      </w:r>
      <w:proofErr w:type="spellStart"/>
      <w:r w:rsidRPr="006D669F">
        <w:rPr>
          <w:sz w:val="22"/>
          <w:szCs w:val="22"/>
          <w:lang w:val="sr-Latn-ME"/>
        </w:rPr>
        <w:t>povjećavaju</w:t>
      </w:r>
      <w:proofErr w:type="spellEnd"/>
      <w:r w:rsidRPr="006D669F">
        <w:rPr>
          <w:sz w:val="22"/>
          <w:szCs w:val="22"/>
          <w:lang w:val="sr-Latn-ME"/>
        </w:rPr>
        <w:t xml:space="preserve"> </w:t>
      </w:r>
      <w:proofErr w:type="spellStart"/>
      <w:r w:rsidRPr="006D669F">
        <w:rPr>
          <w:sz w:val="22"/>
          <w:szCs w:val="22"/>
          <w:lang w:val="sr-Latn-ME"/>
        </w:rPr>
        <w:t>bioraspoloživost</w:t>
      </w:r>
      <w:proofErr w:type="spellEnd"/>
      <w:r w:rsidRPr="006D669F">
        <w:rPr>
          <w:sz w:val="22"/>
          <w:szCs w:val="22"/>
          <w:lang w:val="sr-Latn-ME"/>
        </w:rPr>
        <w:t xml:space="preserve"> oralno primijenjenog </w:t>
      </w:r>
      <w:proofErr w:type="spellStart"/>
      <w:r w:rsidRPr="006D669F">
        <w:rPr>
          <w:sz w:val="22"/>
          <w:szCs w:val="22"/>
          <w:lang w:val="sr-Latn-ME"/>
        </w:rPr>
        <w:t>tolperisona</w:t>
      </w:r>
      <w:proofErr w:type="spellEnd"/>
      <w:r w:rsidRPr="006D669F">
        <w:rPr>
          <w:sz w:val="22"/>
          <w:szCs w:val="22"/>
          <w:lang w:val="sr-Latn-ME"/>
        </w:rPr>
        <w:t xml:space="preserve"> za otprilike 100% i takođe </w:t>
      </w:r>
      <w:proofErr w:type="spellStart"/>
      <w:r w:rsidRPr="006D669F">
        <w:rPr>
          <w:sz w:val="22"/>
          <w:szCs w:val="22"/>
          <w:lang w:val="sr-Latn-ME"/>
        </w:rPr>
        <w:t>povjećavaju</w:t>
      </w:r>
      <w:proofErr w:type="spellEnd"/>
      <w:r w:rsidRPr="006D669F">
        <w:rPr>
          <w:sz w:val="22"/>
          <w:szCs w:val="22"/>
          <w:lang w:val="sr-Latn-ME"/>
        </w:rPr>
        <w:t xml:space="preserve"> maksimalnu koncentraciju u plazmi za otprilike 45% u poređenju kada se </w:t>
      </w: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uzima na prazan stomak, čime se odlaže postizanje maksimalne koncentracije za 30 minuta.</w:t>
      </w:r>
    </w:p>
    <w:p w14:paraId="4FE00897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60B6629E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Tolperison</w:t>
      </w:r>
      <w:proofErr w:type="spellEnd"/>
      <w:r w:rsidRPr="006D669F">
        <w:rPr>
          <w:sz w:val="22"/>
          <w:szCs w:val="22"/>
          <w:lang w:val="sr-Latn-ME"/>
        </w:rPr>
        <w:t xml:space="preserve"> se intenzivno </w:t>
      </w:r>
      <w:proofErr w:type="spellStart"/>
      <w:r w:rsidRPr="006D669F">
        <w:rPr>
          <w:sz w:val="22"/>
          <w:szCs w:val="22"/>
          <w:lang w:val="sr-Latn-ME"/>
        </w:rPr>
        <w:t>metaboliše</w:t>
      </w:r>
      <w:proofErr w:type="spellEnd"/>
      <w:r w:rsidRPr="006D669F">
        <w:rPr>
          <w:sz w:val="22"/>
          <w:szCs w:val="22"/>
          <w:lang w:val="sr-Latn-ME"/>
        </w:rPr>
        <w:t xml:space="preserve"> u jetri i bubrezima. Farmakološka aktivnost </w:t>
      </w:r>
      <w:proofErr w:type="spellStart"/>
      <w:r w:rsidRPr="006D669F">
        <w:rPr>
          <w:sz w:val="22"/>
          <w:szCs w:val="22"/>
          <w:lang w:val="sr-Latn-ME"/>
        </w:rPr>
        <w:t>metabolita</w:t>
      </w:r>
      <w:proofErr w:type="spellEnd"/>
      <w:r w:rsidRPr="006D669F">
        <w:rPr>
          <w:sz w:val="22"/>
          <w:szCs w:val="22"/>
          <w:lang w:val="sr-Latn-ME"/>
        </w:rPr>
        <w:t xml:space="preserve"> nije poznata.</w:t>
      </w:r>
    </w:p>
    <w:p w14:paraId="4FF23877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</w:p>
    <w:p w14:paraId="1A6D0ABE" w14:textId="77777777" w:rsidR="005650A2" w:rsidRPr="006D669F" w:rsidRDefault="005650A2" w:rsidP="005650A2">
      <w:pPr>
        <w:jc w:val="both"/>
        <w:rPr>
          <w:sz w:val="22"/>
          <w:szCs w:val="22"/>
          <w:u w:val="single"/>
          <w:lang w:val="sr-Latn-ME"/>
        </w:rPr>
      </w:pPr>
      <w:r w:rsidRPr="006D669F">
        <w:rPr>
          <w:sz w:val="22"/>
          <w:szCs w:val="22"/>
          <w:u w:val="single"/>
          <w:lang w:val="sr-Latn-ME"/>
        </w:rPr>
        <w:t>Eliminacija</w:t>
      </w:r>
    </w:p>
    <w:p w14:paraId="6441E8DF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Jedinjenje se gotovo isključivo eliminiše </w:t>
      </w:r>
      <w:proofErr w:type="spellStart"/>
      <w:r w:rsidRPr="006D669F">
        <w:rPr>
          <w:sz w:val="22"/>
          <w:szCs w:val="22"/>
          <w:lang w:val="sr-Latn-ME"/>
        </w:rPr>
        <w:t>preko</w:t>
      </w:r>
      <w:proofErr w:type="spellEnd"/>
      <w:r w:rsidRPr="006D669F">
        <w:rPr>
          <w:sz w:val="22"/>
          <w:szCs w:val="22"/>
          <w:lang w:val="sr-Latn-ME"/>
        </w:rPr>
        <w:t xml:space="preserve"> bubrega (više od 99%) u obliku </w:t>
      </w:r>
      <w:proofErr w:type="spellStart"/>
      <w:r w:rsidRPr="006D669F">
        <w:rPr>
          <w:sz w:val="22"/>
          <w:szCs w:val="22"/>
          <w:lang w:val="sr-Latn-ME"/>
        </w:rPr>
        <w:t>metabolita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0DADBF84" w14:textId="6BFEBBB2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Poluvrijeme eliminacije iznosi oko 1,5 sat poslije </w:t>
      </w:r>
      <w:proofErr w:type="spellStart"/>
      <w:r w:rsidRPr="006D669F">
        <w:rPr>
          <w:sz w:val="22"/>
          <w:szCs w:val="22"/>
          <w:lang w:val="sr-Latn-ME"/>
        </w:rPr>
        <w:t>intravenske</w:t>
      </w:r>
      <w:proofErr w:type="spellEnd"/>
      <w:r w:rsidRPr="006D669F">
        <w:rPr>
          <w:sz w:val="22"/>
          <w:szCs w:val="22"/>
          <w:lang w:val="sr-Latn-ME"/>
        </w:rPr>
        <w:t xml:space="preserve"> primjene, a oko 2,5 sata poslije oralne primjene.</w:t>
      </w:r>
    </w:p>
    <w:p w14:paraId="26739067" w14:textId="77777777" w:rsidR="000A03F4" w:rsidRPr="006D669F" w:rsidRDefault="000A03F4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02F8922A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5.3.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proofErr w:type="spellStart"/>
      <w:r w:rsidRPr="006D669F">
        <w:rPr>
          <w:b/>
          <w:bCs/>
          <w:sz w:val="22"/>
          <w:szCs w:val="22"/>
          <w:lang w:val="sr-Latn-ME"/>
        </w:rPr>
        <w:t>Pretklinički</w:t>
      </w:r>
      <w:proofErr w:type="spellEnd"/>
      <w:r w:rsidRPr="006D669F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150C0211" w14:textId="77777777" w:rsidR="00836B35" w:rsidRPr="006D669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602544F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Pretklinički</w:t>
      </w:r>
      <w:proofErr w:type="spellEnd"/>
      <w:r w:rsidRPr="006D669F">
        <w:rPr>
          <w:sz w:val="22"/>
          <w:szCs w:val="22"/>
          <w:lang w:val="sr-Latn-ME"/>
        </w:rPr>
        <w:t xml:space="preserve"> podaci dobijeni na osnovu konvencionalnih farmakoloških studija bezbjednosti, toksičnosti ponovljenih doza, </w:t>
      </w:r>
      <w:proofErr w:type="spellStart"/>
      <w:r w:rsidRPr="006D669F">
        <w:rPr>
          <w:sz w:val="22"/>
          <w:szCs w:val="22"/>
          <w:lang w:val="sr-Latn-ME"/>
        </w:rPr>
        <w:t>genotoksičnosti</w:t>
      </w:r>
      <w:proofErr w:type="spellEnd"/>
      <w:r w:rsidRPr="006D669F">
        <w:rPr>
          <w:sz w:val="22"/>
          <w:szCs w:val="22"/>
          <w:lang w:val="sr-Latn-ME"/>
        </w:rPr>
        <w:t xml:space="preserve"> i reproduktivne toksičnosti, ne ukazuju na posebne rizike pri primjeni lijeka kod </w:t>
      </w:r>
      <w:proofErr w:type="spellStart"/>
      <w:r w:rsidRPr="006D669F">
        <w:rPr>
          <w:sz w:val="22"/>
          <w:szCs w:val="22"/>
          <w:lang w:val="sr-Latn-ME"/>
        </w:rPr>
        <w:t>ljudi</w:t>
      </w:r>
      <w:proofErr w:type="spellEnd"/>
      <w:r w:rsidRPr="006D669F">
        <w:rPr>
          <w:sz w:val="22"/>
          <w:szCs w:val="22"/>
          <w:lang w:val="sr-Latn-ME"/>
        </w:rPr>
        <w:t xml:space="preserve">. </w:t>
      </w:r>
    </w:p>
    <w:p w14:paraId="42692C99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U </w:t>
      </w:r>
      <w:proofErr w:type="spellStart"/>
      <w:r w:rsidRPr="006D669F">
        <w:rPr>
          <w:sz w:val="22"/>
          <w:szCs w:val="22"/>
          <w:lang w:val="sr-Latn-ME"/>
        </w:rPr>
        <w:t>pretkliničkim</w:t>
      </w:r>
      <w:proofErr w:type="spellEnd"/>
      <w:r w:rsidRPr="006D669F">
        <w:rPr>
          <w:sz w:val="22"/>
          <w:szCs w:val="22"/>
          <w:lang w:val="sr-Latn-ME"/>
        </w:rPr>
        <w:t xml:space="preserve"> studijama, efekti su primjećeni samo kod izloženosti koja se smatra dovoljno višom od maksimalne izloženosti kod </w:t>
      </w:r>
      <w:proofErr w:type="spellStart"/>
      <w:r w:rsidRPr="006D669F">
        <w:rPr>
          <w:sz w:val="22"/>
          <w:szCs w:val="22"/>
          <w:lang w:val="sr-Latn-ME"/>
        </w:rPr>
        <w:t>ljudi</w:t>
      </w:r>
      <w:proofErr w:type="spellEnd"/>
      <w:r w:rsidRPr="006D669F">
        <w:rPr>
          <w:sz w:val="22"/>
          <w:szCs w:val="22"/>
          <w:lang w:val="sr-Latn-ME"/>
        </w:rPr>
        <w:t>, što ima mali značaj za kliničku praksu.</w:t>
      </w:r>
    </w:p>
    <w:p w14:paraId="57E0B183" w14:textId="77777777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Embriotoksičnost</w:t>
      </w:r>
      <w:proofErr w:type="spellEnd"/>
      <w:r w:rsidRPr="006D669F">
        <w:rPr>
          <w:sz w:val="22"/>
          <w:szCs w:val="22"/>
          <w:lang w:val="sr-Latn-ME"/>
        </w:rPr>
        <w:t xml:space="preserve"> se javljala posle oralne </w:t>
      </w:r>
      <w:proofErr w:type="spellStart"/>
      <w:r w:rsidRPr="006D669F">
        <w:rPr>
          <w:sz w:val="22"/>
          <w:szCs w:val="22"/>
          <w:lang w:val="sr-Latn-ME"/>
        </w:rPr>
        <w:t>primene</w:t>
      </w:r>
      <w:proofErr w:type="spellEnd"/>
      <w:r w:rsidRPr="006D669F">
        <w:rPr>
          <w:sz w:val="22"/>
          <w:szCs w:val="22"/>
          <w:lang w:val="sr-Latn-ME"/>
        </w:rPr>
        <w:t xml:space="preserve"> 500 mg/kg </w:t>
      </w:r>
      <w:proofErr w:type="spellStart"/>
      <w:r w:rsidRPr="006D669F">
        <w:rPr>
          <w:sz w:val="22"/>
          <w:szCs w:val="22"/>
          <w:lang w:val="sr-Latn-ME"/>
        </w:rPr>
        <w:t>telesne</w:t>
      </w:r>
      <w:proofErr w:type="spellEnd"/>
      <w:r w:rsidRPr="006D669F">
        <w:rPr>
          <w:sz w:val="22"/>
          <w:szCs w:val="22"/>
          <w:lang w:val="sr-Latn-ME"/>
        </w:rPr>
        <w:t xml:space="preserve"> mase kod pacova odnosno 250 mg/kg </w:t>
      </w:r>
      <w:proofErr w:type="spellStart"/>
      <w:r w:rsidRPr="006D669F">
        <w:rPr>
          <w:sz w:val="22"/>
          <w:szCs w:val="22"/>
          <w:lang w:val="sr-Latn-ME"/>
        </w:rPr>
        <w:t>telesne</w:t>
      </w:r>
      <w:proofErr w:type="spellEnd"/>
      <w:r w:rsidRPr="006D669F">
        <w:rPr>
          <w:sz w:val="22"/>
          <w:szCs w:val="22"/>
          <w:lang w:val="sr-Latn-ME"/>
        </w:rPr>
        <w:t xml:space="preserve"> mase kod kunića. Međutim, ove doze su mnogo puta veće od preporučenih terapijskih doza.</w:t>
      </w:r>
    </w:p>
    <w:p w14:paraId="08B8117C" w14:textId="28FB564D" w:rsidR="00396DFD" w:rsidRPr="006D669F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D2A9479" w14:textId="77777777" w:rsidR="001D1158" w:rsidRPr="006D669F" w:rsidRDefault="001D115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8837B38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6.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FARMACEUTSKI PODACI</w:t>
      </w:r>
    </w:p>
    <w:p w14:paraId="071ADD87" w14:textId="77777777" w:rsidR="00836B35" w:rsidRPr="006D669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B130C7" w14:textId="5A531263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6.1.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Lista pomoćnih supstanci</w:t>
      </w:r>
      <w:r w:rsidR="002E0135" w:rsidRPr="006D669F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6D669F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6D669F">
        <w:rPr>
          <w:b/>
          <w:bCs/>
          <w:sz w:val="22"/>
          <w:szCs w:val="22"/>
          <w:lang w:val="sr-Latn-ME"/>
        </w:rPr>
        <w:t>)</w:t>
      </w:r>
    </w:p>
    <w:p w14:paraId="3FF546FE" w14:textId="77777777" w:rsidR="005650A2" w:rsidRPr="006D669F" w:rsidRDefault="005650A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5BBABE2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i/>
          <w:sz w:val="22"/>
          <w:szCs w:val="22"/>
          <w:lang w:val="sr-Latn-ME"/>
        </w:rPr>
        <w:t>Jezgro tablete</w:t>
      </w:r>
      <w:r w:rsidRPr="006D669F">
        <w:rPr>
          <w:sz w:val="22"/>
          <w:szCs w:val="22"/>
          <w:lang w:val="sr-Latn-ME"/>
        </w:rPr>
        <w:t xml:space="preserve">: </w:t>
      </w:r>
    </w:p>
    <w:p w14:paraId="0BBDB899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limunska kiselina, </w:t>
      </w:r>
      <w:proofErr w:type="spellStart"/>
      <w:r w:rsidRPr="006D669F">
        <w:rPr>
          <w:sz w:val="22"/>
          <w:szCs w:val="22"/>
          <w:lang w:val="sr-Latn-ME"/>
        </w:rPr>
        <w:t>monohidrat</w:t>
      </w:r>
      <w:proofErr w:type="spellEnd"/>
      <w:r w:rsidRPr="006D669F">
        <w:rPr>
          <w:sz w:val="22"/>
          <w:szCs w:val="22"/>
          <w:lang w:val="sr-Latn-ME"/>
        </w:rPr>
        <w:t xml:space="preserve">; </w:t>
      </w:r>
    </w:p>
    <w:p w14:paraId="085F819A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silicijum dioksid, koloidni, bezvodni;</w:t>
      </w:r>
    </w:p>
    <w:p w14:paraId="52FBB761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stearinska kiselina; </w:t>
      </w:r>
    </w:p>
    <w:p w14:paraId="1DB6D430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talk; </w:t>
      </w:r>
    </w:p>
    <w:p w14:paraId="09F70803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celuloza, </w:t>
      </w:r>
      <w:proofErr w:type="spellStart"/>
      <w:r w:rsidRPr="006D669F">
        <w:rPr>
          <w:sz w:val="22"/>
          <w:szCs w:val="22"/>
          <w:lang w:val="sr-Latn-ME"/>
        </w:rPr>
        <w:t>mikrokristalna</w:t>
      </w:r>
      <w:proofErr w:type="spellEnd"/>
      <w:r w:rsidRPr="006D669F">
        <w:rPr>
          <w:sz w:val="22"/>
          <w:szCs w:val="22"/>
          <w:lang w:val="sr-Latn-ME"/>
        </w:rPr>
        <w:t xml:space="preserve"> (102); </w:t>
      </w:r>
    </w:p>
    <w:p w14:paraId="64FB1502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skrob, kukuruzni; </w:t>
      </w:r>
    </w:p>
    <w:p w14:paraId="0F61D73B" w14:textId="77777777" w:rsidR="005650A2" w:rsidRPr="006D669F" w:rsidRDefault="005650A2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laktoza, </w:t>
      </w:r>
      <w:proofErr w:type="spellStart"/>
      <w:r w:rsidRPr="006D669F">
        <w:rPr>
          <w:sz w:val="22"/>
          <w:szCs w:val="22"/>
          <w:lang w:val="sr-Latn-ME"/>
        </w:rPr>
        <w:t>monohidrat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378A9C52" w14:textId="77777777" w:rsidR="005650A2" w:rsidRPr="006D669F" w:rsidRDefault="005650A2" w:rsidP="005650A2">
      <w:pPr>
        <w:jc w:val="both"/>
        <w:rPr>
          <w:i/>
          <w:sz w:val="22"/>
          <w:szCs w:val="22"/>
          <w:lang w:val="sr-Latn-ME"/>
        </w:rPr>
      </w:pPr>
    </w:p>
    <w:p w14:paraId="5B9BBDDE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i/>
          <w:sz w:val="22"/>
          <w:szCs w:val="22"/>
          <w:lang w:val="sr-Latn-ME"/>
        </w:rPr>
      </w:pPr>
      <w:r w:rsidRPr="006D669F">
        <w:rPr>
          <w:i/>
          <w:sz w:val="22"/>
          <w:szCs w:val="22"/>
          <w:lang w:val="sr-Latn-ME"/>
        </w:rPr>
        <w:t xml:space="preserve">Film omotač tablete: </w:t>
      </w:r>
    </w:p>
    <w:p w14:paraId="00CFE3D1" w14:textId="18297E80" w:rsidR="005650A2" w:rsidRPr="006D669F" w:rsidRDefault="000A03F4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s</w:t>
      </w:r>
      <w:r w:rsidR="005650A2" w:rsidRPr="006D669F">
        <w:rPr>
          <w:sz w:val="22"/>
          <w:szCs w:val="22"/>
          <w:lang w:val="sr-Latn-ME"/>
        </w:rPr>
        <w:t xml:space="preserve">ilicijum dioksid koloidni, bezvodni; </w:t>
      </w:r>
    </w:p>
    <w:p w14:paraId="42636732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titan dioksid (E171); </w:t>
      </w:r>
    </w:p>
    <w:p w14:paraId="7A7AD1B0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laktoza, </w:t>
      </w:r>
      <w:proofErr w:type="spellStart"/>
      <w:r w:rsidRPr="006D669F">
        <w:rPr>
          <w:sz w:val="22"/>
          <w:szCs w:val="22"/>
          <w:lang w:val="sr-Latn-ME"/>
        </w:rPr>
        <w:t>monohidrat</w:t>
      </w:r>
      <w:proofErr w:type="spellEnd"/>
      <w:r w:rsidRPr="006D669F">
        <w:rPr>
          <w:sz w:val="22"/>
          <w:szCs w:val="22"/>
          <w:lang w:val="sr-Latn-ME"/>
        </w:rPr>
        <w:t xml:space="preserve">; </w:t>
      </w:r>
    </w:p>
    <w:p w14:paraId="54CB4126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makrogol</w:t>
      </w:r>
      <w:proofErr w:type="spellEnd"/>
      <w:r w:rsidRPr="006D669F">
        <w:rPr>
          <w:sz w:val="22"/>
          <w:szCs w:val="22"/>
          <w:lang w:val="sr-Latn-ME"/>
        </w:rPr>
        <w:t xml:space="preserve"> 6000; </w:t>
      </w:r>
    </w:p>
    <w:p w14:paraId="148F4485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6D669F">
        <w:rPr>
          <w:sz w:val="22"/>
          <w:szCs w:val="22"/>
          <w:lang w:val="sr-Latn-ME"/>
        </w:rPr>
        <w:t>hipromeloza</w:t>
      </w:r>
      <w:proofErr w:type="spellEnd"/>
      <w:r w:rsidRPr="006D669F">
        <w:rPr>
          <w:sz w:val="22"/>
          <w:szCs w:val="22"/>
          <w:lang w:val="sr-Latn-ME"/>
        </w:rPr>
        <w:t>.</w:t>
      </w:r>
    </w:p>
    <w:p w14:paraId="24A906A1" w14:textId="77777777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3701B25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6.2.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Inkompatibilnost</w:t>
      </w:r>
      <w:r w:rsidR="002846DB" w:rsidRPr="006D669F">
        <w:rPr>
          <w:b/>
          <w:bCs/>
          <w:sz w:val="22"/>
          <w:szCs w:val="22"/>
          <w:lang w:val="sr-Latn-ME"/>
        </w:rPr>
        <w:t>i</w:t>
      </w:r>
    </w:p>
    <w:p w14:paraId="7ECE06F2" w14:textId="1026D260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1E72D3" w14:textId="6C266D44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N</w:t>
      </w:r>
      <w:r w:rsidR="000A03F4" w:rsidRPr="006D669F">
        <w:rPr>
          <w:sz w:val="22"/>
          <w:szCs w:val="22"/>
          <w:lang w:val="sr-Latn-ME"/>
        </w:rPr>
        <w:t>ije primjenljivo.</w:t>
      </w:r>
    </w:p>
    <w:p w14:paraId="3C617050" w14:textId="77777777" w:rsidR="005650A2" w:rsidRPr="006D669F" w:rsidRDefault="005650A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0ED6E12" w14:textId="36A3C76A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>6.3.</w:t>
      </w:r>
      <w:r w:rsidR="00C05DF8" w:rsidRPr="006D669F">
        <w:rPr>
          <w:b/>
          <w:bCs/>
          <w:sz w:val="22"/>
          <w:szCs w:val="22"/>
          <w:lang w:val="sr-Latn-ME"/>
        </w:rPr>
        <w:t xml:space="preserve">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Rok upotrebe</w:t>
      </w:r>
    </w:p>
    <w:p w14:paraId="442607B9" w14:textId="77777777" w:rsidR="005650A2" w:rsidRPr="006D669F" w:rsidRDefault="005650A2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545BA90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3 godine.</w:t>
      </w:r>
    </w:p>
    <w:p w14:paraId="6FA481A0" w14:textId="77777777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0DD635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6.4.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6D669F">
        <w:rPr>
          <w:b/>
          <w:bCs/>
          <w:sz w:val="22"/>
          <w:szCs w:val="22"/>
          <w:lang w:val="sr-Latn-ME"/>
        </w:rPr>
        <w:t xml:space="preserve"> lijeka</w:t>
      </w:r>
    </w:p>
    <w:p w14:paraId="402B5961" w14:textId="77777777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4EDF6520" w14:textId="6365DB91" w:rsidR="00EC2532" w:rsidRPr="0007127A" w:rsidRDefault="005650A2" w:rsidP="0007127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Lijek ne zahtijeva posebne uslove čuvanja.</w:t>
      </w:r>
    </w:p>
    <w:p w14:paraId="5164C7F1" w14:textId="77777777" w:rsidR="000A03F4" w:rsidRPr="006D669F" w:rsidRDefault="000A03F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B376D77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6.5.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="002846DB" w:rsidRPr="006D669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6D669F">
        <w:rPr>
          <w:b/>
          <w:bCs/>
          <w:sz w:val="22"/>
          <w:szCs w:val="22"/>
          <w:lang w:val="sr-Latn-ME"/>
        </w:rPr>
        <w:t>pakovanja</w:t>
      </w:r>
      <w:r w:rsidR="00C06864" w:rsidRPr="006D669F">
        <w:rPr>
          <w:b/>
          <w:bCs/>
          <w:sz w:val="22"/>
          <w:szCs w:val="22"/>
          <w:lang w:val="sr-Latn-ME"/>
        </w:rPr>
        <w:t xml:space="preserve"> </w:t>
      </w:r>
    </w:p>
    <w:p w14:paraId="142A2861" w14:textId="77777777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443FCDB" w14:textId="384041D4" w:rsidR="005650A2" w:rsidRPr="006D669F" w:rsidRDefault="005650A2" w:rsidP="005650A2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Unutrašnje pakovanje je PVC/Al </w:t>
      </w:r>
      <w:proofErr w:type="spellStart"/>
      <w:r w:rsidRPr="006D669F">
        <w:rPr>
          <w:sz w:val="22"/>
          <w:szCs w:val="22"/>
          <w:lang w:val="sr-Latn-ME"/>
        </w:rPr>
        <w:t>blister</w:t>
      </w:r>
      <w:proofErr w:type="spellEnd"/>
      <w:r w:rsidRPr="006D669F">
        <w:rPr>
          <w:sz w:val="22"/>
          <w:szCs w:val="22"/>
          <w:lang w:val="sr-Latn-ME"/>
        </w:rPr>
        <w:t xml:space="preserve"> koji sadrži 10 film tableta.</w:t>
      </w:r>
    </w:p>
    <w:p w14:paraId="4F4844E2" w14:textId="77777777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Spoljašnje pakovanje je </w:t>
      </w:r>
      <w:proofErr w:type="spellStart"/>
      <w:r w:rsidRPr="006D669F">
        <w:rPr>
          <w:sz w:val="22"/>
          <w:szCs w:val="22"/>
          <w:lang w:val="sr-Latn-ME"/>
        </w:rPr>
        <w:t>složiva</w:t>
      </w:r>
      <w:proofErr w:type="spellEnd"/>
      <w:r w:rsidRPr="006D669F">
        <w:rPr>
          <w:sz w:val="22"/>
          <w:szCs w:val="22"/>
          <w:lang w:val="sr-Latn-ME"/>
        </w:rPr>
        <w:t xml:space="preserve"> kartonska kutija u kojoj se nalaze 3 </w:t>
      </w:r>
      <w:proofErr w:type="spellStart"/>
      <w:r w:rsidRPr="006D669F">
        <w:rPr>
          <w:sz w:val="22"/>
          <w:szCs w:val="22"/>
          <w:lang w:val="sr-Latn-ME"/>
        </w:rPr>
        <w:t>blistera</w:t>
      </w:r>
      <w:proofErr w:type="spellEnd"/>
      <w:r w:rsidRPr="006D669F">
        <w:rPr>
          <w:sz w:val="22"/>
          <w:szCs w:val="22"/>
          <w:lang w:val="sr-Latn-ME"/>
        </w:rPr>
        <w:t xml:space="preserve"> sa po 10 film tableta (ukupno 30 film tableta) i Uputstvo za lijek.</w:t>
      </w:r>
    </w:p>
    <w:p w14:paraId="735747D0" w14:textId="77777777" w:rsidR="002846DB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0" w:name="_GoBack"/>
      <w:bookmarkEnd w:id="0"/>
      <w:r w:rsidRPr="006D669F">
        <w:rPr>
          <w:b/>
          <w:bCs/>
          <w:sz w:val="22"/>
          <w:szCs w:val="22"/>
          <w:lang w:val="sr-Latn-ME"/>
        </w:rPr>
        <w:lastRenderedPageBreak/>
        <w:t xml:space="preserve">6.6.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6D669F">
        <w:rPr>
          <w:b/>
          <w:bCs/>
          <w:sz w:val="22"/>
          <w:szCs w:val="22"/>
          <w:lang w:val="sr-Latn-ME"/>
        </w:rPr>
        <w:t xml:space="preserve"> </w:t>
      </w:r>
      <w:r w:rsidR="00310F03" w:rsidRPr="006D669F">
        <w:rPr>
          <w:b/>
          <w:bCs/>
          <w:sz w:val="22"/>
          <w:szCs w:val="22"/>
          <w:lang w:val="sr-Latn-ME"/>
        </w:rPr>
        <w:t>(i druga uputs</w:t>
      </w:r>
      <w:r w:rsidR="004109FA" w:rsidRPr="006D669F">
        <w:rPr>
          <w:b/>
          <w:bCs/>
          <w:sz w:val="22"/>
          <w:szCs w:val="22"/>
          <w:lang w:val="sr-Latn-ME"/>
        </w:rPr>
        <w:t>t</w:t>
      </w:r>
      <w:r w:rsidR="00310F03" w:rsidRPr="006D669F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5DAF6BA2" w14:textId="77777777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66AF20B" w14:textId="2DC109F5" w:rsidR="00B66A70" w:rsidRPr="006D669F" w:rsidRDefault="005650A2" w:rsidP="005650A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7FD47705" w14:textId="047FFA62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B5432A" w14:textId="77777777" w:rsidR="001D1158" w:rsidRPr="006D669F" w:rsidRDefault="001D11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E6F1BB" w14:textId="77777777" w:rsidR="00F8570A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7.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NOSILAC DOZVOLE</w:t>
      </w:r>
      <w:r w:rsidR="00483928" w:rsidRPr="006D669F">
        <w:rPr>
          <w:b/>
          <w:bCs/>
          <w:sz w:val="22"/>
          <w:szCs w:val="22"/>
          <w:lang w:val="sr-Latn-ME"/>
        </w:rPr>
        <w:t xml:space="preserve"> </w:t>
      </w:r>
    </w:p>
    <w:p w14:paraId="7AD45099" w14:textId="7CE0A6DD" w:rsidR="00C61BE0" w:rsidRPr="006D669F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16E6DD6" w14:textId="6408C1C0" w:rsidR="005650A2" w:rsidRPr="006D669F" w:rsidRDefault="005650A2" w:rsidP="005650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6D669F">
        <w:rPr>
          <w:bCs/>
          <w:sz w:val="22"/>
          <w:szCs w:val="22"/>
          <w:lang w:val="sr-Latn-ME"/>
        </w:rPr>
        <w:t xml:space="preserve">Glosarij </w:t>
      </w:r>
      <w:r w:rsidR="00CB2FB7" w:rsidRPr="006D669F">
        <w:rPr>
          <w:bCs/>
          <w:sz w:val="22"/>
          <w:szCs w:val="22"/>
          <w:lang w:val="sr-Latn-ME"/>
        </w:rPr>
        <w:t>d</w:t>
      </w:r>
      <w:r w:rsidR="000A03F4" w:rsidRPr="006D669F">
        <w:rPr>
          <w:bCs/>
          <w:sz w:val="22"/>
          <w:szCs w:val="22"/>
          <w:lang w:val="sr-Latn-ME"/>
        </w:rPr>
        <w:t>.</w:t>
      </w:r>
      <w:r w:rsidR="00CB2FB7" w:rsidRPr="006D669F">
        <w:rPr>
          <w:bCs/>
          <w:sz w:val="22"/>
          <w:szCs w:val="22"/>
          <w:lang w:val="sr-Latn-ME"/>
        </w:rPr>
        <w:t>o</w:t>
      </w:r>
      <w:r w:rsidR="000A03F4" w:rsidRPr="006D669F">
        <w:rPr>
          <w:bCs/>
          <w:sz w:val="22"/>
          <w:szCs w:val="22"/>
          <w:lang w:val="sr-Latn-ME"/>
        </w:rPr>
        <w:t>.</w:t>
      </w:r>
      <w:r w:rsidR="00CB2FB7" w:rsidRPr="006D669F">
        <w:rPr>
          <w:bCs/>
          <w:sz w:val="22"/>
          <w:szCs w:val="22"/>
          <w:lang w:val="sr-Latn-ME"/>
        </w:rPr>
        <w:t>o</w:t>
      </w:r>
      <w:r w:rsidR="000A03F4" w:rsidRPr="006D669F">
        <w:rPr>
          <w:bCs/>
          <w:sz w:val="22"/>
          <w:szCs w:val="22"/>
          <w:lang w:val="sr-Latn-ME"/>
        </w:rPr>
        <w:t>.</w:t>
      </w:r>
      <w:r w:rsidRPr="006D669F">
        <w:rPr>
          <w:bCs/>
          <w:sz w:val="22"/>
          <w:szCs w:val="22"/>
          <w:lang w:val="sr-Latn-ME"/>
        </w:rPr>
        <w:t xml:space="preserve">, </w:t>
      </w:r>
      <w:proofErr w:type="spellStart"/>
      <w:r w:rsidRPr="006D669F">
        <w:rPr>
          <w:bCs/>
          <w:sz w:val="22"/>
          <w:szCs w:val="22"/>
          <w:lang w:val="sr-Latn-ME"/>
        </w:rPr>
        <w:t>Vojislavljevića</w:t>
      </w:r>
      <w:proofErr w:type="spellEnd"/>
      <w:r w:rsidRPr="006D669F">
        <w:rPr>
          <w:bCs/>
          <w:sz w:val="22"/>
          <w:szCs w:val="22"/>
          <w:lang w:val="sr-Latn-ME"/>
        </w:rPr>
        <w:t xml:space="preserve"> 76, Podgorica, Crna Gora</w:t>
      </w:r>
    </w:p>
    <w:p w14:paraId="3E24EA3A" w14:textId="40E7DC20" w:rsidR="00C37FD7" w:rsidRPr="006D669F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F4875A" w14:textId="77777777" w:rsidR="001D1158" w:rsidRPr="006D669F" w:rsidRDefault="001D11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3A9B99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8.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>BROJ DOZVOLE</w:t>
      </w:r>
      <w:r w:rsidR="008A6D43" w:rsidRPr="006D66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86FFEF8" w14:textId="77777777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3E81CE" w14:textId="30F5ED18" w:rsidR="005650A2" w:rsidRPr="008966E2" w:rsidRDefault="008966E2" w:rsidP="005650A2">
      <w:pPr>
        <w:jc w:val="both"/>
        <w:rPr>
          <w:sz w:val="22"/>
          <w:szCs w:val="22"/>
          <w:lang w:val="sr-Latn-ME"/>
        </w:rPr>
      </w:pPr>
      <w:r w:rsidRPr="008966E2">
        <w:rPr>
          <w:sz w:val="22"/>
          <w:szCs w:val="22"/>
          <w:lang w:val="sr-Latn-ME"/>
        </w:rPr>
        <w:t>2030/24/847 - 8499</w:t>
      </w:r>
    </w:p>
    <w:p w14:paraId="00388406" w14:textId="5EEAE72E" w:rsidR="001D1158" w:rsidRDefault="001D1158" w:rsidP="005650A2">
      <w:pPr>
        <w:jc w:val="both"/>
        <w:rPr>
          <w:b/>
          <w:sz w:val="22"/>
          <w:szCs w:val="22"/>
          <w:lang w:val="sr-Latn-ME"/>
        </w:rPr>
      </w:pPr>
    </w:p>
    <w:p w14:paraId="74B3B35D" w14:textId="77777777" w:rsidR="008966E2" w:rsidRPr="006D669F" w:rsidRDefault="008966E2" w:rsidP="005650A2">
      <w:pPr>
        <w:jc w:val="both"/>
        <w:rPr>
          <w:b/>
          <w:sz w:val="22"/>
          <w:szCs w:val="22"/>
          <w:lang w:val="sr-Latn-ME"/>
        </w:rPr>
      </w:pPr>
    </w:p>
    <w:p w14:paraId="78E06BE4" w14:textId="77777777" w:rsidR="0072020E" w:rsidRPr="006D669F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9.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Pr="006D669F">
        <w:rPr>
          <w:b/>
          <w:bCs/>
          <w:sz w:val="22"/>
          <w:szCs w:val="22"/>
          <w:lang w:val="sr-Latn-ME"/>
        </w:rPr>
        <w:t xml:space="preserve">DATUM </w:t>
      </w:r>
      <w:r w:rsidR="00C05DF8" w:rsidRPr="006D669F">
        <w:rPr>
          <w:b/>
          <w:bCs/>
          <w:sz w:val="22"/>
          <w:szCs w:val="22"/>
          <w:lang w:val="sr-Latn-ME"/>
        </w:rPr>
        <w:t xml:space="preserve">PRVE </w:t>
      </w:r>
      <w:r w:rsidR="008A6D43" w:rsidRPr="006D669F">
        <w:rPr>
          <w:b/>
          <w:bCs/>
          <w:sz w:val="22"/>
          <w:szCs w:val="22"/>
          <w:lang w:val="sr-Latn-ME"/>
        </w:rPr>
        <w:t>DOZVOLE</w:t>
      </w:r>
      <w:r w:rsidR="00C05DF8" w:rsidRPr="006D669F">
        <w:rPr>
          <w:b/>
          <w:bCs/>
          <w:sz w:val="22"/>
          <w:szCs w:val="22"/>
          <w:lang w:val="sr-Latn-ME"/>
        </w:rPr>
        <w:t>/OBNOVE DOZVOLE</w:t>
      </w:r>
      <w:r w:rsidR="008A6D43" w:rsidRPr="006D66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497FC3E" w14:textId="77777777" w:rsidR="0072020E" w:rsidRPr="006D669F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3E89F34" w14:textId="1D5469A8" w:rsidR="005650A2" w:rsidRPr="006D669F" w:rsidRDefault="000A03F4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Datum prve dozvole: </w:t>
      </w:r>
      <w:r w:rsidR="001D1158" w:rsidRPr="006D669F">
        <w:rPr>
          <w:sz w:val="22"/>
          <w:szCs w:val="22"/>
          <w:lang w:val="sr-Latn-ME"/>
        </w:rPr>
        <w:t>0</w:t>
      </w:r>
      <w:r w:rsidR="005650A2" w:rsidRPr="006D669F">
        <w:rPr>
          <w:sz w:val="22"/>
          <w:szCs w:val="22"/>
          <w:lang w:val="sr-Latn-ME"/>
        </w:rPr>
        <w:t>4.10.2013.</w:t>
      </w:r>
      <w:r w:rsidR="001D1158" w:rsidRPr="006D669F">
        <w:rPr>
          <w:sz w:val="22"/>
          <w:szCs w:val="22"/>
          <w:lang w:val="sr-Latn-ME"/>
        </w:rPr>
        <w:t xml:space="preserve"> godine</w:t>
      </w:r>
    </w:p>
    <w:p w14:paraId="4A661D2F" w14:textId="0DDF929A" w:rsidR="000A03F4" w:rsidRPr="006D669F" w:rsidRDefault="000A03F4" w:rsidP="005650A2">
      <w:pPr>
        <w:jc w:val="both"/>
        <w:rPr>
          <w:sz w:val="22"/>
          <w:szCs w:val="22"/>
          <w:lang w:val="sr-Latn-ME"/>
        </w:rPr>
      </w:pPr>
      <w:r w:rsidRPr="006D669F">
        <w:rPr>
          <w:sz w:val="22"/>
          <w:szCs w:val="22"/>
          <w:lang w:val="sr-Latn-ME"/>
        </w:rPr>
        <w:t xml:space="preserve">Datum </w:t>
      </w:r>
      <w:proofErr w:type="spellStart"/>
      <w:r w:rsidRPr="006D669F">
        <w:rPr>
          <w:sz w:val="22"/>
          <w:szCs w:val="22"/>
          <w:lang w:val="sr-Latn-ME"/>
        </w:rPr>
        <w:t>poslednje</w:t>
      </w:r>
      <w:proofErr w:type="spellEnd"/>
      <w:r w:rsidRPr="006D669F">
        <w:rPr>
          <w:sz w:val="22"/>
          <w:szCs w:val="22"/>
          <w:lang w:val="sr-Latn-ME"/>
        </w:rPr>
        <w:t xml:space="preserve"> obnove dozvole:</w:t>
      </w:r>
      <w:r w:rsidR="008966E2">
        <w:rPr>
          <w:sz w:val="22"/>
          <w:szCs w:val="22"/>
          <w:lang w:val="sr-Latn-ME"/>
        </w:rPr>
        <w:t xml:space="preserve"> </w:t>
      </w:r>
      <w:r w:rsidR="008966E2">
        <w:rPr>
          <w:rFonts w:ascii="TimesNewRoman" w:hAnsi="TimesNewRoman" w:cs="TimesNewRoman"/>
          <w:sz w:val="22"/>
          <w:szCs w:val="22"/>
          <w:lang w:eastAsia="sr-Latn-ME"/>
        </w:rPr>
        <w:t xml:space="preserve">20.02.2024. </w:t>
      </w:r>
      <w:proofErr w:type="spellStart"/>
      <w:proofErr w:type="gramStart"/>
      <w:r w:rsidR="008966E2">
        <w:rPr>
          <w:rFonts w:ascii="TimesNewRoman" w:hAnsi="TimesNewRoman" w:cs="TimesNewRoman"/>
          <w:sz w:val="22"/>
          <w:szCs w:val="22"/>
          <w:lang w:eastAsia="sr-Latn-ME"/>
        </w:rPr>
        <w:t>godine</w:t>
      </w:r>
      <w:proofErr w:type="spellEnd"/>
      <w:proofErr w:type="gramEnd"/>
    </w:p>
    <w:p w14:paraId="65B4BE72" w14:textId="7746C292" w:rsidR="00836B35" w:rsidRPr="006D669F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A355FE" w14:textId="77777777" w:rsidR="001D1158" w:rsidRPr="006D669F" w:rsidRDefault="001D115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FB1924" w14:textId="77777777" w:rsidR="003F6A59" w:rsidRPr="006D669F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ME"/>
        </w:rPr>
      </w:pPr>
      <w:r w:rsidRPr="006D669F">
        <w:rPr>
          <w:b/>
          <w:bCs/>
          <w:sz w:val="22"/>
          <w:szCs w:val="22"/>
          <w:lang w:val="sr-Latn-ME"/>
        </w:rPr>
        <w:t xml:space="preserve">10. </w:t>
      </w:r>
      <w:r w:rsidR="00480FB1" w:rsidRPr="006D669F">
        <w:rPr>
          <w:b/>
          <w:bCs/>
          <w:sz w:val="22"/>
          <w:szCs w:val="22"/>
          <w:lang w:val="sr-Latn-ME"/>
        </w:rPr>
        <w:tab/>
      </w:r>
      <w:r w:rsidR="002846DB" w:rsidRPr="006D669F">
        <w:rPr>
          <w:b/>
          <w:bCs/>
          <w:sz w:val="22"/>
          <w:szCs w:val="22"/>
          <w:lang w:val="sr-Latn-ME"/>
        </w:rPr>
        <w:t>D</w:t>
      </w:r>
      <w:r w:rsidR="00EC2532" w:rsidRPr="006D669F">
        <w:rPr>
          <w:b/>
          <w:bCs/>
          <w:sz w:val="22"/>
          <w:szCs w:val="22"/>
          <w:lang w:val="sr-Latn-ME"/>
        </w:rPr>
        <w:t xml:space="preserve">ATUM REVIZIJE TEKSTA </w:t>
      </w:r>
    </w:p>
    <w:p w14:paraId="79007256" w14:textId="77777777" w:rsidR="003F6A59" w:rsidRPr="006D669F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883035" w14:textId="7AF9BF19" w:rsidR="005650A2" w:rsidRPr="006D669F" w:rsidRDefault="008966E2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Februar, 2024. godine</w:t>
      </w:r>
    </w:p>
    <w:sectPr w:rsidR="005650A2" w:rsidRPr="006D669F" w:rsidSect="00353DA5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B9987" w14:textId="77777777" w:rsidR="003A11C9" w:rsidRDefault="003A11C9">
      <w:r>
        <w:separator/>
      </w:r>
    </w:p>
  </w:endnote>
  <w:endnote w:type="continuationSeparator" w:id="0">
    <w:p w14:paraId="24EA222B" w14:textId="77777777" w:rsidR="003A11C9" w:rsidRDefault="003A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C3041" w14:textId="63EE77B0" w:rsidR="00EF3B86" w:rsidRPr="00B23F69" w:rsidRDefault="00EF3B86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7127A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7127A">
      <w:rPr>
        <w:noProof/>
        <w:sz w:val="22"/>
        <w:szCs w:val="22"/>
      </w:rPr>
      <w:t>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7162" w14:textId="77777777" w:rsidR="003A11C9" w:rsidRDefault="003A11C9">
      <w:r>
        <w:separator/>
      </w:r>
    </w:p>
  </w:footnote>
  <w:footnote w:type="continuationSeparator" w:id="0">
    <w:p w14:paraId="190CA069" w14:textId="77777777" w:rsidR="003A11C9" w:rsidRDefault="003A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.6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6FA0"/>
    <w:rsid w:val="0003793F"/>
    <w:rsid w:val="00057E35"/>
    <w:rsid w:val="0007127A"/>
    <w:rsid w:val="00076726"/>
    <w:rsid w:val="00080303"/>
    <w:rsid w:val="000A03F4"/>
    <w:rsid w:val="000A3F58"/>
    <w:rsid w:val="000D2343"/>
    <w:rsid w:val="000D3449"/>
    <w:rsid w:val="000D425A"/>
    <w:rsid w:val="000D60CC"/>
    <w:rsid w:val="000D7F3D"/>
    <w:rsid w:val="000E2084"/>
    <w:rsid w:val="000E6F55"/>
    <w:rsid w:val="000F77FA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D1158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46DB"/>
    <w:rsid w:val="00284CCD"/>
    <w:rsid w:val="002C6637"/>
    <w:rsid w:val="002D4B92"/>
    <w:rsid w:val="002E0135"/>
    <w:rsid w:val="002E37A5"/>
    <w:rsid w:val="00310F03"/>
    <w:rsid w:val="003247D2"/>
    <w:rsid w:val="003445C1"/>
    <w:rsid w:val="00353DA5"/>
    <w:rsid w:val="00355B61"/>
    <w:rsid w:val="00362686"/>
    <w:rsid w:val="00371510"/>
    <w:rsid w:val="00396DFD"/>
    <w:rsid w:val="003A11C9"/>
    <w:rsid w:val="003A7059"/>
    <w:rsid w:val="003B7A36"/>
    <w:rsid w:val="003C17AB"/>
    <w:rsid w:val="003C7823"/>
    <w:rsid w:val="003E1DCC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403"/>
    <w:rsid w:val="00452E9D"/>
    <w:rsid w:val="004534C7"/>
    <w:rsid w:val="004671AA"/>
    <w:rsid w:val="00480FB1"/>
    <w:rsid w:val="00483928"/>
    <w:rsid w:val="004C331F"/>
    <w:rsid w:val="004D234B"/>
    <w:rsid w:val="004D6103"/>
    <w:rsid w:val="004E3BCE"/>
    <w:rsid w:val="004E70AD"/>
    <w:rsid w:val="004F0E97"/>
    <w:rsid w:val="00501DD1"/>
    <w:rsid w:val="00515C21"/>
    <w:rsid w:val="00530BD7"/>
    <w:rsid w:val="00533623"/>
    <w:rsid w:val="00545CD2"/>
    <w:rsid w:val="005476F3"/>
    <w:rsid w:val="00561201"/>
    <w:rsid w:val="005650A2"/>
    <w:rsid w:val="00572527"/>
    <w:rsid w:val="00573E40"/>
    <w:rsid w:val="00576348"/>
    <w:rsid w:val="0058218F"/>
    <w:rsid w:val="005A0B2E"/>
    <w:rsid w:val="005A23D2"/>
    <w:rsid w:val="005A36CB"/>
    <w:rsid w:val="005B49B8"/>
    <w:rsid w:val="005C0741"/>
    <w:rsid w:val="005C5EF4"/>
    <w:rsid w:val="005E2E0B"/>
    <w:rsid w:val="005E7A7D"/>
    <w:rsid w:val="00602457"/>
    <w:rsid w:val="006168F1"/>
    <w:rsid w:val="00616A4D"/>
    <w:rsid w:val="00644FC3"/>
    <w:rsid w:val="00646BD1"/>
    <w:rsid w:val="006561C2"/>
    <w:rsid w:val="00671CB3"/>
    <w:rsid w:val="00674BAF"/>
    <w:rsid w:val="00675EB4"/>
    <w:rsid w:val="00682200"/>
    <w:rsid w:val="00691EEB"/>
    <w:rsid w:val="00692BF6"/>
    <w:rsid w:val="006A1497"/>
    <w:rsid w:val="006A27D3"/>
    <w:rsid w:val="006B0BD1"/>
    <w:rsid w:val="006B5404"/>
    <w:rsid w:val="006D20A5"/>
    <w:rsid w:val="006D37BF"/>
    <w:rsid w:val="006D669F"/>
    <w:rsid w:val="00702E22"/>
    <w:rsid w:val="0072020E"/>
    <w:rsid w:val="00785E60"/>
    <w:rsid w:val="00786071"/>
    <w:rsid w:val="007A3ECB"/>
    <w:rsid w:val="007D7BB3"/>
    <w:rsid w:val="00804A26"/>
    <w:rsid w:val="00824AB9"/>
    <w:rsid w:val="00826314"/>
    <w:rsid w:val="008343E0"/>
    <w:rsid w:val="00836B35"/>
    <w:rsid w:val="008438F9"/>
    <w:rsid w:val="00843BDE"/>
    <w:rsid w:val="0087588C"/>
    <w:rsid w:val="008966E2"/>
    <w:rsid w:val="0089705C"/>
    <w:rsid w:val="008A6D43"/>
    <w:rsid w:val="008B491E"/>
    <w:rsid w:val="008C1A28"/>
    <w:rsid w:val="008C2E98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D0D2C"/>
    <w:rsid w:val="009E7C6F"/>
    <w:rsid w:val="009F1793"/>
    <w:rsid w:val="009F2D23"/>
    <w:rsid w:val="00A01D69"/>
    <w:rsid w:val="00A02335"/>
    <w:rsid w:val="00A46C9A"/>
    <w:rsid w:val="00A55F71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2AC7"/>
    <w:rsid w:val="00AF74CE"/>
    <w:rsid w:val="00B208DB"/>
    <w:rsid w:val="00B23F69"/>
    <w:rsid w:val="00B47173"/>
    <w:rsid w:val="00B60619"/>
    <w:rsid w:val="00B66A70"/>
    <w:rsid w:val="00B67366"/>
    <w:rsid w:val="00B76FF9"/>
    <w:rsid w:val="00B80EE1"/>
    <w:rsid w:val="00B84135"/>
    <w:rsid w:val="00BB71A5"/>
    <w:rsid w:val="00BF4A75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2FB7"/>
    <w:rsid w:val="00CD4F85"/>
    <w:rsid w:val="00CD6F02"/>
    <w:rsid w:val="00CE246D"/>
    <w:rsid w:val="00CF07A0"/>
    <w:rsid w:val="00CF3E03"/>
    <w:rsid w:val="00D0082A"/>
    <w:rsid w:val="00D105A1"/>
    <w:rsid w:val="00D21455"/>
    <w:rsid w:val="00D47634"/>
    <w:rsid w:val="00D709B3"/>
    <w:rsid w:val="00DA2ED6"/>
    <w:rsid w:val="00DB76B8"/>
    <w:rsid w:val="00DC2EA1"/>
    <w:rsid w:val="00DD6AAF"/>
    <w:rsid w:val="00DE3F5C"/>
    <w:rsid w:val="00DF1D20"/>
    <w:rsid w:val="00E21324"/>
    <w:rsid w:val="00E246B9"/>
    <w:rsid w:val="00E31FEA"/>
    <w:rsid w:val="00E45169"/>
    <w:rsid w:val="00E47787"/>
    <w:rsid w:val="00E51C30"/>
    <w:rsid w:val="00E64180"/>
    <w:rsid w:val="00E74AEE"/>
    <w:rsid w:val="00E868E5"/>
    <w:rsid w:val="00E9237A"/>
    <w:rsid w:val="00E939FA"/>
    <w:rsid w:val="00EA5765"/>
    <w:rsid w:val="00EB0E47"/>
    <w:rsid w:val="00EC2532"/>
    <w:rsid w:val="00EC4457"/>
    <w:rsid w:val="00ED7812"/>
    <w:rsid w:val="00EF3B86"/>
    <w:rsid w:val="00F20F67"/>
    <w:rsid w:val="00F317E9"/>
    <w:rsid w:val="00F34554"/>
    <w:rsid w:val="00F45F77"/>
    <w:rsid w:val="00F5167F"/>
    <w:rsid w:val="00F52258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86AE1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105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7300-8E4A-4EF7-8410-4C1CD474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2384</Words>
  <Characters>13593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15946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5</cp:revision>
  <dcterms:created xsi:type="dcterms:W3CDTF">2024-02-15T06:09:00Z</dcterms:created>
  <dcterms:modified xsi:type="dcterms:W3CDTF">2024-02-20T09:34:00Z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