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3C351B" w:rsidRDefault="001A5518" w:rsidP="001A5518">
      <w:pPr>
        <w:rPr>
          <w:b/>
          <w:bCs/>
          <w:i/>
          <w:iCs/>
          <w:noProof/>
          <w:sz w:val="22"/>
          <w:szCs w:val="22"/>
          <w:u w:val="single"/>
          <w:lang w:val="sr-Latn-ME"/>
        </w:rPr>
      </w:pPr>
    </w:p>
    <w:p w:rsidR="002510A5" w:rsidRPr="003C351B" w:rsidRDefault="002510A5" w:rsidP="002510A5">
      <w:pPr>
        <w:jc w:val="center"/>
        <w:rPr>
          <w:b/>
          <w:bCs/>
          <w:iCs/>
          <w:noProof/>
          <w:sz w:val="22"/>
          <w:szCs w:val="22"/>
          <w:u w:val="single"/>
          <w:lang w:val="sr-Latn-ME"/>
        </w:rPr>
      </w:pPr>
      <w:r w:rsidRPr="003C351B">
        <w:rPr>
          <w:b/>
          <w:bCs/>
          <w:iCs/>
          <w:noProof/>
          <w:sz w:val="22"/>
          <w:szCs w:val="22"/>
          <w:u w:val="single"/>
          <w:lang w:val="sr-Latn-ME"/>
        </w:rPr>
        <w:t>SAŽETAK</w:t>
      </w:r>
      <w:r w:rsidR="00D014E2" w:rsidRPr="003C351B">
        <w:rPr>
          <w:b/>
          <w:bCs/>
          <w:iCs/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b/>
          <w:bCs/>
          <w:iCs/>
          <w:noProof/>
          <w:sz w:val="22"/>
          <w:szCs w:val="22"/>
          <w:u w:val="single"/>
          <w:lang w:val="sr-Latn-ME"/>
        </w:rPr>
        <w:t>KARAKTERISTIKA</w:t>
      </w:r>
      <w:r w:rsidR="00D014E2" w:rsidRPr="003C351B">
        <w:rPr>
          <w:b/>
          <w:bCs/>
          <w:iCs/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b/>
          <w:bCs/>
          <w:iCs/>
          <w:noProof/>
          <w:sz w:val="22"/>
          <w:szCs w:val="22"/>
          <w:u w:val="single"/>
          <w:lang w:val="sr-Latn-ME"/>
        </w:rPr>
        <w:t>LIJEKA</w:t>
      </w:r>
    </w:p>
    <w:p w:rsidR="002510A5" w:rsidRPr="003C351B" w:rsidRDefault="002510A5" w:rsidP="002510A5">
      <w:pPr>
        <w:rPr>
          <w:b/>
          <w:bCs/>
          <w:i/>
          <w:iCs/>
          <w:noProof/>
          <w:sz w:val="22"/>
          <w:szCs w:val="22"/>
          <w:u w:val="single"/>
          <w:lang w:val="sr-Latn-ME"/>
        </w:rPr>
      </w:pPr>
    </w:p>
    <w:p w:rsidR="003C17AB" w:rsidRPr="003C351B" w:rsidRDefault="003C17AB" w:rsidP="00401D93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:rsidR="00C37FD7" w:rsidRPr="003C351B" w:rsidRDefault="00C37FD7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411B4B" w:rsidRPr="003C351B" w:rsidRDefault="00411B4B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1.</w:t>
      </w:r>
      <w:r w:rsidR="00F5167F" w:rsidRPr="003C351B">
        <w:rPr>
          <w:b/>
          <w:bCs/>
          <w:noProof/>
          <w:sz w:val="22"/>
          <w:szCs w:val="22"/>
          <w:lang w:val="sr-Latn-ME"/>
        </w:rPr>
        <w:tab/>
      </w:r>
      <w:r w:rsidR="002846DB" w:rsidRPr="003C351B">
        <w:rPr>
          <w:b/>
          <w:bCs/>
          <w:noProof/>
          <w:sz w:val="22"/>
          <w:szCs w:val="22"/>
          <w:lang w:val="sr-Latn-ME"/>
        </w:rPr>
        <w:t>NAZIV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LIJEKA</w:t>
      </w:r>
    </w:p>
    <w:p w:rsidR="00EC2532" w:rsidRPr="003C351B" w:rsidRDefault="00EC2532" w:rsidP="00401D93">
      <w:pPr>
        <w:rPr>
          <w:noProof/>
          <w:sz w:val="22"/>
          <w:szCs w:val="22"/>
          <w:lang w:val="sr-Latn-ME"/>
        </w:rPr>
      </w:pPr>
    </w:p>
    <w:p w:rsidR="00BD64B1" w:rsidRPr="003C351B" w:rsidRDefault="00BD64B1" w:rsidP="00401D93">
      <w:pPr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Adenuric,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film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tablet</w:t>
      </w:r>
      <w:r w:rsidR="00F54461" w:rsidRPr="003C351B">
        <w:rPr>
          <w:noProof/>
          <w:sz w:val="22"/>
          <w:szCs w:val="22"/>
          <w:lang w:val="sr-Latn-ME"/>
        </w:rPr>
        <w:t>a</w:t>
      </w:r>
    </w:p>
    <w:p w:rsidR="00570F38" w:rsidRPr="003C351B" w:rsidRDefault="00570F38" w:rsidP="00401D93">
      <w:pPr>
        <w:rPr>
          <w:noProof/>
          <w:sz w:val="22"/>
          <w:szCs w:val="22"/>
          <w:lang w:val="sr-Latn-ME"/>
        </w:rPr>
      </w:pPr>
    </w:p>
    <w:p w:rsidR="00BD64B1" w:rsidRPr="003C351B" w:rsidRDefault="00BD64B1" w:rsidP="00401D93">
      <w:pPr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INN: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</w:p>
    <w:p w:rsidR="00530BD7" w:rsidRPr="003C351B" w:rsidRDefault="00530BD7" w:rsidP="00401D93">
      <w:pPr>
        <w:rPr>
          <w:bCs/>
          <w:noProof/>
          <w:sz w:val="22"/>
          <w:szCs w:val="22"/>
          <w:lang w:val="sr-Latn-ME"/>
        </w:rPr>
      </w:pPr>
    </w:p>
    <w:p w:rsidR="000C29EC" w:rsidRPr="003C351B" w:rsidRDefault="000C29EC" w:rsidP="00401D93">
      <w:pPr>
        <w:rPr>
          <w:bCs/>
          <w:noProof/>
          <w:sz w:val="22"/>
          <w:szCs w:val="22"/>
          <w:lang w:val="sr-Latn-ME"/>
        </w:rPr>
      </w:pPr>
    </w:p>
    <w:p w:rsidR="00411B4B" w:rsidRPr="003C351B" w:rsidRDefault="00411B4B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2.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F5167F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KVALITATIVNI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KVANTITATIVNI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SASTAV</w:t>
      </w:r>
    </w:p>
    <w:p w:rsidR="005A0B2E" w:rsidRPr="003C351B" w:rsidRDefault="005A0B2E" w:rsidP="00401D93">
      <w:pPr>
        <w:rPr>
          <w:noProof/>
          <w:sz w:val="22"/>
          <w:szCs w:val="22"/>
          <w:lang w:val="sr-Latn-ME"/>
        </w:rPr>
      </w:pPr>
    </w:p>
    <w:p w:rsidR="00BD64B1" w:rsidRPr="003C351B" w:rsidRDefault="00BD64B1" w:rsidP="00401D93">
      <w:pPr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Jedna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film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tableta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sadrži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febuksostata.</w:t>
      </w:r>
    </w:p>
    <w:p w:rsidR="00BD64B1" w:rsidRPr="003C351B" w:rsidRDefault="00BD64B1" w:rsidP="00401D93">
      <w:pPr>
        <w:rPr>
          <w:noProof/>
          <w:sz w:val="22"/>
          <w:szCs w:val="22"/>
          <w:lang w:val="sr-Latn-ME"/>
        </w:rPr>
      </w:pPr>
    </w:p>
    <w:p w:rsidR="00BD64B1" w:rsidRPr="003C351B" w:rsidRDefault="00BD64B1" w:rsidP="00401D93">
      <w:pPr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u w:val="single"/>
          <w:lang w:val="sr-Latn-ME"/>
        </w:rPr>
        <w:t>Pomoćne</w:t>
      </w:r>
      <w:r w:rsidR="00D014E2" w:rsidRPr="003C351B">
        <w:rPr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noProof/>
          <w:sz w:val="22"/>
          <w:szCs w:val="22"/>
          <w:u w:val="single"/>
          <w:lang w:val="sr-Latn-ME"/>
        </w:rPr>
        <w:t>supstance</w:t>
      </w:r>
      <w:r w:rsidR="00D014E2" w:rsidRPr="003C351B">
        <w:rPr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noProof/>
          <w:sz w:val="22"/>
          <w:szCs w:val="22"/>
          <w:u w:val="single"/>
          <w:lang w:val="sr-Latn-ME"/>
        </w:rPr>
        <w:t>sa</w:t>
      </w:r>
      <w:r w:rsidR="00D014E2" w:rsidRPr="003C351B">
        <w:rPr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noProof/>
          <w:sz w:val="22"/>
          <w:szCs w:val="22"/>
          <w:u w:val="single"/>
          <w:lang w:val="sr-Latn-ME"/>
        </w:rPr>
        <w:t>poznatim</w:t>
      </w:r>
      <w:r w:rsidR="00D014E2" w:rsidRPr="003C351B">
        <w:rPr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noProof/>
          <w:sz w:val="22"/>
          <w:szCs w:val="22"/>
          <w:u w:val="single"/>
          <w:lang w:val="sr-Latn-ME"/>
        </w:rPr>
        <w:t>dejstvom: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BD64B1" w:rsidRPr="003C351B" w:rsidRDefault="00BD64B1" w:rsidP="00401D93">
      <w:pPr>
        <w:rPr>
          <w:noProof/>
          <w:sz w:val="22"/>
          <w:szCs w:val="22"/>
          <w:u w:val="single"/>
          <w:lang w:val="sr-Latn-ME"/>
        </w:rPr>
      </w:pPr>
      <w:r w:rsidRPr="003C351B">
        <w:rPr>
          <w:noProof/>
          <w:sz w:val="22"/>
          <w:szCs w:val="22"/>
          <w:lang w:val="sr-Latn-ME"/>
        </w:rPr>
        <w:t>Jedna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film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tableta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sadrži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76.50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laktoze,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monohidrata.</w:t>
      </w:r>
    </w:p>
    <w:p w:rsidR="00BD64B1" w:rsidRPr="003C351B" w:rsidRDefault="00BD64B1" w:rsidP="00401D93">
      <w:pPr>
        <w:rPr>
          <w:noProof/>
          <w:sz w:val="22"/>
          <w:szCs w:val="22"/>
          <w:lang w:val="sr-Latn-ME"/>
        </w:rPr>
      </w:pPr>
    </w:p>
    <w:p w:rsidR="0003793F" w:rsidRPr="003C351B" w:rsidRDefault="0003793F" w:rsidP="00401D93">
      <w:pPr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spisak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ekscipijenasa,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pogledati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6.1.</w:t>
      </w:r>
    </w:p>
    <w:p w:rsidR="00C37FD7" w:rsidRPr="003C351B" w:rsidRDefault="00C37FD7" w:rsidP="00401D93">
      <w:pPr>
        <w:rPr>
          <w:noProof/>
          <w:sz w:val="22"/>
          <w:szCs w:val="22"/>
          <w:lang w:val="sr-Latn-ME"/>
        </w:rPr>
      </w:pPr>
    </w:p>
    <w:p w:rsidR="000C29EC" w:rsidRPr="003C351B" w:rsidRDefault="000C29EC" w:rsidP="00401D93">
      <w:pPr>
        <w:rPr>
          <w:noProof/>
          <w:sz w:val="22"/>
          <w:szCs w:val="22"/>
          <w:lang w:val="sr-Latn-ME"/>
        </w:rPr>
      </w:pPr>
    </w:p>
    <w:p w:rsidR="00411B4B" w:rsidRPr="003C351B" w:rsidRDefault="00411B4B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3.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F5167F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FARMACEUTSKI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OBLIK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BD64B1" w:rsidRPr="003C351B" w:rsidRDefault="00BD64B1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BD64B1" w:rsidRPr="003C351B" w:rsidRDefault="00BD64B1" w:rsidP="00401D93">
      <w:pPr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Film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tableta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(tableta).</w:t>
      </w:r>
    </w:p>
    <w:p w:rsidR="00BD64B1" w:rsidRPr="003C351B" w:rsidRDefault="00BD64B1" w:rsidP="00401D93">
      <w:pPr>
        <w:rPr>
          <w:noProof/>
          <w:sz w:val="22"/>
          <w:szCs w:val="22"/>
          <w:lang w:val="sr-Latn-ME"/>
        </w:rPr>
      </w:pPr>
    </w:p>
    <w:p w:rsidR="00BD64B1" w:rsidRPr="003C351B" w:rsidRDefault="00BD64B1" w:rsidP="00401D93">
      <w:pPr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Blijedožuta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žuta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film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tableta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oblika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kapsule,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utisnutom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oznakom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“80”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strani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podionom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linijom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strani.</w:t>
      </w:r>
    </w:p>
    <w:p w:rsidR="00411B4B" w:rsidRPr="003C351B" w:rsidRDefault="00BD64B1" w:rsidP="00401D93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Podiona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linija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služi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samo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olakaša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lo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Pr="003C351B">
        <w:rPr>
          <w:noProof/>
          <w:sz w:val="22"/>
          <w:szCs w:val="22"/>
          <w:lang w:val="sr-Latn-ME"/>
        </w:rPr>
        <w:t>jenje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lakše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progutao,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podjelu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jednake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doze.</w:t>
      </w:r>
    </w:p>
    <w:p w:rsidR="00EC2532" w:rsidRPr="003C351B" w:rsidRDefault="00EC2532" w:rsidP="00401D93">
      <w:pPr>
        <w:rPr>
          <w:bCs/>
          <w:noProof/>
          <w:sz w:val="22"/>
          <w:szCs w:val="22"/>
          <w:lang w:val="sr-Latn-ME"/>
        </w:rPr>
      </w:pPr>
    </w:p>
    <w:p w:rsidR="000C29EC" w:rsidRPr="003C351B" w:rsidRDefault="000C29EC" w:rsidP="00401D93">
      <w:pPr>
        <w:rPr>
          <w:bCs/>
          <w:noProof/>
          <w:sz w:val="22"/>
          <w:szCs w:val="22"/>
          <w:lang w:val="sr-Latn-ME"/>
        </w:rPr>
      </w:pPr>
    </w:p>
    <w:p w:rsidR="00411B4B" w:rsidRPr="003C351B" w:rsidRDefault="00411B4B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4.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KLINIČKI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PODACI</w:t>
      </w:r>
    </w:p>
    <w:p w:rsidR="00CD6F02" w:rsidRPr="003C351B" w:rsidRDefault="00CD6F02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3C351B" w:rsidRDefault="00411B4B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4.1.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Terapijske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indikacije</w:t>
      </w:r>
    </w:p>
    <w:p w:rsidR="00BD64B1" w:rsidRPr="003C351B" w:rsidRDefault="00BD64B1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Terapija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hronične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hiperurikemije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stanjima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gdje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depoziti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(uključujući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prisu</w:t>
      </w:r>
      <w:r w:rsidR="004975C9" w:rsidRPr="003C351B">
        <w:rPr>
          <w:noProof/>
          <w:sz w:val="22"/>
          <w:szCs w:val="22"/>
          <w:lang w:val="sr-Latn-ME"/>
        </w:rPr>
        <w:t>stvo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tofusa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i/ili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artritisa,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trenutno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anamnezi).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4975C9" w:rsidP="00CD15F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Lijek </w:t>
      </w:r>
      <w:r w:rsidR="00BD64B1"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indikovan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odraslih.</w:t>
      </w:r>
    </w:p>
    <w:p w:rsidR="00411B4B" w:rsidRPr="003C351B" w:rsidRDefault="00411B4B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3C351B" w:rsidRDefault="00411B4B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4.2.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Doziranje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način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primjene</w:t>
      </w: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noProof/>
          <w:sz w:val="22"/>
          <w:szCs w:val="22"/>
          <w:u w:val="single"/>
          <w:lang w:val="sr-Latn-ME"/>
        </w:rPr>
      </w:pPr>
      <w:r w:rsidRPr="003C351B">
        <w:rPr>
          <w:noProof/>
          <w:sz w:val="22"/>
          <w:szCs w:val="22"/>
          <w:u w:val="single"/>
          <w:lang w:val="sr-Latn-ME"/>
        </w:rPr>
        <w:t>Doziranje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u w:val="single"/>
          <w:lang w:val="sr-Latn-ME"/>
        </w:rPr>
      </w:pP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Preporučena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oralna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iznosi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obzira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unos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hrane.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Ukoliko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&gt;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(357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µmol</w:t>
      </w:r>
      <w:r w:rsidR="004975C9" w:rsidRPr="003C351B">
        <w:rPr>
          <w:noProof/>
          <w:sz w:val="22"/>
          <w:szCs w:val="22"/>
          <w:lang w:val="sr-Latn-ME"/>
        </w:rPr>
        <w:t>/l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-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razmotriti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4975C9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Lijek </w:t>
      </w:r>
      <w:r w:rsidR="00BD64B1"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djeluje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dovoljno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brzo,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tako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omogućava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provjeru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serumske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nedjelje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početka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primjene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lijeka.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Terapijski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cilj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smanjenje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održavanje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serumske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ispod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6mg/</w:t>
      </w:r>
      <w:r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(357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μmol</w:t>
      </w:r>
      <w:r w:rsidRPr="003C351B">
        <w:rPr>
          <w:noProof/>
          <w:sz w:val="22"/>
          <w:szCs w:val="22"/>
          <w:lang w:val="sr-Latn-ME"/>
        </w:rPr>
        <w:t>/l</w:t>
      </w:r>
      <w:r w:rsidR="00BD64B1" w:rsidRPr="003C351B">
        <w:rPr>
          <w:noProof/>
          <w:sz w:val="22"/>
          <w:szCs w:val="22"/>
          <w:lang w:val="sr-Latn-ME"/>
        </w:rPr>
        <w:t>).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Preporučuje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profilaksa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periodu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najmanje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mjeseci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4975C9" w:rsidRPr="003C351B">
        <w:rPr>
          <w:noProof/>
          <w:sz w:val="22"/>
          <w:szCs w:val="22"/>
          <w:lang w:val="sr-Latn-ME"/>
        </w:rPr>
        <w:t xml:space="preserve"> dio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4.4).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Stariji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prilagođavanje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starijih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975C9" w:rsidRPr="003C351B">
        <w:rPr>
          <w:noProof/>
          <w:sz w:val="22"/>
          <w:szCs w:val="22"/>
          <w:lang w:val="sr-Latn-ME"/>
        </w:rPr>
        <w:t xml:space="preserve">dio </w:t>
      </w:r>
      <w:r w:rsidRPr="003C351B">
        <w:rPr>
          <w:noProof/>
          <w:sz w:val="22"/>
          <w:szCs w:val="22"/>
          <w:lang w:val="sr-Latn-ME"/>
        </w:rPr>
        <w:t>5.2).</w:t>
      </w: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lastRenderedPageBreak/>
        <w:t>Oštećenje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funkcije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bubrega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Efikasnost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</w:t>
      </w:r>
      <w:r w:rsidR="004975C9" w:rsidRPr="003C351B">
        <w:rPr>
          <w:noProof/>
          <w:sz w:val="22"/>
          <w:szCs w:val="22"/>
          <w:lang w:val="sr-Latn-ME"/>
        </w:rPr>
        <w:t>je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potpunosti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procijenjeni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težim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oštećenjem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bubrežne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(klirens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kreatinina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Pr="003C351B">
        <w:rPr>
          <w:noProof/>
          <w:sz w:val="22"/>
          <w:szCs w:val="22"/>
          <w:lang w:val="sr-Latn-ME"/>
        </w:rPr>
        <w:t>/min,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5.2).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podešavanje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blagim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umjerenim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oštećenjem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bubrežne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Oštećenje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funkcije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jetre</w:t>
      </w: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Cs/>
          <w:noProof/>
          <w:sz w:val="22"/>
          <w:szCs w:val="22"/>
          <w:lang w:val="sr-Latn-ME"/>
        </w:rPr>
        <w:t>Efikasnost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i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bezbjednost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primjene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febuksostata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nije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bila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ispitivana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kod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pacijenata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sa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teškim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oštećenjem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funkcije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jetre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(Child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Pugh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klasa</w:t>
      </w:r>
      <w:r w:rsidR="00D014E2" w:rsidRPr="003C351B">
        <w:rPr>
          <w:iCs/>
          <w:noProof/>
          <w:color w:val="FF0000"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C).</w:t>
      </w:r>
    </w:p>
    <w:p w:rsidR="00BD64B1" w:rsidRPr="003C351B" w:rsidRDefault="00BD64B1" w:rsidP="00CD15F7">
      <w:pPr>
        <w:jc w:val="both"/>
        <w:rPr>
          <w:iCs/>
          <w:noProof/>
          <w:sz w:val="22"/>
          <w:szCs w:val="22"/>
          <w:lang w:val="sr-Latn-ME"/>
        </w:rPr>
      </w:pPr>
      <w:r w:rsidRPr="003C351B">
        <w:rPr>
          <w:iCs/>
          <w:noProof/>
          <w:sz w:val="22"/>
          <w:szCs w:val="22"/>
          <w:lang w:val="sr-Latn-ME"/>
        </w:rPr>
        <w:t>Preporučena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doza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kod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pacijenata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sa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blagim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poremećajem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funkcije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jetre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je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80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mg.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Ograničeni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podaci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su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dostupni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u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vezi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sa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primjenom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lijeka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kod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pacijenata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sa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umjerenim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oštećenjem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funkcije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jetre.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rFonts w:eastAsia="MS Mincho"/>
          <w:i/>
          <w:noProof/>
          <w:sz w:val="22"/>
          <w:szCs w:val="22"/>
          <w:lang w:val="sr-Latn-ME"/>
        </w:rPr>
      </w:pPr>
      <w:r w:rsidRPr="003C351B">
        <w:rPr>
          <w:rFonts w:eastAsia="MS Mincho"/>
          <w:i/>
          <w:noProof/>
          <w:sz w:val="22"/>
          <w:szCs w:val="22"/>
          <w:lang w:val="sr-Latn-ME"/>
        </w:rPr>
        <w:t>Pedijatrijaska</w:t>
      </w:r>
      <w:r w:rsidR="00D014E2" w:rsidRPr="003C351B">
        <w:rPr>
          <w:rFonts w:eastAsia="MS Mincho"/>
          <w:i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i/>
          <w:noProof/>
          <w:sz w:val="22"/>
          <w:szCs w:val="22"/>
          <w:lang w:val="sr-Latn-ME"/>
        </w:rPr>
        <w:t>populacija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Bezbjednost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efikasnost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vertAlign w:val="superscript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djece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uzrasta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godina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ustanovljena.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raspoloživih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podataka.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noProof/>
          <w:sz w:val="22"/>
          <w:szCs w:val="22"/>
          <w:u w:val="single"/>
          <w:lang w:val="sr-Latn-ME"/>
        </w:rPr>
      </w:pPr>
      <w:r w:rsidRPr="003C351B">
        <w:rPr>
          <w:noProof/>
          <w:sz w:val="22"/>
          <w:szCs w:val="22"/>
          <w:u w:val="single"/>
          <w:lang w:val="sr-Latn-ME"/>
        </w:rPr>
        <w:t>Način</w:t>
      </w:r>
      <w:r w:rsidR="00D014E2" w:rsidRPr="003C351B">
        <w:rPr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noProof/>
          <w:sz w:val="22"/>
          <w:szCs w:val="22"/>
          <w:u w:val="single"/>
          <w:lang w:val="sr-Latn-ME"/>
        </w:rPr>
        <w:t>primjene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Oralna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upotreba</w:t>
      </w:r>
    </w:p>
    <w:p w:rsidR="00BD64B1" w:rsidRPr="003C351B" w:rsidRDefault="004975C9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Lijek </w:t>
      </w:r>
      <w:r w:rsidR="00401D93"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uzima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oralno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bez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BD64B1" w:rsidRPr="003C351B">
        <w:rPr>
          <w:noProof/>
          <w:sz w:val="22"/>
          <w:szCs w:val="22"/>
          <w:lang w:val="sr-Latn-ME"/>
        </w:rPr>
        <w:t>hrane.</w:t>
      </w:r>
    </w:p>
    <w:p w:rsidR="00452E9D" w:rsidRPr="003C351B" w:rsidRDefault="00452E9D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3C351B" w:rsidRDefault="00411B4B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4.3.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Kontraindikacije</w:t>
      </w:r>
    </w:p>
    <w:p w:rsidR="00BD64B1" w:rsidRPr="003C351B" w:rsidRDefault="00BD64B1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Preosjetljivost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aktivnu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supstancu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pomoćnih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supstanci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navedene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8250F" w:rsidRPr="003C351B">
        <w:rPr>
          <w:noProof/>
          <w:sz w:val="22"/>
          <w:szCs w:val="22"/>
          <w:lang w:val="sr-Latn-ME"/>
        </w:rPr>
        <w:t xml:space="preserve">dijelu </w:t>
      </w:r>
      <w:r w:rsidRPr="003C351B">
        <w:rPr>
          <w:noProof/>
          <w:sz w:val="22"/>
          <w:szCs w:val="22"/>
          <w:lang w:val="sr-Latn-ME"/>
        </w:rPr>
        <w:t>6.1.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(takođe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975C9" w:rsidRPr="003C351B">
        <w:rPr>
          <w:noProof/>
          <w:sz w:val="22"/>
          <w:szCs w:val="22"/>
          <w:lang w:val="sr-Latn-ME"/>
        </w:rPr>
        <w:t xml:space="preserve">dio </w:t>
      </w:r>
      <w:r w:rsidRPr="003C351B">
        <w:rPr>
          <w:noProof/>
          <w:sz w:val="22"/>
          <w:szCs w:val="22"/>
          <w:lang w:val="sr-Latn-ME"/>
        </w:rPr>
        <w:t>4.8).</w:t>
      </w: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3C351B" w:rsidRDefault="00411B4B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4.4.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Posebna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upozorenja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mjere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opreza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pri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upotrebi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lijeka</w:t>
      </w: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 w:eastAsia="en-GB"/>
        </w:rPr>
      </w:pPr>
      <w:r w:rsidRPr="003C351B">
        <w:rPr>
          <w:i/>
          <w:iCs/>
          <w:noProof/>
          <w:sz w:val="22"/>
          <w:szCs w:val="22"/>
          <w:lang w:val="sr-Latn-ME" w:eastAsia="en-GB"/>
        </w:rPr>
        <w:t>Kardiovaskularni</w:t>
      </w:r>
      <w:r w:rsidR="00D014E2" w:rsidRPr="003C351B">
        <w:rPr>
          <w:i/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/>
          <w:iCs/>
          <w:noProof/>
          <w:sz w:val="22"/>
          <w:szCs w:val="22"/>
          <w:lang w:val="sr-Latn-ME" w:eastAsia="en-GB"/>
        </w:rPr>
        <w:t>poremećaji</w:t>
      </w:r>
    </w:p>
    <w:p w:rsidR="00BD64B1" w:rsidRPr="003C351B" w:rsidRDefault="00BD64B1" w:rsidP="00CD15F7">
      <w:pPr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ME" w:eastAsia="en-GB"/>
        </w:rPr>
      </w:pPr>
      <w:r w:rsidRPr="003C351B">
        <w:rPr>
          <w:iCs/>
          <w:noProof/>
          <w:sz w:val="22"/>
          <w:szCs w:val="22"/>
          <w:lang w:val="sr-Latn-ME" w:eastAsia="en-GB"/>
        </w:rPr>
        <w:t>Kod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pacijenata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postojećom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težom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kardiovaskularnom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bolešću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(npr.infarkt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miokarda,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moždani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udar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ili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nestabilna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angina)</w:t>
      </w:r>
      <w:r w:rsidR="00E20A4B" w:rsidRPr="003C351B">
        <w:rPr>
          <w:iCs/>
          <w:noProof/>
          <w:sz w:val="22"/>
          <w:szCs w:val="22"/>
          <w:lang w:val="sr-Latn-ME" w:eastAsia="en-GB"/>
        </w:rPr>
        <w:t>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tokom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razvoja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proizvoda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jednoj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post-marketinškoj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studiji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(CARES),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uočen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veći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broj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fatalnih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kardiovaskularnih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događaja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sa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febuksostatom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poređenju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sa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E20A4B" w:rsidRPr="003C351B">
        <w:rPr>
          <w:iCs/>
          <w:noProof/>
          <w:sz w:val="22"/>
          <w:szCs w:val="22"/>
          <w:lang w:val="sr-Latn-ME" w:eastAsia="en-GB"/>
        </w:rPr>
        <w:t>alopurinolom</w:t>
      </w:r>
      <w:r w:rsidRPr="003C351B">
        <w:rPr>
          <w:iCs/>
          <w:noProof/>
          <w:sz w:val="22"/>
          <w:szCs w:val="22"/>
          <w:lang w:val="sr-Latn-ME" w:eastAsia="en-GB"/>
        </w:rPr>
        <w:t>.</w:t>
      </w:r>
    </w:p>
    <w:p w:rsidR="00E20A4B" w:rsidRPr="003C351B" w:rsidRDefault="00D014E2" w:rsidP="00CD15F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                                    </w:t>
      </w:r>
      <w:r w:rsidRPr="003C351B">
        <w:rPr>
          <w:i/>
          <w:noProof/>
          <w:sz w:val="22"/>
          <w:szCs w:val="22"/>
          <w:lang w:val="sr-Latn-ME"/>
        </w:rPr>
        <w:t xml:space="preserve">   </w:t>
      </w:r>
      <w:r w:rsidRPr="003C351B">
        <w:rPr>
          <w:noProof/>
          <w:sz w:val="22"/>
          <w:szCs w:val="22"/>
          <w:lang w:val="sr-Latn-ME"/>
        </w:rPr>
        <w:t xml:space="preserve">                                       </w:t>
      </w:r>
      <w:r w:rsidRPr="003C351B">
        <w:rPr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Međutim,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u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kasnijoj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post-marketinškoj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studiji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(FAST),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febuksostat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nije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pokazao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inferiornost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u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odnosu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na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alopurinol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u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pogledu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incidence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fatalnih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kao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i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ne-fatalnih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kardiovaskularnih</w:t>
      </w:r>
      <w:r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događaja.</w:t>
      </w:r>
    </w:p>
    <w:p w:rsidR="00BD64B1" w:rsidRPr="003C351B" w:rsidRDefault="00E20A4B" w:rsidP="00CD15F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Terapiju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trebalo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sprovoditi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oprezno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redovno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praćenje.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detalja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pogledu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kardiovaskularne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molimo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konsultujte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975C9" w:rsidRPr="003C351B">
        <w:rPr>
          <w:noProof/>
          <w:sz w:val="22"/>
          <w:szCs w:val="22"/>
          <w:lang w:val="sr-Latn-ME"/>
        </w:rPr>
        <w:t>djelove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5.1</w:t>
      </w:r>
      <w:r w:rsidR="00BD64B1" w:rsidRPr="003C351B">
        <w:rPr>
          <w:noProof/>
          <w:sz w:val="22"/>
          <w:szCs w:val="22"/>
          <w:lang w:val="sr-Latn-ME"/>
        </w:rPr>
        <w:t>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 w:eastAsia="en-GB"/>
        </w:rPr>
      </w:pPr>
      <w:r w:rsidRPr="003C351B">
        <w:rPr>
          <w:i/>
          <w:iCs/>
          <w:noProof/>
          <w:sz w:val="22"/>
          <w:szCs w:val="22"/>
          <w:lang w:val="sr-Latn-ME" w:eastAsia="en-GB"/>
        </w:rPr>
        <w:t>Alergija/preosjetljivost</w:t>
      </w:r>
      <w:r w:rsidR="00D014E2" w:rsidRPr="003C351B">
        <w:rPr>
          <w:i/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/>
          <w:iCs/>
          <w:noProof/>
          <w:sz w:val="22"/>
          <w:szCs w:val="22"/>
          <w:lang w:val="sr-Latn-ME" w:eastAsia="en-GB"/>
        </w:rPr>
        <w:t>na</w:t>
      </w:r>
      <w:r w:rsidR="00D014E2" w:rsidRPr="003C351B">
        <w:rPr>
          <w:i/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/>
          <w:iCs/>
          <w:noProof/>
          <w:sz w:val="22"/>
          <w:szCs w:val="22"/>
          <w:lang w:val="sr-Latn-ME" w:eastAsia="en-GB"/>
        </w:rPr>
        <w:t>lijek</w:t>
      </w:r>
    </w:p>
    <w:p w:rsidR="00BD64B1" w:rsidRPr="003C351B" w:rsidRDefault="00BD64B1" w:rsidP="00CD15F7">
      <w:pPr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ME" w:eastAsia="en-GB"/>
        </w:rPr>
      </w:pPr>
      <w:r w:rsidRPr="003C351B">
        <w:rPr>
          <w:iCs/>
          <w:noProof/>
          <w:sz w:val="22"/>
          <w:szCs w:val="22"/>
          <w:lang w:val="sr-Latn-ME" w:eastAsia="en-GB"/>
        </w:rPr>
        <w:t>Tokom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postmarketinškog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praćenja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rijetko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prijavljivane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ozbiljne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alergijske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reakcije/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preosjetljivosti,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uključujući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Stivens-Džonsonov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sindrom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koji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ugrožava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život,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toksičnu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epidermalnu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nekrolizu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akutnu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anafilaktičku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reakciju/šok.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većini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slučajeva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ove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ispoljile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tokom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prvog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mjeseca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terapije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febuksostatom.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Neki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ali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ne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svi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pacijenti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prijavljivali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oštećenje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bubrega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/ili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prethodnu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preosetljivost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na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alopurinol.</w:t>
      </w:r>
    </w:p>
    <w:p w:rsidR="00BD64B1" w:rsidRPr="003C351B" w:rsidRDefault="00BD64B1" w:rsidP="00CD15F7">
      <w:pPr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ME" w:eastAsia="en-GB"/>
        </w:rPr>
      </w:pPr>
      <w:r w:rsidRPr="003C351B">
        <w:rPr>
          <w:iCs/>
          <w:noProof/>
          <w:sz w:val="22"/>
          <w:szCs w:val="22"/>
          <w:lang w:val="sr-Latn-ME" w:eastAsia="en-GB"/>
        </w:rPr>
        <w:t>Teške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preos</w:t>
      </w:r>
      <w:r w:rsidR="0078250F" w:rsidRPr="003C351B">
        <w:rPr>
          <w:iCs/>
          <w:noProof/>
          <w:sz w:val="22"/>
          <w:szCs w:val="22"/>
          <w:lang w:val="sr-Latn-ME" w:eastAsia="en-GB"/>
        </w:rPr>
        <w:t>j</w:t>
      </w:r>
      <w:r w:rsidRPr="003C351B">
        <w:rPr>
          <w:iCs/>
          <w:noProof/>
          <w:sz w:val="22"/>
          <w:szCs w:val="22"/>
          <w:lang w:val="sr-Latn-ME" w:eastAsia="en-GB"/>
        </w:rPr>
        <w:t>etljivosti,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uključujući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na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l</w:t>
      </w:r>
      <w:r w:rsidR="006B4BCE" w:rsidRPr="003C351B">
        <w:rPr>
          <w:iCs/>
          <w:noProof/>
          <w:sz w:val="22"/>
          <w:szCs w:val="22"/>
          <w:lang w:val="sr-Latn-ME" w:eastAsia="en-GB"/>
        </w:rPr>
        <w:t>ij</w:t>
      </w:r>
      <w:r w:rsidRPr="003C351B">
        <w:rPr>
          <w:iCs/>
          <w:noProof/>
          <w:sz w:val="22"/>
          <w:szCs w:val="22"/>
          <w:lang w:val="sr-Latn-ME" w:eastAsia="en-GB"/>
        </w:rPr>
        <w:t>ek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eozinofilijom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sistemskim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simptomima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(DRESS),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nekim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slučajevima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uključivale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temperaturu,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hematološke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</w:t>
      </w:r>
      <w:r w:rsidR="006B4BCE" w:rsidRPr="003C351B">
        <w:rPr>
          <w:iCs/>
          <w:noProof/>
          <w:sz w:val="22"/>
          <w:szCs w:val="22"/>
          <w:lang w:val="sr-Latn-ME" w:eastAsia="en-GB"/>
        </w:rPr>
        <w:t>r</w:t>
      </w:r>
      <w:r w:rsidRPr="003C351B">
        <w:rPr>
          <w:iCs/>
          <w:noProof/>
          <w:sz w:val="22"/>
          <w:szCs w:val="22"/>
          <w:lang w:val="sr-Latn-ME" w:eastAsia="en-GB"/>
        </w:rPr>
        <w:t>om</w:t>
      </w:r>
      <w:r w:rsidR="006B4BCE" w:rsidRPr="003C351B">
        <w:rPr>
          <w:iCs/>
          <w:noProof/>
          <w:sz w:val="22"/>
          <w:szCs w:val="22"/>
          <w:lang w:val="sr-Latn-ME" w:eastAsia="en-GB"/>
        </w:rPr>
        <w:t>j</w:t>
      </w:r>
      <w:r w:rsidRPr="003C351B">
        <w:rPr>
          <w:iCs/>
          <w:noProof/>
          <w:sz w:val="22"/>
          <w:szCs w:val="22"/>
          <w:lang w:val="sr-Latn-ME" w:eastAsia="en-GB"/>
        </w:rPr>
        <w:t>ene,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zahvatanje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bubrega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ili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jetre.</w:t>
      </w:r>
    </w:p>
    <w:p w:rsidR="00BD64B1" w:rsidRPr="003C351B" w:rsidRDefault="00BD64B1" w:rsidP="00CD15F7">
      <w:pPr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ME" w:eastAsia="en-GB"/>
        </w:rPr>
      </w:pPr>
      <w:r w:rsidRPr="003C351B">
        <w:rPr>
          <w:iCs/>
          <w:noProof/>
          <w:sz w:val="22"/>
          <w:szCs w:val="22"/>
          <w:lang w:val="sr-Latn-ME" w:eastAsia="en-GB"/>
        </w:rPr>
        <w:t>Pacijenti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treba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da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budu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obaviješteni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o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znacima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simptomima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kao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da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budu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pažljivo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praćeni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slučaju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razvoja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simptoma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alergijskih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reakcija/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preosjetlj</w:t>
      </w:r>
      <w:r w:rsidR="00401D93" w:rsidRPr="003C351B">
        <w:rPr>
          <w:iCs/>
          <w:noProof/>
          <w:sz w:val="22"/>
          <w:szCs w:val="22"/>
          <w:lang w:val="sr-Latn-ME" w:eastAsia="en-GB"/>
        </w:rPr>
        <w:t>ivosti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401D93" w:rsidRPr="003C351B">
        <w:rPr>
          <w:iCs/>
          <w:noProof/>
          <w:sz w:val="22"/>
          <w:szCs w:val="22"/>
          <w:lang w:val="sr-Latn-ME" w:eastAsia="en-GB"/>
        </w:rPr>
        <w:t>(vidjeti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6B4BCE" w:rsidRPr="003C351B">
        <w:rPr>
          <w:iCs/>
          <w:noProof/>
          <w:sz w:val="22"/>
          <w:szCs w:val="22"/>
          <w:lang w:val="sr-Latn-ME" w:eastAsia="en-GB"/>
        </w:rPr>
        <w:t xml:space="preserve">dio </w:t>
      </w:r>
      <w:r w:rsidR="00401D93" w:rsidRPr="003C351B">
        <w:rPr>
          <w:iCs/>
          <w:noProof/>
          <w:sz w:val="22"/>
          <w:szCs w:val="22"/>
          <w:lang w:val="sr-Latn-ME" w:eastAsia="en-GB"/>
        </w:rPr>
        <w:t>4.8).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401D93" w:rsidRPr="003C351B">
        <w:rPr>
          <w:iCs/>
          <w:noProof/>
          <w:sz w:val="22"/>
          <w:szCs w:val="22"/>
          <w:lang w:val="sr-Latn-ME" w:eastAsia="en-GB"/>
        </w:rPr>
        <w:t>Terapiju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febuksostatom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treba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odmah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prekinuti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ako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jave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ozbiljne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alergijske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reakcije/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preosjetljivosti,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uključujući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Stivens-Džonsonov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sindrom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jer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rano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ukidanje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lijeka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povezano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boljom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prognozom.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Ako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kod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pacijenta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ispoljila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alergijska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/reakcija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preosjetljivosti,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uključujući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Stivens-Džonsonov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sindrom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akutnu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anafilaktičku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reakciju/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šok,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febuksostat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više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ne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smije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uvoditi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terapiju.</w:t>
      </w:r>
    </w:p>
    <w:p w:rsidR="00BD64B1" w:rsidRPr="003C351B" w:rsidRDefault="00BD64B1" w:rsidP="00CD15F7">
      <w:pPr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ME" w:eastAsia="en-GB"/>
        </w:rPr>
      </w:pP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Akutni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napadi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gihta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(akutno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pogoršanje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gihta)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Primjenu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treba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započeti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akutni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napad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potpunosti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saniran.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javiti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početku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usljed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dovodi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mobilizacije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tkivnih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depozita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6B4BCE" w:rsidRPr="003C351B">
        <w:rPr>
          <w:noProof/>
          <w:sz w:val="22"/>
          <w:szCs w:val="22"/>
          <w:lang w:val="sr-Latn-ME"/>
        </w:rPr>
        <w:t xml:space="preserve"> djelove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5.1).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početku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lastRenderedPageBreak/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profilaksa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usljed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moguće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NSAIL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kolhicina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periodu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401D93" w:rsidRPr="003C351B">
        <w:rPr>
          <w:noProof/>
          <w:sz w:val="22"/>
          <w:szCs w:val="22"/>
          <w:lang w:val="sr-Latn-ME"/>
        </w:rPr>
        <w:t>jmanje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01D93" w:rsidRPr="003C351B">
        <w:rPr>
          <w:noProof/>
          <w:sz w:val="22"/>
          <w:szCs w:val="22"/>
          <w:lang w:val="sr-Latn-ME"/>
        </w:rPr>
        <w:t>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01D93" w:rsidRPr="003C351B">
        <w:rPr>
          <w:noProof/>
          <w:sz w:val="22"/>
          <w:szCs w:val="22"/>
          <w:lang w:val="sr-Latn-ME"/>
        </w:rPr>
        <w:t>mjeseci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01D93"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dio </w:t>
      </w:r>
      <w:r w:rsidR="00401D93" w:rsidRPr="003C351B">
        <w:rPr>
          <w:noProof/>
          <w:sz w:val="22"/>
          <w:szCs w:val="22"/>
          <w:lang w:val="sr-Latn-ME"/>
        </w:rPr>
        <w:t>4.2).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Ukoliko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dođe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treba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obustavljati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treba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tretirati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akutno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individualnom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prilagođenom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Kontinuirana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učestalost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intenzitet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shd w:val="clear" w:color="auto" w:fill="FF99CC"/>
          <w:lang w:val="sr-Latn-ME" w:eastAsia="en-GB"/>
        </w:rPr>
      </w:pPr>
      <w:r w:rsidRPr="003C351B">
        <w:rPr>
          <w:i/>
          <w:noProof/>
          <w:sz w:val="22"/>
          <w:szCs w:val="22"/>
          <w:lang w:val="sr-Latn-ME" w:eastAsia="en-GB"/>
        </w:rPr>
        <w:t>Taloženje</w:t>
      </w:r>
      <w:r w:rsidR="00D014E2" w:rsidRPr="003C351B">
        <w:rPr>
          <w:i/>
          <w:noProof/>
          <w:sz w:val="22"/>
          <w:szCs w:val="22"/>
          <w:lang w:val="sr-Latn-ME" w:eastAsia="en-GB"/>
        </w:rPr>
        <w:t xml:space="preserve"> </w:t>
      </w:r>
      <w:r w:rsidRPr="003C351B">
        <w:rPr>
          <w:i/>
          <w:noProof/>
          <w:sz w:val="22"/>
          <w:szCs w:val="22"/>
          <w:lang w:val="sr-Latn-ME" w:eastAsia="en-GB"/>
        </w:rPr>
        <w:t>ksantina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 w:eastAsia="en-GB"/>
        </w:rPr>
        <w:t>Kod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pacijenata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kod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kojih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je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intenzitet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nastanka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urata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znatno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povećan,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(npr.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maligne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bolesti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i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terapija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istih,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Lesch-Nyhan-ov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sindrom)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apsolutna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koncentracija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ksantina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u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urinu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može,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u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rijetkim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slučajevima,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da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poraste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do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vrijednosti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koje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uzrokuju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taloženje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u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urinarnom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 w:eastAsia="en-GB"/>
        </w:rPr>
        <w:t>traktu.</w:t>
      </w:r>
      <w:r w:rsidR="00D014E2" w:rsidRPr="003C351B">
        <w:rPr>
          <w:noProof/>
          <w:sz w:val="22"/>
          <w:szCs w:val="22"/>
          <w:lang w:val="sr-Latn-ME" w:eastAsia="en-GB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iskustva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populacije,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njegova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preporučuje.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 w:eastAsia="ja-JP"/>
        </w:rPr>
      </w:pP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Merkaptopurin/azatioprin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primaju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merkaptopurin/azatioprin</w:t>
      </w:r>
      <w:r w:rsidR="00E20A4B"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ksantin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oksidaze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uzrokovati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povišene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koncentracije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merkaptopurina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/azatioprina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plazmi,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dovesti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teške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toksičnosti.</w:t>
      </w:r>
    </w:p>
    <w:p w:rsidR="00BD64B1" w:rsidRPr="003C351B" w:rsidRDefault="00D014E2" w:rsidP="00CD15F7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      </w:t>
      </w:r>
    </w:p>
    <w:p w:rsidR="00BD64B1" w:rsidRPr="003C351B" w:rsidRDefault="00BD64B1" w:rsidP="00CD15F7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Kada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kombinacija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izbjeći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sniženje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merkaptopurina/azatioprina</w:t>
      </w:r>
      <w:r w:rsidR="00D014E2" w:rsidRPr="003C351B">
        <w:rPr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20%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niže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prethodno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propisane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doze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izbjegli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mogući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hematološki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>djelove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5.3).</w:t>
      </w:r>
    </w:p>
    <w:p w:rsidR="00BD64B1" w:rsidRPr="003C351B" w:rsidRDefault="00BD64B1" w:rsidP="00CD15F7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Pacijente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treba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pažljivo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pratiti,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merkaptopurina/azatioprina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zatim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prilagoditi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osnovu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terapijskog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odgovora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pojavljivanja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eventualnih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toksičnih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efekata.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Pacijenti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sa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transplant</w:t>
      </w:r>
      <w:r w:rsidR="006B4BCE" w:rsidRPr="003C351B">
        <w:rPr>
          <w:i/>
          <w:noProof/>
          <w:sz w:val="22"/>
          <w:szCs w:val="22"/>
          <w:lang w:val="sr-Latn-ME"/>
        </w:rPr>
        <w:t>ovanim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organima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iskustva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transplant</w:t>
      </w:r>
      <w:r w:rsidR="006B4BCE" w:rsidRPr="003C351B">
        <w:rPr>
          <w:noProof/>
          <w:sz w:val="22"/>
          <w:szCs w:val="22"/>
          <w:lang w:val="sr-Latn-ME"/>
        </w:rPr>
        <w:t>ovanim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organima,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dio </w:t>
      </w:r>
      <w:r w:rsidRPr="003C351B">
        <w:rPr>
          <w:noProof/>
          <w:sz w:val="22"/>
          <w:szCs w:val="22"/>
          <w:lang w:val="sr-Latn-ME"/>
        </w:rPr>
        <w:t>5.1).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Teofilin</w:t>
      </w:r>
    </w:p>
    <w:p w:rsidR="00BD64B1" w:rsidRPr="003C351B" w:rsidRDefault="00BD64B1" w:rsidP="00CD15F7">
      <w:pPr>
        <w:tabs>
          <w:tab w:val="left" w:pos="284"/>
        </w:tabs>
        <w:spacing w:after="120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Istovremena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</w:t>
      </w:r>
      <w:r w:rsidR="006B4BCE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jednokratne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teofilina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zdravih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farmakokinetičkih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interakcija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>dio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4.5).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koristiti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teofilin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rizika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porasta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teofilina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plazmi.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</w:t>
      </w:r>
      <w:r w:rsidR="006B4BCE" w:rsidRPr="003C351B">
        <w:rPr>
          <w:noProof/>
          <w:sz w:val="22"/>
          <w:szCs w:val="22"/>
          <w:lang w:val="sr-Latn-ME"/>
        </w:rPr>
        <w:t>je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dostupni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podaci.</w:t>
      </w:r>
    </w:p>
    <w:p w:rsidR="00BD64B1" w:rsidRPr="003C351B" w:rsidRDefault="00BD64B1" w:rsidP="00CD15F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 w:eastAsia="en-GB"/>
        </w:rPr>
      </w:pPr>
      <w:r w:rsidRPr="003C351B">
        <w:rPr>
          <w:i/>
          <w:iCs/>
          <w:noProof/>
          <w:sz w:val="22"/>
          <w:szCs w:val="22"/>
          <w:lang w:val="sr-Latn-ME" w:eastAsia="en-GB"/>
        </w:rPr>
        <w:t>Poremećaji</w:t>
      </w:r>
      <w:r w:rsidR="00D014E2" w:rsidRPr="003C351B">
        <w:rPr>
          <w:i/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/>
          <w:iCs/>
          <w:noProof/>
          <w:sz w:val="22"/>
          <w:szCs w:val="22"/>
          <w:lang w:val="sr-Latn-ME" w:eastAsia="en-GB"/>
        </w:rPr>
        <w:t>funkcije</w:t>
      </w:r>
      <w:r w:rsidR="00D014E2" w:rsidRPr="003C351B">
        <w:rPr>
          <w:i/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/>
          <w:iCs/>
          <w:noProof/>
          <w:sz w:val="22"/>
          <w:szCs w:val="22"/>
          <w:lang w:val="sr-Latn-ME" w:eastAsia="en-GB"/>
        </w:rPr>
        <w:t>jetre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sprovođenja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uočeni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blagi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funkcionalni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poremećaji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(5.0%).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provjera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otpočinjanja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febuksostatom,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kao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i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periodična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provjera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nakon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otpočinjanja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liječenja,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na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osnovu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kliničke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opservacije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pacijenta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(vidjeti</w:t>
      </w:r>
      <w:r w:rsidR="006B4BCE" w:rsidRPr="003C351B">
        <w:rPr>
          <w:iCs/>
          <w:noProof/>
          <w:sz w:val="22"/>
          <w:szCs w:val="22"/>
          <w:lang w:val="sr-Latn-ME"/>
        </w:rPr>
        <w:t xml:space="preserve"> dio</w:t>
      </w:r>
      <w:r w:rsidR="00D014E2" w:rsidRPr="003C351B">
        <w:rPr>
          <w:iCs/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sz w:val="22"/>
          <w:szCs w:val="22"/>
          <w:lang w:val="sr-Latn-ME"/>
        </w:rPr>
        <w:t>5.1)</w:t>
      </w:r>
      <w:r w:rsidRPr="003C351B">
        <w:rPr>
          <w:noProof/>
          <w:sz w:val="22"/>
          <w:szCs w:val="22"/>
          <w:lang w:val="sr-Latn-ME" w:eastAsia="ja-JP"/>
        </w:rPr>
        <w:t>.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</w:p>
    <w:p w:rsidR="00BD64B1" w:rsidRPr="003C351B" w:rsidRDefault="00BD64B1" w:rsidP="00CD15F7">
      <w:pPr>
        <w:jc w:val="both"/>
        <w:rPr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Poremećaji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funkcije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štitaste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žlijezde</w:t>
      </w:r>
      <w:r w:rsidR="00D014E2" w:rsidRPr="003C351B">
        <w:rPr>
          <w:i/>
          <w:noProof/>
          <w:sz w:val="22"/>
          <w:szCs w:val="22"/>
          <w:highlight w:val="yellow"/>
          <w:lang w:val="sr-Latn-ME"/>
        </w:rPr>
        <w:t xml:space="preserve"> </w:t>
      </w:r>
    </w:p>
    <w:p w:rsidR="00BD64B1" w:rsidRPr="003C351B" w:rsidRDefault="00BD64B1" w:rsidP="00CD15F7">
      <w:pPr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ME" w:eastAsia="en-GB"/>
        </w:rPr>
      </w:pPr>
      <w:r w:rsidRPr="003C351B">
        <w:rPr>
          <w:iCs/>
          <w:noProof/>
          <w:sz w:val="22"/>
          <w:szCs w:val="22"/>
          <w:lang w:val="sr-Latn-ME" w:eastAsia="en-GB"/>
        </w:rPr>
        <w:t>Povišene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vrijednosti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TSH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(&gt;5.5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µIU/</w:t>
      </w:r>
      <w:r w:rsidR="004975C9" w:rsidRPr="003C351B">
        <w:rPr>
          <w:iCs/>
          <w:noProof/>
          <w:sz w:val="22"/>
          <w:szCs w:val="22"/>
          <w:lang w:val="sr-Latn-ME" w:eastAsia="en-GB"/>
        </w:rPr>
        <w:t>ml</w:t>
      </w:r>
      <w:r w:rsidRPr="003C351B">
        <w:rPr>
          <w:iCs/>
          <w:noProof/>
          <w:sz w:val="22"/>
          <w:szCs w:val="22"/>
          <w:lang w:val="sr-Latn-ME" w:eastAsia="en-GB"/>
        </w:rPr>
        <w:t>),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uočene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kod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pacijenata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kod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kojih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postoji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dugotrajna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primjena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febuksostata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(5.5%)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dugotrajnim,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produženim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ispitivanjima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otvorenog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dizajna.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Potreban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oprez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primjeni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febuksostata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kod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pacijenata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kod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kojih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postoji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poremećaj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funkcije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štitaste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žlijezde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sa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pojavom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alteracije,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smislu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hiper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hipofunkcionalnosti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Pr="003C351B">
        <w:rPr>
          <w:iCs/>
          <w:noProof/>
          <w:sz w:val="22"/>
          <w:szCs w:val="22"/>
          <w:lang w:val="sr-Latn-ME" w:eastAsia="en-GB"/>
        </w:rPr>
        <w:t>(vidjeti</w:t>
      </w:r>
      <w:r w:rsidR="00D014E2" w:rsidRPr="003C351B">
        <w:rPr>
          <w:iCs/>
          <w:noProof/>
          <w:sz w:val="22"/>
          <w:szCs w:val="22"/>
          <w:lang w:val="sr-Latn-ME" w:eastAsia="en-GB"/>
        </w:rPr>
        <w:t xml:space="preserve"> </w:t>
      </w:r>
      <w:r w:rsidR="006B4BCE" w:rsidRPr="003C351B">
        <w:rPr>
          <w:iCs/>
          <w:noProof/>
          <w:sz w:val="22"/>
          <w:szCs w:val="22"/>
          <w:lang w:val="sr-Latn-ME" w:eastAsia="en-GB"/>
        </w:rPr>
        <w:t xml:space="preserve">dio </w:t>
      </w:r>
      <w:r w:rsidRPr="003C351B">
        <w:rPr>
          <w:iCs/>
          <w:noProof/>
          <w:sz w:val="22"/>
          <w:szCs w:val="22"/>
          <w:lang w:val="sr-Latn-ME" w:eastAsia="en-GB"/>
        </w:rPr>
        <w:t>5.1).</w:t>
      </w: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</w:p>
    <w:p w:rsidR="00BD64B1" w:rsidRPr="003C351B" w:rsidRDefault="00BD64B1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Laktoza</w:t>
      </w:r>
    </w:p>
    <w:p w:rsidR="00BD64B1" w:rsidRPr="003C351B" w:rsidRDefault="00BD64B1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Tablete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sadrže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laktozu.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rijetkim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nasljednim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poremećajima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nepodnošljivosti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galaktoze,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deficijencijom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Lapp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laktaze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malapsorpcijom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glukoze-galaktoze,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trebalo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uzimaju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ovaj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lijek.</w:t>
      </w:r>
    </w:p>
    <w:p w:rsidR="00E20A4B" w:rsidRPr="003C351B" w:rsidRDefault="00E20A4B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</w:p>
    <w:p w:rsidR="00E20A4B" w:rsidRPr="003C351B" w:rsidRDefault="00E20A4B" w:rsidP="00CD15F7">
      <w:pPr>
        <w:tabs>
          <w:tab w:val="left" w:pos="284"/>
          <w:tab w:val="center" w:pos="4320"/>
          <w:tab w:val="right" w:pos="8640"/>
        </w:tabs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Lijek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Adenuric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sadrži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natrijum</w:t>
      </w:r>
    </w:p>
    <w:p w:rsidR="00E20A4B" w:rsidRPr="003C351B" w:rsidRDefault="00E20A4B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Ovaj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sadrži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mmol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natrijuma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tableti,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tj.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suštinski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natrijuma.</w:t>
      </w:r>
    </w:p>
    <w:p w:rsidR="00057E35" w:rsidRPr="003C351B" w:rsidRDefault="00057E35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2B667A" w:rsidRPr="003C351B" w:rsidRDefault="002B667A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2B667A" w:rsidRPr="003C351B" w:rsidRDefault="002B667A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2B667A" w:rsidRPr="003C351B" w:rsidRDefault="002B667A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3C351B" w:rsidRDefault="00411B4B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lastRenderedPageBreak/>
        <w:t>4.5.</w:t>
      </w:r>
      <w:r w:rsidR="000D60CC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Interakcije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sa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drugim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ljekovima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druge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vrste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interakcija</w:t>
      </w:r>
    </w:p>
    <w:p w:rsidR="00F54461" w:rsidRPr="003C351B" w:rsidRDefault="00F54461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60148C" w:rsidRPr="003C351B" w:rsidRDefault="0060148C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Merkaptopurin/azatioprin</w:t>
      </w:r>
    </w:p>
    <w:p w:rsidR="0060148C" w:rsidRPr="003C351B" w:rsidRDefault="0060148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obzirom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mehanizam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dejstva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inhibiciju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XO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(ksantin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oksidaze),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ljekova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preporučuje.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XO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dovesti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koncentracija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ljekova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plazmi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mijelo</w:t>
      </w:r>
      <w:r w:rsidRPr="003C351B">
        <w:rPr>
          <w:noProof/>
          <w:sz w:val="22"/>
          <w:szCs w:val="22"/>
          <w:lang w:val="sr-Latn-ME"/>
        </w:rPr>
        <w:t>toksičnosti.</w:t>
      </w:r>
      <w:r w:rsidR="00D014E2" w:rsidRPr="003C351B">
        <w:rPr>
          <w:noProof/>
          <w:sz w:val="22"/>
          <w:szCs w:val="22"/>
          <w:lang w:val="sr-Latn-ME"/>
        </w:rPr>
        <w:t xml:space="preserve">                </w:t>
      </w:r>
    </w:p>
    <w:p w:rsidR="0060148C" w:rsidRPr="003C351B" w:rsidRDefault="00E20A4B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slučaju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istovremene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primjene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febuksostatom,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merkaptopurina/azatioprina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potrebno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smanjiti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20%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niže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prethodno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propisane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>djelove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4.4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0148C" w:rsidRPr="003C351B">
        <w:rPr>
          <w:noProof/>
          <w:sz w:val="22"/>
          <w:szCs w:val="22"/>
          <w:lang w:val="sr-Latn-ME"/>
        </w:rPr>
        <w:t>5.3).</w:t>
      </w:r>
    </w:p>
    <w:p w:rsidR="0060148C" w:rsidRPr="003C351B" w:rsidRDefault="00E20A4B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Adekvatnost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Pr="003C351B">
        <w:rPr>
          <w:noProof/>
          <w:sz w:val="22"/>
          <w:szCs w:val="22"/>
          <w:lang w:val="sr-Latn-ME"/>
        </w:rPr>
        <w:t>oženog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prilagođavanja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bazirana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analizi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podataka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modeliranja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simulacije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pretkliničkom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pacovima,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potvrđena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rezultatima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lijek-lijek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interakcija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zdravih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dobrovoljaca,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dobijali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azatioprina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monotretmanu,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smanjenu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azatioprina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kombinaciji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mg).</w:t>
      </w:r>
    </w:p>
    <w:p w:rsidR="00E20A4B" w:rsidRPr="003C351B" w:rsidRDefault="00E20A4B" w:rsidP="00CD15F7">
      <w:pPr>
        <w:jc w:val="both"/>
        <w:rPr>
          <w:noProof/>
          <w:sz w:val="22"/>
          <w:szCs w:val="22"/>
          <w:lang w:val="sr-Latn-ME"/>
        </w:rPr>
      </w:pPr>
    </w:p>
    <w:p w:rsidR="0060148C" w:rsidRPr="003C351B" w:rsidRDefault="0060148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Ni</w:t>
      </w:r>
      <w:r w:rsidR="006B4BCE" w:rsidRPr="003C351B">
        <w:rPr>
          <w:noProof/>
          <w:sz w:val="22"/>
          <w:szCs w:val="22"/>
          <w:lang w:val="sr-Latn-ME"/>
        </w:rPr>
        <w:t>je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sprovedena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interakcija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ostalim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citotoksičnim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hemioterapeuticima.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podataci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ostalih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citotoksičnih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ljekova.</w:t>
      </w:r>
    </w:p>
    <w:p w:rsidR="0060148C" w:rsidRPr="003C351B" w:rsidRDefault="0060148C" w:rsidP="00CD15F7">
      <w:pPr>
        <w:jc w:val="both"/>
        <w:rPr>
          <w:rFonts w:eastAsia="MS Mincho"/>
          <w:bCs/>
          <w:noProof/>
          <w:sz w:val="22"/>
          <w:szCs w:val="22"/>
          <w:lang w:val="sr-Latn-ME"/>
        </w:rPr>
      </w:pPr>
    </w:p>
    <w:p w:rsidR="0060148C" w:rsidRPr="003C351B" w:rsidRDefault="0060148C" w:rsidP="00CD15F7">
      <w:pPr>
        <w:jc w:val="both"/>
        <w:rPr>
          <w:rFonts w:eastAsia="MS Mincho"/>
          <w:bCs/>
          <w:i/>
          <w:noProof/>
          <w:sz w:val="22"/>
          <w:szCs w:val="22"/>
          <w:lang w:val="sr-Latn-ME"/>
        </w:rPr>
      </w:pPr>
      <w:r w:rsidRPr="003C351B">
        <w:rPr>
          <w:rFonts w:eastAsia="MS Mincho"/>
          <w:bCs/>
          <w:i/>
          <w:noProof/>
          <w:sz w:val="22"/>
          <w:szCs w:val="22"/>
          <w:lang w:val="sr-Latn-ME"/>
        </w:rPr>
        <w:t>Rosiglitazon/</w:t>
      </w:r>
      <w:r w:rsidR="00D014E2" w:rsidRPr="003C351B">
        <w:rPr>
          <w:rFonts w:eastAsia="MS Mincho"/>
          <w:bCs/>
          <w:i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i/>
          <w:noProof/>
          <w:sz w:val="22"/>
          <w:szCs w:val="22"/>
          <w:lang w:val="sr-Latn-ME"/>
        </w:rPr>
        <w:t>supstrati</w:t>
      </w:r>
      <w:r w:rsidR="00D014E2" w:rsidRPr="003C351B">
        <w:rPr>
          <w:rFonts w:eastAsia="MS Mincho"/>
          <w:bCs/>
          <w:i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i/>
          <w:noProof/>
          <w:sz w:val="22"/>
          <w:szCs w:val="22"/>
          <w:lang w:val="sr-Latn-ME"/>
        </w:rPr>
        <w:t>CYP2C8</w:t>
      </w:r>
    </w:p>
    <w:p w:rsidR="0060148C" w:rsidRPr="003C351B" w:rsidRDefault="0060148C" w:rsidP="00CD15F7">
      <w:pPr>
        <w:jc w:val="both"/>
        <w:rPr>
          <w:rFonts w:eastAsia="MS Mincho"/>
          <w:bCs/>
          <w:noProof/>
          <w:sz w:val="22"/>
          <w:szCs w:val="22"/>
          <w:lang w:val="sr-Latn-ME"/>
        </w:rPr>
      </w:pPr>
      <w:r w:rsidRPr="003C351B">
        <w:rPr>
          <w:rFonts w:eastAsia="MS Mincho"/>
          <w:bCs/>
          <w:noProof/>
          <w:sz w:val="22"/>
          <w:szCs w:val="22"/>
          <w:lang w:val="sr-Latn-ME"/>
        </w:rPr>
        <w:t>Febuksostat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se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i/>
          <w:noProof/>
          <w:sz w:val="22"/>
          <w:szCs w:val="22"/>
          <w:lang w:val="sr-Latn-ME"/>
        </w:rPr>
        <w:t>in</w:t>
      </w:r>
      <w:r w:rsidR="00D014E2" w:rsidRPr="003C351B">
        <w:rPr>
          <w:rFonts w:eastAsia="MS Mincho"/>
          <w:bCs/>
          <w:i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i/>
          <w:noProof/>
          <w:sz w:val="22"/>
          <w:szCs w:val="22"/>
          <w:lang w:val="sr-Latn-ME"/>
        </w:rPr>
        <w:t>vitro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pokazao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kao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slab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inhibitor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CYP2C8.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Tokom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ispitivanja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na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zdravim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ispitanicima,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istovremena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prim</w:t>
      </w:r>
      <w:r w:rsidR="006B4BCE" w:rsidRPr="003C351B">
        <w:rPr>
          <w:rFonts w:eastAsia="MS Mincho"/>
          <w:bCs/>
          <w:noProof/>
          <w:sz w:val="22"/>
          <w:szCs w:val="22"/>
          <w:lang w:val="sr-Latn-ME"/>
        </w:rPr>
        <w:t>j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ena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120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mg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febuksostata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jednom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dnevno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sa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jednokratnom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oralnom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dozom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od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4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mg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rosiglitazona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nije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imala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efekat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na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farmakokinetiku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rosiglitazona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i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njegovog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metabolita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N-dezmetilrosiglitazona,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što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pokazuje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da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febuksostat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nije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inhibitor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enzima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CYP2C8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i/>
          <w:noProof/>
          <w:sz w:val="22"/>
          <w:szCs w:val="22"/>
          <w:lang w:val="sr-Latn-ME"/>
        </w:rPr>
        <w:t>in</w:t>
      </w:r>
      <w:r w:rsidR="00D014E2" w:rsidRPr="003C351B">
        <w:rPr>
          <w:rFonts w:eastAsia="MS Mincho"/>
          <w:bCs/>
          <w:i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i/>
          <w:noProof/>
          <w:sz w:val="22"/>
          <w:szCs w:val="22"/>
          <w:lang w:val="sr-Latn-ME"/>
        </w:rPr>
        <w:t>vivo.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Prema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tome,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nije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očekivano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da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će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istovremena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prim</w:t>
      </w:r>
      <w:r w:rsidR="006B4BCE" w:rsidRPr="003C351B">
        <w:rPr>
          <w:rFonts w:eastAsia="MS Mincho"/>
          <w:bCs/>
          <w:noProof/>
          <w:sz w:val="22"/>
          <w:szCs w:val="22"/>
          <w:lang w:val="sr-Latn-ME"/>
        </w:rPr>
        <w:t>j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ena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febuksostata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sa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rosiglitazonom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ili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drugim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CYP2C8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supstartom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zaht</w:t>
      </w:r>
      <w:r w:rsidR="006B4BCE" w:rsidRPr="003C351B">
        <w:rPr>
          <w:rFonts w:eastAsia="MS Mincho"/>
          <w:bCs/>
          <w:noProof/>
          <w:sz w:val="22"/>
          <w:szCs w:val="22"/>
          <w:lang w:val="sr-Latn-ME"/>
        </w:rPr>
        <w:t>ij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evati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prilagođavanje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doze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ovih</w:t>
      </w:r>
      <w:r w:rsidR="00D014E2" w:rsidRPr="003C351B">
        <w:rPr>
          <w:rFonts w:eastAsia="MS Mincho"/>
          <w:bCs/>
          <w:noProof/>
          <w:sz w:val="22"/>
          <w:szCs w:val="22"/>
          <w:lang w:val="sr-Latn-ME"/>
        </w:rPr>
        <w:t xml:space="preserve"> 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l</w:t>
      </w:r>
      <w:r w:rsidR="006B4BCE" w:rsidRPr="003C351B">
        <w:rPr>
          <w:rFonts w:eastAsia="MS Mincho"/>
          <w:bCs/>
          <w:noProof/>
          <w:sz w:val="22"/>
          <w:szCs w:val="22"/>
          <w:lang w:val="sr-Latn-ME"/>
        </w:rPr>
        <w:t>j</w:t>
      </w:r>
      <w:r w:rsidRPr="003C351B">
        <w:rPr>
          <w:rFonts w:eastAsia="MS Mincho"/>
          <w:bCs/>
          <w:noProof/>
          <w:sz w:val="22"/>
          <w:szCs w:val="22"/>
          <w:lang w:val="sr-Latn-ME"/>
        </w:rPr>
        <w:t>ekova.</w:t>
      </w:r>
    </w:p>
    <w:p w:rsidR="0060148C" w:rsidRPr="003C351B" w:rsidRDefault="0060148C" w:rsidP="00CD15F7">
      <w:pPr>
        <w:jc w:val="both"/>
        <w:rPr>
          <w:rFonts w:eastAsia="MS Mincho"/>
          <w:bCs/>
          <w:noProof/>
          <w:sz w:val="22"/>
          <w:szCs w:val="22"/>
          <w:lang w:val="sr-Latn-ME"/>
        </w:rPr>
      </w:pPr>
    </w:p>
    <w:p w:rsidR="0060148C" w:rsidRPr="003C351B" w:rsidRDefault="0060148C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Teofilin</w:t>
      </w:r>
    </w:p>
    <w:p w:rsidR="0060148C" w:rsidRPr="003C351B" w:rsidRDefault="0060148C" w:rsidP="00CD15F7">
      <w:pPr>
        <w:tabs>
          <w:tab w:val="left" w:pos="284"/>
        </w:tabs>
        <w:spacing w:after="120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Sprovedeno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interakcija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zdravih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ustanovilo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XO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dovesti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</w:t>
      </w:r>
      <w:r w:rsidR="006B4BCE" w:rsidRPr="003C351B">
        <w:rPr>
          <w:noProof/>
          <w:sz w:val="22"/>
          <w:szCs w:val="22"/>
          <w:lang w:val="sr-Latn-ME"/>
        </w:rPr>
        <w:t>ij</w:t>
      </w:r>
      <w:r w:rsidRPr="003C351B">
        <w:rPr>
          <w:noProof/>
          <w:sz w:val="22"/>
          <w:szCs w:val="22"/>
          <w:lang w:val="sr-Latn-ME"/>
        </w:rPr>
        <w:t>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cirkulišućeg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teofilina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</w:t>
      </w:r>
      <w:r w:rsidR="006B4BCE" w:rsidRPr="003C351B">
        <w:rPr>
          <w:noProof/>
          <w:sz w:val="22"/>
          <w:szCs w:val="22"/>
          <w:lang w:val="sr-Latn-ME"/>
        </w:rPr>
        <w:t>i</w:t>
      </w:r>
      <w:r w:rsidRPr="003C351B">
        <w:rPr>
          <w:noProof/>
          <w:sz w:val="22"/>
          <w:szCs w:val="22"/>
          <w:lang w:val="sr-Latn-ME"/>
        </w:rPr>
        <w:t>l</w:t>
      </w:r>
      <w:r w:rsidR="006B4BCE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eženo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prilikom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</w:t>
      </w:r>
      <w:r w:rsidR="006B4BCE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inhibitorima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XO.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Rezultati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</w:t>
      </w:r>
      <w:r w:rsidR="006B4BCE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jednokratne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teofilina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nemaju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uticaja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farmakokinetiku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</w:t>
      </w:r>
      <w:r w:rsidR="006B4BCE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teofilina</w:t>
      </w:r>
      <w:r w:rsidR="006B4BCE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.Zato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posebnih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</w:t>
      </w:r>
      <w:r w:rsidR="006B4BCE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opreza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prilikom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</w:t>
      </w:r>
      <w:r w:rsidR="006B4BCE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teofilin</w:t>
      </w:r>
      <w:r w:rsidR="0078250F" w:rsidRPr="003C351B">
        <w:rPr>
          <w:noProof/>
          <w:sz w:val="22"/>
          <w:szCs w:val="22"/>
          <w:lang w:val="sr-Latn-ME"/>
        </w:rPr>
        <w:t>a</w:t>
      </w:r>
      <w:r w:rsidRPr="003C351B">
        <w:rPr>
          <w:noProof/>
          <w:sz w:val="22"/>
          <w:szCs w:val="22"/>
          <w:lang w:val="sr-Latn-ME"/>
        </w:rPr>
        <w:t>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dostupnih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podataka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60148C" w:rsidRPr="003C351B" w:rsidRDefault="0060148C" w:rsidP="00CD15F7">
      <w:pPr>
        <w:jc w:val="both"/>
        <w:rPr>
          <w:i/>
          <w:noProof/>
          <w:sz w:val="22"/>
          <w:szCs w:val="22"/>
          <w:lang w:val="sr-Latn-ME"/>
        </w:rPr>
      </w:pPr>
    </w:p>
    <w:p w:rsidR="0060148C" w:rsidRPr="003C351B" w:rsidRDefault="0060148C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Naproksen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ostali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inhibitori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glukuronidacije</w:t>
      </w:r>
    </w:p>
    <w:p w:rsidR="0060148C" w:rsidRPr="003C351B" w:rsidRDefault="0060148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Metabolizam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zavisi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uridin-difosfat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glukuronozil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transferaza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(UGT)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enzima.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Ljekovi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inhibiraju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glukuronidaciju,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NSAIL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probenecid,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mogu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teorijski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utiču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eliminaciju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zdravih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naproksena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250mg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povezana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izloženošću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(maksimalna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koncetracija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28%,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površina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krive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41%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poluvrijeme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eliminacije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</w:t>
      </w:r>
      <w:r w:rsidRPr="003C351B">
        <w:rPr>
          <w:noProof/>
          <w:sz w:val="22"/>
          <w:szCs w:val="22"/>
          <w:vertAlign w:val="subscript"/>
          <w:lang w:val="sr-Latn-ME"/>
        </w:rPr>
        <w:t>1/2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26%).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ispitivanjima,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naproksena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NSAIL/inhibitora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COX-2,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dovodila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učestalosti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neželjenih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događaja.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60148C" w:rsidRPr="003C351B" w:rsidRDefault="0060148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primijeniti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naproksenom,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korigovanja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naproksena.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60148C" w:rsidRPr="003C351B" w:rsidRDefault="0060148C" w:rsidP="00CD15F7">
      <w:pPr>
        <w:jc w:val="both"/>
        <w:rPr>
          <w:i/>
          <w:noProof/>
          <w:sz w:val="22"/>
          <w:szCs w:val="22"/>
          <w:lang w:val="sr-Latn-ME"/>
        </w:rPr>
      </w:pPr>
    </w:p>
    <w:p w:rsidR="0060148C" w:rsidRPr="003C351B" w:rsidRDefault="0060148C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Induktori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glukuronidacije</w:t>
      </w:r>
    </w:p>
    <w:p w:rsidR="0060148C" w:rsidRPr="003C351B" w:rsidRDefault="0060148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Snažni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induktori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UGT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enzima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mogu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dovesti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metabolizma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efikasnosti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Praćenje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1-2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otpočinjanja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snažnog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induktora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glukuronidacije.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Obrnuto,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prekid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induktora,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dovesti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plazmi.</w:t>
      </w:r>
    </w:p>
    <w:p w:rsidR="0060148C" w:rsidRPr="003C351B" w:rsidRDefault="0060148C" w:rsidP="00CD15F7">
      <w:pPr>
        <w:jc w:val="both"/>
        <w:rPr>
          <w:iCs/>
          <w:noProof/>
          <w:color w:val="000000"/>
          <w:sz w:val="22"/>
          <w:szCs w:val="22"/>
          <w:lang w:val="sr-Latn-ME"/>
        </w:rPr>
      </w:pPr>
    </w:p>
    <w:p w:rsidR="0060148C" w:rsidRPr="003C351B" w:rsidRDefault="0060148C" w:rsidP="00CD15F7">
      <w:pPr>
        <w:jc w:val="both"/>
        <w:rPr>
          <w:i/>
          <w:iCs/>
          <w:noProof/>
          <w:color w:val="000000"/>
          <w:sz w:val="22"/>
          <w:szCs w:val="22"/>
          <w:lang w:val="sr-Latn-ME"/>
        </w:rPr>
      </w:pPr>
      <w:r w:rsidRPr="003C351B">
        <w:rPr>
          <w:i/>
          <w:iCs/>
          <w:noProof/>
          <w:color w:val="000000"/>
          <w:sz w:val="22"/>
          <w:szCs w:val="22"/>
          <w:lang w:val="sr-Latn-ME"/>
        </w:rPr>
        <w:t>Kolhicin/indometacin/hidrohlorotiazid/varfarin</w:t>
      </w:r>
    </w:p>
    <w:p w:rsidR="0060148C" w:rsidRPr="003C351B" w:rsidRDefault="0060148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primjenjivati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kolhicinom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indometacinom,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korekcijom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aktivne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supstance,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primjenjuje.</w:t>
      </w:r>
    </w:p>
    <w:p w:rsidR="0060148C" w:rsidRPr="003C351B" w:rsidRDefault="0060148C" w:rsidP="00CD15F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ja-JP"/>
        </w:rPr>
      </w:pPr>
    </w:p>
    <w:p w:rsidR="0060148C" w:rsidRPr="003C351B" w:rsidRDefault="0060148C" w:rsidP="00CD15F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korigovati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primjenjuje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hidrohlorotiazidom.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60148C" w:rsidRPr="003C351B" w:rsidRDefault="0060148C" w:rsidP="00CD15F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:rsidR="0060148C" w:rsidRPr="003C351B" w:rsidRDefault="0060148C" w:rsidP="00CD15F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korigovati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varfarina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primjenjuje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varfarinom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imala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uticaj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farmakokinetiku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varfarina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lastRenderedPageBreak/>
        <w:t>zdravih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Takođe,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imala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uticaj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aktivnost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INR-a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faktora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VII.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F7447D" w:rsidRPr="003C351B" w:rsidRDefault="00F7447D" w:rsidP="00CD15F7">
      <w:pPr>
        <w:jc w:val="both"/>
        <w:rPr>
          <w:noProof/>
          <w:sz w:val="22"/>
          <w:szCs w:val="22"/>
          <w:lang w:val="sr-Latn-ME"/>
        </w:rPr>
      </w:pPr>
    </w:p>
    <w:p w:rsidR="0060148C" w:rsidRPr="003C351B" w:rsidRDefault="0060148C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Dezipramin/supstrati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CYP2D6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</w:p>
    <w:p w:rsidR="0060148C" w:rsidRPr="003C351B" w:rsidRDefault="0060148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ispoljava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slabo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inhibitorno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dejstvo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CYP2D6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uslovima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in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vitro.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zdravim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ispitanicima,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lijeka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dove</w:t>
      </w:r>
      <w:r w:rsidR="0078250F" w:rsidRPr="003C351B">
        <w:rPr>
          <w:noProof/>
          <w:sz w:val="22"/>
          <w:szCs w:val="22"/>
          <w:lang w:val="sr-Latn-ME"/>
        </w:rPr>
        <w:t>l</w:t>
      </w:r>
      <w:r w:rsidRPr="003C351B">
        <w:rPr>
          <w:noProof/>
          <w:sz w:val="22"/>
          <w:szCs w:val="22"/>
          <w:lang w:val="sr-Latn-ME"/>
        </w:rPr>
        <w:t>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srednjeg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22%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dezipramina,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susptrata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CYP2D6,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ukazujući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potencijalan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slab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inhibitorni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enzim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CYP2D6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uslovima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in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vivo</w:t>
      </w:r>
      <w:r w:rsidRPr="003C351B">
        <w:rPr>
          <w:noProof/>
          <w:sz w:val="22"/>
          <w:szCs w:val="22"/>
          <w:lang w:val="sr-Latn-ME"/>
        </w:rPr>
        <w:t>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Dakle,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očekuje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supstratima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CYP2D6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zahtijevala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korigovanje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60148C" w:rsidRPr="003C351B" w:rsidRDefault="0060148C" w:rsidP="00CD15F7">
      <w:pPr>
        <w:jc w:val="both"/>
        <w:rPr>
          <w:noProof/>
          <w:sz w:val="22"/>
          <w:szCs w:val="22"/>
          <w:lang w:val="sr-Latn-ME"/>
        </w:rPr>
      </w:pPr>
    </w:p>
    <w:p w:rsidR="0060148C" w:rsidRPr="003C351B" w:rsidRDefault="0060148C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Antacidi</w:t>
      </w:r>
    </w:p>
    <w:p w:rsidR="0060148C" w:rsidRPr="003C351B" w:rsidRDefault="0060148C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Istovremena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antacida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sadrže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magnezijum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hidroksid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aluminijum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hidroksid,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dovodi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Pr="003C351B">
        <w:rPr>
          <w:noProof/>
          <w:sz w:val="22"/>
          <w:szCs w:val="22"/>
          <w:lang w:val="sr-Latn-ME"/>
        </w:rPr>
        <w:t>ožene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resorpcije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(otprilike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32%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maksimalne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koncentracije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Stoga,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uzimati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obzira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antacida.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60148C" w:rsidRPr="003C351B" w:rsidRDefault="0060148C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4.6.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="006D20A5" w:rsidRPr="003C351B">
        <w:rPr>
          <w:b/>
          <w:noProof/>
          <w:sz w:val="22"/>
          <w:szCs w:val="22"/>
          <w:lang w:val="sr-Latn-ME"/>
        </w:rPr>
        <w:t>Plodnost,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="006D20A5" w:rsidRPr="003C351B">
        <w:rPr>
          <w:b/>
          <w:noProof/>
          <w:sz w:val="22"/>
          <w:szCs w:val="22"/>
          <w:lang w:val="sr-Latn-ME"/>
        </w:rPr>
        <w:t>trudnoća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="006D20A5" w:rsidRPr="003C351B">
        <w:rPr>
          <w:b/>
          <w:noProof/>
          <w:sz w:val="22"/>
          <w:szCs w:val="22"/>
          <w:lang w:val="sr-Latn-ME"/>
        </w:rPr>
        <w:t>i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="006D20A5" w:rsidRPr="003C351B">
        <w:rPr>
          <w:b/>
          <w:noProof/>
          <w:sz w:val="22"/>
          <w:szCs w:val="22"/>
          <w:lang w:val="sr-Latn-ME"/>
        </w:rPr>
        <w:t>dojenje</w:t>
      </w:r>
    </w:p>
    <w:p w:rsidR="002031B3" w:rsidRPr="003C351B" w:rsidRDefault="002031B3" w:rsidP="00CD15F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</w:p>
    <w:p w:rsidR="002031B3" w:rsidRPr="003C351B" w:rsidRDefault="002031B3" w:rsidP="00CD15F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  <w:r w:rsidRPr="003C351B">
        <w:rPr>
          <w:noProof/>
          <w:sz w:val="22"/>
          <w:szCs w:val="22"/>
          <w:u w:val="single"/>
          <w:lang w:val="sr-Latn-ME"/>
        </w:rPr>
        <w:t>Plodnost</w:t>
      </w:r>
    </w:p>
    <w:p w:rsidR="003612E0" w:rsidRPr="003C351B" w:rsidRDefault="003612E0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životinja,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reproduktivnosti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u kojima su primjenjivane doze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mg/kg/dan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</w:t>
      </w:r>
      <w:r w:rsidR="006B4BCE" w:rsidRPr="003C351B">
        <w:rPr>
          <w:noProof/>
          <w:sz w:val="22"/>
          <w:szCs w:val="22"/>
          <w:lang w:val="sr-Latn-ME"/>
        </w:rPr>
        <w:t>je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zavisna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neželjena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dejstva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plodnost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dio </w:t>
      </w:r>
      <w:r w:rsidRPr="003C351B">
        <w:rPr>
          <w:noProof/>
          <w:sz w:val="22"/>
          <w:szCs w:val="22"/>
          <w:lang w:val="sr-Latn-ME"/>
        </w:rPr>
        <w:t>5.3).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vertAlign w:val="superscript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plodnost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ljudi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nepoznati.</w:t>
      </w:r>
    </w:p>
    <w:p w:rsidR="002031B3" w:rsidRPr="003C351B" w:rsidRDefault="002031B3" w:rsidP="00CD15F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</w:p>
    <w:p w:rsidR="003612E0" w:rsidRPr="003C351B" w:rsidRDefault="003612E0" w:rsidP="00CD15F7">
      <w:pPr>
        <w:jc w:val="both"/>
        <w:rPr>
          <w:noProof/>
          <w:color w:val="000000"/>
          <w:sz w:val="22"/>
          <w:szCs w:val="22"/>
          <w:u w:val="single"/>
          <w:lang w:val="sr-Latn-ME"/>
        </w:rPr>
      </w:pPr>
      <w:r w:rsidRPr="003C351B">
        <w:rPr>
          <w:noProof/>
          <w:color w:val="000000"/>
          <w:sz w:val="22"/>
          <w:szCs w:val="22"/>
          <w:u w:val="single"/>
          <w:lang w:val="sr-Latn-ME"/>
        </w:rPr>
        <w:t>Trudnoća</w:t>
      </w:r>
    </w:p>
    <w:p w:rsidR="003612E0" w:rsidRPr="003C351B" w:rsidRDefault="003612E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bCs/>
          <w:noProof/>
          <w:sz w:val="22"/>
          <w:szCs w:val="22"/>
          <w:lang w:val="sr-Latn-ME"/>
        </w:rPr>
        <w:t>Podaci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dobijeni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osnovu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veoma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ograničenog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broja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slučajeva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izlaganja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lijeku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za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vrijeme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trudnoće,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ni</w:t>
      </w:r>
      <w:r w:rsidR="006B4BCE" w:rsidRPr="003C351B">
        <w:rPr>
          <w:bCs/>
          <w:noProof/>
          <w:sz w:val="22"/>
          <w:szCs w:val="22"/>
          <w:lang w:val="sr-Latn-ME"/>
        </w:rPr>
        <w:t>je</w:t>
      </w:r>
      <w:r w:rsidRPr="003C351B">
        <w:rPr>
          <w:bCs/>
          <w:noProof/>
          <w:sz w:val="22"/>
          <w:szCs w:val="22"/>
          <w:lang w:val="sr-Latn-ME"/>
        </w:rPr>
        <w:t>su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ukazali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postojanje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neželjenih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dejstava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febuksostata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u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trudnoći,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kao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ni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neželjenih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dejstava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koja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se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odnose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zdravlje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fetusa/novorođenčeta.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Ispitivanja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životinjama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ni</w:t>
      </w:r>
      <w:r w:rsidR="006B4BCE" w:rsidRPr="003C351B">
        <w:rPr>
          <w:bCs/>
          <w:noProof/>
          <w:sz w:val="22"/>
          <w:szCs w:val="22"/>
          <w:lang w:val="sr-Latn-ME"/>
        </w:rPr>
        <w:t>je</w:t>
      </w:r>
      <w:r w:rsidRPr="003C351B">
        <w:rPr>
          <w:bCs/>
          <w:noProof/>
          <w:sz w:val="22"/>
          <w:szCs w:val="22"/>
          <w:lang w:val="sr-Latn-ME"/>
        </w:rPr>
        <w:t>su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ukazala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direktne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ili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indirektne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štetne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efekte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koji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se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odnose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na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trudnoću,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embrionalni/fetalni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razvoj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ili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porođaj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dio </w:t>
      </w:r>
      <w:r w:rsidRPr="003C351B">
        <w:rPr>
          <w:noProof/>
          <w:sz w:val="22"/>
          <w:szCs w:val="22"/>
          <w:lang w:val="sr-Latn-ME"/>
        </w:rPr>
        <w:t>5.3).</w:t>
      </w:r>
      <w:r w:rsidR="00D014E2" w:rsidRPr="003C351B">
        <w:rPr>
          <w:b/>
          <w:i/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Potencijalni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rizik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ljude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nepoznat.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treba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primjenjivati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trudnoće.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3612E0" w:rsidRPr="003C351B" w:rsidRDefault="003612E0" w:rsidP="00CD15F7">
      <w:pPr>
        <w:jc w:val="both"/>
        <w:rPr>
          <w:noProof/>
          <w:sz w:val="22"/>
          <w:szCs w:val="22"/>
          <w:lang w:val="sr-Latn-ME"/>
        </w:rPr>
      </w:pPr>
    </w:p>
    <w:p w:rsidR="003612E0" w:rsidRPr="003C351B" w:rsidRDefault="003612E0" w:rsidP="00CD15F7">
      <w:pPr>
        <w:jc w:val="both"/>
        <w:rPr>
          <w:noProof/>
          <w:color w:val="000000"/>
          <w:sz w:val="22"/>
          <w:szCs w:val="22"/>
          <w:u w:val="single"/>
          <w:lang w:val="sr-Latn-ME"/>
        </w:rPr>
      </w:pPr>
      <w:r w:rsidRPr="003C351B">
        <w:rPr>
          <w:noProof/>
          <w:color w:val="000000"/>
          <w:sz w:val="22"/>
          <w:szCs w:val="22"/>
          <w:u w:val="single"/>
          <w:lang w:val="sr-Latn-ME"/>
        </w:rPr>
        <w:t>Dojenje</w:t>
      </w:r>
    </w:p>
    <w:p w:rsidR="003612E0" w:rsidRPr="003C351B" w:rsidRDefault="003612E0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color w:val="000000"/>
          <w:sz w:val="22"/>
          <w:szCs w:val="22"/>
          <w:lang w:val="sr-Latn-ME"/>
        </w:rPr>
        <w:t>Nije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poznato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da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li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se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febuksostat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izlučuje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u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humano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="004975C9" w:rsidRPr="003C351B">
        <w:rPr>
          <w:noProof/>
          <w:color w:val="000000"/>
          <w:sz w:val="22"/>
          <w:szCs w:val="22"/>
          <w:lang w:val="sr-Latn-ME"/>
        </w:rPr>
        <w:t>ml</w:t>
      </w:r>
      <w:r w:rsidRPr="003C351B">
        <w:rPr>
          <w:noProof/>
          <w:color w:val="000000"/>
          <w:sz w:val="22"/>
          <w:szCs w:val="22"/>
          <w:lang w:val="sr-Latn-ME"/>
        </w:rPr>
        <w:t>ijeko.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Studije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na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životinjama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pokazale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su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izlučivanje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aktivne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supstance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u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Pr="003C351B">
        <w:rPr>
          <w:noProof/>
          <w:color w:val="000000"/>
          <w:sz w:val="22"/>
          <w:szCs w:val="22"/>
          <w:lang w:val="sr-Latn-ME"/>
        </w:rPr>
        <w:t>ijeko,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kao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i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poremećen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razvoj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="004975C9" w:rsidRPr="003C351B">
        <w:rPr>
          <w:noProof/>
          <w:color w:val="000000"/>
          <w:sz w:val="22"/>
          <w:szCs w:val="22"/>
          <w:lang w:val="sr-Latn-ME"/>
        </w:rPr>
        <w:t>ml</w:t>
      </w:r>
      <w:r w:rsidRPr="003C351B">
        <w:rPr>
          <w:noProof/>
          <w:color w:val="000000"/>
          <w:sz w:val="22"/>
          <w:szCs w:val="22"/>
          <w:lang w:val="sr-Latn-ME"/>
        </w:rPr>
        <w:t>adunaca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u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periodu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dojenja.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Ne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može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se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isključiti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rizik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za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odojčad.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/>
        </w:rPr>
        <w:t>Febuksostat</w:t>
      </w:r>
      <w:r w:rsidR="00D014E2" w:rsidRPr="003C351B">
        <w:rPr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treba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primjenjivati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dojenja.</w:t>
      </w:r>
    </w:p>
    <w:p w:rsidR="003612E0" w:rsidRPr="003C351B" w:rsidRDefault="003612E0" w:rsidP="00CD15F7">
      <w:pPr>
        <w:tabs>
          <w:tab w:val="left" w:pos="284"/>
          <w:tab w:val="center" w:pos="4320"/>
          <w:tab w:val="right" w:pos="8640"/>
        </w:tabs>
        <w:jc w:val="both"/>
        <w:rPr>
          <w:i/>
          <w:noProof/>
          <w:sz w:val="22"/>
          <w:szCs w:val="22"/>
          <w:lang w:val="sr-Latn-ME"/>
        </w:rPr>
      </w:pPr>
    </w:p>
    <w:p w:rsidR="0072020E" w:rsidRPr="003C351B" w:rsidRDefault="0072020E" w:rsidP="00CD15F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4.7.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Uticaj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na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2031B3" w:rsidRPr="003C351B">
        <w:rPr>
          <w:b/>
          <w:bCs/>
          <w:noProof/>
          <w:sz w:val="22"/>
          <w:szCs w:val="22"/>
          <w:lang w:val="sr-Latn-ME"/>
        </w:rPr>
        <w:t>sposobnost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F34554" w:rsidRPr="003C351B">
        <w:rPr>
          <w:b/>
          <w:bCs/>
          <w:noProof/>
          <w:sz w:val="22"/>
          <w:szCs w:val="22"/>
          <w:lang w:val="sr-Latn-ME"/>
        </w:rPr>
        <w:t>upravljanja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F34554" w:rsidRPr="003C351B">
        <w:rPr>
          <w:b/>
          <w:bCs/>
          <w:noProof/>
          <w:sz w:val="22"/>
          <w:szCs w:val="22"/>
          <w:lang w:val="sr-Latn-ME"/>
        </w:rPr>
        <w:t>vozili</w:t>
      </w:r>
      <w:r w:rsidRPr="003C351B">
        <w:rPr>
          <w:b/>
          <w:bCs/>
          <w:noProof/>
          <w:sz w:val="22"/>
          <w:szCs w:val="22"/>
          <w:lang w:val="sr-Latn-ME"/>
        </w:rPr>
        <w:t>m</w:t>
      </w:r>
      <w:r w:rsidR="00F34554" w:rsidRPr="003C351B">
        <w:rPr>
          <w:b/>
          <w:bCs/>
          <w:noProof/>
          <w:sz w:val="22"/>
          <w:szCs w:val="22"/>
          <w:lang w:val="sr-Latn-ME"/>
        </w:rPr>
        <w:t>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0D3449" w:rsidRPr="003C351B">
        <w:rPr>
          <w:b/>
          <w:bCs/>
          <w:noProof/>
          <w:sz w:val="22"/>
          <w:szCs w:val="22"/>
          <w:lang w:val="sr-Latn-ME"/>
        </w:rPr>
        <w:t>rukovanje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mašinama</w:t>
      </w: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upotrebe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prijavljeni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pospanost,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vrtoglavica,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parestezija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zamagljenje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vida.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upravljanja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vozilom,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rukovanja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mašinama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bavljenjem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opasnim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poslovima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provjere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djeluje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lijek </w:t>
      </w:r>
      <w:r w:rsidRPr="003C351B">
        <w:rPr>
          <w:noProof/>
          <w:sz w:val="22"/>
          <w:szCs w:val="22"/>
          <w:lang w:val="sr-Latn-ME"/>
        </w:rPr>
        <w:t>Adenuric,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sigurni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neće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ometati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izvođenju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aktivnosti.</w:t>
      </w:r>
    </w:p>
    <w:p w:rsidR="00D57B80" w:rsidRPr="003C351B" w:rsidRDefault="00D57B80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4.8.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Neželjena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dejstva</w:t>
      </w:r>
    </w:p>
    <w:p w:rsidR="004E70AD" w:rsidRPr="003C351B" w:rsidRDefault="004E70AD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spacing w:after="120"/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Sažetak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bezbjednosno</w:t>
      </w:r>
      <w:r w:rsidR="006B4BCE" w:rsidRPr="003C351B">
        <w:rPr>
          <w:i/>
          <w:noProof/>
          <w:sz w:val="22"/>
          <w:szCs w:val="22"/>
          <w:lang w:val="sr-Latn-ME"/>
        </w:rPr>
        <w:t>g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profil</w:t>
      </w:r>
      <w:r w:rsidR="006B4BCE" w:rsidRPr="003C351B">
        <w:rPr>
          <w:i/>
          <w:noProof/>
          <w:sz w:val="22"/>
          <w:szCs w:val="22"/>
          <w:lang w:val="sr-Latn-ME"/>
        </w:rPr>
        <w:t>a</w:t>
      </w:r>
    </w:p>
    <w:p w:rsidR="00D57B80" w:rsidRPr="003C351B" w:rsidRDefault="00D57B80" w:rsidP="00CD15F7">
      <w:pPr>
        <w:spacing w:after="120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Najčešće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prijavljena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neželjena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dejstva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(4072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barem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E20A4B" w:rsidRPr="003C351B">
        <w:rPr>
          <w:noProof/>
          <w:sz w:val="22"/>
          <w:szCs w:val="22"/>
          <w:lang w:val="sr-Latn-RS"/>
        </w:rPr>
        <w:t>,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dok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su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u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post-marketinškoj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studiji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bezbjednosti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(FAST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studija: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3001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ispitanik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tretiran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febuksostatom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u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dozi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od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80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mg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do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120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E20A4B" w:rsidRPr="003C351B">
        <w:rPr>
          <w:noProof/>
          <w:sz w:val="22"/>
          <w:szCs w:val="22"/>
          <w:lang w:val="sr-Latn-RS"/>
        </w:rPr>
        <w:t>mg)</w:t>
      </w:r>
      <w:r w:rsidR="00D014E2" w:rsidRPr="003C351B">
        <w:rPr>
          <w:noProof/>
          <w:sz w:val="22"/>
          <w:szCs w:val="22"/>
          <w:lang w:val="sr-Latn-RS"/>
        </w:rPr>
        <w:t xml:space="preserve"> 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postmarketinškog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praćenja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poremećaji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diareja,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mučnina,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glavobolja,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ošamućenost,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dispneja,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osip,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svrab,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artralgija,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mijalgija,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bol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ekstremitetima,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edem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E20A4B" w:rsidRPr="003C351B">
        <w:rPr>
          <w:noProof/>
          <w:sz w:val="22"/>
          <w:szCs w:val="22"/>
          <w:lang w:val="sr-Latn-ME"/>
        </w:rPr>
        <w:t>zamor</w:t>
      </w:r>
      <w:r w:rsidR="00D014E2" w:rsidRPr="003C351B">
        <w:rPr>
          <w:noProof/>
          <w:sz w:val="22"/>
          <w:szCs w:val="22"/>
          <w:lang w:val="sr-Latn-ME"/>
        </w:rPr>
        <w:t xml:space="preserve">  </w:t>
      </w:r>
      <w:r w:rsidRPr="003C351B">
        <w:rPr>
          <w:noProof/>
          <w:sz w:val="22"/>
          <w:szCs w:val="22"/>
          <w:lang w:val="sr-Latn-ME"/>
        </w:rPr>
        <w:t>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Neželjene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uglavnom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blagog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umjerenog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intenziteta.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stavljanja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promet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rijetko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</w:t>
      </w:r>
      <w:r w:rsidR="00E20A4B" w:rsidRPr="003C351B">
        <w:rPr>
          <w:noProof/>
          <w:sz w:val="22"/>
          <w:szCs w:val="22"/>
          <w:lang w:val="sr-Latn-ME"/>
        </w:rPr>
        <w:t>ljiva</w:t>
      </w:r>
      <w:r w:rsidRPr="003C351B">
        <w:rPr>
          <w:noProof/>
          <w:sz w:val="22"/>
          <w:szCs w:val="22"/>
          <w:lang w:val="sr-Latn-ME"/>
        </w:rPr>
        <w:t>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ozbiljne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preosjetljivosti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imale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sistemske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simptome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rijetko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događaji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iznenadne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srčane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smrti.</w:t>
      </w: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Tabelarni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prikaz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neželjenih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reakcija</w:t>
      </w:r>
    </w:p>
    <w:p w:rsidR="00D57B80" w:rsidRPr="003C351B" w:rsidRDefault="00D57B80" w:rsidP="00CD15F7">
      <w:pPr>
        <w:spacing w:after="120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Česte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(≥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1/100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1/10),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povremene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(≥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1/1,000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1/100)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rijetke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</w:t>
      </w:r>
      <w:r w:rsidRPr="003C351B">
        <w:rPr>
          <w:noProof/>
          <w:sz w:val="22"/>
          <w:szCs w:val="22"/>
          <w:lang w:val="sr-Latn-ME"/>
        </w:rPr>
        <w:sym w:font="Symbol" w:char="F0B3"/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1/10,000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1/1000)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neželjene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javljaju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navedene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tabeli.</w:t>
      </w:r>
    </w:p>
    <w:p w:rsidR="00D57B80" w:rsidRPr="003C351B" w:rsidRDefault="00D57B80" w:rsidP="00CD15F7">
      <w:pPr>
        <w:spacing w:after="120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lastRenderedPageBreak/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svakoj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definisanoj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učestalosti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javljanja,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neželjene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prikazane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opadajućem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redosledu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ozbiljnost.</w:t>
      </w: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Tabela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1: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Neželjene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reakcije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prijavljene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u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dugotrajnim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studijama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izlaganja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kombinovane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faze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III</w:t>
      </w:r>
      <w:r w:rsidR="00E20A4B" w:rsidRPr="003C351B">
        <w:rPr>
          <w:i/>
          <w:noProof/>
          <w:sz w:val="22"/>
          <w:szCs w:val="22"/>
          <w:lang w:val="sr-Latn-ME"/>
        </w:rPr>
        <w:t>,</w:t>
      </w:r>
      <w:r w:rsidR="00D014E2" w:rsidRPr="003C351B">
        <w:rPr>
          <w:sz w:val="22"/>
          <w:szCs w:val="22"/>
          <w:lang w:val="sr-Latn-ME"/>
        </w:rPr>
        <w:t xml:space="preserve"> </w:t>
      </w:r>
      <w:r w:rsidR="00E20A4B" w:rsidRPr="003C351B">
        <w:rPr>
          <w:i/>
          <w:noProof/>
          <w:sz w:val="22"/>
          <w:szCs w:val="22"/>
          <w:lang w:val="sr-Latn-ME"/>
        </w:rPr>
        <w:t>post-marketinškim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="00E20A4B" w:rsidRPr="003C351B">
        <w:rPr>
          <w:i/>
          <w:noProof/>
          <w:sz w:val="22"/>
          <w:szCs w:val="22"/>
          <w:lang w:val="sr-Latn-ME"/>
        </w:rPr>
        <w:t>studijama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="00E20A4B" w:rsidRPr="003C351B">
        <w:rPr>
          <w:i/>
          <w:noProof/>
          <w:sz w:val="22"/>
          <w:szCs w:val="22"/>
          <w:lang w:val="sr-Latn-ME"/>
        </w:rPr>
        <w:t>bezbjednosti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nakon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stavljanja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lijeka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u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promet</w:t>
      </w:r>
    </w:p>
    <w:p w:rsidR="00D57B80" w:rsidRPr="003C351B" w:rsidRDefault="00D57B80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628"/>
      </w:tblGrid>
      <w:tr w:rsidR="00D57B80" w:rsidRPr="003C351B" w:rsidTr="00E20A4B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limfnog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Pancitopenija,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trombocitopenija,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agranulocitoza*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anemija</w:t>
            </w:r>
            <w:r w:rsidR="00E20A4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rPr>
          <w:trHeight w:val="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imunog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Anafilaktička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reakcija*,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preosjetljivost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lijek*</w:t>
            </w:r>
          </w:p>
        </w:tc>
      </w:tr>
      <w:tr w:rsidR="00D57B80" w:rsidRPr="003C351B" w:rsidTr="00E20A4B">
        <w:trPr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endokrinog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Povećane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vrijednosti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TSH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hipotireoidizam</w:t>
            </w:r>
            <w:r w:rsidR="00E20A4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rPr>
          <w:trHeight w:val="7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oka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E20A4B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Zamagljen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vid</w:t>
            </w:r>
          </w:p>
          <w:p w:rsidR="00E20A4B" w:rsidRPr="003C351B" w:rsidRDefault="00E20A4B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E20A4B" w:rsidRPr="003C351B" w:rsidRDefault="00E20A4B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Okluzija</w:t>
            </w:r>
            <w:r w:rsidR="00D014E2" w:rsidRPr="003C351B">
              <w:rPr>
                <w:noProof/>
                <w:sz w:val="22"/>
                <w:szCs w:val="22"/>
                <w:u w:val="single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retinalne</w:t>
            </w:r>
            <w:r w:rsidR="00D014E2" w:rsidRPr="003C351B">
              <w:rPr>
                <w:noProof/>
                <w:sz w:val="22"/>
                <w:szCs w:val="22"/>
                <w:u w:val="single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arterije</w:t>
            </w:r>
            <w:r w:rsidRPr="003C351B">
              <w:rPr>
                <w:noProof/>
                <w:sz w:val="22"/>
                <w:szCs w:val="22"/>
                <w:u w:val="single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metabolizma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ishrane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Često</w:t>
            </w:r>
            <w:r w:rsidRPr="003C351B">
              <w:rPr>
                <w:noProof/>
                <w:sz w:val="22"/>
                <w:szCs w:val="22"/>
                <w:lang w:val="sr-Latn-ME"/>
              </w:rPr>
              <w:t>***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Pogoršanja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gihta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Diabe</w:t>
            </w:r>
            <w:r w:rsidR="006B4BCE" w:rsidRPr="003C351B">
              <w:rPr>
                <w:noProof/>
                <w:sz w:val="22"/>
                <w:szCs w:val="22"/>
                <w:lang w:val="sr-Latn-ME"/>
              </w:rPr>
              <w:t>te</w:t>
            </w:r>
            <w:r w:rsidRPr="003C351B">
              <w:rPr>
                <w:noProof/>
                <w:sz w:val="22"/>
                <w:szCs w:val="22"/>
                <w:lang w:val="sr-Latn-ME"/>
              </w:rPr>
              <w:t>s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mellitus,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hiperlipidemija,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smanjenje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apetita,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tjelesne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mase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Smanjenje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težine,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apetita,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anoreksija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Psihijatrijski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Smanjenje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libida,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nesanica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Nervoza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gubitak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raspoloženja</w:t>
            </w:r>
            <w:r w:rsidR="00E20A4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sna</w:t>
            </w:r>
            <w:r w:rsidR="00E20A4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nervnog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Često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Glavobolja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E20A4B" w:rsidRPr="003C351B">
              <w:rPr>
                <w:noProof/>
                <w:sz w:val="22"/>
                <w:szCs w:val="22"/>
                <w:lang w:val="sr-Latn-ME"/>
              </w:rPr>
              <w:t>ošamućenost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014E2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FB60FD" w:rsidRPr="003C351B">
              <w:rPr>
                <w:noProof/>
                <w:sz w:val="22"/>
                <w:szCs w:val="22"/>
                <w:lang w:val="sr-Latn-ME"/>
              </w:rPr>
              <w:t>P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arestezija,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hemipareza,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somnolencija,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FB60FD" w:rsidRPr="003C351B">
              <w:rPr>
                <w:noProof/>
                <w:sz w:val="22"/>
                <w:szCs w:val="22"/>
                <w:lang w:val="sr-Latn-ME"/>
              </w:rPr>
              <w:t>letargija</w:t>
            </w:r>
            <w:r w:rsidR="00FB60FD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FB60FD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promjena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čula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ukusa,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oslabljeno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čulo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dodira,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oslabljeno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čulo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mirisa</w:t>
            </w:r>
          </w:p>
          <w:p w:rsidR="00FB60FD" w:rsidRPr="003C351B" w:rsidRDefault="00FB60FD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Rijetko</w:t>
            </w:r>
          </w:p>
          <w:p w:rsidR="00FB60FD" w:rsidRPr="003C351B" w:rsidRDefault="00711646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RS"/>
              </w:rPr>
              <w:t>Gubitak</w:t>
            </w:r>
            <w:r w:rsidR="00D014E2" w:rsidRPr="003C351B">
              <w:rPr>
                <w:noProof/>
                <w:sz w:val="22"/>
                <w:szCs w:val="22"/>
                <w:lang w:val="sr-Latn-RS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RS"/>
              </w:rPr>
              <w:t>čula</w:t>
            </w:r>
            <w:r w:rsidR="00D014E2" w:rsidRPr="003C351B">
              <w:rPr>
                <w:noProof/>
                <w:sz w:val="22"/>
                <w:szCs w:val="22"/>
                <w:lang w:val="sr-Latn-RS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RS"/>
              </w:rPr>
              <w:t>ukusa</w:t>
            </w:r>
            <w:r w:rsidRPr="003C351B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Pr="003C351B">
              <w:rPr>
                <w:noProof/>
                <w:sz w:val="22"/>
                <w:szCs w:val="22"/>
                <w:lang w:val="sr-Latn-RS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RS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RS"/>
              </w:rPr>
              <w:t>osjećaj</w:t>
            </w:r>
            <w:r w:rsidR="00D014E2" w:rsidRPr="003C351B">
              <w:rPr>
                <w:noProof/>
                <w:sz w:val="22"/>
                <w:szCs w:val="22"/>
                <w:lang w:val="sr-Latn-RS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RS"/>
              </w:rPr>
              <w:t>p</w:t>
            </w:r>
            <w:r w:rsidR="006B4BCE" w:rsidRPr="003C351B">
              <w:rPr>
                <w:noProof/>
                <w:sz w:val="22"/>
                <w:szCs w:val="22"/>
                <w:lang w:val="sr-Latn-RS"/>
              </w:rPr>
              <w:t>ečenj</w:t>
            </w:r>
            <w:r w:rsidRPr="003C351B">
              <w:rPr>
                <w:noProof/>
                <w:sz w:val="22"/>
                <w:szCs w:val="22"/>
                <w:lang w:val="sr-Latn-RS"/>
              </w:rPr>
              <w:t>a</w:t>
            </w:r>
            <w:r w:rsidRPr="003C351B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uva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lavirinta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5C0B06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Tinitus</w:t>
            </w:r>
          </w:p>
          <w:p w:rsidR="005C0B06" w:rsidRPr="003C351B" w:rsidRDefault="005C0B06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5C0B06" w:rsidRPr="003C351B" w:rsidRDefault="005C0B06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Vrtoglavica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rada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srca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Atrijalna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fibrilacija,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palpitacije,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abnormalan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EKG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aritmija</w:t>
            </w:r>
            <w:r w:rsidR="00586A29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Iznenadna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srčana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smrt*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Vaskularni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Hipertenzija,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crvenilo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lica,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napad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vrućine</w:t>
            </w:r>
          </w:p>
          <w:p w:rsidR="00586A29" w:rsidRPr="003C351B" w:rsidRDefault="00586A29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586A29" w:rsidRPr="003C351B" w:rsidRDefault="00586A29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Cirkulatorni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kolaps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respiratornog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29" w:rsidRPr="003C351B" w:rsidRDefault="00586A29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Često</w:t>
            </w:r>
          </w:p>
          <w:p w:rsidR="00586A29" w:rsidRPr="003C351B" w:rsidRDefault="00586A29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Dispnea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014E2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B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ronhitis,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infekcije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gornjeg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respiratornog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trakta,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infekcije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donjeg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respiratornog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trakta</w:t>
            </w:r>
            <w:r w:rsidR="00586A29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kašalj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curenje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iz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nosa</w:t>
            </w:r>
            <w:r w:rsidR="00586A29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586A29" w:rsidRPr="003C351B" w:rsidRDefault="00586A29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586A29" w:rsidRPr="003C351B" w:rsidRDefault="00586A29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Pneumonija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lastRenderedPageBreak/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gastrointestinalnog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Često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Diareja**,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mučnina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Bol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abdomenu,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bol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gornjem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dijelu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abdomena</w:t>
            </w:r>
            <w:r w:rsidR="00586A29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os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j</w:t>
            </w:r>
            <w:r w:rsidRPr="003C351B">
              <w:rPr>
                <w:noProof/>
                <w:sz w:val="22"/>
                <w:szCs w:val="22"/>
                <w:lang w:val="sr-Latn-ME"/>
              </w:rPr>
              <w:t>ećaj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pritiska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stomaku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(nadutost),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gastroezofagealna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refluksna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bolest,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povraćanje,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suva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usta,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dispepsija,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konstipacija,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česte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stolice,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flatulencija,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gastrointestinalne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smetnje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ulceracija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usta,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oticanje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usana</w:t>
            </w:r>
            <w:r w:rsidR="00586A29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pankreatitis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014E2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 xml:space="preserve"> 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Gastrointestinalne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perforacije</w:t>
            </w:r>
            <w:r w:rsidR="00586A29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stomatitis</w:t>
            </w:r>
            <w:r w:rsidR="00586A29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hepato-bilijarnog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Često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Abnormalna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funkcija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jetre**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Holelitiaza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Hepatitis,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žutica*,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oštećenje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jetre*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holecistitis</w:t>
            </w:r>
            <w:r w:rsidR="00586A29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kože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potkožnog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Često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Osip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(uključuje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različite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tipove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osipa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prijavljuju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manjom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učestalošću,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pogledati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ispod)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586A29" w:rsidRPr="003C351B">
              <w:rPr>
                <w:noProof/>
                <w:sz w:val="22"/>
                <w:szCs w:val="22"/>
                <w:lang w:val="sr-Latn-ME"/>
              </w:rPr>
              <w:t>pruritus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Dermatitis,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urtikarija,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 </w:t>
            </w:r>
            <w:r w:rsidRPr="003C351B">
              <w:rPr>
                <w:noProof/>
                <w:sz w:val="22"/>
                <w:szCs w:val="22"/>
                <w:lang w:val="sr-Latn-ME"/>
              </w:rPr>
              <w:t>promjena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boje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kože,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lezije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koži,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petehije,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makularn</w:t>
            </w:r>
            <w:r w:rsidR="006B4BCE"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os</w:t>
            </w:r>
            <w:r w:rsidR="006B4BCE"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Pr="003C351B">
              <w:rPr>
                <w:noProof/>
                <w:sz w:val="22"/>
                <w:szCs w:val="22"/>
                <w:lang w:val="sr-Latn-ME"/>
              </w:rPr>
              <w:t>p,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makulopapularn</w:t>
            </w:r>
            <w:r w:rsidR="006B4BCE"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os</w:t>
            </w:r>
            <w:r w:rsidR="006B4BCE"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Pr="003C351B">
              <w:rPr>
                <w:noProof/>
                <w:sz w:val="22"/>
                <w:szCs w:val="22"/>
                <w:lang w:val="sr-Latn-ME"/>
              </w:rPr>
              <w:t>p,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papularni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osip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hiperhidroza,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alopecija,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ekcem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eritem,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noćno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znojenje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psorijaza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osip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koji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svrbi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Toksična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epidermalna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nekroliza*,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Stivens-Džonsonov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sindrom*,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angioedem*,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reakcija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</w:t>
            </w:r>
            <w:r w:rsidR="006B4BCE" w:rsidRPr="003C351B">
              <w:rPr>
                <w:noProof/>
                <w:sz w:val="22"/>
                <w:szCs w:val="22"/>
                <w:lang w:val="sr-Latn-ME"/>
              </w:rPr>
              <w:t>ij</w:t>
            </w:r>
            <w:r w:rsidRPr="003C351B">
              <w:rPr>
                <w:noProof/>
                <w:sz w:val="22"/>
                <w:szCs w:val="22"/>
                <w:lang w:val="sr-Latn-ME"/>
              </w:rPr>
              <w:t>ek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eozinofilijom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sistemskim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simptomoma*,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generalizovani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osip</w:t>
            </w:r>
          </w:p>
          <w:p w:rsidR="00D57B80" w:rsidRPr="003C351B" w:rsidRDefault="00D014E2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(ozbiljni)*,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eksfolijativni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osip,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folikularni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osip,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vezikularni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osip,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pustularni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osip,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  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eritematozni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osip,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morbiliformni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osip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 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muskuloskeletnog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vezivnih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AB" w:rsidRPr="003C351B" w:rsidRDefault="002862AB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Često</w:t>
            </w:r>
          </w:p>
          <w:p w:rsidR="002862AB" w:rsidRPr="003C351B" w:rsidRDefault="002862AB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Artralgija,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mialgija,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bol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ekstremitetima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014E2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A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rtritis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muskuloskeletni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bol,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slabost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mišićima,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grčevi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mišića,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stegnutost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mišića,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burzitis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oticanje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zglobova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bol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leđima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ukočenost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mišićima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kostima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ukočenost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zglobova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Rabdomioliza*,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sindrom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rotatorne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manžetne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reumatična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polimijalgija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     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renalnog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urinarnog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Bubrežna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insuficijencija,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nefrolitijaza,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hematurija,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polakiurija,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proteinurija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nagon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mokrenje,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infekcija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urinarnog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trakta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Tubulointersticijalni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nefritis*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  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reproduktivnog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sistema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funkcije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grudi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Erektilna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disfunkcija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Opšti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poremećaji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mjestu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Često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Otok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zamor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014E2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B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ol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grudima,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smetnje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D57B80" w:rsidRPr="003C351B">
              <w:rPr>
                <w:noProof/>
                <w:sz w:val="22"/>
                <w:szCs w:val="22"/>
                <w:lang w:val="sr-Latn-ME"/>
              </w:rPr>
              <w:t>grudima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bol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m</w:t>
            </w:r>
            <w:r w:rsidR="006B4BCE" w:rsidRPr="003C351B">
              <w:rPr>
                <w:noProof/>
                <w:sz w:val="22"/>
                <w:szCs w:val="22"/>
                <w:lang w:val="sr-Latn-ME"/>
              </w:rPr>
              <w:t>alaksalost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Žeđ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os</w:t>
            </w:r>
            <w:r w:rsidR="00730FCB" w:rsidRPr="003C351B">
              <w:rPr>
                <w:noProof/>
                <w:sz w:val="22"/>
                <w:szCs w:val="22"/>
                <w:lang w:val="sr-Latn-ME"/>
              </w:rPr>
              <w:t>j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ećaj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vrućine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D57B80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Istraživanja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Povišena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vrijednost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amilaze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smanjen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broj: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trombocita,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leukocita,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limfocita,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nivoa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kreatinina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snižen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hemoglobin,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vrijednosti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urea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trigliceridi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holesterol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smanjen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hematokrit,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nivo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laktat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dehidrogenaze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nivo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kalijuma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povišen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2862AB" w:rsidRPr="003C351B">
              <w:rPr>
                <w:noProof/>
                <w:sz w:val="22"/>
                <w:szCs w:val="22"/>
                <w:lang w:val="sr-Latn-ME"/>
              </w:rPr>
              <w:t>INR</w:t>
            </w:r>
            <w:r w:rsidR="002862AB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Rijetko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Povećan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šećer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produženo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aktivirano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parcijalno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tromboplastinsko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lastRenderedPageBreak/>
              <w:t>vrijeme,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manji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broj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crvenih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krvnih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zrnaca,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alkalna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fosfataza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u w:val="single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povećana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kreatinin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fosfokinaza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krvi*</w:t>
            </w:r>
          </w:p>
        </w:tc>
      </w:tr>
      <w:tr w:rsidR="002862AB" w:rsidRPr="003C351B" w:rsidTr="00E20A4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AB" w:rsidRPr="003C351B" w:rsidRDefault="00BA0D6B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lastRenderedPageBreak/>
              <w:t>Povrede,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trovanja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proceduralne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komplikacije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6B" w:rsidRPr="003C351B" w:rsidRDefault="00BA0D6B" w:rsidP="00CD15F7">
            <w:pPr>
              <w:jc w:val="both"/>
              <w:rPr>
                <w:noProof/>
                <w:sz w:val="22"/>
                <w:szCs w:val="22"/>
                <w:u w:val="single"/>
                <w:lang w:val="sr-Latn-ME"/>
              </w:rPr>
            </w:pPr>
            <w:r w:rsidRPr="003C351B">
              <w:rPr>
                <w:noProof/>
                <w:sz w:val="22"/>
                <w:szCs w:val="22"/>
                <w:u w:val="single"/>
                <w:lang w:val="sr-Latn-ME"/>
              </w:rPr>
              <w:t>Povremeno</w:t>
            </w:r>
          </w:p>
          <w:p w:rsidR="002862AB" w:rsidRPr="003C351B" w:rsidRDefault="00BA0D6B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Kontuzija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</w:tbl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*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Neželjene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prijavljene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postmarketinškog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praćenja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**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Slučajevi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neinfektivne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dijareje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abnormalne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početka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kombinovanih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javljaju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učestalije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tretirani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kolhicinom.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***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Vidi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>dio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5.1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radi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incidenci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individualnim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</w:t>
      </w:r>
      <w:r w:rsidR="006B4BCE" w:rsidRPr="003C351B">
        <w:rPr>
          <w:noProof/>
          <w:sz w:val="22"/>
          <w:szCs w:val="22"/>
          <w:lang w:val="sr-Latn-ME"/>
        </w:rPr>
        <w:t>ovanim</w:t>
      </w:r>
      <w:r w:rsidR="0078250F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kontrolisanim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3.</w:t>
      </w:r>
    </w:p>
    <w:p w:rsidR="00BA0D6B" w:rsidRPr="003C351B" w:rsidRDefault="00BA0D6B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vertAlign w:val="superscript"/>
          <w:lang w:val="sr-Latn-ME"/>
        </w:rPr>
        <w:t>#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Neželjene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prijavljene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post-marketinškim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bezbednosti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Opis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odabranih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neželjenih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reakcija</w:t>
      </w:r>
    </w:p>
    <w:p w:rsidR="00D57B80" w:rsidRPr="003C351B" w:rsidRDefault="00D57B80" w:rsidP="00CD15F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Rijetke,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ozbiljne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preosjetljivosti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uključuju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Stiven-Džonsonov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sindrom,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toksičnu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epidermalnu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nekrolizu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anafilaktičku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reakciju/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šok,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prijavljene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postmarketinškom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>periodu</w:t>
      </w:r>
      <w:r w:rsidRPr="003C351B">
        <w:rPr>
          <w:noProof/>
          <w:sz w:val="22"/>
          <w:szCs w:val="22"/>
          <w:lang w:val="sr-Latn-ME"/>
        </w:rPr>
        <w:t>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Stiven-Džonsonov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sindrom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toksična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epidermalna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nekroliza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okarakterisane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progresivni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osip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koži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povezan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pli</w:t>
      </w:r>
      <w:r w:rsidR="006B4BCE" w:rsidRPr="003C351B">
        <w:rPr>
          <w:noProof/>
          <w:sz w:val="22"/>
          <w:szCs w:val="22"/>
          <w:lang w:val="sr-Latn-ME"/>
        </w:rPr>
        <w:t>k</w:t>
      </w:r>
      <w:r w:rsidRPr="003C351B">
        <w:rPr>
          <w:noProof/>
          <w:sz w:val="22"/>
          <w:szCs w:val="22"/>
          <w:lang w:val="sr-Latn-ME"/>
        </w:rPr>
        <w:t>ovima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mukoznim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lezijama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iritacijom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preosjetljivosti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mogu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povezane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sljedećim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simptomima: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koži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okarakterisane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infiltrirani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makulopapularni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eruptivni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osip,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generalizovani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eksfolijativni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osip,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lezije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koži,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edem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lica,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groznica,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anomalije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krvne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npr.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trombocitopenija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eozinofilija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pojedinačno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učešće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organa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(jetra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uključujući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tubulointersticijalni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nefritis)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dio </w:t>
      </w:r>
      <w:r w:rsidRPr="003C351B">
        <w:rPr>
          <w:noProof/>
          <w:sz w:val="22"/>
          <w:szCs w:val="22"/>
          <w:lang w:val="sr-Latn-ME"/>
        </w:rPr>
        <w:t>4.4).</w:t>
      </w:r>
    </w:p>
    <w:p w:rsidR="00D57B80" w:rsidRPr="003C351B" w:rsidRDefault="00D57B80" w:rsidP="00CD15F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Pogoršanje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obično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primjećuje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ubrzo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započinjanja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mjeseci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učestalost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vremenom.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profilaksa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8250F" w:rsidRPr="003C351B">
        <w:rPr>
          <w:noProof/>
          <w:sz w:val="22"/>
          <w:szCs w:val="22"/>
          <w:lang w:val="sr-Latn-ME"/>
        </w:rPr>
        <w:t xml:space="preserve">djelove </w:t>
      </w:r>
      <w:r w:rsidRPr="003C351B">
        <w:rPr>
          <w:noProof/>
          <w:sz w:val="22"/>
          <w:szCs w:val="22"/>
          <w:lang w:val="sr-Latn-ME"/>
        </w:rPr>
        <w:t>4.2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4.4).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1A62C1" w:rsidRPr="003C351B" w:rsidRDefault="001A62C1" w:rsidP="00CD15F7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3C351B">
        <w:rPr>
          <w:rFonts w:eastAsia="Calibri"/>
          <w:sz w:val="22"/>
          <w:szCs w:val="22"/>
          <w:u w:val="single"/>
          <w:lang w:val="sr-Latn-RS"/>
        </w:rPr>
        <w:t>Prijavljivanje</w:t>
      </w:r>
      <w:r w:rsidR="00D014E2" w:rsidRPr="003C351B">
        <w:rPr>
          <w:rFonts w:eastAsia="Calibri"/>
          <w:sz w:val="22"/>
          <w:szCs w:val="22"/>
          <w:u w:val="single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u w:val="single"/>
          <w:lang w:val="sr-Latn-RS"/>
        </w:rPr>
        <w:t>sumnji</w:t>
      </w:r>
      <w:r w:rsidR="00D014E2" w:rsidRPr="003C351B">
        <w:rPr>
          <w:rFonts w:eastAsia="Calibri"/>
          <w:sz w:val="22"/>
          <w:szCs w:val="22"/>
          <w:u w:val="single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u w:val="single"/>
          <w:lang w:val="sr-Latn-RS"/>
        </w:rPr>
        <w:t>na</w:t>
      </w:r>
      <w:r w:rsidR="00D014E2" w:rsidRPr="003C351B">
        <w:rPr>
          <w:rFonts w:eastAsia="Calibri"/>
          <w:sz w:val="22"/>
          <w:szCs w:val="22"/>
          <w:u w:val="single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u w:val="single"/>
          <w:lang w:val="sr-Latn-RS"/>
        </w:rPr>
        <w:t>neželjena</w:t>
      </w:r>
      <w:r w:rsidR="00D014E2" w:rsidRPr="003C351B">
        <w:rPr>
          <w:rFonts w:eastAsia="Calibri"/>
          <w:sz w:val="22"/>
          <w:szCs w:val="22"/>
          <w:u w:val="single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u w:val="single"/>
          <w:lang w:val="sr-Latn-RS"/>
        </w:rPr>
        <w:t>dejstva</w:t>
      </w:r>
    </w:p>
    <w:p w:rsidR="001A62C1" w:rsidRPr="003C351B" w:rsidRDefault="001A62C1" w:rsidP="004975C9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3C351B">
        <w:rPr>
          <w:rFonts w:eastAsia="Calibri"/>
          <w:sz w:val="22"/>
          <w:szCs w:val="22"/>
          <w:lang w:val="sr-Latn-RS"/>
        </w:rPr>
        <w:t>Prijavljivanje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neželjenih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dejstava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nakon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dobijanja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dozvole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je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od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velikog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značaja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jer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C351B">
        <w:rPr>
          <w:rFonts w:eastAsia="Calibri"/>
          <w:sz w:val="22"/>
          <w:szCs w:val="22"/>
          <w:lang w:val="sr-Latn-RS"/>
        </w:rPr>
        <w:t>obezbjeđuje</w:t>
      </w:r>
      <w:proofErr w:type="spellEnd"/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kontinuirano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praćenje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odnosa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korist/rizik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C351B">
        <w:rPr>
          <w:rFonts w:eastAsia="Calibri"/>
          <w:sz w:val="22"/>
          <w:szCs w:val="22"/>
          <w:lang w:val="sr-Latn-RS"/>
        </w:rPr>
        <w:t>primjene</w:t>
      </w:r>
      <w:proofErr w:type="spellEnd"/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C351B">
        <w:rPr>
          <w:rFonts w:eastAsia="Calibri"/>
          <w:sz w:val="22"/>
          <w:szCs w:val="22"/>
          <w:lang w:val="sr-Latn-RS"/>
        </w:rPr>
        <w:t>lijeka</w:t>
      </w:r>
      <w:proofErr w:type="spellEnd"/>
      <w:r w:rsidRPr="003C351B">
        <w:rPr>
          <w:rFonts w:eastAsia="Calibri"/>
          <w:sz w:val="22"/>
          <w:szCs w:val="22"/>
          <w:lang w:val="sr-Latn-RS"/>
        </w:rPr>
        <w:t>.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Zdravstveni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radnici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treba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da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prijave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svaku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sumnju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na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neželjeno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dejstvo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ovog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C351B">
        <w:rPr>
          <w:rFonts w:eastAsia="Calibri"/>
          <w:sz w:val="22"/>
          <w:szCs w:val="22"/>
          <w:lang w:val="sr-Latn-RS"/>
        </w:rPr>
        <w:t>lijeka</w:t>
      </w:r>
      <w:proofErr w:type="spellEnd"/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Institutu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za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C351B">
        <w:rPr>
          <w:rFonts w:eastAsia="Calibri"/>
          <w:sz w:val="22"/>
          <w:szCs w:val="22"/>
          <w:lang w:val="sr-Latn-RS"/>
        </w:rPr>
        <w:t>ljekove</w:t>
      </w:r>
      <w:proofErr w:type="spellEnd"/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i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medicinska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sredstva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(CInMED):</w:t>
      </w:r>
    </w:p>
    <w:p w:rsidR="001A62C1" w:rsidRPr="003C351B" w:rsidRDefault="001A62C1" w:rsidP="004975C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C351B">
        <w:rPr>
          <w:rFonts w:eastAsia="Calibri"/>
          <w:sz w:val="22"/>
          <w:szCs w:val="22"/>
          <w:lang w:val="sr-Latn-RS"/>
        </w:rPr>
        <w:t>Institut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za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C351B">
        <w:rPr>
          <w:rFonts w:eastAsia="Calibri"/>
          <w:sz w:val="22"/>
          <w:szCs w:val="22"/>
          <w:lang w:val="sr-Latn-RS"/>
        </w:rPr>
        <w:t>ljekove</w:t>
      </w:r>
      <w:proofErr w:type="spellEnd"/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i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medicinska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sredstva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</w:p>
    <w:p w:rsidR="001A62C1" w:rsidRPr="003C351B" w:rsidRDefault="001A62C1" w:rsidP="004975C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3C351B">
        <w:rPr>
          <w:rFonts w:eastAsia="Calibri"/>
          <w:sz w:val="22"/>
          <w:szCs w:val="22"/>
          <w:lang w:val="sr-Latn-RS"/>
        </w:rPr>
        <w:t>Odjeljenje</w:t>
      </w:r>
      <w:proofErr w:type="spellEnd"/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za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C351B">
        <w:rPr>
          <w:rFonts w:eastAsia="Calibri"/>
          <w:sz w:val="22"/>
          <w:szCs w:val="22"/>
          <w:lang w:val="sr-Latn-RS"/>
        </w:rPr>
        <w:t>farmakovigilancu</w:t>
      </w:r>
      <w:proofErr w:type="spellEnd"/>
    </w:p>
    <w:p w:rsidR="001A62C1" w:rsidRPr="003C351B" w:rsidRDefault="001A62C1" w:rsidP="004975C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C351B">
        <w:rPr>
          <w:rFonts w:eastAsia="Calibri"/>
          <w:sz w:val="22"/>
          <w:szCs w:val="22"/>
          <w:lang w:val="sr-Latn-RS"/>
        </w:rPr>
        <w:t>Bulevar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Ivana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Crnojevića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64a,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81000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Podgorica</w:t>
      </w:r>
    </w:p>
    <w:p w:rsidR="001A62C1" w:rsidRPr="003C351B" w:rsidRDefault="001A62C1" w:rsidP="00CD15F7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1A62C1" w:rsidRPr="003C351B" w:rsidRDefault="001A62C1" w:rsidP="004975C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C351B">
        <w:rPr>
          <w:rFonts w:eastAsia="Calibri"/>
          <w:sz w:val="22"/>
          <w:szCs w:val="22"/>
          <w:lang w:val="sr-Latn-RS"/>
        </w:rPr>
        <w:t>tel: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+382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(0)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20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310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280</w:t>
      </w:r>
    </w:p>
    <w:p w:rsidR="001A62C1" w:rsidRPr="003C351B" w:rsidRDefault="001A62C1" w:rsidP="004975C9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3C351B">
        <w:rPr>
          <w:rFonts w:eastAsia="Calibri"/>
          <w:sz w:val="22"/>
          <w:szCs w:val="22"/>
          <w:lang w:val="sr-Latn-RS"/>
        </w:rPr>
        <w:t>fax</w:t>
      </w:r>
      <w:proofErr w:type="spellEnd"/>
      <w:r w:rsidRPr="003C351B">
        <w:rPr>
          <w:rFonts w:eastAsia="Calibri"/>
          <w:sz w:val="22"/>
          <w:szCs w:val="22"/>
          <w:lang w:val="sr-Latn-RS"/>
        </w:rPr>
        <w:t>: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+382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(0)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20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310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581</w:t>
      </w:r>
      <w:r w:rsidRPr="003C351B">
        <w:rPr>
          <w:rFonts w:eastAsia="Calibri"/>
          <w:sz w:val="22"/>
          <w:szCs w:val="22"/>
          <w:lang w:val="sr-Latn-RS"/>
        </w:rPr>
        <w:tab/>
      </w:r>
    </w:p>
    <w:p w:rsidR="001A62C1" w:rsidRPr="003C351B" w:rsidRDefault="00E31C88" w:rsidP="004975C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1A62C1" w:rsidRPr="003C351B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1A62C1" w:rsidRPr="003C351B" w:rsidRDefault="00E31C88" w:rsidP="004975C9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1A62C1" w:rsidRPr="003C351B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1A62C1" w:rsidRPr="003C351B" w:rsidRDefault="001A62C1" w:rsidP="004975C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C351B">
        <w:rPr>
          <w:rFonts w:eastAsia="Calibri"/>
          <w:sz w:val="22"/>
          <w:szCs w:val="22"/>
          <w:lang w:val="sr-Latn-RS"/>
        </w:rPr>
        <w:t>putem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IS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zdravstvene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zaštite</w:t>
      </w:r>
    </w:p>
    <w:p w:rsidR="001A62C1" w:rsidRPr="003C351B" w:rsidRDefault="001A62C1" w:rsidP="004975C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C351B">
        <w:rPr>
          <w:rFonts w:eastAsia="Calibri"/>
          <w:sz w:val="22"/>
          <w:szCs w:val="22"/>
          <w:lang w:val="sr-Latn-RS"/>
        </w:rPr>
        <w:t>QR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kod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za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C351B">
        <w:rPr>
          <w:rFonts w:eastAsia="Calibri"/>
          <w:sz w:val="22"/>
          <w:szCs w:val="22"/>
          <w:lang w:val="sr-Latn-RS"/>
        </w:rPr>
        <w:t>online</w:t>
      </w:r>
      <w:proofErr w:type="spellEnd"/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prijavu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sumnje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na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neželjeno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r w:rsidRPr="003C351B">
        <w:rPr>
          <w:rFonts w:eastAsia="Calibri"/>
          <w:sz w:val="22"/>
          <w:szCs w:val="22"/>
          <w:lang w:val="sr-Latn-RS"/>
        </w:rPr>
        <w:t>dejstvo</w:t>
      </w:r>
      <w:r w:rsidR="00D014E2" w:rsidRPr="003C351B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C351B">
        <w:rPr>
          <w:rFonts w:eastAsia="Calibri"/>
          <w:sz w:val="22"/>
          <w:szCs w:val="22"/>
          <w:lang w:val="sr-Latn-RS"/>
        </w:rPr>
        <w:t>lijeka</w:t>
      </w:r>
      <w:proofErr w:type="spellEnd"/>
      <w:r w:rsidRPr="003C351B">
        <w:rPr>
          <w:rFonts w:eastAsia="Calibri"/>
          <w:sz w:val="22"/>
          <w:szCs w:val="22"/>
          <w:lang w:val="sr-Latn-RS"/>
        </w:rPr>
        <w:t>:</w:t>
      </w:r>
    </w:p>
    <w:p w:rsidR="001A62C1" w:rsidRPr="003C351B" w:rsidRDefault="001A62C1" w:rsidP="004975C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1A62C1" w:rsidRPr="003C351B" w:rsidRDefault="001A62C1" w:rsidP="00CD15F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C351B">
        <w:rPr>
          <w:noProof/>
          <w:sz w:val="22"/>
          <w:szCs w:val="22"/>
        </w:rPr>
        <w:drawing>
          <wp:inline distT="0" distB="0" distL="0" distR="0" wp14:anchorId="1722C04C" wp14:editId="2B37CFF8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C1" w:rsidRPr="003C351B" w:rsidRDefault="001A62C1" w:rsidP="00CD15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D6F02" w:rsidRPr="003C351B" w:rsidRDefault="0072020E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4.9.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Predoziranje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CD6F02" w:rsidRPr="003C351B" w:rsidRDefault="00CD6F02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slučaju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predoziranja,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simptomatska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suportivna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terapija.</w:t>
      </w:r>
    </w:p>
    <w:p w:rsidR="00227BDB" w:rsidRPr="003C351B" w:rsidRDefault="00227BDB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2B667A" w:rsidRPr="003C351B" w:rsidRDefault="002B667A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5.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FARMAKOLOŠK</w:t>
      </w:r>
      <w:r w:rsidR="000D425A" w:rsidRPr="003C351B">
        <w:rPr>
          <w:b/>
          <w:bCs/>
          <w:noProof/>
          <w:sz w:val="22"/>
          <w:szCs w:val="22"/>
          <w:lang w:val="sr-Latn-ME"/>
        </w:rPr>
        <w:t>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PODACI</w:t>
      </w: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lastRenderedPageBreak/>
        <w:t>5.1.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Farmakodinamski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podaci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F45F77" w:rsidRPr="003C351B" w:rsidRDefault="00F45F77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bCs/>
          <w:noProof/>
          <w:sz w:val="22"/>
          <w:szCs w:val="22"/>
          <w:lang w:val="sr-Latn-ME"/>
        </w:rPr>
        <w:t>Farmakoterapijska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grupa: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Ljekovi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protiv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Inhibitori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sinteze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</w:p>
    <w:p w:rsidR="00D57B80" w:rsidRPr="003C351B" w:rsidRDefault="00D57B80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3C351B">
        <w:rPr>
          <w:bCs/>
          <w:noProof/>
          <w:sz w:val="22"/>
          <w:szCs w:val="22"/>
          <w:lang w:val="sr-Latn-ME"/>
        </w:rPr>
        <w:t>ATC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kod: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M04AA03</w:t>
      </w:r>
    </w:p>
    <w:p w:rsidR="00D57B80" w:rsidRPr="003C351B" w:rsidRDefault="00D57B80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tabs>
          <w:tab w:val="num" w:pos="1152"/>
        </w:tabs>
        <w:ind w:left="1152" w:hanging="1152"/>
        <w:jc w:val="both"/>
        <w:outlineLvl w:val="5"/>
        <w:rPr>
          <w:bCs/>
          <w:noProof/>
          <w:sz w:val="22"/>
          <w:szCs w:val="22"/>
          <w:u w:val="single"/>
          <w:lang w:val="sr-Latn-ME"/>
        </w:rPr>
      </w:pPr>
      <w:r w:rsidRPr="003C351B">
        <w:rPr>
          <w:bCs/>
          <w:noProof/>
          <w:sz w:val="22"/>
          <w:szCs w:val="22"/>
          <w:u w:val="single"/>
          <w:lang w:val="sr-Latn-ME"/>
        </w:rPr>
        <w:t>Mehanizam</w:t>
      </w:r>
      <w:r w:rsidR="00D014E2" w:rsidRPr="003C351B">
        <w:rPr>
          <w:bCs/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bCs/>
          <w:noProof/>
          <w:sz w:val="22"/>
          <w:szCs w:val="22"/>
          <w:u w:val="single"/>
          <w:lang w:val="sr-Latn-ME"/>
        </w:rPr>
        <w:t>dejstva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Mokraćna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krajnji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produkt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metabolizma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čovjeka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nastaje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sljedećim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kaskadnim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reakcijama: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hipoksantin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sym w:font="Symbol" w:char="F0AE"/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ksantin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sym w:font="Symbol" w:char="F0AE"/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koraka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navedenim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transformacijama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katalizovana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ksantin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oksidazom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(XO).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derivat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2-ariltiazola,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postiže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terapijski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snižavajući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selektivnom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XO.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snažan,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nepurinski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selektivni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inhibitor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XO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(NP-SIXO)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jednog </w:t>
      </w:r>
      <w:r w:rsidRPr="003C351B">
        <w:rPr>
          <w:noProof/>
          <w:sz w:val="22"/>
          <w:szCs w:val="22"/>
          <w:lang w:val="sr-Latn-ME"/>
        </w:rPr>
        <w:t>nanomola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uslovima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in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vitro.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Dokazano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snažno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oksidovani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redukovani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oblik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XO.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terapijskim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koncentracijama,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inhibira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enzime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uključene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metabolizam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pirimidina: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gvanin-deaminazu,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hipoksantin-gvanin-fosforibozil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trannsferazu,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orotat-fosforibozil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transferazu,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orotidin-monofosfat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dekarboksilazu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purin-nukleozid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fosforilazu.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tabs>
          <w:tab w:val="num" w:pos="1152"/>
        </w:tabs>
        <w:ind w:left="1152" w:hanging="1152"/>
        <w:jc w:val="both"/>
        <w:outlineLvl w:val="5"/>
        <w:rPr>
          <w:bCs/>
          <w:noProof/>
          <w:sz w:val="22"/>
          <w:szCs w:val="22"/>
          <w:u w:val="single"/>
          <w:lang w:val="sr-Latn-ME"/>
        </w:rPr>
      </w:pPr>
      <w:r w:rsidRPr="003C351B">
        <w:rPr>
          <w:bCs/>
          <w:noProof/>
          <w:sz w:val="22"/>
          <w:szCs w:val="22"/>
          <w:u w:val="single"/>
          <w:lang w:val="sr-Latn-ME"/>
        </w:rPr>
        <w:t>Klinička</w:t>
      </w:r>
      <w:r w:rsidR="00D014E2" w:rsidRPr="003C351B">
        <w:rPr>
          <w:bCs/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bCs/>
          <w:noProof/>
          <w:sz w:val="22"/>
          <w:szCs w:val="22"/>
          <w:u w:val="single"/>
          <w:lang w:val="sr-Latn-ME"/>
        </w:rPr>
        <w:t>efikasnost</w:t>
      </w:r>
      <w:r w:rsidR="00D014E2" w:rsidRPr="003C351B">
        <w:rPr>
          <w:bCs/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bCs/>
          <w:noProof/>
          <w:sz w:val="22"/>
          <w:szCs w:val="22"/>
          <w:u w:val="single"/>
          <w:lang w:val="sr-Latn-ME"/>
        </w:rPr>
        <w:t>i</w:t>
      </w:r>
      <w:r w:rsidR="00D014E2" w:rsidRPr="003C351B">
        <w:rPr>
          <w:bCs/>
          <w:noProof/>
          <w:sz w:val="22"/>
          <w:szCs w:val="22"/>
          <w:u w:val="single"/>
          <w:lang w:val="sr-Latn-ME"/>
        </w:rPr>
        <w:t xml:space="preserve"> </w:t>
      </w:r>
      <w:r w:rsidRPr="003C351B">
        <w:rPr>
          <w:bCs/>
          <w:noProof/>
          <w:sz w:val="22"/>
          <w:szCs w:val="22"/>
          <w:u w:val="single"/>
          <w:lang w:val="sr-Latn-ME"/>
        </w:rPr>
        <w:t>bezbjednost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Efikasnost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sklopu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pivotalne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3.faze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(dvije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pivotalne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APEX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FACT,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dodatna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CONFIRMS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opisane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daljem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tekstu)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sprovedene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4101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hiperurikemijom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gihtom.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svakoj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bolju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sposobnost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snižavanja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održavanja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parametar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praćenja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efikasnosti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APEX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FACT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procenat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posljednje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mjesečne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6.0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(357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μmol</w:t>
      </w:r>
      <w:r w:rsidR="004975C9" w:rsidRPr="003C351B">
        <w:rPr>
          <w:noProof/>
          <w:sz w:val="22"/>
          <w:szCs w:val="22"/>
          <w:lang w:val="sr-Latn-ME"/>
        </w:rPr>
        <w:t>/l</w:t>
      </w:r>
      <w:r w:rsidRPr="003C351B">
        <w:rPr>
          <w:noProof/>
          <w:sz w:val="22"/>
          <w:szCs w:val="22"/>
          <w:lang w:val="sr-Latn-ME"/>
        </w:rPr>
        <w:t>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dodatnoj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CONFIRMS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čiji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rezultati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dostupni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izdata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dozvola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stavljanje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promet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parametar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praćenja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efikasnosti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procenat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&lt;6.0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prilikom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posljednje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posjete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ljekaru.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transplantiranim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organima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uključen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6B4BCE" w:rsidRPr="003C351B">
        <w:rPr>
          <w:noProof/>
          <w:sz w:val="22"/>
          <w:szCs w:val="22"/>
          <w:lang w:val="sr-Latn-ME"/>
        </w:rPr>
        <w:t xml:space="preserve">dio </w:t>
      </w:r>
      <w:r w:rsidRPr="003C351B">
        <w:rPr>
          <w:noProof/>
          <w:sz w:val="22"/>
          <w:szCs w:val="22"/>
          <w:lang w:val="sr-Latn-ME"/>
        </w:rPr>
        <w:t>4.2).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APEX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studija</w:t>
      </w:r>
      <w:r w:rsidRPr="003C351B">
        <w:rPr>
          <w:noProof/>
          <w:sz w:val="22"/>
          <w:szCs w:val="22"/>
          <w:lang w:val="sr-Latn-ME"/>
        </w:rPr>
        <w:t>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Placebom-kontrolisano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efikasnosti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(APEX)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randomizovano,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dvostruko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slijepo,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multicentrično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trajalo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1072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randomizovana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slijedi: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placebo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(n=134),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(n=267),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(n=269),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(n=134),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[n=258]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čija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prvobitna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kreatinina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sym w:font="Symbol" w:char="F0A3"/>
      </w:r>
      <w:r w:rsidRPr="003C351B">
        <w:rPr>
          <w:noProof/>
          <w:sz w:val="22"/>
          <w:szCs w:val="22"/>
          <w:lang w:val="sr-Latn-ME"/>
        </w:rPr>
        <w:t>1.5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[n=10]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čija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prvobitna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kreatinina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&gt;1.5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sym w:font="Symbol" w:char="F0A3"/>
      </w:r>
      <w:r w:rsidRPr="003C351B">
        <w:rPr>
          <w:noProof/>
          <w:sz w:val="22"/>
          <w:szCs w:val="22"/>
          <w:lang w:val="sr-Latn-ME"/>
        </w:rPr>
        <w:t>2.0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Pr="003C351B">
        <w:rPr>
          <w:noProof/>
          <w:sz w:val="22"/>
          <w:szCs w:val="22"/>
          <w:lang w:val="sr-Latn-ME"/>
        </w:rPr>
        <w:t>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iznosi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dvostruku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najviše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određena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procjenu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bezbjednosti.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APEX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statistički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superiornost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mg/dan,</w:t>
      </w:r>
      <w:r w:rsidR="00D014E2" w:rsidRPr="003C351B">
        <w:rPr>
          <w:noProof/>
          <w:color w:val="FF0000"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color w:val="FF0000"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uobičajene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79258C"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=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258),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=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tretiranih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sniženje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(357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µmol</w:t>
      </w:r>
      <w:r w:rsidR="004975C9" w:rsidRPr="003C351B">
        <w:rPr>
          <w:noProof/>
          <w:sz w:val="22"/>
          <w:szCs w:val="22"/>
          <w:lang w:val="sr-Latn-ME"/>
        </w:rPr>
        <w:t>/l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Tabelu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FACT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studija</w:t>
      </w:r>
      <w:r w:rsidRPr="003C351B">
        <w:rPr>
          <w:noProof/>
          <w:sz w:val="22"/>
          <w:szCs w:val="22"/>
          <w:lang w:val="sr-Latn-ME"/>
        </w:rPr>
        <w:t>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Febuksostat-Alopurinol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kontrolisano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(FACT)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–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randomizovano,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dvostruko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slijepo,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multicentrično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trajalo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760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randomizovano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slijedi: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(n=256),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(n=251),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(n=253).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FACT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statistički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superiornost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uobičajene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sniženje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(357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µmol</w:t>
      </w:r>
      <w:r w:rsidR="004975C9" w:rsidRPr="003C351B">
        <w:rPr>
          <w:noProof/>
          <w:sz w:val="22"/>
          <w:szCs w:val="22"/>
          <w:lang w:val="sr-Latn-ME"/>
        </w:rPr>
        <w:t>/l</w:t>
      </w:r>
      <w:r w:rsidRPr="003C351B">
        <w:rPr>
          <w:noProof/>
          <w:sz w:val="22"/>
          <w:szCs w:val="22"/>
          <w:lang w:val="sr-Latn-ME"/>
        </w:rPr>
        <w:t>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Tabeli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prikazani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rezultati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efikasnosti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parametar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praćenja:</w:t>
      </w:r>
    </w:p>
    <w:p w:rsidR="00D57B80" w:rsidRPr="003C351B" w:rsidRDefault="00D57B80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</w:p>
    <w:p w:rsidR="00F54461" w:rsidRPr="003C351B" w:rsidRDefault="00F54461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b/>
          <w:noProof/>
          <w:sz w:val="22"/>
          <w:szCs w:val="22"/>
          <w:lang w:val="sr-Latn-ME"/>
        </w:rPr>
      </w:pPr>
      <w:r w:rsidRPr="003C351B">
        <w:rPr>
          <w:b/>
          <w:noProof/>
          <w:sz w:val="22"/>
          <w:szCs w:val="22"/>
          <w:lang w:val="sr-Latn-ME"/>
        </w:rPr>
        <w:lastRenderedPageBreak/>
        <w:t>Tabela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2</w:t>
      </w:r>
    </w:p>
    <w:p w:rsidR="00D57B80" w:rsidRPr="003C351B" w:rsidRDefault="00D57B80" w:rsidP="0079258C">
      <w:pPr>
        <w:jc w:val="center"/>
        <w:rPr>
          <w:b/>
          <w:bCs/>
          <w:noProof/>
          <w:sz w:val="22"/>
          <w:szCs w:val="22"/>
          <w:highlight w:val="lightGray"/>
          <w:lang w:val="sr-Latn-ME"/>
        </w:rPr>
      </w:pPr>
      <w:r w:rsidRPr="003C351B">
        <w:rPr>
          <w:b/>
          <w:noProof/>
          <w:sz w:val="22"/>
          <w:szCs w:val="22"/>
          <w:lang w:val="sr-Latn-ME"/>
        </w:rPr>
        <w:t>Udio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ispitanika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kod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kojih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su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3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posljednje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mjesečne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vrijednosti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mokraćne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kiseline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u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serumu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niže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od</w:t>
      </w:r>
      <w:r w:rsidR="0079258C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6.0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mg/</w:t>
      </w:r>
      <w:r w:rsidR="004975C9" w:rsidRPr="003C351B">
        <w:rPr>
          <w:b/>
          <w:noProof/>
          <w:sz w:val="22"/>
          <w:szCs w:val="22"/>
          <w:lang w:val="sr-Latn-ME"/>
        </w:rPr>
        <w:t>dl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(357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b/>
          <w:noProof/>
          <w:sz w:val="22"/>
          <w:szCs w:val="22"/>
          <w:lang w:val="sr-Latn-ME"/>
        </w:rPr>
        <w:t>µmol</w:t>
      </w:r>
      <w:r w:rsidR="004975C9" w:rsidRPr="003C351B">
        <w:rPr>
          <w:b/>
          <w:noProof/>
          <w:sz w:val="22"/>
          <w:szCs w:val="22"/>
          <w:lang w:val="sr-Latn-ME"/>
        </w:rPr>
        <w:t>/l</w:t>
      </w:r>
      <w:r w:rsidRPr="003C351B">
        <w:rPr>
          <w:b/>
          <w:noProof/>
          <w:sz w:val="22"/>
          <w:szCs w:val="22"/>
          <w:lang w:val="sr-Latn-ME"/>
        </w:rPr>
        <w:t>)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255"/>
        <w:gridCol w:w="2067"/>
        <w:gridCol w:w="2540"/>
        <w:gridCol w:w="2051"/>
        <w:gridCol w:w="201"/>
      </w:tblGrid>
      <w:tr w:rsidR="00D57B80" w:rsidRPr="003C351B" w:rsidTr="00E20A4B">
        <w:trPr>
          <w:gridAfter w:val="1"/>
          <w:wAfter w:w="201" w:type="dxa"/>
          <w:jc w:val="center"/>
        </w:trPr>
        <w:tc>
          <w:tcPr>
            <w:tcW w:w="1693" w:type="dxa"/>
            <w:gridSpan w:val="2"/>
          </w:tcPr>
          <w:p w:rsidR="00D57B80" w:rsidRPr="003C351B" w:rsidRDefault="00D57B80" w:rsidP="00CD15F7">
            <w:pPr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</w:p>
          <w:p w:rsidR="00D57B80" w:rsidRPr="003C351B" w:rsidRDefault="00D57B80" w:rsidP="00CD15F7">
            <w:pPr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3C351B">
              <w:rPr>
                <w:bCs/>
                <w:noProof/>
                <w:sz w:val="22"/>
                <w:szCs w:val="22"/>
                <w:lang w:val="sr-Latn-ME"/>
              </w:rPr>
              <w:t>Studija</w:t>
            </w:r>
          </w:p>
        </w:tc>
        <w:tc>
          <w:tcPr>
            <w:tcW w:w="2067" w:type="dxa"/>
            <w:vAlign w:val="bottom"/>
          </w:tcPr>
          <w:p w:rsidR="00D57B80" w:rsidRPr="003C351B" w:rsidRDefault="00D57B80" w:rsidP="00CD15F7">
            <w:pPr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3C351B">
              <w:rPr>
                <w:bCs/>
                <w:noProof/>
                <w:sz w:val="22"/>
                <w:szCs w:val="22"/>
                <w:lang w:val="sr-Latn-ME"/>
              </w:rPr>
              <w:t>Adenuric</w:t>
            </w:r>
            <w:r w:rsidR="00D014E2" w:rsidRPr="003C351B">
              <w:rPr>
                <w:bCs/>
                <w:noProof/>
                <w:sz w:val="22"/>
                <w:szCs w:val="22"/>
                <w:lang w:val="sr-Latn-ME"/>
              </w:rPr>
              <w:t xml:space="preserve"> </w:t>
            </w:r>
          </w:p>
          <w:p w:rsidR="00D57B80" w:rsidRPr="003C351B" w:rsidRDefault="00D57B80" w:rsidP="00CD15F7">
            <w:pPr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3C351B">
              <w:rPr>
                <w:bCs/>
                <w:noProof/>
                <w:sz w:val="22"/>
                <w:szCs w:val="22"/>
                <w:lang w:val="sr-Latn-ME"/>
              </w:rPr>
              <w:t>80</w:t>
            </w:r>
            <w:r w:rsidR="00D014E2" w:rsidRPr="003C351B">
              <w:rPr>
                <w:bCs/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bCs/>
                <w:noProof/>
                <w:sz w:val="22"/>
                <w:szCs w:val="22"/>
                <w:lang w:val="sr-Latn-ME"/>
              </w:rPr>
              <w:t>mg/dan</w:t>
            </w:r>
            <w:r w:rsidR="00D014E2" w:rsidRPr="003C351B">
              <w:rPr>
                <w:bCs/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40" w:type="dxa"/>
            <w:vAlign w:val="bottom"/>
          </w:tcPr>
          <w:p w:rsidR="00D57B80" w:rsidRPr="003C351B" w:rsidRDefault="00D57B80" w:rsidP="00CD15F7">
            <w:pPr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3C351B">
              <w:rPr>
                <w:bCs/>
                <w:noProof/>
                <w:sz w:val="22"/>
                <w:szCs w:val="22"/>
                <w:lang w:val="sr-Latn-ME"/>
              </w:rPr>
              <w:t>Adenuric</w:t>
            </w:r>
            <w:r w:rsidR="00D014E2" w:rsidRPr="003C351B">
              <w:rPr>
                <w:bCs/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bCs/>
                <w:noProof/>
                <w:sz w:val="22"/>
                <w:szCs w:val="22"/>
                <w:lang w:val="sr-Latn-ME"/>
              </w:rPr>
              <w:t>120</w:t>
            </w:r>
            <w:r w:rsidR="00D014E2" w:rsidRPr="003C351B">
              <w:rPr>
                <w:bCs/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bCs/>
                <w:noProof/>
                <w:sz w:val="22"/>
                <w:szCs w:val="22"/>
                <w:lang w:val="sr-Latn-ME"/>
              </w:rPr>
              <w:t>mg/dan</w:t>
            </w:r>
          </w:p>
        </w:tc>
        <w:tc>
          <w:tcPr>
            <w:tcW w:w="2051" w:type="dxa"/>
            <w:vAlign w:val="bottom"/>
          </w:tcPr>
          <w:p w:rsidR="00D57B80" w:rsidRPr="003C351B" w:rsidRDefault="00D57B80" w:rsidP="00CD15F7">
            <w:pPr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3C351B">
              <w:rPr>
                <w:bCs/>
                <w:noProof/>
                <w:sz w:val="22"/>
                <w:szCs w:val="22"/>
                <w:lang w:val="sr-Latn-ME"/>
              </w:rPr>
              <w:t>Alopurinol</w:t>
            </w:r>
          </w:p>
          <w:p w:rsidR="00D57B80" w:rsidRPr="003C351B" w:rsidRDefault="00D57B80" w:rsidP="00CD15F7">
            <w:pPr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3C351B">
              <w:rPr>
                <w:bCs/>
                <w:noProof/>
                <w:sz w:val="22"/>
                <w:szCs w:val="22"/>
                <w:lang w:val="sr-Latn-ME"/>
              </w:rPr>
              <w:t>300</w:t>
            </w:r>
            <w:r w:rsidR="00D014E2" w:rsidRPr="003C351B">
              <w:rPr>
                <w:bCs/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bCs/>
                <w:noProof/>
                <w:sz w:val="22"/>
                <w:szCs w:val="22"/>
                <w:lang w:val="sr-Latn-ME"/>
              </w:rPr>
              <w:t>/</w:t>
            </w:r>
          </w:p>
          <w:p w:rsidR="00D57B80" w:rsidRPr="003C351B" w:rsidRDefault="00D57B80" w:rsidP="00CD15F7">
            <w:pPr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3C351B">
              <w:rPr>
                <w:bCs/>
                <w:noProof/>
                <w:sz w:val="22"/>
                <w:szCs w:val="22"/>
                <w:lang w:val="sr-Latn-ME"/>
              </w:rPr>
              <w:t>100</w:t>
            </w:r>
            <w:r w:rsidR="00D014E2" w:rsidRPr="003C351B">
              <w:rPr>
                <w:bCs/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bCs/>
                <w:noProof/>
                <w:sz w:val="22"/>
                <w:szCs w:val="22"/>
                <w:lang w:val="sr-Latn-ME"/>
              </w:rPr>
              <w:t>mg/dan</w:t>
            </w:r>
            <w:r w:rsidRPr="003C351B">
              <w:rPr>
                <w:bCs/>
                <w:noProof/>
                <w:sz w:val="22"/>
                <w:szCs w:val="22"/>
                <w:vertAlign w:val="superscript"/>
                <w:lang w:val="sr-Latn-ME"/>
              </w:rPr>
              <w:t>1</w:t>
            </w:r>
          </w:p>
        </w:tc>
      </w:tr>
      <w:tr w:rsidR="00D57B80" w:rsidRPr="003C351B" w:rsidTr="00E20A4B">
        <w:trPr>
          <w:gridAfter w:val="1"/>
          <w:wAfter w:w="201" w:type="dxa"/>
          <w:cantSplit/>
          <w:trHeight w:val="135"/>
          <w:jc w:val="center"/>
        </w:trPr>
        <w:tc>
          <w:tcPr>
            <w:tcW w:w="1693" w:type="dxa"/>
            <w:gridSpan w:val="2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APEX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(28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nedjelja)</w:t>
            </w:r>
          </w:p>
        </w:tc>
        <w:tc>
          <w:tcPr>
            <w:tcW w:w="2067" w:type="dxa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48%</w:t>
            </w:r>
            <w:r w:rsidR="00D014E2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*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(n=262)</w:t>
            </w:r>
          </w:p>
        </w:tc>
        <w:tc>
          <w:tcPr>
            <w:tcW w:w="2540" w:type="dxa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65%</w:t>
            </w:r>
            <w:r w:rsidR="00D014E2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*,</w:t>
            </w:r>
            <w:r w:rsidR="00D014E2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(n=269)</w:t>
            </w:r>
          </w:p>
        </w:tc>
        <w:tc>
          <w:tcPr>
            <w:tcW w:w="2051" w:type="dxa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22%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(n=268)</w:t>
            </w:r>
          </w:p>
        </w:tc>
      </w:tr>
      <w:tr w:rsidR="00D57B80" w:rsidRPr="003C351B" w:rsidTr="00E20A4B">
        <w:trPr>
          <w:gridAfter w:val="1"/>
          <w:wAfter w:w="201" w:type="dxa"/>
          <w:cantSplit/>
          <w:trHeight w:val="135"/>
          <w:jc w:val="center"/>
        </w:trPr>
        <w:tc>
          <w:tcPr>
            <w:tcW w:w="1693" w:type="dxa"/>
            <w:gridSpan w:val="2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FACT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(52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nedjelje)</w:t>
            </w:r>
          </w:p>
        </w:tc>
        <w:tc>
          <w:tcPr>
            <w:tcW w:w="2067" w:type="dxa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53%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*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(n=255)</w:t>
            </w:r>
          </w:p>
        </w:tc>
        <w:tc>
          <w:tcPr>
            <w:tcW w:w="2540" w:type="dxa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vertAlign w:val="superscript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62%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*</w:t>
            </w:r>
            <w:r w:rsidR="00D014E2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 xml:space="preserve"> 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(n=250)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051" w:type="dxa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21%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(n=251)</w:t>
            </w:r>
          </w:p>
        </w:tc>
      </w:tr>
      <w:tr w:rsidR="00D57B80" w:rsidRPr="003C351B" w:rsidTr="00E20A4B">
        <w:trPr>
          <w:gridAfter w:val="1"/>
          <w:wAfter w:w="201" w:type="dxa"/>
          <w:cantSplit/>
          <w:trHeight w:val="135"/>
          <w:jc w:val="center"/>
        </w:trPr>
        <w:tc>
          <w:tcPr>
            <w:tcW w:w="1693" w:type="dxa"/>
            <w:gridSpan w:val="2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Kombinovani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rezultati</w:t>
            </w:r>
          </w:p>
        </w:tc>
        <w:tc>
          <w:tcPr>
            <w:tcW w:w="2067" w:type="dxa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51%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*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(n=517)</w:t>
            </w:r>
          </w:p>
        </w:tc>
        <w:tc>
          <w:tcPr>
            <w:tcW w:w="2540" w:type="dxa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63%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*,</w:t>
            </w:r>
            <w:r w:rsidR="00D014E2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(n=519)</w:t>
            </w:r>
          </w:p>
        </w:tc>
        <w:tc>
          <w:tcPr>
            <w:tcW w:w="2051" w:type="dxa"/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22%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(n=519)</w:t>
            </w:r>
          </w:p>
        </w:tc>
      </w:tr>
      <w:tr w:rsidR="00D57B80" w:rsidRPr="003C351B" w:rsidTr="00E20A4B">
        <w:trPr>
          <w:gridBefore w:val="1"/>
          <w:wBefore w:w="438" w:type="dxa"/>
          <w:cantSplit/>
          <w:trHeight w:val="135"/>
          <w:jc w:val="center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1</w:t>
            </w:r>
            <w:r w:rsidR="00D014E2"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rezultati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dobijeni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osnovu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ispitanika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koji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primali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lijek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bilo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dozi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od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100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mg/dan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(n=10: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ispitanici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kod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kojih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je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serumska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vrijednost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kreatinina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&gt;1.5,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odnosno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sym w:font="Symbol" w:char="F0A3"/>
            </w:r>
            <w:r w:rsidRPr="003C351B">
              <w:rPr>
                <w:noProof/>
                <w:sz w:val="22"/>
                <w:szCs w:val="22"/>
                <w:lang w:val="sr-Latn-ME"/>
              </w:rPr>
              <w:t>2.0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mg/</w:t>
            </w:r>
            <w:r w:rsidR="004975C9" w:rsidRPr="003C351B">
              <w:rPr>
                <w:noProof/>
                <w:sz w:val="22"/>
                <w:szCs w:val="22"/>
                <w:lang w:val="sr-Latn-ME"/>
              </w:rPr>
              <w:t>dl</w:t>
            </w:r>
            <w:r w:rsidRPr="003C351B">
              <w:rPr>
                <w:noProof/>
                <w:sz w:val="22"/>
                <w:szCs w:val="22"/>
                <w:lang w:val="sr-Latn-ME"/>
              </w:rPr>
              <w:t>)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ili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300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mg/dan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(n=509)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–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upotrijebljeni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su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za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zbirnu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analizu.</w:t>
            </w:r>
          </w:p>
          <w:p w:rsidR="00D57B80" w:rsidRPr="003C351B" w:rsidRDefault="00D57B80" w:rsidP="00CD15F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3C351B">
              <w:rPr>
                <w:noProof/>
                <w:sz w:val="22"/>
                <w:szCs w:val="22"/>
                <w:lang w:val="sr-Latn-ME"/>
              </w:rPr>
              <w:t>*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&lt;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0.001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odnosu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alopurinol,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vertAlign w:val="superscript"/>
                <w:lang w:val="sr-Latn-ME"/>
              </w:rPr>
              <w:t>#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p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&lt;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0.001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odnosu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na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80</w:t>
            </w:r>
            <w:r w:rsidR="00D014E2" w:rsidRPr="003C351B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3C351B">
              <w:rPr>
                <w:noProof/>
                <w:sz w:val="22"/>
                <w:szCs w:val="22"/>
                <w:lang w:val="sr-Latn-ME"/>
              </w:rPr>
              <w:t>mg</w:t>
            </w:r>
          </w:p>
        </w:tc>
      </w:tr>
    </w:tbl>
    <w:p w:rsidR="00D57B80" w:rsidRPr="003C351B" w:rsidRDefault="00D57B80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Svojstvo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snižava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brzo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dugotrajno.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&lt;6.0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(357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µmol</w:t>
      </w:r>
      <w:r w:rsidR="004975C9" w:rsidRPr="003C351B">
        <w:rPr>
          <w:noProof/>
          <w:sz w:val="22"/>
          <w:szCs w:val="22"/>
          <w:lang w:val="sr-Latn-ME"/>
        </w:rPr>
        <w:t>/l</w:t>
      </w:r>
      <w:r w:rsidRPr="003C351B">
        <w:rPr>
          <w:noProof/>
          <w:sz w:val="22"/>
          <w:szCs w:val="22"/>
          <w:lang w:val="sr-Latn-ME"/>
        </w:rPr>
        <w:t>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prilikom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posjete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održano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liječenja.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Srednje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vremena,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svaku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</w:t>
      </w:r>
      <w:r w:rsidR="0079258C"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pivotaln</w:t>
      </w:r>
      <w:r w:rsidR="0079258C"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</w:t>
      </w:r>
      <w:r w:rsidR="0079258C"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</w:t>
      </w:r>
      <w:r w:rsidR="0079258C"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prikazane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tabs>
          <w:tab w:val="num" w:pos="1152"/>
        </w:tabs>
        <w:spacing w:before="240" w:after="60"/>
        <w:ind w:left="1152" w:hanging="1152"/>
        <w:jc w:val="both"/>
        <w:outlineLvl w:val="5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Sl.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1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–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Srednje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serumske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vrijednosti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mokraćne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kiseline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kombinovane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na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osnovu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rezultata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kliničkih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ispitivanja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3.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faze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CD15F7" w:rsidRPr="003C351B" w:rsidRDefault="00CD15F7" w:rsidP="00CD15F7">
      <w:pPr>
        <w:tabs>
          <w:tab w:val="left" w:pos="540"/>
          <w:tab w:val="left" w:pos="569"/>
        </w:tabs>
        <w:jc w:val="center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</w:rPr>
        <w:drawing>
          <wp:inline distT="0" distB="0" distL="0" distR="0" wp14:anchorId="3EFA592B" wp14:editId="253BA975">
            <wp:extent cx="4097655" cy="3381375"/>
            <wp:effectExtent l="0" t="0" r="0" b="9525"/>
            <wp:docPr id="3" name="オブジェク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D15F7" w:rsidRPr="003C351B" w:rsidRDefault="00CD15F7" w:rsidP="00CD15F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4975C9">
      <w:pPr>
        <w:ind w:left="567" w:hanging="567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N.B.:</w:t>
      </w:r>
      <w:r w:rsidR="00D014E2" w:rsidRPr="003C351B">
        <w:rPr>
          <w:b/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509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kreatinina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&gt;1.5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2.0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268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APEX).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korišćeno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procijenila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dvostruka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najviše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preporučene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4975C9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CONFIRMS: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CONFIRMS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</w:t>
      </w:r>
      <w:r w:rsidR="0079258C" w:rsidRPr="003C351B">
        <w:rPr>
          <w:noProof/>
          <w:sz w:val="22"/>
          <w:szCs w:val="22"/>
          <w:lang w:val="sr-Latn-ME"/>
        </w:rPr>
        <w:t>ovana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kontrolisana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trajanju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čiji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cilj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izvrši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ocjena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efikasnosti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hiperurikemijom.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2269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lastRenderedPageBreak/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randomizirano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sljedeći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način: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vertAlign w:val="superscript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(n=757),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vertAlign w:val="superscript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(n=756),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300/200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(n=756).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Najmanje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imalo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blago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umjereno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oštećenje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bubrega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klirensom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kreatinina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30-89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Pr="003C351B">
        <w:rPr>
          <w:noProof/>
          <w:sz w:val="22"/>
          <w:szCs w:val="22"/>
          <w:lang w:val="sr-Latn-ME"/>
        </w:rPr>
        <w:t>/min).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Profilaksa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obavezna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periodu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nedjelja.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Procenat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6.0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(357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µmol</w:t>
      </w:r>
      <w:r w:rsidR="004975C9" w:rsidRPr="003C351B">
        <w:rPr>
          <w:noProof/>
          <w:sz w:val="22"/>
          <w:szCs w:val="22"/>
          <w:lang w:val="sr-Latn-ME"/>
        </w:rPr>
        <w:t>/l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prilikom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posjete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iznosio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67%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42%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300/200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mg.</w:t>
      </w:r>
    </w:p>
    <w:p w:rsidR="00D57B80" w:rsidRPr="003C351B" w:rsidRDefault="00D57B80" w:rsidP="00CD15F7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 w:eastAsia="ja-JP"/>
        </w:rPr>
      </w:pPr>
      <w:r w:rsidRPr="003C351B">
        <w:rPr>
          <w:i/>
          <w:noProof/>
          <w:sz w:val="22"/>
          <w:szCs w:val="22"/>
          <w:lang w:val="sr-Latn-ME" w:eastAsia="ja-JP"/>
        </w:rPr>
        <w:t>Primarni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parametar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praćenja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u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podgrupi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sa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poremećajem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funkcije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bubrega</w:t>
      </w: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 w:eastAsia="ja-JP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 w:eastAsia="ja-JP"/>
        </w:rPr>
      </w:pPr>
      <w:r w:rsidRPr="003C351B">
        <w:rPr>
          <w:noProof/>
          <w:sz w:val="22"/>
          <w:szCs w:val="22"/>
          <w:lang w:val="sr-Latn-ME" w:eastAsia="ja-JP"/>
        </w:rPr>
        <w:t>Kliničkom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studijom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APEX,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procjenjivana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efikasnost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grupi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od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40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pacijenata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poremećajem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funkcije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bubrega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(tj.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početna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vrijednost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serumskog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kreatinina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&gt;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1.5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</w:t>
      </w:r>
      <w:r w:rsidR="004975C9" w:rsidRPr="003C351B">
        <w:rPr>
          <w:noProof/>
          <w:sz w:val="22"/>
          <w:szCs w:val="22"/>
          <w:lang w:val="sr-Latn-ME" w:eastAsia="ja-JP"/>
        </w:rPr>
        <w:t>dl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≤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2.0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</w:t>
      </w:r>
      <w:r w:rsidR="004975C9" w:rsidRPr="003C351B">
        <w:rPr>
          <w:noProof/>
          <w:sz w:val="22"/>
          <w:szCs w:val="22"/>
          <w:lang w:val="sr-Latn-ME" w:eastAsia="ja-JP"/>
        </w:rPr>
        <w:t>dl</w:t>
      </w:r>
      <w:r w:rsidRPr="003C351B">
        <w:rPr>
          <w:noProof/>
          <w:sz w:val="22"/>
          <w:szCs w:val="22"/>
          <w:lang w:val="sr-Latn-ME" w:eastAsia="ja-JP"/>
        </w:rPr>
        <w:t>).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Grupi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sa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poremećajem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bubrežne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funkcije,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koja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je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randomizovana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da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prima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alopurinol,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određena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je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doza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od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100</w:t>
      </w:r>
      <w:r w:rsidR="00D014E2" w:rsidRPr="003C351B">
        <w:rPr>
          <w:noProof/>
          <w:color w:val="000000"/>
          <w:sz w:val="22"/>
          <w:szCs w:val="22"/>
          <w:lang w:val="sr-Latn-ME" w:eastAsia="ja-JP"/>
        </w:rPr>
        <w:t xml:space="preserve"> </w:t>
      </w:r>
      <w:r w:rsidRPr="003C351B">
        <w:rPr>
          <w:noProof/>
          <w:color w:val="000000"/>
          <w:sz w:val="22"/>
          <w:szCs w:val="22"/>
          <w:lang w:val="sr-Latn-ME" w:eastAsia="ja-JP"/>
        </w:rPr>
        <w:t>mg/dan.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Primjena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lijeka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Adenuric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dovela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do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postizanja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efikasnosti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odnosu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primarni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paramet</w:t>
      </w:r>
      <w:r w:rsidR="0079258C" w:rsidRPr="003C351B">
        <w:rPr>
          <w:noProof/>
          <w:sz w:val="22"/>
          <w:szCs w:val="22"/>
          <w:lang w:val="sr-Latn-ME" w:eastAsia="ja-JP"/>
        </w:rPr>
        <w:t>a</w:t>
      </w:r>
      <w:r w:rsidRPr="003C351B">
        <w:rPr>
          <w:noProof/>
          <w:sz w:val="22"/>
          <w:szCs w:val="22"/>
          <w:lang w:val="sr-Latn-ME" w:eastAsia="ja-JP"/>
        </w:rPr>
        <w:t>r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praćenja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kod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44%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(80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mg/dan),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45%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(120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mg/dan)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60%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(240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mg/dan)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odnosu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0%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grupi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primala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alopurinol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100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mg/d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odnosu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grupe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placebu.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 w:eastAsia="ja-JP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 w:eastAsia="ja-JP"/>
        </w:rPr>
      </w:pPr>
      <w:r w:rsidRPr="003C351B">
        <w:rPr>
          <w:noProof/>
          <w:sz w:val="22"/>
          <w:szCs w:val="22"/>
          <w:lang w:val="sr-Latn-ME" w:eastAsia="ja-JP"/>
        </w:rPr>
        <w:t>Nije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bilo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klinički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značajnih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razlika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procentu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sniženja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serumske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vrijednosti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koncentracije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mokraćne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kiseline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kod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zdravih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ispitanika,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bez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obzira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očuvanost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njihove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bubrežne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funkcije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(58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grupi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očuvanom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bubrežnom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funkcijom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55%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grupi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težim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poremećajem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bubrežne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funkcije).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 w:eastAsia="ja-JP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 w:eastAsia="ja-JP"/>
        </w:rPr>
      </w:pPr>
      <w:r w:rsidRPr="003C351B">
        <w:rPr>
          <w:noProof/>
          <w:sz w:val="22"/>
          <w:szCs w:val="22"/>
          <w:lang w:val="sr-Latn-ME" w:eastAsia="ja-JP"/>
        </w:rPr>
        <w:t>Analiza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pacijenata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gihtom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oštećenjem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bubrega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definisana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CONFIRMS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studiji,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pokazala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da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febuksostat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značajn</w:t>
      </w:r>
      <w:r w:rsidR="0079258C" w:rsidRPr="003C351B">
        <w:rPr>
          <w:noProof/>
          <w:sz w:val="22"/>
          <w:szCs w:val="22"/>
          <w:lang w:val="sr-Latn-ME" w:eastAsia="ja-JP"/>
        </w:rPr>
        <w:t>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efikasniji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snižavanju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vrijednosti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urata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serumu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do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vrijednosti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&lt;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6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</w:t>
      </w:r>
      <w:r w:rsidR="004975C9" w:rsidRPr="003C351B">
        <w:rPr>
          <w:noProof/>
          <w:sz w:val="22"/>
          <w:szCs w:val="22"/>
          <w:lang w:val="sr-Latn-ME" w:eastAsia="ja-JP"/>
        </w:rPr>
        <w:t>dl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poređenju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alopurinolom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300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200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kod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pacijenata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gihtom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blagim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do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umjerenim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renalnim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oštećenjem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(65%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pacijenata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studiji</w:t>
      </w:r>
      <w:r w:rsidR="00401D93" w:rsidRPr="003C351B">
        <w:rPr>
          <w:noProof/>
          <w:sz w:val="22"/>
          <w:szCs w:val="22"/>
          <w:lang w:val="sr-Latn-ME" w:eastAsia="ja-JP"/>
        </w:rPr>
        <w:t>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 w:eastAsia="ja-JP"/>
        </w:rPr>
      </w:pP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 w:eastAsia="ja-JP"/>
        </w:rPr>
        <w:t>Primarni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parametar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praćenja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u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podgrupi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sa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vrijednostima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mokraćne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kiseline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u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 w:eastAsia="ja-JP"/>
        </w:rPr>
        <w:t>serumu</w:t>
      </w:r>
      <w:r w:rsidR="00D014E2" w:rsidRPr="003C351B">
        <w:rPr>
          <w:i/>
          <w:noProof/>
          <w:sz w:val="22"/>
          <w:szCs w:val="22"/>
          <w:lang w:val="sr-Latn-ME" w:eastAsia="ja-JP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≥10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mg/</w:t>
      </w:r>
      <w:r w:rsidR="004975C9" w:rsidRPr="003C351B">
        <w:rPr>
          <w:i/>
          <w:noProof/>
          <w:sz w:val="22"/>
          <w:szCs w:val="22"/>
          <w:lang w:val="sr-Latn-ME"/>
        </w:rPr>
        <w:t>dl</w:t>
      </w: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 w:eastAsia="ja-JP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 w:eastAsia="ja-JP"/>
        </w:rPr>
      </w:pPr>
      <w:r w:rsidRPr="003C351B">
        <w:rPr>
          <w:noProof/>
          <w:sz w:val="22"/>
          <w:szCs w:val="22"/>
          <w:lang w:val="sr-Latn-ME"/>
        </w:rPr>
        <w:t>Približno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(podaci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kombinovani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APEX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FACT),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imali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početnu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≥10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Pr="003C351B">
        <w:rPr>
          <w:noProof/>
          <w:sz w:val="22"/>
          <w:szCs w:val="22"/>
          <w:lang w:val="sr-Latn-ME"/>
        </w:rPr>
        <w:t>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podgrupi,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Adenuric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dovela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do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postizanja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efikasnosti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odnosu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primarni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parametar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praćenja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(vrijednosti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mokraćne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kiseline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&lt;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6.0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</w:t>
      </w:r>
      <w:r w:rsidR="004975C9" w:rsidRPr="003C351B">
        <w:rPr>
          <w:noProof/>
          <w:sz w:val="22"/>
          <w:szCs w:val="22"/>
          <w:lang w:val="sr-Latn-ME" w:eastAsia="ja-JP"/>
        </w:rPr>
        <w:t>dl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toku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3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posljednje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posete)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kod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41%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(80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mg/dan),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48%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(120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mg/dan)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66%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(240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mg/dan)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odnosu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9%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grupi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primala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alopurinol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300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mg/dan,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odnosno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100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mg/dan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0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%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grupama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placebu.</w:t>
      </w:r>
    </w:p>
    <w:p w:rsidR="00D57B80" w:rsidRPr="003C351B" w:rsidRDefault="00D57B80" w:rsidP="00CD15F7">
      <w:pPr>
        <w:jc w:val="both"/>
        <w:rPr>
          <w:b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sklopu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CONFIRMS,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procenat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ostvaren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parametar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efikasnosti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(sUA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&lt;6.0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prilikom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posjete)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polaznom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vrijednošću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≥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tretirane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27%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(66/249),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49%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(125/254),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mg/200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31%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(72/230).</w:t>
      </w:r>
    </w:p>
    <w:p w:rsidR="00D57B80" w:rsidRPr="003C351B" w:rsidRDefault="00D57B80" w:rsidP="00CD15F7">
      <w:pPr>
        <w:jc w:val="both"/>
        <w:rPr>
          <w:b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Klinički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parametri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praćenja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–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ishodi: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udio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ispitanika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kojima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potrebna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terapija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zbog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pogoršanja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gihta</w:t>
      </w: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APEX: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8-nedjeljnog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perioda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profilakse,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broju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subjekata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terapijskoj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(36%)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(28%),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(23%)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placebom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(20%).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intenzivirana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perioda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profilakse,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vremenom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smanjivala.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Između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46%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simptoma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između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28.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(nedjelje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24-28)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14%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20%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(placebo).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FACT: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8-nedjeljnog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perioda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profilakse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broju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subjekata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terapijskoj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(36%)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(22%)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(21%).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8-nedjeljnog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perioda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profilakse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incidenca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vremenom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lastRenderedPageBreak/>
        <w:t>smanjivala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(64%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70%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između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52.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nedjelje).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(nedjelje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49-52)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6-8%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11%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noProof/>
          <w:sz w:val="22"/>
          <w:szCs w:val="22"/>
          <w:lang w:val="sr-Latn-ME" w:eastAsia="ja-JP"/>
        </w:rPr>
      </w:pPr>
      <w:r w:rsidRPr="003C351B">
        <w:rPr>
          <w:noProof/>
          <w:sz w:val="22"/>
          <w:szCs w:val="22"/>
          <w:lang w:val="sr-Latn-ME" w:eastAsia="ja-JP"/>
        </w:rPr>
        <w:t>Udio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ispitanika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kojima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bila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potrebna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terapija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akutnog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napada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gihta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(ispitivanja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APEX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FACT),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bio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brojčano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izraženo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niži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grupama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kod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kojih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je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nakon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inicijalne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postignuta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serumska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koncentracija</w:t>
      </w:r>
      <w:r w:rsidR="00D014E2" w:rsidRPr="003C351B">
        <w:rPr>
          <w:noProof/>
          <w:sz w:val="22"/>
          <w:szCs w:val="22"/>
          <w:lang w:val="sr-Latn-ME" w:eastAsia="ja-JP"/>
        </w:rPr>
        <w:t xml:space="preserve"> </w:t>
      </w:r>
      <w:r w:rsidRPr="003C351B">
        <w:rPr>
          <w:noProof/>
          <w:sz w:val="22"/>
          <w:szCs w:val="22"/>
          <w:lang w:val="sr-Latn-ME" w:eastAsia="ja-JP"/>
        </w:rPr>
        <w:t>urata</w:t>
      </w:r>
    </w:p>
    <w:p w:rsidR="00D57B80" w:rsidRPr="003C351B" w:rsidRDefault="00D014E2" w:rsidP="00CD15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noProof/>
          <w:sz w:val="22"/>
          <w:szCs w:val="22"/>
          <w:lang w:val="sr-Latn-ME" w:eastAsia="ja-JP"/>
        </w:rPr>
      </w:pP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&lt;6.0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mg/</w:t>
      </w:r>
      <w:r w:rsidR="004975C9" w:rsidRPr="003C351B">
        <w:rPr>
          <w:noProof/>
          <w:sz w:val="22"/>
          <w:szCs w:val="22"/>
          <w:lang w:val="sr-Latn-ME" w:eastAsia="ja-JP"/>
        </w:rPr>
        <w:t>dl</w:t>
      </w:r>
      <w:r w:rsidR="00D57B80" w:rsidRPr="003C351B">
        <w:rPr>
          <w:noProof/>
          <w:sz w:val="22"/>
          <w:szCs w:val="22"/>
          <w:lang w:val="sr-Latn-ME" w:eastAsia="ja-JP"/>
        </w:rPr>
        <w:t>,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&lt;5.0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mg/</w:t>
      </w:r>
      <w:r w:rsidR="004975C9" w:rsidRPr="003C351B">
        <w:rPr>
          <w:noProof/>
          <w:sz w:val="22"/>
          <w:szCs w:val="22"/>
          <w:lang w:val="sr-Latn-ME" w:eastAsia="ja-JP"/>
        </w:rPr>
        <w:t>dl</w:t>
      </w:r>
      <w:r w:rsidR="00D57B80" w:rsidRPr="003C351B">
        <w:rPr>
          <w:noProof/>
          <w:sz w:val="22"/>
          <w:szCs w:val="22"/>
          <w:lang w:val="sr-Latn-ME" w:eastAsia="ja-JP"/>
        </w:rPr>
        <w:t>,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ili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&lt;4.0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mg/</w:t>
      </w:r>
      <w:r w:rsidR="004975C9" w:rsidRPr="003C351B">
        <w:rPr>
          <w:noProof/>
          <w:sz w:val="22"/>
          <w:szCs w:val="22"/>
          <w:lang w:val="sr-Latn-ME" w:eastAsia="ja-JP"/>
        </w:rPr>
        <w:t>dl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u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odnosu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na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grupu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kod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koje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je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nakon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inicijalne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postignuta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prosječna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serumska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koncentracija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urata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≥6.0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mg/</w:t>
      </w:r>
      <w:r w:rsidR="004975C9" w:rsidRPr="003C351B">
        <w:rPr>
          <w:noProof/>
          <w:sz w:val="22"/>
          <w:szCs w:val="22"/>
          <w:lang w:val="sr-Latn-ME" w:eastAsia="ja-JP"/>
        </w:rPr>
        <w:t>dl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tokom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najmanje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32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nedjelje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perioda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liječenja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(intervali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od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20.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nedjelje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do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24.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nedjelje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i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od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48.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nedjelje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do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52.</w:t>
      </w:r>
      <w:r w:rsidRPr="003C351B">
        <w:rPr>
          <w:noProof/>
          <w:sz w:val="22"/>
          <w:szCs w:val="22"/>
          <w:lang w:val="sr-Latn-ME" w:eastAsia="ja-JP"/>
        </w:rPr>
        <w:t xml:space="preserve"> </w:t>
      </w:r>
      <w:r w:rsidR="00D57B80" w:rsidRPr="003C351B">
        <w:rPr>
          <w:noProof/>
          <w:sz w:val="22"/>
          <w:szCs w:val="22"/>
          <w:lang w:val="sr-Latn-ME" w:eastAsia="ja-JP"/>
        </w:rPr>
        <w:t>nedjelje).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CONFIRMS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broj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mjeseca)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31%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nikakva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razlika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broju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gihta.</w:t>
      </w: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Otvorena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dugotrajna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studija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izlaganja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EXCEL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(C02-021):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Excel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predstavlja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trogodišnji,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otvoreni,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multicentrični,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</w:t>
      </w:r>
      <w:r w:rsidR="0079258C" w:rsidRPr="003C351B">
        <w:rPr>
          <w:noProof/>
          <w:sz w:val="22"/>
          <w:szCs w:val="22"/>
          <w:lang w:val="sr-Latn-ME"/>
        </w:rPr>
        <w:t>ovani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alopurinol-kontrolisani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nastavak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kraja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ostali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pivotalnim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(APEX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FACT).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uključeno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ukupno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1086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(n=649),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(n=292)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mg/100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(n=145).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69%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promjena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ostvarila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konačna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stabilna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čiji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uzastopno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&gt;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6,0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povučeni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Nivoi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održavani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vremenom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(91%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93%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početnom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tretmanu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imali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36.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mjesecu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Trogodišnji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podaci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pokazuju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incidence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tretman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(tj.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96%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naglu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pogoršanja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gihta)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intervalima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16.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24.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mjeseca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36.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mjeseca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46%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38%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konačnoj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stabilnoj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potpuno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iščezavanje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palpabilnog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tofusa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polaznih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posjete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ljekaru.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FOCUS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(TMX-01-005)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petogodišnja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otvoreni,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multicentrični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nastavak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okončali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nedjelje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dvostruko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slijepe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nazivom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TMX-00-004.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učestvovalo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116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početku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62%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nikakvo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prilagođavanje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održali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serumski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38%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prilagoditi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došlo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konačne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stabilne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Broj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&lt;6.0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(357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μmol</w:t>
      </w:r>
      <w:r w:rsidR="004975C9" w:rsidRPr="003C351B">
        <w:rPr>
          <w:noProof/>
          <w:sz w:val="22"/>
          <w:szCs w:val="22"/>
          <w:lang w:val="sr-Latn-ME"/>
        </w:rPr>
        <w:t>/l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prilikom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posjete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(81-100%)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svakoj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blage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abnormalnosti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tretiranih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(5,0%).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Ovaj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postotak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sličan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procentu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(4,2%)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9258C" w:rsidRPr="003C351B">
        <w:rPr>
          <w:noProof/>
          <w:sz w:val="22"/>
          <w:szCs w:val="22"/>
          <w:lang w:val="sr-Latn-ME"/>
        </w:rPr>
        <w:t xml:space="preserve">dio </w:t>
      </w:r>
      <w:r w:rsidRPr="003C351B">
        <w:rPr>
          <w:noProof/>
          <w:sz w:val="22"/>
          <w:szCs w:val="22"/>
          <w:lang w:val="sr-Latn-ME"/>
        </w:rPr>
        <w:t>4.4).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TSH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(&gt;5.5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μIU/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dugoročnoj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(5,5%),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(5,8%)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sklopu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dugoročnih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otvorenih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nastavaka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(vidijeti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4.4).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Dugotrajne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studije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nakon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stavljanja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lijeka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u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promet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CARES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multicentrična,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randomizovana,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dvostruko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slijepa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neinferiornosti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poredila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kardiovaskularne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(KV)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ishode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ishodima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težom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bolešću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anamnezi,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uključujući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infarkt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miokarada,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hospitalizaciju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zbog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nestabilne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angine,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postrupak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koronarne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cerebralne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revaskularizacije,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moždani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lastRenderedPageBreak/>
        <w:t>udar,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tranzitorni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ishemijski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atak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hospitalizacijom,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perifernu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vaskularnu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bolest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dijabetes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melitus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dokazima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mikrovaskularne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makrovaskularne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bolesti.</w:t>
      </w:r>
    </w:p>
    <w:p w:rsidR="00D57B80" w:rsidRPr="003C351B" w:rsidRDefault="00D57B80" w:rsidP="00CD15F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postigli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(nivo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niži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titrirana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rasponu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(nezavisno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bubrežne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titrirana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rasponu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bubrega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blagim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oštećenjem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bubrega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rasponu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umjerenim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oštećenjem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bubrega.</w:t>
      </w:r>
    </w:p>
    <w:p w:rsidR="00D57B80" w:rsidRPr="003C351B" w:rsidRDefault="00D57B80" w:rsidP="00CD15F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Primarn</w:t>
      </w:r>
      <w:r w:rsidR="0079258C" w:rsidRPr="003C351B">
        <w:rPr>
          <w:noProof/>
          <w:sz w:val="22"/>
          <w:szCs w:val="22"/>
          <w:lang w:val="sr-Latn-ME"/>
        </w:rPr>
        <w:t>i parametar praćenja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CARES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velikog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kardiovaskularnog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8250F" w:rsidRPr="003C351B">
        <w:rPr>
          <w:noProof/>
          <w:sz w:val="22"/>
          <w:szCs w:val="22"/>
          <w:lang w:val="sr-Latn-ME"/>
        </w:rPr>
        <w:t xml:space="preserve">neželjenog </w:t>
      </w:r>
      <w:r w:rsidRPr="003C351B">
        <w:rPr>
          <w:noProof/>
          <w:sz w:val="22"/>
          <w:szCs w:val="22"/>
          <w:lang w:val="sr-Latn-ME"/>
        </w:rPr>
        <w:t>događa</w:t>
      </w:r>
      <w:r w:rsidR="0078250F" w:rsidRPr="003C351B">
        <w:rPr>
          <w:noProof/>
          <w:sz w:val="22"/>
          <w:szCs w:val="22"/>
          <w:lang w:val="sr-Latn-ME"/>
        </w:rPr>
        <w:t>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(MACE)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uključivalo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nefatalni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infarkt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miokarda,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nefatalni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moždani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udar,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nestabilnu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anginu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hitnom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koronarnom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revaskularizacijom.</w:t>
      </w:r>
    </w:p>
    <w:p w:rsidR="00D57B80" w:rsidRPr="003C351B" w:rsidRDefault="0079258C" w:rsidP="00CD15F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Parametri praćenja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(primarn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sekundarn</w:t>
      </w:r>
      <w:r w:rsidRPr="003C351B">
        <w:rPr>
          <w:noProof/>
          <w:sz w:val="22"/>
          <w:szCs w:val="22"/>
          <w:lang w:val="sr-Latn-ME"/>
        </w:rPr>
        <w:t>i</w:t>
      </w:r>
      <w:r w:rsidR="00D57B80"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analiziran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populaciji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predviđenoj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liječenje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(eng.</w:t>
      </w:r>
      <w:r w:rsidR="00D57B80" w:rsidRPr="003C351B">
        <w:rPr>
          <w:i/>
          <w:noProof/>
          <w:sz w:val="22"/>
          <w:szCs w:val="22"/>
          <w:lang w:val="sr-Latn-ME"/>
        </w:rPr>
        <w:t>intention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="00D57B80" w:rsidRPr="003C351B">
        <w:rPr>
          <w:i/>
          <w:noProof/>
          <w:sz w:val="22"/>
          <w:szCs w:val="22"/>
          <w:lang w:val="sr-Latn-ME"/>
        </w:rPr>
        <w:t>to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="00D57B80" w:rsidRPr="003C351B">
        <w:rPr>
          <w:i/>
          <w:noProof/>
          <w:sz w:val="22"/>
          <w:szCs w:val="22"/>
          <w:lang w:val="sr-Latn-ME"/>
        </w:rPr>
        <w:t>treat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="00D57B80" w:rsidRPr="003C351B">
        <w:rPr>
          <w:i/>
          <w:noProof/>
          <w:sz w:val="22"/>
          <w:szCs w:val="22"/>
          <w:lang w:val="sr-Latn-ME"/>
        </w:rPr>
        <w:t>ITT</w:t>
      </w:r>
      <w:r w:rsidR="00D57B80"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uključivala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sve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ispitanike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bili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randomizovani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primili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barem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jednu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dvostruko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slijepom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D57B80" w:rsidRPr="003C351B">
        <w:rPr>
          <w:noProof/>
          <w:sz w:val="22"/>
          <w:szCs w:val="22"/>
          <w:lang w:val="sr-Latn-ME"/>
        </w:rPr>
        <w:t>ispitivanju.</w:t>
      </w:r>
    </w:p>
    <w:p w:rsidR="00D57B80" w:rsidRPr="003C351B" w:rsidRDefault="00D57B80" w:rsidP="00CD15F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Ukupno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56,6%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uključenih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</w:t>
      </w:r>
      <w:r w:rsidR="0079258C" w:rsidRPr="003C351B">
        <w:rPr>
          <w:noProof/>
          <w:sz w:val="22"/>
          <w:szCs w:val="22"/>
          <w:lang w:val="sr-Latn-ME"/>
        </w:rPr>
        <w:t>ij</w:t>
      </w:r>
      <w:r w:rsidRPr="003C351B">
        <w:rPr>
          <w:noProof/>
          <w:sz w:val="22"/>
          <w:szCs w:val="22"/>
          <w:lang w:val="sr-Latn-ME"/>
        </w:rPr>
        <w:t>evremeno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prekinulo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završilo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posjete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tabs>
          <w:tab w:val="left" w:pos="567"/>
          <w:tab w:val="left" w:pos="1512"/>
        </w:tabs>
        <w:spacing w:line="260" w:lineRule="exact"/>
        <w:ind w:right="72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Ukupno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praćeno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6190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medijane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mjeseca,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medijana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trajanja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izloženosti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728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3098)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719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3092).</w:t>
      </w:r>
    </w:p>
    <w:p w:rsidR="00D57B80" w:rsidRPr="003C351B" w:rsidRDefault="00D57B80" w:rsidP="00CD15F7">
      <w:pPr>
        <w:tabs>
          <w:tab w:val="left" w:pos="567"/>
          <w:tab w:val="left" w:pos="1512"/>
        </w:tabs>
        <w:spacing w:line="260" w:lineRule="exact"/>
        <w:ind w:right="72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Primarn</w:t>
      </w:r>
      <w:r w:rsidR="0079258C" w:rsidRPr="003C351B">
        <w:rPr>
          <w:noProof/>
          <w:sz w:val="22"/>
          <w:szCs w:val="22"/>
          <w:lang w:val="sr-Latn-ME"/>
        </w:rPr>
        <w:t>i parametar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9258C" w:rsidRPr="003C351B">
        <w:rPr>
          <w:noProof/>
          <w:sz w:val="22"/>
          <w:szCs w:val="22"/>
          <w:lang w:val="sr-Latn-ME"/>
        </w:rPr>
        <w:t xml:space="preserve">praćenja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MACE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pojavi</w:t>
      </w:r>
      <w:r w:rsidR="0079258C" w:rsidRPr="003C351B">
        <w:rPr>
          <w:noProof/>
          <w:sz w:val="22"/>
          <w:szCs w:val="22"/>
          <w:lang w:val="sr-Latn-ME"/>
        </w:rPr>
        <w:t>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sličnom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stopom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(10,8%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10,4%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rizika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[engl.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hazard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ratio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HR]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1,03;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dvostrani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95%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ponovljeni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interval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pouzdanosti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[engl.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confidence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interval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CI]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0,8</w:t>
      </w:r>
      <w:r w:rsidR="00BA0D6B" w:rsidRPr="003C351B">
        <w:rPr>
          <w:noProof/>
          <w:sz w:val="22"/>
          <w:szCs w:val="22"/>
          <w:lang w:val="sr-Latn-ME"/>
        </w:rPr>
        <w:t>9</w:t>
      </w:r>
      <w:r w:rsidRPr="003C351B">
        <w:rPr>
          <w:noProof/>
          <w:sz w:val="22"/>
          <w:szCs w:val="22"/>
          <w:lang w:val="sr-Latn-ME"/>
        </w:rPr>
        <w:t>-1,2</w:t>
      </w:r>
      <w:r w:rsidR="00BA0D6B" w:rsidRPr="003C351B">
        <w:rPr>
          <w:noProof/>
          <w:sz w:val="22"/>
          <w:szCs w:val="22"/>
          <w:lang w:val="sr-Latn-ME"/>
        </w:rPr>
        <w:t>1</w:t>
      </w:r>
      <w:r w:rsidRPr="003C351B">
        <w:rPr>
          <w:noProof/>
          <w:sz w:val="22"/>
          <w:szCs w:val="22"/>
          <w:lang w:val="sr-Latn-ME"/>
        </w:rPr>
        <w:t>).</w:t>
      </w:r>
    </w:p>
    <w:p w:rsidR="00D57B80" w:rsidRPr="003C351B" w:rsidRDefault="00D57B80" w:rsidP="00CD15F7">
      <w:pPr>
        <w:tabs>
          <w:tab w:val="left" w:pos="567"/>
          <w:tab w:val="left" w:pos="1512"/>
        </w:tabs>
        <w:spacing w:line="260" w:lineRule="exact"/>
        <w:ind w:right="72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analizi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pojedinačnih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MACE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komponenti,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stopa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nego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(4,3%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3,2%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1,34;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95%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1,03-1,73).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Stope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MACE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događaja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slične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nefatalni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infarkt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miokarda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(3,6%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3,8%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0,93;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95%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0,72-1,21),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nefatalni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moždani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udar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(2,3%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2,3%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1,01;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95%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0,73-1,41)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hitna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revaskularizacija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zbog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nestabilne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angine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(1,6%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1,8%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0,86;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95%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0,59-1,26).</w:t>
      </w:r>
    </w:p>
    <w:p w:rsidR="00D57B80" w:rsidRPr="003C351B" w:rsidRDefault="00D57B80" w:rsidP="00CD15F7">
      <w:pPr>
        <w:tabs>
          <w:tab w:val="left" w:pos="567"/>
          <w:tab w:val="left" w:pos="1512"/>
        </w:tabs>
        <w:spacing w:line="260" w:lineRule="exact"/>
        <w:ind w:right="72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Stopa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zbog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uzroka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takođe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nego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(7,8%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6,4%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9258C" w:rsidRPr="003C351B">
        <w:rPr>
          <w:noProof/>
          <w:sz w:val="22"/>
          <w:szCs w:val="22"/>
          <w:lang w:val="sr-Latn-ME"/>
        </w:rPr>
        <w:t>pacijenata</w:t>
      </w:r>
      <w:r w:rsidRPr="003C351B">
        <w:rPr>
          <w:noProof/>
          <w:sz w:val="22"/>
          <w:szCs w:val="22"/>
          <w:lang w:val="sr-Latn-ME"/>
        </w:rPr>
        <w:t>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1,22;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95%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1,01-1,47),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uglavnom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uzrokovano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stopom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9258C" w:rsidRPr="003C351B">
        <w:rPr>
          <w:noProof/>
          <w:sz w:val="22"/>
          <w:szCs w:val="22"/>
          <w:lang w:val="sr-Latn-ME"/>
        </w:rPr>
        <w:t>dio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4.4.).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2E37A5" w:rsidRPr="003C351B" w:rsidRDefault="00D57B80" w:rsidP="00CD15F7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Stope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slučajeva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određena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hospitalizacija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zbog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srčane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insuficijencije,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bolnicu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zbog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aritmija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</w:t>
      </w:r>
      <w:r w:rsidR="0079258C" w:rsidRPr="003C351B">
        <w:rPr>
          <w:noProof/>
          <w:sz w:val="22"/>
          <w:szCs w:val="22"/>
          <w:lang w:val="sr-Latn-ME"/>
        </w:rPr>
        <w:t>je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povezane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ishemijom,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venskih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tromboembolijskih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događaja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hospitalizacije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zbog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tranzitornog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ishemijskog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ataka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uporedive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alopurinola.</w:t>
      </w:r>
    </w:p>
    <w:p w:rsidR="00401D93" w:rsidRPr="003C351B" w:rsidRDefault="00401D93" w:rsidP="00CD15F7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</w:p>
    <w:p w:rsidR="00BA0D6B" w:rsidRPr="003C351B" w:rsidRDefault="00BA0D6B" w:rsidP="00CD15F7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FAST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prospektivna,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randomizovana,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otvorena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slijepog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ishoda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poredila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kardiovaskularni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(KV)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bezbjednosni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profil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hroničnom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hiperurikemijom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stanjima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gdje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došlo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taloženja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urata)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faktorima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rizika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(tj.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starosti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godina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bar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još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faktorom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rizika).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Pogodni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dobili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randomizacije,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prilagođavanja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vršena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proceni,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EULAR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preporukama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odobrenom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doziranju.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uvodne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&lt;0,36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mmol</w:t>
      </w:r>
      <w:r w:rsidR="004975C9" w:rsidRPr="003C351B">
        <w:rPr>
          <w:noProof/>
          <w:sz w:val="22"/>
          <w:szCs w:val="22"/>
          <w:lang w:val="sr-Latn-ME"/>
        </w:rPr>
        <w:t>/l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(&lt;6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dobijali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maksimalnu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podnošljivu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maksimalnu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odobrenu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randomizovani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1:1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9258C" w:rsidRPr="003C351B">
        <w:rPr>
          <w:noProof/>
          <w:sz w:val="22"/>
          <w:szCs w:val="22"/>
          <w:lang w:val="sr-Latn-ME"/>
        </w:rPr>
        <w:t>parametar praćenja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studije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pojave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događaja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navedenog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APTC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(engl.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Antiplatelet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Trialists'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Collaborative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kompozitnom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9258C" w:rsidRPr="003C351B">
        <w:rPr>
          <w:noProof/>
          <w:sz w:val="22"/>
          <w:szCs w:val="22"/>
          <w:lang w:val="sr-Latn-ME"/>
        </w:rPr>
        <w:t>parametru praćenja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uključivalo: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hospitalizaciju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usled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ne-fatalnog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infarkta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miokarda/akutnog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koronarnog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sindroma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(AKS)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pozitivnim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biomarkerom;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ii)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ne-fatalni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moždani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udar;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iii)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</w:t>
      </w:r>
      <w:r w:rsidR="0079258C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događaja.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analiza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bazirala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ispitanicima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(eng.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ontreatment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approach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OT).</w:t>
      </w:r>
    </w:p>
    <w:p w:rsidR="00BA0D6B" w:rsidRPr="003C351B" w:rsidRDefault="00BA0D6B" w:rsidP="00CD15F7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Ukupno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randomizovano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6128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bolesnika,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3063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3065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alopurinolu.</w:t>
      </w:r>
    </w:p>
    <w:p w:rsidR="00BA0D6B" w:rsidRPr="003C351B" w:rsidRDefault="00BA0D6B" w:rsidP="00CD15F7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analizi,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ne-inferiornim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pogledu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incidence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9258C" w:rsidRPr="003C351B">
        <w:rPr>
          <w:noProof/>
          <w:sz w:val="22"/>
          <w:szCs w:val="22"/>
          <w:lang w:val="sr-Latn-ME"/>
        </w:rPr>
        <w:t>parametra praćenja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desio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172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(1,72/100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pacijent-godina)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241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(2,05/100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pacijent-godina)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alopurinolu,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prilagođenim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0,85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(95%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0,70,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1,03),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p&lt;0,001.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analiza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primarnog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9258C" w:rsidRPr="003C351B">
        <w:rPr>
          <w:noProof/>
          <w:sz w:val="22"/>
          <w:szCs w:val="22"/>
          <w:lang w:val="sr-Latn-ME"/>
        </w:rPr>
        <w:t>parametra praćenja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infarktom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miokarda,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moždanim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udarom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AKS-om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anamnezi,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razlike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između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dvije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grupe: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65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(9,5%)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događajima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dobijala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(11,8%)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dobijala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prilagođeni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1,02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(95%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0,74-1,42);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p=0,202.</w:t>
      </w:r>
    </w:p>
    <w:p w:rsidR="00BA0D6B" w:rsidRPr="003C351B" w:rsidRDefault="00BA0D6B" w:rsidP="00CD15F7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lastRenderedPageBreak/>
        <w:t>Terapija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povezana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porastom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uzroka,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ukupnoj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populaciji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početku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imali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infarkt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miokarda,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moždani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udar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anamnezi.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Generalno,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ishoda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(62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</w:t>
      </w:r>
      <w:r w:rsidR="0079258C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uzroka)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nego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(82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KV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174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smrti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</w:t>
      </w:r>
      <w:r w:rsidR="0079258C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uzroka).</w:t>
      </w:r>
    </w:p>
    <w:p w:rsidR="00BA0D6B" w:rsidRPr="003C351B" w:rsidRDefault="00BA0D6B" w:rsidP="00CD15F7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Došlo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većeg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sniženja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nivoa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poređenju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terapijom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alopurinolom.</w:t>
      </w:r>
    </w:p>
    <w:p w:rsidR="00BA0D6B" w:rsidRPr="003C351B" w:rsidRDefault="00BA0D6B" w:rsidP="00CD15F7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5.2.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Farmakokinetički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podaci</w:t>
      </w:r>
    </w:p>
    <w:p w:rsidR="00401D93" w:rsidRPr="003C351B" w:rsidRDefault="00401D93" w:rsidP="00CD15F7">
      <w:pPr>
        <w:jc w:val="both"/>
        <w:rPr>
          <w:noProof/>
          <w:snapToGrid w:val="0"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napToGrid w:val="0"/>
          <w:sz w:val="22"/>
          <w:szCs w:val="22"/>
          <w:lang w:val="sr-Latn-ME"/>
        </w:rPr>
      </w:pPr>
      <w:r w:rsidRPr="003C351B">
        <w:rPr>
          <w:noProof/>
          <w:snapToGrid w:val="0"/>
          <w:sz w:val="22"/>
          <w:szCs w:val="22"/>
          <w:lang w:val="sr-Latn-ME"/>
        </w:rPr>
        <w:t>Kod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zdravih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ispitanika,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maksimalna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koncentracija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u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plazmi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(C</w:t>
      </w:r>
      <w:r w:rsidRPr="003C351B">
        <w:rPr>
          <w:noProof/>
          <w:snapToGrid w:val="0"/>
          <w:sz w:val="22"/>
          <w:szCs w:val="22"/>
          <w:vertAlign w:val="subscript"/>
          <w:lang w:val="sr-Latn-ME"/>
        </w:rPr>
        <w:t>max</w:t>
      </w:r>
      <w:r w:rsidRPr="003C351B">
        <w:rPr>
          <w:noProof/>
          <w:snapToGrid w:val="0"/>
          <w:sz w:val="22"/>
          <w:szCs w:val="22"/>
          <w:lang w:val="sr-Latn-ME"/>
        </w:rPr>
        <w:t>)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i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PIK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febuksostata,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povećava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se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proporcionalno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sa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povećanjem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doze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lijeka,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nakon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jednokratne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i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nakon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višestruko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ponovljenih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doza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lijeka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u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rasponu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od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10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mg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do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120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mg.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Za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doze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febuksostata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između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120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mg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i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300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mg,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uočava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se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izrazitije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povećanje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vrijednosti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PIK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u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odnosu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na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dozno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–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proporcionalno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povećanje.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Akumulacija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lijeka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je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zanemarljiva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u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doznom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opsegu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od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10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mg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do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240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mg,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uz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primjenu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lijeka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svaka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napToGrid w:val="0"/>
          <w:sz w:val="22"/>
          <w:szCs w:val="22"/>
          <w:lang w:val="sr-Latn-ME"/>
        </w:rPr>
        <w:t>24h.</w:t>
      </w:r>
      <w:r w:rsidR="00D014E2" w:rsidRPr="003C351B">
        <w:rPr>
          <w:noProof/>
          <w:snapToGrid w:val="0"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srednje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poluvrijeme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eliminacije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(t</w:t>
      </w:r>
      <w:r w:rsidRPr="003C351B">
        <w:rPr>
          <w:noProof/>
          <w:sz w:val="22"/>
          <w:szCs w:val="22"/>
          <w:vertAlign w:val="subscript"/>
          <w:lang w:val="sr-Latn-ME"/>
        </w:rPr>
        <w:t>1/2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približno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Farmakokinetička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farmakodinamska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sprovedena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211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hiperurikemijom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liječeni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opsegu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240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Generalno,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farmakokinetički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parametri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procijenjeni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analizama,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8250F" w:rsidRPr="003C351B">
        <w:rPr>
          <w:noProof/>
          <w:sz w:val="22"/>
          <w:szCs w:val="22"/>
          <w:lang w:val="sr-Latn-ME"/>
        </w:rPr>
        <w:t>konziste</w:t>
      </w:r>
      <w:r w:rsidR="0079258C" w:rsidRPr="003C351B">
        <w:rPr>
          <w:noProof/>
          <w:sz w:val="22"/>
          <w:szCs w:val="22"/>
          <w:lang w:val="sr-Latn-ME"/>
        </w:rPr>
        <w:t xml:space="preserve">ntni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parametara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dobijenim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zdravih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što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ukazuje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zdravi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reprezentativni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procjenu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farmakokinetičkih,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farmakodinamskih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svojstava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gihtom.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strike/>
          <w:noProof/>
          <w:snapToGrid w:val="0"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iCs/>
          <w:noProof/>
          <w:sz w:val="22"/>
          <w:szCs w:val="22"/>
          <w:lang w:val="sr-Latn-ME"/>
        </w:rPr>
      </w:pPr>
      <w:r w:rsidRPr="003C351B">
        <w:rPr>
          <w:i/>
          <w:iCs/>
          <w:noProof/>
          <w:sz w:val="22"/>
          <w:szCs w:val="22"/>
          <w:lang w:val="sr-Latn-ME"/>
        </w:rPr>
        <w:t>Resorpcija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brzo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(t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resopcije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1.0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–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1.5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dobro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resorbuje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(najmanje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84%).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ponovljenih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dnevno,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maksimalne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koncentracije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(C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približno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iznosi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2.8-3.2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µg/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5.0-5.3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µg/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Pr="003C351B">
        <w:rPr>
          <w:noProof/>
          <w:sz w:val="22"/>
          <w:szCs w:val="22"/>
          <w:lang w:val="sr-Latn-ME"/>
        </w:rPr>
        <w:t>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Apsolutna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bioraspoloživost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tableta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farmaceutskog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oblika,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ponovljenih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dnevnih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oralno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unijetog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jednokratno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obrokom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sadrži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visok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procenat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masti,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došlo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49%,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38%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18%,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16%.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Međutim,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razlika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procentu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kiseline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serumu,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vršeno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mjerenje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–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ponovljena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Stoga,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može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uzimati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obzira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hranu.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iCs/>
          <w:noProof/>
          <w:sz w:val="22"/>
          <w:szCs w:val="22"/>
          <w:lang w:val="sr-Latn-ME"/>
        </w:rPr>
      </w:pPr>
      <w:r w:rsidRPr="003C351B">
        <w:rPr>
          <w:i/>
          <w:iCs/>
          <w:noProof/>
          <w:sz w:val="22"/>
          <w:szCs w:val="22"/>
          <w:lang w:val="sr-Latn-ME"/>
        </w:rPr>
        <w:t>Distribucija</w:t>
      </w:r>
    </w:p>
    <w:p w:rsidR="00D57B80" w:rsidRPr="003C351B" w:rsidRDefault="00D57B80" w:rsidP="00CD15F7">
      <w:pPr>
        <w:jc w:val="both"/>
        <w:rPr>
          <w:iCs/>
          <w:noProof/>
          <w:color w:val="000000"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Volumen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distribucije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ravnotežnom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stanju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</w:t>
      </w:r>
      <w:r w:rsidRPr="003C351B">
        <w:rPr>
          <w:noProof/>
          <w:sz w:val="22"/>
          <w:szCs w:val="22"/>
          <w:vertAlign w:val="subscript"/>
          <w:lang w:val="sr-Latn-ME"/>
        </w:rPr>
        <w:t>ss</w:t>
      </w:r>
      <w:r w:rsidRPr="003C351B">
        <w:rPr>
          <w:noProof/>
          <w:sz w:val="22"/>
          <w:szCs w:val="22"/>
          <w:lang w:val="sr-Latn-ME"/>
        </w:rPr>
        <w:t>/F)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kreće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opsegu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29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75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300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Vezivanje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proteine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plazme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iznosi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približno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99.2%,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(uglavnom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albumin)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konstantno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bez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obzira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koncentracije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postignute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Vezivanje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aktivnih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proteine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plazme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varira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Cs/>
          <w:noProof/>
          <w:color w:val="000000"/>
          <w:sz w:val="22"/>
          <w:szCs w:val="22"/>
          <w:lang w:val="sr-Latn-ME"/>
        </w:rPr>
        <w:t>82%</w:t>
      </w:r>
      <w:r w:rsidR="00D014E2" w:rsidRPr="003C351B">
        <w:rPr>
          <w:i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iCs/>
          <w:noProof/>
          <w:color w:val="000000"/>
          <w:sz w:val="22"/>
          <w:szCs w:val="22"/>
          <w:lang w:val="sr-Latn-ME"/>
        </w:rPr>
        <w:t>do</w:t>
      </w:r>
      <w:r w:rsidR="00D014E2" w:rsidRPr="003C351B">
        <w:rPr>
          <w:i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iCs/>
          <w:noProof/>
          <w:color w:val="000000"/>
          <w:sz w:val="22"/>
          <w:szCs w:val="22"/>
          <w:lang w:val="sr-Latn-ME"/>
        </w:rPr>
        <w:t>91%.</w:t>
      </w:r>
      <w:r w:rsidR="00D014E2" w:rsidRPr="003C351B">
        <w:rPr>
          <w:iCs/>
          <w:noProof/>
          <w:color w:val="000000"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Biotransformacija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ekstenzivno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metaboliše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procesom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konjugacije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enzimskog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sistema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uridin-difosfat-glukuronozil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transferaze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(UDPGT)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oksidacijom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sistema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citohroma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P450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(CYP).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Četiri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farmakološki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aktivna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hidroksilovana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identifikovana,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nalaze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humanoj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plazmi.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in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vitro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humanim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mikrozomima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pokazano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oksidativni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formiraju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svega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posredstvom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CYP1A1,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CYP1A2,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CYP2C8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CYP2C9,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glukuronid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nastaje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uglavnom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posredstvom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UGT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1A1,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1A8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1A9.</w:t>
      </w:r>
    </w:p>
    <w:p w:rsidR="00D57B80" w:rsidRPr="003C351B" w:rsidRDefault="00D57B80" w:rsidP="00CD15F7">
      <w:pPr>
        <w:jc w:val="both"/>
        <w:rPr>
          <w:i/>
          <w:i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Eliminacija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eliminiše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bubrega.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oralno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obilježenog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vertAlign w:val="superscript"/>
          <w:lang w:val="sr-Latn-ME"/>
        </w:rPr>
        <w:t>14</w:t>
      </w:r>
      <w:r w:rsidRPr="003C351B">
        <w:rPr>
          <w:noProof/>
          <w:sz w:val="22"/>
          <w:szCs w:val="22"/>
          <w:lang w:val="sr-Latn-ME"/>
        </w:rPr>
        <w:t>C,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približno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49%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nađeno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urinu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neizmijenjen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(3%),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acil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glukuronid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aktivne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supstance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(30%),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poznati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nastali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oksidacijom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njihovi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konjugati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(13%)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nepoznati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(3%).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urinarne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ekskrecije,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približno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45%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date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nađeno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fecesu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neizmijenjen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(12%),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obliku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acil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glukuronida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aktivne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supstance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(1%),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poznati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nastali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oksidacijom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njihovi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konjugati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(25%)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nepoznati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(7%).</w:t>
      </w: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lastRenderedPageBreak/>
        <w:t>Oštećenje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bubrega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datih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ispitanicima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blagim,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umjerenim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teškim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oštećenjem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bubrega,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mijenjala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očuvanom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bubrežnom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funkcijom.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Srednja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PIK-a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približno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1.8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7.5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sym w:font="Symbol" w:char="F06D"/>
      </w:r>
      <w:r w:rsidRPr="003C351B">
        <w:rPr>
          <w:noProof/>
          <w:sz w:val="22"/>
          <w:szCs w:val="22"/>
          <w:lang w:val="sr-Latn-ME"/>
        </w:rPr>
        <w:t>g</w:t>
      </w:r>
      <w:r w:rsidRPr="003C351B">
        <w:rPr>
          <w:noProof/>
          <w:sz w:val="22"/>
          <w:szCs w:val="22"/>
          <w:lang w:val="sr-Latn-ME"/>
        </w:rPr>
        <w:sym w:font="Symbol" w:char="F0D7"/>
      </w:r>
      <w:r w:rsidRPr="003C351B">
        <w:rPr>
          <w:noProof/>
          <w:sz w:val="22"/>
          <w:szCs w:val="22"/>
          <w:lang w:val="sr-Latn-ME"/>
        </w:rPr>
        <w:t>h/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očuvanom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bubrega)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13.2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sym w:font="Symbol" w:char="F06D"/>
      </w:r>
      <w:r w:rsidRPr="003C351B">
        <w:rPr>
          <w:noProof/>
          <w:sz w:val="22"/>
          <w:szCs w:val="22"/>
          <w:lang w:val="sr-Latn-ME"/>
        </w:rPr>
        <w:t>g</w:t>
      </w:r>
      <w:r w:rsidRPr="003C351B">
        <w:rPr>
          <w:noProof/>
          <w:sz w:val="22"/>
          <w:szCs w:val="22"/>
          <w:lang w:val="sr-Latn-ME"/>
        </w:rPr>
        <w:sym w:font="Symbol" w:char="F0D7"/>
      </w:r>
      <w:r w:rsidRPr="003C351B">
        <w:rPr>
          <w:noProof/>
          <w:sz w:val="22"/>
          <w:szCs w:val="22"/>
          <w:lang w:val="sr-Latn-ME"/>
        </w:rPr>
        <w:t>h/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izraženom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bubrežnom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insuficijencijom).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aktivnih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puta.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Ipak,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neophodno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podešavanje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blagim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umjerenim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oštećenjem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bubrega.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i/>
          <w:i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iCs/>
          <w:noProof/>
          <w:sz w:val="22"/>
          <w:szCs w:val="22"/>
          <w:lang w:val="sr-Latn-ME"/>
        </w:rPr>
      </w:pPr>
      <w:r w:rsidRPr="003C351B">
        <w:rPr>
          <w:i/>
          <w:iCs/>
          <w:noProof/>
          <w:sz w:val="22"/>
          <w:szCs w:val="22"/>
          <w:lang w:val="sr-Latn-ME"/>
        </w:rPr>
        <w:t>Insuficijencija</w:t>
      </w:r>
      <w:r w:rsidR="00D014E2" w:rsidRPr="003C351B">
        <w:rPr>
          <w:i/>
          <w:iCs/>
          <w:noProof/>
          <w:sz w:val="22"/>
          <w:szCs w:val="22"/>
          <w:lang w:val="sr-Latn-ME"/>
        </w:rPr>
        <w:t xml:space="preserve"> </w:t>
      </w:r>
      <w:r w:rsidRPr="003C351B">
        <w:rPr>
          <w:i/>
          <w:iCs/>
          <w:noProof/>
          <w:sz w:val="22"/>
          <w:szCs w:val="22"/>
          <w:lang w:val="sr-Latn-ME"/>
        </w:rPr>
        <w:t>jetre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višestruko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datih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80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ispitanicima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blagim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(Child-Pugh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klasa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umjerenim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(Child-Pugh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klasa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poremećajem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maksimalne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koncetracije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(C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njegovih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promijenila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poređenju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očuvanom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sprovedena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ispitanicima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prisutan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težak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poremećaj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funkcije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jetre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(Child-Pugh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klasa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C).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iCs/>
          <w:noProof/>
          <w:sz w:val="22"/>
          <w:szCs w:val="22"/>
          <w:lang w:val="sr-Latn-ME"/>
        </w:rPr>
      </w:pPr>
      <w:r w:rsidRPr="003C351B">
        <w:rPr>
          <w:i/>
          <w:iCs/>
          <w:noProof/>
          <w:sz w:val="22"/>
          <w:szCs w:val="22"/>
          <w:lang w:val="sr-Latn-ME"/>
        </w:rPr>
        <w:t>Starost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Nijesu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uočene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razlike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njegovih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višestrukih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oralnih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starijih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Pr="003C351B">
        <w:rPr>
          <w:noProof/>
          <w:sz w:val="22"/>
          <w:szCs w:val="22"/>
          <w:lang w:val="sr-Latn-ME"/>
        </w:rPr>
        <w:t>ađe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zdrave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ispitanike.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Pol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višestrukih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oralnih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Adenuric,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maksimalne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koncentracije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(C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24%,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12%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više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žena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nego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muškaraca.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Međutim,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tjelesnom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težinom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korigovane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maksimalne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koncentracije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krvi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(C</w:t>
      </w:r>
      <w:r w:rsidRPr="003C351B">
        <w:rPr>
          <w:noProof/>
          <w:sz w:val="22"/>
          <w:szCs w:val="22"/>
          <w:vertAlign w:val="subscript"/>
          <w:lang w:val="sr-Latn-ME"/>
        </w:rPr>
        <w:t>max</w:t>
      </w:r>
      <w:r w:rsidRPr="003C351B">
        <w:rPr>
          <w:noProof/>
          <w:sz w:val="22"/>
          <w:szCs w:val="22"/>
          <w:lang w:val="sr-Latn-ME"/>
        </w:rPr>
        <w:t>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PIK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približne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među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ispitanicima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pola.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korigovanje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pacijenta.</w:t>
      </w: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5.3.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Pretklinički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podaci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o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bezbjednosti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836B35" w:rsidRPr="003C351B" w:rsidRDefault="00836B35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pretkliničkim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zapaženi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samo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izloženosti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znatno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maksimalno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dozvoljenih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ljudi.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Farmakokinetičko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modeliranje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simulacija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podataka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pacovima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ukazuju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istovremeno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</w:t>
      </w:r>
      <w:r w:rsidR="0079258C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enjuju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febuksostatom,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merkaptopurina/azatioprina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potrebno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20%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prethodno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propisane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kako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izbjegli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mogući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hematološki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(vidjeti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79258C" w:rsidRPr="003C351B">
        <w:rPr>
          <w:noProof/>
          <w:sz w:val="22"/>
          <w:szCs w:val="22"/>
          <w:lang w:val="sr-Latn-ME"/>
        </w:rPr>
        <w:t>djelove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4.4.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4.5).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bCs/>
          <w:i/>
          <w:noProof/>
          <w:sz w:val="22"/>
          <w:szCs w:val="22"/>
          <w:lang w:val="sr-Latn-ME"/>
        </w:rPr>
      </w:pPr>
      <w:r w:rsidRPr="003C351B">
        <w:rPr>
          <w:bCs/>
          <w:i/>
          <w:noProof/>
          <w:sz w:val="22"/>
          <w:szCs w:val="22"/>
          <w:lang w:val="sr-Latn-ME"/>
        </w:rPr>
        <w:t>Karcinogeneza,</w:t>
      </w:r>
      <w:r w:rsidR="00D014E2" w:rsidRPr="003C351B">
        <w:rPr>
          <w:bCs/>
          <w:i/>
          <w:noProof/>
          <w:sz w:val="22"/>
          <w:szCs w:val="22"/>
          <w:lang w:val="sr-Latn-ME"/>
        </w:rPr>
        <w:t xml:space="preserve"> </w:t>
      </w:r>
      <w:r w:rsidRPr="003C351B">
        <w:rPr>
          <w:bCs/>
          <w:i/>
          <w:noProof/>
          <w:sz w:val="22"/>
          <w:szCs w:val="22"/>
          <w:lang w:val="sr-Latn-ME"/>
        </w:rPr>
        <w:t>mutageneza,</w:t>
      </w:r>
      <w:r w:rsidR="00D014E2" w:rsidRPr="003C351B">
        <w:rPr>
          <w:bCs/>
          <w:i/>
          <w:noProof/>
          <w:sz w:val="22"/>
          <w:szCs w:val="22"/>
          <w:lang w:val="sr-Latn-ME"/>
        </w:rPr>
        <w:t xml:space="preserve"> </w:t>
      </w:r>
      <w:r w:rsidRPr="003C351B">
        <w:rPr>
          <w:bCs/>
          <w:i/>
          <w:noProof/>
          <w:sz w:val="22"/>
          <w:szCs w:val="22"/>
          <w:lang w:val="sr-Latn-ME"/>
        </w:rPr>
        <w:t>poremećaj</w:t>
      </w:r>
      <w:r w:rsidR="00D014E2" w:rsidRPr="003C351B">
        <w:rPr>
          <w:bCs/>
          <w:i/>
          <w:noProof/>
          <w:sz w:val="22"/>
          <w:szCs w:val="22"/>
          <w:lang w:val="sr-Latn-ME"/>
        </w:rPr>
        <w:t xml:space="preserve"> </w:t>
      </w:r>
      <w:r w:rsidRPr="003C351B">
        <w:rPr>
          <w:bCs/>
          <w:i/>
          <w:noProof/>
          <w:sz w:val="22"/>
          <w:szCs w:val="22"/>
          <w:lang w:val="sr-Latn-ME"/>
        </w:rPr>
        <w:t>fertiliteta</w:t>
      </w:r>
      <w:r w:rsidR="00D014E2" w:rsidRPr="003C351B">
        <w:rPr>
          <w:bCs/>
          <w:i/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b/>
          <w:bCs/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mužjaka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pacova,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statistički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povećanje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učestalosti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tumora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mokraćne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bešike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(papilom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tranzicionalnog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epitela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karcinom),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dovedeno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vezu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samo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ksantinskim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kalkulusima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grupi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visoke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približno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11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izložena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humana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populacija.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zabilježen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porast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učestalosti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drugog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tipa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tumora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ženki,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mužjaka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miševa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pacova.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Ovi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nalazi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smatraju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posl</w:t>
      </w:r>
      <w:r w:rsidR="0078250F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edicom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specifičnog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metabolizma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datu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vrstu,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sastava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urina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smatraju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relevantnim,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značaja.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rFonts w:eastAsia="MS Mincho"/>
          <w:strike/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Standardni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testova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genotoksičnosti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otkrio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biološki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relevantan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genotoksični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Pokazano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dat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oralno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mg/kg/dan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uticaj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fertilitet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reproduktivne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karakteristike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mužjaka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ženki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pacova.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D57B80" w:rsidRPr="003C351B" w:rsidRDefault="00D57B80" w:rsidP="00CD15F7">
      <w:pPr>
        <w:jc w:val="both"/>
        <w:rPr>
          <w:noProof/>
          <w:sz w:val="22"/>
          <w:szCs w:val="22"/>
          <w:lang w:val="sr-Latn-ME"/>
        </w:rPr>
      </w:pPr>
    </w:p>
    <w:p w:rsidR="00D57B80" w:rsidRPr="003C351B" w:rsidRDefault="00D57B80" w:rsidP="00CD15F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dokazi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poremećajima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fertiliteta,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teratogenim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efektima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oštećenjima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fetusa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nastalim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usljed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primjene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febuksostata.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visok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stepen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toksičnosti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izražene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gravidnih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ženki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pacova,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praćenih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smanjenjem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vrijednosti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indeksa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dojenja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poremećenim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razvojem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4975C9" w:rsidRPr="003C351B">
        <w:rPr>
          <w:noProof/>
          <w:sz w:val="22"/>
          <w:szCs w:val="22"/>
          <w:lang w:val="sr-Latn-ME"/>
        </w:rPr>
        <w:t>ml</w:t>
      </w:r>
      <w:r w:rsidRPr="003C351B">
        <w:rPr>
          <w:noProof/>
          <w:sz w:val="22"/>
          <w:szCs w:val="22"/>
          <w:lang w:val="sr-Latn-ME"/>
        </w:rPr>
        <w:t>adunaca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izlaganja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izloženi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ispitivanjima.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teratogenosti,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obavljena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gravidnim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pacovima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izlaganja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4.3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izloženi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ispitanici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kliničkim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ispitivanjima,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odnosno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gravidnim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kunićima,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izloženim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puta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većim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dozama,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otkrilo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postojanje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teratogenih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efekata.</w:t>
      </w:r>
    </w:p>
    <w:p w:rsidR="000C29EC" w:rsidRPr="003C351B" w:rsidRDefault="000C29EC" w:rsidP="00CD15F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72020E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lastRenderedPageBreak/>
        <w:t>6.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FARMACEUTSKI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PODACI</w:t>
      </w:r>
    </w:p>
    <w:p w:rsidR="00836B35" w:rsidRPr="003C351B" w:rsidRDefault="00836B35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6.1.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Lista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pomoćnih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supstanci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2E0135" w:rsidRPr="003C351B">
        <w:rPr>
          <w:b/>
          <w:bCs/>
          <w:noProof/>
          <w:sz w:val="22"/>
          <w:szCs w:val="22"/>
          <w:lang w:val="sr-Latn-ME"/>
        </w:rPr>
        <w:t>(ekscipijenasa)</w:t>
      </w:r>
    </w:p>
    <w:p w:rsidR="008E2B93" w:rsidRPr="003C351B" w:rsidRDefault="008E2B93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8E2B93" w:rsidRPr="003C351B" w:rsidRDefault="008E2B93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Jezgro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tablete</w:t>
      </w:r>
    </w:p>
    <w:p w:rsidR="008E2B93" w:rsidRPr="003C351B" w:rsidRDefault="000C29E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laktoza</w:t>
      </w:r>
      <w:r w:rsidR="008E2B93"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8E2B93" w:rsidRPr="003C351B">
        <w:rPr>
          <w:noProof/>
          <w:sz w:val="22"/>
          <w:szCs w:val="22"/>
          <w:lang w:val="sr-Latn-ME"/>
        </w:rPr>
        <w:t>monohidrat</w:t>
      </w:r>
    </w:p>
    <w:p w:rsidR="008E2B93" w:rsidRPr="003C351B" w:rsidRDefault="000C29E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celuloza</w:t>
      </w:r>
      <w:r w:rsidR="008E2B93" w:rsidRPr="003C351B">
        <w:rPr>
          <w:noProof/>
          <w:sz w:val="22"/>
          <w:szCs w:val="22"/>
          <w:lang w:val="sr-Latn-ME"/>
        </w:rPr>
        <w:t>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8E2B93" w:rsidRPr="003C351B">
        <w:rPr>
          <w:noProof/>
          <w:sz w:val="22"/>
          <w:szCs w:val="22"/>
          <w:lang w:val="sr-Latn-ME"/>
        </w:rPr>
        <w:t>mikrokristalna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8E2B93" w:rsidRPr="003C351B" w:rsidRDefault="000C29E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magnezijum </w:t>
      </w:r>
      <w:r w:rsidR="008E2B93" w:rsidRPr="003C351B">
        <w:rPr>
          <w:noProof/>
          <w:sz w:val="22"/>
          <w:szCs w:val="22"/>
          <w:lang w:val="sr-Latn-ME"/>
        </w:rPr>
        <w:t>stearat</w:t>
      </w:r>
    </w:p>
    <w:p w:rsidR="008E2B93" w:rsidRPr="003C351B" w:rsidRDefault="000C29E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hidroksipropilceluloza</w:t>
      </w:r>
    </w:p>
    <w:p w:rsidR="008E2B93" w:rsidRPr="003C351B" w:rsidRDefault="000C29E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kroskarmeloza </w:t>
      </w:r>
      <w:r w:rsidR="008E2B93" w:rsidRPr="003C351B">
        <w:rPr>
          <w:noProof/>
          <w:sz w:val="22"/>
          <w:szCs w:val="22"/>
          <w:lang w:val="sr-Latn-ME"/>
        </w:rPr>
        <w:t>natrijum</w:t>
      </w:r>
    </w:p>
    <w:p w:rsidR="008E2B93" w:rsidRPr="003C351B" w:rsidRDefault="000C29EC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silicijum </w:t>
      </w:r>
      <w:r w:rsidR="008E2B93" w:rsidRPr="003C351B">
        <w:rPr>
          <w:noProof/>
          <w:sz w:val="22"/>
          <w:szCs w:val="22"/>
          <w:lang w:val="sr-Latn-ME"/>
        </w:rPr>
        <w:t>dioksid,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8E2B93" w:rsidRPr="003C351B">
        <w:rPr>
          <w:noProof/>
          <w:sz w:val="22"/>
          <w:szCs w:val="22"/>
          <w:lang w:val="sr-Latn-ME"/>
        </w:rPr>
        <w:t>koloidni,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="008E2B93" w:rsidRPr="003C351B">
        <w:rPr>
          <w:noProof/>
          <w:sz w:val="22"/>
          <w:szCs w:val="22"/>
          <w:lang w:val="sr-Latn-ME"/>
        </w:rPr>
        <w:t>hidratisani</w:t>
      </w:r>
    </w:p>
    <w:p w:rsidR="008E2B93" w:rsidRPr="003C351B" w:rsidRDefault="008E2B93" w:rsidP="00CD15F7">
      <w:pPr>
        <w:jc w:val="both"/>
        <w:rPr>
          <w:noProof/>
          <w:sz w:val="22"/>
          <w:szCs w:val="22"/>
          <w:lang w:val="sr-Latn-ME"/>
        </w:rPr>
      </w:pPr>
    </w:p>
    <w:p w:rsidR="008E2B93" w:rsidRPr="003C351B" w:rsidRDefault="008E2B93" w:rsidP="00CD15F7">
      <w:pPr>
        <w:jc w:val="both"/>
        <w:rPr>
          <w:i/>
          <w:noProof/>
          <w:sz w:val="22"/>
          <w:szCs w:val="22"/>
          <w:lang w:val="sr-Latn-ME"/>
        </w:rPr>
      </w:pPr>
      <w:r w:rsidRPr="003C351B">
        <w:rPr>
          <w:i/>
          <w:noProof/>
          <w:sz w:val="22"/>
          <w:szCs w:val="22"/>
          <w:lang w:val="sr-Latn-ME"/>
        </w:rPr>
        <w:t>Omotač</w:t>
      </w:r>
      <w:r w:rsidR="00D014E2" w:rsidRPr="003C351B">
        <w:rPr>
          <w:i/>
          <w:noProof/>
          <w:sz w:val="22"/>
          <w:szCs w:val="22"/>
          <w:lang w:val="sr-Latn-ME"/>
        </w:rPr>
        <w:t xml:space="preserve"> </w:t>
      </w:r>
      <w:r w:rsidRPr="003C351B">
        <w:rPr>
          <w:i/>
          <w:noProof/>
          <w:sz w:val="22"/>
          <w:szCs w:val="22"/>
          <w:lang w:val="sr-Latn-ME"/>
        </w:rPr>
        <w:t>tablete</w:t>
      </w:r>
    </w:p>
    <w:p w:rsidR="008E2B93" w:rsidRPr="003C351B" w:rsidRDefault="008E2B93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Opadry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Žuti,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85F42129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sadrži: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8E2B93" w:rsidRPr="003C351B" w:rsidRDefault="000C29EC" w:rsidP="00CD15F7">
      <w:pPr>
        <w:tabs>
          <w:tab w:val="left" w:pos="426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polivinil</w:t>
      </w:r>
      <w:r w:rsidRPr="003C351B">
        <w:rPr>
          <w:rFonts w:eastAsia="MS PGothic"/>
          <w:noProof/>
          <w:sz w:val="22"/>
          <w:szCs w:val="22"/>
          <w:lang w:val="sr-Latn-ME"/>
        </w:rPr>
        <w:t xml:space="preserve"> </w:t>
      </w:r>
      <w:r w:rsidR="008E2B93" w:rsidRPr="003C351B">
        <w:rPr>
          <w:rFonts w:eastAsia="MS PGothic"/>
          <w:noProof/>
          <w:sz w:val="22"/>
          <w:szCs w:val="22"/>
          <w:lang w:val="sr-Latn-ME"/>
        </w:rPr>
        <w:t>alkohol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</w:p>
    <w:p w:rsidR="008E2B93" w:rsidRPr="003C351B" w:rsidRDefault="000C29EC" w:rsidP="00CD15F7">
      <w:pPr>
        <w:tabs>
          <w:tab w:val="left" w:pos="426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titan </w:t>
      </w:r>
      <w:r w:rsidR="008E2B93" w:rsidRPr="003C351B">
        <w:rPr>
          <w:rFonts w:eastAsia="MS PGothic"/>
          <w:noProof/>
          <w:sz w:val="22"/>
          <w:szCs w:val="22"/>
          <w:lang w:val="sr-Latn-ME"/>
        </w:rPr>
        <w:t>dioksid</w:t>
      </w:r>
      <w:r w:rsidR="00D014E2" w:rsidRPr="003C351B">
        <w:rPr>
          <w:rFonts w:eastAsia="MS PGothic"/>
          <w:noProof/>
          <w:sz w:val="22"/>
          <w:szCs w:val="22"/>
          <w:lang w:val="sr-Latn-ME"/>
        </w:rPr>
        <w:t xml:space="preserve"> </w:t>
      </w:r>
      <w:r w:rsidR="008E2B93" w:rsidRPr="003C351B">
        <w:rPr>
          <w:rFonts w:eastAsia="MS PGothic"/>
          <w:noProof/>
          <w:sz w:val="22"/>
          <w:szCs w:val="22"/>
          <w:lang w:val="sr-Latn-ME"/>
        </w:rPr>
        <w:t>(E171)</w:t>
      </w:r>
    </w:p>
    <w:p w:rsidR="008E2B93" w:rsidRPr="003C351B" w:rsidRDefault="000C29EC" w:rsidP="00CD15F7">
      <w:pPr>
        <w:tabs>
          <w:tab w:val="left" w:pos="426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 xml:space="preserve">makrogoli </w:t>
      </w:r>
      <w:r w:rsidR="008E2B93" w:rsidRPr="003C351B">
        <w:rPr>
          <w:rFonts w:eastAsia="MS PGothic"/>
          <w:noProof/>
          <w:sz w:val="22"/>
          <w:szCs w:val="22"/>
          <w:lang w:val="sr-Latn-ME"/>
        </w:rPr>
        <w:t>3350</w:t>
      </w:r>
    </w:p>
    <w:p w:rsidR="008E2B93" w:rsidRPr="003C351B" w:rsidRDefault="000C29EC" w:rsidP="00CD15F7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MS PGothic"/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talk</w:t>
      </w:r>
    </w:p>
    <w:p w:rsidR="008E2B93" w:rsidRPr="003C351B" w:rsidRDefault="000C29EC" w:rsidP="00CD15F7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MS PGothic"/>
          <w:noProof/>
          <w:sz w:val="22"/>
          <w:szCs w:val="22"/>
          <w:lang w:val="sr-Latn-ME"/>
        </w:rPr>
      </w:pPr>
      <w:r w:rsidRPr="003C351B">
        <w:rPr>
          <w:rFonts w:eastAsia="MS PGothic"/>
          <w:noProof/>
          <w:sz w:val="22"/>
          <w:szCs w:val="22"/>
          <w:lang w:val="sr-Latn-ME"/>
        </w:rPr>
        <w:t xml:space="preserve">gvožđe </w:t>
      </w:r>
      <w:r w:rsidR="008E2B93" w:rsidRPr="003C351B">
        <w:rPr>
          <w:rFonts w:eastAsia="MS PGothic"/>
          <w:noProof/>
          <w:sz w:val="22"/>
          <w:szCs w:val="22"/>
          <w:lang w:val="sr-Latn-ME"/>
        </w:rPr>
        <w:t>(III)</w:t>
      </w:r>
      <w:r w:rsidR="00D014E2" w:rsidRPr="003C351B">
        <w:rPr>
          <w:rFonts w:eastAsia="MS PGothic"/>
          <w:noProof/>
          <w:sz w:val="22"/>
          <w:szCs w:val="22"/>
          <w:lang w:val="sr-Latn-ME"/>
        </w:rPr>
        <w:t xml:space="preserve"> </w:t>
      </w:r>
      <w:r w:rsidR="008E2B93" w:rsidRPr="003C351B">
        <w:rPr>
          <w:rFonts w:eastAsia="MS PGothic"/>
          <w:noProof/>
          <w:sz w:val="22"/>
          <w:szCs w:val="22"/>
          <w:lang w:val="sr-Latn-ME"/>
        </w:rPr>
        <w:t>oksid,</w:t>
      </w:r>
      <w:r w:rsidR="00D014E2" w:rsidRPr="003C351B">
        <w:rPr>
          <w:rFonts w:eastAsia="MS PGothic"/>
          <w:noProof/>
          <w:sz w:val="22"/>
          <w:szCs w:val="22"/>
          <w:lang w:val="sr-Latn-ME"/>
        </w:rPr>
        <w:t xml:space="preserve"> </w:t>
      </w:r>
      <w:r w:rsidR="008E2B93" w:rsidRPr="003C351B">
        <w:rPr>
          <w:rFonts w:eastAsia="MS PGothic"/>
          <w:noProof/>
          <w:sz w:val="22"/>
          <w:szCs w:val="22"/>
          <w:lang w:val="sr-Latn-ME"/>
        </w:rPr>
        <w:t>žuti</w:t>
      </w:r>
      <w:r w:rsidR="00D014E2" w:rsidRPr="003C351B">
        <w:rPr>
          <w:rFonts w:eastAsia="MS PGothic"/>
          <w:noProof/>
          <w:sz w:val="22"/>
          <w:szCs w:val="22"/>
          <w:lang w:val="sr-Latn-ME"/>
        </w:rPr>
        <w:t xml:space="preserve"> </w:t>
      </w:r>
      <w:r w:rsidR="008E2B93" w:rsidRPr="003C351B">
        <w:rPr>
          <w:rFonts w:eastAsia="MS PGothic"/>
          <w:noProof/>
          <w:sz w:val="22"/>
          <w:szCs w:val="22"/>
          <w:lang w:val="sr-Latn-ME"/>
        </w:rPr>
        <w:t>(E172)</w:t>
      </w:r>
    </w:p>
    <w:p w:rsidR="0072020E" w:rsidRPr="003C351B" w:rsidRDefault="0072020E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6.2.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Inkompatibilnost</w:t>
      </w:r>
      <w:r w:rsidR="002846DB" w:rsidRPr="003C351B">
        <w:rPr>
          <w:b/>
          <w:bCs/>
          <w:noProof/>
          <w:sz w:val="22"/>
          <w:szCs w:val="22"/>
          <w:lang w:val="sr-Latn-ME"/>
        </w:rPr>
        <w:t>i</w:t>
      </w:r>
    </w:p>
    <w:p w:rsidR="008E2B93" w:rsidRPr="003C351B" w:rsidRDefault="008E2B93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8E2B93" w:rsidRPr="003C351B" w:rsidRDefault="008E2B93" w:rsidP="00CD15F7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Nije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prim</w:t>
      </w:r>
      <w:r w:rsidR="000C29EC" w:rsidRPr="003C351B">
        <w:rPr>
          <w:noProof/>
          <w:sz w:val="22"/>
          <w:szCs w:val="22"/>
          <w:lang w:val="sr-Latn-ME"/>
        </w:rPr>
        <w:t>j</w:t>
      </w:r>
      <w:r w:rsidRPr="003C351B">
        <w:rPr>
          <w:noProof/>
          <w:sz w:val="22"/>
          <w:szCs w:val="22"/>
          <w:lang w:val="sr-Latn-ME"/>
        </w:rPr>
        <w:t>en</w:t>
      </w:r>
      <w:r w:rsidR="000B0E91" w:rsidRPr="003C351B">
        <w:rPr>
          <w:noProof/>
          <w:sz w:val="22"/>
          <w:szCs w:val="22"/>
          <w:lang w:val="sr-Latn-ME"/>
        </w:rPr>
        <w:t>l</w:t>
      </w:r>
      <w:r w:rsidRPr="003C351B">
        <w:rPr>
          <w:noProof/>
          <w:sz w:val="22"/>
          <w:szCs w:val="22"/>
          <w:lang w:val="sr-Latn-ME"/>
        </w:rPr>
        <w:t>jivo.</w:t>
      </w:r>
    </w:p>
    <w:p w:rsidR="0072020E" w:rsidRPr="003C351B" w:rsidRDefault="0072020E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6.3.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Rok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upotrebe</w:t>
      </w:r>
    </w:p>
    <w:p w:rsidR="008E2B93" w:rsidRPr="003C351B" w:rsidRDefault="008E2B93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8E2B93" w:rsidRPr="003C351B" w:rsidRDefault="008E2B93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3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godine.</w:t>
      </w:r>
    </w:p>
    <w:p w:rsidR="0072020E" w:rsidRPr="003C351B" w:rsidRDefault="0072020E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6.4.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Posebne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mjere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upozorenja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pri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čuvanju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F8570A" w:rsidRPr="003C351B">
        <w:rPr>
          <w:b/>
          <w:bCs/>
          <w:noProof/>
          <w:sz w:val="22"/>
          <w:szCs w:val="22"/>
          <w:lang w:val="sr-Latn-ME"/>
        </w:rPr>
        <w:t>lijeka</w:t>
      </w:r>
    </w:p>
    <w:p w:rsidR="008E2B93" w:rsidRPr="003C351B" w:rsidRDefault="008E2B93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8E2B93" w:rsidRPr="003C351B" w:rsidRDefault="008E2B93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Lijek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zahtijeva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posebne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uslove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čuvanja.</w:t>
      </w:r>
    </w:p>
    <w:p w:rsidR="00EC2532" w:rsidRPr="003C351B" w:rsidRDefault="00EC2532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6.5.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="002846DB" w:rsidRPr="003C351B">
        <w:rPr>
          <w:b/>
          <w:bCs/>
          <w:noProof/>
          <w:sz w:val="22"/>
          <w:szCs w:val="22"/>
          <w:lang w:val="sr-Latn-ME"/>
        </w:rPr>
        <w:t>Vrsta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2846DB" w:rsidRPr="003C351B">
        <w:rPr>
          <w:b/>
          <w:bCs/>
          <w:noProof/>
          <w:sz w:val="22"/>
          <w:szCs w:val="22"/>
          <w:lang w:val="sr-Latn-ME"/>
        </w:rPr>
        <w:t>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2846DB" w:rsidRPr="003C351B">
        <w:rPr>
          <w:b/>
          <w:bCs/>
          <w:noProof/>
          <w:sz w:val="22"/>
          <w:szCs w:val="22"/>
          <w:lang w:val="sr-Latn-ME"/>
        </w:rPr>
        <w:t>sadržaj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F8570A" w:rsidRPr="003C351B">
        <w:rPr>
          <w:b/>
          <w:bCs/>
          <w:noProof/>
          <w:sz w:val="22"/>
          <w:szCs w:val="22"/>
          <w:lang w:val="sr-Latn-ME"/>
        </w:rPr>
        <w:t>pakovanja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871739" w:rsidRPr="003C351B" w:rsidRDefault="00871739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871739" w:rsidRPr="003C351B" w:rsidRDefault="00871739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Unutrašnje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pakovanje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providni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(Aclar/PVC/Aluminijum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PVC/PE/PVDC/Aluminijum)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blister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14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film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tableta.</w:t>
      </w:r>
    </w:p>
    <w:p w:rsidR="00871739" w:rsidRPr="003C351B" w:rsidRDefault="00871739" w:rsidP="00CD15F7">
      <w:pPr>
        <w:jc w:val="both"/>
        <w:rPr>
          <w:noProof/>
          <w:sz w:val="22"/>
          <w:szCs w:val="22"/>
          <w:lang w:val="sr-Latn-ME"/>
        </w:rPr>
      </w:pPr>
    </w:p>
    <w:p w:rsidR="00871739" w:rsidRPr="003C351B" w:rsidRDefault="00871739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Spoljašnje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pakovanje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složiva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kartonska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kutija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kojoj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nalaze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blistera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(ukupno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28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film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tableta)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Uputstvo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lijek.</w:t>
      </w:r>
    </w:p>
    <w:p w:rsidR="0072020E" w:rsidRPr="003C351B" w:rsidRDefault="0072020E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2846DB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6.6.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Posebne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mjere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opreza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pri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o</w:t>
      </w:r>
      <w:r w:rsidR="004975C9" w:rsidRPr="003C351B">
        <w:rPr>
          <w:b/>
          <w:bCs/>
          <w:noProof/>
          <w:color w:val="000000"/>
          <w:sz w:val="22"/>
          <w:szCs w:val="22"/>
          <w:lang w:val="sr-Latn-ME"/>
        </w:rPr>
        <w:t>dl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aganju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materijala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koji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treba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odbaciti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nakon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primjene</w:t>
      </w:r>
      <w:r w:rsidR="00D014E2" w:rsidRPr="003C351B">
        <w:rPr>
          <w:b/>
          <w:bCs/>
          <w:noProof/>
          <w:color w:val="000000"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color w:val="000000"/>
          <w:sz w:val="22"/>
          <w:szCs w:val="22"/>
          <w:lang w:val="sr-Latn-ME"/>
        </w:rPr>
        <w:t>lijeka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310F03" w:rsidRPr="003C351B">
        <w:rPr>
          <w:b/>
          <w:bCs/>
          <w:noProof/>
          <w:sz w:val="22"/>
          <w:szCs w:val="22"/>
          <w:lang w:val="sr-Latn-ME"/>
        </w:rPr>
        <w:t>(i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310F03" w:rsidRPr="003C351B">
        <w:rPr>
          <w:b/>
          <w:bCs/>
          <w:noProof/>
          <w:sz w:val="22"/>
          <w:szCs w:val="22"/>
          <w:lang w:val="sr-Latn-ME"/>
        </w:rPr>
        <w:t>druga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310F03" w:rsidRPr="003C351B">
        <w:rPr>
          <w:b/>
          <w:bCs/>
          <w:noProof/>
          <w:sz w:val="22"/>
          <w:szCs w:val="22"/>
          <w:lang w:val="sr-Latn-ME"/>
        </w:rPr>
        <w:t>uputs</w:t>
      </w:r>
      <w:r w:rsidR="004109FA" w:rsidRPr="003C351B">
        <w:rPr>
          <w:b/>
          <w:bCs/>
          <w:noProof/>
          <w:sz w:val="22"/>
          <w:szCs w:val="22"/>
          <w:lang w:val="sr-Latn-ME"/>
        </w:rPr>
        <w:t>t</w:t>
      </w:r>
      <w:r w:rsidR="00310F03" w:rsidRPr="003C351B">
        <w:rPr>
          <w:b/>
          <w:bCs/>
          <w:noProof/>
          <w:sz w:val="22"/>
          <w:szCs w:val="22"/>
          <w:lang w:val="sr-Latn-ME"/>
        </w:rPr>
        <w:t>va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310F03" w:rsidRPr="003C351B">
        <w:rPr>
          <w:b/>
          <w:bCs/>
          <w:noProof/>
          <w:sz w:val="22"/>
          <w:szCs w:val="22"/>
          <w:lang w:val="sr-Latn-ME"/>
        </w:rPr>
        <w:t>za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310F03" w:rsidRPr="003C351B">
        <w:rPr>
          <w:b/>
          <w:bCs/>
          <w:noProof/>
          <w:sz w:val="22"/>
          <w:szCs w:val="22"/>
          <w:lang w:val="sr-Latn-ME"/>
        </w:rPr>
        <w:t>rukovanje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310F03" w:rsidRPr="003C351B">
        <w:rPr>
          <w:b/>
          <w:bCs/>
          <w:noProof/>
          <w:sz w:val="22"/>
          <w:szCs w:val="22"/>
          <w:lang w:val="sr-Latn-ME"/>
        </w:rPr>
        <w:t>lijekom)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401D93" w:rsidRPr="003C351B" w:rsidRDefault="00401D93" w:rsidP="00401D93">
      <w:pPr>
        <w:rPr>
          <w:noProof/>
          <w:sz w:val="22"/>
          <w:szCs w:val="22"/>
          <w:lang w:val="sr-Latn-ME"/>
        </w:rPr>
      </w:pPr>
    </w:p>
    <w:p w:rsidR="00871739" w:rsidRPr="003C351B" w:rsidRDefault="00871739" w:rsidP="00CD15F7">
      <w:pPr>
        <w:jc w:val="both"/>
        <w:rPr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Nema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posebnih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zahtjeva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za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korišćenje,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rukovanje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</w:t>
      </w:r>
      <w:r w:rsidR="004975C9" w:rsidRPr="003C351B">
        <w:rPr>
          <w:noProof/>
          <w:sz w:val="22"/>
          <w:szCs w:val="22"/>
          <w:lang w:val="sr-Latn-ME"/>
        </w:rPr>
        <w:t>dl</w:t>
      </w:r>
      <w:r w:rsidRPr="003C351B">
        <w:rPr>
          <w:noProof/>
          <w:sz w:val="22"/>
          <w:szCs w:val="22"/>
          <w:lang w:val="sr-Latn-ME"/>
        </w:rPr>
        <w:t>aganje.</w:t>
      </w:r>
    </w:p>
    <w:p w:rsidR="00871739" w:rsidRPr="003C351B" w:rsidRDefault="00871739" w:rsidP="00CD15F7">
      <w:pPr>
        <w:ind w:right="20"/>
        <w:jc w:val="both"/>
        <w:rPr>
          <w:noProof/>
          <w:sz w:val="22"/>
          <w:szCs w:val="22"/>
          <w:lang w:val="sr-Latn-ME"/>
        </w:rPr>
      </w:pPr>
    </w:p>
    <w:p w:rsidR="00B66A70" w:rsidRPr="003C351B" w:rsidRDefault="00871739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3C351B">
        <w:rPr>
          <w:noProof/>
          <w:sz w:val="22"/>
          <w:szCs w:val="22"/>
          <w:lang w:val="sr-Latn-ME"/>
        </w:rPr>
        <w:t>Svu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neiskorišćenu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količinu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l</w:t>
      </w:r>
      <w:r w:rsidR="000C29EC" w:rsidRPr="003C351B">
        <w:rPr>
          <w:noProof/>
          <w:sz w:val="22"/>
          <w:szCs w:val="22"/>
          <w:lang w:val="sr-Latn-ME"/>
        </w:rPr>
        <w:t>ije</w:t>
      </w:r>
      <w:r w:rsidRPr="003C351B">
        <w:rPr>
          <w:noProof/>
          <w:sz w:val="22"/>
          <w:szCs w:val="22"/>
          <w:lang w:val="sr-Latn-ME"/>
        </w:rPr>
        <w:t>ka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ili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otpadnog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materijala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nakon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njegove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upotrebe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treba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ukloniti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skladu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sa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važećim</w:t>
      </w:r>
      <w:r w:rsidR="00D014E2" w:rsidRPr="003C351B">
        <w:rPr>
          <w:noProof/>
          <w:sz w:val="22"/>
          <w:szCs w:val="22"/>
          <w:lang w:val="sr-Latn-ME"/>
        </w:rPr>
        <w:t xml:space="preserve"> </w:t>
      </w:r>
      <w:r w:rsidRPr="003C351B">
        <w:rPr>
          <w:noProof/>
          <w:sz w:val="22"/>
          <w:szCs w:val="22"/>
          <w:lang w:val="sr-Latn-ME"/>
        </w:rPr>
        <w:t>propisima.</w:t>
      </w:r>
    </w:p>
    <w:p w:rsidR="0072020E" w:rsidRPr="003C351B" w:rsidRDefault="0072020E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C29EC" w:rsidRPr="003C351B" w:rsidRDefault="000C29EC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F8570A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7.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NOSILAC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DOZVOLE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871739" w:rsidRPr="003C351B" w:rsidRDefault="00871739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871739" w:rsidRPr="003C351B" w:rsidRDefault="00871739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3C351B">
        <w:rPr>
          <w:bCs/>
          <w:noProof/>
          <w:sz w:val="22"/>
          <w:szCs w:val="22"/>
          <w:lang w:val="sr-Latn-ME"/>
        </w:rPr>
        <w:t>“Berlin-Chemie/Menarini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Montenegro”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d.o.o.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="002B667A" w:rsidRPr="003C351B">
        <w:rPr>
          <w:bCs/>
          <w:noProof/>
          <w:sz w:val="22"/>
          <w:szCs w:val="22"/>
          <w:lang w:val="sr-Latn-ME"/>
        </w:rPr>
        <w:t>-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Podgorica</w:t>
      </w:r>
    </w:p>
    <w:p w:rsidR="00C61BE0" w:rsidRPr="003C351B" w:rsidRDefault="00871739" w:rsidP="00CD15F7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3C351B">
        <w:rPr>
          <w:bCs/>
          <w:noProof/>
          <w:sz w:val="22"/>
          <w:szCs w:val="22"/>
          <w:lang w:val="sr-Latn-ME"/>
        </w:rPr>
        <w:t>Oktobarske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revolucije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120,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81000</w:t>
      </w:r>
      <w:r w:rsidR="00D014E2" w:rsidRPr="003C351B">
        <w:rPr>
          <w:bCs/>
          <w:noProof/>
          <w:sz w:val="22"/>
          <w:szCs w:val="22"/>
          <w:lang w:val="sr-Latn-ME"/>
        </w:rPr>
        <w:t xml:space="preserve"> </w:t>
      </w:r>
      <w:r w:rsidRPr="003C351B">
        <w:rPr>
          <w:bCs/>
          <w:noProof/>
          <w:sz w:val="22"/>
          <w:szCs w:val="22"/>
          <w:lang w:val="sr-Latn-ME"/>
        </w:rPr>
        <w:t>Podgorica</w:t>
      </w:r>
      <w:r w:rsidR="002B667A" w:rsidRPr="003C351B">
        <w:rPr>
          <w:bCs/>
          <w:noProof/>
          <w:sz w:val="22"/>
          <w:szCs w:val="22"/>
          <w:lang w:val="sr-Latn-ME"/>
        </w:rPr>
        <w:t>, Crna Gora</w:t>
      </w:r>
    </w:p>
    <w:p w:rsidR="00C37FD7" w:rsidRPr="003C351B" w:rsidRDefault="00C37FD7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C29EC" w:rsidRPr="003C351B" w:rsidRDefault="000C29EC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F54461" w:rsidRPr="003C351B" w:rsidRDefault="00F54461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F54461" w:rsidRPr="003C351B" w:rsidRDefault="00F54461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bookmarkStart w:id="0" w:name="_GoBack"/>
      <w:bookmarkEnd w:id="0"/>
    </w:p>
    <w:p w:rsidR="0072020E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lastRenderedPageBreak/>
        <w:t>8.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BROJ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Pr="003C351B">
        <w:rPr>
          <w:b/>
          <w:bCs/>
          <w:noProof/>
          <w:sz w:val="22"/>
          <w:szCs w:val="22"/>
          <w:lang w:val="sr-Latn-ME"/>
        </w:rPr>
        <w:t>DOZVOLE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ZA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STAVLJANJE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LIJEKA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U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PROMET</w:t>
      </w:r>
    </w:p>
    <w:p w:rsidR="00401D93" w:rsidRPr="003C351B" w:rsidRDefault="00401D93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F45F77" w:rsidRPr="003C351B" w:rsidRDefault="003C351B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2030/24/848 - 1121</w:t>
      </w:r>
    </w:p>
    <w:p w:rsidR="000C29EC" w:rsidRDefault="000C29EC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3C351B" w:rsidRPr="003C351B" w:rsidRDefault="003C351B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3C351B" w:rsidRDefault="0072020E" w:rsidP="00401D9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9.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Pr="003C351B">
        <w:rPr>
          <w:b/>
          <w:bCs/>
          <w:noProof/>
          <w:sz w:val="22"/>
          <w:szCs w:val="22"/>
          <w:lang w:val="sr-Latn-ME"/>
        </w:rPr>
        <w:t>DATUM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C05DF8" w:rsidRPr="003C351B">
        <w:rPr>
          <w:b/>
          <w:bCs/>
          <w:noProof/>
          <w:sz w:val="22"/>
          <w:szCs w:val="22"/>
          <w:lang w:val="sr-Latn-ME"/>
        </w:rPr>
        <w:t>PRVE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DOZVOLE</w:t>
      </w:r>
      <w:r w:rsidR="00C05DF8" w:rsidRPr="003C351B">
        <w:rPr>
          <w:b/>
          <w:bCs/>
          <w:noProof/>
          <w:sz w:val="22"/>
          <w:szCs w:val="22"/>
          <w:lang w:val="sr-Latn-ME"/>
        </w:rPr>
        <w:t>/OBNOVE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C05DF8" w:rsidRPr="003C351B">
        <w:rPr>
          <w:b/>
          <w:bCs/>
          <w:noProof/>
          <w:sz w:val="22"/>
          <w:szCs w:val="22"/>
          <w:lang w:val="sr-Latn-ME"/>
        </w:rPr>
        <w:t>DOZVOLE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ZA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STAVLJANJE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LIJEKA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U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8A6D43" w:rsidRPr="003C351B">
        <w:rPr>
          <w:b/>
          <w:bCs/>
          <w:noProof/>
          <w:sz w:val="22"/>
          <w:szCs w:val="22"/>
          <w:lang w:val="sr-Latn-ME"/>
        </w:rPr>
        <w:t>PROMET</w:t>
      </w:r>
    </w:p>
    <w:p w:rsidR="00401D93" w:rsidRPr="003C351B" w:rsidRDefault="00401D93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3C351B" w:rsidRDefault="00F54461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3C351B">
        <w:rPr>
          <w:bCs/>
          <w:noProof/>
          <w:sz w:val="22"/>
          <w:szCs w:val="22"/>
          <w:lang w:val="sr-Latn-ME"/>
        </w:rPr>
        <w:t xml:space="preserve">Datum prve dozvole: </w:t>
      </w:r>
      <w:r w:rsidR="00871739" w:rsidRPr="003C351B">
        <w:rPr>
          <w:bCs/>
          <w:noProof/>
          <w:sz w:val="22"/>
          <w:szCs w:val="22"/>
          <w:lang w:val="sr-Latn-ME"/>
        </w:rPr>
        <w:t>21.11.2013.</w:t>
      </w:r>
      <w:r w:rsidR="000C29EC" w:rsidRPr="003C351B">
        <w:rPr>
          <w:bCs/>
          <w:noProof/>
          <w:sz w:val="22"/>
          <w:szCs w:val="22"/>
          <w:lang w:val="sr-Latn-ME"/>
        </w:rPr>
        <w:t xml:space="preserve"> godine</w:t>
      </w:r>
    </w:p>
    <w:p w:rsidR="00F54461" w:rsidRPr="003C351B" w:rsidRDefault="00F54461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3C351B">
        <w:rPr>
          <w:bCs/>
          <w:noProof/>
          <w:sz w:val="22"/>
          <w:szCs w:val="22"/>
          <w:lang w:val="sr-Latn-ME"/>
        </w:rPr>
        <w:t xml:space="preserve">Datum poslednje obnove dozvole: </w:t>
      </w:r>
      <w:r w:rsidR="003C351B">
        <w:rPr>
          <w:rFonts w:ascii="TimesNewRoman" w:hAnsi="TimesNewRoman" w:cs="TimesNewRoman"/>
          <w:sz w:val="22"/>
          <w:szCs w:val="22"/>
          <w:lang w:eastAsia="sr-Latn-ME"/>
        </w:rPr>
        <w:t xml:space="preserve">20.02.2024. </w:t>
      </w:r>
      <w:proofErr w:type="spellStart"/>
      <w:proofErr w:type="gramStart"/>
      <w:r w:rsidR="003C351B"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  <w:proofErr w:type="gramEnd"/>
    </w:p>
    <w:p w:rsidR="00836B35" w:rsidRPr="003C351B" w:rsidRDefault="00836B35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C29EC" w:rsidRPr="003C351B" w:rsidRDefault="000C29EC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3F6A59" w:rsidRPr="003C351B" w:rsidRDefault="0072020E" w:rsidP="00401D93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3C351B">
        <w:rPr>
          <w:b/>
          <w:bCs/>
          <w:noProof/>
          <w:sz w:val="22"/>
          <w:szCs w:val="22"/>
          <w:lang w:val="sr-Latn-ME"/>
        </w:rPr>
        <w:t>10.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3C351B">
        <w:rPr>
          <w:b/>
          <w:bCs/>
          <w:noProof/>
          <w:sz w:val="22"/>
          <w:szCs w:val="22"/>
          <w:lang w:val="sr-Latn-ME"/>
        </w:rPr>
        <w:tab/>
      </w:r>
      <w:r w:rsidR="002846DB" w:rsidRPr="003C351B">
        <w:rPr>
          <w:b/>
          <w:bCs/>
          <w:noProof/>
          <w:sz w:val="22"/>
          <w:szCs w:val="22"/>
          <w:lang w:val="sr-Latn-ME"/>
        </w:rPr>
        <w:t>D</w:t>
      </w:r>
      <w:r w:rsidR="00EC2532" w:rsidRPr="003C351B">
        <w:rPr>
          <w:b/>
          <w:bCs/>
          <w:noProof/>
          <w:sz w:val="22"/>
          <w:szCs w:val="22"/>
          <w:lang w:val="sr-Latn-ME"/>
        </w:rPr>
        <w:t>ATUM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EC2532" w:rsidRPr="003C351B">
        <w:rPr>
          <w:b/>
          <w:bCs/>
          <w:noProof/>
          <w:sz w:val="22"/>
          <w:szCs w:val="22"/>
          <w:lang w:val="sr-Latn-ME"/>
        </w:rPr>
        <w:t>REVIZIJE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  <w:r w:rsidR="00EC2532" w:rsidRPr="003C351B">
        <w:rPr>
          <w:b/>
          <w:bCs/>
          <w:noProof/>
          <w:sz w:val="22"/>
          <w:szCs w:val="22"/>
          <w:lang w:val="sr-Latn-ME"/>
        </w:rPr>
        <w:t>TEKSTA</w:t>
      </w:r>
      <w:r w:rsidR="00D014E2" w:rsidRPr="003C351B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401D93" w:rsidRPr="003C351B" w:rsidRDefault="00401D93" w:rsidP="00401D9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3F6A59" w:rsidRPr="003C351B" w:rsidRDefault="003C351B" w:rsidP="00401D93">
      <w:pPr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Februar, 2024. godine</w:t>
      </w:r>
    </w:p>
    <w:sectPr w:rsidR="003F6A59" w:rsidRPr="003C351B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C88" w:rsidRDefault="00E31C88">
      <w:r>
        <w:separator/>
      </w:r>
    </w:p>
  </w:endnote>
  <w:endnote w:type="continuationSeparator" w:id="0">
    <w:p w:rsidR="00E31C88" w:rsidRDefault="00E3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5C9" w:rsidRPr="00B23F69" w:rsidRDefault="004975C9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C351B">
      <w:rPr>
        <w:noProof/>
        <w:sz w:val="22"/>
        <w:szCs w:val="22"/>
      </w:rPr>
      <w:t>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C351B">
      <w:rPr>
        <w:noProof/>
        <w:sz w:val="22"/>
        <w:szCs w:val="22"/>
      </w:rPr>
      <w:t>17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C88" w:rsidRDefault="00E31C88">
      <w:r>
        <w:separator/>
      </w:r>
    </w:p>
  </w:footnote>
  <w:footnote w:type="continuationSeparator" w:id="0">
    <w:p w:rsidR="00E31C88" w:rsidRDefault="00E31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9569F"/>
    <w:rsid w:val="000A3F58"/>
    <w:rsid w:val="000B0E91"/>
    <w:rsid w:val="000C29EC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81248"/>
    <w:rsid w:val="0019448D"/>
    <w:rsid w:val="001A3FBA"/>
    <w:rsid w:val="001A5518"/>
    <w:rsid w:val="001A62C1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38C4"/>
    <w:rsid w:val="00266046"/>
    <w:rsid w:val="002846DB"/>
    <w:rsid w:val="00284CCD"/>
    <w:rsid w:val="002862AB"/>
    <w:rsid w:val="002B667A"/>
    <w:rsid w:val="002C6637"/>
    <w:rsid w:val="002E0135"/>
    <w:rsid w:val="002E37A5"/>
    <w:rsid w:val="002E50B5"/>
    <w:rsid w:val="00310F03"/>
    <w:rsid w:val="003226A9"/>
    <w:rsid w:val="003247D2"/>
    <w:rsid w:val="003445C1"/>
    <w:rsid w:val="00355B61"/>
    <w:rsid w:val="003612E0"/>
    <w:rsid w:val="00362686"/>
    <w:rsid w:val="003667C5"/>
    <w:rsid w:val="00371510"/>
    <w:rsid w:val="00396DFD"/>
    <w:rsid w:val="003A7059"/>
    <w:rsid w:val="003B7A36"/>
    <w:rsid w:val="003C17AB"/>
    <w:rsid w:val="003C351B"/>
    <w:rsid w:val="003C7823"/>
    <w:rsid w:val="003E1DCC"/>
    <w:rsid w:val="003F11A1"/>
    <w:rsid w:val="003F6A59"/>
    <w:rsid w:val="00401D93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975C9"/>
    <w:rsid w:val="004B2C11"/>
    <w:rsid w:val="004C331F"/>
    <w:rsid w:val="004D6103"/>
    <w:rsid w:val="004E3BCE"/>
    <w:rsid w:val="004E70AD"/>
    <w:rsid w:val="004F0E97"/>
    <w:rsid w:val="00501DD1"/>
    <w:rsid w:val="00515C21"/>
    <w:rsid w:val="00530BD7"/>
    <w:rsid w:val="00536DFC"/>
    <w:rsid w:val="00545CD2"/>
    <w:rsid w:val="005476F3"/>
    <w:rsid w:val="00570F38"/>
    <w:rsid w:val="00572527"/>
    <w:rsid w:val="00573E40"/>
    <w:rsid w:val="00576348"/>
    <w:rsid w:val="00586A29"/>
    <w:rsid w:val="005A0B2E"/>
    <w:rsid w:val="005A23D2"/>
    <w:rsid w:val="005A36CB"/>
    <w:rsid w:val="005B49B8"/>
    <w:rsid w:val="005C0741"/>
    <w:rsid w:val="005C0B06"/>
    <w:rsid w:val="005C5EF4"/>
    <w:rsid w:val="005E2E0B"/>
    <w:rsid w:val="005E7A7D"/>
    <w:rsid w:val="0060148C"/>
    <w:rsid w:val="00602457"/>
    <w:rsid w:val="00605FB1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4BCE"/>
    <w:rsid w:val="006B5404"/>
    <w:rsid w:val="006D20A5"/>
    <w:rsid w:val="006D37BF"/>
    <w:rsid w:val="006E4AD9"/>
    <w:rsid w:val="00702E22"/>
    <w:rsid w:val="00711646"/>
    <w:rsid w:val="0072020E"/>
    <w:rsid w:val="007224C6"/>
    <w:rsid w:val="00730FCB"/>
    <w:rsid w:val="0078250F"/>
    <w:rsid w:val="00786071"/>
    <w:rsid w:val="0079258C"/>
    <w:rsid w:val="007A3ECB"/>
    <w:rsid w:val="007C339A"/>
    <w:rsid w:val="007D7BB3"/>
    <w:rsid w:val="00824AB9"/>
    <w:rsid w:val="00836B35"/>
    <w:rsid w:val="00843BDE"/>
    <w:rsid w:val="00871739"/>
    <w:rsid w:val="0087588C"/>
    <w:rsid w:val="0089705C"/>
    <w:rsid w:val="008A6D43"/>
    <w:rsid w:val="008B491E"/>
    <w:rsid w:val="008C1A28"/>
    <w:rsid w:val="008C2E98"/>
    <w:rsid w:val="008E2B93"/>
    <w:rsid w:val="008E49BD"/>
    <w:rsid w:val="008E53E9"/>
    <w:rsid w:val="008E5771"/>
    <w:rsid w:val="008F4ACF"/>
    <w:rsid w:val="00924166"/>
    <w:rsid w:val="0093056B"/>
    <w:rsid w:val="00940B9B"/>
    <w:rsid w:val="0095676E"/>
    <w:rsid w:val="00956983"/>
    <w:rsid w:val="00963CF0"/>
    <w:rsid w:val="00964BB1"/>
    <w:rsid w:val="009775D9"/>
    <w:rsid w:val="00997175"/>
    <w:rsid w:val="00997D56"/>
    <w:rsid w:val="009A1847"/>
    <w:rsid w:val="009B062A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A01F9"/>
    <w:rsid w:val="00BA0D6B"/>
    <w:rsid w:val="00BD64B1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D15F7"/>
    <w:rsid w:val="00CD4F85"/>
    <w:rsid w:val="00CD6F02"/>
    <w:rsid w:val="00CE246D"/>
    <w:rsid w:val="00CF07A0"/>
    <w:rsid w:val="00CF3E03"/>
    <w:rsid w:val="00D0082A"/>
    <w:rsid w:val="00D014E2"/>
    <w:rsid w:val="00D21455"/>
    <w:rsid w:val="00D42E45"/>
    <w:rsid w:val="00D47634"/>
    <w:rsid w:val="00D57B80"/>
    <w:rsid w:val="00D60726"/>
    <w:rsid w:val="00D709B3"/>
    <w:rsid w:val="00D945BA"/>
    <w:rsid w:val="00DA2ED6"/>
    <w:rsid w:val="00DB76B8"/>
    <w:rsid w:val="00DC2EA1"/>
    <w:rsid w:val="00DD6AAF"/>
    <w:rsid w:val="00DD7C04"/>
    <w:rsid w:val="00DE3F5C"/>
    <w:rsid w:val="00DF1D20"/>
    <w:rsid w:val="00E005F7"/>
    <w:rsid w:val="00E20A4B"/>
    <w:rsid w:val="00E21324"/>
    <w:rsid w:val="00E246B9"/>
    <w:rsid w:val="00E31C88"/>
    <w:rsid w:val="00E31FEA"/>
    <w:rsid w:val="00E44325"/>
    <w:rsid w:val="00E45169"/>
    <w:rsid w:val="00E47787"/>
    <w:rsid w:val="00E51C30"/>
    <w:rsid w:val="00E64180"/>
    <w:rsid w:val="00E74AEE"/>
    <w:rsid w:val="00E868E5"/>
    <w:rsid w:val="00E873CD"/>
    <w:rsid w:val="00E9237A"/>
    <w:rsid w:val="00E939FA"/>
    <w:rsid w:val="00EA5765"/>
    <w:rsid w:val="00EC2532"/>
    <w:rsid w:val="00ED7812"/>
    <w:rsid w:val="00EF3B86"/>
    <w:rsid w:val="00F22EA9"/>
    <w:rsid w:val="00F317E9"/>
    <w:rsid w:val="00F34554"/>
    <w:rsid w:val="00F3640C"/>
    <w:rsid w:val="00F45F77"/>
    <w:rsid w:val="00F5167F"/>
    <w:rsid w:val="00F52258"/>
    <w:rsid w:val="00F54461"/>
    <w:rsid w:val="00F7447D"/>
    <w:rsid w:val="00F8570A"/>
    <w:rsid w:val="00F91C7B"/>
    <w:rsid w:val="00F93624"/>
    <w:rsid w:val="00FB60FD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24442"/>
  <w15:docId w15:val="{D2550EE0-8661-4706-9957-7112B983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7B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D57B8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064133016627275"/>
          <c:y val="6.9565217391304834E-2"/>
          <c:w val="0.78859857482185258"/>
          <c:h val="0.72463768115942062"/>
        </c:manualLayout>
      </c:layout>
      <c:lineChart>
        <c:grouping val="standard"/>
        <c:varyColors val="0"/>
        <c:ser>
          <c:idx val="4"/>
          <c:order val="0"/>
          <c:tx>
            <c:strRef>
              <c:f>'Mean sUA'!$B$1</c:f>
              <c:strCache>
                <c:ptCount val="1"/>
                <c:pt idx="0">
                  <c:v>Mean Placebo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sUA'!$G$2:$G$12</c:f>
                <c:numCache>
                  <c:formatCode>General</c:formatCode>
                  <c:ptCount val="11"/>
                  <c:pt idx="1">
                    <c:v>0.11799999999999999</c:v>
                  </c:pt>
                  <c:pt idx="2">
                    <c:v>0.15400000000000041</c:v>
                  </c:pt>
                  <c:pt idx="3">
                    <c:v>0.16000000000000095</c:v>
                  </c:pt>
                  <c:pt idx="4">
                    <c:v>0.16500000000000106</c:v>
                  </c:pt>
                  <c:pt idx="5">
                    <c:v>0.16900000000000126</c:v>
                  </c:pt>
                  <c:pt idx="6">
                    <c:v>0.15800000000000114</c:v>
                  </c:pt>
                  <c:pt idx="7">
                    <c:v>0.13600000000000001</c:v>
                  </c:pt>
                  <c:pt idx="8">
                    <c:v>0.13800000000000001</c:v>
                  </c:pt>
                  <c:pt idx="9">
                    <c:v>0.14000000000000001</c:v>
                  </c:pt>
                  <c:pt idx="10">
                    <c:v>0.15500000000000044</c:v>
                  </c:pt>
                </c:numCache>
              </c:numRef>
            </c:plus>
            <c:minus>
              <c:numRef>
                <c:f>'Mean sUA'!$G$2:$G$12</c:f>
                <c:numCache>
                  <c:formatCode>General</c:formatCode>
                  <c:ptCount val="11"/>
                  <c:pt idx="1">
                    <c:v>0.11799999999999999</c:v>
                  </c:pt>
                  <c:pt idx="2">
                    <c:v>0.15400000000000041</c:v>
                  </c:pt>
                  <c:pt idx="3">
                    <c:v>0.16000000000000095</c:v>
                  </c:pt>
                  <c:pt idx="4">
                    <c:v>0.16500000000000106</c:v>
                  </c:pt>
                  <c:pt idx="5">
                    <c:v>0.16900000000000126</c:v>
                  </c:pt>
                  <c:pt idx="6">
                    <c:v>0.15800000000000114</c:v>
                  </c:pt>
                  <c:pt idx="7">
                    <c:v>0.13600000000000001</c:v>
                  </c:pt>
                  <c:pt idx="8">
                    <c:v>0.13800000000000001</c:v>
                  </c:pt>
                  <c:pt idx="9">
                    <c:v>0.14000000000000001</c:v>
                  </c:pt>
                  <c:pt idx="10">
                    <c:v>0.15500000000000044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sUA'!$B$2:$B$12</c:f>
              <c:numCache>
                <c:formatCode>#.000</c:formatCode>
                <c:ptCount val="11"/>
                <c:pt idx="1">
                  <c:v>9.8000000000000007</c:v>
                </c:pt>
                <c:pt idx="2">
                  <c:v>9.9500000000000028</c:v>
                </c:pt>
                <c:pt idx="3">
                  <c:v>9.94</c:v>
                </c:pt>
                <c:pt idx="4">
                  <c:v>9.81</c:v>
                </c:pt>
                <c:pt idx="5">
                  <c:v>9.67</c:v>
                </c:pt>
                <c:pt idx="6">
                  <c:v>9.59</c:v>
                </c:pt>
                <c:pt idx="7">
                  <c:v>9.3800000000000008</c:v>
                </c:pt>
                <c:pt idx="8">
                  <c:v>9.31</c:v>
                </c:pt>
                <c:pt idx="9">
                  <c:v>9.25</c:v>
                </c:pt>
                <c:pt idx="10">
                  <c:v>9.25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A0-47E8-8BF8-DB3F92A11A26}"/>
            </c:ext>
          </c:extLst>
        </c:ser>
        <c:ser>
          <c:idx val="0"/>
          <c:order val="1"/>
          <c:tx>
            <c:strRef>
              <c:f>'Mean sUA'!$C$1</c:f>
              <c:strCache>
                <c:ptCount val="1"/>
                <c:pt idx="0">
                  <c:v>Mean Feb 80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sUA'!$H$2:$H$18</c:f>
                <c:numCache>
                  <c:formatCode>General</c:formatCode>
                  <c:ptCount val="17"/>
                  <c:pt idx="1">
                    <c:v>5.7000000000000134E-2</c:v>
                  </c:pt>
                  <c:pt idx="2">
                    <c:v>6.7000000000000434E-2</c:v>
                  </c:pt>
                  <c:pt idx="3">
                    <c:v>7.0000000000000034E-2</c:v>
                  </c:pt>
                  <c:pt idx="4">
                    <c:v>0.11700000000000065</c:v>
                  </c:pt>
                  <c:pt idx="5">
                    <c:v>7.7000000000000582E-2</c:v>
                  </c:pt>
                  <c:pt idx="6">
                    <c:v>8.0000000000000224E-2</c:v>
                  </c:pt>
                  <c:pt idx="7">
                    <c:v>8.8000000000000883E-2</c:v>
                  </c:pt>
                  <c:pt idx="8">
                    <c:v>8.7000000000000022E-2</c:v>
                  </c:pt>
                  <c:pt idx="9">
                    <c:v>8.9000000000000246E-2</c:v>
                  </c:pt>
                  <c:pt idx="10">
                    <c:v>8.8000000000000883E-2</c:v>
                  </c:pt>
                  <c:pt idx="11">
                    <c:v>0.129</c:v>
                  </c:pt>
                  <c:pt idx="12">
                    <c:v>0.13100000000000001</c:v>
                  </c:pt>
                  <c:pt idx="13">
                    <c:v>0.13700000000000001</c:v>
                  </c:pt>
                  <c:pt idx="14">
                    <c:v>0.13</c:v>
                  </c:pt>
                  <c:pt idx="15">
                    <c:v>0.12300000000000012</c:v>
                  </c:pt>
                  <c:pt idx="16">
                    <c:v>0.13300000000000001</c:v>
                  </c:pt>
                </c:numCache>
              </c:numRef>
            </c:plus>
            <c:minus>
              <c:numRef>
                <c:f>'Mean sUA'!$H$2:$H$18</c:f>
                <c:numCache>
                  <c:formatCode>General</c:formatCode>
                  <c:ptCount val="17"/>
                  <c:pt idx="1">
                    <c:v>5.7000000000000134E-2</c:v>
                  </c:pt>
                  <c:pt idx="2">
                    <c:v>6.7000000000000434E-2</c:v>
                  </c:pt>
                  <c:pt idx="3">
                    <c:v>7.0000000000000034E-2</c:v>
                  </c:pt>
                  <c:pt idx="4">
                    <c:v>0.11700000000000065</c:v>
                  </c:pt>
                  <c:pt idx="5">
                    <c:v>7.7000000000000582E-2</c:v>
                  </c:pt>
                  <c:pt idx="6">
                    <c:v>8.0000000000000224E-2</c:v>
                  </c:pt>
                  <c:pt idx="7">
                    <c:v>8.8000000000000883E-2</c:v>
                  </c:pt>
                  <c:pt idx="8">
                    <c:v>8.7000000000000022E-2</c:v>
                  </c:pt>
                  <c:pt idx="9">
                    <c:v>8.9000000000000246E-2</c:v>
                  </c:pt>
                  <c:pt idx="10">
                    <c:v>8.8000000000000883E-2</c:v>
                  </c:pt>
                  <c:pt idx="11">
                    <c:v>0.129</c:v>
                  </c:pt>
                  <c:pt idx="12">
                    <c:v>0.13100000000000001</c:v>
                  </c:pt>
                  <c:pt idx="13">
                    <c:v>0.13700000000000001</c:v>
                  </c:pt>
                  <c:pt idx="14">
                    <c:v>0.13</c:v>
                  </c:pt>
                  <c:pt idx="15">
                    <c:v>0.12300000000000012</c:v>
                  </c:pt>
                  <c:pt idx="16">
                    <c:v>0.13300000000000001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sUA'!$C$2:$C$19</c:f>
              <c:numCache>
                <c:formatCode>#.000</c:formatCode>
                <c:ptCount val="18"/>
                <c:pt idx="1">
                  <c:v>9.8800000000000008</c:v>
                </c:pt>
                <c:pt idx="2">
                  <c:v>5.03</c:v>
                </c:pt>
                <c:pt idx="3">
                  <c:v>5.1499999999999995</c:v>
                </c:pt>
                <c:pt idx="4">
                  <c:v>5.2700000000000014</c:v>
                </c:pt>
                <c:pt idx="5">
                  <c:v>5.22</c:v>
                </c:pt>
                <c:pt idx="6">
                  <c:v>5.24</c:v>
                </c:pt>
                <c:pt idx="7">
                  <c:v>5.29</c:v>
                </c:pt>
                <c:pt idx="8">
                  <c:v>5.2700000000000014</c:v>
                </c:pt>
                <c:pt idx="9">
                  <c:v>5.25</c:v>
                </c:pt>
                <c:pt idx="10">
                  <c:v>5.2</c:v>
                </c:pt>
                <c:pt idx="11">
                  <c:v>5.34</c:v>
                </c:pt>
                <c:pt idx="12">
                  <c:v>5.2700000000000014</c:v>
                </c:pt>
                <c:pt idx="13">
                  <c:v>5.29</c:v>
                </c:pt>
                <c:pt idx="14">
                  <c:v>5.28</c:v>
                </c:pt>
                <c:pt idx="15">
                  <c:v>5.09</c:v>
                </c:pt>
                <c:pt idx="16">
                  <c:v>5.07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A0-47E8-8BF8-DB3F92A11A26}"/>
            </c:ext>
          </c:extLst>
        </c:ser>
        <c:ser>
          <c:idx val="1"/>
          <c:order val="2"/>
          <c:tx>
            <c:strRef>
              <c:f>'Mean sUA'!$D$1</c:f>
              <c:strCache>
                <c:ptCount val="1"/>
                <c:pt idx="0">
                  <c:v>Mean Feb 120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sUA'!$I$2:$I$18</c:f>
                <c:numCache>
                  <c:formatCode>General</c:formatCode>
                  <c:ptCount val="17"/>
                  <c:pt idx="1">
                    <c:v>5.5000000000000132E-2</c:v>
                  </c:pt>
                  <c:pt idx="2">
                    <c:v>6.4000000000000598E-2</c:v>
                  </c:pt>
                  <c:pt idx="3">
                    <c:v>8.0000000000000224E-2</c:v>
                  </c:pt>
                  <c:pt idx="4">
                    <c:v>0.11600000000000063</c:v>
                  </c:pt>
                  <c:pt idx="5">
                    <c:v>7.9000000000000681E-2</c:v>
                  </c:pt>
                  <c:pt idx="6">
                    <c:v>8.1000000000000044E-2</c:v>
                  </c:pt>
                  <c:pt idx="7">
                    <c:v>7.7000000000000582E-2</c:v>
                  </c:pt>
                  <c:pt idx="8">
                    <c:v>8.9000000000000246E-2</c:v>
                  </c:pt>
                  <c:pt idx="9">
                    <c:v>9.2000000000000026E-2</c:v>
                  </c:pt>
                  <c:pt idx="10">
                    <c:v>8.8000000000000883E-2</c:v>
                  </c:pt>
                  <c:pt idx="11">
                    <c:v>0.16300000000000106</c:v>
                  </c:pt>
                  <c:pt idx="12">
                    <c:v>0.16500000000000106</c:v>
                  </c:pt>
                  <c:pt idx="13">
                    <c:v>0.15400000000000041</c:v>
                  </c:pt>
                  <c:pt idx="14">
                    <c:v>0.17300000000000001</c:v>
                  </c:pt>
                  <c:pt idx="15">
                    <c:v>0.16300000000000106</c:v>
                  </c:pt>
                  <c:pt idx="16">
                    <c:v>0.17400000000000004</c:v>
                  </c:pt>
                </c:numCache>
              </c:numRef>
            </c:plus>
            <c:minus>
              <c:numRef>
                <c:f>'Mean sUA'!$I$2:$I$18</c:f>
                <c:numCache>
                  <c:formatCode>General</c:formatCode>
                  <c:ptCount val="17"/>
                  <c:pt idx="1">
                    <c:v>5.5000000000000132E-2</c:v>
                  </c:pt>
                  <c:pt idx="2">
                    <c:v>6.4000000000000598E-2</c:v>
                  </c:pt>
                  <c:pt idx="3">
                    <c:v>8.0000000000000224E-2</c:v>
                  </c:pt>
                  <c:pt idx="4">
                    <c:v>0.11600000000000063</c:v>
                  </c:pt>
                  <c:pt idx="5">
                    <c:v>7.9000000000000681E-2</c:v>
                  </c:pt>
                  <c:pt idx="6">
                    <c:v>8.1000000000000044E-2</c:v>
                  </c:pt>
                  <c:pt idx="7">
                    <c:v>7.7000000000000582E-2</c:v>
                  </c:pt>
                  <c:pt idx="8">
                    <c:v>8.9000000000000246E-2</c:v>
                  </c:pt>
                  <c:pt idx="9">
                    <c:v>9.2000000000000026E-2</c:v>
                  </c:pt>
                  <c:pt idx="10">
                    <c:v>8.8000000000000883E-2</c:v>
                  </c:pt>
                  <c:pt idx="11">
                    <c:v>0.16300000000000106</c:v>
                  </c:pt>
                  <c:pt idx="12">
                    <c:v>0.16500000000000106</c:v>
                  </c:pt>
                  <c:pt idx="13">
                    <c:v>0.15400000000000041</c:v>
                  </c:pt>
                  <c:pt idx="14">
                    <c:v>0.17300000000000001</c:v>
                  </c:pt>
                  <c:pt idx="15">
                    <c:v>0.16300000000000106</c:v>
                  </c:pt>
                  <c:pt idx="16">
                    <c:v>0.17400000000000004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sUA'!$D$2:$D$18</c:f>
              <c:numCache>
                <c:formatCode>#.000</c:formatCode>
                <c:ptCount val="17"/>
                <c:pt idx="1">
                  <c:v>9.8600000000000048</c:v>
                </c:pt>
                <c:pt idx="2">
                  <c:v>4.3199999999999985</c:v>
                </c:pt>
                <c:pt idx="3">
                  <c:v>4.51</c:v>
                </c:pt>
                <c:pt idx="4">
                  <c:v>4.51</c:v>
                </c:pt>
                <c:pt idx="5">
                  <c:v>4.37</c:v>
                </c:pt>
                <c:pt idx="6">
                  <c:v>4.45</c:v>
                </c:pt>
                <c:pt idx="7">
                  <c:v>4.4000000000000004</c:v>
                </c:pt>
                <c:pt idx="8">
                  <c:v>4.5199999999999996</c:v>
                </c:pt>
                <c:pt idx="9">
                  <c:v>4.51</c:v>
                </c:pt>
                <c:pt idx="10">
                  <c:v>4.4700000000000024</c:v>
                </c:pt>
                <c:pt idx="11">
                  <c:v>4.6499999999999995</c:v>
                </c:pt>
                <c:pt idx="12">
                  <c:v>4.71</c:v>
                </c:pt>
                <c:pt idx="13">
                  <c:v>4.6199999999999966</c:v>
                </c:pt>
                <c:pt idx="14">
                  <c:v>4.7699999999999996</c:v>
                </c:pt>
                <c:pt idx="15">
                  <c:v>4.67</c:v>
                </c:pt>
                <c:pt idx="16">
                  <c:v>4.6399999999999997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A0-47E8-8BF8-DB3F92A11A26}"/>
            </c:ext>
          </c:extLst>
        </c:ser>
        <c:ser>
          <c:idx val="2"/>
          <c:order val="3"/>
          <c:tx>
            <c:strRef>
              <c:f>'Mean sUA'!$E$1</c:f>
              <c:strCache>
                <c:ptCount val="1"/>
                <c:pt idx="0">
                  <c:v>Mean Feb 240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sUA'!$J$2:$J$12</c:f>
                <c:numCache>
                  <c:formatCode>General</c:formatCode>
                  <c:ptCount val="11"/>
                  <c:pt idx="1">
                    <c:v>0.10299999999999998</c:v>
                  </c:pt>
                  <c:pt idx="2">
                    <c:v>0.11500000000000057</c:v>
                  </c:pt>
                  <c:pt idx="3">
                    <c:v>0.15300000000000041</c:v>
                  </c:pt>
                  <c:pt idx="4">
                    <c:v>0.13300000000000001</c:v>
                  </c:pt>
                  <c:pt idx="5">
                    <c:v>0.18100000000000024</c:v>
                  </c:pt>
                  <c:pt idx="6">
                    <c:v>0.22000000000000094</c:v>
                  </c:pt>
                  <c:pt idx="7">
                    <c:v>0.20700000000000021</c:v>
                  </c:pt>
                  <c:pt idx="8">
                    <c:v>0.16900000000000126</c:v>
                  </c:pt>
                  <c:pt idx="9">
                    <c:v>0.20700000000000021</c:v>
                  </c:pt>
                  <c:pt idx="10">
                    <c:v>0.20800000000000021</c:v>
                  </c:pt>
                </c:numCache>
              </c:numRef>
            </c:plus>
            <c:minus>
              <c:numRef>
                <c:f>'Mean sUA'!$J$2:$J$12</c:f>
                <c:numCache>
                  <c:formatCode>General</c:formatCode>
                  <c:ptCount val="11"/>
                  <c:pt idx="1">
                    <c:v>0.10299999999999998</c:v>
                  </c:pt>
                  <c:pt idx="2">
                    <c:v>0.11500000000000057</c:v>
                  </c:pt>
                  <c:pt idx="3">
                    <c:v>0.15300000000000041</c:v>
                  </c:pt>
                  <c:pt idx="4">
                    <c:v>0.13300000000000001</c:v>
                  </c:pt>
                  <c:pt idx="5">
                    <c:v>0.18100000000000024</c:v>
                  </c:pt>
                  <c:pt idx="6">
                    <c:v>0.22000000000000094</c:v>
                  </c:pt>
                  <c:pt idx="7">
                    <c:v>0.20700000000000021</c:v>
                  </c:pt>
                  <c:pt idx="8">
                    <c:v>0.16900000000000126</c:v>
                  </c:pt>
                  <c:pt idx="9">
                    <c:v>0.20700000000000021</c:v>
                  </c:pt>
                  <c:pt idx="10">
                    <c:v>0.20800000000000021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sUA'!$E$2:$E$12</c:f>
              <c:numCache>
                <c:formatCode>#.000</c:formatCode>
                <c:ptCount val="11"/>
                <c:pt idx="1">
                  <c:v>9.81</c:v>
                </c:pt>
                <c:pt idx="2">
                  <c:v>3</c:v>
                </c:pt>
                <c:pt idx="3">
                  <c:v>3.17</c:v>
                </c:pt>
                <c:pt idx="4">
                  <c:v>2.9899999999999998</c:v>
                </c:pt>
                <c:pt idx="5">
                  <c:v>3.15</c:v>
                </c:pt>
                <c:pt idx="6">
                  <c:v>3.46</c:v>
                </c:pt>
                <c:pt idx="7">
                  <c:v>3.2</c:v>
                </c:pt>
                <c:pt idx="8">
                  <c:v>3.05</c:v>
                </c:pt>
                <c:pt idx="9">
                  <c:v>3.4499999999999997</c:v>
                </c:pt>
                <c:pt idx="10">
                  <c:v>3.18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8A0-47E8-8BF8-DB3F92A11A26}"/>
            </c:ext>
          </c:extLst>
        </c:ser>
        <c:ser>
          <c:idx val="3"/>
          <c:order val="4"/>
          <c:tx>
            <c:strRef>
              <c:f>'Mean sUA'!$F$1</c:f>
              <c:strCache>
                <c:ptCount val="1"/>
                <c:pt idx="0">
                  <c:v>Mean Allo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sUA'!$K$2:$K$18</c:f>
                <c:numCache>
                  <c:formatCode>General</c:formatCode>
                  <c:ptCount val="17"/>
                  <c:pt idx="1">
                    <c:v>5.4000000000000527E-2</c:v>
                  </c:pt>
                  <c:pt idx="2">
                    <c:v>5.5000000000000132E-2</c:v>
                  </c:pt>
                  <c:pt idx="3">
                    <c:v>6.4000000000000598E-2</c:v>
                  </c:pt>
                  <c:pt idx="4">
                    <c:v>0.1</c:v>
                  </c:pt>
                  <c:pt idx="5">
                    <c:v>6.4000000000000598E-2</c:v>
                  </c:pt>
                  <c:pt idx="6">
                    <c:v>6.7000000000000434E-2</c:v>
                  </c:pt>
                  <c:pt idx="7">
                    <c:v>6.7000000000000434E-2</c:v>
                  </c:pt>
                  <c:pt idx="8">
                    <c:v>7.1000000000000021E-2</c:v>
                  </c:pt>
                  <c:pt idx="9">
                    <c:v>7.0000000000000034E-2</c:v>
                  </c:pt>
                  <c:pt idx="10">
                    <c:v>7.1000000000000021E-2</c:v>
                  </c:pt>
                  <c:pt idx="11">
                    <c:v>0.10600000000000002</c:v>
                  </c:pt>
                  <c:pt idx="12">
                    <c:v>0.10900000000000012</c:v>
                  </c:pt>
                  <c:pt idx="13">
                    <c:v>0.11300000000000029</c:v>
                  </c:pt>
                  <c:pt idx="14">
                    <c:v>0.10700000000000012</c:v>
                  </c:pt>
                  <c:pt idx="15">
                    <c:v>0.11000000000000019</c:v>
                  </c:pt>
                  <c:pt idx="16">
                    <c:v>0.10900000000000012</c:v>
                  </c:pt>
                </c:numCache>
              </c:numRef>
            </c:plus>
            <c:minus>
              <c:numRef>
                <c:f>'Mean sUA'!$K$2:$K$18</c:f>
                <c:numCache>
                  <c:formatCode>General</c:formatCode>
                  <c:ptCount val="17"/>
                  <c:pt idx="1">
                    <c:v>5.4000000000000527E-2</c:v>
                  </c:pt>
                  <c:pt idx="2">
                    <c:v>5.5000000000000132E-2</c:v>
                  </c:pt>
                  <c:pt idx="3">
                    <c:v>6.4000000000000598E-2</c:v>
                  </c:pt>
                  <c:pt idx="4">
                    <c:v>0.1</c:v>
                  </c:pt>
                  <c:pt idx="5">
                    <c:v>6.4000000000000598E-2</c:v>
                  </c:pt>
                  <c:pt idx="6">
                    <c:v>6.7000000000000434E-2</c:v>
                  </c:pt>
                  <c:pt idx="7">
                    <c:v>6.7000000000000434E-2</c:v>
                  </c:pt>
                  <c:pt idx="8">
                    <c:v>7.1000000000000021E-2</c:v>
                  </c:pt>
                  <c:pt idx="9">
                    <c:v>7.0000000000000034E-2</c:v>
                  </c:pt>
                  <c:pt idx="10">
                    <c:v>7.1000000000000021E-2</c:v>
                  </c:pt>
                  <c:pt idx="11">
                    <c:v>0.10600000000000002</c:v>
                  </c:pt>
                  <c:pt idx="12">
                    <c:v>0.10900000000000012</c:v>
                  </c:pt>
                  <c:pt idx="13">
                    <c:v>0.11300000000000029</c:v>
                  </c:pt>
                  <c:pt idx="14">
                    <c:v>0.10700000000000012</c:v>
                  </c:pt>
                  <c:pt idx="15">
                    <c:v>0.11000000000000019</c:v>
                  </c:pt>
                  <c:pt idx="16">
                    <c:v>0.10900000000000012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sUA'!$F$2:$F$18</c:f>
              <c:numCache>
                <c:formatCode>#.000</c:formatCode>
                <c:ptCount val="17"/>
                <c:pt idx="1">
                  <c:v>9.84</c:v>
                </c:pt>
                <c:pt idx="2">
                  <c:v>6.35</c:v>
                </c:pt>
                <c:pt idx="3">
                  <c:v>6.39</c:v>
                </c:pt>
                <c:pt idx="4">
                  <c:v>6.49</c:v>
                </c:pt>
                <c:pt idx="5">
                  <c:v>6.4300000000000024</c:v>
                </c:pt>
                <c:pt idx="6">
                  <c:v>6.37</c:v>
                </c:pt>
                <c:pt idx="7">
                  <c:v>6.4</c:v>
                </c:pt>
                <c:pt idx="8">
                  <c:v>6.41</c:v>
                </c:pt>
                <c:pt idx="9">
                  <c:v>6.37</c:v>
                </c:pt>
                <c:pt idx="10">
                  <c:v>6.37</c:v>
                </c:pt>
                <c:pt idx="11">
                  <c:v>6.39</c:v>
                </c:pt>
                <c:pt idx="12">
                  <c:v>6.4700000000000024</c:v>
                </c:pt>
                <c:pt idx="13">
                  <c:v>6.41</c:v>
                </c:pt>
                <c:pt idx="14">
                  <c:v>6.37</c:v>
                </c:pt>
                <c:pt idx="15">
                  <c:v>6.3</c:v>
                </c:pt>
                <c:pt idx="16">
                  <c:v>6.37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8A0-47E8-8BF8-DB3F92A11A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5675776"/>
        <c:axId val="163371776"/>
      </c:lineChart>
      <c:catAx>
        <c:axId val="1856757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ja-JP" sz="79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sr-Latn-RS" altLang="en-US"/>
                  <a:t>Nedjelja</a:t>
                </a:r>
                <a:endParaRPr lang="en-US" altLang="en-US"/>
              </a:p>
            </c:rich>
          </c:tx>
          <c:layout>
            <c:manualLayout>
              <c:xMode val="edge"/>
              <c:yMode val="edge"/>
              <c:x val="0.48693586698337332"/>
              <c:y val="0.86086956521739133"/>
            </c:manualLayout>
          </c:layout>
          <c:overlay val="0"/>
          <c:spPr>
            <a:noFill/>
            <a:ln w="2529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126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ja-JP" sz="7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63371776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63371776"/>
        <c:scaling>
          <c:orientation val="minMax"/>
          <c:min val="2"/>
        </c:scaling>
        <c:delete val="0"/>
        <c:axPos val="l"/>
        <c:title>
          <c:tx>
            <c:rich>
              <a:bodyPr/>
              <a:lstStyle/>
              <a:p>
                <a:pPr algn="r">
                  <a:defRPr lang="ja-JP" sz="79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sr-Latn-RS" altLang="en-US"/>
                  <a:t>Srednja serumska</a:t>
                </a:r>
                <a:r>
                  <a:rPr lang="sr-Latn-RS" altLang="en-US" baseline="0"/>
                  <a:t> </a:t>
                </a:r>
                <a:r>
                  <a:rPr lang="sr-Latn-RS" altLang="en-US"/>
                  <a:t>vrijednost</a:t>
                </a:r>
                <a:r>
                  <a:rPr lang="sr-Latn-RS" altLang="en-US" baseline="0"/>
                  <a:t> </a:t>
                </a:r>
                <a:r>
                  <a:rPr lang="en-US" altLang="en-US"/>
                  <a:t>(±SEM) </a:t>
                </a:r>
                <a:r>
                  <a:rPr lang="sr-Latn-RS" altLang="en-US"/>
                  <a:t>mokraćne</a:t>
                </a:r>
                <a:r>
                  <a:rPr lang="sr-Latn-RS" altLang="en-US" baseline="0"/>
                  <a:t> kiseline </a:t>
                </a:r>
                <a:r>
                  <a:rPr lang="en-US" altLang="en-US"/>
                  <a:t>(mg/d</a:t>
                </a:r>
                <a:r>
                  <a:rPr lang="sr-Latn-RS" altLang="en-US"/>
                  <a:t>l</a:t>
                </a:r>
                <a:r>
                  <a:rPr lang="en-US" altLang="en-US"/>
                  <a:t>)</a:t>
                </a:r>
              </a:p>
            </c:rich>
          </c:tx>
          <c:layout>
            <c:manualLayout>
              <c:xMode val="edge"/>
              <c:yMode val="edge"/>
              <c:x val="2.6128266033254181E-2"/>
              <c:y val="0.11594202898550814"/>
            </c:manualLayout>
          </c:layout>
          <c:overlay val="0"/>
          <c:spPr>
            <a:noFill/>
            <a:ln w="25294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126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ja-JP" sz="7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85675776"/>
        <c:crosses val="autoZero"/>
        <c:crossBetween val="midCat"/>
        <c:majorUnit val="1"/>
      </c:valAx>
      <c:spPr>
        <a:solidFill>
          <a:srgbClr val="FFFFFF"/>
        </a:solidFill>
        <a:ln w="25294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7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0.58175</cdr:x>
      <cdr:y>0.48175</cdr:y>
    </cdr:from>
    <cdr:to>
      <cdr:x>0.7915</cdr:x>
      <cdr:y>0.52025</cdr:y>
    </cdr:to>
    <cdr:sp macro="" textlink="">
      <cdr:nvSpPr>
        <cdr:cNvPr id="9625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32832" y="1583091"/>
          <a:ext cx="841103" cy="12651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altLang="en-US" sz="625" b="0" i="0" u="none" strike="noStrike" baseline="0">
              <a:solidFill>
                <a:srgbClr val="000000"/>
              </a:solidFill>
              <a:latin typeface="Times New Roman"/>
              <a:ea typeface="+mn-ea"/>
              <a:cs typeface="Times New Roman"/>
            </a:rPr>
            <a:t>Adenuric</a:t>
          </a: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80 mg</a:t>
          </a:r>
        </a:p>
      </cdr:txBody>
    </cdr:sp>
  </cdr:relSizeAnchor>
  <cdr:relSizeAnchor xmlns:cdr="http://schemas.openxmlformats.org/drawingml/2006/chartDrawing">
    <cdr:from>
      <cdr:x>0.60525</cdr:x>
      <cdr:y>0.37225</cdr:y>
    </cdr:from>
    <cdr:to>
      <cdr:x>0.91675</cdr:x>
      <cdr:y>0.41725</cdr:y>
    </cdr:to>
    <cdr:sp macro="" textlink="">
      <cdr:nvSpPr>
        <cdr:cNvPr id="9625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27068" y="1223260"/>
          <a:ext cx="1249122" cy="1478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Alopurinol </a:t>
          </a:r>
        </a:p>
      </cdr:txBody>
    </cdr:sp>
  </cdr:relSizeAnchor>
  <cdr:relSizeAnchor xmlns:cdr="http://schemas.openxmlformats.org/drawingml/2006/chartDrawing">
    <cdr:from>
      <cdr:x>0.60525</cdr:x>
      <cdr:y>0.14125</cdr:y>
    </cdr:from>
    <cdr:to>
      <cdr:x>0.70075</cdr:x>
      <cdr:y>0.1715</cdr:y>
    </cdr:to>
    <cdr:sp macro="" textlink="">
      <cdr:nvSpPr>
        <cdr:cNvPr id="96259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27068" y="464165"/>
          <a:ext cx="382957" cy="994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Placebo</a:t>
          </a:r>
        </a:p>
      </cdr:txBody>
    </cdr:sp>
  </cdr:relSizeAnchor>
  <cdr:relSizeAnchor xmlns:cdr="http://schemas.openxmlformats.org/drawingml/2006/chartDrawing">
    <cdr:from>
      <cdr:x>0.58175</cdr:x>
      <cdr:y>0.634</cdr:y>
    </cdr:from>
    <cdr:to>
      <cdr:x>0.7915</cdr:x>
      <cdr:y>0.67375</cdr:y>
    </cdr:to>
    <cdr:sp macro="" textlink="">
      <cdr:nvSpPr>
        <cdr:cNvPr id="96260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32832" y="2083403"/>
          <a:ext cx="841103" cy="1306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altLang="en-US" sz="625" b="0" i="0" u="none" strike="noStrike" baseline="0">
              <a:solidFill>
                <a:srgbClr val="000000"/>
              </a:solidFill>
              <a:latin typeface="Times New Roman"/>
              <a:ea typeface="+mn-ea"/>
              <a:cs typeface="Times New Roman"/>
            </a:rPr>
            <a:t>Adenuric</a:t>
          </a: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120 mg</a:t>
          </a:r>
        </a:p>
      </cdr:txBody>
    </cdr:sp>
  </cdr:relSizeAnchor>
  <cdr:relSizeAnchor xmlns:cdr="http://schemas.openxmlformats.org/drawingml/2006/chartDrawing">
    <cdr:from>
      <cdr:x>0.58175</cdr:x>
      <cdr:y>0.74925</cdr:y>
    </cdr:from>
    <cdr:to>
      <cdr:x>0.7915</cdr:x>
      <cdr:y>0.7945</cdr:y>
    </cdr:to>
    <cdr:sp macro="" textlink="">
      <cdr:nvSpPr>
        <cdr:cNvPr id="96261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32832" y="2462129"/>
          <a:ext cx="841103" cy="1486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altLang="en-US" sz="625" b="0" i="0" u="none" strike="noStrike" baseline="0">
              <a:solidFill>
                <a:srgbClr val="000000"/>
              </a:solidFill>
              <a:latin typeface="Times New Roman"/>
              <a:ea typeface="+mn-ea"/>
              <a:cs typeface="Times New Roman"/>
            </a:rPr>
            <a:t>Adenuric</a:t>
          </a: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240 mg</a:t>
          </a:r>
        </a:p>
      </cdr:txBody>
    </cdr:sp>
  </cdr:relSizeAnchor>
  <cdr:relSizeAnchor xmlns:cdr="http://schemas.openxmlformats.org/drawingml/2006/chartDrawing">
    <cdr:from>
      <cdr:x>0.129</cdr:x>
      <cdr:y>0.91725</cdr:y>
    </cdr:from>
    <cdr:to>
      <cdr:x>0.978</cdr:x>
      <cdr:y>1</cdr:y>
    </cdr:to>
    <cdr:sp macro="" textlink="">
      <cdr:nvSpPr>
        <cdr:cNvPr id="96262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293" y="3014198"/>
          <a:ext cx="3404511" cy="2719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BL=b</a:t>
          </a:r>
          <a:r>
            <a:rPr lang="sr-Latn-RS" altLang="ja-JP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azična vrijednost</a:t>
          </a: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    SEM=standard</a:t>
          </a:r>
          <a:r>
            <a:rPr lang="sr-Latn-RS" altLang="ja-JP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na greška srednje vrijednosti</a:t>
          </a:r>
          <a:endParaRPr lang="ja-JP" altLang="en-US" sz="625" b="0" i="0" u="none" strike="noStrike" baseline="0">
            <a:solidFill>
              <a:srgbClr val="000000"/>
            </a:solidFill>
            <a:latin typeface="Times New Roman"/>
            <a:cs typeface="Times New Roman"/>
          </a:endParaRPr>
        </a:p>
        <a:p xmlns:a="http://schemas.openxmlformats.org/drawingml/2006/main">
          <a:pPr algn="l" rtl="0">
            <a:defRPr sz="1000"/>
          </a:pPr>
          <a:endParaRPr lang="ja-JP" altLang="en-US" sz="625" b="0" i="0" u="none" strike="noStrike" baseline="0">
            <a:solidFill>
              <a:srgbClr val="000000"/>
            </a:solidFill>
            <a:latin typeface="Times New Roman"/>
            <a:cs typeface="Times New Roman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131A-58BE-4B28-A1E0-5A56C898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7713</Words>
  <Characters>43968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51578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Jovana Jovanovic</cp:lastModifiedBy>
  <cp:revision>3</cp:revision>
  <dcterms:created xsi:type="dcterms:W3CDTF">2024-02-20T09:15:00Z</dcterms:created>
  <dcterms:modified xsi:type="dcterms:W3CDTF">2024-02-20T09:48:00Z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