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E868B" w14:textId="77777777" w:rsidR="001A5518" w:rsidRPr="00F37527" w:rsidRDefault="001A5518" w:rsidP="001A5518">
      <w:pPr>
        <w:rPr>
          <w:b/>
          <w:bCs/>
          <w:i/>
          <w:iCs/>
          <w:sz w:val="22"/>
          <w:szCs w:val="22"/>
          <w:u w:val="single"/>
        </w:rPr>
      </w:pPr>
    </w:p>
    <w:p w14:paraId="18BE868D" w14:textId="77777777" w:rsidR="002510A5" w:rsidRPr="00F37527" w:rsidRDefault="002510A5" w:rsidP="002510A5">
      <w:pPr>
        <w:jc w:val="center"/>
        <w:rPr>
          <w:b/>
          <w:bCs/>
          <w:iCs/>
          <w:sz w:val="22"/>
          <w:szCs w:val="22"/>
          <w:u w:val="single"/>
          <w:lang w:val="de-DE"/>
        </w:rPr>
      </w:pPr>
      <w:r w:rsidRPr="00F37527">
        <w:rPr>
          <w:b/>
          <w:bCs/>
          <w:iCs/>
          <w:sz w:val="22"/>
          <w:szCs w:val="22"/>
          <w:u w:val="single"/>
          <w:lang w:val="de-DE"/>
        </w:rPr>
        <w:t>SAŽETAK KARAKTERISTIKA LIJEKA</w:t>
      </w:r>
    </w:p>
    <w:p w14:paraId="18BE8692" w14:textId="51F8C627" w:rsidR="00C37FD7" w:rsidRPr="00F37527" w:rsidRDefault="00C37FD7" w:rsidP="00F5167F">
      <w:pPr>
        <w:tabs>
          <w:tab w:val="left" w:pos="540"/>
          <w:tab w:val="left" w:pos="569"/>
        </w:tabs>
        <w:rPr>
          <w:bCs/>
          <w:sz w:val="22"/>
          <w:szCs w:val="22"/>
          <w:lang w:val="de-DE"/>
        </w:rPr>
      </w:pPr>
    </w:p>
    <w:p w14:paraId="4FD6B36A" w14:textId="77777777" w:rsidR="00AF7642" w:rsidRPr="00F37527" w:rsidRDefault="00AF7642" w:rsidP="00F5167F">
      <w:pPr>
        <w:tabs>
          <w:tab w:val="left" w:pos="540"/>
          <w:tab w:val="left" w:pos="569"/>
        </w:tabs>
        <w:rPr>
          <w:bCs/>
          <w:sz w:val="22"/>
          <w:szCs w:val="22"/>
          <w:lang w:val="de-DE"/>
        </w:rPr>
      </w:pPr>
    </w:p>
    <w:p w14:paraId="18BE8693" w14:textId="350921A7" w:rsidR="00411B4B" w:rsidRPr="00F37527" w:rsidRDefault="00AF7642">
      <w:pPr>
        <w:tabs>
          <w:tab w:val="left" w:pos="540"/>
          <w:tab w:val="left" w:pos="569"/>
        </w:tabs>
        <w:rPr>
          <w:b/>
          <w:bCs/>
          <w:sz w:val="22"/>
          <w:szCs w:val="22"/>
          <w:lang w:val="de-DE"/>
        </w:rPr>
      </w:pPr>
      <w:r w:rsidRPr="00F37527">
        <w:rPr>
          <w:b/>
          <w:bCs/>
          <w:sz w:val="22"/>
          <w:szCs w:val="22"/>
          <w:lang w:val="de-DE"/>
        </w:rPr>
        <w:t>1.</w:t>
      </w:r>
      <w:r w:rsidRPr="00F37527">
        <w:rPr>
          <w:b/>
          <w:bCs/>
          <w:sz w:val="22"/>
          <w:szCs w:val="22"/>
          <w:lang w:val="de-DE"/>
        </w:rPr>
        <w:tab/>
      </w:r>
      <w:r w:rsidR="002846DB" w:rsidRPr="00F37527">
        <w:rPr>
          <w:b/>
          <w:bCs/>
          <w:sz w:val="22"/>
          <w:szCs w:val="22"/>
          <w:lang w:val="de-DE"/>
        </w:rPr>
        <w:t xml:space="preserve">NAZIV </w:t>
      </w:r>
      <w:r w:rsidR="00411B4B" w:rsidRPr="00F37527">
        <w:rPr>
          <w:b/>
          <w:bCs/>
          <w:sz w:val="22"/>
          <w:szCs w:val="22"/>
          <w:lang w:val="de-DE"/>
        </w:rPr>
        <w:t>LIJEKA</w:t>
      </w:r>
    </w:p>
    <w:p w14:paraId="40CBD2D5" w14:textId="77777777" w:rsidR="00AF7642" w:rsidRPr="00F37527" w:rsidRDefault="00AF7642" w:rsidP="0076441E">
      <w:pPr>
        <w:rPr>
          <w:sz w:val="22"/>
          <w:szCs w:val="22"/>
          <w:lang w:val="de-DE"/>
        </w:rPr>
      </w:pPr>
    </w:p>
    <w:p w14:paraId="18BE8696" w14:textId="3A5CC8C1" w:rsidR="000D425A" w:rsidRPr="00F37527" w:rsidRDefault="00DE2D6A">
      <w:pPr>
        <w:rPr>
          <w:bCs/>
          <w:sz w:val="22"/>
          <w:szCs w:val="22"/>
          <w:lang w:val="sv-SE"/>
        </w:rPr>
      </w:pPr>
      <w:r w:rsidRPr="00F37527">
        <w:rPr>
          <w:bCs/>
          <w:sz w:val="22"/>
          <w:szCs w:val="22"/>
          <w:lang w:val="de-DE"/>
        </w:rPr>
        <w:t>ZEFFIX, 100 mg, film tableta</w:t>
      </w:r>
    </w:p>
    <w:p w14:paraId="68696AFC" w14:textId="77777777" w:rsidR="005F461D" w:rsidRDefault="005F461D" w:rsidP="006D20A5">
      <w:pPr>
        <w:rPr>
          <w:sz w:val="22"/>
          <w:szCs w:val="22"/>
          <w:lang w:val="sv-SE"/>
        </w:rPr>
      </w:pPr>
    </w:p>
    <w:p w14:paraId="18BE8697" w14:textId="1EF998D8" w:rsidR="006D20A5" w:rsidRPr="00F37527" w:rsidRDefault="006D20A5" w:rsidP="006D20A5">
      <w:pPr>
        <w:rPr>
          <w:sz w:val="22"/>
          <w:szCs w:val="22"/>
          <w:lang w:val="sr-Latn-CS"/>
        </w:rPr>
      </w:pPr>
      <w:r w:rsidRPr="00F37527">
        <w:rPr>
          <w:sz w:val="22"/>
          <w:szCs w:val="22"/>
          <w:lang w:val="sv-SE"/>
        </w:rPr>
        <w:t>INN:</w:t>
      </w:r>
      <w:r w:rsidR="00DE2D6A" w:rsidRPr="00F37527">
        <w:rPr>
          <w:sz w:val="22"/>
          <w:szCs w:val="22"/>
          <w:lang w:val="sv-SE"/>
        </w:rPr>
        <w:t xml:space="preserve"> </w:t>
      </w:r>
      <w:r w:rsidR="00DE2D6A" w:rsidRPr="00F37527">
        <w:rPr>
          <w:sz w:val="22"/>
          <w:szCs w:val="22"/>
          <w:lang w:val="de-DE"/>
        </w:rPr>
        <w:t>lamivudin</w:t>
      </w:r>
    </w:p>
    <w:p w14:paraId="18BE8699" w14:textId="55483A65" w:rsidR="00530BD7" w:rsidRPr="00F37527" w:rsidRDefault="00530BD7">
      <w:pPr>
        <w:rPr>
          <w:bCs/>
          <w:sz w:val="22"/>
          <w:szCs w:val="22"/>
          <w:lang w:val="sv-SE"/>
        </w:rPr>
      </w:pPr>
    </w:p>
    <w:p w14:paraId="4EF50C95" w14:textId="77777777" w:rsidR="00AF7642" w:rsidRPr="00F37527" w:rsidRDefault="00AF7642">
      <w:pPr>
        <w:rPr>
          <w:bCs/>
          <w:sz w:val="22"/>
          <w:szCs w:val="22"/>
          <w:lang w:val="sv-SE"/>
        </w:rPr>
      </w:pPr>
    </w:p>
    <w:p w14:paraId="18BE869A" w14:textId="77777777" w:rsidR="00411B4B" w:rsidRPr="00F37527" w:rsidRDefault="00411B4B" w:rsidP="00F5167F">
      <w:pPr>
        <w:tabs>
          <w:tab w:val="left" w:pos="540"/>
          <w:tab w:val="left" w:pos="569"/>
        </w:tabs>
        <w:rPr>
          <w:b/>
          <w:bCs/>
          <w:sz w:val="22"/>
          <w:szCs w:val="22"/>
        </w:rPr>
      </w:pPr>
      <w:r w:rsidRPr="00F37527">
        <w:rPr>
          <w:b/>
          <w:bCs/>
          <w:sz w:val="22"/>
          <w:szCs w:val="22"/>
          <w:lang w:val="de-DE"/>
        </w:rPr>
        <w:t xml:space="preserve">2. </w:t>
      </w:r>
      <w:r w:rsidR="00F5167F" w:rsidRPr="00F37527">
        <w:rPr>
          <w:b/>
          <w:bCs/>
          <w:sz w:val="22"/>
          <w:szCs w:val="22"/>
          <w:lang w:val="de-DE"/>
        </w:rPr>
        <w:tab/>
      </w:r>
      <w:r w:rsidRPr="00F37527">
        <w:rPr>
          <w:b/>
          <w:bCs/>
          <w:sz w:val="22"/>
          <w:szCs w:val="22"/>
        </w:rPr>
        <w:t>KVALITATIVNI I KVANTITATIVNI SASTAV</w:t>
      </w:r>
    </w:p>
    <w:p w14:paraId="408C31A0" w14:textId="77777777" w:rsidR="00AF7642" w:rsidRPr="00F37527" w:rsidRDefault="00AF7642" w:rsidP="00AA4D4B">
      <w:pPr>
        <w:pStyle w:val="Header"/>
        <w:tabs>
          <w:tab w:val="left" w:pos="284"/>
        </w:tabs>
        <w:rPr>
          <w:sz w:val="22"/>
          <w:szCs w:val="22"/>
        </w:rPr>
      </w:pPr>
    </w:p>
    <w:p w14:paraId="18BE869B" w14:textId="1397C5CE" w:rsidR="005A0B2E" w:rsidRPr="00F37527" w:rsidRDefault="00AA4D4B" w:rsidP="00AA4D4B">
      <w:pPr>
        <w:pStyle w:val="Header"/>
        <w:tabs>
          <w:tab w:val="left" w:pos="284"/>
        </w:tabs>
        <w:rPr>
          <w:bCs/>
          <w:sz w:val="22"/>
          <w:szCs w:val="22"/>
        </w:rPr>
      </w:pPr>
      <w:proofErr w:type="spellStart"/>
      <w:r w:rsidRPr="00F37527">
        <w:rPr>
          <w:sz w:val="22"/>
          <w:szCs w:val="22"/>
        </w:rPr>
        <w:t>Svaka</w:t>
      </w:r>
      <w:proofErr w:type="spellEnd"/>
      <w:r w:rsidRPr="00F37527">
        <w:rPr>
          <w:sz w:val="22"/>
          <w:szCs w:val="22"/>
        </w:rPr>
        <w:t xml:space="preserve"> film </w:t>
      </w:r>
      <w:proofErr w:type="spellStart"/>
      <w:r w:rsidRPr="00F37527">
        <w:rPr>
          <w:sz w:val="22"/>
          <w:szCs w:val="22"/>
        </w:rPr>
        <w:t>tableta</w:t>
      </w:r>
      <w:proofErr w:type="spellEnd"/>
      <w:r w:rsidRPr="00F37527">
        <w:rPr>
          <w:sz w:val="22"/>
          <w:szCs w:val="22"/>
        </w:rPr>
        <w:t xml:space="preserve"> </w:t>
      </w:r>
      <w:proofErr w:type="spellStart"/>
      <w:r w:rsidRPr="00F37527">
        <w:rPr>
          <w:sz w:val="22"/>
          <w:szCs w:val="22"/>
        </w:rPr>
        <w:t>lijeka</w:t>
      </w:r>
      <w:proofErr w:type="spellEnd"/>
      <w:r w:rsidRPr="00F37527">
        <w:rPr>
          <w:sz w:val="22"/>
          <w:szCs w:val="22"/>
        </w:rPr>
        <w:t xml:space="preserve"> </w:t>
      </w:r>
      <w:proofErr w:type="spellStart"/>
      <w:r w:rsidRPr="00F37527">
        <w:rPr>
          <w:sz w:val="22"/>
          <w:szCs w:val="22"/>
        </w:rPr>
        <w:t>ZEFFIX</w:t>
      </w:r>
      <w:proofErr w:type="spellEnd"/>
      <w:r w:rsidRPr="00F37527">
        <w:rPr>
          <w:b/>
          <w:bCs/>
          <w:sz w:val="22"/>
          <w:szCs w:val="22"/>
        </w:rPr>
        <w:t xml:space="preserve"> </w:t>
      </w:r>
      <w:proofErr w:type="spellStart"/>
      <w:r w:rsidRPr="00F37527">
        <w:rPr>
          <w:bCs/>
          <w:sz w:val="22"/>
          <w:szCs w:val="22"/>
        </w:rPr>
        <w:t>sadrži</w:t>
      </w:r>
      <w:proofErr w:type="spellEnd"/>
      <w:r w:rsidRPr="00F37527">
        <w:rPr>
          <w:bCs/>
          <w:sz w:val="22"/>
          <w:szCs w:val="22"/>
        </w:rPr>
        <w:t xml:space="preserve"> 100 mg </w:t>
      </w:r>
      <w:proofErr w:type="spellStart"/>
      <w:r w:rsidRPr="00F37527">
        <w:rPr>
          <w:bCs/>
          <w:sz w:val="22"/>
          <w:szCs w:val="22"/>
        </w:rPr>
        <w:t>lamivudina</w:t>
      </w:r>
      <w:proofErr w:type="spellEnd"/>
      <w:r w:rsidRPr="00F37527">
        <w:rPr>
          <w:bCs/>
          <w:sz w:val="22"/>
          <w:szCs w:val="22"/>
        </w:rPr>
        <w:t>.</w:t>
      </w:r>
    </w:p>
    <w:p w14:paraId="34E72E0E" w14:textId="77777777" w:rsidR="00470D21" w:rsidRPr="00F37527" w:rsidRDefault="00470D21">
      <w:pPr>
        <w:rPr>
          <w:sz w:val="22"/>
          <w:szCs w:val="22"/>
          <w:lang w:val="sr-Latn-CS"/>
        </w:rPr>
      </w:pPr>
    </w:p>
    <w:p w14:paraId="18BE869C" w14:textId="1E8D7C53" w:rsidR="0003793F" w:rsidRPr="00F37527" w:rsidRDefault="0003793F">
      <w:pPr>
        <w:rPr>
          <w:sz w:val="22"/>
          <w:szCs w:val="22"/>
          <w:lang w:val="sr-Latn-CS"/>
        </w:rPr>
      </w:pPr>
      <w:r w:rsidRPr="00F37527">
        <w:rPr>
          <w:sz w:val="22"/>
          <w:szCs w:val="22"/>
          <w:lang w:val="sr-Latn-CS"/>
        </w:rPr>
        <w:t xml:space="preserve">Za spisak svih </w:t>
      </w:r>
      <w:proofErr w:type="spellStart"/>
      <w:r w:rsidRPr="00F37527">
        <w:rPr>
          <w:sz w:val="22"/>
          <w:szCs w:val="22"/>
          <w:lang w:val="sr-Latn-CS"/>
        </w:rPr>
        <w:t>ekscipijenasa</w:t>
      </w:r>
      <w:proofErr w:type="spellEnd"/>
      <w:r w:rsidRPr="00F37527">
        <w:rPr>
          <w:sz w:val="22"/>
          <w:szCs w:val="22"/>
          <w:lang w:val="sr-Latn-CS"/>
        </w:rPr>
        <w:t xml:space="preserve">, pogledati </w:t>
      </w:r>
      <w:proofErr w:type="spellStart"/>
      <w:r w:rsidRPr="00F37527">
        <w:rPr>
          <w:sz w:val="22"/>
          <w:szCs w:val="22"/>
          <w:lang w:val="sr-Latn-CS"/>
        </w:rPr>
        <w:t>dio</w:t>
      </w:r>
      <w:proofErr w:type="spellEnd"/>
      <w:r w:rsidRPr="00F37527">
        <w:rPr>
          <w:sz w:val="22"/>
          <w:szCs w:val="22"/>
          <w:lang w:val="sr-Latn-CS"/>
        </w:rPr>
        <w:t xml:space="preserve"> 6.1.</w:t>
      </w:r>
    </w:p>
    <w:p w14:paraId="18BE869E" w14:textId="370582BF" w:rsidR="00C37FD7" w:rsidRDefault="00C37FD7">
      <w:pPr>
        <w:rPr>
          <w:sz w:val="22"/>
          <w:szCs w:val="22"/>
          <w:lang w:val="sr-Latn-CS"/>
        </w:rPr>
      </w:pPr>
    </w:p>
    <w:p w14:paraId="6975B41F" w14:textId="77777777" w:rsidR="00397A90" w:rsidRPr="00F37527" w:rsidRDefault="00397A90">
      <w:pPr>
        <w:rPr>
          <w:sz w:val="22"/>
          <w:szCs w:val="22"/>
          <w:lang w:val="sr-Latn-CS"/>
        </w:rPr>
      </w:pPr>
    </w:p>
    <w:p w14:paraId="18BE869F" w14:textId="77777777" w:rsidR="00411B4B" w:rsidRPr="00F37527" w:rsidRDefault="00411B4B" w:rsidP="00F5167F">
      <w:pPr>
        <w:tabs>
          <w:tab w:val="left" w:pos="540"/>
          <w:tab w:val="left" w:pos="569"/>
        </w:tabs>
        <w:rPr>
          <w:b/>
          <w:bCs/>
          <w:sz w:val="22"/>
          <w:szCs w:val="22"/>
        </w:rPr>
      </w:pPr>
      <w:r w:rsidRPr="00F37527">
        <w:rPr>
          <w:b/>
          <w:bCs/>
          <w:sz w:val="22"/>
          <w:szCs w:val="22"/>
        </w:rPr>
        <w:t xml:space="preserve">3. </w:t>
      </w:r>
      <w:r w:rsidR="00F5167F" w:rsidRPr="00F37527">
        <w:rPr>
          <w:b/>
          <w:bCs/>
          <w:sz w:val="22"/>
          <w:szCs w:val="22"/>
        </w:rPr>
        <w:tab/>
      </w:r>
      <w:r w:rsidRPr="00F37527">
        <w:rPr>
          <w:b/>
          <w:bCs/>
          <w:sz w:val="22"/>
          <w:szCs w:val="22"/>
        </w:rPr>
        <w:t>FARMACEUTSKI OBLIK</w:t>
      </w:r>
      <w:r w:rsidR="009F2D23" w:rsidRPr="00F37527">
        <w:rPr>
          <w:b/>
          <w:bCs/>
          <w:sz w:val="22"/>
          <w:szCs w:val="22"/>
        </w:rPr>
        <w:t xml:space="preserve"> </w:t>
      </w:r>
    </w:p>
    <w:p w14:paraId="3F11ED1D" w14:textId="77777777" w:rsidR="00AF7642" w:rsidRPr="00F37527" w:rsidRDefault="00AF7642" w:rsidP="00470D21">
      <w:pPr>
        <w:pStyle w:val="Header"/>
        <w:tabs>
          <w:tab w:val="left" w:pos="284"/>
        </w:tabs>
        <w:rPr>
          <w:sz w:val="22"/>
          <w:szCs w:val="22"/>
        </w:rPr>
      </w:pPr>
    </w:p>
    <w:p w14:paraId="51F9B6EC" w14:textId="184C585A" w:rsidR="00470D21" w:rsidRPr="00F37527" w:rsidRDefault="00470D21" w:rsidP="00470D21">
      <w:pPr>
        <w:pStyle w:val="Header"/>
        <w:tabs>
          <w:tab w:val="left" w:pos="284"/>
        </w:tabs>
        <w:rPr>
          <w:sz w:val="22"/>
          <w:szCs w:val="22"/>
        </w:rPr>
      </w:pPr>
      <w:r w:rsidRPr="00F37527">
        <w:rPr>
          <w:sz w:val="22"/>
          <w:szCs w:val="22"/>
        </w:rPr>
        <w:t xml:space="preserve">Film </w:t>
      </w:r>
      <w:proofErr w:type="spellStart"/>
      <w:r w:rsidRPr="00F37527">
        <w:rPr>
          <w:sz w:val="22"/>
          <w:szCs w:val="22"/>
        </w:rPr>
        <w:t>tableta</w:t>
      </w:r>
      <w:proofErr w:type="spellEnd"/>
      <w:r w:rsidRPr="00F37527">
        <w:rPr>
          <w:sz w:val="22"/>
          <w:szCs w:val="22"/>
        </w:rPr>
        <w:t xml:space="preserve"> (</w:t>
      </w:r>
      <w:proofErr w:type="spellStart"/>
      <w:r w:rsidRPr="00F37527">
        <w:rPr>
          <w:sz w:val="22"/>
          <w:szCs w:val="22"/>
        </w:rPr>
        <w:t>tableta</w:t>
      </w:r>
      <w:proofErr w:type="spellEnd"/>
      <w:r w:rsidRPr="00F37527">
        <w:rPr>
          <w:sz w:val="22"/>
          <w:szCs w:val="22"/>
        </w:rPr>
        <w:t>)</w:t>
      </w:r>
      <w:r w:rsidR="00F37527">
        <w:rPr>
          <w:sz w:val="22"/>
          <w:szCs w:val="22"/>
        </w:rPr>
        <w:t>.</w:t>
      </w:r>
    </w:p>
    <w:p w14:paraId="73EB6874" w14:textId="77777777" w:rsidR="00470D21" w:rsidRPr="00F37527" w:rsidRDefault="00470D21" w:rsidP="00470D21">
      <w:pPr>
        <w:pStyle w:val="Header"/>
        <w:tabs>
          <w:tab w:val="left" w:pos="284"/>
        </w:tabs>
        <w:rPr>
          <w:sz w:val="22"/>
          <w:szCs w:val="22"/>
        </w:rPr>
      </w:pPr>
    </w:p>
    <w:p w14:paraId="2913197C" w14:textId="1D57E857" w:rsidR="00470D21" w:rsidRPr="00F37527" w:rsidRDefault="00470D21" w:rsidP="00470D21">
      <w:pPr>
        <w:pStyle w:val="Header"/>
        <w:tabs>
          <w:tab w:val="left" w:pos="284"/>
        </w:tabs>
        <w:rPr>
          <w:sz w:val="22"/>
          <w:szCs w:val="22"/>
          <w:lang w:val="sl-SI"/>
        </w:rPr>
      </w:pPr>
      <w:r w:rsidRPr="00F37527">
        <w:rPr>
          <w:sz w:val="22"/>
          <w:szCs w:val="22"/>
          <w:lang w:val="sl-SI"/>
        </w:rPr>
        <w:t>Bikonveksne film tablete oblika kapsule, boje karamela, dimenzija približno 11 mm x 5 mm i sa ugraviranom oznakom "GX CG5" sa jedne strane tablete.</w:t>
      </w:r>
    </w:p>
    <w:p w14:paraId="50792154" w14:textId="77777777" w:rsidR="009C5662" w:rsidRPr="00F37527" w:rsidRDefault="009C5662" w:rsidP="00470D21">
      <w:pPr>
        <w:pStyle w:val="Header"/>
        <w:tabs>
          <w:tab w:val="left" w:pos="284"/>
        </w:tabs>
        <w:rPr>
          <w:sz w:val="22"/>
          <w:szCs w:val="22"/>
          <w:lang w:val="sl-SI"/>
        </w:rPr>
      </w:pPr>
    </w:p>
    <w:p w14:paraId="18BE86A1" w14:textId="77777777" w:rsidR="00EC2532" w:rsidRPr="00F37527" w:rsidRDefault="00EC2532">
      <w:pPr>
        <w:rPr>
          <w:bCs/>
          <w:sz w:val="22"/>
          <w:szCs w:val="22"/>
          <w:lang w:val="sr-Latn-CS"/>
        </w:rPr>
      </w:pPr>
    </w:p>
    <w:p w14:paraId="18BE86A2" w14:textId="77777777" w:rsidR="00411B4B" w:rsidRPr="00F37527" w:rsidRDefault="00411B4B" w:rsidP="0076441E">
      <w:pPr>
        <w:tabs>
          <w:tab w:val="left" w:pos="540"/>
          <w:tab w:val="left" w:pos="569"/>
        </w:tabs>
        <w:jc w:val="both"/>
        <w:rPr>
          <w:b/>
          <w:bCs/>
          <w:sz w:val="22"/>
          <w:szCs w:val="22"/>
        </w:rPr>
      </w:pPr>
      <w:r w:rsidRPr="00F37527">
        <w:rPr>
          <w:b/>
          <w:bCs/>
          <w:sz w:val="22"/>
          <w:szCs w:val="22"/>
        </w:rPr>
        <w:t xml:space="preserve">4. </w:t>
      </w:r>
      <w:r w:rsidR="00480FB1" w:rsidRPr="00F37527">
        <w:rPr>
          <w:b/>
          <w:bCs/>
          <w:sz w:val="22"/>
          <w:szCs w:val="22"/>
        </w:rPr>
        <w:tab/>
      </w:r>
      <w:r w:rsidRPr="00F37527">
        <w:rPr>
          <w:b/>
          <w:bCs/>
          <w:sz w:val="22"/>
          <w:szCs w:val="22"/>
        </w:rPr>
        <w:t>KLINIČKI PODACI</w:t>
      </w:r>
    </w:p>
    <w:p w14:paraId="18BE86A3" w14:textId="77777777" w:rsidR="00CD6F02" w:rsidRPr="00F37527" w:rsidRDefault="00CD6F02" w:rsidP="0076441E">
      <w:pPr>
        <w:tabs>
          <w:tab w:val="left" w:pos="540"/>
          <w:tab w:val="left" w:pos="569"/>
        </w:tabs>
        <w:jc w:val="both"/>
        <w:rPr>
          <w:bCs/>
          <w:sz w:val="22"/>
          <w:szCs w:val="22"/>
        </w:rPr>
      </w:pPr>
    </w:p>
    <w:p w14:paraId="18BE86A4" w14:textId="77777777" w:rsidR="00411B4B" w:rsidRPr="00F37527" w:rsidRDefault="00411B4B" w:rsidP="0076441E">
      <w:pPr>
        <w:tabs>
          <w:tab w:val="left" w:pos="540"/>
          <w:tab w:val="left" w:pos="569"/>
        </w:tabs>
        <w:jc w:val="both"/>
        <w:rPr>
          <w:b/>
          <w:bCs/>
          <w:sz w:val="22"/>
          <w:szCs w:val="22"/>
        </w:rPr>
      </w:pPr>
      <w:r w:rsidRPr="00F37527">
        <w:rPr>
          <w:b/>
          <w:bCs/>
          <w:sz w:val="22"/>
          <w:szCs w:val="22"/>
        </w:rPr>
        <w:t xml:space="preserve">4.1. </w:t>
      </w:r>
      <w:r w:rsidR="00480FB1" w:rsidRPr="00F37527">
        <w:rPr>
          <w:b/>
          <w:bCs/>
          <w:sz w:val="22"/>
          <w:szCs w:val="22"/>
        </w:rPr>
        <w:tab/>
      </w:r>
      <w:proofErr w:type="spellStart"/>
      <w:r w:rsidRPr="00F37527">
        <w:rPr>
          <w:b/>
          <w:bCs/>
          <w:sz w:val="22"/>
          <w:szCs w:val="22"/>
        </w:rPr>
        <w:t>Terapijske</w:t>
      </w:r>
      <w:proofErr w:type="spellEnd"/>
      <w:r w:rsidRPr="00F37527">
        <w:rPr>
          <w:b/>
          <w:bCs/>
          <w:sz w:val="22"/>
          <w:szCs w:val="22"/>
        </w:rPr>
        <w:t xml:space="preserve"> </w:t>
      </w:r>
      <w:proofErr w:type="spellStart"/>
      <w:r w:rsidRPr="00F37527">
        <w:rPr>
          <w:b/>
          <w:bCs/>
          <w:sz w:val="22"/>
          <w:szCs w:val="22"/>
        </w:rPr>
        <w:t>indikacije</w:t>
      </w:r>
      <w:proofErr w:type="spellEnd"/>
    </w:p>
    <w:p w14:paraId="7316FE26" w14:textId="77777777" w:rsidR="003B30DC" w:rsidRPr="00F37527" w:rsidRDefault="003B30DC" w:rsidP="0076441E">
      <w:pPr>
        <w:pStyle w:val="Header"/>
        <w:tabs>
          <w:tab w:val="left" w:pos="284"/>
        </w:tabs>
        <w:spacing w:before="120"/>
        <w:jc w:val="both"/>
        <w:rPr>
          <w:sz w:val="22"/>
          <w:szCs w:val="22"/>
          <w:lang w:val="sl-SI"/>
        </w:rPr>
      </w:pPr>
      <w:r w:rsidRPr="00F37527">
        <w:rPr>
          <w:sz w:val="22"/>
          <w:szCs w:val="22"/>
          <w:lang w:val="sl-SI"/>
        </w:rPr>
        <w:t>Primjena lijeka ZEFFIX je indikovana u terapiji hroničnog hepatitisa B kod odraslih osoba sa:</w:t>
      </w:r>
    </w:p>
    <w:p w14:paraId="5420F9CE" w14:textId="77777777" w:rsidR="003B30DC" w:rsidRPr="00F37527" w:rsidRDefault="003B30DC" w:rsidP="0076441E">
      <w:pPr>
        <w:pStyle w:val="Header"/>
        <w:tabs>
          <w:tab w:val="left" w:pos="284"/>
        </w:tabs>
        <w:jc w:val="both"/>
        <w:rPr>
          <w:sz w:val="22"/>
          <w:szCs w:val="22"/>
          <w:lang w:val="sl-SI"/>
        </w:rPr>
      </w:pPr>
    </w:p>
    <w:p w14:paraId="101C335F" w14:textId="148E59BA" w:rsidR="003B30DC" w:rsidRPr="00F37527" w:rsidRDefault="003B30DC" w:rsidP="0076441E">
      <w:pPr>
        <w:pStyle w:val="Header"/>
        <w:numPr>
          <w:ilvl w:val="0"/>
          <w:numId w:val="12"/>
        </w:numPr>
        <w:tabs>
          <w:tab w:val="clear" w:pos="4320"/>
          <w:tab w:val="clear" w:pos="8640"/>
          <w:tab w:val="left" w:pos="284"/>
          <w:tab w:val="center" w:pos="4536"/>
          <w:tab w:val="right" w:pos="9072"/>
        </w:tabs>
        <w:jc w:val="both"/>
        <w:rPr>
          <w:sz w:val="22"/>
          <w:szCs w:val="22"/>
          <w:lang w:val="sl-SI"/>
        </w:rPr>
      </w:pPr>
      <w:r w:rsidRPr="00F37527">
        <w:rPr>
          <w:sz w:val="22"/>
          <w:szCs w:val="22"/>
          <w:lang w:val="sl-SI"/>
        </w:rPr>
        <w:t>kompenzovanim oboljenjem jetre, sa dokazanom aktivnom replikacijom virusa, trajno povišenim nivoom alanin aminotransferaze (ALT) u serumu</w:t>
      </w:r>
      <w:r w:rsidRPr="00F37527">
        <w:rPr>
          <w:b/>
          <w:sz w:val="22"/>
          <w:szCs w:val="22"/>
          <w:lang w:val="sl-SI"/>
        </w:rPr>
        <w:t xml:space="preserve"> </w:t>
      </w:r>
      <w:r w:rsidRPr="00F37527">
        <w:rPr>
          <w:sz w:val="22"/>
          <w:szCs w:val="22"/>
          <w:lang w:val="sl-SI"/>
        </w:rPr>
        <w:t>i histološki dokazanom  aktivnom  inflamacijom  jetre i/ili fibroz</w:t>
      </w:r>
      <w:r w:rsidR="009C5662" w:rsidRPr="00F37527">
        <w:rPr>
          <w:sz w:val="22"/>
          <w:szCs w:val="22"/>
          <w:lang w:val="sl-SI"/>
        </w:rPr>
        <w:t>om</w:t>
      </w:r>
      <w:r w:rsidRPr="00F37527">
        <w:rPr>
          <w:sz w:val="22"/>
          <w:szCs w:val="22"/>
          <w:lang w:val="sl-SI"/>
        </w:rPr>
        <w:t>. Započinjanje liječenja  lamivudinom je potrebno uzeti u obzir samo kada upotreba  alternativnih  antivirotika  sa višom genetičkom barijerom nije dostupna ili nije odgovarajuća (vidjeti dio 5.1).</w:t>
      </w:r>
    </w:p>
    <w:p w14:paraId="24EB8DB1" w14:textId="77777777" w:rsidR="003B30DC" w:rsidRPr="00F37527" w:rsidRDefault="003B30DC" w:rsidP="0076441E">
      <w:pPr>
        <w:pStyle w:val="Header"/>
        <w:tabs>
          <w:tab w:val="left" w:pos="284"/>
        </w:tabs>
        <w:jc w:val="both"/>
        <w:rPr>
          <w:sz w:val="22"/>
          <w:szCs w:val="22"/>
          <w:lang w:val="sl-SI"/>
        </w:rPr>
      </w:pPr>
    </w:p>
    <w:p w14:paraId="7BA79265" w14:textId="77777777" w:rsidR="003B30DC" w:rsidRPr="00F37527" w:rsidRDefault="003B30DC" w:rsidP="0076441E">
      <w:pPr>
        <w:pStyle w:val="Header"/>
        <w:numPr>
          <w:ilvl w:val="0"/>
          <w:numId w:val="12"/>
        </w:numPr>
        <w:tabs>
          <w:tab w:val="clear" w:pos="4320"/>
          <w:tab w:val="clear" w:pos="8640"/>
          <w:tab w:val="left" w:pos="284"/>
          <w:tab w:val="center" w:pos="4536"/>
          <w:tab w:val="right" w:pos="9072"/>
        </w:tabs>
        <w:jc w:val="both"/>
        <w:rPr>
          <w:sz w:val="22"/>
          <w:szCs w:val="22"/>
          <w:lang w:val="sl-SI"/>
        </w:rPr>
      </w:pPr>
      <w:r w:rsidRPr="00F37527">
        <w:rPr>
          <w:sz w:val="22"/>
          <w:szCs w:val="22"/>
          <w:lang w:val="sl-SI"/>
        </w:rPr>
        <w:t>dekompenzovanim oboljenjem jetre u kombinaciji s drugim lijekom  bez ukrštene rezistencije na lamivudin (vidjeti dio 4.2).</w:t>
      </w:r>
    </w:p>
    <w:p w14:paraId="18BE86A5" w14:textId="77777777" w:rsidR="00411B4B" w:rsidRPr="00F37527" w:rsidRDefault="00411B4B" w:rsidP="0076441E">
      <w:pPr>
        <w:tabs>
          <w:tab w:val="left" w:pos="540"/>
          <w:tab w:val="left" w:pos="569"/>
        </w:tabs>
        <w:jc w:val="both"/>
        <w:rPr>
          <w:bCs/>
          <w:sz w:val="22"/>
          <w:szCs w:val="22"/>
          <w:lang w:val="sl-SI"/>
        </w:rPr>
      </w:pPr>
    </w:p>
    <w:p w14:paraId="18BE86A6" w14:textId="77777777" w:rsidR="00411B4B" w:rsidRPr="00F37527" w:rsidRDefault="00411B4B" w:rsidP="0076441E">
      <w:pPr>
        <w:tabs>
          <w:tab w:val="left" w:pos="540"/>
          <w:tab w:val="left" w:pos="569"/>
        </w:tabs>
        <w:jc w:val="both"/>
        <w:rPr>
          <w:b/>
          <w:bCs/>
          <w:sz w:val="22"/>
          <w:szCs w:val="22"/>
          <w:lang w:val="sl-SI"/>
        </w:rPr>
      </w:pPr>
      <w:r w:rsidRPr="00F37527">
        <w:rPr>
          <w:b/>
          <w:bCs/>
          <w:sz w:val="22"/>
          <w:szCs w:val="22"/>
          <w:lang w:val="sl-SI"/>
        </w:rPr>
        <w:t xml:space="preserve">4.2. </w:t>
      </w:r>
      <w:r w:rsidR="00480FB1" w:rsidRPr="00F37527">
        <w:rPr>
          <w:b/>
          <w:bCs/>
          <w:sz w:val="22"/>
          <w:szCs w:val="22"/>
          <w:lang w:val="sl-SI"/>
        </w:rPr>
        <w:tab/>
      </w:r>
      <w:r w:rsidRPr="00F37527">
        <w:rPr>
          <w:b/>
          <w:bCs/>
          <w:sz w:val="22"/>
          <w:szCs w:val="22"/>
          <w:lang w:val="sl-SI"/>
        </w:rPr>
        <w:t>Doziranje i način primjene</w:t>
      </w:r>
    </w:p>
    <w:p w14:paraId="6A00FFDD" w14:textId="77777777" w:rsidR="003B30DC" w:rsidRPr="00F37527" w:rsidRDefault="003B30DC" w:rsidP="0076441E">
      <w:pPr>
        <w:pStyle w:val="Header"/>
        <w:tabs>
          <w:tab w:val="left" w:pos="284"/>
        </w:tabs>
        <w:spacing w:before="120"/>
        <w:jc w:val="both"/>
        <w:rPr>
          <w:sz w:val="22"/>
          <w:szCs w:val="22"/>
          <w:lang w:val="sl-SI"/>
        </w:rPr>
      </w:pPr>
      <w:r w:rsidRPr="00F37527">
        <w:rPr>
          <w:sz w:val="22"/>
          <w:szCs w:val="22"/>
          <w:lang w:val="sl-SI"/>
        </w:rPr>
        <w:t>Primjena terapije lijekom ZEFFIX bi trebalo da bude inicirana od strane ljekara sa iskustvom u liječenju hroničnog hepatitisa B.</w:t>
      </w:r>
    </w:p>
    <w:p w14:paraId="18BE86A7" w14:textId="77777777" w:rsidR="0072020E" w:rsidRPr="00F37527" w:rsidRDefault="0072020E" w:rsidP="0076441E">
      <w:pPr>
        <w:tabs>
          <w:tab w:val="left" w:pos="540"/>
          <w:tab w:val="left" w:pos="569"/>
        </w:tabs>
        <w:jc w:val="both"/>
        <w:rPr>
          <w:bCs/>
          <w:sz w:val="22"/>
          <w:szCs w:val="22"/>
          <w:lang w:val="sl-SI"/>
        </w:rPr>
      </w:pPr>
    </w:p>
    <w:p w14:paraId="18BE86A8" w14:textId="77777777" w:rsidR="00452E9D" w:rsidRPr="00F37527" w:rsidRDefault="00452E9D" w:rsidP="0076441E">
      <w:pPr>
        <w:tabs>
          <w:tab w:val="left" w:pos="540"/>
          <w:tab w:val="left" w:pos="569"/>
        </w:tabs>
        <w:jc w:val="both"/>
        <w:rPr>
          <w:bCs/>
          <w:sz w:val="22"/>
          <w:szCs w:val="22"/>
          <w:u w:val="single"/>
          <w:lang w:val="sl-SI"/>
        </w:rPr>
      </w:pPr>
      <w:r w:rsidRPr="00F37527">
        <w:rPr>
          <w:bCs/>
          <w:sz w:val="22"/>
          <w:szCs w:val="22"/>
          <w:u w:val="single"/>
          <w:lang w:val="sl-SI"/>
        </w:rPr>
        <w:t>Doziranje</w:t>
      </w:r>
    </w:p>
    <w:p w14:paraId="31024203" w14:textId="77777777" w:rsidR="00963E95" w:rsidRPr="00F37527" w:rsidRDefault="00963E95" w:rsidP="0076441E">
      <w:pPr>
        <w:pStyle w:val="Header"/>
        <w:tabs>
          <w:tab w:val="left" w:pos="284"/>
        </w:tabs>
        <w:jc w:val="both"/>
        <w:rPr>
          <w:i/>
          <w:sz w:val="22"/>
          <w:szCs w:val="22"/>
          <w:u w:val="single"/>
          <w:lang w:val="sl-SI"/>
        </w:rPr>
      </w:pPr>
    </w:p>
    <w:p w14:paraId="1C1D7DBC" w14:textId="28F74441" w:rsidR="00E112EF" w:rsidRPr="00F37527" w:rsidRDefault="00E112EF" w:rsidP="0076441E">
      <w:pPr>
        <w:pStyle w:val="Header"/>
        <w:tabs>
          <w:tab w:val="left" w:pos="284"/>
        </w:tabs>
        <w:jc w:val="both"/>
        <w:rPr>
          <w:i/>
          <w:sz w:val="22"/>
          <w:szCs w:val="22"/>
          <w:u w:val="single"/>
          <w:lang w:val="sl-SI"/>
        </w:rPr>
      </w:pPr>
      <w:r w:rsidRPr="00F37527">
        <w:rPr>
          <w:i/>
          <w:sz w:val="22"/>
          <w:szCs w:val="22"/>
          <w:u w:val="single"/>
          <w:lang w:val="sl-SI"/>
        </w:rPr>
        <w:t>Odrasle osobe:</w:t>
      </w:r>
    </w:p>
    <w:p w14:paraId="326D640C" w14:textId="3EAB431C" w:rsidR="00E112EF" w:rsidRPr="00F37527" w:rsidRDefault="00E112EF" w:rsidP="0076441E">
      <w:pPr>
        <w:pStyle w:val="Header"/>
        <w:tabs>
          <w:tab w:val="left" w:pos="284"/>
        </w:tabs>
        <w:jc w:val="both"/>
        <w:rPr>
          <w:sz w:val="22"/>
          <w:szCs w:val="22"/>
          <w:lang w:val="sl-SI"/>
        </w:rPr>
      </w:pPr>
      <w:r w:rsidRPr="00F37527">
        <w:rPr>
          <w:sz w:val="22"/>
          <w:szCs w:val="22"/>
          <w:lang w:val="sl-SI"/>
        </w:rPr>
        <w:t>Preporučena doza lijeka ZEFFIX je 100 mg jednom dnevno.</w:t>
      </w:r>
    </w:p>
    <w:p w14:paraId="29A3F687" w14:textId="77777777" w:rsidR="00E112EF" w:rsidRPr="00F37527" w:rsidRDefault="00E112EF" w:rsidP="0076441E">
      <w:pPr>
        <w:pStyle w:val="Header"/>
        <w:tabs>
          <w:tab w:val="left" w:pos="284"/>
        </w:tabs>
        <w:jc w:val="both"/>
        <w:rPr>
          <w:sz w:val="22"/>
          <w:szCs w:val="22"/>
          <w:lang w:val="sl-SI"/>
        </w:rPr>
      </w:pPr>
    </w:p>
    <w:p w14:paraId="12356E8A" w14:textId="77777777" w:rsidR="00E112EF" w:rsidRPr="00F37527" w:rsidRDefault="00E112EF" w:rsidP="0076441E">
      <w:pPr>
        <w:pStyle w:val="Header"/>
        <w:tabs>
          <w:tab w:val="left" w:pos="284"/>
        </w:tabs>
        <w:jc w:val="both"/>
        <w:rPr>
          <w:sz w:val="22"/>
          <w:szCs w:val="22"/>
          <w:lang w:val="sl-SI"/>
        </w:rPr>
      </w:pPr>
      <w:r w:rsidRPr="00F37527">
        <w:rPr>
          <w:sz w:val="22"/>
          <w:szCs w:val="22"/>
          <w:lang w:val="sl-SI"/>
        </w:rPr>
        <w:t>Kod pacijenata sa dekompenzovanim oboljenjem jetre, lamivudin bi uvijek trebalo primjenjivati u kombinovanoj terapiji sa drugim lijekom  bez ukrštene rezistencije na lamivudin, u cilju smanjenja rizika od nastanka rezistencije na lamivudin  i postizanja brze  virusne supresije.</w:t>
      </w:r>
    </w:p>
    <w:p w14:paraId="26DE6147" w14:textId="77777777" w:rsidR="00E112EF" w:rsidRPr="00F37527" w:rsidRDefault="00E112EF" w:rsidP="0076441E">
      <w:pPr>
        <w:pStyle w:val="Header"/>
        <w:tabs>
          <w:tab w:val="left" w:pos="284"/>
        </w:tabs>
        <w:jc w:val="both"/>
        <w:rPr>
          <w:sz w:val="22"/>
          <w:szCs w:val="22"/>
          <w:lang w:val="sl-SI"/>
        </w:rPr>
      </w:pPr>
    </w:p>
    <w:p w14:paraId="3C469CA9" w14:textId="77777777" w:rsidR="00E112EF" w:rsidRPr="00F37527" w:rsidRDefault="00E112EF" w:rsidP="0076441E">
      <w:pPr>
        <w:pStyle w:val="Header"/>
        <w:tabs>
          <w:tab w:val="left" w:pos="284"/>
        </w:tabs>
        <w:jc w:val="both"/>
        <w:rPr>
          <w:i/>
          <w:sz w:val="22"/>
          <w:szCs w:val="22"/>
          <w:lang w:val="sl-SI"/>
        </w:rPr>
      </w:pPr>
      <w:r w:rsidRPr="00F37527">
        <w:rPr>
          <w:i/>
          <w:sz w:val="22"/>
          <w:szCs w:val="22"/>
          <w:lang w:val="sl-SI"/>
        </w:rPr>
        <w:t xml:space="preserve">Trajanje terapije: </w:t>
      </w:r>
    </w:p>
    <w:p w14:paraId="7BF4DE40" w14:textId="77777777" w:rsidR="00E112EF" w:rsidRPr="00F37527" w:rsidRDefault="00E112EF" w:rsidP="0076441E">
      <w:pPr>
        <w:pStyle w:val="Header"/>
        <w:tabs>
          <w:tab w:val="left" w:pos="284"/>
        </w:tabs>
        <w:jc w:val="both"/>
        <w:rPr>
          <w:sz w:val="22"/>
          <w:szCs w:val="22"/>
          <w:lang w:val="sl-SI"/>
        </w:rPr>
      </w:pPr>
      <w:r w:rsidRPr="00F37527">
        <w:rPr>
          <w:sz w:val="22"/>
          <w:szCs w:val="22"/>
          <w:lang w:val="sl-SI"/>
        </w:rPr>
        <w:t>Nije poznato opimalno trajanje terapije.</w:t>
      </w:r>
    </w:p>
    <w:p w14:paraId="7BFF3BCD" w14:textId="77777777" w:rsidR="00E112EF" w:rsidRPr="00F37527" w:rsidRDefault="00E112EF" w:rsidP="0076441E">
      <w:pPr>
        <w:pStyle w:val="Header"/>
        <w:tabs>
          <w:tab w:val="left" w:pos="284"/>
        </w:tabs>
        <w:jc w:val="both"/>
        <w:rPr>
          <w:sz w:val="22"/>
          <w:szCs w:val="22"/>
          <w:lang w:val="sl-SI"/>
        </w:rPr>
      </w:pPr>
    </w:p>
    <w:p w14:paraId="09A61FBC" w14:textId="77777777" w:rsidR="00E112EF" w:rsidRPr="00F37527" w:rsidRDefault="00E112EF" w:rsidP="0076441E">
      <w:pPr>
        <w:pStyle w:val="Header"/>
        <w:numPr>
          <w:ilvl w:val="0"/>
          <w:numId w:val="13"/>
        </w:numPr>
        <w:tabs>
          <w:tab w:val="left" w:pos="284"/>
        </w:tabs>
        <w:jc w:val="both"/>
        <w:rPr>
          <w:sz w:val="22"/>
          <w:szCs w:val="22"/>
          <w:lang w:val="sl-SI"/>
        </w:rPr>
      </w:pPr>
      <w:r w:rsidRPr="00F37527">
        <w:rPr>
          <w:sz w:val="22"/>
          <w:szCs w:val="22"/>
          <w:lang w:val="sl-SI"/>
        </w:rPr>
        <w:lastRenderedPageBreak/>
        <w:t>Kod  HBeAg pozitivnih pacijenata s  hroničnim hepatitisom B (HHB), bez  ciroze, terapiju bi trebalo primijeniti tokom perioda od najmanje 6-12 mjeseci nakon što je potvrđena serokonverzija HBeAg ( nestanak  HBeAg i HBV DNK, uz pojavu  HBeAb), u cilju ograničenja rizika od virološkog relapsa, ili do HbsAg serokonverzije ili do gubitka efikasnosti (vidjeti dio 4.4). Nakon prekida primjene terapije trebalo  bi redovno  pratiti nivo ALT i HBV DNK u serumu, u cilju otkrivanja kasnog oblika virološkog relapsa.</w:t>
      </w:r>
    </w:p>
    <w:p w14:paraId="451C374E" w14:textId="77777777" w:rsidR="00E112EF" w:rsidRPr="00F37527" w:rsidRDefault="00E112EF" w:rsidP="0076441E">
      <w:pPr>
        <w:pStyle w:val="Header"/>
        <w:numPr>
          <w:ilvl w:val="0"/>
          <w:numId w:val="13"/>
        </w:numPr>
        <w:tabs>
          <w:tab w:val="left" w:pos="284"/>
        </w:tabs>
        <w:jc w:val="both"/>
        <w:rPr>
          <w:sz w:val="22"/>
          <w:szCs w:val="22"/>
          <w:lang w:val="sl-SI"/>
        </w:rPr>
      </w:pPr>
      <w:r w:rsidRPr="00F37527">
        <w:rPr>
          <w:sz w:val="22"/>
          <w:szCs w:val="22"/>
          <w:lang w:val="sl-SI"/>
        </w:rPr>
        <w:t>Kod  HBeAg negativnih pacijenata s hroničnim hepatitisom B HHB (</w:t>
      </w:r>
      <w:r w:rsidRPr="00F37527">
        <w:rPr>
          <w:i/>
          <w:sz w:val="22"/>
          <w:szCs w:val="22"/>
          <w:lang w:val="sl-SI"/>
        </w:rPr>
        <w:t>pre-core</w:t>
      </w:r>
      <w:r w:rsidRPr="00F37527">
        <w:rPr>
          <w:sz w:val="22"/>
          <w:szCs w:val="22"/>
          <w:lang w:val="sl-SI"/>
        </w:rPr>
        <w:t xml:space="preserve"> mutanata) bez ciroze, terapiju bi trebalo primijeniti bar do HBs serokonverzije ili do postojanja dokaza o gubitku efikasnosti. Kod produžene terapije, preporučuje se redovna provjera stanja pacijenta, u cilju potvrde opravdanosti nastavka primjene odabrane terapije kod pacijenta.</w:t>
      </w:r>
    </w:p>
    <w:p w14:paraId="6682742A" w14:textId="3414DE3B" w:rsidR="00E112EF" w:rsidRPr="00F37527" w:rsidRDefault="00E112EF" w:rsidP="0076441E">
      <w:pPr>
        <w:pStyle w:val="Header"/>
        <w:numPr>
          <w:ilvl w:val="0"/>
          <w:numId w:val="13"/>
        </w:numPr>
        <w:tabs>
          <w:tab w:val="left" w:pos="284"/>
        </w:tabs>
        <w:jc w:val="both"/>
        <w:rPr>
          <w:sz w:val="22"/>
          <w:szCs w:val="22"/>
          <w:lang w:val="sl-SI"/>
        </w:rPr>
      </w:pPr>
      <w:r w:rsidRPr="00F37527">
        <w:rPr>
          <w:sz w:val="22"/>
          <w:szCs w:val="22"/>
          <w:lang w:val="sl-SI"/>
        </w:rPr>
        <w:t>Kod pacijenata sa dekompenzovanim oboljenjem jetre ili cirozom, kao i kod pacijenata sa transplan</w:t>
      </w:r>
      <w:r w:rsidR="009C5662" w:rsidRPr="00F37527">
        <w:rPr>
          <w:sz w:val="22"/>
          <w:szCs w:val="22"/>
          <w:lang w:val="sl-SI"/>
        </w:rPr>
        <w:t>tovanom</w:t>
      </w:r>
      <w:r w:rsidRPr="00F37527">
        <w:rPr>
          <w:sz w:val="22"/>
          <w:szCs w:val="22"/>
          <w:lang w:val="sl-SI"/>
        </w:rPr>
        <w:t xml:space="preserve"> jetrom ne savjetuje se prekid primjene terapije (vidjeti dio 5.1).</w:t>
      </w:r>
    </w:p>
    <w:p w14:paraId="35AF5E61" w14:textId="77777777" w:rsidR="00E112EF" w:rsidRPr="00F37527" w:rsidRDefault="00E112EF" w:rsidP="0076441E">
      <w:pPr>
        <w:pStyle w:val="Header"/>
        <w:tabs>
          <w:tab w:val="left" w:pos="284"/>
        </w:tabs>
        <w:ind w:left="360"/>
        <w:jc w:val="both"/>
        <w:rPr>
          <w:sz w:val="22"/>
          <w:szCs w:val="22"/>
          <w:lang w:val="sl-SI"/>
        </w:rPr>
      </w:pPr>
    </w:p>
    <w:p w14:paraId="23C47107" w14:textId="77777777" w:rsidR="00E112EF" w:rsidRPr="00F37527" w:rsidRDefault="00E112EF" w:rsidP="0076441E">
      <w:pPr>
        <w:pStyle w:val="Header"/>
        <w:tabs>
          <w:tab w:val="left" w:pos="284"/>
        </w:tabs>
        <w:jc w:val="both"/>
        <w:rPr>
          <w:sz w:val="22"/>
          <w:szCs w:val="22"/>
          <w:lang w:val="sl-SI"/>
        </w:rPr>
      </w:pPr>
      <w:r w:rsidRPr="00F37527">
        <w:rPr>
          <w:sz w:val="22"/>
          <w:szCs w:val="22"/>
          <w:lang w:val="sl-SI"/>
        </w:rPr>
        <w:t>U slučaju prekida primjene terapije lamivudinom, potrebno je periodično pratiti stanje pacijenata, u cilju otkrivanja znakova rekurentnog hepatitisa (vidjeti dio 4.4).</w:t>
      </w:r>
    </w:p>
    <w:p w14:paraId="4230DF74" w14:textId="77777777" w:rsidR="00E112EF" w:rsidRPr="00F37527" w:rsidRDefault="00E112EF" w:rsidP="0076441E">
      <w:pPr>
        <w:pStyle w:val="Header"/>
        <w:tabs>
          <w:tab w:val="left" w:pos="284"/>
        </w:tabs>
        <w:ind w:left="360"/>
        <w:jc w:val="both"/>
        <w:rPr>
          <w:sz w:val="22"/>
          <w:szCs w:val="22"/>
          <w:lang w:val="sl-SI"/>
        </w:rPr>
      </w:pPr>
    </w:p>
    <w:p w14:paraId="67F92AAC" w14:textId="77777777" w:rsidR="00E112EF" w:rsidRPr="00F37527" w:rsidRDefault="00E112EF" w:rsidP="0076441E">
      <w:pPr>
        <w:pStyle w:val="Header"/>
        <w:tabs>
          <w:tab w:val="left" w:pos="284"/>
        </w:tabs>
        <w:jc w:val="both"/>
        <w:rPr>
          <w:sz w:val="22"/>
          <w:szCs w:val="22"/>
          <w:lang w:val="sl-SI"/>
        </w:rPr>
      </w:pPr>
      <w:r w:rsidRPr="00F37527">
        <w:rPr>
          <w:i/>
          <w:sz w:val="22"/>
          <w:szCs w:val="22"/>
          <w:lang w:val="sl-SI"/>
        </w:rPr>
        <w:t>Klinička rezistencija:</w:t>
      </w:r>
      <w:r w:rsidRPr="00F37527">
        <w:rPr>
          <w:sz w:val="22"/>
          <w:szCs w:val="22"/>
          <w:lang w:val="sl-SI"/>
        </w:rPr>
        <w:t xml:space="preserve"> </w:t>
      </w:r>
    </w:p>
    <w:p w14:paraId="5CE6F7E7" w14:textId="51F45F28" w:rsidR="00E112EF" w:rsidRPr="00F37527" w:rsidRDefault="00E112EF" w:rsidP="0076441E">
      <w:pPr>
        <w:pStyle w:val="Header"/>
        <w:tabs>
          <w:tab w:val="left" w:pos="284"/>
        </w:tabs>
        <w:jc w:val="both"/>
        <w:rPr>
          <w:sz w:val="22"/>
          <w:szCs w:val="22"/>
          <w:lang w:val="sl-SI"/>
        </w:rPr>
      </w:pPr>
      <w:r w:rsidRPr="00F37527">
        <w:rPr>
          <w:sz w:val="22"/>
          <w:szCs w:val="22"/>
          <w:lang w:val="sl-SI"/>
        </w:rPr>
        <w:t xml:space="preserve">Kod  HBeAg pozitivnih ili HbeAg negativnih pacijenata s </w:t>
      </w:r>
      <w:r w:rsidR="009C5662" w:rsidRPr="00F37527">
        <w:rPr>
          <w:sz w:val="22"/>
          <w:szCs w:val="22"/>
          <w:lang w:val="sl-SI"/>
        </w:rPr>
        <w:t>hroničnim hepatitisom B (</w:t>
      </w:r>
      <w:r w:rsidRPr="00F37527">
        <w:rPr>
          <w:sz w:val="22"/>
          <w:szCs w:val="22"/>
          <w:lang w:val="sl-SI"/>
        </w:rPr>
        <w:t>HHB</w:t>
      </w:r>
      <w:r w:rsidR="009C5662" w:rsidRPr="00F37527">
        <w:rPr>
          <w:sz w:val="22"/>
          <w:szCs w:val="22"/>
          <w:lang w:val="sl-SI"/>
        </w:rPr>
        <w:t>)</w:t>
      </w:r>
      <w:r w:rsidRPr="00F37527">
        <w:rPr>
          <w:sz w:val="22"/>
          <w:szCs w:val="22"/>
          <w:lang w:val="sl-SI"/>
        </w:rPr>
        <w:t xml:space="preserve">, razvoj YMDD (tirozin-metionin-aspartat-aspartat) mutiranog  HBV-a može imati za posljedicu slabljenje terapijskog odgovora na lamivudin, na što ukazuje povišenje nivoa HBV DNK i ALT u odnosu na vrijednosti dobijene tokom prethodne primjene terapije. U cilju smanjenja rizika od nastanka rezistencije kod pacijenata kod kojih se primjenjuje monoterapija lamivudinom, potrebno je razmotriti zamjenu terapije alternativnim </w:t>
      </w:r>
      <w:r w:rsidR="00D34290" w:rsidRPr="00F37527">
        <w:rPr>
          <w:sz w:val="22"/>
          <w:szCs w:val="22"/>
          <w:lang w:val="sl-SI"/>
        </w:rPr>
        <w:t>lijekom</w:t>
      </w:r>
      <w:r w:rsidRPr="00F37527">
        <w:rPr>
          <w:sz w:val="22"/>
          <w:szCs w:val="22"/>
          <w:lang w:val="sl-SI"/>
        </w:rPr>
        <w:t xml:space="preserve"> </w:t>
      </w:r>
      <w:r w:rsidR="00D34290" w:rsidRPr="00F37527">
        <w:rPr>
          <w:sz w:val="22"/>
          <w:szCs w:val="22"/>
          <w:lang w:val="sl-SI"/>
        </w:rPr>
        <w:t xml:space="preserve">ili dodavanje drugog lijeka </w:t>
      </w:r>
      <w:r w:rsidRPr="00F37527">
        <w:rPr>
          <w:sz w:val="22"/>
          <w:szCs w:val="22"/>
          <w:lang w:val="sl-SI"/>
        </w:rPr>
        <w:t>bez unakrsne rezistencije na lamivudin  na osnovu terapijskih vodiča  u slučaju da nivo HBV DNK u serumu ostaje detektibilan u 24. nedjelji terapije i kasnije (vidjeti dio 5.1.).</w:t>
      </w:r>
    </w:p>
    <w:p w14:paraId="23C13695" w14:textId="77777777" w:rsidR="00E112EF" w:rsidRPr="00F37527" w:rsidRDefault="00E112EF" w:rsidP="0076441E">
      <w:pPr>
        <w:pStyle w:val="Header"/>
        <w:tabs>
          <w:tab w:val="left" w:pos="284"/>
        </w:tabs>
        <w:jc w:val="both"/>
        <w:rPr>
          <w:sz w:val="22"/>
          <w:szCs w:val="22"/>
          <w:lang w:val="sl-SI"/>
        </w:rPr>
      </w:pPr>
    </w:p>
    <w:p w14:paraId="4657A78D" w14:textId="77777777" w:rsidR="00E112EF" w:rsidRPr="00F37527" w:rsidRDefault="00E112EF" w:rsidP="0076441E">
      <w:pPr>
        <w:pStyle w:val="Header"/>
        <w:tabs>
          <w:tab w:val="left" w:pos="284"/>
        </w:tabs>
        <w:jc w:val="both"/>
        <w:rPr>
          <w:sz w:val="22"/>
          <w:szCs w:val="22"/>
          <w:lang w:val="sl-SI"/>
        </w:rPr>
      </w:pPr>
      <w:r w:rsidRPr="00F37527">
        <w:rPr>
          <w:sz w:val="22"/>
          <w:szCs w:val="22"/>
          <w:lang w:val="sl-SI"/>
        </w:rPr>
        <w:t xml:space="preserve">Za liječenje </w:t>
      </w:r>
      <w:r w:rsidRPr="00F37527">
        <w:rPr>
          <w:color w:val="000000"/>
          <w:sz w:val="22"/>
          <w:szCs w:val="22"/>
          <w:lang w:val="hr-HR"/>
        </w:rPr>
        <w:t>pacijenata koji su istovremeno inficirani sa HIV-om i primaju ili je u planu da prime terapiju koja uključuje lamivudin ili kombinaciju lamivudin-zidovudin, ne treba mijenjati dozu lamivudina propisanu za liječenje HIV infekcije (uobičajeno 150 mg/dva puta dnevno u kombinaciji sa drugim antiretrovirusnim ljekovima).</w:t>
      </w:r>
    </w:p>
    <w:p w14:paraId="2BC3B99F" w14:textId="77777777" w:rsidR="00E112EF" w:rsidRPr="00F37527" w:rsidRDefault="00E112EF" w:rsidP="0076441E">
      <w:pPr>
        <w:pStyle w:val="Header"/>
        <w:tabs>
          <w:tab w:val="left" w:pos="284"/>
        </w:tabs>
        <w:jc w:val="both"/>
        <w:rPr>
          <w:sz w:val="22"/>
          <w:szCs w:val="22"/>
          <w:lang w:val="sl-SI"/>
        </w:rPr>
      </w:pPr>
    </w:p>
    <w:p w14:paraId="0EB4C3BC" w14:textId="77777777" w:rsidR="00E112EF" w:rsidRPr="00F37527" w:rsidRDefault="00E112EF" w:rsidP="0076441E">
      <w:pPr>
        <w:pStyle w:val="Header"/>
        <w:tabs>
          <w:tab w:val="left" w:pos="284"/>
        </w:tabs>
        <w:jc w:val="both"/>
        <w:rPr>
          <w:sz w:val="22"/>
          <w:szCs w:val="22"/>
          <w:u w:val="single"/>
          <w:lang w:val="sl-SI"/>
        </w:rPr>
      </w:pPr>
      <w:r w:rsidRPr="00F37527">
        <w:rPr>
          <w:sz w:val="22"/>
          <w:szCs w:val="22"/>
          <w:u w:val="single"/>
          <w:lang w:val="sl-SI"/>
        </w:rPr>
        <w:t xml:space="preserve">Posebne populacije pacijenata </w:t>
      </w:r>
    </w:p>
    <w:p w14:paraId="47C5B4E6" w14:textId="77777777" w:rsidR="00E112EF" w:rsidRPr="00F37527" w:rsidRDefault="00E112EF" w:rsidP="0076441E">
      <w:pPr>
        <w:pStyle w:val="Header"/>
        <w:tabs>
          <w:tab w:val="left" w:pos="284"/>
        </w:tabs>
        <w:spacing w:before="120"/>
        <w:jc w:val="both"/>
        <w:rPr>
          <w:i/>
          <w:sz w:val="22"/>
          <w:szCs w:val="22"/>
          <w:lang w:val="sl-SI"/>
        </w:rPr>
      </w:pPr>
      <w:r w:rsidRPr="00F37527">
        <w:rPr>
          <w:i/>
          <w:sz w:val="22"/>
          <w:szCs w:val="22"/>
          <w:lang w:val="sl-SI"/>
        </w:rPr>
        <w:t>Oštećenje bubrega</w:t>
      </w:r>
    </w:p>
    <w:p w14:paraId="06B9BED7" w14:textId="77777777" w:rsidR="00E112EF" w:rsidRPr="00F37527" w:rsidRDefault="00E112EF" w:rsidP="0076441E">
      <w:pPr>
        <w:jc w:val="both"/>
        <w:rPr>
          <w:sz w:val="22"/>
          <w:szCs w:val="22"/>
          <w:lang w:val="sl-SI"/>
        </w:rPr>
      </w:pPr>
      <w:r w:rsidRPr="00F37527">
        <w:rPr>
          <w:sz w:val="22"/>
          <w:szCs w:val="22"/>
          <w:lang w:val="sl-SI"/>
        </w:rPr>
        <w:t>Serumske koncentracije lamivudina (PIK) su povišene kod pacijenata sa umjerenim do teškim oštećenjem bubrega usljed smanjenog renalnog klirensa. Stoga bi doziranje trebalo smanjiti kod pacijenata čiji je klirens kreatinina &lt; 50 ml/minut. Kada je potrebna primjena doza lamivudina ispod 100 mg, trebalo bi primijeniti rastvor za oralnu primjenu lijeka ZEFFIX radi lakšeg doziranja (vidjeti tabelu 1 navedenu u daljem tekstu).</w:t>
      </w:r>
    </w:p>
    <w:p w14:paraId="1EDAE512" w14:textId="77777777" w:rsidR="00E112EF" w:rsidRPr="00F37527" w:rsidRDefault="00E112EF" w:rsidP="0076441E">
      <w:pPr>
        <w:jc w:val="both"/>
        <w:rPr>
          <w:sz w:val="22"/>
          <w:szCs w:val="22"/>
          <w:lang w:val="sl-SI"/>
        </w:rPr>
      </w:pPr>
    </w:p>
    <w:p w14:paraId="4E92A866" w14:textId="77777777" w:rsidR="00E112EF" w:rsidRPr="00F37527" w:rsidRDefault="00E112EF" w:rsidP="0076441E">
      <w:pPr>
        <w:pStyle w:val="Header"/>
        <w:tabs>
          <w:tab w:val="left" w:pos="284"/>
        </w:tabs>
        <w:ind w:left="360"/>
        <w:jc w:val="both"/>
        <w:rPr>
          <w:sz w:val="22"/>
          <w:szCs w:val="22"/>
          <w:lang w:val="sl-SI"/>
        </w:rPr>
      </w:pPr>
      <w:r w:rsidRPr="00F37527">
        <w:rPr>
          <w:sz w:val="22"/>
          <w:szCs w:val="22"/>
          <w:lang w:val="sl-SI"/>
        </w:rPr>
        <w:t>Tabela 1: Doziranje lijeka ZEFFIX</w:t>
      </w:r>
      <w:r w:rsidRPr="00F37527">
        <w:rPr>
          <w:sz w:val="22"/>
          <w:szCs w:val="22"/>
          <w:vertAlign w:val="superscript"/>
          <w:lang w:val="sl-SI"/>
        </w:rPr>
        <w:t xml:space="preserve"> </w:t>
      </w:r>
      <w:r w:rsidRPr="00F37527">
        <w:rPr>
          <w:sz w:val="22"/>
          <w:szCs w:val="22"/>
          <w:lang w:val="sl-SI"/>
        </w:rPr>
        <w:t>kod pacijenata sa smanjenim renalnim klirensom</w:t>
      </w:r>
    </w:p>
    <w:p w14:paraId="6B53281E" w14:textId="77777777" w:rsidR="00E112EF" w:rsidRPr="00F37527" w:rsidRDefault="00E112EF" w:rsidP="0076441E">
      <w:pPr>
        <w:pStyle w:val="Header"/>
        <w:tabs>
          <w:tab w:val="left" w:pos="284"/>
        </w:tabs>
        <w:ind w:left="360"/>
        <w:jc w:val="both"/>
        <w:rPr>
          <w:sz w:val="22"/>
          <w:szCs w:val="22"/>
          <w:lang w:val="sl-SI"/>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9"/>
        <w:gridCol w:w="3096"/>
        <w:gridCol w:w="2952"/>
      </w:tblGrid>
      <w:tr w:rsidR="00E112EF" w:rsidRPr="00F37527" w14:paraId="6745592E" w14:textId="77777777" w:rsidTr="00E112EF">
        <w:trPr>
          <w:trHeight w:val="516"/>
        </w:trPr>
        <w:tc>
          <w:tcPr>
            <w:tcW w:w="2529" w:type="dxa"/>
            <w:tcBorders>
              <w:top w:val="single" w:sz="4" w:space="0" w:color="auto"/>
              <w:left w:val="single" w:sz="4" w:space="0" w:color="auto"/>
              <w:bottom w:val="single" w:sz="4" w:space="0" w:color="auto"/>
              <w:right w:val="single" w:sz="4" w:space="0" w:color="auto"/>
            </w:tcBorders>
            <w:hideMark/>
          </w:tcPr>
          <w:p w14:paraId="703709A5" w14:textId="77777777" w:rsidR="00E112EF" w:rsidRPr="00F37527" w:rsidRDefault="00E112EF" w:rsidP="0076441E">
            <w:pPr>
              <w:pStyle w:val="Header"/>
              <w:tabs>
                <w:tab w:val="left" w:pos="284"/>
              </w:tabs>
              <w:ind w:left="360"/>
              <w:jc w:val="both"/>
              <w:rPr>
                <w:b/>
                <w:sz w:val="22"/>
                <w:szCs w:val="22"/>
                <w:lang w:val="sl-SI"/>
              </w:rPr>
            </w:pPr>
            <w:r w:rsidRPr="00F37527">
              <w:rPr>
                <w:b/>
                <w:sz w:val="22"/>
                <w:szCs w:val="22"/>
                <w:lang w:val="sl-SI"/>
              </w:rPr>
              <w:t>Klirens kreatinina</w:t>
            </w:r>
          </w:p>
          <w:p w14:paraId="0A79FDCC" w14:textId="77777777" w:rsidR="00E112EF" w:rsidRPr="00F37527" w:rsidRDefault="00E112EF" w:rsidP="0076441E">
            <w:pPr>
              <w:pStyle w:val="Header"/>
              <w:tabs>
                <w:tab w:val="left" w:pos="284"/>
              </w:tabs>
              <w:ind w:left="360"/>
              <w:jc w:val="both"/>
              <w:rPr>
                <w:b/>
                <w:sz w:val="22"/>
                <w:szCs w:val="22"/>
                <w:lang w:val="sl-SI"/>
              </w:rPr>
            </w:pPr>
            <w:r w:rsidRPr="00F37527">
              <w:rPr>
                <w:b/>
                <w:sz w:val="22"/>
                <w:szCs w:val="22"/>
                <w:lang w:val="sl-SI"/>
              </w:rPr>
              <w:t>ml/min</w:t>
            </w:r>
          </w:p>
        </w:tc>
        <w:tc>
          <w:tcPr>
            <w:tcW w:w="3096" w:type="dxa"/>
            <w:tcBorders>
              <w:top w:val="single" w:sz="4" w:space="0" w:color="auto"/>
              <w:left w:val="single" w:sz="4" w:space="0" w:color="auto"/>
              <w:bottom w:val="single" w:sz="4" w:space="0" w:color="auto"/>
              <w:right w:val="single" w:sz="4" w:space="0" w:color="auto"/>
            </w:tcBorders>
            <w:hideMark/>
          </w:tcPr>
          <w:p w14:paraId="050A4285" w14:textId="77777777" w:rsidR="00E112EF" w:rsidRPr="00F37527" w:rsidRDefault="00E112EF" w:rsidP="0076441E">
            <w:pPr>
              <w:pStyle w:val="Header"/>
              <w:tabs>
                <w:tab w:val="left" w:pos="284"/>
              </w:tabs>
              <w:ind w:left="360"/>
              <w:jc w:val="both"/>
              <w:rPr>
                <w:b/>
                <w:sz w:val="22"/>
                <w:szCs w:val="22"/>
                <w:lang w:val="sl-SI"/>
              </w:rPr>
            </w:pPr>
            <w:r w:rsidRPr="00F37527">
              <w:rPr>
                <w:b/>
                <w:sz w:val="22"/>
                <w:szCs w:val="22"/>
                <w:lang w:val="sl-SI"/>
              </w:rPr>
              <w:t>Prva doza lijeka ZEFFIX</w:t>
            </w:r>
            <w:r w:rsidRPr="00F37527">
              <w:rPr>
                <w:sz w:val="22"/>
                <w:szCs w:val="22"/>
                <w:lang w:val="sl-SI"/>
              </w:rPr>
              <w:t>,</w:t>
            </w:r>
          </w:p>
          <w:p w14:paraId="75A69FC3" w14:textId="77777777" w:rsidR="00E112EF" w:rsidRPr="00F37527" w:rsidRDefault="00E112EF" w:rsidP="0076441E">
            <w:pPr>
              <w:pStyle w:val="Header"/>
              <w:tabs>
                <w:tab w:val="left" w:pos="284"/>
              </w:tabs>
              <w:ind w:left="360"/>
              <w:jc w:val="both"/>
              <w:rPr>
                <w:b/>
                <w:sz w:val="22"/>
                <w:szCs w:val="22"/>
                <w:lang w:val="sl-SI"/>
              </w:rPr>
            </w:pPr>
            <w:r w:rsidRPr="00F37527">
              <w:rPr>
                <w:b/>
                <w:sz w:val="22"/>
                <w:szCs w:val="22"/>
                <w:lang w:val="sl-SI"/>
              </w:rPr>
              <w:t>rastvor za oralnu primjenu*</w:t>
            </w:r>
          </w:p>
        </w:tc>
        <w:tc>
          <w:tcPr>
            <w:tcW w:w="2952" w:type="dxa"/>
            <w:tcBorders>
              <w:top w:val="single" w:sz="4" w:space="0" w:color="auto"/>
              <w:left w:val="single" w:sz="4" w:space="0" w:color="auto"/>
              <w:bottom w:val="single" w:sz="4" w:space="0" w:color="auto"/>
              <w:right w:val="single" w:sz="4" w:space="0" w:color="auto"/>
            </w:tcBorders>
            <w:hideMark/>
          </w:tcPr>
          <w:p w14:paraId="144BE591" w14:textId="77777777" w:rsidR="00E112EF" w:rsidRPr="00F37527" w:rsidRDefault="00E112EF" w:rsidP="0076441E">
            <w:pPr>
              <w:pStyle w:val="Header"/>
              <w:tabs>
                <w:tab w:val="left" w:pos="284"/>
              </w:tabs>
              <w:ind w:left="360"/>
              <w:jc w:val="both"/>
              <w:rPr>
                <w:b/>
                <w:sz w:val="22"/>
                <w:szCs w:val="22"/>
                <w:lang w:val="sl-SI"/>
              </w:rPr>
            </w:pPr>
            <w:r w:rsidRPr="00F37527">
              <w:rPr>
                <w:b/>
                <w:sz w:val="22"/>
                <w:szCs w:val="22"/>
                <w:lang w:val="sl-SI"/>
              </w:rPr>
              <w:t>Doza održavanja</w:t>
            </w:r>
          </w:p>
          <w:p w14:paraId="3EB2AA8B" w14:textId="77777777" w:rsidR="00E112EF" w:rsidRPr="00F37527" w:rsidRDefault="00E112EF" w:rsidP="0076441E">
            <w:pPr>
              <w:pStyle w:val="Header"/>
              <w:tabs>
                <w:tab w:val="left" w:pos="284"/>
              </w:tabs>
              <w:ind w:left="360"/>
              <w:jc w:val="both"/>
              <w:rPr>
                <w:b/>
                <w:sz w:val="22"/>
                <w:szCs w:val="22"/>
                <w:lang w:val="sl-SI"/>
              </w:rPr>
            </w:pPr>
            <w:r w:rsidRPr="00F37527">
              <w:rPr>
                <w:b/>
                <w:sz w:val="22"/>
                <w:szCs w:val="22"/>
                <w:lang w:val="sl-SI"/>
              </w:rPr>
              <w:t>jednom dnevno</w:t>
            </w:r>
          </w:p>
        </w:tc>
      </w:tr>
      <w:tr w:rsidR="00E112EF" w:rsidRPr="00F37527" w14:paraId="25D3A9E4" w14:textId="77777777" w:rsidTr="00E112EF">
        <w:tc>
          <w:tcPr>
            <w:tcW w:w="2529" w:type="dxa"/>
            <w:tcBorders>
              <w:top w:val="single" w:sz="4" w:space="0" w:color="auto"/>
              <w:left w:val="single" w:sz="4" w:space="0" w:color="auto"/>
              <w:bottom w:val="single" w:sz="4" w:space="0" w:color="auto"/>
              <w:right w:val="single" w:sz="4" w:space="0" w:color="auto"/>
            </w:tcBorders>
            <w:hideMark/>
          </w:tcPr>
          <w:p w14:paraId="6A7B2CE0" w14:textId="77777777" w:rsidR="00E112EF" w:rsidRPr="00F37527" w:rsidRDefault="00E112EF" w:rsidP="0076441E">
            <w:pPr>
              <w:pStyle w:val="Header"/>
              <w:tabs>
                <w:tab w:val="left" w:pos="284"/>
              </w:tabs>
              <w:ind w:left="360"/>
              <w:jc w:val="both"/>
              <w:rPr>
                <w:b/>
                <w:sz w:val="22"/>
                <w:szCs w:val="22"/>
                <w:lang w:val="sl-SI"/>
              </w:rPr>
            </w:pPr>
            <w:r w:rsidRPr="00F37527">
              <w:rPr>
                <w:b/>
                <w:sz w:val="22"/>
                <w:szCs w:val="22"/>
                <w:lang w:val="sl-SI"/>
              </w:rPr>
              <w:t>30 do &lt; 50</w:t>
            </w:r>
          </w:p>
        </w:tc>
        <w:tc>
          <w:tcPr>
            <w:tcW w:w="3096" w:type="dxa"/>
            <w:tcBorders>
              <w:top w:val="single" w:sz="4" w:space="0" w:color="auto"/>
              <w:left w:val="single" w:sz="4" w:space="0" w:color="auto"/>
              <w:bottom w:val="single" w:sz="4" w:space="0" w:color="auto"/>
              <w:right w:val="single" w:sz="4" w:space="0" w:color="auto"/>
            </w:tcBorders>
            <w:hideMark/>
          </w:tcPr>
          <w:p w14:paraId="12756E2F" w14:textId="77777777" w:rsidR="00E112EF" w:rsidRPr="00F37527" w:rsidRDefault="00E112EF" w:rsidP="0076441E">
            <w:pPr>
              <w:pStyle w:val="Header"/>
              <w:tabs>
                <w:tab w:val="left" w:pos="284"/>
              </w:tabs>
              <w:ind w:left="360"/>
              <w:jc w:val="both"/>
              <w:rPr>
                <w:sz w:val="22"/>
                <w:szCs w:val="22"/>
                <w:lang w:val="sl-SI"/>
              </w:rPr>
            </w:pPr>
            <w:r w:rsidRPr="00F37527">
              <w:rPr>
                <w:sz w:val="22"/>
                <w:szCs w:val="22"/>
                <w:lang w:val="sl-SI"/>
              </w:rPr>
              <w:t>20 ml (100 mg)</w:t>
            </w:r>
          </w:p>
        </w:tc>
        <w:tc>
          <w:tcPr>
            <w:tcW w:w="2952" w:type="dxa"/>
            <w:tcBorders>
              <w:top w:val="single" w:sz="4" w:space="0" w:color="auto"/>
              <w:left w:val="single" w:sz="4" w:space="0" w:color="auto"/>
              <w:bottom w:val="single" w:sz="4" w:space="0" w:color="auto"/>
              <w:right w:val="single" w:sz="4" w:space="0" w:color="auto"/>
            </w:tcBorders>
            <w:hideMark/>
          </w:tcPr>
          <w:p w14:paraId="3E10CEA0" w14:textId="77777777" w:rsidR="00E112EF" w:rsidRPr="00F37527" w:rsidRDefault="00E112EF" w:rsidP="0076441E">
            <w:pPr>
              <w:pStyle w:val="Header"/>
              <w:tabs>
                <w:tab w:val="left" w:pos="284"/>
              </w:tabs>
              <w:ind w:left="360"/>
              <w:jc w:val="both"/>
              <w:rPr>
                <w:sz w:val="22"/>
                <w:szCs w:val="22"/>
                <w:lang w:val="sl-SI"/>
              </w:rPr>
            </w:pPr>
            <w:r w:rsidRPr="00F37527">
              <w:rPr>
                <w:sz w:val="22"/>
                <w:szCs w:val="22"/>
                <w:lang w:val="sl-SI"/>
              </w:rPr>
              <w:t>10 ml (50 mg)</w:t>
            </w:r>
          </w:p>
        </w:tc>
      </w:tr>
      <w:tr w:rsidR="00E112EF" w:rsidRPr="00F37527" w14:paraId="07439AFC" w14:textId="77777777" w:rsidTr="00E112EF">
        <w:tc>
          <w:tcPr>
            <w:tcW w:w="2529" w:type="dxa"/>
            <w:tcBorders>
              <w:top w:val="single" w:sz="4" w:space="0" w:color="auto"/>
              <w:left w:val="single" w:sz="4" w:space="0" w:color="auto"/>
              <w:bottom w:val="single" w:sz="4" w:space="0" w:color="auto"/>
              <w:right w:val="single" w:sz="4" w:space="0" w:color="auto"/>
            </w:tcBorders>
            <w:hideMark/>
          </w:tcPr>
          <w:p w14:paraId="44295A88" w14:textId="77777777" w:rsidR="00E112EF" w:rsidRPr="00F37527" w:rsidRDefault="00E112EF" w:rsidP="0076441E">
            <w:pPr>
              <w:pStyle w:val="Header"/>
              <w:tabs>
                <w:tab w:val="left" w:pos="284"/>
              </w:tabs>
              <w:ind w:left="360"/>
              <w:jc w:val="both"/>
              <w:rPr>
                <w:b/>
                <w:sz w:val="22"/>
                <w:szCs w:val="22"/>
                <w:lang w:val="sl-SI"/>
              </w:rPr>
            </w:pPr>
            <w:r w:rsidRPr="00F37527">
              <w:rPr>
                <w:b/>
                <w:sz w:val="22"/>
                <w:szCs w:val="22"/>
                <w:lang w:val="sl-SI"/>
              </w:rPr>
              <w:t>15 do &lt; 30</w:t>
            </w:r>
          </w:p>
        </w:tc>
        <w:tc>
          <w:tcPr>
            <w:tcW w:w="3096" w:type="dxa"/>
            <w:tcBorders>
              <w:top w:val="single" w:sz="4" w:space="0" w:color="auto"/>
              <w:left w:val="single" w:sz="4" w:space="0" w:color="auto"/>
              <w:bottom w:val="single" w:sz="4" w:space="0" w:color="auto"/>
              <w:right w:val="single" w:sz="4" w:space="0" w:color="auto"/>
            </w:tcBorders>
            <w:hideMark/>
          </w:tcPr>
          <w:p w14:paraId="0182F0EC" w14:textId="77777777" w:rsidR="00E112EF" w:rsidRPr="00F37527" w:rsidRDefault="00E112EF" w:rsidP="0076441E">
            <w:pPr>
              <w:pStyle w:val="Header"/>
              <w:tabs>
                <w:tab w:val="left" w:pos="284"/>
              </w:tabs>
              <w:ind w:left="360"/>
              <w:jc w:val="both"/>
              <w:rPr>
                <w:sz w:val="22"/>
                <w:szCs w:val="22"/>
                <w:lang w:val="sl-SI"/>
              </w:rPr>
            </w:pPr>
            <w:r w:rsidRPr="00F37527">
              <w:rPr>
                <w:sz w:val="22"/>
                <w:szCs w:val="22"/>
                <w:lang w:val="sl-SI"/>
              </w:rPr>
              <w:t>20 ml (100 mg)</w:t>
            </w:r>
          </w:p>
        </w:tc>
        <w:tc>
          <w:tcPr>
            <w:tcW w:w="2952" w:type="dxa"/>
            <w:tcBorders>
              <w:top w:val="single" w:sz="4" w:space="0" w:color="auto"/>
              <w:left w:val="single" w:sz="4" w:space="0" w:color="auto"/>
              <w:bottom w:val="single" w:sz="4" w:space="0" w:color="auto"/>
              <w:right w:val="single" w:sz="4" w:space="0" w:color="auto"/>
            </w:tcBorders>
            <w:hideMark/>
          </w:tcPr>
          <w:p w14:paraId="17613539" w14:textId="77777777" w:rsidR="00E112EF" w:rsidRPr="00F37527" w:rsidRDefault="00E112EF" w:rsidP="0076441E">
            <w:pPr>
              <w:pStyle w:val="Header"/>
              <w:tabs>
                <w:tab w:val="left" w:pos="284"/>
              </w:tabs>
              <w:ind w:left="360"/>
              <w:jc w:val="both"/>
              <w:rPr>
                <w:sz w:val="22"/>
                <w:szCs w:val="22"/>
                <w:lang w:val="sl-SI"/>
              </w:rPr>
            </w:pPr>
            <w:r w:rsidRPr="00F37527">
              <w:rPr>
                <w:sz w:val="22"/>
                <w:szCs w:val="22"/>
                <w:lang w:val="sl-SI"/>
              </w:rPr>
              <w:t>5 ml (25 mg)</w:t>
            </w:r>
          </w:p>
        </w:tc>
      </w:tr>
      <w:tr w:rsidR="00E112EF" w:rsidRPr="00F37527" w14:paraId="7153D227" w14:textId="77777777" w:rsidTr="00E112EF">
        <w:tc>
          <w:tcPr>
            <w:tcW w:w="2529" w:type="dxa"/>
            <w:tcBorders>
              <w:top w:val="single" w:sz="4" w:space="0" w:color="auto"/>
              <w:left w:val="single" w:sz="4" w:space="0" w:color="auto"/>
              <w:bottom w:val="single" w:sz="4" w:space="0" w:color="auto"/>
              <w:right w:val="single" w:sz="4" w:space="0" w:color="auto"/>
            </w:tcBorders>
            <w:hideMark/>
          </w:tcPr>
          <w:p w14:paraId="479D7B44" w14:textId="77777777" w:rsidR="00E112EF" w:rsidRPr="00F37527" w:rsidRDefault="00E112EF" w:rsidP="0076441E">
            <w:pPr>
              <w:pStyle w:val="Header"/>
              <w:tabs>
                <w:tab w:val="left" w:pos="284"/>
              </w:tabs>
              <w:ind w:left="360"/>
              <w:jc w:val="both"/>
              <w:rPr>
                <w:b/>
                <w:sz w:val="22"/>
                <w:szCs w:val="22"/>
                <w:lang w:val="sl-SI"/>
              </w:rPr>
            </w:pPr>
            <w:r w:rsidRPr="00F37527">
              <w:rPr>
                <w:b/>
                <w:sz w:val="22"/>
                <w:szCs w:val="22"/>
                <w:lang w:val="sl-SI"/>
              </w:rPr>
              <w:t>5 do &lt; 15</w:t>
            </w:r>
          </w:p>
        </w:tc>
        <w:tc>
          <w:tcPr>
            <w:tcW w:w="3096" w:type="dxa"/>
            <w:tcBorders>
              <w:top w:val="single" w:sz="4" w:space="0" w:color="auto"/>
              <w:left w:val="single" w:sz="4" w:space="0" w:color="auto"/>
              <w:bottom w:val="single" w:sz="4" w:space="0" w:color="auto"/>
              <w:right w:val="single" w:sz="4" w:space="0" w:color="auto"/>
            </w:tcBorders>
            <w:hideMark/>
          </w:tcPr>
          <w:p w14:paraId="7F8ECD5B" w14:textId="77777777" w:rsidR="00E112EF" w:rsidRPr="00F37527" w:rsidRDefault="00E112EF" w:rsidP="0076441E">
            <w:pPr>
              <w:pStyle w:val="Header"/>
              <w:tabs>
                <w:tab w:val="left" w:pos="284"/>
              </w:tabs>
              <w:ind w:left="360"/>
              <w:jc w:val="both"/>
              <w:rPr>
                <w:sz w:val="22"/>
                <w:szCs w:val="22"/>
                <w:lang w:val="sl-SI"/>
              </w:rPr>
            </w:pPr>
            <w:r w:rsidRPr="00F37527">
              <w:rPr>
                <w:sz w:val="22"/>
                <w:szCs w:val="22"/>
                <w:lang w:val="sl-SI"/>
              </w:rPr>
              <w:t>7 ml (35 mg)</w:t>
            </w:r>
          </w:p>
        </w:tc>
        <w:tc>
          <w:tcPr>
            <w:tcW w:w="2952" w:type="dxa"/>
            <w:tcBorders>
              <w:top w:val="single" w:sz="4" w:space="0" w:color="auto"/>
              <w:left w:val="single" w:sz="4" w:space="0" w:color="auto"/>
              <w:bottom w:val="single" w:sz="4" w:space="0" w:color="auto"/>
              <w:right w:val="single" w:sz="4" w:space="0" w:color="auto"/>
            </w:tcBorders>
            <w:hideMark/>
          </w:tcPr>
          <w:p w14:paraId="246928ED" w14:textId="77777777" w:rsidR="00E112EF" w:rsidRPr="00F37527" w:rsidRDefault="00E112EF" w:rsidP="0076441E">
            <w:pPr>
              <w:pStyle w:val="Header"/>
              <w:tabs>
                <w:tab w:val="left" w:pos="284"/>
              </w:tabs>
              <w:ind w:left="360"/>
              <w:jc w:val="both"/>
              <w:rPr>
                <w:sz w:val="22"/>
                <w:szCs w:val="22"/>
                <w:lang w:val="sl-SI"/>
              </w:rPr>
            </w:pPr>
            <w:r w:rsidRPr="00F37527">
              <w:rPr>
                <w:sz w:val="22"/>
                <w:szCs w:val="22"/>
                <w:lang w:val="sl-SI"/>
              </w:rPr>
              <w:t>3 ml (15 mg)</w:t>
            </w:r>
          </w:p>
        </w:tc>
      </w:tr>
      <w:tr w:rsidR="00E112EF" w:rsidRPr="00F37527" w14:paraId="24055201" w14:textId="77777777" w:rsidTr="00E112EF">
        <w:tc>
          <w:tcPr>
            <w:tcW w:w="2529" w:type="dxa"/>
            <w:tcBorders>
              <w:top w:val="single" w:sz="4" w:space="0" w:color="auto"/>
              <w:left w:val="single" w:sz="4" w:space="0" w:color="auto"/>
              <w:bottom w:val="single" w:sz="4" w:space="0" w:color="auto"/>
              <w:right w:val="single" w:sz="4" w:space="0" w:color="auto"/>
            </w:tcBorders>
            <w:hideMark/>
          </w:tcPr>
          <w:p w14:paraId="37B21C01" w14:textId="77777777" w:rsidR="00E112EF" w:rsidRPr="00F37527" w:rsidRDefault="00E112EF" w:rsidP="0076441E">
            <w:pPr>
              <w:pStyle w:val="Header"/>
              <w:tabs>
                <w:tab w:val="left" w:pos="284"/>
              </w:tabs>
              <w:ind w:left="360"/>
              <w:jc w:val="both"/>
              <w:rPr>
                <w:b/>
                <w:sz w:val="22"/>
                <w:szCs w:val="22"/>
                <w:lang w:val="sl-SI"/>
              </w:rPr>
            </w:pPr>
            <w:r w:rsidRPr="00F37527">
              <w:rPr>
                <w:b/>
                <w:sz w:val="22"/>
                <w:szCs w:val="22"/>
                <w:lang w:val="sl-SI"/>
              </w:rPr>
              <w:t>&lt; 5</w:t>
            </w:r>
          </w:p>
        </w:tc>
        <w:tc>
          <w:tcPr>
            <w:tcW w:w="3096" w:type="dxa"/>
            <w:tcBorders>
              <w:top w:val="single" w:sz="4" w:space="0" w:color="auto"/>
              <w:left w:val="single" w:sz="4" w:space="0" w:color="auto"/>
              <w:bottom w:val="single" w:sz="4" w:space="0" w:color="auto"/>
              <w:right w:val="single" w:sz="4" w:space="0" w:color="auto"/>
            </w:tcBorders>
            <w:hideMark/>
          </w:tcPr>
          <w:p w14:paraId="46E91353" w14:textId="77777777" w:rsidR="00E112EF" w:rsidRPr="00F37527" w:rsidRDefault="00E112EF" w:rsidP="0076441E">
            <w:pPr>
              <w:pStyle w:val="Header"/>
              <w:tabs>
                <w:tab w:val="left" w:pos="284"/>
              </w:tabs>
              <w:ind w:left="360"/>
              <w:jc w:val="both"/>
              <w:rPr>
                <w:sz w:val="22"/>
                <w:szCs w:val="22"/>
                <w:lang w:val="sl-SI"/>
              </w:rPr>
            </w:pPr>
            <w:r w:rsidRPr="00F37527">
              <w:rPr>
                <w:sz w:val="22"/>
                <w:szCs w:val="22"/>
                <w:lang w:val="sl-SI"/>
              </w:rPr>
              <w:t>7 ml (35 mg)</w:t>
            </w:r>
          </w:p>
        </w:tc>
        <w:tc>
          <w:tcPr>
            <w:tcW w:w="2952" w:type="dxa"/>
            <w:tcBorders>
              <w:top w:val="single" w:sz="4" w:space="0" w:color="auto"/>
              <w:left w:val="single" w:sz="4" w:space="0" w:color="auto"/>
              <w:bottom w:val="single" w:sz="4" w:space="0" w:color="auto"/>
              <w:right w:val="single" w:sz="4" w:space="0" w:color="auto"/>
            </w:tcBorders>
            <w:hideMark/>
          </w:tcPr>
          <w:p w14:paraId="7697437F" w14:textId="77777777" w:rsidR="00E112EF" w:rsidRPr="00F37527" w:rsidRDefault="00E112EF" w:rsidP="0076441E">
            <w:pPr>
              <w:pStyle w:val="Header"/>
              <w:tabs>
                <w:tab w:val="left" w:pos="284"/>
              </w:tabs>
              <w:ind w:left="360"/>
              <w:jc w:val="both"/>
              <w:rPr>
                <w:sz w:val="22"/>
                <w:szCs w:val="22"/>
                <w:lang w:val="sl-SI"/>
              </w:rPr>
            </w:pPr>
            <w:r w:rsidRPr="00F37527">
              <w:rPr>
                <w:sz w:val="22"/>
                <w:szCs w:val="22"/>
                <w:lang w:val="sl-SI"/>
              </w:rPr>
              <w:t>2 ml (10 mg)</w:t>
            </w:r>
          </w:p>
        </w:tc>
      </w:tr>
    </w:tbl>
    <w:p w14:paraId="7B27B55E" w14:textId="77777777" w:rsidR="00E112EF" w:rsidRPr="00F37527" w:rsidRDefault="00E112EF" w:rsidP="0076441E">
      <w:pPr>
        <w:pStyle w:val="Header"/>
        <w:tabs>
          <w:tab w:val="left" w:pos="284"/>
        </w:tabs>
        <w:ind w:left="360"/>
        <w:jc w:val="both"/>
        <w:rPr>
          <w:sz w:val="22"/>
          <w:szCs w:val="22"/>
          <w:lang w:val="sl-SI"/>
        </w:rPr>
      </w:pPr>
      <w:r w:rsidRPr="00F37527">
        <w:rPr>
          <w:sz w:val="22"/>
          <w:szCs w:val="22"/>
          <w:lang w:val="sl-SI"/>
        </w:rPr>
        <w:t>* lijek ZEFFIX, rastvor za oralnu primjenu sadrži 5 mg/ml lamivudina.</w:t>
      </w:r>
    </w:p>
    <w:p w14:paraId="3D65E284" w14:textId="02658158" w:rsidR="00E112EF" w:rsidRPr="00F37527" w:rsidRDefault="003B0E98" w:rsidP="0076441E">
      <w:pPr>
        <w:pStyle w:val="Header"/>
        <w:tabs>
          <w:tab w:val="left" w:pos="284"/>
        </w:tabs>
        <w:ind w:left="360"/>
        <w:jc w:val="both"/>
        <w:rPr>
          <w:sz w:val="22"/>
          <w:szCs w:val="22"/>
          <w:lang w:val="sl-SI"/>
        </w:rPr>
      </w:pPr>
      <w:r w:rsidRPr="00F37527">
        <w:rPr>
          <w:sz w:val="22"/>
          <w:szCs w:val="22"/>
          <w:lang w:val="sl-SI"/>
        </w:rPr>
        <w:t xml:space="preserve">   Napomena: farmaceutski oblik rastvor za oralnu primjenu nije registrovan u Crnoj Gori</w:t>
      </w:r>
    </w:p>
    <w:p w14:paraId="0B1FB103" w14:textId="77777777" w:rsidR="003B0E98" w:rsidRPr="00F37527" w:rsidRDefault="003B0E98" w:rsidP="0076441E">
      <w:pPr>
        <w:pStyle w:val="Header"/>
        <w:tabs>
          <w:tab w:val="left" w:pos="284"/>
        </w:tabs>
        <w:ind w:left="360"/>
        <w:jc w:val="both"/>
        <w:rPr>
          <w:sz w:val="22"/>
          <w:szCs w:val="22"/>
          <w:lang w:val="sl-SI"/>
        </w:rPr>
      </w:pPr>
    </w:p>
    <w:p w14:paraId="08AFB61A" w14:textId="77777777" w:rsidR="00E112EF" w:rsidRPr="00F37527" w:rsidRDefault="00E112EF" w:rsidP="0076441E">
      <w:pPr>
        <w:pStyle w:val="Header"/>
        <w:tabs>
          <w:tab w:val="left" w:pos="284"/>
        </w:tabs>
        <w:jc w:val="both"/>
        <w:rPr>
          <w:sz w:val="22"/>
          <w:szCs w:val="22"/>
          <w:lang w:val="sl-SI"/>
        </w:rPr>
      </w:pPr>
      <w:r w:rsidRPr="00F37527">
        <w:rPr>
          <w:sz w:val="22"/>
          <w:szCs w:val="22"/>
          <w:lang w:val="sl-SI"/>
        </w:rPr>
        <w:t>Dostupni podaci, dobijeni kod pacijenata na intermitentnoj hemodijalizi (4 sata dijalize ili kraće, 2-3 puta nedjeljno), ukazuju da nakon inicijalnog smanjenja doze lamivudina u zavisnosti od  klirensa kreatinina, nije potrebno dodatno podešavanje doze za vrijeme dijalize.</w:t>
      </w:r>
    </w:p>
    <w:p w14:paraId="57E9B63F" w14:textId="77777777" w:rsidR="00E112EF" w:rsidRPr="00F37527" w:rsidRDefault="00E112EF" w:rsidP="0076441E">
      <w:pPr>
        <w:pStyle w:val="Header"/>
        <w:tabs>
          <w:tab w:val="left" w:pos="284"/>
        </w:tabs>
        <w:ind w:left="360"/>
        <w:jc w:val="both"/>
        <w:rPr>
          <w:b/>
          <w:sz w:val="22"/>
          <w:szCs w:val="22"/>
          <w:lang w:val="sl-SI"/>
        </w:rPr>
      </w:pPr>
    </w:p>
    <w:p w14:paraId="7D784017" w14:textId="77777777" w:rsidR="005F461D" w:rsidRDefault="005F461D" w:rsidP="0076441E">
      <w:pPr>
        <w:pStyle w:val="Header"/>
        <w:tabs>
          <w:tab w:val="left" w:pos="284"/>
        </w:tabs>
        <w:jc w:val="both"/>
        <w:rPr>
          <w:i/>
          <w:sz w:val="22"/>
          <w:szCs w:val="22"/>
          <w:lang w:val="sl-SI"/>
        </w:rPr>
      </w:pPr>
    </w:p>
    <w:p w14:paraId="3C016E92" w14:textId="5A01431B" w:rsidR="00E112EF" w:rsidRPr="00F37527" w:rsidRDefault="00E112EF" w:rsidP="0076441E">
      <w:pPr>
        <w:pStyle w:val="Header"/>
        <w:tabs>
          <w:tab w:val="left" w:pos="284"/>
        </w:tabs>
        <w:jc w:val="both"/>
        <w:rPr>
          <w:i/>
          <w:sz w:val="22"/>
          <w:szCs w:val="22"/>
          <w:lang w:val="sl-SI"/>
        </w:rPr>
      </w:pPr>
      <w:r w:rsidRPr="00F37527">
        <w:rPr>
          <w:i/>
          <w:sz w:val="22"/>
          <w:szCs w:val="22"/>
          <w:lang w:val="sl-SI"/>
        </w:rPr>
        <w:lastRenderedPageBreak/>
        <w:t>Oštećenje jetre</w:t>
      </w:r>
    </w:p>
    <w:p w14:paraId="1DFBAF28" w14:textId="77777777" w:rsidR="00E112EF" w:rsidRPr="00F37527" w:rsidRDefault="00E112EF" w:rsidP="0076441E">
      <w:pPr>
        <w:pStyle w:val="Header"/>
        <w:tabs>
          <w:tab w:val="left" w:pos="284"/>
        </w:tabs>
        <w:jc w:val="both"/>
        <w:rPr>
          <w:sz w:val="22"/>
          <w:szCs w:val="22"/>
          <w:lang w:val="sl-SI"/>
        </w:rPr>
      </w:pPr>
      <w:r w:rsidRPr="00F37527">
        <w:rPr>
          <w:sz w:val="22"/>
          <w:szCs w:val="22"/>
          <w:lang w:val="sl-SI"/>
        </w:rPr>
        <w:t>Podaci dobijeni kod pacijenata sa oštećenjem jetre, uključujući pacijente sa terminalnim oboljenjem jetre koji čekaju na transplantaciju, ukazuju da hepatička disfunkcija nema značajnog uticaja na farmakokinetiku lamivudina. Na osnovu navedenih podataka, nije potrebno podešavati dozu kod pacijenata sa oštećenjem jetre, izuzev u slučaju da je navedeno oštećenje udruženo sa oštećenjem bubrega.</w:t>
      </w:r>
    </w:p>
    <w:p w14:paraId="5B7B5C62" w14:textId="77777777" w:rsidR="00E112EF" w:rsidRPr="00F37527" w:rsidRDefault="00E112EF" w:rsidP="0076441E">
      <w:pPr>
        <w:pStyle w:val="Header"/>
        <w:tabs>
          <w:tab w:val="left" w:pos="284"/>
        </w:tabs>
        <w:ind w:left="360"/>
        <w:jc w:val="both"/>
        <w:rPr>
          <w:sz w:val="22"/>
          <w:szCs w:val="22"/>
          <w:lang w:val="sl-SI"/>
        </w:rPr>
      </w:pPr>
    </w:p>
    <w:p w14:paraId="2694070D" w14:textId="77777777" w:rsidR="00E112EF" w:rsidRPr="00F37527" w:rsidRDefault="00E112EF" w:rsidP="0076441E">
      <w:pPr>
        <w:pStyle w:val="Header"/>
        <w:tabs>
          <w:tab w:val="left" w:pos="284"/>
        </w:tabs>
        <w:jc w:val="both"/>
        <w:rPr>
          <w:i/>
          <w:sz w:val="22"/>
          <w:szCs w:val="22"/>
          <w:lang w:val="sl-SI"/>
        </w:rPr>
      </w:pPr>
      <w:r w:rsidRPr="00F37527">
        <w:rPr>
          <w:i/>
          <w:sz w:val="22"/>
          <w:szCs w:val="22"/>
          <w:lang w:val="sl-SI"/>
        </w:rPr>
        <w:t>Starije osobe</w:t>
      </w:r>
    </w:p>
    <w:p w14:paraId="17DF4355" w14:textId="26F35B5F" w:rsidR="00E112EF" w:rsidRPr="00F37527" w:rsidRDefault="00E112EF" w:rsidP="0076441E">
      <w:pPr>
        <w:pStyle w:val="Header"/>
        <w:tabs>
          <w:tab w:val="left" w:pos="284"/>
        </w:tabs>
        <w:jc w:val="both"/>
        <w:rPr>
          <w:sz w:val="22"/>
          <w:szCs w:val="22"/>
          <w:lang w:val="hr-HR"/>
        </w:rPr>
      </w:pPr>
      <w:r w:rsidRPr="00F37527">
        <w:rPr>
          <w:sz w:val="22"/>
          <w:szCs w:val="22"/>
          <w:lang w:val="hr-HR"/>
        </w:rPr>
        <w:t>Kod starijih pacijenata normalno starenje praćeno slabljenjem bubrežne funkcije nema klinički značajni efekat na izloženost lamivudinu, osim kod pacijenata sa klirensom kreatinina &lt; 50 ml/min.</w:t>
      </w:r>
    </w:p>
    <w:p w14:paraId="6B26E3E6" w14:textId="77777777" w:rsidR="00E112EF" w:rsidRPr="00F37527" w:rsidRDefault="00E112EF" w:rsidP="0076441E">
      <w:pPr>
        <w:pStyle w:val="Header"/>
        <w:tabs>
          <w:tab w:val="left" w:pos="284"/>
        </w:tabs>
        <w:jc w:val="both"/>
        <w:rPr>
          <w:sz w:val="22"/>
          <w:szCs w:val="22"/>
          <w:lang w:val="sl-SI"/>
        </w:rPr>
      </w:pPr>
    </w:p>
    <w:p w14:paraId="4E01EE75" w14:textId="77777777" w:rsidR="00E112EF" w:rsidRPr="00F37527" w:rsidRDefault="00E112EF" w:rsidP="0076441E">
      <w:pPr>
        <w:pStyle w:val="Header"/>
        <w:tabs>
          <w:tab w:val="left" w:pos="284"/>
        </w:tabs>
        <w:jc w:val="both"/>
        <w:rPr>
          <w:i/>
          <w:sz w:val="22"/>
          <w:szCs w:val="22"/>
          <w:lang w:val="sl-SI"/>
        </w:rPr>
      </w:pPr>
      <w:r w:rsidRPr="00F37527">
        <w:rPr>
          <w:i/>
          <w:sz w:val="22"/>
          <w:szCs w:val="22"/>
          <w:lang w:val="sl-SI"/>
        </w:rPr>
        <w:t xml:space="preserve">Pedijatrijska populacija </w:t>
      </w:r>
    </w:p>
    <w:p w14:paraId="3B25DABE" w14:textId="77777777" w:rsidR="00E112EF" w:rsidRPr="00F37527" w:rsidRDefault="00E112EF" w:rsidP="0076441E">
      <w:pPr>
        <w:pStyle w:val="Header"/>
        <w:tabs>
          <w:tab w:val="left" w:pos="284"/>
        </w:tabs>
        <w:jc w:val="both"/>
        <w:rPr>
          <w:sz w:val="22"/>
          <w:szCs w:val="22"/>
          <w:lang w:val="sl-SI"/>
        </w:rPr>
      </w:pPr>
      <w:r w:rsidRPr="00F37527">
        <w:rPr>
          <w:sz w:val="22"/>
          <w:szCs w:val="22"/>
          <w:lang w:val="sl-SI"/>
        </w:rPr>
        <w:t>Nije utvrđena bezbjednost i efikasnost primjene lijeka ZEFFIX kod odojčadi, djece i adolescenata mlađih od 18. godine života. Trenutno dostupni podaci su opisani u dijelu 4.4 i dijelu 5.1, ali nije moguće dati preporuke o doziranju u navedenoj terapijskoj grupi.</w:t>
      </w:r>
    </w:p>
    <w:p w14:paraId="18BE86A9" w14:textId="77777777" w:rsidR="00452E9D" w:rsidRPr="00F37527" w:rsidRDefault="00452E9D" w:rsidP="0076441E">
      <w:pPr>
        <w:tabs>
          <w:tab w:val="left" w:pos="540"/>
          <w:tab w:val="left" w:pos="569"/>
        </w:tabs>
        <w:jc w:val="both"/>
        <w:rPr>
          <w:bCs/>
          <w:sz w:val="22"/>
          <w:szCs w:val="22"/>
          <w:u w:val="single"/>
          <w:lang w:val="sl-SI"/>
        </w:rPr>
      </w:pPr>
    </w:p>
    <w:p w14:paraId="18BE86AA" w14:textId="221EFABD" w:rsidR="00452E9D" w:rsidRPr="00F37527" w:rsidRDefault="00452E9D" w:rsidP="0076441E">
      <w:pPr>
        <w:tabs>
          <w:tab w:val="left" w:pos="540"/>
          <w:tab w:val="left" w:pos="569"/>
        </w:tabs>
        <w:jc w:val="both"/>
        <w:rPr>
          <w:bCs/>
          <w:sz w:val="22"/>
          <w:szCs w:val="22"/>
          <w:u w:val="single"/>
          <w:lang w:val="sl-SI"/>
        </w:rPr>
      </w:pPr>
      <w:r w:rsidRPr="00F37527">
        <w:rPr>
          <w:bCs/>
          <w:sz w:val="22"/>
          <w:szCs w:val="22"/>
          <w:u w:val="single"/>
          <w:lang w:val="sl-SI"/>
        </w:rPr>
        <w:t>Način primjene</w:t>
      </w:r>
    </w:p>
    <w:p w14:paraId="1985D84A" w14:textId="77777777" w:rsidR="00CF7A1F" w:rsidRPr="00F37527" w:rsidRDefault="00CF7A1F" w:rsidP="0076441E">
      <w:pPr>
        <w:tabs>
          <w:tab w:val="left" w:pos="540"/>
          <w:tab w:val="left" w:pos="569"/>
        </w:tabs>
        <w:jc w:val="both"/>
        <w:rPr>
          <w:bCs/>
          <w:sz w:val="22"/>
          <w:szCs w:val="22"/>
          <w:u w:val="single"/>
          <w:lang w:val="sl-SI"/>
        </w:rPr>
      </w:pPr>
    </w:p>
    <w:p w14:paraId="79C0FDD9" w14:textId="77777777" w:rsidR="00963E95" w:rsidRPr="00F37527" w:rsidRDefault="00963E95" w:rsidP="0076441E">
      <w:pPr>
        <w:pStyle w:val="Header"/>
        <w:tabs>
          <w:tab w:val="left" w:pos="284"/>
        </w:tabs>
        <w:jc w:val="both"/>
        <w:rPr>
          <w:sz w:val="22"/>
          <w:szCs w:val="22"/>
          <w:lang w:val="sl-SI"/>
        </w:rPr>
      </w:pPr>
      <w:r w:rsidRPr="00F37527">
        <w:rPr>
          <w:sz w:val="22"/>
          <w:szCs w:val="22"/>
          <w:lang w:val="sl-SI"/>
        </w:rPr>
        <w:t>Oralna upotreba.</w:t>
      </w:r>
    </w:p>
    <w:p w14:paraId="7BD7687C" w14:textId="77777777" w:rsidR="00963E95" w:rsidRPr="00F37527" w:rsidRDefault="00963E95" w:rsidP="0076441E">
      <w:pPr>
        <w:pStyle w:val="Header"/>
        <w:tabs>
          <w:tab w:val="left" w:pos="284"/>
        </w:tabs>
        <w:jc w:val="both"/>
        <w:rPr>
          <w:sz w:val="22"/>
          <w:szCs w:val="22"/>
          <w:lang w:val="sl-SI"/>
        </w:rPr>
      </w:pPr>
      <w:r w:rsidRPr="00F37527">
        <w:rPr>
          <w:sz w:val="22"/>
          <w:szCs w:val="22"/>
          <w:lang w:val="sl-SI"/>
        </w:rPr>
        <w:t>Lijek ZEFFIX se može upotrebljavati uz obrok ili nezavisno od njega.</w:t>
      </w:r>
    </w:p>
    <w:p w14:paraId="18BE86AB" w14:textId="77777777" w:rsidR="00452E9D" w:rsidRPr="00F37527" w:rsidRDefault="00452E9D" w:rsidP="0076441E">
      <w:pPr>
        <w:tabs>
          <w:tab w:val="left" w:pos="540"/>
          <w:tab w:val="left" w:pos="569"/>
        </w:tabs>
        <w:jc w:val="both"/>
        <w:rPr>
          <w:bCs/>
          <w:sz w:val="22"/>
          <w:szCs w:val="22"/>
          <w:lang w:val="sl-SI"/>
        </w:rPr>
      </w:pPr>
    </w:p>
    <w:p w14:paraId="18BE86AC" w14:textId="229E8EDC" w:rsidR="00411B4B" w:rsidRPr="00F37527" w:rsidRDefault="00411B4B" w:rsidP="0076441E">
      <w:pPr>
        <w:tabs>
          <w:tab w:val="left" w:pos="540"/>
          <w:tab w:val="left" w:pos="569"/>
        </w:tabs>
        <w:jc w:val="both"/>
        <w:rPr>
          <w:b/>
          <w:bCs/>
          <w:sz w:val="22"/>
          <w:szCs w:val="22"/>
          <w:lang w:val="sl-SI"/>
        </w:rPr>
      </w:pPr>
      <w:r w:rsidRPr="00F37527">
        <w:rPr>
          <w:b/>
          <w:bCs/>
          <w:sz w:val="22"/>
          <w:szCs w:val="22"/>
          <w:lang w:val="sl-SI"/>
        </w:rPr>
        <w:t xml:space="preserve">4.3. </w:t>
      </w:r>
      <w:r w:rsidR="00480FB1" w:rsidRPr="00F37527">
        <w:rPr>
          <w:b/>
          <w:bCs/>
          <w:sz w:val="22"/>
          <w:szCs w:val="22"/>
          <w:lang w:val="sl-SI"/>
        </w:rPr>
        <w:tab/>
      </w:r>
      <w:r w:rsidRPr="00F37527">
        <w:rPr>
          <w:b/>
          <w:bCs/>
          <w:sz w:val="22"/>
          <w:szCs w:val="22"/>
          <w:lang w:val="sl-SI"/>
        </w:rPr>
        <w:t>Kontraindikacije</w:t>
      </w:r>
    </w:p>
    <w:p w14:paraId="4C56A98D" w14:textId="77777777" w:rsidR="00DC22E7" w:rsidRPr="00F37527" w:rsidRDefault="00DC22E7" w:rsidP="0076441E">
      <w:pPr>
        <w:jc w:val="both"/>
        <w:rPr>
          <w:sz w:val="22"/>
          <w:szCs w:val="22"/>
          <w:lang w:val="sl-SI"/>
        </w:rPr>
      </w:pPr>
    </w:p>
    <w:p w14:paraId="0EFD9B4C" w14:textId="1AF88D6F" w:rsidR="002A772C" w:rsidRPr="00F37527" w:rsidRDefault="002A772C" w:rsidP="0076441E">
      <w:pPr>
        <w:jc w:val="both"/>
        <w:rPr>
          <w:sz w:val="22"/>
          <w:szCs w:val="22"/>
          <w:lang w:val="sl-SI"/>
        </w:rPr>
      </w:pPr>
      <w:r w:rsidRPr="00F37527">
        <w:rPr>
          <w:sz w:val="22"/>
          <w:szCs w:val="22"/>
          <w:lang w:val="sl-SI"/>
        </w:rPr>
        <w:t>Primjena lijeka ZEFFIX je kontraindikovana kod pacijenata sa poznatom preosjetljivošću na aktivnu supstancu ili na neku od pomoćnih supstanci navedenih u dijelu 6.1.</w:t>
      </w:r>
    </w:p>
    <w:p w14:paraId="18BE86AD" w14:textId="77777777" w:rsidR="0072020E" w:rsidRPr="00F37527" w:rsidRDefault="0072020E" w:rsidP="0076441E">
      <w:pPr>
        <w:tabs>
          <w:tab w:val="left" w:pos="540"/>
          <w:tab w:val="left" w:pos="569"/>
        </w:tabs>
        <w:jc w:val="both"/>
        <w:rPr>
          <w:bCs/>
          <w:sz w:val="22"/>
          <w:szCs w:val="22"/>
          <w:lang w:val="sl-SI"/>
        </w:rPr>
      </w:pPr>
    </w:p>
    <w:p w14:paraId="18BE86AE" w14:textId="77777777" w:rsidR="00411B4B" w:rsidRPr="00F37527" w:rsidRDefault="00411B4B" w:rsidP="0076441E">
      <w:pPr>
        <w:tabs>
          <w:tab w:val="left" w:pos="540"/>
          <w:tab w:val="left" w:pos="569"/>
        </w:tabs>
        <w:jc w:val="both"/>
        <w:rPr>
          <w:b/>
          <w:bCs/>
          <w:sz w:val="22"/>
          <w:szCs w:val="22"/>
          <w:lang w:val="sl-SI"/>
        </w:rPr>
      </w:pPr>
      <w:r w:rsidRPr="00F37527">
        <w:rPr>
          <w:b/>
          <w:bCs/>
          <w:sz w:val="22"/>
          <w:szCs w:val="22"/>
          <w:lang w:val="sl-SI"/>
        </w:rPr>
        <w:t xml:space="preserve">4.4. </w:t>
      </w:r>
      <w:r w:rsidR="00480FB1" w:rsidRPr="00F37527">
        <w:rPr>
          <w:b/>
          <w:bCs/>
          <w:sz w:val="22"/>
          <w:szCs w:val="22"/>
          <w:lang w:val="sl-SI"/>
        </w:rPr>
        <w:tab/>
      </w:r>
      <w:r w:rsidRPr="00F37527">
        <w:rPr>
          <w:b/>
          <w:bCs/>
          <w:sz w:val="22"/>
          <w:szCs w:val="22"/>
          <w:lang w:val="sl-SI"/>
        </w:rPr>
        <w:t>Posebna upozorenja i mjere opreza pri upotrebi lijeka</w:t>
      </w:r>
    </w:p>
    <w:p w14:paraId="746D7B37" w14:textId="77777777" w:rsidR="00CF7738" w:rsidRPr="00F37527" w:rsidRDefault="00CF7738" w:rsidP="0076441E">
      <w:pPr>
        <w:pStyle w:val="Header"/>
        <w:tabs>
          <w:tab w:val="left" w:pos="284"/>
        </w:tabs>
        <w:jc w:val="both"/>
        <w:rPr>
          <w:sz w:val="22"/>
          <w:szCs w:val="22"/>
          <w:u w:val="single"/>
          <w:lang w:val="sl-SI"/>
        </w:rPr>
      </w:pPr>
    </w:p>
    <w:p w14:paraId="245B3D62" w14:textId="031C6C25" w:rsidR="002A772C" w:rsidRPr="00F37527" w:rsidRDefault="002A772C" w:rsidP="0076441E">
      <w:pPr>
        <w:pStyle w:val="Header"/>
        <w:tabs>
          <w:tab w:val="left" w:pos="284"/>
        </w:tabs>
        <w:jc w:val="both"/>
        <w:rPr>
          <w:sz w:val="22"/>
          <w:szCs w:val="22"/>
          <w:u w:val="single"/>
          <w:lang w:val="sl-SI"/>
        </w:rPr>
      </w:pPr>
      <w:r w:rsidRPr="00F37527">
        <w:rPr>
          <w:sz w:val="22"/>
          <w:szCs w:val="22"/>
          <w:u w:val="single"/>
          <w:lang w:val="sl-SI"/>
        </w:rPr>
        <w:t>Egzacerbacije hepatitisa</w:t>
      </w:r>
    </w:p>
    <w:p w14:paraId="5B4E90DF" w14:textId="77777777" w:rsidR="002A772C" w:rsidRPr="00F37527" w:rsidRDefault="002A772C" w:rsidP="0076441E">
      <w:pPr>
        <w:pStyle w:val="Header"/>
        <w:tabs>
          <w:tab w:val="left" w:pos="284"/>
        </w:tabs>
        <w:jc w:val="both"/>
        <w:rPr>
          <w:sz w:val="22"/>
          <w:szCs w:val="22"/>
          <w:lang w:val="sl-SI"/>
        </w:rPr>
      </w:pPr>
    </w:p>
    <w:p w14:paraId="06BE0AD8" w14:textId="77777777" w:rsidR="004D6E53" w:rsidRPr="00F37527" w:rsidRDefault="004D6E53" w:rsidP="0076441E">
      <w:pPr>
        <w:pStyle w:val="Header"/>
        <w:tabs>
          <w:tab w:val="left" w:pos="284"/>
        </w:tabs>
        <w:jc w:val="both"/>
        <w:rPr>
          <w:sz w:val="22"/>
          <w:szCs w:val="22"/>
          <w:lang w:val="sl-SI"/>
        </w:rPr>
      </w:pPr>
      <w:r w:rsidRPr="00F37527">
        <w:rPr>
          <w:i/>
          <w:sz w:val="22"/>
          <w:szCs w:val="22"/>
          <w:lang w:val="sl-SI"/>
        </w:rPr>
        <w:t>Egzacerbacije tokom primjene terapije</w:t>
      </w:r>
    </w:p>
    <w:p w14:paraId="43B2AA34" w14:textId="77777777" w:rsidR="004D6E53" w:rsidRPr="00F37527" w:rsidRDefault="004D6E53" w:rsidP="0076441E">
      <w:pPr>
        <w:pStyle w:val="Header"/>
        <w:tabs>
          <w:tab w:val="left" w:pos="284"/>
        </w:tabs>
        <w:jc w:val="both"/>
        <w:rPr>
          <w:sz w:val="22"/>
          <w:szCs w:val="22"/>
          <w:lang w:val="sl-SI"/>
        </w:rPr>
      </w:pPr>
      <w:r w:rsidRPr="00F37527">
        <w:rPr>
          <w:sz w:val="22"/>
          <w:szCs w:val="22"/>
          <w:lang w:val="sl-SI"/>
        </w:rPr>
        <w:t>Spontane egzacerbacije hroničnog hepatitisa B su relativno česte i karakterišu se prolaznim povišenjem nivoa ALT u serumu. Nakon započinjanja primjene antivirusne terapije, nivo ALT u serumu se može povećati kod pojedinih pacijenata, sa opadanjem nivoa HBV DNK u serumu. Kod pacijenata sa kompenzovanim oboljenjem jetre, navedeno povišenje nivoa ALT u serumu generalno nije udruženo sa povišenjem koncentracija bilirubina u serumu ili znacima hepatičke dekompenzacije.</w:t>
      </w:r>
    </w:p>
    <w:p w14:paraId="38386D66" w14:textId="77777777" w:rsidR="004D6E53" w:rsidRPr="00F37527" w:rsidRDefault="004D6E53" w:rsidP="0076441E">
      <w:pPr>
        <w:pStyle w:val="Header"/>
        <w:tabs>
          <w:tab w:val="left" w:pos="284"/>
        </w:tabs>
        <w:jc w:val="both"/>
        <w:rPr>
          <w:sz w:val="22"/>
          <w:szCs w:val="22"/>
          <w:lang w:val="sl-SI"/>
        </w:rPr>
      </w:pPr>
    </w:p>
    <w:p w14:paraId="67C9BA18" w14:textId="7B9D3C74" w:rsidR="004D6E53" w:rsidRPr="00F37527" w:rsidRDefault="004D6E53" w:rsidP="0076441E">
      <w:pPr>
        <w:pStyle w:val="Header"/>
        <w:tabs>
          <w:tab w:val="left" w:pos="284"/>
        </w:tabs>
        <w:jc w:val="both"/>
        <w:rPr>
          <w:sz w:val="22"/>
          <w:szCs w:val="22"/>
          <w:lang w:val="sl-SI"/>
        </w:rPr>
      </w:pPr>
      <w:r w:rsidRPr="00F37527">
        <w:rPr>
          <w:sz w:val="22"/>
          <w:szCs w:val="22"/>
          <w:lang w:val="sl-SI"/>
        </w:rPr>
        <w:t xml:space="preserve">Subpopulacije HBV sa smanjenom osjetljivošću na lamivudin (YMDD mutant HBV) identifikovane su pri produženoj primjeni terapije. Kod pojedinih pacijenata razvoj YMDD mutanta HBV može dovesti do egzacerbacije hepatitisa, što se prvenstveno detektuje povišenjem nivoa ALT u serumu i ponovnim javljanjem HBV DNK (vidjeti dio 4.2). Kod pacijenata sa YMDD mutantom HBV bi trebalo razmotriti mogućnost zamjene terapije sa alternativnim </w:t>
      </w:r>
      <w:r w:rsidR="00FE6A91" w:rsidRPr="00F37527">
        <w:rPr>
          <w:sz w:val="22"/>
          <w:szCs w:val="22"/>
          <w:lang w:val="sl-SI"/>
        </w:rPr>
        <w:t>lijekom</w:t>
      </w:r>
      <w:r w:rsidRPr="00F37527">
        <w:rPr>
          <w:sz w:val="22"/>
          <w:szCs w:val="22"/>
          <w:lang w:val="sl-SI"/>
        </w:rPr>
        <w:t xml:space="preserve"> bez unakrsne rezistencije na lamivudin ili </w:t>
      </w:r>
      <w:r w:rsidR="00FE6A91" w:rsidRPr="00F37527">
        <w:rPr>
          <w:sz w:val="22"/>
          <w:szCs w:val="22"/>
          <w:lang w:val="sl-SI"/>
        </w:rPr>
        <w:t>dodavanje drugog lijeka</w:t>
      </w:r>
      <w:r w:rsidRPr="00F37527">
        <w:rPr>
          <w:sz w:val="22"/>
          <w:szCs w:val="22"/>
          <w:lang w:val="sl-SI"/>
        </w:rPr>
        <w:t xml:space="preserve"> na osnovu terapijskih vodiča (vidjeti dio 5.1).</w:t>
      </w:r>
    </w:p>
    <w:p w14:paraId="5BFAE93F" w14:textId="77777777" w:rsidR="002A772C" w:rsidRPr="00F37527" w:rsidRDefault="002A772C" w:rsidP="0076441E">
      <w:pPr>
        <w:pStyle w:val="Header"/>
        <w:jc w:val="both"/>
        <w:rPr>
          <w:sz w:val="22"/>
          <w:szCs w:val="22"/>
          <w:lang w:val="sl-SI"/>
        </w:rPr>
      </w:pPr>
    </w:p>
    <w:p w14:paraId="43D2F51F" w14:textId="77777777" w:rsidR="002A772C" w:rsidRPr="00F37527" w:rsidRDefault="002A772C" w:rsidP="0076441E">
      <w:pPr>
        <w:pStyle w:val="Header"/>
        <w:jc w:val="both"/>
        <w:rPr>
          <w:sz w:val="22"/>
          <w:szCs w:val="22"/>
          <w:lang w:val="sl-SI"/>
        </w:rPr>
      </w:pPr>
      <w:r w:rsidRPr="00F37527">
        <w:rPr>
          <w:i/>
          <w:sz w:val="22"/>
          <w:szCs w:val="22"/>
          <w:lang w:val="sl-SI"/>
        </w:rPr>
        <w:t>Egzacerbacije nakon prekida primjene terapije</w:t>
      </w:r>
    </w:p>
    <w:p w14:paraId="0F127AEF" w14:textId="5A252041" w:rsidR="002A772C" w:rsidRPr="00F37527" w:rsidRDefault="002A772C" w:rsidP="0076441E">
      <w:pPr>
        <w:pStyle w:val="Header"/>
        <w:jc w:val="both"/>
        <w:rPr>
          <w:sz w:val="22"/>
          <w:szCs w:val="22"/>
          <w:lang w:val="sl-SI"/>
        </w:rPr>
      </w:pPr>
      <w:r w:rsidRPr="00F37527">
        <w:rPr>
          <w:sz w:val="22"/>
          <w:szCs w:val="22"/>
          <w:lang w:val="sl-SI"/>
        </w:rPr>
        <w:t xml:space="preserve">Uočena je pojava akutne egzacerbacije hepatitisa kod pacijenata kod kojih je prekinuta primjena terapije hepatitisa B, koja se obično detektuje povišenjem nivoa ALT u serumu i ponovnim javljanjem HBV DNK. U okviru faze III kontrolisanih kliničkih ispitivanja bez primjene aktivne terapije, učestalost postterapijskog povišenja nivoa ALT (više od trostrukog povišenja u odnosu na osnovnu vrijednost) bila je viša kod pacijenata liječenih lamivudinom (21%), u poređenju sa pacijentima kod kojih je primijenjen placebo (8%). Međutim, procenat pacijenata kod kojih se javilo postterapijsko povišenje nivoa ALT udruženo sa povišenjem nivoa bilirubina je bio nizak i sličan u obje terapijske grupe. Vidjeti Tabelu 3 u dijelu 5.1 za više informacija o učestalosti postterapijskog povišenja nivoa ALT. Kod pacijenata liječenih lamivudinom, većina postterapijskih povišenja ALT su se javila između 8 i 12 nedjelja nakon prekida primjene terapije. Najveći broj slučajeva je bio samoograničavajući, međutim, uočena je pojava pojedinih fatalnih ishoda. U slučaju prekida primjene lijeka ZEFFIX, potrebno je povremeno praćenje </w:t>
      </w:r>
      <w:r w:rsidRPr="00F37527">
        <w:rPr>
          <w:sz w:val="22"/>
          <w:szCs w:val="22"/>
          <w:lang w:val="sl-SI"/>
        </w:rPr>
        <w:lastRenderedPageBreak/>
        <w:t xml:space="preserve">kliničkog stanja pacijenata, kao i određivanje testova hepatičke fukcije u serumu (nivo ALT i bilirubina), tokom najmanje četiri mjeseca, a potom ukoliko je klinički indikovano.  </w:t>
      </w:r>
    </w:p>
    <w:p w14:paraId="5302E00A" w14:textId="77777777" w:rsidR="002A772C" w:rsidRPr="00F37527" w:rsidRDefault="002A772C" w:rsidP="0076441E">
      <w:pPr>
        <w:pStyle w:val="Header"/>
        <w:jc w:val="both"/>
        <w:rPr>
          <w:sz w:val="22"/>
          <w:szCs w:val="22"/>
          <w:lang w:val="sl-SI"/>
        </w:rPr>
      </w:pPr>
    </w:p>
    <w:p w14:paraId="3059C8D5" w14:textId="77777777" w:rsidR="002A772C" w:rsidRPr="00F37527" w:rsidRDefault="002A772C" w:rsidP="0076441E">
      <w:pPr>
        <w:pStyle w:val="Header"/>
        <w:jc w:val="both"/>
        <w:rPr>
          <w:i/>
          <w:sz w:val="22"/>
          <w:szCs w:val="22"/>
          <w:lang w:val="sl-SI"/>
        </w:rPr>
      </w:pPr>
      <w:r w:rsidRPr="00F37527">
        <w:rPr>
          <w:i/>
          <w:sz w:val="22"/>
          <w:szCs w:val="22"/>
          <w:lang w:val="sl-SI"/>
        </w:rPr>
        <w:t>Egzacerbacije kod pacijenata sa dekompenzovanom cirozom</w:t>
      </w:r>
    </w:p>
    <w:p w14:paraId="7F7A6E1D" w14:textId="77777777" w:rsidR="002A772C" w:rsidRPr="00F37527" w:rsidRDefault="002A772C" w:rsidP="0076441E">
      <w:pPr>
        <w:pStyle w:val="Header"/>
        <w:jc w:val="both"/>
        <w:rPr>
          <w:sz w:val="22"/>
          <w:szCs w:val="22"/>
          <w:lang w:val="sl-SI"/>
        </w:rPr>
      </w:pPr>
      <w:r w:rsidRPr="00F37527">
        <w:rPr>
          <w:sz w:val="22"/>
          <w:szCs w:val="22"/>
          <w:lang w:val="sl-SI"/>
        </w:rPr>
        <w:t>Primaoci transplantata i pacijenti sa dekompenzovanom cirozom se nalaze pod višim rizikom od javljanja aktivne replikacije virusa. Usljed ograničene funkcije jetre kod navedenih pacijenata, reaktivacija hepatitisa pri prekidu primjene lamivudina ili gubitak efikasnosti tokom primjene terapije mogu indukovati nastanak teške, pa i fatalne dekompenzacije. Kod navedenih pacijenata bi trebalo kontrolisati kliničke, virološke i serološke parametre udružene sa hepatitisom B, funkcijom jetre i bubrega, kao i antivirusni odgovor u toku liječenja (najređe svakog mjeseca) i, u slučaju prekida primjene terapije iz bilo kog razloga, najmanje 6 mjeseci nakon prekida primjene terapije. Laboratorijski prarametri koje je potrebno kontrolisati bi trebalo da obuhvate (kao minimum) nivo ALT, bilirubina, albumina, uree, kreatinina u serumu i virološki status: HBV antigen/antitijelo, kao i serumske koncentracije HBV DNK, ukoliko je moguće. Češće i prema potrebi bi trebalo kontrolisati stanje pacijenata kod kojih se jave znaci hepatičke insuficijencije tokom ili nakon liječenja.</w:t>
      </w:r>
    </w:p>
    <w:p w14:paraId="16DF4D77" w14:textId="77777777" w:rsidR="002A772C" w:rsidRPr="00F37527" w:rsidRDefault="002A772C" w:rsidP="0076441E">
      <w:pPr>
        <w:pStyle w:val="Header"/>
        <w:jc w:val="both"/>
        <w:rPr>
          <w:sz w:val="22"/>
          <w:szCs w:val="22"/>
          <w:lang w:val="sl-SI"/>
        </w:rPr>
      </w:pPr>
    </w:p>
    <w:p w14:paraId="0FAB9CAF" w14:textId="77777777" w:rsidR="002A772C" w:rsidRPr="00F37527" w:rsidRDefault="002A772C" w:rsidP="0076441E">
      <w:pPr>
        <w:pStyle w:val="Header"/>
        <w:jc w:val="both"/>
        <w:rPr>
          <w:sz w:val="22"/>
          <w:szCs w:val="22"/>
          <w:lang w:val="sl-SI"/>
        </w:rPr>
      </w:pPr>
      <w:r w:rsidRPr="00F37527">
        <w:rPr>
          <w:sz w:val="22"/>
          <w:szCs w:val="22"/>
          <w:lang w:val="sl-SI"/>
        </w:rPr>
        <w:t>Nema dovoljno podataka o koristi ponovnog otpočinjanja primjene terapije lamivudinom kod pacijenata kod kojih se javi razvoj znakova rekurentnog hepatitisa nakon primjene terapije.</w:t>
      </w:r>
    </w:p>
    <w:p w14:paraId="45A69FDE" w14:textId="77777777" w:rsidR="002A772C" w:rsidRPr="00F37527" w:rsidRDefault="002A772C" w:rsidP="0076441E">
      <w:pPr>
        <w:pStyle w:val="Header"/>
        <w:jc w:val="both"/>
        <w:rPr>
          <w:sz w:val="22"/>
          <w:szCs w:val="22"/>
          <w:lang w:val="sl-SI"/>
        </w:rPr>
      </w:pPr>
    </w:p>
    <w:p w14:paraId="244FEDA1" w14:textId="2D4E0DDB" w:rsidR="002A772C" w:rsidRPr="00F37527" w:rsidRDefault="002A772C" w:rsidP="0076441E">
      <w:pPr>
        <w:pStyle w:val="Header"/>
        <w:jc w:val="both"/>
        <w:rPr>
          <w:sz w:val="22"/>
          <w:szCs w:val="22"/>
          <w:u w:val="single"/>
          <w:lang w:val="sl-SI"/>
        </w:rPr>
      </w:pPr>
      <w:r w:rsidRPr="00F37527">
        <w:rPr>
          <w:sz w:val="22"/>
          <w:szCs w:val="22"/>
          <w:u w:val="single"/>
          <w:lang w:val="sl-SI"/>
        </w:rPr>
        <w:t>Mitohondrijalna disfunkcija</w:t>
      </w:r>
    </w:p>
    <w:p w14:paraId="26764D9F" w14:textId="77777777" w:rsidR="00DC22E7" w:rsidRPr="00F37527" w:rsidRDefault="00DC22E7" w:rsidP="0076441E">
      <w:pPr>
        <w:pStyle w:val="Header"/>
        <w:jc w:val="both"/>
        <w:rPr>
          <w:sz w:val="22"/>
          <w:szCs w:val="22"/>
          <w:u w:val="single"/>
          <w:lang w:val="sl-SI"/>
        </w:rPr>
      </w:pPr>
    </w:p>
    <w:p w14:paraId="0BEDED13" w14:textId="77777777" w:rsidR="002A772C" w:rsidRPr="00F37527" w:rsidRDefault="002A772C" w:rsidP="0076441E">
      <w:pPr>
        <w:pStyle w:val="Header"/>
        <w:jc w:val="both"/>
        <w:rPr>
          <w:sz w:val="22"/>
          <w:szCs w:val="22"/>
          <w:lang w:val="sl-SI"/>
        </w:rPr>
      </w:pPr>
      <w:r w:rsidRPr="00F37527">
        <w:rPr>
          <w:sz w:val="22"/>
          <w:szCs w:val="22"/>
          <w:lang w:val="sl-SI"/>
        </w:rPr>
        <w:t xml:space="preserve">Pokazano je da primjena nukleozidnih i nukleotidnih analoga u uslovima </w:t>
      </w:r>
      <w:r w:rsidRPr="00F37527">
        <w:rPr>
          <w:i/>
          <w:sz w:val="22"/>
          <w:szCs w:val="22"/>
          <w:lang w:val="sl-SI"/>
        </w:rPr>
        <w:t>in vitro</w:t>
      </w:r>
      <w:r w:rsidRPr="00F37527">
        <w:rPr>
          <w:sz w:val="22"/>
          <w:szCs w:val="22"/>
          <w:lang w:val="sl-SI"/>
        </w:rPr>
        <w:t xml:space="preserve"> i </w:t>
      </w:r>
      <w:r w:rsidRPr="00F37527">
        <w:rPr>
          <w:i/>
          <w:sz w:val="22"/>
          <w:szCs w:val="22"/>
          <w:lang w:val="sl-SI"/>
        </w:rPr>
        <w:t>in vivo</w:t>
      </w:r>
      <w:r w:rsidRPr="00F37527">
        <w:rPr>
          <w:sz w:val="22"/>
          <w:szCs w:val="22"/>
          <w:lang w:val="sl-SI"/>
        </w:rPr>
        <w:t xml:space="preserve"> uzrokuje različiti stepen mitohondrijalnog oštećenja. Bilo je izvještaja o pojavi mitohondrijalne disfunkcije kod odojčadi izložene </w:t>
      </w:r>
      <w:r w:rsidRPr="00F37527">
        <w:rPr>
          <w:i/>
          <w:sz w:val="22"/>
          <w:szCs w:val="22"/>
          <w:lang w:val="sl-SI"/>
        </w:rPr>
        <w:t>in utero</w:t>
      </w:r>
      <w:r w:rsidRPr="00F37527">
        <w:rPr>
          <w:sz w:val="22"/>
          <w:szCs w:val="22"/>
          <w:lang w:val="sl-SI"/>
        </w:rPr>
        <w:t xml:space="preserve"> i/ili postnatalno dejstvu nukleozidih analoga. Najznačajnija prijavljena neželjena dejstva su hematološki poremećaji (anemija, neutropenija), metabolički poremećaji (hiperlipazemija). Prijavljena je pojava pojedinih neuroloških poremećaja kasnog nastanka (hipertonija, konvulzije, abnormalno ponašanje). Neurološki poremećaji mogu biti prolaznog ili trajnog karaktera. Stanje svakog djeteta, izloženog </w:t>
      </w:r>
      <w:r w:rsidRPr="00F37527">
        <w:rPr>
          <w:i/>
          <w:sz w:val="22"/>
          <w:szCs w:val="22"/>
          <w:lang w:val="sl-SI"/>
        </w:rPr>
        <w:t>in utero</w:t>
      </w:r>
      <w:r w:rsidRPr="00F37527">
        <w:rPr>
          <w:sz w:val="22"/>
          <w:szCs w:val="22"/>
          <w:lang w:val="sl-SI"/>
        </w:rPr>
        <w:t xml:space="preserve"> dejstvu nukleozidnih i nukleotidnih analoga, potrebno je da bude praćeno klinički i laboratorijski i potrebno je da u potpunosti bude ispitana mogućnosti javljanja mitohondrijane disfunkcije u slučajevima kada se jave odgovarajući znaci ili simptomi.</w:t>
      </w:r>
    </w:p>
    <w:p w14:paraId="41ACB4E3" w14:textId="77777777" w:rsidR="002A772C" w:rsidRPr="00F37527" w:rsidRDefault="002A772C" w:rsidP="0076441E">
      <w:pPr>
        <w:pStyle w:val="Header"/>
        <w:tabs>
          <w:tab w:val="left" w:pos="284"/>
        </w:tabs>
        <w:jc w:val="both"/>
        <w:rPr>
          <w:sz w:val="22"/>
          <w:szCs w:val="22"/>
          <w:lang w:val="sl-SI"/>
        </w:rPr>
      </w:pPr>
    </w:p>
    <w:p w14:paraId="19A45124" w14:textId="238C960B" w:rsidR="002A772C" w:rsidRPr="00F37527" w:rsidRDefault="002A772C" w:rsidP="0076441E">
      <w:pPr>
        <w:pStyle w:val="Header"/>
        <w:tabs>
          <w:tab w:val="left" w:pos="284"/>
        </w:tabs>
        <w:jc w:val="both"/>
        <w:rPr>
          <w:sz w:val="22"/>
          <w:szCs w:val="22"/>
          <w:u w:val="single"/>
          <w:lang w:val="sl-SI"/>
        </w:rPr>
      </w:pPr>
      <w:r w:rsidRPr="00F37527">
        <w:rPr>
          <w:sz w:val="22"/>
          <w:szCs w:val="22"/>
          <w:u w:val="single"/>
          <w:lang w:val="sl-SI"/>
        </w:rPr>
        <w:t>Pedijatrijski pacijenti</w:t>
      </w:r>
    </w:p>
    <w:p w14:paraId="6364F032" w14:textId="77777777" w:rsidR="00DC22E7" w:rsidRPr="00F37527" w:rsidRDefault="00DC22E7" w:rsidP="0076441E">
      <w:pPr>
        <w:pStyle w:val="Header"/>
        <w:tabs>
          <w:tab w:val="left" w:pos="284"/>
        </w:tabs>
        <w:jc w:val="both"/>
        <w:rPr>
          <w:sz w:val="22"/>
          <w:szCs w:val="22"/>
          <w:u w:val="single"/>
          <w:lang w:val="sl-SI"/>
        </w:rPr>
      </w:pPr>
    </w:p>
    <w:p w14:paraId="4FC9A267" w14:textId="5D535007" w:rsidR="002A772C" w:rsidRPr="00F37527" w:rsidRDefault="002A772C" w:rsidP="0076441E">
      <w:pPr>
        <w:pStyle w:val="Header"/>
        <w:tabs>
          <w:tab w:val="left" w:pos="284"/>
        </w:tabs>
        <w:jc w:val="both"/>
        <w:rPr>
          <w:sz w:val="22"/>
          <w:szCs w:val="22"/>
          <w:lang w:val="sl-SI"/>
        </w:rPr>
      </w:pPr>
      <w:r w:rsidRPr="00F37527">
        <w:rPr>
          <w:sz w:val="22"/>
          <w:szCs w:val="22"/>
          <w:lang w:val="sl-SI"/>
        </w:rPr>
        <w:t>Lamivudin je primijenjen kod djece (</w:t>
      </w:r>
      <w:r w:rsidR="00FE6A91" w:rsidRPr="00F37527">
        <w:rPr>
          <w:sz w:val="22"/>
          <w:szCs w:val="22"/>
          <w:lang w:val="sl-SI"/>
        </w:rPr>
        <w:t>uzrasta</w:t>
      </w:r>
      <w:r w:rsidRPr="00F37527">
        <w:rPr>
          <w:sz w:val="22"/>
          <w:szCs w:val="22"/>
          <w:lang w:val="sl-SI"/>
        </w:rPr>
        <w:t xml:space="preserve"> 2 godine života i starije) i adolescenata sa kompenzovanim hroničnim hepatitisom B. Međutim, zbog ograničenosti podataka, trenutno se ne preporučuje primjena lamivudina u navedenoj populaciji pacijenata (vidjeti dio 5.1).</w:t>
      </w:r>
    </w:p>
    <w:p w14:paraId="05681879" w14:textId="77777777" w:rsidR="002A772C" w:rsidRPr="00F37527" w:rsidRDefault="002A772C" w:rsidP="0076441E">
      <w:pPr>
        <w:pStyle w:val="Header"/>
        <w:tabs>
          <w:tab w:val="left" w:pos="284"/>
        </w:tabs>
        <w:jc w:val="both"/>
        <w:rPr>
          <w:sz w:val="22"/>
          <w:szCs w:val="22"/>
          <w:lang w:val="sl-SI"/>
        </w:rPr>
      </w:pPr>
    </w:p>
    <w:p w14:paraId="057F7F46" w14:textId="325FA3F4" w:rsidR="002A772C" w:rsidRPr="00F37527" w:rsidRDefault="002A772C" w:rsidP="0076441E">
      <w:pPr>
        <w:pStyle w:val="Header"/>
        <w:tabs>
          <w:tab w:val="left" w:pos="284"/>
        </w:tabs>
        <w:jc w:val="both"/>
        <w:rPr>
          <w:sz w:val="22"/>
          <w:szCs w:val="22"/>
          <w:u w:val="single"/>
          <w:lang w:val="sl-SI"/>
        </w:rPr>
      </w:pPr>
      <w:r w:rsidRPr="00F37527">
        <w:rPr>
          <w:sz w:val="22"/>
          <w:szCs w:val="22"/>
          <w:u w:val="single"/>
          <w:lang w:val="sl-SI"/>
        </w:rPr>
        <w:t>Delta hepatitis ili hepatitis C</w:t>
      </w:r>
    </w:p>
    <w:p w14:paraId="1A218FCD" w14:textId="77777777" w:rsidR="00DC22E7" w:rsidRPr="00F37527" w:rsidRDefault="00DC22E7" w:rsidP="0076441E">
      <w:pPr>
        <w:pStyle w:val="Header"/>
        <w:tabs>
          <w:tab w:val="left" w:pos="284"/>
        </w:tabs>
        <w:jc w:val="both"/>
        <w:rPr>
          <w:sz w:val="22"/>
          <w:szCs w:val="22"/>
          <w:u w:val="single"/>
          <w:lang w:val="sl-SI"/>
        </w:rPr>
      </w:pPr>
    </w:p>
    <w:p w14:paraId="07426571" w14:textId="77777777" w:rsidR="002A772C" w:rsidRPr="00F37527" w:rsidRDefault="002A772C" w:rsidP="0076441E">
      <w:pPr>
        <w:pStyle w:val="Header"/>
        <w:tabs>
          <w:tab w:val="left" w:pos="284"/>
        </w:tabs>
        <w:jc w:val="both"/>
        <w:rPr>
          <w:sz w:val="22"/>
          <w:szCs w:val="22"/>
          <w:lang w:val="sl-SI"/>
        </w:rPr>
      </w:pPr>
      <w:r w:rsidRPr="00F37527">
        <w:rPr>
          <w:sz w:val="22"/>
          <w:szCs w:val="22"/>
          <w:lang w:val="sl-SI"/>
        </w:rPr>
        <w:t>Nije ustanovljena efikasnost primjene lamivudina kod pacijenata istovremeno inficiranih Delta hepatitis virusom ili hepatitis C virusom i stoga se savjetuje oprez.</w:t>
      </w:r>
    </w:p>
    <w:p w14:paraId="193A5EB2" w14:textId="77777777" w:rsidR="002A772C" w:rsidRPr="00F37527" w:rsidRDefault="002A772C" w:rsidP="0076441E">
      <w:pPr>
        <w:pStyle w:val="Header"/>
        <w:tabs>
          <w:tab w:val="left" w:pos="284"/>
        </w:tabs>
        <w:jc w:val="both"/>
        <w:rPr>
          <w:sz w:val="22"/>
          <w:szCs w:val="22"/>
          <w:lang w:val="sl-SI"/>
        </w:rPr>
      </w:pPr>
    </w:p>
    <w:p w14:paraId="6F4F8071" w14:textId="14965BE1" w:rsidR="002A772C" w:rsidRPr="00F37527" w:rsidRDefault="002A772C" w:rsidP="0076441E">
      <w:pPr>
        <w:pStyle w:val="Header"/>
        <w:tabs>
          <w:tab w:val="left" w:pos="284"/>
        </w:tabs>
        <w:jc w:val="both"/>
        <w:rPr>
          <w:sz w:val="22"/>
          <w:szCs w:val="22"/>
          <w:u w:val="single"/>
          <w:lang w:val="sl-SI"/>
        </w:rPr>
      </w:pPr>
      <w:r w:rsidRPr="00F37527">
        <w:rPr>
          <w:sz w:val="22"/>
          <w:szCs w:val="22"/>
          <w:u w:val="single"/>
          <w:lang w:val="sl-SI"/>
        </w:rPr>
        <w:t>Imunosupresivni ljekovi</w:t>
      </w:r>
    </w:p>
    <w:p w14:paraId="674F8740" w14:textId="77777777" w:rsidR="00DC22E7" w:rsidRPr="00F37527" w:rsidRDefault="00DC22E7" w:rsidP="0076441E">
      <w:pPr>
        <w:pStyle w:val="Header"/>
        <w:tabs>
          <w:tab w:val="left" w:pos="284"/>
        </w:tabs>
        <w:jc w:val="both"/>
        <w:rPr>
          <w:sz w:val="22"/>
          <w:szCs w:val="22"/>
          <w:u w:val="single"/>
          <w:lang w:val="sl-SI"/>
        </w:rPr>
      </w:pPr>
    </w:p>
    <w:p w14:paraId="57FF6E94" w14:textId="77777777" w:rsidR="002A772C" w:rsidRPr="00F37527" w:rsidRDefault="002A772C" w:rsidP="0076441E">
      <w:pPr>
        <w:pStyle w:val="Header"/>
        <w:tabs>
          <w:tab w:val="left" w:pos="284"/>
        </w:tabs>
        <w:jc w:val="both"/>
        <w:rPr>
          <w:sz w:val="22"/>
          <w:szCs w:val="22"/>
          <w:lang w:val="sl-SI"/>
        </w:rPr>
      </w:pPr>
      <w:r w:rsidRPr="00F37527">
        <w:rPr>
          <w:sz w:val="22"/>
          <w:szCs w:val="22"/>
          <w:lang w:val="sl-SI"/>
        </w:rPr>
        <w:t>Podaci o primjeni lamivudina kod HBeAg negativnih (</w:t>
      </w:r>
      <w:r w:rsidRPr="00F37527">
        <w:rPr>
          <w:i/>
          <w:sz w:val="22"/>
          <w:szCs w:val="22"/>
          <w:lang w:val="sl-SI"/>
        </w:rPr>
        <w:t>pre-core</w:t>
      </w:r>
      <w:r w:rsidRPr="00F37527">
        <w:rPr>
          <w:sz w:val="22"/>
          <w:szCs w:val="22"/>
          <w:lang w:val="sl-SI"/>
        </w:rPr>
        <w:t xml:space="preserve"> mutant) pacijenata kao i kod pacijenata kod kojih se istovremeno primjenjuju imunosupresivni ljekovi, uključujući i hemoterapiju karcinoma su ograničeni. Kod navedenih pacijenata je potrebno primjenjivati lamivudin uz oprez.</w:t>
      </w:r>
    </w:p>
    <w:p w14:paraId="7D420398" w14:textId="77777777" w:rsidR="002A772C" w:rsidRPr="00F37527" w:rsidRDefault="002A772C" w:rsidP="0076441E">
      <w:pPr>
        <w:pStyle w:val="Header"/>
        <w:tabs>
          <w:tab w:val="left" w:pos="284"/>
        </w:tabs>
        <w:jc w:val="both"/>
        <w:rPr>
          <w:sz w:val="22"/>
          <w:szCs w:val="22"/>
          <w:lang w:val="sl-SI"/>
        </w:rPr>
      </w:pPr>
    </w:p>
    <w:p w14:paraId="6890EAA2" w14:textId="71048B26" w:rsidR="002A772C" w:rsidRPr="00F37527" w:rsidRDefault="002A772C" w:rsidP="0076441E">
      <w:pPr>
        <w:pStyle w:val="Header"/>
        <w:tabs>
          <w:tab w:val="left" w:pos="284"/>
        </w:tabs>
        <w:jc w:val="both"/>
        <w:rPr>
          <w:sz w:val="22"/>
          <w:szCs w:val="22"/>
          <w:u w:val="single"/>
          <w:lang w:val="sl-SI"/>
        </w:rPr>
      </w:pPr>
      <w:r w:rsidRPr="00F37527">
        <w:rPr>
          <w:sz w:val="22"/>
          <w:szCs w:val="22"/>
          <w:u w:val="single"/>
          <w:lang w:val="sl-SI"/>
        </w:rPr>
        <w:t>Praćenje</w:t>
      </w:r>
    </w:p>
    <w:p w14:paraId="565B1608" w14:textId="77777777" w:rsidR="00DC22E7" w:rsidRPr="00F37527" w:rsidRDefault="00DC22E7" w:rsidP="0076441E">
      <w:pPr>
        <w:pStyle w:val="Header"/>
        <w:tabs>
          <w:tab w:val="left" w:pos="284"/>
        </w:tabs>
        <w:jc w:val="both"/>
        <w:rPr>
          <w:sz w:val="22"/>
          <w:szCs w:val="22"/>
          <w:u w:val="single"/>
          <w:lang w:val="sl-SI"/>
        </w:rPr>
      </w:pPr>
    </w:p>
    <w:p w14:paraId="1A8631FB" w14:textId="77777777" w:rsidR="002A772C" w:rsidRPr="00F37527" w:rsidRDefault="002A772C" w:rsidP="0076441E">
      <w:pPr>
        <w:pStyle w:val="Header"/>
        <w:tabs>
          <w:tab w:val="left" w:pos="284"/>
        </w:tabs>
        <w:jc w:val="both"/>
        <w:rPr>
          <w:sz w:val="22"/>
          <w:szCs w:val="22"/>
          <w:lang w:val="sl-SI"/>
        </w:rPr>
      </w:pPr>
      <w:r w:rsidRPr="00F37527">
        <w:rPr>
          <w:sz w:val="22"/>
          <w:szCs w:val="22"/>
          <w:lang w:val="sl-SI"/>
        </w:rPr>
        <w:t>Stanje pacijenata bi trebalo redovno kontrolisati u toku primjene lijeka ZEFFIX. Koncentracije ALT i HBV DNK u serumu bi trebalo pratiti svaka tri mjeseca, a kod HBeAg pozitivnih pacijenata nivo HBeAg bi trebalo provjeravati svakih 6 mjeseci.</w:t>
      </w:r>
    </w:p>
    <w:p w14:paraId="29381798" w14:textId="00356274" w:rsidR="002A772C" w:rsidRDefault="002A772C" w:rsidP="0076441E">
      <w:pPr>
        <w:pStyle w:val="Header"/>
        <w:tabs>
          <w:tab w:val="left" w:pos="284"/>
        </w:tabs>
        <w:jc w:val="both"/>
        <w:rPr>
          <w:sz w:val="22"/>
          <w:szCs w:val="22"/>
          <w:lang w:val="sl-SI"/>
        </w:rPr>
      </w:pPr>
    </w:p>
    <w:p w14:paraId="1B0EB0F8" w14:textId="38352E23" w:rsidR="005F461D" w:rsidRDefault="005F461D" w:rsidP="0076441E">
      <w:pPr>
        <w:pStyle w:val="Header"/>
        <w:tabs>
          <w:tab w:val="left" w:pos="284"/>
        </w:tabs>
        <w:jc w:val="both"/>
        <w:rPr>
          <w:sz w:val="22"/>
          <w:szCs w:val="22"/>
          <w:lang w:val="sl-SI"/>
        </w:rPr>
      </w:pPr>
    </w:p>
    <w:p w14:paraId="6B37B9B9" w14:textId="014327C9" w:rsidR="005F461D" w:rsidRDefault="005F461D" w:rsidP="0076441E">
      <w:pPr>
        <w:pStyle w:val="Header"/>
        <w:tabs>
          <w:tab w:val="left" w:pos="284"/>
        </w:tabs>
        <w:jc w:val="both"/>
        <w:rPr>
          <w:sz w:val="22"/>
          <w:szCs w:val="22"/>
          <w:lang w:val="sl-SI"/>
        </w:rPr>
      </w:pPr>
    </w:p>
    <w:p w14:paraId="0859EC7E" w14:textId="77777777" w:rsidR="005F461D" w:rsidRPr="00F37527" w:rsidRDefault="005F461D" w:rsidP="0076441E">
      <w:pPr>
        <w:pStyle w:val="Header"/>
        <w:tabs>
          <w:tab w:val="left" w:pos="284"/>
        </w:tabs>
        <w:jc w:val="both"/>
        <w:rPr>
          <w:sz w:val="22"/>
          <w:szCs w:val="22"/>
          <w:lang w:val="sl-SI"/>
        </w:rPr>
      </w:pPr>
    </w:p>
    <w:p w14:paraId="2A991A6C" w14:textId="77777777" w:rsidR="002A772C" w:rsidRPr="00F37527" w:rsidRDefault="002A772C" w:rsidP="0076441E">
      <w:pPr>
        <w:pStyle w:val="Header"/>
        <w:jc w:val="both"/>
        <w:rPr>
          <w:sz w:val="22"/>
          <w:szCs w:val="22"/>
          <w:u w:val="single"/>
          <w:lang w:val="sl-SI"/>
        </w:rPr>
      </w:pPr>
      <w:r w:rsidRPr="00F37527">
        <w:rPr>
          <w:sz w:val="22"/>
          <w:szCs w:val="22"/>
          <w:u w:val="single"/>
          <w:lang w:val="sl-SI"/>
        </w:rPr>
        <w:lastRenderedPageBreak/>
        <w:t xml:space="preserve">Istovremena infekcija HIV-om  </w:t>
      </w:r>
    </w:p>
    <w:p w14:paraId="4E97777A" w14:textId="77777777" w:rsidR="002A772C" w:rsidRPr="00F37527" w:rsidRDefault="002A772C" w:rsidP="0076441E">
      <w:pPr>
        <w:pStyle w:val="Header"/>
        <w:jc w:val="both"/>
        <w:rPr>
          <w:sz w:val="22"/>
          <w:szCs w:val="22"/>
          <w:u w:val="single"/>
          <w:lang w:val="sl-SI"/>
        </w:rPr>
      </w:pPr>
    </w:p>
    <w:p w14:paraId="23CF5FC9" w14:textId="77777777" w:rsidR="002A772C" w:rsidRPr="00F37527" w:rsidRDefault="002A772C" w:rsidP="0076441E">
      <w:pPr>
        <w:pStyle w:val="Header"/>
        <w:jc w:val="both"/>
        <w:rPr>
          <w:sz w:val="22"/>
          <w:szCs w:val="22"/>
          <w:lang w:val="sl-SI"/>
        </w:rPr>
      </w:pPr>
      <w:r w:rsidRPr="00F37527">
        <w:rPr>
          <w:sz w:val="22"/>
          <w:szCs w:val="22"/>
          <w:lang w:val="sl-SI"/>
        </w:rPr>
        <w:t>U terapiji pacijenata koji su istovremeno inficirani HIV-om, kojima se trenutno primjenjuje ili se planira primjena terapije lamivudinom ili kombinovane terapije lamivudinom/zidovudinom, trebalo bi održati dozu lamivudina propisanu u terapiji HIV infekcije (obično 150 mg/dva puta dnevno u kombinaciji sa drugim antiretrovirusnim ljekovima). Kod pacijenata istovremeno inficiranih HIV-om, kod kojih nije potrebna primjena antiretrovirusne terapije, postoji rizik od ja mutacije HIV-a, pri monoterapiji  lamivudinom za liječenje  hroničnog hepatitisa B.</w:t>
      </w:r>
    </w:p>
    <w:p w14:paraId="659A5B0A" w14:textId="77777777" w:rsidR="002A772C" w:rsidRPr="00F37527" w:rsidRDefault="002A772C" w:rsidP="0076441E">
      <w:pPr>
        <w:pStyle w:val="Header"/>
        <w:jc w:val="both"/>
        <w:rPr>
          <w:sz w:val="22"/>
          <w:szCs w:val="22"/>
          <w:lang w:val="sl-SI"/>
        </w:rPr>
      </w:pPr>
    </w:p>
    <w:p w14:paraId="7593FBBE" w14:textId="77777777" w:rsidR="00DC22E7" w:rsidRPr="00F37527" w:rsidRDefault="002A772C" w:rsidP="0076441E">
      <w:pPr>
        <w:pStyle w:val="Header"/>
        <w:jc w:val="both"/>
        <w:rPr>
          <w:sz w:val="22"/>
          <w:szCs w:val="22"/>
          <w:u w:val="single"/>
          <w:lang w:val="sl-SI"/>
        </w:rPr>
      </w:pPr>
      <w:r w:rsidRPr="00F37527">
        <w:rPr>
          <w:sz w:val="22"/>
          <w:szCs w:val="22"/>
          <w:u w:val="single"/>
          <w:lang w:val="sl-SI"/>
        </w:rPr>
        <w:t>Transmisija hepatitisa B</w:t>
      </w:r>
    </w:p>
    <w:p w14:paraId="75790760" w14:textId="77777777" w:rsidR="00DC22E7" w:rsidRPr="00F37527" w:rsidRDefault="00DC22E7" w:rsidP="0076441E">
      <w:pPr>
        <w:pStyle w:val="Header"/>
        <w:jc w:val="both"/>
        <w:rPr>
          <w:sz w:val="22"/>
          <w:szCs w:val="22"/>
          <w:u w:val="single"/>
          <w:lang w:val="sl-SI"/>
        </w:rPr>
      </w:pPr>
    </w:p>
    <w:p w14:paraId="5982EE2B" w14:textId="79DF6716" w:rsidR="002A772C" w:rsidRPr="00F37527" w:rsidRDefault="002A772C" w:rsidP="0076441E">
      <w:pPr>
        <w:pStyle w:val="Header"/>
        <w:jc w:val="both"/>
        <w:rPr>
          <w:sz w:val="22"/>
          <w:szCs w:val="22"/>
          <w:u w:val="single"/>
          <w:lang w:val="sl-SI"/>
        </w:rPr>
      </w:pPr>
      <w:r w:rsidRPr="00F37527">
        <w:rPr>
          <w:sz w:val="22"/>
          <w:szCs w:val="22"/>
          <w:lang w:val="sl-SI"/>
        </w:rPr>
        <w:t xml:space="preserve">Ograničeni su podaci o maternalno-fetalnoj transmisiji hepatitis B virusa kod trudnica kojima se primjenjuje terapija lamivudinom. Potrebno je </w:t>
      </w:r>
      <w:r w:rsidR="00FE6A91" w:rsidRPr="00F37527">
        <w:rPr>
          <w:sz w:val="22"/>
          <w:szCs w:val="22"/>
          <w:lang w:val="sl-SI"/>
        </w:rPr>
        <w:t>pratiti</w:t>
      </w:r>
      <w:r w:rsidRPr="00F37527">
        <w:rPr>
          <w:sz w:val="22"/>
          <w:szCs w:val="22"/>
          <w:lang w:val="sl-SI"/>
        </w:rPr>
        <w:t xml:space="preserve"> standardne preporučene procedure u imunizaciji djece protiv virusnog hepatitisa B. </w:t>
      </w:r>
    </w:p>
    <w:p w14:paraId="0EF7D7CB" w14:textId="77777777" w:rsidR="002A772C" w:rsidRPr="00F37527" w:rsidRDefault="002A772C" w:rsidP="0076441E">
      <w:pPr>
        <w:pStyle w:val="Header"/>
        <w:jc w:val="both"/>
        <w:rPr>
          <w:sz w:val="22"/>
          <w:szCs w:val="22"/>
          <w:lang w:val="sl-SI"/>
        </w:rPr>
      </w:pPr>
    </w:p>
    <w:p w14:paraId="551E3700" w14:textId="77777777" w:rsidR="002A772C" w:rsidRPr="00F37527" w:rsidRDefault="002A772C" w:rsidP="0076441E">
      <w:pPr>
        <w:pStyle w:val="Header"/>
        <w:jc w:val="both"/>
        <w:rPr>
          <w:sz w:val="22"/>
          <w:szCs w:val="22"/>
          <w:lang w:val="sl-SI"/>
        </w:rPr>
      </w:pPr>
      <w:r w:rsidRPr="00F37527">
        <w:rPr>
          <w:sz w:val="22"/>
          <w:szCs w:val="22"/>
          <w:lang w:val="sl-SI"/>
        </w:rPr>
        <w:t>Pacijente bi trebalo upozoriti da nije dokazano da liječenje lamivudinom smanjuje rizik od prenošenja virusa hepatitisa B na druge osobe i da je stoga potrebno preduzeti odgovarajuće mjere opreza.</w:t>
      </w:r>
    </w:p>
    <w:p w14:paraId="0330D3F2" w14:textId="77777777" w:rsidR="002A772C" w:rsidRPr="00F37527" w:rsidRDefault="002A772C" w:rsidP="0076441E">
      <w:pPr>
        <w:pStyle w:val="Header"/>
        <w:jc w:val="both"/>
        <w:rPr>
          <w:b/>
          <w:bCs/>
          <w:sz w:val="22"/>
          <w:szCs w:val="22"/>
          <w:lang w:val="pl-PL"/>
        </w:rPr>
      </w:pPr>
    </w:p>
    <w:p w14:paraId="033F8F55" w14:textId="77777777" w:rsidR="002A772C" w:rsidRPr="00F37527" w:rsidRDefault="002A772C" w:rsidP="0076441E">
      <w:pPr>
        <w:pStyle w:val="Header"/>
        <w:jc w:val="both"/>
        <w:rPr>
          <w:sz w:val="22"/>
          <w:szCs w:val="22"/>
          <w:u w:val="single"/>
          <w:lang w:val="sl-SI"/>
        </w:rPr>
      </w:pPr>
      <w:r w:rsidRPr="00F37527">
        <w:rPr>
          <w:bCs/>
          <w:sz w:val="22"/>
          <w:szCs w:val="22"/>
          <w:u w:val="single"/>
          <w:lang w:val="pl-PL"/>
        </w:rPr>
        <w:t>Interakcije sa drugim ljekovima</w:t>
      </w:r>
    </w:p>
    <w:p w14:paraId="29FF1325" w14:textId="77777777" w:rsidR="00EF44DD" w:rsidRPr="00F37527" w:rsidRDefault="00EF44DD" w:rsidP="0076441E">
      <w:pPr>
        <w:pStyle w:val="Header"/>
        <w:jc w:val="both"/>
        <w:rPr>
          <w:sz w:val="22"/>
          <w:szCs w:val="22"/>
          <w:lang w:val="sl-SI"/>
        </w:rPr>
      </w:pPr>
    </w:p>
    <w:p w14:paraId="386A6DFF" w14:textId="0A82B360" w:rsidR="002A772C" w:rsidRPr="00F37527" w:rsidRDefault="002A772C" w:rsidP="0076441E">
      <w:pPr>
        <w:pStyle w:val="Header"/>
        <w:jc w:val="both"/>
        <w:rPr>
          <w:sz w:val="22"/>
          <w:szCs w:val="22"/>
          <w:lang w:val="sl-SI"/>
        </w:rPr>
      </w:pPr>
      <w:r w:rsidRPr="00F37527">
        <w:rPr>
          <w:sz w:val="22"/>
          <w:szCs w:val="22"/>
          <w:lang w:val="sl-SI"/>
        </w:rPr>
        <w:t>Lijek ZEFFIX</w:t>
      </w:r>
      <w:r w:rsidRPr="00F37527">
        <w:rPr>
          <w:sz w:val="22"/>
          <w:szCs w:val="22"/>
          <w:vertAlign w:val="superscript"/>
          <w:lang w:val="sl-SI"/>
        </w:rPr>
        <w:t xml:space="preserve"> </w:t>
      </w:r>
      <w:r w:rsidRPr="00F37527">
        <w:rPr>
          <w:sz w:val="22"/>
          <w:szCs w:val="22"/>
          <w:lang w:val="sl-SI"/>
        </w:rPr>
        <w:t>ne bi trebalo primjenjivati sa drugim ljekovima koji sadrže lamivudin ili ljekovima koji sadrže emtricitabin</w:t>
      </w:r>
      <w:r w:rsidR="00FE6A91" w:rsidRPr="00F37527">
        <w:rPr>
          <w:sz w:val="22"/>
          <w:szCs w:val="22"/>
          <w:lang w:val="sl-SI"/>
        </w:rPr>
        <w:t xml:space="preserve"> </w:t>
      </w:r>
      <w:r w:rsidRPr="00F37527">
        <w:rPr>
          <w:sz w:val="22"/>
          <w:szCs w:val="22"/>
          <w:lang w:val="sl-SI"/>
        </w:rPr>
        <w:t>(vidjeti dio 4.5).</w:t>
      </w:r>
    </w:p>
    <w:p w14:paraId="660AB05D" w14:textId="77777777" w:rsidR="002A772C" w:rsidRPr="00F37527" w:rsidRDefault="002A772C" w:rsidP="0076441E">
      <w:pPr>
        <w:pStyle w:val="Header"/>
        <w:jc w:val="both"/>
        <w:rPr>
          <w:sz w:val="22"/>
          <w:szCs w:val="22"/>
          <w:lang w:val="sl-SI"/>
        </w:rPr>
      </w:pPr>
    </w:p>
    <w:p w14:paraId="295BF522" w14:textId="4CE45868" w:rsidR="002A772C" w:rsidRPr="00F37527" w:rsidRDefault="002A772C" w:rsidP="0076441E">
      <w:pPr>
        <w:jc w:val="both"/>
        <w:rPr>
          <w:b/>
          <w:sz w:val="22"/>
          <w:szCs w:val="22"/>
          <w:lang w:val="sl-SI"/>
        </w:rPr>
      </w:pPr>
      <w:r w:rsidRPr="00F37527">
        <w:rPr>
          <w:bCs/>
          <w:sz w:val="22"/>
          <w:szCs w:val="22"/>
          <w:lang w:val="hr-HR"/>
        </w:rPr>
        <w:t>Ne preporučuje se primjena lamivudina sa kladribinom u kombinovanoj terapiji (vidjeti dio 4.5).</w:t>
      </w:r>
    </w:p>
    <w:p w14:paraId="18BE86B1" w14:textId="3CF422A7" w:rsidR="00057E35" w:rsidRPr="00F37527" w:rsidRDefault="00057E35" w:rsidP="0076441E">
      <w:pPr>
        <w:tabs>
          <w:tab w:val="left" w:pos="540"/>
          <w:tab w:val="left" w:pos="569"/>
        </w:tabs>
        <w:jc w:val="both"/>
        <w:rPr>
          <w:bCs/>
          <w:sz w:val="22"/>
          <w:szCs w:val="22"/>
          <w:lang w:val="sl-SI"/>
        </w:rPr>
      </w:pPr>
    </w:p>
    <w:p w14:paraId="0B369E12" w14:textId="69614BE3" w:rsidR="00167180" w:rsidRPr="00F37527" w:rsidRDefault="00167180" w:rsidP="0076441E">
      <w:pPr>
        <w:jc w:val="both"/>
        <w:rPr>
          <w:sz w:val="22"/>
          <w:szCs w:val="22"/>
          <w:u w:val="single"/>
          <w:lang w:val="sl-SI"/>
        </w:rPr>
      </w:pPr>
      <w:r w:rsidRPr="00F37527">
        <w:rPr>
          <w:sz w:val="22"/>
          <w:szCs w:val="22"/>
          <w:u w:val="single"/>
          <w:lang w:val="sl-SI"/>
        </w:rPr>
        <w:t>Pomoćne supstance</w:t>
      </w:r>
    </w:p>
    <w:p w14:paraId="54A9453D" w14:textId="77777777" w:rsidR="00FC2B73" w:rsidRPr="00F37527" w:rsidRDefault="00FC2B73" w:rsidP="0076441E">
      <w:pPr>
        <w:jc w:val="both"/>
        <w:rPr>
          <w:sz w:val="22"/>
          <w:szCs w:val="22"/>
          <w:u w:val="single"/>
          <w:lang w:val="sl-SI"/>
        </w:rPr>
      </w:pPr>
    </w:p>
    <w:p w14:paraId="495AC75E" w14:textId="61F43C40" w:rsidR="00167180" w:rsidRPr="00F37527" w:rsidRDefault="00167180" w:rsidP="0076441E">
      <w:pPr>
        <w:jc w:val="both"/>
        <w:rPr>
          <w:sz w:val="22"/>
          <w:szCs w:val="22"/>
          <w:lang w:val="sl-SI"/>
        </w:rPr>
      </w:pPr>
      <w:r w:rsidRPr="00F37527">
        <w:rPr>
          <w:sz w:val="22"/>
          <w:szCs w:val="22"/>
          <w:lang w:val="sl-SI"/>
        </w:rPr>
        <w:t>Ovaj lijek sadrži manje od 1 mmol natrijuma (23 mg) po tableti, tj. suštinski je bez natrijuma.</w:t>
      </w:r>
    </w:p>
    <w:p w14:paraId="7CE22872" w14:textId="77777777" w:rsidR="00167180" w:rsidRPr="00F37527" w:rsidRDefault="00167180" w:rsidP="0076441E">
      <w:pPr>
        <w:tabs>
          <w:tab w:val="left" w:pos="540"/>
          <w:tab w:val="left" w:pos="569"/>
        </w:tabs>
        <w:jc w:val="both"/>
        <w:rPr>
          <w:bCs/>
          <w:sz w:val="22"/>
          <w:szCs w:val="22"/>
          <w:lang w:val="sl-SI"/>
        </w:rPr>
      </w:pPr>
    </w:p>
    <w:p w14:paraId="18BE86B2" w14:textId="77777777" w:rsidR="00411B4B" w:rsidRPr="00F37527" w:rsidRDefault="00411B4B" w:rsidP="0076441E">
      <w:pPr>
        <w:tabs>
          <w:tab w:val="left" w:pos="540"/>
          <w:tab w:val="left" w:pos="569"/>
        </w:tabs>
        <w:jc w:val="both"/>
        <w:rPr>
          <w:b/>
          <w:bCs/>
          <w:sz w:val="22"/>
          <w:szCs w:val="22"/>
          <w:lang w:val="de-DE"/>
        </w:rPr>
      </w:pPr>
      <w:r w:rsidRPr="00F37527">
        <w:rPr>
          <w:b/>
          <w:bCs/>
          <w:sz w:val="22"/>
          <w:szCs w:val="22"/>
          <w:lang w:val="de-DE"/>
        </w:rPr>
        <w:t>4.5.</w:t>
      </w:r>
      <w:r w:rsidR="000D60CC" w:rsidRPr="00F37527">
        <w:rPr>
          <w:b/>
          <w:bCs/>
          <w:sz w:val="22"/>
          <w:szCs w:val="22"/>
          <w:lang w:val="de-DE"/>
        </w:rPr>
        <w:tab/>
      </w:r>
      <w:r w:rsidRPr="00F37527">
        <w:rPr>
          <w:b/>
          <w:bCs/>
          <w:sz w:val="22"/>
          <w:szCs w:val="22"/>
          <w:lang w:val="de-DE"/>
        </w:rPr>
        <w:t>Interakcije sa drugim ljekovima i druge vrste interakcija</w:t>
      </w:r>
    </w:p>
    <w:p w14:paraId="78B9AA8A" w14:textId="77777777" w:rsidR="00EF44DD" w:rsidRPr="00F37527" w:rsidRDefault="00EF44DD" w:rsidP="0076441E">
      <w:pPr>
        <w:pStyle w:val="Header"/>
        <w:tabs>
          <w:tab w:val="left" w:pos="284"/>
        </w:tabs>
        <w:jc w:val="both"/>
        <w:rPr>
          <w:sz w:val="22"/>
          <w:szCs w:val="22"/>
          <w:lang w:val="de-DE"/>
        </w:rPr>
      </w:pPr>
    </w:p>
    <w:p w14:paraId="036E0688" w14:textId="57DBE53C" w:rsidR="00305AB2" w:rsidRPr="00F37527" w:rsidRDefault="00305AB2" w:rsidP="0076441E">
      <w:pPr>
        <w:pStyle w:val="Header"/>
        <w:tabs>
          <w:tab w:val="left" w:pos="284"/>
        </w:tabs>
        <w:jc w:val="both"/>
        <w:rPr>
          <w:sz w:val="22"/>
          <w:szCs w:val="22"/>
          <w:lang w:val="de-DE"/>
        </w:rPr>
      </w:pPr>
      <w:r w:rsidRPr="00F37527">
        <w:rPr>
          <w:sz w:val="22"/>
          <w:szCs w:val="22"/>
          <w:lang w:val="de-DE"/>
        </w:rPr>
        <w:t xml:space="preserve">Klinička ispitivanja interakcije su sprovedena isključivo </w:t>
      </w:r>
      <w:r w:rsidR="00FE6A91" w:rsidRPr="00F37527">
        <w:rPr>
          <w:sz w:val="22"/>
          <w:szCs w:val="22"/>
          <w:lang w:val="de-DE"/>
        </w:rPr>
        <w:t>kod</w:t>
      </w:r>
      <w:r w:rsidRPr="00F37527">
        <w:rPr>
          <w:sz w:val="22"/>
          <w:szCs w:val="22"/>
          <w:lang w:val="de-DE"/>
        </w:rPr>
        <w:t xml:space="preserve"> odrasli</w:t>
      </w:r>
      <w:r w:rsidR="00FE6A91" w:rsidRPr="00F37527">
        <w:rPr>
          <w:sz w:val="22"/>
          <w:szCs w:val="22"/>
          <w:lang w:val="de-DE"/>
        </w:rPr>
        <w:t xml:space="preserve">h </w:t>
      </w:r>
      <w:r w:rsidRPr="00F37527">
        <w:rPr>
          <w:sz w:val="22"/>
          <w:szCs w:val="22"/>
          <w:lang w:val="de-DE"/>
        </w:rPr>
        <w:t>osoba.</w:t>
      </w:r>
    </w:p>
    <w:p w14:paraId="2EFD34DF" w14:textId="77777777" w:rsidR="00305AB2" w:rsidRPr="00F37527" w:rsidRDefault="00305AB2" w:rsidP="0076441E">
      <w:pPr>
        <w:pStyle w:val="Header"/>
        <w:tabs>
          <w:tab w:val="left" w:pos="284"/>
        </w:tabs>
        <w:jc w:val="both"/>
        <w:rPr>
          <w:sz w:val="22"/>
          <w:szCs w:val="22"/>
          <w:lang w:val="de-DE"/>
        </w:rPr>
      </w:pPr>
    </w:p>
    <w:p w14:paraId="42E221F5" w14:textId="77777777" w:rsidR="00305AB2" w:rsidRPr="00F37527" w:rsidRDefault="00305AB2" w:rsidP="0076441E">
      <w:pPr>
        <w:pStyle w:val="Header"/>
        <w:tabs>
          <w:tab w:val="left" w:pos="284"/>
        </w:tabs>
        <w:jc w:val="both"/>
        <w:rPr>
          <w:sz w:val="22"/>
          <w:szCs w:val="22"/>
          <w:lang w:val="sl-SI"/>
        </w:rPr>
      </w:pPr>
      <w:r w:rsidRPr="00F37527">
        <w:rPr>
          <w:sz w:val="22"/>
          <w:szCs w:val="22"/>
          <w:lang w:val="sl-SI"/>
        </w:rPr>
        <w:t>Vjerovatnoća metaboličkih interakcija je mala usljed ograničenog metabolizma i vezivanja za proteine plazme, kao i gotovo potpune eliminacije nepromijenjene supstance putem bubrega.</w:t>
      </w:r>
    </w:p>
    <w:p w14:paraId="783D90C3" w14:textId="77777777" w:rsidR="00305AB2" w:rsidRPr="00F37527" w:rsidRDefault="00305AB2" w:rsidP="0076441E">
      <w:pPr>
        <w:pStyle w:val="Header"/>
        <w:tabs>
          <w:tab w:val="left" w:pos="284"/>
        </w:tabs>
        <w:jc w:val="both"/>
        <w:rPr>
          <w:sz w:val="22"/>
          <w:szCs w:val="22"/>
          <w:lang w:val="sl-SI"/>
        </w:rPr>
      </w:pPr>
    </w:p>
    <w:p w14:paraId="6CE78418" w14:textId="77777777" w:rsidR="00305AB2" w:rsidRPr="00F37527" w:rsidRDefault="00305AB2" w:rsidP="0076441E">
      <w:pPr>
        <w:pStyle w:val="Header"/>
        <w:tabs>
          <w:tab w:val="left" w:pos="284"/>
        </w:tabs>
        <w:jc w:val="both"/>
        <w:rPr>
          <w:sz w:val="22"/>
          <w:szCs w:val="22"/>
          <w:lang w:val="sl-SI"/>
        </w:rPr>
      </w:pPr>
      <w:r w:rsidRPr="00F37527">
        <w:rPr>
          <w:sz w:val="22"/>
          <w:szCs w:val="22"/>
          <w:lang w:val="sl-SI"/>
        </w:rPr>
        <w:t>Lamivudin se pretežno izlučuje aktivnom organskom katjonskom sekrecijom.   Potrebno je imati u vidu mogućnost nastanka interakcija sa drugim ljekovima  koji se primjenjuju istovremeno, posebno kada je njihov glavni put eliminacije aktivna renalna sekrecija putem transportnog sistema organskih katjona, npr. trimetoprim. Drugi ljekovi (npr. ranitidin, cimetidin) se eliminišu samo djelimično putem navedenog mehanizma i za njih je pokazano da ne stupaju u interakciju sa lamivudinom.</w:t>
      </w:r>
    </w:p>
    <w:p w14:paraId="08C38548" w14:textId="77777777" w:rsidR="00305AB2" w:rsidRPr="00F37527" w:rsidRDefault="00305AB2" w:rsidP="0076441E">
      <w:pPr>
        <w:pStyle w:val="Header"/>
        <w:tabs>
          <w:tab w:val="left" w:pos="284"/>
        </w:tabs>
        <w:jc w:val="both"/>
        <w:rPr>
          <w:sz w:val="22"/>
          <w:szCs w:val="22"/>
          <w:lang w:val="sl-SI"/>
        </w:rPr>
      </w:pPr>
    </w:p>
    <w:p w14:paraId="4FDCD8AC" w14:textId="77777777" w:rsidR="00305AB2" w:rsidRPr="00F37527" w:rsidRDefault="00305AB2" w:rsidP="0076441E">
      <w:pPr>
        <w:pStyle w:val="Header"/>
        <w:tabs>
          <w:tab w:val="left" w:pos="284"/>
        </w:tabs>
        <w:jc w:val="both"/>
        <w:rPr>
          <w:sz w:val="22"/>
          <w:szCs w:val="22"/>
          <w:lang w:val="sl-SI"/>
        </w:rPr>
      </w:pPr>
      <w:r w:rsidRPr="00F37527">
        <w:rPr>
          <w:sz w:val="22"/>
          <w:szCs w:val="22"/>
          <w:lang w:val="sl-SI"/>
        </w:rPr>
        <w:t>Malo je vjerovatno da supstance za koje je pokazano da se izlučuju pretežno putem aktivnog transporta organskih anjona ili glomerularnom filtracijom stupaju u interakcije sa lamivudinom od kliničkog značaja. Primjena trimetoprim/sulfometokszola u dozi od 160 mg/800 mg povećava izloženost lamivudinu do približno 40%. Lamivudin nije ispoljio dejstvo na farmakokinetiku trimetoprima ili sulfometoksazola. Međutim, nije neophodno podešavanje doze lamivudina, osim u slučaju da pacijent  ima oštećenje bubrega.</w:t>
      </w:r>
    </w:p>
    <w:p w14:paraId="66711D31" w14:textId="77777777" w:rsidR="00305AB2" w:rsidRPr="00F37527" w:rsidRDefault="00305AB2" w:rsidP="0076441E">
      <w:pPr>
        <w:pStyle w:val="Header"/>
        <w:tabs>
          <w:tab w:val="left" w:pos="284"/>
        </w:tabs>
        <w:jc w:val="both"/>
        <w:rPr>
          <w:sz w:val="22"/>
          <w:szCs w:val="22"/>
          <w:lang w:val="sl-SI"/>
        </w:rPr>
      </w:pPr>
    </w:p>
    <w:p w14:paraId="1C79D16C" w14:textId="77777777" w:rsidR="00305AB2" w:rsidRPr="00F37527" w:rsidRDefault="00305AB2" w:rsidP="0076441E">
      <w:pPr>
        <w:pStyle w:val="Header"/>
        <w:tabs>
          <w:tab w:val="left" w:pos="284"/>
        </w:tabs>
        <w:jc w:val="both"/>
        <w:rPr>
          <w:sz w:val="22"/>
          <w:szCs w:val="22"/>
          <w:lang w:val="sl-SI"/>
        </w:rPr>
      </w:pPr>
      <w:r w:rsidRPr="00F37527">
        <w:rPr>
          <w:sz w:val="22"/>
          <w:szCs w:val="22"/>
          <w:lang w:val="sl-SI"/>
        </w:rPr>
        <w:t>Umjereno povećanje C</w:t>
      </w:r>
      <w:r w:rsidRPr="00F37527">
        <w:rPr>
          <w:sz w:val="22"/>
          <w:szCs w:val="22"/>
          <w:vertAlign w:val="subscript"/>
          <w:lang w:val="sl-SI"/>
        </w:rPr>
        <w:t>max</w:t>
      </w:r>
      <w:r w:rsidRPr="00F37527">
        <w:rPr>
          <w:sz w:val="22"/>
          <w:szCs w:val="22"/>
          <w:lang w:val="sl-SI"/>
        </w:rPr>
        <w:t xml:space="preserve"> (28%) uočeno je kod zidovudina prilikom primjene sa lamivudinom; međutim, ukupna izloženost (PIK) nije bila značajno promijenjena. Zidovudin nije ispoljavao dejstvo na farmakokinetiku lamivudina (vidjeti dio 5.2).</w:t>
      </w:r>
    </w:p>
    <w:p w14:paraId="0863CFF0" w14:textId="77777777" w:rsidR="00305AB2" w:rsidRPr="00F37527" w:rsidRDefault="00305AB2" w:rsidP="0076441E">
      <w:pPr>
        <w:pStyle w:val="Header"/>
        <w:tabs>
          <w:tab w:val="left" w:pos="284"/>
        </w:tabs>
        <w:jc w:val="both"/>
        <w:rPr>
          <w:sz w:val="22"/>
          <w:szCs w:val="22"/>
          <w:lang w:val="sl-SI"/>
        </w:rPr>
      </w:pPr>
    </w:p>
    <w:p w14:paraId="782CEA66" w14:textId="77777777" w:rsidR="00305AB2" w:rsidRPr="00F37527" w:rsidRDefault="00305AB2" w:rsidP="0076441E">
      <w:pPr>
        <w:pStyle w:val="Header"/>
        <w:tabs>
          <w:tab w:val="left" w:pos="284"/>
        </w:tabs>
        <w:jc w:val="both"/>
        <w:rPr>
          <w:sz w:val="22"/>
          <w:szCs w:val="22"/>
          <w:lang w:val="sl-SI"/>
        </w:rPr>
      </w:pPr>
      <w:r w:rsidRPr="00F37527">
        <w:rPr>
          <w:sz w:val="22"/>
          <w:szCs w:val="22"/>
          <w:lang w:val="sl-SI"/>
        </w:rPr>
        <w:t>Lamivudin nije stupao u farmakokinetičku interakciju sa alfa interferonom, prilikom istovremene primjene oba lijeka. Nije uočena pojava neželjenih interakcija od kliničkog značaja kod pacijenata koji su primijenili lamivudin istovremeno sa uobičajeno korišćenim imunosupresivima (npr. ciklosporin A). Međutim, nijesu sprovedena uobičajena klinička ispitivanja interakcija.</w:t>
      </w:r>
    </w:p>
    <w:p w14:paraId="3F4D6AC3" w14:textId="2C904A5D" w:rsidR="00305AB2" w:rsidRPr="00F37527" w:rsidRDefault="00305AB2" w:rsidP="0076441E">
      <w:pPr>
        <w:keepNext/>
        <w:jc w:val="both"/>
        <w:rPr>
          <w:iCs/>
          <w:sz w:val="22"/>
          <w:szCs w:val="22"/>
          <w:u w:val="single"/>
          <w:lang w:val="hr-HR"/>
        </w:rPr>
      </w:pPr>
      <w:r w:rsidRPr="00F37527">
        <w:rPr>
          <w:iCs/>
          <w:sz w:val="22"/>
          <w:szCs w:val="22"/>
          <w:u w:val="single"/>
          <w:lang w:val="hr-HR"/>
        </w:rPr>
        <w:lastRenderedPageBreak/>
        <w:t>Emtricitabin</w:t>
      </w:r>
    </w:p>
    <w:p w14:paraId="36818B42" w14:textId="77777777" w:rsidR="00DC22E7" w:rsidRPr="00F37527" w:rsidRDefault="00DC22E7" w:rsidP="0076441E">
      <w:pPr>
        <w:keepNext/>
        <w:jc w:val="both"/>
        <w:rPr>
          <w:iCs/>
          <w:sz w:val="22"/>
          <w:szCs w:val="22"/>
          <w:u w:val="single"/>
          <w:lang w:val="hr-HR"/>
        </w:rPr>
      </w:pPr>
    </w:p>
    <w:p w14:paraId="1805A278" w14:textId="77777777" w:rsidR="00305AB2" w:rsidRPr="00F37527" w:rsidRDefault="00305AB2" w:rsidP="0076441E">
      <w:pPr>
        <w:jc w:val="both"/>
        <w:rPr>
          <w:sz w:val="22"/>
          <w:szCs w:val="22"/>
          <w:lang w:val="hr-HR"/>
        </w:rPr>
      </w:pPr>
      <w:r w:rsidRPr="00F37527">
        <w:rPr>
          <w:sz w:val="22"/>
          <w:szCs w:val="22"/>
          <w:lang w:val="hr-HR"/>
        </w:rPr>
        <w:t>Lijek ZEFFIX, zbog sličnosti, ne bi trebalo primjenjivati istovremeno sa ostalim analozima citidina, poput emtricitabina. Pored toga, lijek  ZEFFIX ne bi trebalo uzimati sa drugim ljekovima koji sadrže lamivudin (vidjeti dio 4.4).</w:t>
      </w:r>
    </w:p>
    <w:p w14:paraId="6768DB5F" w14:textId="22C822AB" w:rsidR="00305AB2" w:rsidRPr="00F37527" w:rsidRDefault="00305AB2" w:rsidP="0076441E">
      <w:pPr>
        <w:pStyle w:val="Header"/>
        <w:tabs>
          <w:tab w:val="left" w:pos="284"/>
        </w:tabs>
        <w:jc w:val="both"/>
        <w:rPr>
          <w:iCs/>
          <w:sz w:val="22"/>
          <w:szCs w:val="22"/>
          <w:u w:val="single"/>
          <w:lang w:val="sl-SI"/>
        </w:rPr>
      </w:pPr>
      <w:r w:rsidRPr="00F37527">
        <w:rPr>
          <w:iCs/>
          <w:sz w:val="22"/>
          <w:szCs w:val="22"/>
          <w:u w:val="single"/>
          <w:lang w:val="sl-SI"/>
        </w:rPr>
        <w:t>Kladribin</w:t>
      </w:r>
    </w:p>
    <w:p w14:paraId="72E6BCBB" w14:textId="77777777" w:rsidR="00DC22E7" w:rsidRPr="00F37527" w:rsidRDefault="00DC22E7" w:rsidP="0076441E">
      <w:pPr>
        <w:pStyle w:val="Header"/>
        <w:tabs>
          <w:tab w:val="left" w:pos="284"/>
        </w:tabs>
        <w:jc w:val="both"/>
        <w:rPr>
          <w:iCs/>
          <w:sz w:val="22"/>
          <w:szCs w:val="22"/>
          <w:u w:val="single"/>
          <w:lang w:val="sl-SI"/>
        </w:rPr>
      </w:pPr>
    </w:p>
    <w:p w14:paraId="3CB4B84F" w14:textId="77777777" w:rsidR="00305AB2" w:rsidRPr="00F37527" w:rsidRDefault="00305AB2" w:rsidP="0076441E">
      <w:pPr>
        <w:pStyle w:val="Header"/>
        <w:tabs>
          <w:tab w:val="left" w:pos="284"/>
        </w:tabs>
        <w:jc w:val="both"/>
        <w:rPr>
          <w:sz w:val="22"/>
          <w:szCs w:val="22"/>
          <w:lang w:val="sl-SI"/>
        </w:rPr>
      </w:pPr>
      <w:r w:rsidRPr="00F37527">
        <w:rPr>
          <w:sz w:val="22"/>
          <w:szCs w:val="22"/>
          <w:lang w:val="sl-SI"/>
        </w:rPr>
        <w:t xml:space="preserve">U uslovima </w:t>
      </w:r>
      <w:r w:rsidRPr="00F37527">
        <w:rPr>
          <w:i/>
          <w:sz w:val="22"/>
          <w:szCs w:val="22"/>
          <w:lang w:val="sl-SI"/>
        </w:rPr>
        <w:t>in vitro</w:t>
      </w:r>
      <w:r w:rsidRPr="00F37527">
        <w:rPr>
          <w:sz w:val="22"/>
          <w:szCs w:val="22"/>
          <w:lang w:val="sl-SI"/>
        </w:rPr>
        <w:t xml:space="preserve"> lamivudin inhibira intracelularnu fosforilaciju kladribina, dovodeći do potencijalnog rizika za gubitak efikasnosti kladribina, u slučaju primjene u kombinovanoj terapiji, u kliničkim uslovima. Pojedina klinička saznanja takođe podržavaju mogućnost  interakcije između lamivudina i kladribina. Stoga se ne preporučuje istovremena  primjena lamivudina i kladribina (vidjeti dio 4.4).</w:t>
      </w:r>
    </w:p>
    <w:p w14:paraId="63419760" w14:textId="77777777" w:rsidR="00305AB2" w:rsidRPr="00F37527" w:rsidRDefault="00305AB2" w:rsidP="009C5662">
      <w:pPr>
        <w:tabs>
          <w:tab w:val="left" w:pos="284"/>
        </w:tabs>
        <w:jc w:val="both"/>
        <w:rPr>
          <w:bCs/>
          <w:i/>
          <w:sz w:val="22"/>
          <w:szCs w:val="22"/>
        </w:rPr>
      </w:pPr>
    </w:p>
    <w:p w14:paraId="49A0C6DB" w14:textId="27A0708D" w:rsidR="00305AB2" w:rsidRPr="00F37527" w:rsidRDefault="00305AB2" w:rsidP="009C5662">
      <w:pPr>
        <w:tabs>
          <w:tab w:val="left" w:pos="284"/>
        </w:tabs>
        <w:jc w:val="both"/>
        <w:rPr>
          <w:bCs/>
          <w:iCs/>
          <w:sz w:val="22"/>
          <w:szCs w:val="22"/>
          <w:u w:val="single"/>
        </w:rPr>
      </w:pPr>
      <w:r w:rsidRPr="00F37527">
        <w:rPr>
          <w:bCs/>
          <w:iCs/>
          <w:sz w:val="22"/>
          <w:szCs w:val="22"/>
          <w:u w:val="single"/>
        </w:rPr>
        <w:t>Sorbitol</w:t>
      </w:r>
    </w:p>
    <w:p w14:paraId="510A8825" w14:textId="77777777" w:rsidR="00DC22E7" w:rsidRPr="00F37527" w:rsidRDefault="00DC22E7" w:rsidP="009C5662">
      <w:pPr>
        <w:tabs>
          <w:tab w:val="left" w:pos="284"/>
        </w:tabs>
        <w:jc w:val="both"/>
        <w:rPr>
          <w:bCs/>
          <w:iCs/>
          <w:sz w:val="22"/>
          <w:szCs w:val="22"/>
          <w:u w:val="single"/>
        </w:rPr>
      </w:pPr>
    </w:p>
    <w:p w14:paraId="37F997E6" w14:textId="77777777" w:rsidR="00305AB2" w:rsidRPr="00F37527" w:rsidRDefault="00305AB2" w:rsidP="002D30C2">
      <w:pPr>
        <w:tabs>
          <w:tab w:val="left" w:pos="0"/>
        </w:tabs>
        <w:jc w:val="both"/>
        <w:rPr>
          <w:bCs/>
          <w:sz w:val="22"/>
          <w:szCs w:val="22"/>
          <w:lang w:val="sr-Latn-RS"/>
        </w:rPr>
      </w:pPr>
      <w:r w:rsidRPr="00F37527">
        <w:rPr>
          <w:bCs/>
          <w:sz w:val="22"/>
          <w:szCs w:val="22"/>
          <w:lang w:val="sr-Latn-RS"/>
        </w:rPr>
        <w:t xml:space="preserve">Istovremena </w:t>
      </w:r>
      <w:proofErr w:type="spellStart"/>
      <w:r w:rsidRPr="00F37527">
        <w:rPr>
          <w:bCs/>
          <w:sz w:val="22"/>
          <w:szCs w:val="22"/>
          <w:lang w:val="sr-Latn-RS"/>
        </w:rPr>
        <w:t>primjena</w:t>
      </w:r>
      <w:proofErr w:type="spellEnd"/>
      <w:r w:rsidRPr="00F37527">
        <w:rPr>
          <w:bCs/>
          <w:sz w:val="22"/>
          <w:szCs w:val="22"/>
          <w:lang w:val="sr-Latn-RS"/>
        </w:rPr>
        <w:t xml:space="preserve"> rastvora </w:t>
      </w:r>
      <w:proofErr w:type="spellStart"/>
      <w:r w:rsidRPr="00F37527">
        <w:rPr>
          <w:bCs/>
          <w:sz w:val="22"/>
          <w:szCs w:val="22"/>
          <w:lang w:val="sr-Latn-RS"/>
        </w:rPr>
        <w:t>sorbitola</w:t>
      </w:r>
      <w:proofErr w:type="spellEnd"/>
      <w:r w:rsidRPr="00F37527">
        <w:rPr>
          <w:bCs/>
          <w:sz w:val="22"/>
          <w:szCs w:val="22"/>
          <w:lang w:val="sr-Latn-RS"/>
        </w:rPr>
        <w:t xml:space="preserve"> (3,2 g, 10,2 g, 13,4 g) sa pojedinačnom dozom </w:t>
      </w:r>
      <w:proofErr w:type="spellStart"/>
      <w:r w:rsidRPr="00F37527">
        <w:rPr>
          <w:bCs/>
          <w:sz w:val="22"/>
          <w:szCs w:val="22"/>
          <w:lang w:val="sr-Latn-RS"/>
        </w:rPr>
        <w:t>lamivudina</w:t>
      </w:r>
      <w:proofErr w:type="spellEnd"/>
      <w:r w:rsidRPr="00F37527">
        <w:rPr>
          <w:bCs/>
          <w:sz w:val="22"/>
          <w:szCs w:val="22"/>
          <w:lang w:val="sr-Latn-RS"/>
        </w:rPr>
        <w:t xml:space="preserve"> od 300 mg u obliku oralnog rastvora (dnevna doza za odrasle kod HIV infekcije) dovodi do </w:t>
      </w:r>
      <w:proofErr w:type="spellStart"/>
      <w:r w:rsidRPr="00F37527">
        <w:rPr>
          <w:bCs/>
          <w:sz w:val="22"/>
          <w:szCs w:val="22"/>
          <w:lang w:val="sr-Latn-RS"/>
        </w:rPr>
        <w:t>dozno</w:t>
      </w:r>
      <w:proofErr w:type="spellEnd"/>
      <w:r w:rsidRPr="00F37527">
        <w:rPr>
          <w:bCs/>
          <w:sz w:val="22"/>
          <w:szCs w:val="22"/>
          <w:lang w:val="sr-Latn-RS"/>
        </w:rPr>
        <w:t xml:space="preserve">-zavisnog smanjenja izloženosti </w:t>
      </w:r>
      <w:proofErr w:type="spellStart"/>
      <w:r w:rsidRPr="00F37527">
        <w:rPr>
          <w:bCs/>
          <w:sz w:val="22"/>
          <w:szCs w:val="22"/>
          <w:lang w:val="sr-Latn-RS"/>
        </w:rPr>
        <w:t>lamivudinu</w:t>
      </w:r>
      <w:proofErr w:type="spellEnd"/>
      <w:r w:rsidRPr="00F37527">
        <w:rPr>
          <w:bCs/>
          <w:sz w:val="22"/>
          <w:szCs w:val="22"/>
          <w:lang w:val="sr-Latn-RS"/>
        </w:rPr>
        <w:t xml:space="preserve"> od 14%, 32% i 36% (PIK</w:t>
      </w:r>
      <w:r w:rsidRPr="00F37527">
        <w:rPr>
          <w:bCs/>
          <w:color w:val="000000"/>
          <w:sz w:val="22"/>
          <w:szCs w:val="22"/>
          <w:vertAlign w:val="subscript"/>
        </w:rPr>
        <w:sym w:font="Symbol" w:char="F0A5"/>
      </w:r>
      <w:r w:rsidRPr="00F37527">
        <w:rPr>
          <w:bCs/>
          <w:color w:val="000000"/>
          <w:sz w:val="22"/>
          <w:szCs w:val="22"/>
        </w:rPr>
        <w:t xml:space="preserve">) </w:t>
      </w:r>
      <w:proofErr w:type="spellStart"/>
      <w:r w:rsidRPr="00F37527">
        <w:rPr>
          <w:bCs/>
          <w:color w:val="000000"/>
          <w:sz w:val="22"/>
          <w:szCs w:val="22"/>
        </w:rPr>
        <w:t>i</w:t>
      </w:r>
      <w:proofErr w:type="spellEnd"/>
      <w:r w:rsidRPr="00F37527">
        <w:rPr>
          <w:bCs/>
          <w:color w:val="000000"/>
          <w:sz w:val="22"/>
          <w:szCs w:val="22"/>
        </w:rPr>
        <w:t xml:space="preserve"> </w:t>
      </w:r>
      <w:proofErr w:type="spellStart"/>
      <w:r w:rsidRPr="00F37527">
        <w:rPr>
          <w:bCs/>
          <w:color w:val="000000"/>
          <w:sz w:val="22"/>
          <w:szCs w:val="22"/>
        </w:rPr>
        <w:t>smanjenja</w:t>
      </w:r>
      <w:proofErr w:type="spellEnd"/>
      <w:r w:rsidRPr="00F37527">
        <w:rPr>
          <w:bCs/>
          <w:color w:val="000000"/>
          <w:sz w:val="22"/>
          <w:szCs w:val="22"/>
        </w:rPr>
        <w:t xml:space="preserve"> </w:t>
      </w:r>
      <w:proofErr w:type="spellStart"/>
      <w:r w:rsidRPr="00F37527">
        <w:rPr>
          <w:bCs/>
          <w:color w:val="000000"/>
          <w:sz w:val="22"/>
          <w:szCs w:val="22"/>
        </w:rPr>
        <w:t>C</w:t>
      </w:r>
      <w:r w:rsidRPr="00F37527">
        <w:rPr>
          <w:bCs/>
          <w:color w:val="000000"/>
          <w:sz w:val="22"/>
          <w:szCs w:val="22"/>
          <w:vertAlign w:val="subscript"/>
        </w:rPr>
        <w:t>max</w:t>
      </w:r>
      <w:proofErr w:type="spellEnd"/>
      <w:r w:rsidRPr="00F37527">
        <w:rPr>
          <w:bCs/>
          <w:color w:val="000000"/>
          <w:sz w:val="22"/>
          <w:szCs w:val="22"/>
        </w:rPr>
        <w:t xml:space="preserve"> </w:t>
      </w:r>
      <w:proofErr w:type="spellStart"/>
      <w:r w:rsidRPr="00F37527">
        <w:rPr>
          <w:bCs/>
          <w:color w:val="000000"/>
          <w:sz w:val="22"/>
          <w:szCs w:val="22"/>
        </w:rPr>
        <w:t>lamivudina</w:t>
      </w:r>
      <w:proofErr w:type="spellEnd"/>
      <w:r w:rsidRPr="00F37527">
        <w:rPr>
          <w:bCs/>
          <w:color w:val="000000"/>
          <w:sz w:val="22"/>
          <w:szCs w:val="22"/>
        </w:rPr>
        <w:t xml:space="preserve"> od 28%, 52% </w:t>
      </w:r>
      <w:proofErr w:type="spellStart"/>
      <w:r w:rsidRPr="00F37527">
        <w:rPr>
          <w:bCs/>
          <w:color w:val="000000"/>
          <w:sz w:val="22"/>
          <w:szCs w:val="22"/>
        </w:rPr>
        <w:t>i</w:t>
      </w:r>
      <w:proofErr w:type="spellEnd"/>
      <w:r w:rsidRPr="00F37527">
        <w:rPr>
          <w:bCs/>
          <w:color w:val="000000"/>
          <w:sz w:val="22"/>
          <w:szCs w:val="22"/>
        </w:rPr>
        <w:t xml:space="preserve"> 55% </w:t>
      </w:r>
      <w:proofErr w:type="spellStart"/>
      <w:r w:rsidRPr="00F37527">
        <w:rPr>
          <w:bCs/>
          <w:color w:val="000000"/>
          <w:sz w:val="22"/>
          <w:szCs w:val="22"/>
        </w:rPr>
        <w:t>kod</w:t>
      </w:r>
      <w:proofErr w:type="spellEnd"/>
      <w:r w:rsidRPr="00F37527">
        <w:rPr>
          <w:bCs/>
          <w:color w:val="000000"/>
          <w:sz w:val="22"/>
          <w:szCs w:val="22"/>
        </w:rPr>
        <w:t xml:space="preserve"> </w:t>
      </w:r>
      <w:proofErr w:type="spellStart"/>
      <w:r w:rsidRPr="00F37527">
        <w:rPr>
          <w:bCs/>
          <w:color w:val="000000"/>
          <w:sz w:val="22"/>
          <w:szCs w:val="22"/>
        </w:rPr>
        <w:t>odraslih</w:t>
      </w:r>
      <w:proofErr w:type="spellEnd"/>
      <w:r w:rsidRPr="00F37527">
        <w:rPr>
          <w:bCs/>
          <w:color w:val="000000"/>
          <w:sz w:val="22"/>
          <w:szCs w:val="22"/>
        </w:rPr>
        <w:t xml:space="preserve">. </w:t>
      </w:r>
      <w:proofErr w:type="spellStart"/>
      <w:r w:rsidRPr="00F37527">
        <w:rPr>
          <w:bCs/>
          <w:color w:val="000000"/>
          <w:sz w:val="22"/>
          <w:szCs w:val="22"/>
        </w:rPr>
        <w:t>Kada</w:t>
      </w:r>
      <w:proofErr w:type="spellEnd"/>
      <w:r w:rsidRPr="00F37527">
        <w:rPr>
          <w:bCs/>
          <w:color w:val="000000"/>
          <w:sz w:val="22"/>
          <w:szCs w:val="22"/>
        </w:rPr>
        <w:t xml:space="preserve"> je </w:t>
      </w:r>
      <w:proofErr w:type="spellStart"/>
      <w:r w:rsidRPr="00F37527">
        <w:rPr>
          <w:bCs/>
          <w:color w:val="000000"/>
          <w:sz w:val="22"/>
          <w:szCs w:val="22"/>
        </w:rPr>
        <w:t>moguće</w:t>
      </w:r>
      <w:proofErr w:type="spellEnd"/>
      <w:r w:rsidRPr="00F37527">
        <w:rPr>
          <w:bCs/>
          <w:color w:val="000000"/>
          <w:sz w:val="22"/>
          <w:szCs w:val="22"/>
        </w:rPr>
        <w:t xml:space="preserve">, </w:t>
      </w:r>
      <w:proofErr w:type="spellStart"/>
      <w:r w:rsidRPr="00F37527">
        <w:rPr>
          <w:bCs/>
          <w:color w:val="000000"/>
          <w:sz w:val="22"/>
          <w:szCs w:val="22"/>
        </w:rPr>
        <w:t>izbjegavati</w:t>
      </w:r>
      <w:proofErr w:type="spellEnd"/>
      <w:r w:rsidRPr="00F37527">
        <w:rPr>
          <w:bCs/>
          <w:color w:val="000000"/>
          <w:sz w:val="22"/>
          <w:szCs w:val="22"/>
        </w:rPr>
        <w:t xml:space="preserve"> </w:t>
      </w:r>
      <w:proofErr w:type="spellStart"/>
      <w:r w:rsidRPr="00F37527">
        <w:rPr>
          <w:bCs/>
          <w:color w:val="000000"/>
          <w:sz w:val="22"/>
          <w:szCs w:val="22"/>
        </w:rPr>
        <w:t>hroničnu</w:t>
      </w:r>
      <w:proofErr w:type="spellEnd"/>
      <w:r w:rsidRPr="00F37527">
        <w:rPr>
          <w:bCs/>
          <w:color w:val="000000"/>
          <w:sz w:val="22"/>
          <w:szCs w:val="22"/>
        </w:rPr>
        <w:t xml:space="preserve"> </w:t>
      </w:r>
      <w:proofErr w:type="spellStart"/>
      <w:r w:rsidRPr="00F37527">
        <w:rPr>
          <w:bCs/>
          <w:color w:val="000000"/>
          <w:sz w:val="22"/>
          <w:szCs w:val="22"/>
        </w:rPr>
        <w:t>istovremenu</w:t>
      </w:r>
      <w:proofErr w:type="spellEnd"/>
      <w:r w:rsidRPr="00F37527">
        <w:rPr>
          <w:bCs/>
          <w:color w:val="000000"/>
          <w:sz w:val="22"/>
          <w:szCs w:val="22"/>
        </w:rPr>
        <w:t xml:space="preserve"> </w:t>
      </w:r>
      <w:proofErr w:type="spellStart"/>
      <w:r w:rsidRPr="00F37527">
        <w:rPr>
          <w:bCs/>
          <w:color w:val="000000"/>
          <w:sz w:val="22"/>
          <w:szCs w:val="22"/>
        </w:rPr>
        <w:t>primjenu</w:t>
      </w:r>
      <w:proofErr w:type="spellEnd"/>
      <w:r w:rsidRPr="00F37527">
        <w:rPr>
          <w:bCs/>
          <w:color w:val="000000"/>
          <w:sz w:val="22"/>
          <w:szCs w:val="22"/>
        </w:rPr>
        <w:t xml:space="preserve"> </w:t>
      </w:r>
      <w:proofErr w:type="spellStart"/>
      <w:r w:rsidRPr="00F37527">
        <w:rPr>
          <w:bCs/>
          <w:color w:val="000000"/>
          <w:sz w:val="22"/>
          <w:szCs w:val="22"/>
        </w:rPr>
        <w:t>lijeka</w:t>
      </w:r>
      <w:proofErr w:type="spellEnd"/>
      <w:r w:rsidRPr="00F37527">
        <w:rPr>
          <w:bCs/>
          <w:color w:val="000000"/>
          <w:sz w:val="22"/>
          <w:szCs w:val="22"/>
        </w:rPr>
        <w:t xml:space="preserve"> </w:t>
      </w:r>
      <w:proofErr w:type="spellStart"/>
      <w:r w:rsidRPr="00F37527">
        <w:rPr>
          <w:bCs/>
          <w:color w:val="000000"/>
          <w:sz w:val="22"/>
          <w:szCs w:val="22"/>
        </w:rPr>
        <w:t>ZEFFIX</w:t>
      </w:r>
      <w:proofErr w:type="spellEnd"/>
      <w:r w:rsidRPr="00F37527">
        <w:rPr>
          <w:bCs/>
          <w:color w:val="000000"/>
          <w:sz w:val="22"/>
          <w:szCs w:val="22"/>
        </w:rPr>
        <w:t xml:space="preserve"> </w:t>
      </w:r>
      <w:proofErr w:type="spellStart"/>
      <w:proofErr w:type="gramStart"/>
      <w:r w:rsidRPr="00F37527">
        <w:rPr>
          <w:bCs/>
          <w:color w:val="000000"/>
          <w:sz w:val="22"/>
          <w:szCs w:val="22"/>
        </w:rPr>
        <w:t>sa</w:t>
      </w:r>
      <w:proofErr w:type="spellEnd"/>
      <w:proofErr w:type="gramEnd"/>
      <w:r w:rsidRPr="00F37527">
        <w:rPr>
          <w:bCs/>
          <w:color w:val="000000"/>
          <w:sz w:val="22"/>
          <w:szCs w:val="22"/>
        </w:rPr>
        <w:t xml:space="preserve"> </w:t>
      </w:r>
      <w:proofErr w:type="spellStart"/>
      <w:r w:rsidRPr="00F37527">
        <w:rPr>
          <w:bCs/>
          <w:color w:val="000000"/>
          <w:sz w:val="22"/>
          <w:szCs w:val="22"/>
        </w:rPr>
        <w:t>ljekovima</w:t>
      </w:r>
      <w:proofErr w:type="spellEnd"/>
      <w:r w:rsidRPr="00F37527">
        <w:rPr>
          <w:bCs/>
          <w:color w:val="000000"/>
          <w:sz w:val="22"/>
          <w:szCs w:val="22"/>
        </w:rPr>
        <w:t xml:space="preserve"> </w:t>
      </w:r>
      <w:proofErr w:type="spellStart"/>
      <w:r w:rsidRPr="00F37527">
        <w:rPr>
          <w:bCs/>
          <w:color w:val="000000"/>
          <w:sz w:val="22"/>
          <w:szCs w:val="22"/>
        </w:rPr>
        <w:t>koji</w:t>
      </w:r>
      <w:proofErr w:type="spellEnd"/>
      <w:r w:rsidRPr="00F37527">
        <w:rPr>
          <w:bCs/>
          <w:color w:val="000000"/>
          <w:sz w:val="22"/>
          <w:szCs w:val="22"/>
        </w:rPr>
        <w:t xml:space="preserve"> </w:t>
      </w:r>
      <w:proofErr w:type="spellStart"/>
      <w:r w:rsidRPr="00F37527">
        <w:rPr>
          <w:bCs/>
          <w:color w:val="000000"/>
          <w:sz w:val="22"/>
          <w:szCs w:val="22"/>
        </w:rPr>
        <w:t>sadrže</w:t>
      </w:r>
      <w:proofErr w:type="spellEnd"/>
      <w:r w:rsidRPr="00F37527">
        <w:rPr>
          <w:bCs/>
          <w:color w:val="000000"/>
          <w:sz w:val="22"/>
          <w:szCs w:val="22"/>
        </w:rPr>
        <w:t xml:space="preserve"> sorbitol </w:t>
      </w:r>
      <w:proofErr w:type="spellStart"/>
      <w:r w:rsidRPr="00F37527">
        <w:rPr>
          <w:bCs/>
          <w:color w:val="000000"/>
          <w:sz w:val="22"/>
          <w:szCs w:val="22"/>
        </w:rPr>
        <w:t>ili</w:t>
      </w:r>
      <w:proofErr w:type="spellEnd"/>
      <w:r w:rsidRPr="00F37527">
        <w:rPr>
          <w:bCs/>
          <w:color w:val="000000"/>
          <w:sz w:val="22"/>
          <w:szCs w:val="22"/>
        </w:rPr>
        <w:t xml:space="preserve"> </w:t>
      </w:r>
      <w:proofErr w:type="spellStart"/>
      <w:r w:rsidRPr="00F37527">
        <w:rPr>
          <w:bCs/>
          <w:color w:val="000000"/>
          <w:sz w:val="22"/>
          <w:szCs w:val="22"/>
        </w:rPr>
        <w:t>druge</w:t>
      </w:r>
      <w:proofErr w:type="spellEnd"/>
      <w:r w:rsidRPr="00F37527">
        <w:rPr>
          <w:bCs/>
          <w:color w:val="000000"/>
          <w:sz w:val="22"/>
          <w:szCs w:val="22"/>
        </w:rPr>
        <w:t xml:space="preserve"> </w:t>
      </w:r>
      <w:proofErr w:type="spellStart"/>
      <w:r w:rsidRPr="00F37527">
        <w:rPr>
          <w:bCs/>
          <w:color w:val="000000"/>
          <w:sz w:val="22"/>
          <w:szCs w:val="22"/>
        </w:rPr>
        <w:t>osmotski</w:t>
      </w:r>
      <w:proofErr w:type="spellEnd"/>
      <w:r w:rsidRPr="00F37527">
        <w:rPr>
          <w:bCs/>
          <w:color w:val="000000"/>
          <w:sz w:val="22"/>
          <w:szCs w:val="22"/>
        </w:rPr>
        <w:t xml:space="preserve"> </w:t>
      </w:r>
      <w:proofErr w:type="spellStart"/>
      <w:r w:rsidRPr="00F37527">
        <w:rPr>
          <w:bCs/>
          <w:color w:val="000000"/>
          <w:sz w:val="22"/>
          <w:szCs w:val="22"/>
        </w:rPr>
        <w:t>aktivne</w:t>
      </w:r>
      <w:proofErr w:type="spellEnd"/>
      <w:r w:rsidRPr="00F37527">
        <w:rPr>
          <w:bCs/>
          <w:color w:val="000000"/>
          <w:sz w:val="22"/>
          <w:szCs w:val="22"/>
        </w:rPr>
        <w:t xml:space="preserve"> </w:t>
      </w:r>
      <w:proofErr w:type="spellStart"/>
      <w:r w:rsidRPr="00F37527">
        <w:rPr>
          <w:bCs/>
          <w:color w:val="000000"/>
          <w:sz w:val="22"/>
          <w:szCs w:val="22"/>
        </w:rPr>
        <w:t>polialkohole</w:t>
      </w:r>
      <w:proofErr w:type="spellEnd"/>
      <w:r w:rsidRPr="00F37527">
        <w:rPr>
          <w:bCs/>
          <w:color w:val="000000"/>
          <w:sz w:val="22"/>
          <w:szCs w:val="22"/>
        </w:rPr>
        <w:t xml:space="preserve"> </w:t>
      </w:r>
      <w:proofErr w:type="spellStart"/>
      <w:r w:rsidRPr="00F37527">
        <w:rPr>
          <w:bCs/>
          <w:color w:val="000000"/>
          <w:sz w:val="22"/>
          <w:szCs w:val="22"/>
        </w:rPr>
        <w:t>ili</w:t>
      </w:r>
      <w:proofErr w:type="spellEnd"/>
      <w:r w:rsidRPr="00F37527">
        <w:rPr>
          <w:bCs/>
          <w:color w:val="000000"/>
          <w:sz w:val="22"/>
          <w:szCs w:val="22"/>
        </w:rPr>
        <w:t xml:space="preserve"> </w:t>
      </w:r>
      <w:proofErr w:type="spellStart"/>
      <w:r w:rsidRPr="00F37527">
        <w:rPr>
          <w:bCs/>
          <w:color w:val="000000"/>
          <w:sz w:val="22"/>
          <w:szCs w:val="22"/>
        </w:rPr>
        <w:t>monosaharidne</w:t>
      </w:r>
      <w:proofErr w:type="spellEnd"/>
      <w:r w:rsidRPr="00F37527">
        <w:rPr>
          <w:bCs/>
          <w:color w:val="000000"/>
          <w:sz w:val="22"/>
          <w:szCs w:val="22"/>
        </w:rPr>
        <w:t xml:space="preserve"> </w:t>
      </w:r>
      <w:proofErr w:type="spellStart"/>
      <w:r w:rsidRPr="00F37527">
        <w:rPr>
          <w:bCs/>
          <w:color w:val="000000"/>
          <w:sz w:val="22"/>
          <w:szCs w:val="22"/>
        </w:rPr>
        <w:t>alkohole</w:t>
      </w:r>
      <w:proofErr w:type="spellEnd"/>
      <w:r w:rsidRPr="00F37527">
        <w:rPr>
          <w:bCs/>
          <w:color w:val="000000"/>
          <w:sz w:val="22"/>
          <w:szCs w:val="22"/>
        </w:rPr>
        <w:t xml:space="preserve"> (</w:t>
      </w:r>
      <w:proofErr w:type="spellStart"/>
      <w:r w:rsidRPr="00F37527">
        <w:rPr>
          <w:bCs/>
          <w:color w:val="000000"/>
          <w:sz w:val="22"/>
          <w:szCs w:val="22"/>
        </w:rPr>
        <w:t>npr</w:t>
      </w:r>
      <w:proofErr w:type="spellEnd"/>
      <w:r w:rsidRPr="00F37527">
        <w:rPr>
          <w:bCs/>
          <w:color w:val="000000"/>
          <w:sz w:val="22"/>
          <w:szCs w:val="22"/>
        </w:rPr>
        <w:t xml:space="preserve">. </w:t>
      </w:r>
      <w:proofErr w:type="spellStart"/>
      <w:r w:rsidRPr="00F37527">
        <w:rPr>
          <w:bCs/>
          <w:color w:val="000000"/>
          <w:sz w:val="22"/>
          <w:szCs w:val="22"/>
        </w:rPr>
        <w:t>ksilitol</w:t>
      </w:r>
      <w:proofErr w:type="spellEnd"/>
      <w:r w:rsidRPr="00F37527">
        <w:rPr>
          <w:bCs/>
          <w:color w:val="000000"/>
          <w:sz w:val="22"/>
          <w:szCs w:val="22"/>
        </w:rPr>
        <w:t xml:space="preserve">, </w:t>
      </w:r>
      <w:proofErr w:type="spellStart"/>
      <w:r w:rsidRPr="00F37527">
        <w:rPr>
          <w:bCs/>
          <w:color w:val="000000"/>
          <w:sz w:val="22"/>
          <w:szCs w:val="22"/>
        </w:rPr>
        <w:t>manitol</w:t>
      </w:r>
      <w:proofErr w:type="spellEnd"/>
      <w:r w:rsidRPr="00F37527">
        <w:rPr>
          <w:bCs/>
          <w:color w:val="000000"/>
          <w:sz w:val="22"/>
          <w:szCs w:val="22"/>
        </w:rPr>
        <w:t xml:space="preserve">, </w:t>
      </w:r>
      <w:proofErr w:type="spellStart"/>
      <w:r w:rsidRPr="00F37527">
        <w:rPr>
          <w:bCs/>
          <w:color w:val="000000"/>
          <w:sz w:val="22"/>
          <w:szCs w:val="22"/>
        </w:rPr>
        <w:t>laktitol</w:t>
      </w:r>
      <w:proofErr w:type="spellEnd"/>
      <w:r w:rsidRPr="00F37527">
        <w:rPr>
          <w:bCs/>
          <w:color w:val="000000"/>
          <w:sz w:val="22"/>
          <w:szCs w:val="22"/>
        </w:rPr>
        <w:t xml:space="preserve">, </w:t>
      </w:r>
      <w:proofErr w:type="spellStart"/>
      <w:r w:rsidRPr="00F37527">
        <w:rPr>
          <w:bCs/>
          <w:color w:val="000000"/>
          <w:sz w:val="22"/>
          <w:szCs w:val="22"/>
        </w:rPr>
        <w:t>maltitol</w:t>
      </w:r>
      <w:proofErr w:type="spellEnd"/>
      <w:r w:rsidRPr="00F37527">
        <w:rPr>
          <w:bCs/>
          <w:color w:val="000000"/>
          <w:sz w:val="22"/>
          <w:szCs w:val="22"/>
        </w:rPr>
        <w:t xml:space="preserve">). U </w:t>
      </w:r>
      <w:proofErr w:type="spellStart"/>
      <w:r w:rsidRPr="00F37527">
        <w:rPr>
          <w:bCs/>
          <w:color w:val="000000"/>
          <w:sz w:val="22"/>
          <w:szCs w:val="22"/>
        </w:rPr>
        <w:t>slučajevima</w:t>
      </w:r>
      <w:proofErr w:type="spellEnd"/>
      <w:r w:rsidRPr="00F37527">
        <w:rPr>
          <w:bCs/>
          <w:color w:val="000000"/>
          <w:sz w:val="22"/>
          <w:szCs w:val="22"/>
        </w:rPr>
        <w:t xml:space="preserve"> </w:t>
      </w:r>
      <w:proofErr w:type="spellStart"/>
      <w:r w:rsidRPr="00F37527">
        <w:rPr>
          <w:bCs/>
          <w:color w:val="000000"/>
          <w:sz w:val="22"/>
          <w:szCs w:val="22"/>
        </w:rPr>
        <w:t>kada</w:t>
      </w:r>
      <w:proofErr w:type="spellEnd"/>
      <w:r w:rsidRPr="00F37527">
        <w:rPr>
          <w:bCs/>
          <w:color w:val="000000"/>
          <w:sz w:val="22"/>
          <w:szCs w:val="22"/>
        </w:rPr>
        <w:t xml:space="preserve"> se </w:t>
      </w:r>
      <w:proofErr w:type="spellStart"/>
      <w:r w:rsidRPr="00F37527">
        <w:rPr>
          <w:bCs/>
          <w:color w:val="000000"/>
          <w:sz w:val="22"/>
          <w:szCs w:val="22"/>
        </w:rPr>
        <w:t>navedena</w:t>
      </w:r>
      <w:proofErr w:type="spellEnd"/>
      <w:r w:rsidRPr="00F37527">
        <w:rPr>
          <w:bCs/>
          <w:color w:val="000000"/>
          <w:sz w:val="22"/>
          <w:szCs w:val="22"/>
        </w:rPr>
        <w:t xml:space="preserve"> </w:t>
      </w:r>
      <w:proofErr w:type="spellStart"/>
      <w:r w:rsidRPr="00F37527">
        <w:rPr>
          <w:bCs/>
          <w:color w:val="000000"/>
          <w:sz w:val="22"/>
          <w:szCs w:val="22"/>
        </w:rPr>
        <w:t>hronična</w:t>
      </w:r>
      <w:proofErr w:type="spellEnd"/>
      <w:r w:rsidRPr="00F37527">
        <w:rPr>
          <w:bCs/>
          <w:color w:val="000000"/>
          <w:sz w:val="22"/>
          <w:szCs w:val="22"/>
        </w:rPr>
        <w:t xml:space="preserve"> </w:t>
      </w:r>
      <w:proofErr w:type="spellStart"/>
      <w:r w:rsidRPr="00F37527">
        <w:rPr>
          <w:bCs/>
          <w:color w:val="000000"/>
          <w:sz w:val="22"/>
          <w:szCs w:val="22"/>
        </w:rPr>
        <w:t>istovremena</w:t>
      </w:r>
      <w:proofErr w:type="spellEnd"/>
      <w:r w:rsidRPr="00F37527">
        <w:rPr>
          <w:bCs/>
          <w:color w:val="000000"/>
          <w:sz w:val="22"/>
          <w:szCs w:val="22"/>
        </w:rPr>
        <w:t xml:space="preserve"> </w:t>
      </w:r>
      <w:proofErr w:type="spellStart"/>
      <w:r w:rsidRPr="00F37527">
        <w:rPr>
          <w:bCs/>
          <w:color w:val="000000"/>
          <w:sz w:val="22"/>
          <w:szCs w:val="22"/>
        </w:rPr>
        <w:t>primjena</w:t>
      </w:r>
      <w:proofErr w:type="spellEnd"/>
      <w:r w:rsidRPr="00F37527">
        <w:rPr>
          <w:bCs/>
          <w:color w:val="000000"/>
          <w:sz w:val="22"/>
          <w:szCs w:val="22"/>
        </w:rPr>
        <w:t xml:space="preserve"> ne </w:t>
      </w:r>
      <w:proofErr w:type="spellStart"/>
      <w:r w:rsidRPr="00F37527">
        <w:rPr>
          <w:bCs/>
          <w:color w:val="000000"/>
          <w:sz w:val="22"/>
          <w:szCs w:val="22"/>
        </w:rPr>
        <w:t>može</w:t>
      </w:r>
      <w:proofErr w:type="spellEnd"/>
      <w:r w:rsidRPr="00F37527">
        <w:rPr>
          <w:bCs/>
          <w:color w:val="000000"/>
          <w:sz w:val="22"/>
          <w:szCs w:val="22"/>
        </w:rPr>
        <w:t xml:space="preserve"> </w:t>
      </w:r>
      <w:proofErr w:type="spellStart"/>
      <w:r w:rsidRPr="00F37527">
        <w:rPr>
          <w:bCs/>
          <w:color w:val="000000"/>
          <w:sz w:val="22"/>
          <w:szCs w:val="22"/>
        </w:rPr>
        <w:t>izbjeći</w:t>
      </w:r>
      <w:proofErr w:type="spellEnd"/>
      <w:r w:rsidRPr="00F37527">
        <w:rPr>
          <w:bCs/>
          <w:color w:val="000000"/>
          <w:sz w:val="22"/>
          <w:szCs w:val="22"/>
        </w:rPr>
        <w:t xml:space="preserve">, </w:t>
      </w:r>
      <w:proofErr w:type="spellStart"/>
      <w:r w:rsidRPr="00F37527">
        <w:rPr>
          <w:bCs/>
          <w:color w:val="000000"/>
          <w:sz w:val="22"/>
          <w:szCs w:val="22"/>
        </w:rPr>
        <w:t>potrebno</w:t>
      </w:r>
      <w:proofErr w:type="spellEnd"/>
      <w:r w:rsidRPr="00F37527">
        <w:rPr>
          <w:bCs/>
          <w:color w:val="000000"/>
          <w:sz w:val="22"/>
          <w:szCs w:val="22"/>
        </w:rPr>
        <w:t xml:space="preserve"> je </w:t>
      </w:r>
      <w:proofErr w:type="spellStart"/>
      <w:r w:rsidRPr="00F37527">
        <w:rPr>
          <w:bCs/>
          <w:color w:val="000000"/>
          <w:sz w:val="22"/>
          <w:szCs w:val="22"/>
        </w:rPr>
        <w:t>uzeti</w:t>
      </w:r>
      <w:proofErr w:type="spellEnd"/>
      <w:r w:rsidRPr="00F37527">
        <w:rPr>
          <w:bCs/>
          <w:color w:val="000000"/>
          <w:sz w:val="22"/>
          <w:szCs w:val="22"/>
        </w:rPr>
        <w:t xml:space="preserve"> u </w:t>
      </w:r>
      <w:proofErr w:type="spellStart"/>
      <w:r w:rsidRPr="00F37527">
        <w:rPr>
          <w:bCs/>
          <w:color w:val="000000"/>
          <w:sz w:val="22"/>
          <w:szCs w:val="22"/>
        </w:rPr>
        <w:t>obzir</w:t>
      </w:r>
      <w:proofErr w:type="spellEnd"/>
      <w:r w:rsidRPr="00F37527">
        <w:rPr>
          <w:bCs/>
          <w:color w:val="000000"/>
          <w:sz w:val="22"/>
          <w:szCs w:val="22"/>
        </w:rPr>
        <w:t xml:space="preserve"> </w:t>
      </w:r>
      <w:proofErr w:type="spellStart"/>
      <w:r w:rsidRPr="00F37527">
        <w:rPr>
          <w:bCs/>
          <w:color w:val="000000"/>
          <w:sz w:val="22"/>
          <w:szCs w:val="22"/>
        </w:rPr>
        <w:t>češće</w:t>
      </w:r>
      <w:proofErr w:type="spellEnd"/>
      <w:r w:rsidRPr="00F37527">
        <w:rPr>
          <w:bCs/>
          <w:color w:val="000000"/>
          <w:sz w:val="22"/>
          <w:szCs w:val="22"/>
        </w:rPr>
        <w:t xml:space="preserve"> </w:t>
      </w:r>
      <w:proofErr w:type="spellStart"/>
      <w:r w:rsidRPr="00F37527">
        <w:rPr>
          <w:bCs/>
          <w:color w:val="000000"/>
          <w:sz w:val="22"/>
          <w:szCs w:val="22"/>
        </w:rPr>
        <w:t>praćenje</w:t>
      </w:r>
      <w:proofErr w:type="spellEnd"/>
      <w:r w:rsidRPr="00F37527">
        <w:rPr>
          <w:bCs/>
          <w:color w:val="000000"/>
          <w:sz w:val="22"/>
          <w:szCs w:val="22"/>
        </w:rPr>
        <w:t xml:space="preserve"> </w:t>
      </w:r>
      <w:proofErr w:type="spellStart"/>
      <w:r w:rsidRPr="00F37527">
        <w:rPr>
          <w:bCs/>
          <w:color w:val="000000"/>
          <w:sz w:val="22"/>
          <w:szCs w:val="22"/>
        </w:rPr>
        <w:t>nivoa</w:t>
      </w:r>
      <w:proofErr w:type="spellEnd"/>
      <w:r w:rsidRPr="00F37527">
        <w:rPr>
          <w:bCs/>
          <w:color w:val="000000"/>
          <w:sz w:val="22"/>
          <w:szCs w:val="22"/>
        </w:rPr>
        <w:t xml:space="preserve"> HBV </w:t>
      </w:r>
      <w:proofErr w:type="spellStart"/>
      <w:r w:rsidRPr="00F37527">
        <w:rPr>
          <w:bCs/>
          <w:color w:val="000000"/>
          <w:sz w:val="22"/>
          <w:szCs w:val="22"/>
        </w:rPr>
        <w:t>virusa</w:t>
      </w:r>
      <w:proofErr w:type="spellEnd"/>
      <w:r w:rsidRPr="00F37527">
        <w:rPr>
          <w:bCs/>
          <w:color w:val="000000"/>
          <w:sz w:val="22"/>
          <w:szCs w:val="22"/>
        </w:rPr>
        <w:t>.</w:t>
      </w:r>
    </w:p>
    <w:p w14:paraId="18BE86B3" w14:textId="77777777" w:rsidR="0072020E" w:rsidRPr="00F37527" w:rsidRDefault="0072020E" w:rsidP="0076441E">
      <w:pPr>
        <w:tabs>
          <w:tab w:val="left" w:pos="540"/>
          <w:tab w:val="left" w:pos="569"/>
        </w:tabs>
        <w:jc w:val="both"/>
        <w:rPr>
          <w:bCs/>
          <w:sz w:val="22"/>
          <w:szCs w:val="22"/>
        </w:rPr>
      </w:pPr>
    </w:p>
    <w:p w14:paraId="18BE86B4" w14:textId="77777777" w:rsidR="0072020E" w:rsidRPr="00F37527" w:rsidRDefault="0072020E" w:rsidP="0076441E">
      <w:pPr>
        <w:tabs>
          <w:tab w:val="left" w:pos="540"/>
          <w:tab w:val="left" w:pos="569"/>
        </w:tabs>
        <w:jc w:val="both"/>
        <w:rPr>
          <w:b/>
          <w:sz w:val="22"/>
          <w:szCs w:val="22"/>
          <w:lang w:val="sr-Latn-CS"/>
        </w:rPr>
      </w:pPr>
      <w:r w:rsidRPr="00F37527">
        <w:rPr>
          <w:b/>
          <w:bCs/>
          <w:sz w:val="22"/>
          <w:szCs w:val="22"/>
        </w:rPr>
        <w:t xml:space="preserve">4.6. </w:t>
      </w:r>
      <w:r w:rsidR="00480FB1" w:rsidRPr="00F37527">
        <w:rPr>
          <w:b/>
          <w:bCs/>
          <w:sz w:val="22"/>
          <w:szCs w:val="22"/>
        </w:rPr>
        <w:tab/>
      </w:r>
      <w:r w:rsidR="006D20A5" w:rsidRPr="00F37527">
        <w:rPr>
          <w:b/>
          <w:sz w:val="22"/>
          <w:szCs w:val="22"/>
          <w:lang w:val="sr-Latn-CS"/>
        </w:rPr>
        <w:t>Plodnost, trudnoća i dojenje</w:t>
      </w:r>
    </w:p>
    <w:p w14:paraId="18BE86B5" w14:textId="77777777" w:rsidR="002031B3" w:rsidRPr="00F37527" w:rsidRDefault="002031B3" w:rsidP="0076441E">
      <w:pPr>
        <w:tabs>
          <w:tab w:val="left" w:pos="540"/>
          <w:tab w:val="left" w:pos="569"/>
        </w:tabs>
        <w:jc w:val="both"/>
        <w:rPr>
          <w:sz w:val="22"/>
          <w:szCs w:val="22"/>
          <w:u w:val="single"/>
        </w:rPr>
      </w:pPr>
    </w:p>
    <w:p w14:paraId="09B3BB84" w14:textId="77777777" w:rsidR="00CF7738" w:rsidRPr="00F37527" w:rsidRDefault="00CF7738" w:rsidP="0076441E">
      <w:pPr>
        <w:pStyle w:val="Header"/>
        <w:tabs>
          <w:tab w:val="left" w:pos="284"/>
        </w:tabs>
        <w:jc w:val="both"/>
        <w:rPr>
          <w:sz w:val="22"/>
          <w:szCs w:val="22"/>
          <w:u w:val="single"/>
          <w:lang w:val="sl-SI"/>
        </w:rPr>
      </w:pPr>
      <w:r w:rsidRPr="00F37527">
        <w:rPr>
          <w:sz w:val="22"/>
          <w:szCs w:val="22"/>
          <w:u w:val="single"/>
          <w:lang w:val="sl-SI"/>
        </w:rPr>
        <w:t>Trudnoća</w:t>
      </w:r>
    </w:p>
    <w:p w14:paraId="4F2D65C8" w14:textId="77777777" w:rsidR="00CF7738" w:rsidRPr="00F37527" w:rsidRDefault="00CF7738" w:rsidP="0076441E">
      <w:pPr>
        <w:pStyle w:val="Header"/>
        <w:tabs>
          <w:tab w:val="left" w:pos="284"/>
        </w:tabs>
        <w:jc w:val="both"/>
        <w:rPr>
          <w:sz w:val="22"/>
          <w:szCs w:val="22"/>
          <w:u w:val="single"/>
          <w:lang w:val="sl-SI"/>
        </w:rPr>
      </w:pPr>
    </w:p>
    <w:p w14:paraId="1BA697A7" w14:textId="77777777" w:rsidR="00CF7738" w:rsidRPr="00F37527" w:rsidRDefault="00CF7738" w:rsidP="0076441E">
      <w:pPr>
        <w:jc w:val="both"/>
        <w:rPr>
          <w:sz w:val="22"/>
          <w:szCs w:val="22"/>
        </w:rPr>
      </w:pPr>
      <w:r w:rsidRPr="00F37527">
        <w:rPr>
          <w:sz w:val="22"/>
          <w:szCs w:val="22"/>
        </w:rPr>
        <w:t xml:space="preserve">U </w:t>
      </w:r>
      <w:proofErr w:type="spellStart"/>
      <w:r w:rsidRPr="00F37527">
        <w:rPr>
          <w:sz w:val="22"/>
          <w:szCs w:val="22"/>
        </w:rPr>
        <w:t>studijama</w:t>
      </w:r>
      <w:proofErr w:type="spellEnd"/>
      <w:r w:rsidRPr="00F37527">
        <w:rPr>
          <w:sz w:val="22"/>
          <w:szCs w:val="22"/>
        </w:rPr>
        <w:t xml:space="preserve"> </w:t>
      </w:r>
      <w:proofErr w:type="spellStart"/>
      <w:r w:rsidRPr="00F37527">
        <w:rPr>
          <w:sz w:val="22"/>
          <w:szCs w:val="22"/>
        </w:rPr>
        <w:t>sprovedenim</w:t>
      </w:r>
      <w:proofErr w:type="spellEnd"/>
      <w:r w:rsidRPr="00F37527">
        <w:rPr>
          <w:sz w:val="22"/>
          <w:szCs w:val="22"/>
        </w:rPr>
        <w:t xml:space="preserve"> </w:t>
      </w:r>
      <w:proofErr w:type="spellStart"/>
      <w:proofErr w:type="gramStart"/>
      <w:r w:rsidRPr="00F37527">
        <w:rPr>
          <w:sz w:val="22"/>
          <w:szCs w:val="22"/>
        </w:rPr>
        <w:t>na</w:t>
      </w:r>
      <w:proofErr w:type="spellEnd"/>
      <w:proofErr w:type="gramEnd"/>
      <w:r w:rsidRPr="00F37527">
        <w:rPr>
          <w:sz w:val="22"/>
          <w:szCs w:val="22"/>
        </w:rPr>
        <w:t xml:space="preserve"> </w:t>
      </w:r>
      <w:proofErr w:type="spellStart"/>
      <w:r w:rsidRPr="00F37527">
        <w:rPr>
          <w:sz w:val="22"/>
          <w:szCs w:val="22"/>
        </w:rPr>
        <w:t>životinjama</w:t>
      </w:r>
      <w:proofErr w:type="spellEnd"/>
      <w:r w:rsidRPr="00F37527">
        <w:rPr>
          <w:sz w:val="22"/>
          <w:szCs w:val="22"/>
        </w:rPr>
        <w:t xml:space="preserve"> </w:t>
      </w:r>
      <w:proofErr w:type="spellStart"/>
      <w:r w:rsidRPr="00F37527">
        <w:rPr>
          <w:sz w:val="22"/>
          <w:szCs w:val="22"/>
        </w:rPr>
        <w:t>sa</w:t>
      </w:r>
      <w:proofErr w:type="spellEnd"/>
      <w:r w:rsidRPr="00F37527">
        <w:rPr>
          <w:sz w:val="22"/>
          <w:szCs w:val="22"/>
        </w:rPr>
        <w:t xml:space="preserve"> </w:t>
      </w:r>
      <w:proofErr w:type="spellStart"/>
      <w:r w:rsidRPr="00F37527">
        <w:rPr>
          <w:sz w:val="22"/>
          <w:szCs w:val="22"/>
        </w:rPr>
        <w:t>lamivudinom</w:t>
      </w:r>
      <w:proofErr w:type="spellEnd"/>
      <w:r w:rsidRPr="00F37527">
        <w:rPr>
          <w:sz w:val="22"/>
          <w:szCs w:val="22"/>
        </w:rPr>
        <w:t xml:space="preserve">, </w:t>
      </w:r>
      <w:proofErr w:type="spellStart"/>
      <w:r w:rsidRPr="00F37527">
        <w:rPr>
          <w:sz w:val="22"/>
          <w:szCs w:val="22"/>
        </w:rPr>
        <w:t>pokazano</w:t>
      </w:r>
      <w:proofErr w:type="spellEnd"/>
      <w:r w:rsidRPr="00F37527">
        <w:rPr>
          <w:sz w:val="22"/>
          <w:szCs w:val="22"/>
        </w:rPr>
        <w:t xml:space="preserve"> je </w:t>
      </w:r>
      <w:proofErr w:type="spellStart"/>
      <w:r w:rsidRPr="00F37527">
        <w:rPr>
          <w:sz w:val="22"/>
          <w:szCs w:val="22"/>
        </w:rPr>
        <w:t>povećanje</w:t>
      </w:r>
      <w:proofErr w:type="spellEnd"/>
      <w:r w:rsidRPr="00F37527">
        <w:rPr>
          <w:sz w:val="22"/>
          <w:szCs w:val="22"/>
        </w:rPr>
        <w:t xml:space="preserve"> </w:t>
      </w:r>
      <w:proofErr w:type="spellStart"/>
      <w:r w:rsidRPr="00F37527">
        <w:rPr>
          <w:sz w:val="22"/>
          <w:szCs w:val="22"/>
        </w:rPr>
        <w:t>smrtnosti</w:t>
      </w:r>
      <w:proofErr w:type="spellEnd"/>
      <w:r w:rsidRPr="00F37527">
        <w:rPr>
          <w:sz w:val="22"/>
          <w:szCs w:val="22"/>
        </w:rPr>
        <w:t xml:space="preserve"> </w:t>
      </w:r>
      <w:proofErr w:type="spellStart"/>
      <w:r w:rsidRPr="00F37527">
        <w:rPr>
          <w:sz w:val="22"/>
          <w:szCs w:val="22"/>
        </w:rPr>
        <w:t>ranih</w:t>
      </w:r>
      <w:proofErr w:type="spellEnd"/>
      <w:r w:rsidRPr="00F37527">
        <w:rPr>
          <w:sz w:val="22"/>
          <w:szCs w:val="22"/>
        </w:rPr>
        <w:t xml:space="preserve"> </w:t>
      </w:r>
      <w:proofErr w:type="spellStart"/>
      <w:r w:rsidRPr="00F37527">
        <w:rPr>
          <w:sz w:val="22"/>
          <w:szCs w:val="22"/>
        </w:rPr>
        <w:t>embriona</w:t>
      </w:r>
      <w:proofErr w:type="spellEnd"/>
      <w:r w:rsidRPr="00F37527">
        <w:rPr>
          <w:sz w:val="22"/>
          <w:szCs w:val="22"/>
        </w:rPr>
        <w:t xml:space="preserve"> </w:t>
      </w:r>
      <w:proofErr w:type="spellStart"/>
      <w:r w:rsidRPr="00F37527">
        <w:rPr>
          <w:sz w:val="22"/>
          <w:szCs w:val="22"/>
        </w:rPr>
        <w:t>kunića</w:t>
      </w:r>
      <w:proofErr w:type="spellEnd"/>
      <w:r w:rsidRPr="00F37527">
        <w:rPr>
          <w:sz w:val="22"/>
          <w:szCs w:val="22"/>
        </w:rPr>
        <w:t xml:space="preserve">, </w:t>
      </w:r>
      <w:proofErr w:type="spellStart"/>
      <w:r w:rsidRPr="00F37527">
        <w:rPr>
          <w:sz w:val="22"/>
          <w:szCs w:val="22"/>
        </w:rPr>
        <w:t>ali</w:t>
      </w:r>
      <w:proofErr w:type="spellEnd"/>
      <w:r w:rsidRPr="00F37527">
        <w:rPr>
          <w:sz w:val="22"/>
          <w:szCs w:val="22"/>
        </w:rPr>
        <w:t xml:space="preserve"> ne </w:t>
      </w:r>
      <w:proofErr w:type="spellStart"/>
      <w:r w:rsidRPr="00F37527">
        <w:rPr>
          <w:sz w:val="22"/>
          <w:szCs w:val="22"/>
        </w:rPr>
        <w:t>i</w:t>
      </w:r>
      <w:proofErr w:type="spellEnd"/>
      <w:r w:rsidRPr="00F37527">
        <w:rPr>
          <w:sz w:val="22"/>
          <w:szCs w:val="22"/>
        </w:rPr>
        <w:t xml:space="preserve"> </w:t>
      </w:r>
      <w:proofErr w:type="spellStart"/>
      <w:r w:rsidRPr="00F37527">
        <w:rPr>
          <w:sz w:val="22"/>
          <w:szCs w:val="22"/>
        </w:rPr>
        <w:t>pacova</w:t>
      </w:r>
      <w:proofErr w:type="spellEnd"/>
      <w:r w:rsidRPr="00F37527">
        <w:rPr>
          <w:sz w:val="22"/>
          <w:szCs w:val="22"/>
        </w:rPr>
        <w:t xml:space="preserve"> (</w:t>
      </w:r>
      <w:proofErr w:type="spellStart"/>
      <w:r w:rsidRPr="00F37527">
        <w:rPr>
          <w:sz w:val="22"/>
          <w:szCs w:val="22"/>
        </w:rPr>
        <w:t>vidjeti</w:t>
      </w:r>
      <w:proofErr w:type="spellEnd"/>
      <w:r w:rsidRPr="00F37527">
        <w:rPr>
          <w:sz w:val="22"/>
          <w:szCs w:val="22"/>
        </w:rPr>
        <w:t xml:space="preserve"> </w:t>
      </w:r>
      <w:proofErr w:type="spellStart"/>
      <w:r w:rsidRPr="00F37527">
        <w:rPr>
          <w:sz w:val="22"/>
          <w:szCs w:val="22"/>
        </w:rPr>
        <w:t>dio</w:t>
      </w:r>
      <w:proofErr w:type="spellEnd"/>
      <w:r w:rsidRPr="00F37527">
        <w:rPr>
          <w:sz w:val="22"/>
          <w:szCs w:val="22"/>
        </w:rPr>
        <w:t xml:space="preserve"> 5.3). </w:t>
      </w:r>
      <w:proofErr w:type="spellStart"/>
      <w:r w:rsidRPr="00F37527">
        <w:rPr>
          <w:sz w:val="22"/>
          <w:szCs w:val="22"/>
        </w:rPr>
        <w:t>Pokazano</w:t>
      </w:r>
      <w:proofErr w:type="spellEnd"/>
      <w:r w:rsidRPr="00F37527">
        <w:rPr>
          <w:sz w:val="22"/>
          <w:szCs w:val="22"/>
        </w:rPr>
        <w:t xml:space="preserve"> je da se </w:t>
      </w:r>
      <w:proofErr w:type="spellStart"/>
      <w:r w:rsidRPr="00F37527">
        <w:rPr>
          <w:sz w:val="22"/>
          <w:szCs w:val="22"/>
        </w:rPr>
        <w:t>prenos</w:t>
      </w:r>
      <w:proofErr w:type="spellEnd"/>
      <w:r w:rsidRPr="00F37527">
        <w:rPr>
          <w:sz w:val="22"/>
          <w:szCs w:val="22"/>
        </w:rPr>
        <w:t xml:space="preserve"> </w:t>
      </w:r>
      <w:proofErr w:type="spellStart"/>
      <w:r w:rsidRPr="00F37527">
        <w:rPr>
          <w:sz w:val="22"/>
          <w:szCs w:val="22"/>
        </w:rPr>
        <w:t>lamivudina</w:t>
      </w:r>
      <w:proofErr w:type="spellEnd"/>
      <w:r w:rsidRPr="00F37527">
        <w:rPr>
          <w:sz w:val="22"/>
          <w:szCs w:val="22"/>
        </w:rPr>
        <w:t xml:space="preserve"> </w:t>
      </w:r>
      <w:proofErr w:type="spellStart"/>
      <w:r w:rsidRPr="00F37527">
        <w:rPr>
          <w:sz w:val="22"/>
          <w:szCs w:val="22"/>
        </w:rPr>
        <w:t>kroz</w:t>
      </w:r>
      <w:proofErr w:type="spellEnd"/>
      <w:r w:rsidRPr="00F37527">
        <w:rPr>
          <w:sz w:val="22"/>
          <w:szCs w:val="22"/>
        </w:rPr>
        <w:t xml:space="preserve"> </w:t>
      </w:r>
      <w:proofErr w:type="spellStart"/>
      <w:r w:rsidRPr="00F37527">
        <w:rPr>
          <w:sz w:val="22"/>
          <w:szCs w:val="22"/>
        </w:rPr>
        <w:t>placentu</w:t>
      </w:r>
      <w:proofErr w:type="spellEnd"/>
      <w:r w:rsidRPr="00F37527">
        <w:rPr>
          <w:sz w:val="22"/>
          <w:szCs w:val="22"/>
        </w:rPr>
        <w:t xml:space="preserve"> </w:t>
      </w:r>
      <w:proofErr w:type="spellStart"/>
      <w:r w:rsidRPr="00F37527">
        <w:rPr>
          <w:sz w:val="22"/>
          <w:szCs w:val="22"/>
        </w:rPr>
        <w:t>događa</w:t>
      </w:r>
      <w:proofErr w:type="spellEnd"/>
      <w:r w:rsidRPr="00F37527">
        <w:rPr>
          <w:sz w:val="22"/>
          <w:szCs w:val="22"/>
        </w:rPr>
        <w:t xml:space="preserve"> </w:t>
      </w:r>
      <w:proofErr w:type="spellStart"/>
      <w:r w:rsidRPr="00F37527">
        <w:rPr>
          <w:sz w:val="22"/>
          <w:szCs w:val="22"/>
        </w:rPr>
        <w:t>i</w:t>
      </w:r>
      <w:proofErr w:type="spellEnd"/>
      <w:r w:rsidRPr="00F37527">
        <w:rPr>
          <w:sz w:val="22"/>
          <w:szCs w:val="22"/>
        </w:rPr>
        <w:t xml:space="preserve"> </w:t>
      </w:r>
      <w:proofErr w:type="spellStart"/>
      <w:r w:rsidRPr="00F37527">
        <w:rPr>
          <w:sz w:val="22"/>
          <w:szCs w:val="22"/>
        </w:rPr>
        <w:t>kod</w:t>
      </w:r>
      <w:proofErr w:type="spellEnd"/>
      <w:r w:rsidRPr="00F37527">
        <w:rPr>
          <w:sz w:val="22"/>
          <w:szCs w:val="22"/>
        </w:rPr>
        <w:t xml:space="preserve"> </w:t>
      </w:r>
      <w:proofErr w:type="spellStart"/>
      <w:r w:rsidRPr="00F37527">
        <w:rPr>
          <w:sz w:val="22"/>
          <w:szCs w:val="22"/>
        </w:rPr>
        <w:t>ljudi</w:t>
      </w:r>
      <w:proofErr w:type="spellEnd"/>
      <w:r w:rsidRPr="00F37527">
        <w:rPr>
          <w:sz w:val="22"/>
          <w:szCs w:val="22"/>
        </w:rPr>
        <w:t>.</w:t>
      </w:r>
    </w:p>
    <w:p w14:paraId="6114AE05" w14:textId="77777777" w:rsidR="00CF7738" w:rsidRPr="00F37527" w:rsidRDefault="00CF7738" w:rsidP="0076441E">
      <w:pPr>
        <w:jc w:val="both"/>
        <w:rPr>
          <w:sz w:val="22"/>
          <w:szCs w:val="22"/>
        </w:rPr>
      </w:pPr>
    </w:p>
    <w:p w14:paraId="7164D32D" w14:textId="29F614B3" w:rsidR="00CF7738" w:rsidRPr="00F37527" w:rsidRDefault="00CF7738" w:rsidP="0076441E">
      <w:pPr>
        <w:jc w:val="both"/>
        <w:rPr>
          <w:sz w:val="22"/>
          <w:szCs w:val="22"/>
        </w:rPr>
      </w:pPr>
      <w:proofErr w:type="spellStart"/>
      <w:r w:rsidRPr="00F37527">
        <w:rPr>
          <w:sz w:val="22"/>
          <w:szCs w:val="22"/>
        </w:rPr>
        <w:t>Dostupni</w:t>
      </w:r>
      <w:proofErr w:type="spellEnd"/>
      <w:r w:rsidRPr="00F37527">
        <w:rPr>
          <w:sz w:val="22"/>
          <w:szCs w:val="22"/>
        </w:rPr>
        <w:t xml:space="preserve"> </w:t>
      </w:r>
      <w:proofErr w:type="spellStart"/>
      <w:r w:rsidRPr="00F37527">
        <w:rPr>
          <w:sz w:val="22"/>
          <w:szCs w:val="22"/>
        </w:rPr>
        <w:t>podaci</w:t>
      </w:r>
      <w:proofErr w:type="spellEnd"/>
      <w:r w:rsidRPr="00F37527">
        <w:rPr>
          <w:sz w:val="22"/>
          <w:szCs w:val="22"/>
        </w:rPr>
        <w:t xml:space="preserve"> </w:t>
      </w:r>
      <w:proofErr w:type="spellStart"/>
      <w:r w:rsidRPr="00F37527">
        <w:rPr>
          <w:sz w:val="22"/>
          <w:szCs w:val="22"/>
        </w:rPr>
        <w:t>kod</w:t>
      </w:r>
      <w:proofErr w:type="spellEnd"/>
      <w:r w:rsidRPr="00F37527">
        <w:rPr>
          <w:sz w:val="22"/>
          <w:szCs w:val="22"/>
        </w:rPr>
        <w:t xml:space="preserve"> </w:t>
      </w:r>
      <w:proofErr w:type="spellStart"/>
      <w:r w:rsidRPr="00F37527">
        <w:rPr>
          <w:sz w:val="22"/>
          <w:szCs w:val="22"/>
        </w:rPr>
        <w:t>ljudi</w:t>
      </w:r>
      <w:proofErr w:type="spellEnd"/>
      <w:r w:rsidRPr="00F37527">
        <w:rPr>
          <w:sz w:val="22"/>
          <w:szCs w:val="22"/>
        </w:rPr>
        <w:t xml:space="preserve"> </w:t>
      </w:r>
      <w:proofErr w:type="spellStart"/>
      <w:r w:rsidRPr="00F37527">
        <w:rPr>
          <w:sz w:val="22"/>
          <w:szCs w:val="22"/>
        </w:rPr>
        <w:t>iz</w:t>
      </w:r>
      <w:proofErr w:type="spellEnd"/>
      <w:r w:rsidRPr="00F37527">
        <w:rPr>
          <w:sz w:val="22"/>
          <w:szCs w:val="22"/>
        </w:rPr>
        <w:t xml:space="preserve"> </w:t>
      </w:r>
      <w:proofErr w:type="spellStart"/>
      <w:r w:rsidRPr="00F37527">
        <w:rPr>
          <w:sz w:val="22"/>
          <w:szCs w:val="22"/>
        </w:rPr>
        <w:t>registra</w:t>
      </w:r>
      <w:proofErr w:type="spellEnd"/>
      <w:r w:rsidRPr="00F37527">
        <w:rPr>
          <w:sz w:val="22"/>
          <w:szCs w:val="22"/>
        </w:rPr>
        <w:t xml:space="preserve"> </w:t>
      </w:r>
      <w:proofErr w:type="spellStart"/>
      <w:r w:rsidRPr="00F37527">
        <w:rPr>
          <w:sz w:val="22"/>
          <w:szCs w:val="22"/>
        </w:rPr>
        <w:t>trudnoća</w:t>
      </w:r>
      <w:proofErr w:type="spellEnd"/>
      <w:r w:rsidRPr="00F37527">
        <w:rPr>
          <w:sz w:val="22"/>
          <w:szCs w:val="22"/>
        </w:rPr>
        <w:t xml:space="preserve"> u </w:t>
      </w:r>
      <w:proofErr w:type="spellStart"/>
      <w:r w:rsidRPr="00F37527">
        <w:rPr>
          <w:sz w:val="22"/>
          <w:szCs w:val="22"/>
        </w:rPr>
        <w:t>kojima</w:t>
      </w:r>
      <w:proofErr w:type="spellEnd"/>
      <w:r w:rsidRPr="00F37527">
        <w:rPr>
          <w:sz w:val="22"/>
          <w:szCs w:val="22"/>
        </w:rPr>
        <w:t xml:space="preserve"> </w:t>
      </w:r>
      <w:proofErr w:type="spellStart"/>
      <w:r w:rsidRPr="00F37527">
        <w:rPr>
          <w:sz w:val="22"/>
          <w:szCs w:val="22"/>
        </w:rPr>
        <w:t>su</w:t>
      </w:r>
      <w:proofErr w:type="spellEnd"/>
      <w:r w:rsidRPr="00F37527">
        <w:rPr>
          <w:sz w:val="22"/>
          <w:szCs w:val="22"/>
        </w:rPr>
        <w:t xml:space="preserve"> </w:t>
      </w:r>
      <w:proofErr w:type="spellStart"/>
      <w:r w:rsidRPr="00F37527">
        <w:rPr>
          <w:sz w:val="22"/>
          <w:szCs w:val="22"/>
        </w:rPr>
        <w:t>primjenjivani</w:t>
      </w:r>
      <w:proofErr w:type="spellEnd"/>
      <w:r w:rsidRPr="00F37527">
        <w:rPr>
          <w:sz w:val="22"/>
          <w:szCs w:val="22"/>
        </w:rPr>
        <w:t xml:space="preserve"> </w:t>
      </w:r>
      <w:proofErr w:type="spellStart"/>
      <w:r w:rsidRPr="00F37527">
        <w:rPr>
          <w:sz w:val="22"/>
          <w:szCs w:val="22"/>
        </w:rPr>
        <w:t>antiretrovirusni</w:t>
      </w:r>
      <w:proofErr w:type="spellEnd"/>
      <w:r w:rsidRPr="00F37527">
        <w:rPr>
          <w:sz w:val="22"/>
          <w:szCs w:val="22"/>
        </w:rPr>
        <w:t xml:space="preserve"> </w:t>
      </w:r>
      <w:proofErr w:type="spellStart"/>
      <w:r w:rsidRPr="00F37527">
        <w:rPr>
          <w:sz w:val="22"/>
          <w:szCs w:val="22"/>
        </w:rPr>
        <w:t>ljekovi</w:t>
      </w:r>
      <w:proofErr w:type="spellEnd"/>
      <w:r w:rsidRPr="00F37527">
        <w:rPr>
          <w:sz w:val="22"/>
          <w:szCs w:val="22"/>
        </w:rPr>
        <w:t xml:space="preserve"> </w:t>
      </w:r>
      <w:proofErr w:type="spellStart"/>
      <w:r w:rsidRPr="00F37527">
        <w:rPr>
          <w:sz w:val="22"/>
          <w:szCs w:val="22"/>
        </w:rPr>
        <w:t>su</w:t>
      </w:r>
      <w:proofErr w:type="spellEnd"/>
      <w:r w:rsidRPr="00F37527">
        <w:rPr>
          <w:sz w:val="22"/>
          <w:szCs w:val="22"/>
        </w:rPr>
        <w:t xml:space="preserve"> </w:t>
      </w:r>
      <w:proofErr w:type="spellStart"/>
      <w:r w:rsidRPr="00F37527">
        <w:rPr>
          <w:sz w:val="22"/>
          <w:szCs w:val="22"/>
        </w:rPr>
        <w:t>pokazali</w:t>
      </w:r>
      <w:proofErr w:type="spellEnd"/>
      <w:r w:rsidRPr="00F37527">
        <w:rPr>
          <w:sz w:val="22"/>
          <w:szCs w:val="22"/>
        </w:rPr>
        <w:t xml:space="preserve"> </w:t>
      </w:r>
      <w:proofErr w:type="spellStart"/>
      <w:r w:rsidRPr="00F37527">
        <w:rPr>
          <w:sz w:val="22"/>
          <w:szCs w:val="22"/>
        </w:rPr>
        <w:t>više</w:t>
      </w:r>
      <w:proofErr w:type="spellEnd"/>
      <w:r w:rsidRPr="00F37527">
        <w:rPr>
          <w:sz w:val="22"/>
          <w:szCs w:val="22"/>
        </w:rPr>
        <w:t xml:space="preserve"> </w:t>
      </w:r>
      <w:proofErr w:type="gramStart"/>
      <w:r w:rsidRPr="00F37527">
        <w:rPr>
          <w:sz w:val="22"/>
          <w:szCs w:val="22"/>
        </w:rPr>
        <w:t>od</w:t>
      </w:r>
      <w:proofErr w:type="gramEnd"/>
      <w:r w:rsidRPr="00F37527">
        <w:rPr>
          <w:sz w:val="22"/>
          <w:szCs w:val="22"/>
        </w:rPr>
        <w:t xml:space="preserve"> 1000 </w:t>
      </w:r>
      <w:proofErr w:type="spellStart"/>
      <w:r w:rsidRPr="00F37527">
        <w:rPr>
          <w:sz w:val="22"/>
          <w:szCs w:val="22"/>
        </w:rPr>
        <w:t>ishoda</w:t>
      </w:r>
      <w:proofErr w:type="spellEnd"/>
      <w:r w:rsidRPr="00F37527">
        <w:rPr>
          <w:sz w:val="22"/>
          <w:szCs w:val="22"/>
        </w:rPr>
        <w:t xml:space="preserve"> </w:t>
      </w:r>
      <w:proofErr w:type="spellStart"/>
      <w:r w:rsidRPr="00F37527">
        <w:rPr>
          <w:sz w:val="22"/>
          <w:szCs w:val="22"/>
        </w:rPr>
        <w:t>iz</w:t>
      </w:r>
      <w:proofErr w:type="spellEnd"/>
      <w:r w:rsidRPr="00F37527">
        <w:rPr>
          <w:sz w:val="22"/>
          <w:szCs w:val="22"/>
        </w:rPr>
        <w:t xml:space="preserve"> </w:t>
      </w:r>
      <w:proofErr w:type="spellStart"/>
      <w:r w:rsidRPr="00F37527">
        <w:rPr>
          <w:sz w:val="22"/>
          <w:szCs w:val="22"/>
        </w:rPr>
        <w:t>prvog</w:t>
      </w:r>
      <w:proofErr w:type="spellEnd"/>
      <w:r w:rsidRPr="00F37527">
        <w:rPr>
          <w:sz w:val="22"/>
          <w:szCs w:val="22"/>
        </w:rPr>
        <w:t xml:space="preserve"> </w:t>
      </w:r>
      <w:proofErr w:type="spellStart"/>
      <w:r w:rsidRPr="00F37527">
        <w:rPr>
          <w:sz w:val="22"/>
          <w:szCs w:val="22"/>
        </w:rPr>
        <w:t>trimestra</w:t>
      </w:r>
      <w:proofErr w:type="spellEnd"/>
      <w:r w:rsidRPr="00F37527">
        <w:rPr>
          <w:sz w:val="22"/>
          <w:szCs w:val="22"/>
        </w:rPr>
        <w:t xml:space="preserve"> </w:t>
      </w:r>
      <w:proofErr w:type="spellStart"/>
      <w:r w:rsidRPr="00F37527">
        <w:rPr>
          <w:sz w:val="22"/>
          <w:szCs w:val="22"/>
        </w:rPr>
        <w:t>i</w:t>
      </w:r>
      <w:proofErr w:type="spellEnd"/>
      <w:r w:rsidRPr="00F37527">
        <w:rPr>
          <w:sz w:val="22"/>
          <w:szCs w:val="22"/>
        </w:rPr>
        <w:t xml:space="preserve"> </w:t>
      </w:r>
      <w:proofErr w:type="spellStart"/>
      <w:r w:rsidRPr="00F37527">
        <w:rPr>
          <w:sz w:val="22"/>
          <w:szCs w:val="22"/>
        </w:rPr>
        <w:t>više</w:t>
      </w:r>
      <w:proofErr w:type="spellEnd"/>
      <w:r w:rsidRPr="00F37527">
        <w:rPr>
          <w:sz w:val="22"/>
          <w:szCs w:val="22"/>
        </w:rPr>
        <w:t xml:space="preserve"> od 1000 </w:t>
      </w:r>
      <w:proofErr w:type="spellStart"/>
      <w:r w:rsidRPr="00F37527">
        <w:rPr>
          <w:sz w:val="22"/>
          <w:szCs w:val="22"/>
        </w:rPr>
        <w:t>ishoda</w:t>
      </w:r>
      <w:proofErr w:type="spellEnd"/>
      <w:r w:rsidR="002D30C2" w:rsidRPr="00F37527">
        <w:rPr>
          <w:sz w:val="22"/>
          <w:szCs w:val="22"/>
        </w:rPr>
        <w:t xml:space="preserve"> </w:t>
      </w:r>
      <w:proofErr w:type="spellStart"/>
      <w:r w:rsidR="002D30C2" w:rsidRPr="00F37527">
        <w:rPr>
          <w:sz w:val="22"/>
          <w:szCs w:val="22"/>
        </w:rPr>
        <w:t>nakon</w:t>
      </w:r>
      <w:proofErr w:type="spellEnd"/>
      <w:r w:rsidRPr="00F37527">
        <w:rPr>
          <w:sz w:val="22"/>
          <w:szCs w:val="22"/>
        </w:rPr>
        <w:t xml:space="preserve"> </w:t>
      </w:r>
      <w:proofErr w:type="spellStart"/>
      <w:r w:rsidRPr="00F37527">
        <w:rPr>
          <w:sz w:val="22"/>
          <w:szCs w:val="22"/>
        </w:rPr>
        <w:t>izloženosti</w:t>
      </w:r>
      <w:proofErr w:type="spellEnd"/>
      <w:r w:rsidRPr="00F37527">
        <w:rPr>
          <w:sz w:val="22"/>
          <w:szCs w:val="22"/>
        </w:rPr>
        <w:t xml:space="preserve"> </w:t>
      </w:r>
      <w:proofErr w:type="spellStart"/>
      <w:r w:rsidRPr="00F37527">
        <w:rPr>
          <w:sz w:val="22"/>
          <w:szCs w:val="22"/>
        </w:rPr>
        <w:t>iz</w:t>
      </w:r>
      <w:proofErr w:type="spellEnd"/>
      <w:r w:rsidRPr="00F37527">
        <w:rPr>
          <w:sz w:val="22"/>
          <w:szCs w:val="22"/>
        </w:rPr>
        <w:t xml:space="preserve"> </w:t>
      </w:r>
      <w:proofErr w:type="spellStart"/>
      <w:r w:rsidRPr="00F37527">
        <w:rPr>
          <w:sz w:val="22"/>
          <w:szCs w:val="22"/>
        </w:rPr>
        <w:t>drugog</w:t>
      </w:r>
      <w:proofErr w:type="spellEnd"/>
      <w:r w:rsidRPr="00F37527">
        <w:rPr>
          <w:sz w:val="22"/>
          <w:szCs w:val="22"/>
        </w:rPr>
        <w:t xml:space="preserve"> </w:t>
      </w:r>
      <w:proofErr w:type="spellStart"/>
      <w:r w:rsidRPr="00F37527">
        <w:rPr>
          <w:sz w:val="22"/>
          <w:szCs w:val="22"/>
        </w:rPr>
        <w:t>i</w:t>
      </w:r>
      <w:proofErr w:type="spellEnd"/>
      <w:r w:rsidRPr="00F37527">
        <w:rPr>
          <w:sz w:val="22"/>
          <w:szCs w:val="22"/>
        </w:rPr>
        <w:t xml:space="preserve"> </w:t>
      </w:r>
      <w:proofErr w:type="spellStart"/>
      <w:r w:rsidRPr="00F37527">
        <w:rPr>
          <w:sz w:val="22"/>
          <w:szCs w:val="22"/>
        </w:rPr>
        <w:t>trećeg</w:t>
      </w:r>
      <w:proofErr w:type="spellEnd"/>
      <w:r w:rsidRPr="00F37527">
        <w:rPr>
          <w:sz w:val="22"/>
          <w:szCs w:val="22"/>
        </w:rPr>
        <w:t xml:space="preserve"> </w:t>
      </w:r>
      <w:proofErr w:type="spellStart"/>
      <w:r w:rsidRPr="00F37527">
        <w:rPr>
          <w:sz w:val="22"/>
          <w:szCs w:val="22"/>
        </w:rPr>
        <w:t>trimestra</w:t>
      </w:r>
      <w:proofErr w:type="spellEnd"/>
      <w:r w:rsidRPr="00F37527">
        <w:rPr>
          <w:sz w:val="22"/>
          <w:szCs w:val="22"/>
        </w:rPr>
        <w:t xml:space="preserve"> </w:t>
      </w:r>
      <w:proofErr w:type="spellStart"/>
      <w:r w:rsidRPr="00F37527">
        <w:rPr>
          <w:sz w:val="22"/>
          <w:szCs w:val="22"/>
        </w:rPr>
        <w:t>kod</w:t>
      </w:r>
      <w:proofErr w:type="spellEnd"/>
      <w:r w:rsidRPr="00F37527">
        <w:rPr>
          <w:sz w:val="22"/>
          <w:szCs w:val="22"/>
        </w:rPr>
        <w:t xml:space="preserve"> </w:t>
      </w:r>
      <w:proofErr w:type="spellStart"/>
      <w:r w:rsidRPr="00F37527">
        <w:rPr>
          <w:sz w:val="22"/>
          <w:szCs w:val="22"/>
        </w:rPr>
        <w:t>trudnica</w:t>
      </w:r>
      <w:proofErr w:type="spellEnd"/>
      <w:r w:rsidRPr="00F37527">
        <w:rPr>
          <w:sz w:val="22"/>
          <w:szCs w:val="22"/>
        </w:rPr>
        <w:t xml:space="preserve">, </w:t>
      </w:r>
      <w:proofErr w:type="spellStart"/>
      <w:r w:rsidRPr="00F37527">
        <w:rPr>
          <w:sz w:val="22"/>
          <w:szCs w:val="22"/>
        </w:rPr>
        <w:t>koji</w:t>
      </w:r>
      <w:proofErr w:type="spellEnd"/>
      <w:r w:rsidRPr="00F37527">
        <w:rPr>
          <w:sz w:val="22"/>
          <w:szCs w:val="22"/>
        </w:rPr>
        <w:t xml:space="preserve"> ne </w:t>
      </w:r>
      <w:proofErr w:type="spellStart"/>
      <w:r w:rsidRPr="00F37527">
        <w:rPr>
          <w:sz w:val="22"/>
          <w:szCs w:val="22"/>
        </w:rPr>
        <w:t>ukazuju</w:t>
      </w:r>
      <w:proofErr w:type="spellEnd"/>
      <w:r w:rsidRPr="00F37527">
        <w:rPr>
          <w:sz w:val="22"/>
          <w:szCs w:val="22"/>
        </w:rPr>
        <w:t xml:space="preserve"> </w:t>
      </w:r>
      <w:proofErr w:type="spellStart"/>
      <w:r w:rsidRPr="00F37527">
        <w:rPr>
          <w:sz w:val="22"/>
          <w:szCs w:val="22"/>
        </w:rPr>
        <w:t>na</w:t>
      </w:r>
      <w:proofErr w:type="spellEnd"/>
      <w:r w:rsidRPr="00F37527">
        <w:rPr>
          <w:sz w:val="22"/>
          <w:szCs w:val="22"/>
        </w:rPr>
        <w:t xml:space="preserve"> </w:t>
      </w:r>
      <w:proofErr w:type="spellStart"/>
      <w:r w:rsidRPr="00F37527">
        <w:rPr>
          <w:sz w:val="22"/>
          <w:szCs w:val="22"/>
        </w:rPr>
        <w:t>malformativni</w:t>
      </w:r>
      <w:proofErr w:type="spellEnd"/>
      <w:r w:rsidRPr="00F37527">
        <w:rPr>
          <w:sz w:val="22"/>
          <w:szCs w:val="22"/>
        </w:rPr>
        <w:t xml:space="preserve"> </w:t>
      </w:r>
      <w:proofErr w:type="spellStart"/>
      <w:r w:rsidRPr="00F37527">
        <w:rPr>
          <w:sz w:val="22"/>
          <w:szCs w:val="22"/>
        </w:rPr>
        <w:t>i</w:t>
      </w:r>
      <w:proofErr w:type="spellEnd"/>
      <w:r w:rsidRPr="00F37527">
        <w:rPr>
          <w:sz w:val="22"/>
          <w:szCs w:val="22"/>
        </w:rPr>
        <w:t xml:space="preserve"> </w:t>
      </w:r>
      <w:proofErr w:type="spellStart"/>
      <w:r w:rsidRPr="00F37527">
        <w:rPr>
          <w:sz w:val="22"/>
          <w:szCs w:val="22"/>
        </w:rPr>
        <w:t>feto</w:t>
      </w:r>
      <w:proofErr w:type="spellEnd"/>
      <w:r w:rsidRPr="00F37527">
        <w:rPr>
          <w:sz w:val="22"/>
          <w:szCs w:val="22"/>
        </w:rPr>
        <w:t>/</w:t>
      </w:r>
      <w:proofErr w:type="spellStart"/>
      <w:r w:rsidRPr="00F37527">
        <w:rPr>
          <w:sz w:val="22"/>
          <w:szCs w:val="22"/>
        </w:rPr>
        <w:t>natalni</w:t>
      </w:r>
      <w:proofErr w:type="spellEnd"/>
      <w:r w:rsidRPr="00F37527">
        <w:rPr>
          <w:sz w:val="22"/>
          <w:szCs w:val="22"/>
        </w:rPr>
        <w:t xml:space="preserve"> </w:t>
      </w:r>
      <w:proofErr w:type="spellStart"/>
      <w:r w:rsidRPr="00F37527">
        <w:rPr>
          <w:sz w:val="22"/>
          <w:szCs w:val="22"/>
        </w:rPr>
        <w:t>efekat</w:t>
      </w:r>
      <w:proofErr w:type="spellEnd"/>
      <w:r w:rsidRPr="00F37527">
        <w:rPr>
          <w:sz w:val="22"/>
          <w:szCs w:val="22"/>
        </w:rPr>
        <w:t xml:space="preserve">. </w:t>
      </w:r>
      <w:proofErr w:type="spellStart"/>
      <w:r w:rsidRPr="00F37527">
        <w:rPr>
          <w:sz w:val="22"/>
          <w:szCs w:val="22"/>
        </w:rPr>
        <w:t>Manje</w:t>
      </w:r>
      <w:proofErr w:type="spellEnd"/>
      <w:r w:rsidRPr="00F37527">
        <w:rPr>
          <w:sz w:val="22"/>
          <w:szCs w:val="22"/>
        </w:rPr>
        <w:t xml:space="preserve"> </w:t>
      </w:r>
      <w:proofErr w:type="gramStart"/>
      <w:r w:rsidRPr="00F37527">
        <w:rPr>
          <w:sz w:val="22"/>
          <w:szCs w:val="22"/>
        </w:rPr>
        <w:t>od</w:t>
      </w:r>
      <w:proofErr w:type="gramEnd"/>
      <w:r w:rsidRPr="00F37527">
        <w:rPr>
          <w:sz w:val="22"/>
          <w:szCs w:val="22"/>
        </w:rPr>
        <w:t xml:space="preserve"> 1% </w:t>
      </w:r>
      <w:proofErr w:type="spellStart"/>
      <w:r w:rsidRPr="00F37527">
        <w:rPr>
          <w:sz w:val="22"/>
          <w:szCs w:val="22"/>
        </w:rPr>
        <w:t>navedenih</w:t>
      </w:r>
      <w:proofErr w:type="spellEnd"/>
      <w:r w:rsidRPr="00F37527">
        <w:rPr>
          <w:sz w:val="22"/>
          <w:szCs w:val="22"/>
        </w:rPr>
        <w:t xml:space="preserve"> </w:t>
      </w:r>
      <w:proofErr w:type="spellStart"/>
      <w:r w:rsidRPr="00F37527">
        <w:rPr>
          <w:sz w:val="22"/>
          <w:szCs w:val="22"/>
        </w:rPr>
        <w:t>žena</w:t>
      </w:r>
      <w:proofErr w:type="spellEnd"/>
      <w:r w:rsidRPr="00F37527">
        <w:rPr>
          <w:sz w:val="22"/>
          <w:szCs w:val="22"/>
        </w:rPr>
        <w:t xml:space="preserve"> je </w:t>
      </w:r>
      <w:proofErr w:type="spellStart"/>
      <w:r w:rsidRPr="00F37527">
        <w:rPr>
          <w:sz w:val="22"/>
          <w:szCs w:val="22"/>
        </w:rPr>
        <w:t>bilo</w:t>
      </w:r>
      <w:proofErr w:type="spellEnd"/>
      <w:r w:rsidRPr="00F37527">
        <w:rPr>
          <w:sz w:val="22"/>
          <w:szCs w:val="22"/>
        </w:rPr>
        <w:t xml:space="preserve"> </w:t>
      </w:r>
      <w:proofErr w:type="spellStart"/>
      <w:r w:rsidRPr="00F37527">
        <w:rPr>
          <w:sz w:val="22"/>
          <w:szCs w:val="22"/>
        </w:rPr>
        <w:t>liječeno</w:t>
      </w:r>
      <w:proofErr w:type="spellEnd"/>
      <w:r w:rsidRPr="00F37527">
        <w:rPr>
          <w:sz w:val="22"/>
          <w:szCs w:val="22"/>
        </w:rPr>
        <w:t xml:space="preserve"> od HBV, </w:t>
      </w:r>
      <w:proofErr w:type="spellStart"/>
      <w:r w:rsidRPr="00F37527">
        <w:rPr>
          <w:sz w:val="22"/>
          <w:szCs w:val="22"/>
        </w:rPr>
        <w:t>dok</w:t>
      </w:r>
      <w:proofErr w:type="spellEnd"/>
      <w:r w:rsidRPr="00F37527">
        <w:rPr>
          <w:sz w:val="22"/>
          <w:szCs w:val="22"/>
        </w:rPr>
        <w:t xml:space="preserve"> je </w:t>
      </w:r>
      <w:proofErr w:type="spellStart"/>
      <w:r w:rsidRPr="00F37527">
        <w:rPr>
          <w:sz w:val="22"/>
          <w:szCs w:val="22"/>
        </w:rPr>
        <w:t>većina</w:t>
      </w:r>
      <w:proofErr w:type="spellEnd"/>
      <w:r w:rsidRPr="00F37527">
        <w:rPr>
          <w:sz w:val="22"/>
          <w:szCs w:val="22"/>
        </w:rPr>
        <w:t xml:space="preserve"> </w:t>
      </w:r>
      <w:proofErr w:type="spellStart"/>
      <w:r w:rsidRPr="00F37527">
        <w:rPr>
          <w:sz w:val="22"/>
          <w:szCs w:val="22"/>
        </w:rPr>
        <w:t>bila</w:t>
      </w:r>
      <w:proofErr w:type="spellEnd"/>
      <w:r w:rsidRPr="00F37527">
        <w:rPr>
          <w:sz w:val="22"/>
          <w:szCs w:val="22"/>
        </w:rPr>
        <w:t xml:space="preserve"> </w:t>
      </w:r>
      <w:proofErr w:type="spellStart"/>
      <w:r w:rsidRPr="00F37527">
        <w:rPr>
          <w:sz w:val="22"/>
          <w:szCs w:val="22"/>
        </w:rPr>
        <w:t>liječena</w:t>
      </w:r>
      <w:proofErr w:type="spellEnd"/>
      <w:r w:rsidRPr="00F37527">
        <w:rPr>
          <w:sz w:val="22"/>
          <w:szCs w:val="22"/>
        </w:rPr>
        <w:t xml:space="preserve"> od HIV </w:t>
      </w:r>
      <w:proofErr w:type="spellStart"/>
      <w:r w:rsidRPr="00F37527">
        <w:rPr>
          <w:sz w:val="22"/>
          <w:szCs w:val="22"/>
        </w:rPr>
        <w:t>infekcije</w:t>
      </w:r>
      <w:proofErr w:type="spellEnd"/>
      <w:r w:rsidRPr="00F37527">
        <w:rPr>
          <w:sz w:val="22"/>
          <w:szCs w:val="22"/>
        </w:rPr>
        <w:t xml:space="preserve"> </w:t>
      </w:r>
      <w:proofErr w:type="spellStart"/>
      <w:r w:rsidRPr="00F37527">
        <w:rPr>
          <w:sz w:val="22"/>
          <w:szCs w:val="22"/>
        </w:rPr>
        <w:t>višim</w:t>
      </w:r>
      <w:proofErr w:type="spellEnd"/>
      <w:r w:rsidRPr="00F37527">
        <w:rPr>
          <w:sz w:val="22"/>
          <w:szCs w:val="22"/>
        </w:rPr>
        <w:t xml:space="preserve"> </w:t>
      </w:r>
      <w:proofErr w:type="spellStart"/>
      <w:r w:rsidRPr="00F37527">
        <w:rPr>
          <w:sz w:val="22"/>
          <w:szCs w:val="22"/>
        </w:rPr>
        <w:t>dozama</w:t>
      </w:r>
      <w:proofErr w:type="spellEnd"/>
      <w:r w:rsidRPr="00F37527">
        <w:rPr>
          <w:sz w:val="22"/>
          <w:szCs w:val="22"/>
        </w:rPr>
        <w:t xml:space="preserve"> </w:t>
      </w:r>
      <w:proofErr w:type="spellStart"/>
      <w:r w:rsidRPr="00F37527">
        <w:rPr>
          <w:sz w:val="22"/>
          <w:szCs w:val="22"/>
        </w:rPr>
        <w:t>ljekova</w:t>
      </w:r>
      <w:proofErr w:type="spellEnd"/>
      <w:r w:rsidRPr="00F37527">
        <w:rPr>
          <w:sz w:val="22"/>
          <w:szCs w:val="22"/>
        </w:rPr>
        <w:t xml:space="preserve"> </w:t>
      </w:r>
      <w:proofErr w:type="spellStart"/>
      <w:r w:rsidRPr="00F37527">
        <w:rPr>
          <w:sz w:val="22"/>
          <w:szCs w:val="22"/>
        </w:rPr>
        <w:t>ili</w:t>
      </w:r>
      <w:proofErr w:type="spellEnd"/>
      <w:r w:rsidRPr="00F37527">
        <w:rPr>
          <w:sz w:val="22"/>
          <w:szCs w:val="22"/>
        </w:rPr>
        <w:t xml:space="preserve"> </w:t>
      </w:r>
      <w:proofErr w:type="spellStart"/>
      <w:r w:rsidRPr="00F37527">
        <w:rPr>
          <w:sz w:val="22"/>
          <w:szCs w:val="22"/>
        </w:rPr>
        <w:t>drugim</w:t>
      </w:r>
      <w:proofErr w:type="spellEnd"/>
      <w:r w:rsidRPr="00F37527">
        <w:rPr>
          <w:sz w:val="22"/>
          <w:szCs w:val="22"/>
        </w:rPr>
        <w:t xml:space="preserve"> </w:t>
      </w:r>
      <w:proofErr w:type="spellStart"/>
      <w:r w:rsidRPr="00F37527">
        <w:rPr>
          <w:sz w:val="22"/>
          <w:szCs w:val="22"/>
        </w:rPr>
        <w:t>konkomitantnim</w:t>
      </w:r>
      <w:proofErr w:type="spellEnd"/>
      <w:r w:rsidRPr="00F37527">
        <w:rPr>
          <w:sz w:val="22"/>
          <w:szCs w:val="22"/>
        </w:rPr>
        <w:t xml:space="preserve"> </w:t>
      </w:r>
      <w:proofErr w:type="spellStart"/>
      <w:r w:rsidRPr="00F37527">
        <w:rPr>
          <w:sz w:val="22"/>
          <w:szCs w:val="22"/>
        </w:rPr>
        <w:t>terapijskim</w:t>
      </w:r>
      <w:proofErr w:type="spellEnd"/>
      <w:r w:rsidRPr="00F37527">
        <w:rPr>
          <w:sz w:val="22"/>
          <w:szCs w:val="22"/>
        </w:rPr>
        <w:t xml:space="preserve"> </w:t>
      </w:r>
      <w:proofErr w:type="spellStart"/>
      <w:r w:rsidRPr="00F37527">
        <w:rPr>
          <w:sz w:val="22"/>
          <w:szCs w:val="22"/>
        </w:rPr>
        <w:t>režimima</w:t>
      </w:r>
      <w:proofErr w:type="spellEnd"/>
      <w:r w:rsidRPr="00F37527">
        <w:rPr>
          <w:sz w:val="22"/>
          <w:szCs w:val="22"/>
        </w:rPr>
        <w:t xml:space="preserve">. </w:t>
      </w:r>
      <w:proofErr w:type="spellStart"/>
      <w:r w:rsidRPr="00F37527">
        <w:rPr>
          <w:sz w:val="22"/>
          <w:szCs w:val="22"/>
        </w:rPr>
        <w:t>Lijek</w:t>
      </w:r>
      <w:proofErr w:type="spellEnd"/>
      <w:r w:rsidRPr="00F37527">
        <w:rPr>
          <w:sz w:val="22"/>
          <w:szCs w:val="22"/>
        </w:rPr>
        <w:t xml:space="preserve"> </w:t>
      </w:r>
      <w:proofErr w:type="spellStart"/>
      <w:r w:rsidRPr="00F37527">
        <w:rPr>
          <w:sz w:val="22"/>
          <w:szCs w:val="22"/>
        </w:rPr>
        <w:t>ZEFFIX</w:t>
      </w:r>
      <w:proofErr w:type="spellEnd"/>
      <w:r w:rsidRPr="00F37527">
        <w:rPr>
          <w:sz w:val="22"/>
          <w:szCs w:val="22"/>
        </w:rPr>
        <w:t xml:space="preserve"> </w:t>
      </w:r>
      <w:proofErr w:type="spellStart"/>
      <w:r w:rsidRPr="00F37527">
        <w:rPr>
          <w:sz w:val="22"/>
          <w:szCs w:val="22"/>
        </w:rPr>
        <w:t>može</w:t>
      </w:r>
      <w:proofErr w:type="spellEnd"/>
      <w:r w:rsidRPr="00F37527">
        <w:rPr>
          <w:sz w:val="22"/>
          <w:szCs w:val="22"/>
        </w:rPr>
        <w:t xml:space="preserve"> </w:t>
      </w:r>
      <w:proofErr w:type="spellStart"/>
      <w:r w:rsidRPr="00F37527">
        <w:rPr>
          <w:sz w:val="22"/>
          <w:szCs w:val="22"/>
        </w:rPr>
        <w:t>biti</w:t>
      </w:r>
      <w:proofErr w:type="spellEnd"/>
      <w:r w:rsidRPr="00F37527">
        <w:rPr>
          <w:sz w:val="22"/>
          <w:szCs w:val="22"/>
        </w:rPr>
        <w:t xml:space="preserve"> </w:t>
      </w:r>
      <w:proofErr w:type="spellStart"/>
      <w:r w:rsidRPr="00F37527">
        <w:rPr>
          <w:sz w:val="22"/>
          <w:szCs w:val="22"/>
        </w:rPr>
        <w:t>korišćen</w:t>
      </w:r>
      <w:proofErr w:type="spellEnd"/>
      <w:r w:rsidRPr="00F37527">
        <w:rPr>
          <w:sz w:val="22"/>
          <w:szCs w:val="22"/>
        </w:rPr>
        <w:t xml:space="preserve"> </w:t>
      </w:r>
      <w:proofErr w:type="spellStart"/>
      <w:r w:rsidRPr="00F37527">
        <w:rPr>
          <w:sz w:val="22"/>
          <w:szCs w:val="22"/>
        </w:rPr>
        <w:t>tokom</w:t>
      </w:r>
      <w:proofErr w:type="spellEnd"/>
      <w:r w:rsidRPr="00F37527">
        <w:rPr>
          <w:sz w:val="22"/>
          <w:szCs w:val="22"/>
        </w:rPr>
        <w:t xml:space="preserve"> </w:t>
      </w:r>
      <w:proofErr w:type="spellStart"/>
      <w:r w:rsidRPr="00F37527">
        <w:rPr>
          <w:sz w:val="22"/>
          <w:szCs w:val="22"/>
        </w:rPr>
        <w:t>trudnoće</w:t>
      </w:r>
      <w:proofErr w:type="spellEnd"/>
      <w:r w:rsidRPr="00F37527">
        <w:rPr>
          <w:sz w:val="22"/>
          <w:szCs w:val="22"/>
        </w:rPr>
        <w:t xml:space="preserve"> </w:t>
      </w:r>
      <w:proofErr w:type="spellStart"/>
      <w:r w:rsidRPr="00F37527">
        <w:rPr>
          <w:sz w:val="22"/>
          <w:szCs w:val="22"/>
        </w:rPr>
        <w:t>ukoliko</w:t>
      </w:r>
      <w:proofErr w:type="spellEnd"/>
      <w:r w:rsidRPr="00F37527">
        <w:rPr>
          <w:sz w:val="22"/>
          <w:szCs w:val="22"/>
        </w:rPr>
        <w:t xml:space="preserve"> je to </w:t>
      </w:r>
      <w:proofErr w:type="spellStart"/>
      <w:r w:rsidRPr="00F37527">
        <w:rPr>
          <w:sz w:val="22"/>
          <w:szCs w:val="22"/>
        </w:rPr>
        <w:t>klinički</w:t>
      </w:r>
      <w:proofErr w:type="spellEnd"/>
      <w:r w:rsidRPr="00F37527">
        <w:rPr>
          <w:sz w:val="22"/>
          <w:szCs w:val="22"/>
        </w:rPr>
        <w:t xml:space="preserve"> </w:t>
      </w:r>
      <w:proofErr w:type="spellStart"/>
      <w:r w:rsidRPr="00F37527">
        <w:rPr>
          <w:sz w:val="22"/>
          <w:szCs w:val="22"/>
        </w:rPr>
        <w:t>opravdano</w:t>
      </w:r>
      <w:proofErr w:type="spellEnd"/>
      <w:r w:rsidRPr="00F37527">
        <w:rPr>
          <w:sz w:val="22"/>
          <w:szCs w:val="22"/>
        </w:rPr>
        <w:t>.</w:t>
      </w:r>
    </w:p>
    <w:p w14:paraId="44064BA0" w14:textId="77777777" w:rsidR="00CF7738" w:rsidRPr="00F37527" w:rsidRDefault="00CF7738" w:rsidP="0076441E">
      <w:pPr>
        <w:pStyle w:val="Header"/>
        <w:tabs>
          <w:tab w:val="left" w:pos="284"/>
        </w:tabs>
        <w:jc w:val="both"/>
        <w:rPr>
          <w:sz w:val="22"/>
          <w:szCs w:val="22"/>
          <w:lang w:val="sl-SI"/>
        </w:rPr>
      </w:pPr>
    </w:p>
    <w:p w14:paraId="409010B7" w14:textId="77777777" w:rsidR="00CF7738" w:rsidRPr="00F37527" w:rsidRDefault="00CF7738" w:rsidP="0076441E">
      <w:pPr>
        <w:pStyle w:val="Header"/>
        <w:tabs>
          <w:tab w:val="left" w:pos="284"/>
        </w:tabs>
        <w:jc w:val="both"/>
        <w:rPr>
          <w:sz w:val="22"/>
          <w:szCs w:val="22"/>
          <w:lang w:val="sl-SI"/>
        </w:rPr>
      </w:pPr>
      <w:r w:rsidRPr="00F37527">
        <w:rPr>
          <w:sz w:val="22"/>
          <w:szCs w:val="22"/>
          <w:lang w:val="sl-SI"/>
        </w:rPr>
        <w:t>Kod pacijentkinja liječenih lamivudinom, koje su naknadno ostale u drugom stanju, potrebno je uzeti u obzir mogućnost javljanja rekurentnog hepatitisa nakon prekida terapije lamivudinom.</w:t>
      </w:r>
    </w:p>
    <w:p w14:paraId="41903A01" w14:textId="77777777" w:rsidR="00CF7738" w:rsidRPr="00F37527" w:rsidRDefault="00CF7738" w:rsidP="0076441E">
      <w:pPr>
        <w:pStyle w:val="Header"/>
        <w:tabs>
          <w:tab w:val="left" w:pos="284"/>
        </w:tabs>
        <w:jc w:val="both"/>
        <w:rPr>
          <w:sz w:val="22"/>
          <w:szCs w:val="22"/>
          <w:u w:val="single"/>
          <w:lang w:val="sl-SI"/>
        </w:rPr>
      </w:pPr>
    </w:p>
    <w:p w14:paraId="0F3902DC" w14:textId="66F0DE62" w:rsidR="00CF7738" w:rsidRPr="00F37527" w:rsidRDefault="00CF7738" w:rsidP="0076441E">
      <w:pPr>
        <w:pStyle w:val="Header"/>
        <w:tabs>
          <w:tab w:val="left" w:pos="284"/>
        </w:tabs>
        <w:jc w:val="both"/>
        <w:rPr>
          <w:sz w:val="22"/>
          <w:szCs w:val="22"/>
          <w:u w:val="single"/>
          <w:lang w:val="sl-SI"/>
        </w:rPr>
      </w:pPr>
      <w:r w:rsidRPr="00F37527">
        <w:rPr>
          <w:sz w:val="22"/>
          <w:szCs w:val="22"/>
          <w:u w:val="single"/>
          <w:lang w:val="sl-SI"/>
        </w:rPr>
        <w:t>Dojenje</w:t>
      </w:r>
    </w:p>
    <w:p w14:paraId="192F79A2" w14:textId="77777777" w:rsidR="00CF7738" w:rsidRPr="00F37527" w:rsidRDefault="00CF7738" w:rsidP="0076441E">
      <w:pPr>
        <w:pStyle w:val="Header"/>
        <w:tabs>
          <w:tab w:val="left" w:pos="284"/>
        </w:tabs>
        <w:jc w:val="both"/>
        <w:rPr>
          <w:sz w:val="22"/>
          <w:szCs w:val="22"/>
          <w:lang w:val="sl-SI"/>
        </w:rPr>
      </w:pPr>
    </w:p>
    <w:p w14:paraId="4D59E8CF" w14:textId="6084F210" w:rsidR="00CF7738" w:rsidRPr="00F37527" w:rsidRDefault="00CF7738" w:rsidP="0076441E">
      <w:pPr>
        <w:pStyle w:val="Header"/>
        <w:tabs>
          <w:tab w:val="left" w:pos="284"/>
        </w:tabs>
        <w:jc w:val="both"/>
        <w:rPr>
          <w:sz w:val="22"/>
          <w:szCs w:val="22"/>
          <w:lang w:val="sl-SI"/>
        </w:rPr>
      </w:pPr>
      <w:r w:rsidRPr="00F37527">
        <w:rPr>
          <w:sz w:val="22"/>
          <w:szCs w:val="22"/>
          <w:lang w:val="sl-SI"/>
        </w:rPr>
        <w:t xml:space="preserve">Na osnovu podataka dobijenih kod više od 200 parova majka/dijete liječenih od HIV infekcije, serumske koncentracije lamivudina kod odojčadi majki koje su liječene od HIV infekcije su bile veoma niske (manje od 4% serumskih koncentracija majke) i progresivno su se smanjivale do nedetektabilnih nivoa kada bi odojčad dostigla </w:t>
      </w:r>
      <w:r w:rsidR="002D30C2" w:rsidRPr="00F37527">
        <w:rPr>
          <w:sz w:val="22"/>
          <w:szCs w:val="22"/>
          <w:lang w:val="sl-SI"/>
        </w:rPr>
        <w:t>uzrast</w:t>
      </w:r>
      <w:r w:rsidRPr="00F37527">
        <w:rPr>
          <w:sz w:val="22"/>
          <w:szCs w:val="22"/>
          <w:lang w:val="sl-SI"/>
        </w:rPr>
        <w:t xml:space="preserve"> od 24 nedjelje. Ukupna količina lamivudina koju odojče unese  je veoma niska i stoga je vjerovatno da ima za posljedicu izloženost koja ispoljava suboptimalno antivirusno dejstvo. Postojanje hepatitisa B kod majke ne predstavlja kontraindikaciju za dojenje, ukoliko je novorođenče adekvatno tretirano u cilju prevencije hepatitisa B na rođenju, i nema dokaza da niska koncentracija lamivudina u humanom mlijeku vodi do pojave neželjenih reakcija kod odojčadi. Stoga se dojenje može razmotriti kod dojilja, koje su liječene lamivudinom u terapiji HBV infekcije, uzimajući u obzir korist dojenja za dijete i korist od primjene terapije za ženu. U slučaju maternalne transmisije HBV infekcije, uprkos odgovarajućoj profilaksi, potrebno je razmotriti prekid dojenja u cilju smanjenja rizika od nastanka mutanata rezistentnih na lamivudin kod djeteta.</w:t>
      </w:r>
    </w:p>
    <w:p w14:paraId="0D452671" w14:textId="77777777" w:rsidR="00CF7738" w:rsidRPr="00F37527" w:rsidRDefault="00CF7738" w:rsidP="0076441E">
      <w:pPr>
        <w:pStyle w:val="Header"/>
        <w:tabs>
          <w:tab w:val="left" w:pos="284"/>
        </w:tabs>
        <w:jc w:val="both"/>
        <w:rPr>
          <w:sz w:val="22"/>
          <w:szCs w:val="22"/>
          <w:lang w:val="sl-SI"/>
        </w:rPr>
      </w:pPr>
    </w:p>
    <w:p w14:paraId="30E07D57" w14:textId="67474440" w:rsidR="00CF7738" w:rsidRPr="00F37527" w:rsidRDefault="004B5A7D" w:rsidP="0076441E">
      <w:pPr>
        <w:pStyle w:val="Header"/>
        <w:tabs>
          <w:tab w:val="left" w:pos="284"/>
        </w:tabs>
        <w:jc w:val="both"/>
        <w:rPr>
          <w:sz w:val="22"/>
          <w:szCs w:val="22"/>
          <w:u w:val="single"/>
          <w:lang w:val="sl-SI"/>
        </w:rPr>
      </w:pPr>
      <w:r w:rsidRPr="00F37527">
        <w:rPr>
          <w:sz w:val="22"/>
          <w:szCs w:val="22"/>
          <w:u w:val="single"/>
          <w:lang w:val="sl-SI"/>
        </w:rPr>
        <w:t>Plodnost</w:t>
      </w:r>
    </w:p>
    <w:p w14:paraId="2F35469A" w14:textId="77777777" w:rsidR="00CF7738" w:rsidRPr="00F37527" w:rsidRDefault="00CF7738" w:rsidP="0076441E">
      <w:pPr>
        <w:pStyle w:val="Header"/>
        <w:tabs>
          <w:tab w:val="left" w:pos="284"/>
        </w:tabs>
        <w:jc w:val="both"/>
        <w:rPr>
          <w:sz w:val="22"/>
          <w:szCs w:val="22"/>
          <w:lang w:val="sl-SI"/>
        </w:rPr>
      </w:pPr>
    </w:p>
    <w:p w14:paraId="29E24D2D" w14:textId="34122F6E" w:rsidR="00CF7738" w:rsidRPr="00F37527" w:rsidRDefault="00CF7738" w:rsidP="0076441E">
      <w:pPr>
        <w:pStyle w:val="Header"/>
        <w:tabs>
          <w:tab w:val="left" w:pos="284"/>
        </w:tabs>
        <w:jc w:val="both"/>
        <w:rPr>
          <w:sz w:val="22"/>
          <w:szCs w:val="22"/>
          <w:lang w:val="hr-HR"/>
        </w:rPr>
      </w:pPr>
      <w:r w:rsidRPr="00F37527">
        <w:rPr>
          <w:sz w:val="22"/>
          <w:szCs w:val="22"/>
          <w:lang w:val="hr-HR"/>
        </w:rPr>
        <w:lastRenderedPageBreak/>
        <w:t>Ispitivanja reprodukcije na životinjama ni</w:t>
      </w:r>
      <w:r w:rsidR="004B5A7D" w:rsidRPr="00F37527">
        <w:rPr>
          <w:sz w:val="22"/>
          <w:szCs w:val="22"/>
          <w:lang w:val="hr-HR"/>
        </w:rPr>
        <w:t>je</w:t>
      </w:r>
      <w:r w:rsidRPr="00F37527">
        <w:rPr>
          <w:sz w:val="22"/>
          <w:szCs w:val="22"/>
          <w:lang w:val="hr-HR"/>
        </w:rPr>
        <w:t xml:space="preserve">su pokazala efekat na </w:t>
      </w:r>
      <w:r w:rsidR="004B5A7D" w:rsidRPr="00F37527">
        <w:rPr>
          <w:sz w:val="22"/>
          <w:szCs w:val="22"/>
          <w:lang w:val="hr-HR"/>
        </w:rPr>
        <w:t>plodnost</w:t>
      </w:r>
      <w:r w:rsidRPr="00F37527">
        <w:rPr>
          <w:sz w:val="22"/>
          <w:szCs w:val="22"/>
          <w:lang w:val="hr-HR"/>
        </w:rPr>
        <w:t xml:space="preserve"> mužjaka niti ženki (vidjeti dio 5.3).</w:t>
      </w:r>
    </w:p>
    <w:p w14:paraId="69B778E8" w14:textId="0852BA63" w:rsidR="00CF7738" w:rsidRDefault="00CF7738" w:rsidP="0076441E">
      <w:pPr>
        <w:pStyle w:val="Header"/>
        <w:tabs>
          <w:tab w:val="left" w:pos="284"/>
        </w:tabs>
        <w:jc w:val="both"/>
        <w:rPr>
          <w:sz w:val="22"/>
          <w:szCs w:val="22"/>
          <w:lang w:val="sl-SI"/>
        </w:rPr>
      </w:pPr>
    </w:p>
    <w:p w14:paraId="09937890" w14:textId="77777777" w:rsidR="004C6E14" w:rsidRPr="00F37527" w:rsidRDefault="00CF7738" w:rsidP="0076441E">
      <w:pPr>
        <w:pStyle w:val="Header"/>
        <w:tabs>
          <w:tab w:val="left" w:pos="284"/>
        </w:tabs>
        <w:jc w:val="both"/>
        <w:rPr>
          <w:sz w:val="22"/>
          <w:szCs w:val="22"/>
          <w:u w:val="single"/>
          <w:lang w:val="sl-SI"/>
        </w:rPr>
      </w:pPr>
      <w:r w:rsidRPr="00F37527">
        <w:rPr>
          <w:sz w:val="22"/>
          <w:szCs w:val="22"/>
          <w:u w:val="single"/>
          <w:lang w:val="sl-SI"/>
        </w:rPr>
        <w:t>Mitohondrijalna disfunkcija</w:t>
      </w:r>
    </w:p>
    <w:p w14:paraId="795C1C1F" w14:textId="77777777" w:rsidR="004C6E14" w:rsidRPr="00F37527" w:rsidRDefault="004C6E14" w:rsidP="0076441E">
      <w:pPr>
        <w:pStyle w:val="Header"/>
        <w:tabs>
          <w:tab w:val="left" w:pos="284"/>
        </w:tabs>
        <w:jc w:val="both"/>
        <w:rPr>
          <w:sz w:val="22"/>
          <w:szCs w:val="22"/>
          <w:u w:val="single"/>
          <w:lang w:val="sl-SI"/>
        </w:rPr>
      </w:pPr>
    </w:p>
    <w:p w14:paraId="0E2B0FD8" w14:textId="7984DE96" w:rsidR="00CF7738" w:rsidRPr="00F37527" w:rsidRDefault="00CF7738" w:rsidP="0076441E">
      <w:pPr>
        <w:pStyle w:val="Header"/>
        <w:tabs>
          <w:tab w:val="left" w:pos="284"/>
        </w:tabs>
        <w:jc w:val="both"/>
        <w:rPr>
          <w:sz w:val="22"/>
          <w:szCs w:val="22"/>
          <w:u w:val="single"/>
          <w:lang w:val="sl-SI"/>
        </w:rPr>
      </w:pPr>
      <w:r w:rsidRPr="00F37527">
        <w:rPr>
          <w:sz w:val="22"/>
          <w:szCs w:val="22"/>
          <w:lang w:val="sl-SI"/>
        </w:rPr>
        <w:t xml:space="preserve">Pokazano je da primjena nukleozidnih i nukleotidnih analoga u uslovima </w:t>
      </w:r>
      <w:r w:rsidRPr="00F37527">
        <w:rPr>
          <w:i/>
          <w:sz w:val="22"/>
          <w:szCs w:val="22"/>
          <w:lang w:val="sl-SI"/>
        </w:rPr>
        <w:t>in vitro</w:t>
      </w:r>
      <w:r w:rsidRPr="00F37527">
        <w:rPr>
          <w:sz w:val="22"/>
          <w:szCs w:val="22"/>
          <w:lang w:val="sl-SI"/>
        </w:rPr>
        <w:t xml:space="preserve"> i </w:t>
      </w:r>
      <w:r w:rsidRPr="00F37527">
        <w:rPr>
          <w:i/>
          <w:sz w:val="22"/>
          <w:szCs w:val="22"/>
          <w:lang w:val="sl-SI"/>
        </w:rPr>
        <w:t>in vivo</w:t>
      </w:r>
      <w:r w:rsidRPr="00F37527">
        <w:rPr>
          <w:sz w:val="22"/>
          <w:szCs w:val="22"/>
          <w:lang w:val="sl-SI"/>
        </w:rPr>
        <w:t xml:space="preserve"> uzrokuje različiti stepen mitohodnrijalnog oštećenja. Bilo je izvještaja o pojavi mitohondrijalne disfunkcije kod odojčadi izložene </w:t>
      </w:r>
      <w:r w:rsidRPr="00F37527">
        <w:rPr>
          <w:i/>
          <w:sz w:val="22"/>
          <w:szCs w:val="22"/>
          <w:lang w:val="sl-SI"/>
        </w:rPr>
        <w:t>in utero</w:t>
      </w:r>
      <w:r w:rsidRPr="00F37527">
        <w:rPr>
          <w:sz w:val="22"/>
          <w:szCs w:val="22"/>
          <w:lang w:val="sl-SI"/>
        </w:rPr>
        <w:t xml:space="preserve"> i/ili postnatalno dejstvu nukleozidih analoga (vidjeti dio 4.4).</w:t>
      </w:r>
    </w:p>
    <w:p w14:paraId="18BE86BB" w14:textId="77777777" w:rsidR="00227BDB" w:rsidRPr="00F37527" w:rsidRDefault="00227BDB" w:rsidP="0076441E">
      <w:pPr>
        <w:tabs>
          <w:tab w:val="left" w:pos="540"/>
          <w:tab w:val="left" w:pos="569"/>
        </w:tabs>
        <w:jc w:val="both"/>
        <w:rPr>
          <w:b/>
          <w:bCs/>
          <w:sz w:val="22"/>
          <w:szCs w:val="22"/>
          <w:lang w:val="sl-SI"/>
        </w:rPr>
      </w:pPr>
    </w:p>
    <w:p w14:paraId="18BE86BC" w14:textId="77777777" w:rsidR="0072020E" w:rsidRPr="00F37527" w:rsidRDefault="0072020E" w:rsidP="0076441E">
      <w:pPr>
        <w:tabs>
          <w:tab w:val="left" w:pos="540"/>
          <w:tab w:val="left" w:pos="569"/>
        </w:tabs>
        <w:ind w:left="540" w:hanging="540"/>
        <w:jc w:val="both"/>
        <w:rPr>
          <w:b/>
          <w:bCs/>
          <w:sz w:val="22"/>
          <w:szCs w:val="22"/>
          <w:lang w:val="sl-SI"/>
        </w:rPr>
      </w:pPr>
      <w:r w:rsidRPr="00F37527">
        <w:rPr>
          <w:b/>
          <w:bCs/>
          <w:sz w:val="22"/>
          <w:szCs w:val="22"/>
          <w:lang w:val="sl-SI"/>
        </w:rPr>
        <w:t xml:space="preserve">4.7. </w:t>
      </w:r>
      <w:r w:rsidR="00480FB1" w:rsidRPr="00F37527">
        <w:rPr>
          <w:b/>
          <w:bCs/>
          <w:sz w:val="22"/>
          <w:szCs w:val="22"/>
          <w:lang w:val="sl-SI"/>
        </w:rPr>
        <w:tab/>
      </w:r>
      <w:r w:rsidRPr="00F37527">
        <w:rPr>
          <w:b/>
          <w:bCs/>
          <w:sz w:val="22"/>
          <w:szCs w:val="22"/>
          <w:lang w:val="sl-SI"/>
        </w:rPr>
        <w:t xml:space="preserve">Uticaj na </w:t>
      </w:r>
      <w:r w:rsidR="002031B3" w:rsidRPr="00F37527">
        <w:rPr>
          <w:b/>
          <w:bCs/>
          <w:sz w:val="22"/>
          <w:szCs w:val="22"/>
          <w:lang w:val="sl-SI"/>
        </w:rPr>
        <w:t xml:space="preserve">sposobnost </w:t>
      </w:r>
      <w:r w:rsidR="00F34554" w:rsidRPr="00F37527">
        <w:rPr>
          <w:b/>
          <w:bCs/>
          <w:sz w:val="22"/>
          <w:szCs w:val="22"/>
          <w:lang w:val="sl-SI"/>
        </w:rPr>
        <w:t>upravljanja vozili</w:t>
      </w:r>
      <w:r w:rsidRPr="00F37527">
        <w:rPr>
          <w:b/>
          <w:bCs/>
          <w:sz w:val="22"/>
          <w:szCs w:val="22"/>
          <w:lang w:val="sl-SI"/>
        </w:rPr>
        <w:t>m</w:t>
      </w:r>
      <w:r w:rsidR="00F34554" w:rsidRPr="00F37527">
        <w:rPr>
          <w:b/>
          <w:bCs/>
          <w:sz w:val="22"/>
          <w:szCs w:val="22"/>
          <w:lang w:val="sl-SI"/>
        </w:rPr>
        <w:t>a</w:t>
      </w:r>
      <w:r w:rsidRPr="00F37527">
        <w:rPr>
          <w:b/>
          <w:bCs/>
          <w:sz w:val="22"/>
          <w:szCs w:val="22"/>
          <w:lang w:val="sl-SI"/>
        </w:rPr>
        <w:t xml:space="preserve"> i </w:t>
      </w:r>
      <w:r w:rsidR="000D3449" w:rsidRPr="00F37527">
        <w:rPr>
          <w:b/>
          <w:bCs/>
          <w:sz w:val="22"/>
          <w:szCs w:val="22"/>
          <w:lang w:val="sl-SI"/>
        </w:rPr>
        <w:t xml:space="preserve">rukovanje </w:t>
      </w:r>
      <w:r w:rsidRPr="00F37527">
        <w:rPr>
          <w:b/>
          <w:bCs/>
          <w:sz w:val="22"/>
          <w:szCs w:val="22"/>
          <w:lang w:val="sl-SI"/>
        </w:rPr>
        <w:t>mašinama</w:t>
      </w:r>
    </w:p>
    <w:p w14:paraId="78586D63" w14:textId="77777777" w:rsidR="009B457D" w:rsidRPr="00F37527" w:rsidRDefault="009B457D" w:rsidP="0076441E">
      <w:pPr>
        <w:tabs>
          <w:tab w:val="left" w:pos="540"/>
          <w:tab w:val="left" w:pos="569"/>
        </w:tabs>
        <w:jc w:val="both"/>
        <w:rPr>
          <w:sz w:val="22"/>
          <w:szCs w:val="22"/>
          <w:lang w:val="hr-HR"/>
        </w:rPr>
      </w:pPr>
    </w:p>
    <w:p w14:paraId="18BE86BD" w14:textId="1AD4FF72" w:rsidR="0072020E" w:rsidRPr="00F37527" w:rsidRDefault="00380F58" w:rsidP="0076441E">
      <w:pPr>
        <w:tabs>
          <w:tab w:val="left" w:pos="540"/>
          <w:tab w:val="left" w:pos="569"/>
        </w:tabs>
        <w:jc w:val="both"/>
        <w:rPr>
          <w:b/>
          <w:bCs/>
          <w:sz w:val="22"/>
          <w:szCs w:val="22"/>
          <w:lang w:val="hr-HR"/>
        </w:rPr>
      </w:pPr>
      <w:r w:rsidRPr="00F37527">
        <w:rPr>
          <w:sz w:val="22"/>
          <w:szCs w:val="22"/>
          <w:lang w:val="hr-HR"/>
        </w:rPr>
        <w:t>Pacijentima je potrebno reći da su tokom liječenja lamivudinom prijavljivani malaksalost i umor. Prilikom razmatranja sposobnosti pacijenta za upravljanje motornim vozilima i rukovanje mašinama, trebalo bi imati  na umu klinički status pacijenta i profil neželjenih reakcija lamivudina.</w:t>
      </w:r>
    </w:p>
    <w:p w14:paraId="6190B490" w14:textId="77777777" w:rsidR="00380F58" w:rsidRPr="00F37527" w:rsidRDefault="00380F58" w:rsidP="0076441E">
      <w:pPr>
        <w:tabs>
          <w:tab w:val="left" w:pos="540"/>
          <w:tab w:val="left" w:pos="569"/>
        </w:tabs>
        <w:jc w:val="both"/>
        <w:rPr>
          <w:b/>
          <w:bCs/>
          <w:sz w:val="22"/>
          <w:szCs w:val="22"/>
          <w:lang w:val="hr-HR"/>
        </w:rPr>
      </w:pPr>
    </w:p>
    <w:p w14:paraId="18BE86BE" w14:textId="656EAA86" w:rsidR="0072020E" w:rsidRPr="00F37527" w:rsidRDefault="0072020E" w:rsidP="0076441E">
      <w:pPr>
        <w:tabs>
          <w:tab w:val="left" w:pos="540"/>
          <w:tab w:val="left" w:pos="569"/>
        </w:tabs>
        <w:jc w:val="both"/>
        <w:rPr>
          <w:b/>
          <w:bCs/>
          <w:sz w:val="22"/>
          <w:szCs w:val="22"/>
          <w:lang w:val="hr-HR"/>
        </w:rPr>
      </w:pPr>
      <w:r w:rsidRPr="00F37527">
        <w:rPr>
          <w:b/>
          <w:bCs/>
          <w:sz w:val="22"/>
          <w:szCs w:val="22"/>
          <w:lang w:val="hr-HR"/>
        </w:rPr>
        <w:t xml:space="preserve">4.8. </w:t>
      </w:r>
      <w:r w:rsidR="00480FB1" w:rsidRPr="00F37527">
        <w:rPr>
          <w:b/>
          <w:bCs/>
          <w:sz w:val="22"/>
          <w:szCs w:val="22"/>
          <w:lang w:val="hr-HR"/>
        </w:rPr>
        <w:tab/>
      </w:r>
      <w:r w:rsidRPr="00F37527">
        <w:rPr>
          <w:b/>
          <w:bCs/>
          <w:sz w:val="22"/>
          <w:szCs w:val="22"/>
          <w:lang w:val="hr-HR"/>
        </w:rPr>
        <w:t>Neželjena dejstva</w:t>
      </w:r>
    </w:p>
    <w:p w14:paraId="18BE86BF" w14:textId="77777777" w:rsidR="004E70AD" w:rsidRPr="00F37527" w:rsidRDefault="004E70AD" w:rsidP="0076441E">
      <w:pPr>
        <w:tabs>
          <w:tab w:val="left" w:pos="540"/>
          <w:tab w:val="left" w:pos="569"/>
        </w:tabs>
        <w:jc w:val="both"/>
        <w:rPr>
          <w:b/>
          <w:bCs/>
          <w:sz w:val="22"/>
          <w:szCs w:val="22"/>
          <w:lang w:val="hr-HR"/>
        </w:rPr>
      </w:pPr>
    </w:p>
    <w:p w14:paraId="7517C1D1" w14:textId="77777777" w:rsidR="00AD62A2" w:rsidRPr="00F37527" w:rsidRDefault="00AD62A2" w:rsidP="0076441E">
      <w:pPr>
        <w:pStyle w:val="Header"/>
        <w:tabs>
          <w:tab w:val="left" w:pos="284"/>
        </w:tabs>
        <w:spacing w:before="80" w:after="80"/>
        <w:jc w:val="both"/>
        <w:rPr>
          <w:bCs/>
          <w:sz w:val="22"/>
          <w:szCs w:val="22"/>
          <w:u w:val="single"/>
          <w:lang w:val="hr-HR"/>
        </w:rPr>
      </w:pPr>
      <w:r w:rsidRPr="00F37527">
        <w:rPr>
          <w:bCs/>
          <w:sz w:val="22"/>
          <w:szCs w:val="22"/>
          <w:u w:val="single"/>
          <w:lang w:val="hr-HR"/>
        </w:rPr>
        <w:t>Sažetak bezbjedonosnog profila</w:t>
      </w:r>
    </w:p>
    <w:p w14:paraId="2B736E88" w14:textId="77777777" w:rsidR="00AD62A2" w:rsidRPr="00F37527" w:rsidRDefault="00AD62A2" w:rsidP="0076441E">
      <w:pPr>
        <w:pStyle w:val="Header"/>
        <w:tabs>
          <w:tab w:val="left" w:pos="284"/>
        </w:tabs>
        <w:jc w:val="both"/>
        <w:rPr>
          <w:bCs/>
          <w:sz w:val="22"/>
          <w:szCs w:val="22"/>
          <w:u w:val="single"/>
          <w:lang w:val="hr-HR"/>
        </w:rPr>
      </w:pPr>
    </w:p>
    <w:p w14:paraId="066417C6" w14:textId="77777777" w:rsidR="00AD62A2" w:rsidRPr="00F37527" w:rsidRDefault="00AD62A2" w:rsidP="0076441E">
      <w:pPr>
        <w:pStyle w:val="Header"/>
        <w:tabs>
          <w:tab w:val="left" w:pos="284"/>
        </w:tabs>
        <w:jc w:val="both"/>
        <w:rPr>
          <w:sz w:val="22"/>
          <w:szCs w:val="22"/>
          <w:lang w:val="sl-SI"/>
        </w:rPr>
      </w:pPr>
      <w:r w:rsidRPr="00F37527">
        <w:rPr>
          <w:sz w:val="22"/>
          <w:szCs w:val="22"/>
          <w:lang w:val="sl-SI"/>
        </w:rPr>
        <w:t>Učestalost pojave neželjenih dejstava i poremećaja rezultata laboratorijskih analiza (sa izuzetkom povišenja nivoa ALT i CPK, vidjeti u daljem tekstu) bila je slična kod pacijenata liječenih placebom i pacijenata liječenih lamivudinom. Najčešće zabilježena neželjena dejstva bila su malaksalost i zamor, infekcije respiratornog trakta, osjećaj nelagodnosti u grlu i tonzilama, glavobolja, nelagodnost i bolovi u trbuhu, mučnina, povraćanje i dijareja.</w:t>
      </w:r>
    </w:p>
    <w:p w14:paraId="48F0BB87" w14:textId="77777777" w:rsidR="00AD62A2" w:rsidRPr="00F37527" w:rsidRDefault="00AD62A2" w:rsidP="0076441E">
      <w:pPr>
        <w:pStyle w:val="Header"/>
        <w:tabs>
          <w:tab w:val="left" w:pos="284"/>
        </w:tabs>
        <w:jc w:val="both"/>
        <w:rPr>
          <w:sz w:val="22"/>
          <w:szCs w:val="22"/>
          <w:u w:val="single"/>
          <w:lang w:val="sl-SI"/>
        </w:rPr>
      </w:pPr>
    </w:p>
    <w:p w14:paraId="56571783" w14:textId="77777777" w:rsidR="00AD62A2" w:rsidRPr="00F37527" w:rsidRDefault="00AD62A2" w:rsidP="0076441E">
      <w:pPr>
        <w:pStyle w:val="Header"/>
        <w:tabs>
          <w:tab w:val="left" w:pos="284"/>
        </w:tabs>
        <w:jc w:val="both"/>
        <w:rPr>
          <w:sz w:val="22"/>
          <w:szCs w:val="22"/>
          <w:u w:val="single"/>
          <w:lang w:val="sl-SI"/>
        </w:rPr>
      </w:pPr>
      <w:r w:rsidRPr="00F37527">
        <w:rPr>
          <w:sz w:val="22"/>
          <w:szCs w:val="22"/>
          <w:u w:val="single"/>
          <w:lang w:val="sl-SI"/>
        </w:rPr>
        <w:t>Tabelarni prikaz neželjenih reakcija</w:t>
      </w:r>
    </w:p>
    <w:p w14:paraId="662DE4E3" w14:textId="77777777" w:rsidR="00AD62A2" w:rsidRPr="00F37527" w:rsidRDefault="00AD62A2" w:rsidP="0076441E">
      <w:pPr>
        <w:pStyle w:val="Header"/>
        <w:tabs>
          <w:tab w:val="left" w:pos="284"/>
        </w:tabs>
        <w:jc w:val="both"/>
        <w:rPr>
          <w:sz w:val="22"/>
          <w:szCs w:val="22"/>
          <w:lang w:val="sl-SI"/>
        </w:rPr>
      </w:pPr>
    </w:p>
    <w:p w14:paraId="09B2D2AD" w14:textId="5818F292" w:rsidR="00AD62A2" w:rsidRPr="00F37527" w:rsidRDefault="00AD62A2" w:rsidP="0076441E">
      <w:pPr>
        <w:pStyle w:val="Header"/>
        <w:tabs>
          <w:tab w:val="left" w:pos="284"/>
        </w:tabs>
        <w:jc w:val="both"/>
        <w:rPr>
          <w:sz w:val="22"/>
          <w:szCs w:val="22"/>
          <w:lang w:val="sl-SI"/>
        </w:rPr>
      </w:pPr>
      <w:r w:rsidRPr="00F37527">
        <w:rPr>
          <w:sz w:val="22"/>
          <w:szCs w:val="22"/>
          <w:lang w:val="sl-SI"/>
        </w:rPr>
        <w:t>Neželjene reakcije navedene u daljem tekstu klasifikovane su prema sistemima</w:t>
      </w:r>
      <w:r w:rsidR="004B5A7D" w:rsidRPr="00F37527">
        <w:rPr>
          <w:sz w:val="22"/>
          <w:szCs w:val="22"/>
          <w:lang w:val="sl-SI"/>
        </w:rPr>
        <w:t xml:space="preserve"> organa</w:t>
      </w:r>
      <w:r w:rsidRPr="00F37527">
        <w:rPr>
          <w:sz w:val="22"/>
          <w:szCs w:val="22"/>
          <w:lang w:val="sl-SI"/>
        </w:rPr>
        <w:t xml:space="preserve"> i učestalosti. Neželjene reakcije su podijeljene prema učestalosti, samo ukoliko se smatra da je njihova pojava moguće uzročno povezana sa primjenom lamivudina.. Učestalosti su  definisane kao: veoma čest</w:t>
      </w:r>
      <w:r w:rsidR="004B5A7D" w:rsidRPr="00F37527">
        <w:rPr>
          <w:sz w:val="22"/>
          <w:szCs w:val="22"/>
          <w:lang w:val="sl-SI"/>
        </w:rPr>
        <w:t>o</w:t>
      </w:r>
      <w:r w:rsidRPr="00F37527">
        <w:rPr>
          <w:sz w:val="22"/>
          <w:szCs w:val="22"/>
          <w:lang w:val="sl-SI"/>
        </w:rPr>
        <w:t xml:space="preserve"> (≥ 1/10), česta (≥ 1/100 do &lt; 1/10), povremen</w:t>
      </w:r>
      <w:r w:rsidR="004B5A7D" w:rsidRPr="00F37527">
        <w:rPr>
          <w:sz w:val="22"/>
          <w:szCs w:val="22"/>
          <w:lang w:val="sl-SI"/>
        </w:rPr>
        <w:t>o</w:t>
      </w:r>
      <w:r w:rsidRPr="00F37527">
        <w:rPr>
          <w:sz w:val="22"/>
          <w:szCs w:val="22"/>
          <w:lang w:val="sl-SI"/>
        </w:rPr>
        <w:t xml:space="preserve"> (≥ 1/1000 do &lt; 1/100), rijetk</w:t>
      </w:r>
      <w:r w:rsidR="004B5A7D" w:rsidRPr="00F37527">
        <w:rPr>
          <w:sz w:val="22"/>
          <w:szCs w:val="22"/>
          <w:lang w:val="sl-SI"/>
        </w:rPr>
        <w:t>o</w:t>
      </w:r>
      <w:r w:rsidRPr="00F37527">
        <w:rPr>
          <w:sz w:val="22"/>
          <w:szCs w:val="22"/>
          <w:lang w:val="sl-SI"/>
        </w:rPr>
        <w:t xml:space="preserve"> (≥ 1/10 000 do &lt; 1/1000),  veoma rijetk</w:t>
      </w:r>
      <w:r w:rsidR="004B5A7D" w:rsidRPr="00F37527">
        <w:rPr>
          <w:sz w:val="22"/>
          <w:szCs w:val="22"/>
          <w:lang w:val="sl-SI"/>
        </w:rPr>
        <w:t>o</w:t>
      </w:r>
      <w:r w:rsidRPr="00F37527">
        <w:rPr>
          <w:sz w:val="22"/>
          <w:szCs w:val="22"/>
          <w:lang w:val="sl-SI"/>
        </w:rPr>
        <w:t xml:space="preserve"> (&lt; 1/10 000) i nepoznat</w:t>
      </w:r>
      <w:r w:rsidR="004B5A7D" w:rsidRPr="00F37527">
        <w:rPr>
          <w:sz w:val="22"/>
          <w:szCs w:val="22"/>
          <w:lang w:val="sl-SI"/>
        </w:rPr>
        <w:t>o</w:t>
      </w:r>
      <w:r w:rsidRPr="00F37527">
        <w:rPr>
          <w:sz w:val="22"/>
          <w:szCs w:val="22"/>
          <w:lang w:val="sl-SI"/>
        </w:rPr>
        <w:t xml:space="preserve"> (ne može se procijeniti na osnovu dosupnih podataka).</w:t>
      </w:r>
    </w:p>
    <w:p w14:paraId="2C48F424" w14:textId="77777777" w:rsidR="00AD62A2" w:rsidRPr="00F37527" w:rsidRDefault="00AD62A2" w:rsidP="0076441E">
      <w:pPr>
        <w:pStyle w:val="Header"/>
        <w:tabs>
          <w:tab w:val="left" w:pos="284"/>
        </w:tabs>
        <w:jc w:val="both"/>
        <w:rPr>
          <w:sz w:val="22"/>
          <w:szCs w:val="22"/>
          <w:lang w:val="sl-SI"/>
        </w:rPr>
      </w:pPr>
    </w:p>
    <w:p w14:paraId="05CAD2E3" w14:textId="77777777" w:rsidR="00AD62A2" w:rsidRPr="00F37527" w:rsidRDefault="00AD62A2" w:rsidP="0076441E">
      <w:pPr>
        <w:pStyle w:val="Header"/>
        <w:tabs>
          <w:tab w:val="left" w:pos="284"/>
        </w:tabs>
        <w:jc w:val="both"/>
        <w:rPr>
          <w:sz w:val="22"/>
          <w:szCs w:val="22"/>
          <w:lang w:val="sl-SI"/>
        </w:rPr>
      </w:pPr>
      <w:r w:rsidRPr="00F37527">
        <w:rPr>
          <w:sz w:val="22"/>
          <w:szCs w:val="22"/>
          <w:lang w:val="sl-SI"/>
        </w:rPr>
        <w:t>Kategorije učestalosti neželjenih reakcija se najvećim dijelom zasnivaju na iskustvu iz kliničkih ispitivanja, uključujući ukupno 1171 pacijenata sa hroničnim hepatitisom B, kojima je primijenjen lamivudin u dozi od 100 mg.</w:t>
      </w:r>
    </w:p>
    <w:p w14:paraId="5108FEB8" w14:textId="77777777" w:rsidR="00AD62A2" w:rsidRPr="00F37527" w:rsidRDefault="00AD62A2" w:rsidP="0076441E">
      <w:pPr>
        <w:pStyle w:val="Header"/>
        <w:tabs>
          <w:tab w:val="left" w:pos="284"/>
        </w:tabs>
        <w:jc w:val="both"/>
        <w:rPr>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8"/>
        <w:gridCol w:w="4439"/>
      </w:tblGrid>
      <w:tr w:rsidR="00AD62A2" w:rsidRPr="00F37527" w14:paraId="3E5136CC" w14:textId="77777777" w:rsidTr="005F461D">
        <w:trPr>
          <w:trHeight w:val="248"/>
        </w:trPr>
        <w:tc>
          <w:tcPr>
            <w:tcW w:w="8877" w:type="dxa"/>
            <w:gridSpan w:val="2"/>
            <w:tcBorders>
              <w:top w:val="single" w:sz="4" w:space="0" w:color="000000"/>
              <w:left w:val="single" w:sz="4" w:space="0" w:color="000000"/>
              <w:bottom w:val="single" w:sz="4" w:space="0" w:color="000000"/>
              <w:right w:val="single" w:sz="4" w:space="0" w:color="000000"/>
            </w:tcBorders>
            <w:hideMark/>
          </w:tcPr>
          <w:p w14:paraId="6120B1C8" w14:textId="77777777" w:rsidR="00AD62A2" w:rsidRPr="00F37527" w:rsidRDefault="00AD62A2" w:rsidP="0076441E">
            <w:pPr>
              <w:pStyle w:val="Header"/>
              <w:tabs>
                <w:tab w:val="left" w:pos="284"/>
              </w:tabs>
              <w:jc w:val="both"/>
              <w:rPr>
                <w:b/>
                <w:sz w:val="22"/>
                <w:szCs w:val="22"/>
              </w:rPr>
            </w:pPr>
            <w:proofErr w:type="spellStart"/>
            <w:r w:rsidRPr="00F37527">
              <w:rPr>
                <w:b/>
                <w:sz w:val="22"/>
                <w:szCs w:val="22"/>
              </w:rPr>
              <w:t>Poremećaji</w:t>
            </w:r>
            <w:proofErr w:type="spellEnd"/>
            <w:r w:rsidRPr="00F37527">
              <w:rPr>
                <w:b/>
                <w:sz w:val="22"/>
                <w:szCs w:val="22"/>
              </w:rPr>
              <w:t xml:space="preserve"> </w:t>
            </w:r>
            <w:proofErr w:type="spellStart"/>
            <w:r w:rsidRPr="00F37527">
              <w:rPr>
                <w:b/>
                <w:sz w:val="22"/>
                <w:szCs w:val="22"/>
              </w:rPr>
              <w:t>na</w:t>
            </w:r>
            <w:proofErr w:type="spellEnd"/>
            <w:r w:rsidRPr="00F37527">
              <w:rPr>
                <w:b/>
                <w:sz w:val="22"/>
                <w:szCs w:val="22"/>
              </w:rPr>
              <w:t xml:space="preserve"> </w:t>
            </w:r>
            <w:proofErr w:type="spellStart"/>
            <w:r w:rsidRPr="00F37527">
              <w:rPr>
                <w:b/>
                <w:sz w:val="22"/>
                <w:szCs w:val="22"/>
              </w:rPr>
              <w:t>nivou</w:t>
            </w:r>
            <w:proofErr w:type="spellEnd"/>
            <w:r w:rsidRPr="00F37527">
              <w:rPr>
                <w:b/>
                <w:sz w:val="22"/>
                <w:szCs w:val="22"/>
              </w:rPr>
              <w:t xml:space="preserve"> </w:t>
            </w:r>
            <w:proofErr w:type="spellStart"/>
            <w:r w:rsidRPr="00F37527">
              <w:rPr>
                <w:b/>
                <w:sz w:val="22"/>
                <w:szCs w:val="22"/>
              </w:rPr>
              <w:t>krvi</w:t>
            </w:r>
            <w:proofErr w:type="spellEnd"/>
            <w:r w:rsidRPr="00F37527">
              <w:rPr>
                <w:b/>
                <w:sz w:val="22"/>
                <w:szCs w:val="22"/>
              </w:rPr>
              <w:t xml:space="preserve"> </w:t>
            </w:r>
            <w:proofErr w:type="spellStart"/>
            <w:r w:rsidRPr="00F37527">
              <w:rPr>
                <w:b/>
                <w:sz w:val="22"/>
                <w:szCs w:val="22"/>
              </w:rPr>
              <w:t>i</w:t>
            </w:r>
            <w:proofErr w:type="spellEnd"/>
            <w:r w:rsidRPr="00F37527">
              <w:rPr>
                <w:b/>
                <w:sz w:val="22"/>
                <w:szCs w:val="22"/>
              </w:rPr>
              <w:t xml:space="preserve"> </w:t>
            </w:r>
            <w:proofErr w:type="spellStart"/>
            <w:r w:rsidRPr="00F37527">
              <w:rPr>
                <w:b/>
                <w:sz w:val="22"/>
                <w:szCs w:val="22"/>
              </w:rPr>
              <w:t>limfnog</w:t>
            </w:r>
            <w:proofErr w:type="spellEnd"/>
            <w:r w:rsidRPr="00F37527">
              <w:rPr>
                <w:b/>
                <w:sz w:val="22"/>
                <w:szCs w:val="22"/>
              </w:rPr>
              <w:t xml:space="preserve"> </w:t>
            </w:r>
            <w:proofErr w:type="spellStart"/>
            <w:r w:rsidRPr="00F37527">
              <w:rPr>
                <w:b/>
                <w:sz w:val="22"/>
                <w:szCs w:val="22"/>
              </w:rPr>
              <w:t>sistema</w:t>
            </w:r>
            <w:proofErr w:type="spellEnd"/>
            <w:r w:rsidRPr="00F37527">
              <w:rPr>
                <w:b/>
                <w:sz w:val="22"/>
                <w:szCs w:val="22"/>
              </w:rPr>
              <w:t>:</w:t>
            </w:r>
          </w:p>
        </w:tc>
      </w:tr>
      <w:tr w:rsidR="00AD62A2" w:rsidRPr="00F37527" w14:paraId="59C08024" w14:textId="77777777" w:rsidTr="005F461D">
        <w:trPr>
          <w:trHeight w:val="234"/>
        </w:trPr>
        <w:tc>
          <w:tcPr>
            <w:tcW w:w="4438" w:type="dxa"/>
            <w:tcBorders>
              <w:top w:val="single" w:sz="4" w:space="0" w:color="000000"/>
              <w:left w:val="single" w:sz="4" w:space="0" w:color="000000"/>
              <w:bottom w:val="single" w:sz="4" w:space="0" w:color="000000"/>
              <w:right w:val="single" w:sz="4" w:space="0" w:color="000000"/>
            </w:tcBorders>
            <w:hideMark/>
          </w:tcPr>
          <w:p w14:paraId="4CB01496" w14:textId="501EB044" w:rsidR="00AD62A2" w:rsidRPr="00F37527" w:rsidRDefault="00AD62A2" w:rsidP="0076441E">
            <w:pPr>
              <w:pStyle w:val="Header"/>
              <w:tabs>
                <w:tab w:val="left" w:pos="284"/>
              </w:tabs>
              <w:jc w:val="both"/>
              <w:rPr>
                <w:sz w:val="22"/>
                <w:szCs w:val="22"/>
              </w:rPr>
            </w:pPr>
            <w:proofErr w:type="spellStart"/>
            <w:r w:rsidRPr="00F37527">
              <w:rPr>
                <w:sz w:val="22"/>
                <w:szCs w:val="22"/>
              </w:rPr>
              <w:t>Nepoznat</w:t>
            </w:r>
            <w:r w:rsidR="004B5A7D" w:rsidRPr="00F37527">
              <w:rPr>
                <w:sz w:val="22"/>
                <w:szCs w:val="22"/>
              </w:rPr>
              <w:t>o</w:t>
            </w:r>
            <w:proofErr w:type="spellEnd"/>
          </w:p>
        </w:tc>
        <w:tc>
          <w:tcPr>
            <w:tcW w:w="4439" w:type="dxa"/>
            <w:tcBorders>
              <w:top w:val="single" w:sz="4" w:space="0" w:color="000000"/>
              <w:left w:val="single" w:sz="4" w:space="0" w:color="000000"/>
              <w:bottom w:val="single" w:sz="4" w:space="0" w:color="000000"/>
              <w:right w:val="single" w:sz="4" w:space="0" w:color="000000"/>
            </w:tcBorders>
            <w:hideMark/>
          </w:tcPr>
          <w:p w14:paraId="1A12AE96" w14:textId="77777777" w:rsidR="00AD62A2" w:rsidRPr="00F37527" w:rsidRDefault="00AD62A2" w:rsidP="0076441E">
            <w:pPr>
              <w:pStyle w:val="Header"/>
              <w:tabs>
                <w:tab w:val="left" w:pos="284"/>
              </w:tabs>
              <w:jc w:val="both"/>
              <w:rPr>
                <w:sz w:val="22"/>
                <w:szCs w:val="22"/>
              </w:rPr>
            </w:pPr>
            <w:proofErr w:type="spellStart"/>
            <w:r w:rsidRPr="00F37527">
              <w:rPr>
                <w:sz w:val="22"/>
                <w:szCs w:val="22"/>
              </w:rPr>
              <w:t>Trombocitopenija</w:t>
            </w:r>
            <w:proofErr w:type="spellEnd"/>
          </w:p>
        </w:tc>
      </w:tr>
      <w:tr w:rsidR="00AD62A2" w:rsidRPr="00F37527" w14:paraId="3D24A97B" w14:textId="77777777" w:rsidTr="005F461D">
        <w:trPr>
          <w:trHeight w:val="248"/>
        </w:trPr>
        <w:tc>
          <w:tcPr>
            <w:tcW w:w="8877" w:type="dxa"/>
            <w:gridSpan w:val="2"/>
            <w:tcBorders>
              <w:top w:val="single" w:sz="4" w:space="0" w:color="000000"/>
              <w:left w:val="single" w:sz="4" w:space="0" w:color="000000"/>
              <w:bottom w:val="single" w:sz="4" w:space="0" w:color="000000"/>
              <w:right w:val="single" w:sz="4" w:space="0" w:color="000000"/>
            </w:tcBorders>
            <w:hideMark/>
          </w:tcPr>
          <w:p w14:paraId="4900C224" w14:textId="77777777" w:rsidR="00AD62A2" w:rsidRPr="00F37527" w:rsidRDefault="00AD62A2" w:rsidP="0076441E">
            <w:pPr>
              <w:pStyle w:val="Header"/>
              <w:tabs>
                <w:tab w:val="left" w:pos="284"/>
              </w:tabs>
              <w:jc w:val="both"/>
              <w:rPr>
                <w:b/>
                <w:sz w:val="22"/>
                <w:szCs w:val="22"/>
              </w:rPr>
            </w:pPr>
            <w:proofErr w:type="spellStart"/>
            <w:r w:rsidRPr="00F37527">
              <w:rPr>
                <w:b/>
                <w:sz w:val="22"/>
                <w:szCs w:val="22"/>
              </w:rPr>
              <w:t>Metabolizam</w:t>
            </w:r>
            <w:proofErr w:type="spellEnd"/>
            <w:r w:rsidRPr="00F37527">
              <w:rPr>
                <w:b/>
                <w:sz w:val="22"/>
                <w:szCs w:val="22"/>
              </w:rPr>
              <w:t xml:space="preserve"> </w:t>
            </w:r>
            <w:proofErr w:type="spellStart"/>
            <w:r w:rsidRPr="00F37527">
              <w:rPr>
                <w:b/>
                <w:sz w:val="22"/>
                <w:szCs w:val="22"/>
              </w:rPr>
              <w:t>i</w:t>
            </w:r>
            <w:proofErr w:type="spellEnd"/>
            <w:r w:rsidRPr="00F37527">
              <w:rPr>
                <w:b/>
                <w:sz w:val="22"/>
                <w:szCs w:val="22"/>
              </w:rPr>
              <w:t xml:space="preserve"> </w:t>
            </w:r>
            <w:proofErr w:type="spellStart"/>
            <w:r w:rsidRPr="00F37527">
              <w:rPr>
                <w:b/>
                <w:sz w:val="22"/>
                <w:szCs w:val="22"/>
              </w:rPr>
              <w:t>poremećaji</w:t>
            </w:r>
            <w:proofErr w:type="spellEnd"/>
            <w:r w:rsidRPr="00F37527">
              <w:rPr>
                <w:b/>
                <w:sz w:val="22"/>
                <w:szCs w:val="22"/>
              </w:rPr>
              <w:t xml:space="preserve"> </w:t>
            </w:r>
            <w:proofErr w:type="spellStart"/>
            <w:r w:rsidRPr="00F37527">
              <w:rPr>
                <w:b/>
                <w:sz w:val="22"/>
                <w:szCs w:val="22"/>
              </w:rPr>
              <w:t>ishrane</w:t>
            </w:r>
            <w:proofErr w:type="spellEnd"/>
          </w:p>
        </w:tc>
      </w:tr>
      <w:tr w:rsidR="00AD62A2" w:rsidRPr="00F37527" w14:paraId="7EA4E66B" w14:textId="77777777" w:rsidTr="005F461D">
        <w:trPr>
          <w:trHeight w:val="234"/>
        </w:trPr>
        <w:tc>
          <w:tcPr>
            <w:tcW w:w="4438" w:type="dxa"/>
            <w:tcBorders>
              <w:top w:val="single" w:sz="4" w:space="0" w:color="000000"/>
              <w:left w:val="single" w:sz="4" w:space="0" w:color="000000"/>
              <w:bottom w:val="single" w:sz="4" w:space="0" w:color="000000"/>
              <w:right w:val="single" w:sz="4" w:space="0" w:color="000000"/>
            </w:tcBorders>
            <w:hideMark/>
          </w:tcPr>
          <w:p w14:paraId="4286BBAF" w14:textId="445D09C1" w:rsidR="00AD62A2" w:rsidRPr="00F37527" w:rsidRDefault="00AD62A2" w:rsidP="0076441E">
            <w:pPr>
              <w:pStyle w:val="Header"/>
              <w:tabs>
                <w:tab w:val="left" w:pos="284"/>
              </w:tabs>
              <w:jc w:val="both"/>
              <w:rPr>
                <w:sz w:val="22"/>
                <w:szCs w:val="22"/>
              </w:rPr>
            </w:pPr>
            <w:proofErr w:type="spellStart"/>
            <w:r w:rsidRPr="00F37527">
              <w:rPr>
                <w:sz w:val="22"/>
                <w:szCs w:val="22"/>
              </w:rPr>
              <w:t>Veoma</w:t>
            </w:r>
            <w:proofErr w:type="spellEnd"/>
            <w:r w:rsidRPr="00F37527">
              <w:rPr>
                <w:sz w:val="22"/>
                <w:szCs w:val="22"/>
              </w:rPr>
              <w:t xml:space="preserve"> </w:t>
            </w:r>
            <w:proofErr w:type="spellStart"/>
            <w:r w:rsidRPr="00F37527">
              <w:rPr>
                <w:sz w:val="22"/>
                <w:szCs w:val="22"/>
              </w:rPr>
              <w:t>rijetk</w:t>
            </w:r>
            <w:r w:rsidR="004B5A7D" w:rsidRPr="00F37527">
              <w:rPr>
                <w:sz w:val="22"/>
                <w:szCs w:val="22"/>
              </w:rPr>
              <w:t>o</w:t>
            </w:r>
            <w:proofErr w:type="spellEnd"/>
          </w:p>
        </w:tc>
        <w:tc>
          <w:tcPr>
            <w:tcW w:w="4439" w:type="dxa"/>
            <w:tcBorders>
              <w:top w:val="single" w:sz="4" w:space="0" w:color="000000"/>
              <w:left w:val="single" w:sz="4" w:space="0" w:color="000000"/>
              <w:bottom w:val="single" w:sz="4" w:space="0" w:color="000000"/>
              <w:right w:val="single" w:sz="4" w:space="0" w:color="000000"/>
            </w:tcBorders>
            <w:hideMark/>
          </w:tcPr>
          <w:p w14:paraId="45DB06E9" w14:textId="77777777" w:rsidR="00AD62A2" w:rsidRPr="00F37527" w:rsidRDefault="00AD62A2" w:rsidP="0076441E">
            <w:pPr>
              <w:pStyle w:val="Header"/>
              <w:tabs>
                <w:tab w:val="left" w:pos="284"/>
              </w:tabs>
              <w:jc w:val="both"/>
              <w:rPr>
                <w:sz w:val="22"/>
                <w:szCs w:val="22"/>
              </w:rPr>
            </w:pPr>
            <w:proofErr w:type="spellStart"/>
            <w:r w:rsidRPr="00F37527">
              <w:rPr>
                <w:sz w:val="22"/>
                <w:szCs w:val="22"/>
              </w:rPr>
              <w:t>Laktatna</w:t>
            </w:r>
            <w:proofErr w:type="spellEnd"/>
            <w:r w:rsidRPr="00F37527">
              <w:rPr>
                <w:sz w:val="22"/>
                <w:szCs w:val="22"/>
              </w:rPr>
              <w:t xml:space="preserve"> </w:t>
            </w:r>
            <w:proofErr w:type="spellStart"/>
            <w:r w:rsidRPr="00F37527">
              <w:rPr>
                <w:sz w:val="22"/>
                <w:szCs w:val="22"/>
              </w:rPr>
              <w:t>acidoza</w:t>
            </w:r>
            <w:proofErr w:type="spellEnd"/>
          </w:p>
        </w:tc>
      </w:tr>
      <w:tr w:rsidR="00AD62A2" w:rsidRPr="00F37527" w14:paraId="0897E3EA" w14:textId="77777777" w:rsidTr="005F461D">
        <w:trPr>
          <w:trHeight w:val="248"/>
        </w:trPr>
        <w:tc>
          <w:tcPr>
            <w:tcW w:w="8877" w:type="dxa"/>
            <w:gridSpan w:val="2"/>
            <w:tcBorders>
              <w:top w:val="single" w:sz="4" w:space="0" w:color="000000"/>
              <w:left w:val="single" w:sz="4" w:space="0" w:color="000000"/>
              <w:bottom w:val="single" w:sz="4" w:space="0" w:color="000000"/>
              <w:right w:val="single" w:sz="4" w:space="0" w:color="000000"/>
            </w:tcBorders>
            <w:hideMark/>
          </w:tcPr>
          <w:p w14:paraId="1728858B" w14:textId="77777777" w:rsidR="00AD62A2" w:rsidRPr="00F37527" w:rsidRDefault="00AD62A2" w:rsidP="0076441E">
            <w:pPr>
              <w:pStyle w:val="Header"/>
              <w:tabs>
                <w:tab w:val="left" w:pos="284"/>
              </w:tabs>
              <w:jc w:val="both"/>
              <w:rPr>
                <w:b/>
                <w:sz w:val="22"/>
                <w:szCs w:val="22"/>
              </w:rPr>
            </w:pPr>
            <w:proofErr w:type="spellStart"/>
            <w:r w:rsidRPr="00F37527">
              <w:rPr>
                <w:b/>
                <w:sz w:val="22"/>
                <w:szCs w:val="22"/>
              </w:rPr>
              <w:t>Imunološki</w:t>
            </w:r>
            <w:proofErr w:type="spellEnd"/>
            <w:r w:rsidRPr="00F37527">
              <w:rPr>
                <w:b/>
                <w:sz w:val="22"/>
                <w:szCs w:val="22"/>
              </w:rPr>
              <w:t xml:space="preserve"> </w:t>
            </w:r>
            <w:proofErr w:type="spellStart"/>
            <w:r w:rsidRPr="00F37527">
              <w:rPr>
                <w:b/>
                <w:sz w:val="22"/>
                <w:szCs w:val="22"/>
              </w:rPr>
              <w:t>poremećaji</w:t>
            </w:r>
            <w:proofErr w:type="spellEnd"/>
            <w:r w:rsidRPr="00F37527">
              <w:rPr>
                <w:b/>
                <w:sz w:val="22"/>
                <w:szCs w:val="22"/>
              </w:rPr>
              <w:t>:</w:t>
            </w:r>
          </w:p>
        </w:tc>
      </w:tr>
      <w:tr w:rsidR="00AD62A2" w:rsidRPr="00F37527" w14:paraId="0567BE12" w14:textId="77777777" w:rsidTr="005F461D">
        <w:trPr>
          <w:trHeight w:val="234"/>
        </w:trPr>
        <w:tc>
          <w:tcPr>
            <w:tcW w:w="4438" w:type="dxa"/>
            <w:tcBorders>
              <w:top w:val="single" w:sz="4" w:space="0" w:color="000000"/>
              <w:left w:val="single" w:sz="4" w:space="0" w:color="000000"/>
              <w:bottom w:val="single" w:sz="4" w:space="0" w:color="000000"/>
              <w:right w:val="single" w:sz="4" w:space="0" w:color="000000"/>
            </w:tcBorders>
            <w:hideMark/>
          </w:tcPr>
          <w:p w14:paraId="460F473F" w14:textId="404BFDEA" w:rsidR="00AD62A2" w:rsidRPr="00F37527" w:rsidRDefault="00AD62A2" w:rsidP="0076441E">
            <w:pPr>
              <w:pStyle w:val="Header"/>
              <w:tabs>
                <w:tab w:val="left" w:pos="284"/>
              </w:tabs>
              <w:jc w:val="both"/>
              <w:rPr>
                <w:sz w:val="22"/>
                <w:szCs w:val="22"/>
              </w:rPr>
            </w:pPr>
            <w:proofErr w:type="spellStart"/>
            <w:r w:rsidRPr="00F37527">
              <w:rPr>
                <w:sz w:val="22"/>
                <w:szCs w:val="22"/>
              </w:rPr>
              <w:t>Rijetk</w:t>
            </w:r>
            <w:r w:rsidR="004B5A7D" w:rsidRPr="00F37527">
              <w:rPr>
                <w:sz w:val="22"/>
                <w:szCs w:val="22"/>
              </w:rPr>
              <w:t>o</w:t>
            </w:r>
            <w:proofErr w:type="spellEnd"/>
          </w:p>
        </w:tc>
        <w:tc>
          <w:tcPr>
            <w:tcW w:w="4439" w:type="dxa"/>
            <w:tcBorders>
              <w:top w:val="single" w:sz="4" w:space="0" w:color="000000"/>
              <w:left w:val="single" w:sz="4" w:space="0" w:color="000000"/>
              <w:bottom w:val="single" w:sz="4" w:space="0" w:color="000000"/>
              <w:right w:val="single" w:sz="4" w:space="0" w:color="000000"/>
            </w:tcBorders>
            <w:hideMark/>
          </w:tcPr>
          <w:p w14:paraId="532D216A" w14:textId="77777777" w:rsidR="00AD62A2" w:rsidRPr="00F37527" w:rsidRDefault="00AD62A2" w:rsidP="0076441E">
            <w:pPr>
              <w:pStyle w:val="Header"/>
              <w:tabs>
                <w:tab w:val="left" w:pos="284"/>
              </w:tabs>
              <w:jc w:val="both"/>
              <w:rPr>
                <w:sz w:val="22"/>
                <w:szCs w:val="22"/>
              </w:rPr>
            </w:pPr>
            <w:proofErr w:type="spellStart"/>
            <w:r w:rsidRPr="00F37527">
              <w:rPr>
                <w:sz w:val="22"/>
                <w:szCs w:val="22"/>
              </w:rPr>
              <w:t>Angioedem</w:t>
            </w:r>
            <w:proofErr w:type="spellEnd"/>
          </w:p>
        </w:tc>
      </w:tr>
      <w:tr w:rsidR="00AD62A2" w:rsidRPr="00F37527" w14:paraId="51D6D7DD" w14:textId="77777777" w:rsidTr="005F461D">
        <w:trPr>
          <w:trHeight w:val="248"/>
        </w:trPr>
        <w:tc>
          <w:tcPr>
            <w:tcW w:w="8877" w:type="dxa"/>
            <w:gridSpan w:val="2"/>
            <w:tcBorders>
              <w:top w:val="single" w:sz="4" w:space="0" w:color="000000"/>
              <w:left w:val="single" w:sz="4" w:space="0" w:color="000000"/>
              <w:bottom w:val="single" w:sz="4" w:space="0" w:color="000000"/>
              <w:right w:val="single" w:sz="4" w:space="0" w:color="000000"/>
            </w:tcBorders>
            <w:hideMark/>
          </w:tcPr>
          <w:p w14:paraId="77F374DA" w14:textId="77777777" w:rsidR="00AD62A2" w:rsidRPr="00F37527" w:rsidRDefault="00AD62A2" w:rsidP="0076441E">
            <w:pPr>
              <w:pStyle w:val="Header"/>
              <w:tabs>
                <w:tab w:val="left" w:pos="284"/>
              </w:tabs>
              <w:jc w:val="both"/>
              <w:rPr>
                <w:b/>
                <w:sz w:val="22"/>
                <w:szCs w:val="22"/>
              </w:rPr>
            </w:pPr>
            <w:proofErr w:type="spellStart"/>
            <w:r w:rsidRPr="00F37527">
              <w:rPr>
                <w:b/>
                <w:sz w:val="22"/>
                <w:szCs w:val="22"/>
              </w:rPr>
              <w:t>Hepatobilijarni</w:t>
            </w:r>
            <w:proofErr w:type="spellEnd"/>
            <w:r w:rsidRPr="00F37527">
              <w:rPr>
                <w:b/>
                <w:sz w:val="22"/>
                <w:szCs w:val="22"/>
              </w:rPr>
              <w:t xml:space="preserve"> </w:t>
            </w:r>
            <w:proofErr w:type="spellStart"/>
            <w:r w:rsidRPr="00F37527">
              <w:rPr>
                <w:b/>
                <w:sz w:val="22"/>
                <w:szCs w:val="22"/>
              </w:rPr>
              <w:t>poremećaji</w:t>
            </w:r>
            <w:proofErr w:type="spellEnd"/>
            <w:r w:rsidRPr="00F37527">
              <w:rPr>
                <w:b/>
                <w:sz w:val="22"/>
                <w:szCs w:val="22"/>
              </w:rPr>
              <w:t>:</w:t>
            </w:r>
          </w:p>
        </w:tc>
      </w:tr>
      <w:tr w:rsidR="00AD62A2" w:rsidRPr="00F37527" w14:paraId="6F285F81" w14:textId="77777777" w:rsidTr="005F461D">
        <w:trPr>
          <w:trHeight w:val="234"/>
        </w:trPr>
        <w:tc>
          <w:tcPr>
            <w:tcW w:w="4438" w:type="dxa"/>
            <w:tcBorders>
              <w:top w:val="single" w:sz="4" w:space="0" w:color="000000"/>
              <w:left w:val="single" w:sz="4" w:space="0" w:color="000000"/>
              <w:bottom w:val="single" w:sz="4" w:space="0" w:color="000000"/>
              <w:right w:val="single" w:sz="4" w:space="0" w:color="000000"/>
            </w:tcBorders>
            <w:hideMark/>
          </w:tcPr>
          <w:p w14:paraId="3A241F1D" w14:textId="3E58DAD1" w:rsidR="00AD62A2" w:rsidRPr="00F37527" w:rsidRDefault="00AD62A2" w:rsidP="0076441E">
            <w:pPr>
              <w:pStyle w:val="Header"/>
              <w:tabs>
                <w:tab w:val="left" w:pos="284"/>
              </w:tabs>
              <w:jc w:val="both"/>
              <w:rPr>
                <w:sz w:val="22"/>
                <w:szCs w:val="22"/>
              </w:rPr>
            </w:pPr>
            <w:proofErr w:type="spellStart"/>
            <w:r w:rsidRPr="00F37527">
              <w:rPr>
                <w:sz w:val="22"/>
                <w:szCs w:val="22"/>
              </w:rPr>
              <w:t>Veoma</w:t>
            </w:r>
            <w:proofErr w:type="spellEnd"/>
            <w:r w:rsidRPr="00F37527">
              <w:rPr>
                <w:sz w:val="22"/>
                <w:szCs w:val="22"/>
              </w:rPr>
              <w:t xml:space="preserve"> </w:t>
            </w:r>
            <w:proofErr w:type="spellStart"/>
            <w:r w:rsidRPr="00F37527">
              <w:rPr>
                <w:sz w:val="22"/>
                <w:szCs w:val="22"/>
              </w:rPr>
              <w:t>čest</w:t>
            </w:r>
            <w:r w:rsidR="004B5A7D" w:rsidRPr="00F37527">
              <w:rPr>
                <w:sz w:val="22"/>
                <w:szCs w:val="22"/>
              </w:rPr>
              <w:t>o</w:t>
            </w:r>
            <w:proofErr w:type="spellEnd"/>
          </w:p>
        </w:tc>
        <w:tc>
          <w:tcPr>
            <w:tcW w:w="4439" w:type="dxa"/>
            <w:tcBorders>
              <w:top w:val="single" w:sz="4" w:space="0" w:color="000000"/>
              <w:left w:val="single" w:sz="4" w:space="0" w:color="000000"/>
              <w:bottom w:val="single" w:sz="4" w:space="0" w:color="000000"/>
              <w:right w:val="single" w:sz="4" w:space="0" w:color="000000"/>
            </w:tcBorders>
            <w:hideMark/>
          </w:tcPr>
          <w:p w14:paraId="16CA6F9C" w14:textId="77777777" w:rsidR="00AD62A2" w:rsidRPr="00F37527" w:rsidRDefault="00AD62A2" w:rsidP="0076441E">
            <w:pPr>
              <w:pStyle w:val="Header"/>
              <w:tabs>
                <w:tab w:val="left" w:pos="284"/>
              </w:tabs>
              <w:jc w:val="both"/>
              <w:rPr>
                <w:sz w:val="22"/>
                <w:szCs w:val="22"/>
                <w:lang w:val="de-DE"/>
              </w:rPr>
            </w:pPr>
            <w:r w:rsidRPr="00F37527">
              <w:rPr>
                <w:sz w:val="22"/>
                <w:szCs w:val="22"/>
                <w:lang w:val="de-DE"/>
              </w:rPr>
              <w:t>Povišenje nivoa ALT (vidjeti dio 4.4)</w:t>
            </w:r>
          </w:p>
        </w:tc>
      </w:tr>
      <w:tr w:rsidR="00AD62A2" w:rsidRPr="00F37527" w14:paraId="340066DD" w14:textId="77777777" w:rsidTr="005F461D">
        <w:trPr>
          <w:trHeight w:val="746"/>
        </w:trPr>
        <w:tc>
          <w:tcPr>
            <w:tcW w:w="8877" w:type="dxa"/>
            <w:gridSpan w:val="2"/>
            <w:tcBorders>
              <w:top w:val="single" w:sz="4" w:space="0" w:color="000000"/>
              <w:left w:val="single" w:sz="4" w:space="0" w:color="000000"/>
              <w:bottom w:val="single" w:sz="4" w:space="0" w:color="000000"/>
              <w:right w:val="single" w:sz="4" w:space="0" w:color="000000"/>
            </w:tcBorders>
            <w:hideMark/>
          </w:tcPr>
          <w:p w14:paraId="7AE4BBAA" w14:textId="77777777" w:rsidR="00AD62A2" w:rsidRPr="00F37527" w:rsidRDefault="00AD62A2" w:rsidP="0076441E">
            <w:pPr>
              <w:pStyle w:val="Header"/>
              <w:tabs>
                <w:tab w:val="left" w:pos="284"/>
              </w:tabs>
              <w:jc w:val="both"/>
              <w:rPr>
                <w:sz w:val="22"/>
                <w:szCs w:val="22"/>
                <w:lang w:val="de-DE"/>
              </w:rPr>
            </w:pPr>
            <w:r w:rsidRPr="00F37527">
              <w:rPr>
                <w:sz w:val="22"/>
                <w:szCs w:val="22"/>
                <w:lang w:val="de-DE"/>
              </w:rPr>
              <w:t>Egzacerbacija hepatitisa, primarno detektovanog povišenjem nivoa ALT u serumu, bila je prijavljena “tokom primjene terapije” i nakon povlačenja lamivudina iz terapije. Većina dejstava je bila samoograničavajućeg karaktera, međutim pojava fatalnih ishoda je uočena veoma rijetko (vidjeti dio 4.4).</w:t>
            </w:r>
          </w:p>
        </w:tc>
      </w:tr>
      <w:tr w:rsidR="00AD62A2" w:rsidRPr="00F37527" w14:paraId="057DDEF5" w14:textId="77777777" w:rsidTr="005F461D">
        <w:trPr>
          <w:trHeight w:val="234"/>
        </w:trPr>
        <w:tc>
          <w:tcPr>
            <w:tcW w:w="8877" w:type="dxa"/>
            <w:gridSpan w:val="2"/>
            <w:tcBorders>
              <w:top w:val="single" w:sz="4" w:space="0" w:color="000000"/>
              <w:left w:val="single" w:sz="4" w:space="0" w:color="000000"/>
              <w:bottom w:val="single" w:sz="4" w:space="0" w:color="000000"/>
              <w:right w:val="single" w:sz="4" w:space="0" w:color="000000"/>
            </w:tcBorders>
            <w:hideMark/>
          </w:tcPr>
          <w:p w14:paraId="0E76FABD" w14:textId="77777777" w:rsidR="00AD62A2" w:rsidRPr="00F37527" w:rsidRDefault="00AD62A2" w:rsidP="0076441E">
            <w:pPr>
              <w:pStyle w:val="Header"/>
              <w:tabs>
                <w:tab w:val="left" w:pos="284"/>
              </w:tabs>
              <w:jc w:val="both"/>
              <w:rPr>
                <w:b/>
                <w:sz w:val="22"/>
                <w:szCs w:val="22"/>
                <w:lang w:val="de-DE"/>
              </w:rPr>
            </w:pPr>
            <w:r w:rsidRPr="00F37527">
              <w:rPr>
                <w:b/>
                <w:sz w:val="22"/>
                <w:szCs w:val="22"/>
                <w:lang w:val="de-DE"/>
              </w:rPr>
              <w:t>Poremećaji na nivou kože i potkožnog tkiva:</w:t>
            </w:r>
          </w:p>
        </w:tc>
      </w:tr>
      <w:tr w:rsidR="00AD62A2" w:rsidRPr="00F37527" w14:paraId="37774EBC" w14:textId="77777777" w:rsidTr="005F461D">
        <w:trPr>
          <w:trHeight w:val="248"/>
        </w:trPr>
        <w:tc>
          <w:tcPr>
            <w:tcW w:w="4438" w:type="dxa"/>
            <w:tcBorders>
              <w:top w:val="single" w:sz="4" w:space="0" w:color="000000"/>
              <w:left w:val="single" w:sz="4" w:space="0" w:color="000000"/>
              <w:bottom w:val="single" w:sz="4" w:space="0" w:color="000000"/>
              <w:right w:val="single" w:sz="4" w:space="0" w:color="000000"/>
            </w:tcBorders>
            <w:hideMark/>
          </w:tcPr>
          <w:p w14:paraId="48DF1C9E" w14:textId="71CF5179" w:rsidR="00AD62A2" w:rsidRPr="00F37527" w:rsidRDefault="00AD62A2" w:rsidP="0076441E">
            <w:pPr>
              <w:pStyle w:val="Header"/>
              <w:tabs>
                <w:tab w:val="left" w:pos="284"/>
              </w:tabs>
              <w:jc w:val="both"/>
              <w:rPr>
                <w:sz w:val="22"/>
                <w:szCs w:val="22"/>
              </w:rPr>
            </w:pPr>
            <w:proofErr w:type="spellStart"/>
            <w:r w:rsidRPr="00F37527">
              <w:rPr>
                <w:sz w:val="22"/>
                <w:szCs w:val="22"/>
              </w:rPr>
              <w:t>Čest</w:t>
            </w:r>
            <w:r w:rsidR="004B5A7D" w:rsidRPr="00F37527">
              <w:rPr>
                <w:sz w:val="22"/>
                <w:szCs w:val="22"/>
              </w:rPr>
              <w:t>o</w:t>
            </w:r>
            <w:proofErr w:type="spellEnd"/>
          </w:p>
        </w:tc>
        <w:tc>
          <w:tcPr>
            <w:tcW w:w="4439" w:type="dxa"/>
            <w:tcBorders>
              <w:top w:val="single" w:sz="4" w:space="0" w:color="000000"/>
              <w:left w:val="single" w:sz="4" w:space="0" w:color="000000"/>
              <w:bottom w:val="single" w:sz="4" w:space="0" w:color="000000"/>
              <w:right w:val="single" w:sz="4" w:space="0" w:color="000000"/>
            </w:tcBorders>
            <w:hideMark/>
          </w:tcPr>
          <w:p w14:paraId="3259BB68" w14:textId="77777777" w:rsidR="00AD62A2" w:rsidRPr="00F37527" w:rsidRDefault="00AD62A2" w:rsidP="0076441E">
            <w:pPr>
              <w:pStyle w:val="Header"/>
              <w:tabs>
                <w:tab w:val="left" w:pos="284"/>
              </w:tabs>
              <w:jc w:val="both"/>
              <w:rPr>
                <w:sz w:val="22"/>
                <w:szCs w:val="22"/>
              </w:rPr>
            </w:pPr>
            <w:proofErr w:type="spellStart"/>
            <w:r w:rsidRPr="00F37527">
              <w:rPr>
                <w:sz w:val="22"/>
                <w:szCs w:val="22"/>
              </w:rPr>
              <w:t>Osip</w:t>
            </w:r>
            <w:proofErr w:type="spellEnd"/>
            <w:r w:rsidRPr="00F37527">
              <w:rPr>
                <w:sz w:val="22"/>
                <w:szCs w:val="22"/>
              </w:rPr>
              <w:t xml:space="preserve">, </w:t>
            </w:r>
            <w:proofErr w:type="spellStart"/>
            <w:r w:rsidRPr="00F37527">
              <w:rPr>
                <w:sz w:val="22"/>
                <w:szCs w:val="22"/>
              </w:rPr>
              <w:t>svrab</w:t>
            </w:r>
            <w:proofErr w:type="spellEnd"/>
          </w:p>
        </w:tc>
      </w:tr>
      <w:tr w:rsidR="00AD62A2" w:rsidRPr="00F37527" w14:paraId="64BA89E4" w14:textId="77777777" w:rsidTr="005F461D">
        <w:trPr>
          <w:trHeight w:val="234"/>
        </w:trPr>
        <w:tc>
          <w:tcPr>
            <w:tcW w:w="8877" w:type="dxa"/>
            <w:gridSpan w:val="2"/>
            <w:tcBorders>
              <w:top w:val="single" w:sz="4" w:space="0" w:color="000000"/>
              <w:left w:val="single" w:sz="4" w:space="0" w:color="000000"/>
              <w:bottom w:val="single" w:sz="4" w:space="0" w:color="000000"/>
              <w:right w:val="single" w:sz="4" w:space="0" w:color="000000"/>
            </w:tcBorders>
            <w:hideMark/>
          </w:tcPr>
          <w:p w14:paraId="771466D9" w14:textId="77777777" w:rsidR="00AD62A2" w:rsidRPr="00F37527" w:rsidRDefault="00AD62A2" w:rsidP="0076441E">
            <w:pPr>
              <w:pStyle w:val="Header"/>
              <w:tabs>
                <w:tab w:val="left" w:pos="284"/>
              </w:tabs>
              <w:jc w:val="both"/>
              <w:rPr>
                <w:b/>
                <w:sz w:val="22"/>
                <w:szCs w:val="22"/>
              </w:rPr>
            </w:pPr>
            <w:proofErr w:type="spellStart"/>
            <w:r w:rsidRPr="00F37527">
              <w:rPr>
                <w:b/>
                <w:sz w:val="22"/>
                <w:szCs w:val="22"/>
              </w:rPr>
              <w:t>Poremećaji</w:t>
            </w:r>
            <w:proofErr w:type="spellEnd"/>
            <w:r w:rsidRPr="00F37527">
              <w:rPr>
                <w:b/>
                <w:sz w:val="22"/>
                <w:szCs w:val="22"/>
              </w:rPr>
              <w:t xml:space="preserve"> </w:t>
            </w:r>
            <w:proofErr w:type="spellStart"/>
            <w:r w:rsidRPr="00F37527">
              <w:rPr>
                <w:b/>
                <w:sz w:val="22"/>
                <w:szCs w:val="22"/>
              </w:rPr>
              <w:t>mišićno-skeletnog</w:t>
            </w:r>
            <w:proofErr w:type="spellEnd"/>
            <w:r w:rsidRPr="00F37527">
              <w:rPr>
                <w:b/>
                <w:sz w:val="22"/>
                <w:szCs w:val="22"/>
              </w:rPr>
              <w:t xml:space="preserve"> </w:t>
            </w:r>
            <w:proofErr w:type="spellStart"/>
            <w:r w:rsidRPr="00F37527">
              <w:rPr>
                <w:b/>
                <w:sz w:val="22"/>
                <w:szCs w:val="22"/>
              </w:rPr>
              <w:t>i</w:t>
            </w:r>
            <w:proofErr w:type="spellEnd"/>
            <w:r w:rsidRPr="00F37527">
              <w:rPr>
                <w:b/>
                <w:sz w:val="22"/>
                <w:szCs w:val="22"/>
              </w:rPr>
              <w:t xml:space="preserve"> </w:t>
            </w:r>
            <w:proofErr w:type="spellStart"/>
            <w:r w:rsidRPr="00F37527">
              <w:rPr>
                <w:b/>
                <w:sz w:val="22"/>
                <w:szCs w:val="22"/>
              </w:rPr>
              <w:t>vezivnog</w:t>
            </w:r>
            <w:proofErr w:type="spellEnd"/>
            <w:r w:rsidRPr="00F37527">
              <w:rPr>
                <w:b/>
                <w:sz w:val="22"/>
                <w:szCs w:val="22"/>
              </w:rPr>
              <w:t xml:space="preserve"> </w:t>
            </w:r>
            <w:proofErr w:type="spellStart"/>
            <w:r w:rsidRPr="00F37527">
              <w:rPr>
                <w:b/>
                <w:sz w:val="22"/>
                <w:szCs w:val="22"/>
              </w:rPr>
              <w:t>tkiva</w:t>
            </w:r>
            <w:proofErr w:type="spellEnd"/>
            <w:r w:rsidRPr="00F37527">
              <w:rPr>
                <w:b/>
                <w:sz w:val="22"/>
                <w:szCs w:val="22"/>
              </w:rPr>
              <w:t xml:space="preserve">  :</w:t>
            </w:r>
          </w:p>
        </w:tc>
      </w:tr>
      <w:tr w:rsidR="00AD62A2" w:rsidRPr="00F37527" w14:paraId="090453EF" w14:textId="77777777" w:rsidTr="005F461D">
        <w:trPr>
          <w:trHeight w:val="248"/>
        </w:trPr>
        <w:tc>
          <w:tcPr>
            <w:tcW w:w="4438" w:type="dxa"/>
            <w:tcBorders>
              <w:top w:val="single" w:sz="4" w:space="0" w:color="000000"/>
              <w:left w:val="single" w:sz="4" w:space="0" w:color="000000"/>
              <w:bottom w:val="single" w:sz="4" w:space="0" w:color="000000"/>
              <w:right w:val="single" w:sz="4" w:space="0" w:color="000000"/>
            </w:tcBorders>
            <w:hideMark/>
          </w:tcPr>
          <w:p w14:paraId="6348E1CB" w14:textId="39758F16" w:rsidR="00AD62A2" w:rsidRPr="00F37527" w:rsidRDefault="00AD62A2" w:rsidP="0076441E">
            <w:pPr>
              <w:pStyle w:val="Header"/>
              <w:tabs>
                <w:tab w:val="left" w:pos="284"/>
              </w:tabs>
              <w:jc w:val="both"/>
              <w:rPr>
                <w:sz w:val="22"/>
                <w:szCs w:val="22"/>
              </w:rPr>
            </w:pPr>
            <w:proofErr w:type="spellStart"/>
            <w:r w:rsidRPr="00F37527">
              <w:rPr>
                <w:sz w:val="22"/>
                <w:szCs w:val="22"/>
              </w:rPr>
              <w:t>Čest</w:t>
            </w:r>
            <w:r w:rsidR="004B5A7D" w:rsidRPr="00F37527">
              <w:rPr>
                <w:sz w:val="22"/>
                <w:szCs w:val="22"/>
              </w:rPr>
              <w:t>o</w:t>
            </w:r>
            <w:proofErr w:type="spellEnd"/>
          </w:p>
        </w:tc>
        <w:tc>
          <w:tcPr>
            <w:tcW w:w="4439" w:type="dxa"/>
            <w:tcBorders>
              <w:top w:val="single" w:sz="4" w:space="0" w:color="000000"/>
              <w:left w:val="single" w:sz="4" w:space="0" w:color="000000"/>
              <w:bottom w:val="single" w:sz="4" w:space="0" w:color="000000"/>
              <w:right w:val="single" w:sz="4" w:space="0" w:color="000000"/>
            </w:tcBorders>
            <w:hideMark/>
          </w:tcPr>
          <w:p w14:paraId="7E0B0D26" w14:textId="77777777" w:rsidR="00AD62A2" w:rsidRPr="00F37527" w:rsidRDefault="00AD62A2" w:rsidP="0076441E">
            <w:pPr>
              <w:pStyle w:val="Header"/>
              <w:tabs>
                <w:tab w:val="left" w:pos="284"/>
              </w:tabs>
              <w:jc w:val="both"/>
              <w:rPr>
                <w:sz w:val="22"/>
                <w:szCs w:val="22"/>
              </w:rPr>
            </w:pPr>
            <w:proofErr w:type="spellStart"/>
            <w:r w:rsidRPr="00F37527">
              <w:rPr>
                <w:sz w:val="22"/>
                <w:szCs w:val="22"/>
              </w:rPr>
              <w:t>Povišenje</w:t>
            </w:r>
            <w:proofErr w:type="spellEnd"/>
            <w:r w:rsidRPr="00F37527">
              <w:rPr>
                <w:sz w:val="22"/>
                <w:szCs w:val="22"/>
              </w:rPr>
              <w:t xml:space="preserve"> </w:t>
            </w:r>
            <w:proofErr w:type="spellStart"/>
            <w:r w:rsidRPr="00F37527">
              <w:rPr>
                <w:sz w:val="22"/>
                <w:szCs w:val="22"/>
              </w:rPr>
              <w:t>nivoa</w:t>
            </w:r>
            <w:proofErr w:type="spellEnd"/>
            <w:r w:rsidRPr="00F37527">
              <w:rPr>
                <w:sz w:val="22"/>
                <w:szCs w:val="22"/>
              </w:rPr>
              <w:t xml:space="preserve"> </w:t>
            </w:r>
            <w:proofErr w:type="spellStart"/>
            <w:r w:rsidRPr="00F37527">
              <w:rPr>
                <w:sz w:val="22"/>
                <w:szCs w:val="22"/>
              </w:rPr>
              <w:t>CPK</w:t>
            </w:r>
            <w:proofErr w:type="spellEnd"/>
          </w:p>
        </w:tc>
      </w:tr>
      <w:tr w:rsidR="00AD62A2" w:rsidRPr="00F37527" w14:paraId="37F8CE14" w14:textId="77777777" w:rsidTr="005F461D">
        <w:trPr>
          <w:trHeight w:val="234"/>
        </w:trPr>
        <w:tc>
          <w:tcPr>
            <w:tcW w:w="4438" w:type="dxa"/>
            <w:tcBorders>
              <w:top w:val="single" w:sz="4" w:space="0" w:color="000000"/>
              <w:left w:val="single" w:sz="4" w:space="0" w:color="000000"/>
              <w:bottom w:val="single" w:sz="4" w:space="0" w:color="000000"/>
              <w:right w:val="single" w:sz="4" w:space="0" w:color="000000"/>
            </w:tcBorders>
            <w:hideMark/>
          </w:tcPr>
          <w:p w14:paraId="0614A54F" w14:textId="6DFF09D8" w:rsidR="00AD62A2" w:rsidRPr="00F37527" w:rsidRDefault="00AD62A2" w:rsidP="0076441E">
            <w:pPr>
              <w:pStyle w:val="Header"/>
              <w:tabs>
                <w:tab w:val="left" w:pos="284"/>
              </w:tabs>
              <w:jc w:val="both"/>
              <w:rPr>
                <w:sz w:val="22"/>
                <w:szCs w:val="22"/>
              </w:rPr>
            </w:pPr>
            <w:proofErr w:type="spellStart"/>
            <w:r w:rsidRPr="00F37527">
              <w:rPr>
                <w:sz w:val="22"/>
                <w:szCs w:val="22"/>
              </w:rPr>
              <w:t>Čest</w:t>
            </w:r>
            <w:r w:rsidR="004B5A7D" w:rsidRPr="00F37527">
              <w:rPr>
                <w:sz w:val="22"/>
                <w:szCs w:val="22"/>
              </w:rPr>
              <w:t>o</w:t>
            </w:r>
            <w:proofErr w:type="spellEnd"/>
          </w:p>
        </w:tc>
        <w:tc>
          <w:tcPr>
            <w:tcW w:w="4439" w:type="dxa"/>
            <w:tcBorders>
              <w:top w:val="single" w:sz="4" w:space="0" w:color="000000"/>
              <w:left w:val="single" w:sz="4" w:space="0" w:color="000000"/>
              <w:bottom w:val="single" w:sz="4" w:space="0" w:color="000000"/>
              <w:right w:val="single" w:sz="4" w:space="0" w:color="000000"/>
            </w:tcBorders>
            <w:hideMark/>
          </w:tcPr>
          <w:p w14:paraId="611684FD" w14:textId="77777777" w:rsidR="00AD62A2" w:rsidRPr="00F37527" w:rsidRDefault="00AD62A2" w:rsidP="0076441E">
            <w:pPr>
              <w:pStyle w:val="Header"/>
              <w:tabs>
                <w:tab w:val="left" w:pos="284"/>
              </w:tabs>
              <w:jc w:val="both"/>
              <w:rPr>
                <w:sz w:val="22"/>
                <w:szCs w:val="22"/>
              </w:rPr>
            </w:pPr>
            <w:proofErr w:type="spellStart"/>
            <w:r w:rsidRPr="00F37527">
              <w:rPr>
                <w:sz w:val="22"/>
                <w:szCs w:val="22"/>
              </w:rPr>
              <w:t>Mišićni</w:t>
            </w:r>
            <w:proofErr w:type="spellEnd"/>
            <w:r w:rsidRPr="00F37527">
              <w:rPr>
                <w:sz w:val="22"/>
                <w:szCs w:val="22"/>
              </w:rPr>
              <w:t xml:space="preserve"> </w:t>
            </w:r>
            <w:proofErr w:type="spellStart"/>
            <w:r w:rsidRPr="00F37527">
              <w:rPr>
                <w:sz w:val="22"/>
                <w:szCs w:val="22"/>
              </w:rPr>
              <w:t>poremećaji</w:t>
            </w:r>
            <w:proofErr w:type="spellEnd"/>
            <w:r w:rsidRPr="00F37527">
              <w:rPr>
                <w:sz w:val="22"/>
                <w:szCs w:val="22"/>
              </w:rPr>
              <w:t xml:space="preserve">, </w:t>
            </w:r>
            <w:proofErr w:type="spellStart"/>
            <w:r w:rsidRPr="00F37527">
              <w:rPr>
                <w:sz w:val="22"/>
                <w:szCs w:val="22"/>
              </w:rPr>
              <w:t>uključujući</w:t>
            </w:r>
            <w:proofErr w:type="spellEnd"/>
            <w:r w:rsidRPr="00F37527">
              <w:rPr>
                <w:sz w:val="22"/>
                <w:szCs w:val="22"/>
              </w:rPr>
              <w:t xml:space="preserve"> </w:t>
            </w:r>
            <w:proofErr w:type="spellStart"/>
            <w:r w:rsidRPr="00F37527">
              <w:rPr>
                <w:sz w:val="22"/>
                <w:szCs w:val="22"/>
              </w:rPr>
              <w:t>mijalgiju</w:t>
            </w:r>
            <w:proofErr w:type="spellEnd"/>
            <w:r w:rsidRPr="00F37527">
              <w:rPr>
                <w:sz w:val="22"/>
                <w:szCs w:val="22"/>
              </w:rPr>
              <w:t xml:space="preserve"> </w:t>
            </w:r>
            <w:proofErr w:type="spellStart"/>
            <w:r w:rsidRPr="00F37527">
              <w:rPr>
                <w:sz w:val="22"/>
                <w:szCs w:val="22"/>
              </w:rPr>
              <w:t>i</w:t>
            </w:r>
            <w:proofErr w:type="spellEnd"/>
            <w:r w:rsidRPr="00F37527">
              <w:rPr>
                <w:sz w:val="22"/>
                <w:szCs w:val="22"/>
              </w:rPr>
              <w:t xml:space="preserve"> </w:t>
            </w:r>
            <w:proofErr w:type="spellStart"/>
            <w:r w:rsidRPr="00F37527">
              <w:rPr>
                <w:sz w:val="22"/>
                <w:szCs w:val="22"/>
              </w:rPr>
              <w:t>grčeve</w:t>
            </w:r>
            <w:proofErr w:type="spellEnd"/>
            <w:r w:rsidRPr="00F37527">
              <w:rPr>
                <w:sz w:val="22"/>
                <w:szCs w:val="22"/>
              </w:rPr>
              <w:t>*</w:t>
            </w:r>
          </w:p>
        </w:tc>
      </w:tr>
      <w:tr w:rsidR="00AD62A2" w:rsidRPr="00F37527" w14:paraId="07AC2EC7" w14:textId="77777777" w:rsidTr="005F461D">
        <w:trPr>
          <w:trHeight w:val="234"/>
        </w:trPr>
        <w:tc>
          <w:tcPr>
            <w:tcW w:w="4438" w:type="dxa"/>
            <w:tcBorders>
              <w:top w:val="single" w:sz="4" w:space="0" w:color="000000"/>
              <w:left w:val="single" w:sz="4" w:space="0" w:color="000000"/>
              <w:bottom w:val="single" w:sz="4" w:space="0" w:color="000000"/>
              <w:right w:val="single" w:sz="4" w:space="0" w:color="000000"/>
            </w:tcBorders>
            <w:hideMark/>
          </w:tcPr>
          <w:p w14:paraId="5F06ABE2" w14:textId="6C298EEA" w:rsidR="00AD62A2" w:rsidRPr="00F37527" w:rsidRDefault="00AD62A2" w:rsidP="0076441E">
            <w:pPr>
              <w:pStyle w:val="Header"/>
              <w:tabs>
                <w:tab w:val="left" w:pos="284"/>
              </w:tabs>
              <w:jc w:val="both"/>
              <w:rPr>
                <w:sz w:val="22"/>
                <w:szCs w:val="22"/>
              </w:rPr>
            </w:pPr>
            <w:proofErr w:type="spellStart"/>
            <w:r w:rsidRPr="00F37527">
              <w:rPr>
                <w:sz w:val="22"/>
                <w:szCs w:val="22"/>
              </w:rPr>
              <w:t>Nepoznat</w:t>
            </w:r>
            <w:r w:rsidR="004B5A7D" w:rsidRPr="00F37527">
              <w:rPr>
                <w:sz w:val="22"/>
                <w:szCs w:val="22"/>
              </w:rPr>
              <w:t>o</w:t>
            </w:r>
            <w:proofErr w:type="spellEnd"/>
          </w:p>
        </w:tc>
        <w:tc>
          <w:tcPr>
            <w:tcW w:w="4439" w:type="dxa"/>
            <w:tcBorders>
              <w:top w:val="single" w:sz="4" w:space="0" w:color="000000"/>
              <w:left w:val="single" w:sz="4" w:space="0" w:color="000000"/>
              <w:bottom w:val="single" w:sz="4" w:space="0" w:color="000000"/>
              <w:right w:val="single" w:sz="4" w:space="0" w:color="000000"/>
            </w:tcBorders>
            <w:hideMark/>
          </w:tcPr>
          <w:p w14:paraId="1DFCD60B" w14:textId="77777777" w:rsidR="00AD62A2" w:rsidRPr="00F37527" w:rsidRDefault="00AD62A2" w:rsidP="0076441E">
            <w:pPr>
              <w:pStyle w:val="Header"/>
              <w:tabs>
                <w:tab w:val="left" w:pos="284"/>
              </w:tabs>
              <w:jc w:val="both"/>
              <w:rPr>
                <w:sz w:val="22"/>
                <w:szCs w:val="22"/>
              </w:rPr>
            </w:pPr>
            <w:proofErr w:type="spellStart"/>
            <w:r w:rsidRPr="00F37527">
              <w:rPr>
                <w:sz w:val="22"/>
                <w:szCs w:val="22"/>
              </w:rPr>
              <w:t>Rabdomioliza</w:t>
            </w:r>
            <w:proofErr w:type="spellEnd"/>
          </w:p>
        </w:tc>
      </w:tr>
    </w:tbl>
    <w:p w14:paraId="738B4668" w14:textId="77777777" w:rsidR="00AD62A2" w:rsidRPr="00F37527" w:rsidRDefault="00AD62A2" w:rsidP="0076441E">
      <w:pPr>
        <w:pStyle w:val="Header"/>
        <w:tabs>
          <w:tab w:val="left" w:pos="284"/>
        </w:tabs>
        <w:jc w:val="both"/>
        <w:rPr>
          <w:sz w:val="22"/>
          <w:szCs w:val="22"/>
        </w:rPr>
      </w:pPr>
      <w:r w:rsidRPr="00F37527">
        <w:rPr>
          <w:sz w:val="22"/>
          <w:szCs w:val="22"/>
        </w:rPr>
        <w:lastRenderedPageBreak/>
        <w:t xml:space="preserve">* U </w:t>
      </w:r>
      <w:proofErr w:type="spellStart"/>
      <w:r w:rsidRPr="00F37527">
        <w:rPr>
          <w:sz w:val="22"/>
          <w:szCs w:val="22"/>
        </w:rPr>
        <w:t>okviru</w:t>
      </w:r>
      <w:proofErr w:type="spellEnd"/>
      <w:r w:rsidRPr="00F37527">
        <w:rPr>
          <w:sz w:val="22"/>
          <w:szCs w:val="22"/>
        </w:rPr>
        <w:t xml:space="preserve"> Faze III </w:t>
      </w:r>
      <w:proofErr w:type="spellStart"/>
      <w:r w:rsidRPr="00F37527">
        <w:rPr>
          <w:sz w:val="22"/>
          <w:szCs w:val="22"/>
        </w:rPr>
        <w:t>kliničkog</w:t>
      </w:r>
      <w:proofErr w:type="spellEnd"/>
      <w:r w:rsidRPr="00F37527">
        <w:rPr>
          <w:sz w:val="22"/>
          <w:szCs w:val="22"/>
        </w:rPr>
        <w:t xml:space="preserve"> </w:t>
      </w:r>
      <w:proofErr w:type="spellStart"/>
      <w:r w:rsidRPr="00F37527">
        <w:rPr>
          <w:sz w:val="22"/>
          <w:szCs w:val="22"/>
        </w:rPr>
        <w:t>ispitivanja</w:t>
      </w:r>
      <w:proofErr w:type="spellEnd"/>
      <w:r w:rsidRPr="00F37527">
        <w:rPr>
          <w:sz w:val="22"/>
          <w:szCs w:val="22"/>
        </w:rPr>
        <w:t xml:space="preserve">, </w:t>
      </w:r>
      <w:proofErr w:type="spellStart"/>
      <w:r w:rsidRPr="00F37527">
        <w:rPr>
          <w:sz w:val="22"/>
          <w:szCs w:val="22"/>
        </w:rPr>
        <w:t>učestalost</w:t>
      </w:r>
      <w:proofErr w:type="spellEnd"/>
      <w:r w:rsidRPr="00F37527">
        <w:rPr>
          <w:sz w:val="22"/>
          <w:szCs w:val="22"/>
        </w:rPr>
        <w:t xml:space="preserve"> </w:t>
      </w:r>
      <w:proofErr w:type="spellStart"/>
      <w:r w:rsidRPr="00F37527">
        <w:rPr>
          <w:sz w:val="22"/>
          <w:szCs w:val="22"/>
        </w:rPr>
        <w:t>uočena</w:t>
      </w:r>
      <w:proofErr w:type="spellEnd"/>
      <w:r w:rsidRPr="00F37527">
        <w:rPr>
          <w:sz w:val="22"/>
          <w:szCs w:val="22"/>
        </w:rPr>
        <w:t xml:space="preserve"> u </w:t>
      </w:r>
      <w:proofErr w:type="spellStart"/>
      <w:r w:rsidRPr="00F37527">
        <w:rPr>
          <w:sz w:val="22"/>
          <w:szCs w:val="22"/>
        </w:rPr>
        <w:t>grupi</w:t>
      </w:r>
      <w:proofErr w:type="spellEnd"/>
      <w:r w:rsidRPr="00F37527">
        <w:rPr>
          <w:sz w:val="22"/>
          <w:szCs w:val="22"/>
        </w:rPr>
        <w:t xml:space="preserve"> </w:t>
      </w:r>
      <w:proofErr w:type="spellStart"/>
      <w:r w:rsidRPr="00F37527">
        <w:rPr>
          <w:sz w:val="22"/>
          <w:szCs w:val="22"/>
        </w:rPr>
        <w:t>liječenoj</w:t>
      </w:r>
      <w:proofErr w:type="spellEnd"/>
      <w:r w:rsidRPr="00F37527">
        <w:rPr>
          <w:sz w:val="22"/>
          <w:szCs w:val="22"/>
        </w:rPr>
        <w:t xml:space="preserve"> </w:t>
      </w:r>
      <w:proofErr w:type="spellStart"/>
      <w:r w:rsidRPr="00F37527">
        <w:rPr>
          <w:sz w:val="22"/>
          <w:szCs w:val="22"/>
        </w:rPr>
        <w:t>lamivudinom</w:t>
      </w:r>
      <w:proofErr w:type="spellEnd"/>
      <w:r w:rsidRPr="00F37527">
        <w:rPr>
          <w:sz w:val="22"/>
          <w:szCs w:val="22"/>
        </w:rPr>
        <w:t xml:space="preserve"> </w:t>
      </w:r>
      <w:proofErr w:type="spellStart"/>
      <w:r w:rsidRPr="00F37527">
        <w:rPr>
          <w:sz w:val="22"/>
          <w:szCs w:val="22"/>
        </w:rPr>
        <w:t>nije</w:t>
      </w:r>
      <w:proofErr w:type="spellEnd"/>
      <w:r w:rsidRPr="00F37527">
        <w:rPr>
          <w:sz w:val="22"/>
          <w:szCs w:val="22"/>
        </w:rPr>
        <w:t xml:space="preserve"> </w:t>
      </w:r>
      <w:proofErr w:type="spellStart"/>
      <w:r w:rsidRPr="00F37527">
        <w:rPr>
          <w:sz w:val="22"/>
          <w:szCs w:val="22"/>
        </w:rPr>
        <w:t>bila</w:t>
      </w:r>
      <w:proofErr w:type="spellEnd"/>
      <w:r w:rsidRPr="00F37527">
        <w:rPr>
          <w:sz w:val="22"/>
          <w:szCs w:val="22"/>
        </w:rPr>
        <w:t xml:space="preserve"> </w:t>
      </w:r>
      <w:proofErr w:type="spellStart"/>
      <w:r w:rsidRPr="00F37527">
        <w:rPr>
          <w:sz w:val="22"/>
          <w:szCs w:val="22"/>
        </w:rPr>
        <w:t>viša</w:t>
      </w:r>
      <w:proofErr w:type="spellEnd"/>
      <w:r w:rsidRPr="00F37527">
        <w:rPr>
          <w:sz w:val="22"/>
          <w:szCs w:val="22"/>
        </w:rPr>
        <w:t xml:space="preserve"> </w:t>
      </w:r>
      <w:proofErr w:type="gramStart"/>
      <w:r w:rsidRPr="00F37527">
        <w:rPr>
          <w:sz w:val="22"/>
          <w:szCs w:val="22"/>
        </w:rPr>
        <w:t>od</w:t>
      </w:r>
      <w:proofErr w:type="gramEnd"/>
      <w:r w:rsidRPr="00F37527">
        <w:rPr>
          <w:sz w:val="22"/>
          <w:szCs w:val="22"/>
        </w:rPr>
        <w:t xml:space="preserve"> </w:t>
      </w:r>
      <w:proofErr w:type="spellStart"/>
      <w:r w:rsidRPr="00F37527">
        <w:rPr>
          <w:sz w:val="22"/>
          <w:szCs w:val="22"/>
        </w:rPr>
        <w:t>učestalosti</w:t>
      </w:r>
      <w:proofErr w:type="spellEnd"/>
      <w:r w:rsidRPr="00F37527">
        <w:rPr>
          <w:sz w:val="22"/>
          <w:szCs w:val="22"/>
        </w:rPr>
        <w:t xml:space="preserve"> </w:t>
      </w:r>
      <w:proofErr w:type="spellStart"/>
      <w:r w:rsidRPr="00F37527">
        <w:rPr>
          <w:sz w:val="22"/>
          <w:szCs w:val="22"/>
        </w:rPr>
        <w:t>uočenoj</w:t>
      </w:r>
      <w:proofErr w:type="spellEnd"/>
      <w:r w:rsidRPr="00F37527">
        <w:rPr>
          <w:sz w:val="22"/>
          <w:szCs w:val="22"/>
        </w:rPr>
        <w:t xml:space="preserve"> u placebo </w:t>
      </w:r>
      <w:proofErr w:type="spellStart"/>
      <w:r w:rsidRPr="00F37527">
        <w:rPr>
          <w:sz w:val="22"/>
          <w:szCs w:val="22"/>
        </w:rPr>
        <w:t>grupi</w:t>
      </w:r>
      <w:proofErr w:type="spellEnd"/>
    </w:p>
    <w:p w14:paraId="4118F3E0" w14:textId="77777777" w:rsidR="00AD62A2" w:rsidRPr="00F37527" w:rsidRDefault="00AD62A2" w:rsidP="0076441E">
      <w:pPr>
        <w:pStyle w:val="Header"/>
        <w:tabs>
          <w:tab w:val="left" w:pos="284"/>
        </w:tabs>
        <w:jc w:val="both"/>
        <w:rPr>
          <w:sz w:val="22"/>
          <w:szCs w:val="22"/>
        </w:rPr>
      </w:pPr>
    </w:p>
    <w:p w14:paraId="7550A805" w14:textId="77777777" w:rsidR="00AD62A2" w:rsidRPr="00F37527" w:rsidRDefault="00AD62A2" w:rsidP="0076441E">
      <w:pPr>
        <w:pStyle w:val="Header"/>
        <w:tabs>
          <w:tab w:val="left" w:pos="284"/>
        </w:tabs>
        <w:jc w:val="both"/>
        <w:rPr>
          <w:sz w:val="22"/>
          <w:szCs w:val="22"/>
          <w:u w:val="single"/>
        </w:rPr>
      </w:pPr>
      <w:proofErr w:type="spellStart"/>
      <w:r w:rsidRPr="00F37527">
        <w:rPr>
          <w:sz w:val="22"/>
          <w:szCs w:val="22"/>
          <w:u w:val="single"/>
        </w:rPr>
        <w:t>Pedijatrijska</w:t>
      </w:r>
      <w:proofErr w:type="spellEnd"/>
      <w:r w:rsidRPr="00F37527">
        <w:rPr>
          <w:sz w:val="22"/>
          <w:szCs w:val="22"/>
          <w:u w:val="single"/>
        </w:rPr>
        <w:t xml:space="preserve"> </w:t>
      </w:r>
      <w:proofErr w:type="spellStart"/>
      <w:r w:rsidRPr="00F37527">
        <w:rPr>
          <w:sz w:val="22"/>
          <w:szCs w:val="22"/>
          <w:u w:val="single"/>
        </w:rPr>
        <w:t>populacija</w:t>
      </w:r>
      <w:proofErr w:type="spellEnd"/>
    </w:p>
    <w:p w14:paraId="324ACB3E" w14:textId="77777777" w:rsidR="00AD62A2" w:rsidRPr="00F37527" w:rsidRDefault="00AD62A2" w:rsidP="0076441E">
      <w:pPr>
        <w:pStyle w:val="Header"/>
        <w:tabs>
          <w:tab w:val="left" w:pos="284"/>
        </w:tabs>
        <w:jc w:val="both"/>
        <w:rPr>
          <w:sz w:val="22"/>
          <w:szCs w:val="22"/>
          <w:u w:val="single"/>
        </w:rPr>
      </w:pPr>
    </w:p>
    <w:p w14:paraId="7A63D413" w14:textId="6B372B9B" w:rsidR="00AD62A2" w:rsidRPr="00F37527" w:rsidRDefault="00AD62A2" w:rsidP="0076441E">
      <w:pPr>
        <w:pStyle w:val="Header"/>
        <w:tabs>
          <w:tab w:val="left" w:pos="284"/>
        </w:tabs>
        <w:jc w:val="both"/>
        <w:rPr>
          <w:sz w:val="22"/>
          <w:szCs w:val="22"/>
          <w:lang w:val="hr-HR"/>
        </w:rPr>
      </w:pPr>
      <w:r w:rsidRPr="00F37527">
        <w:rPr>
          <w:sz w:val="22"/>
          <w:szCs w:val="22"/>
          <w:lang w:val="hr-HR"/>
        </w:rPr>
        <w:t>Na osnovu ograničenih podataka kod djece uzrasta od 2 do 17 godina, ni</w:t>
      </w:r>
      <w:r w:rsidR="004B5A7D" w:rsidRPr="00F37527">
        <w:rPr>
          <w:sz w:val="22"/>
          <w:szCs w:val="22"/>
          <w:lang w:val="hr-HR"/>
        </w:rPr>
        <w:t>je</w:t>
      </w:r>
      <w:r w:rsidRPr="00F37527">
        <w:rPr>
          <w:sz w:val="22"/>
          <w:szCs w:val="22"/>
          <w:lang w:val="hr-HR"/>
        </w:rPr>
        <w:t>su identifikovani novi bezbjedonosni rizici u poređenju sa odraslima.</w:t>
      </w:r>
    </w:p>
    <w:p w14:paraId="71FCD9A8" w14:textId="77777777" w:rsidR="007405D5" w:rsidRPr="00F37527" w:rsidRDefault="007405D5" w:rsidP="0076441E">
      <w:pPr>
        <w:pStyle w:val="Header"/>
        <w:tabs>
          <w:tab w:val="left" w:pos="284"/>
        </w:tabs>
        <w:jc w:val="both"/>
        <w:rPr>
          <w:sz w:val="22"/>
          <w:szCs w:val="22"/>
          <w:u w:val="single"/>
          <w:lang w:val="hr-HR"/>
        </w:rPr>
      </w:pPr>
    </w:p>
    <w:p w14:paraId="16F3D30B" w14:textId="64FDA702" w:rsidR="007405D5" w:rsidRPr="00F37527" w:rsidRDefault="007405D5" w:rsidP="0076441E">
      <w:pPr>
        <w:pStyle w:val="Header"/>
        <w:tabs>
          <w:tab w:val="left" w:pos="284"/>
        </w:tabs>
        <w:jc w:val="both"/>
        <w:rPr>
          <w:sz w:val="22"/>
          <w:szCs w:val="22"/>
          <w:u w:val="single"/>
          <w:lang w:val="hr-HR"/>
        </w:rPr>
      </w:pPr>
      <w:r w:rsidRPr="00F37527">
        <w:rPr>
          <w:sz w:val="22"/>
          <w:szCs w:val="22"/>
          <w:u w:val="single"/>
          <w:lang w:val="hr-HR"/>
        </w:rPr>
        <w:t>Ostale posebne populacije</w:t>
      </w:r>
    </w:p>
    <w:p w14:paraId="22F40D23" w14:textId="77777777" w:rsidR="007405D5" w:rsidRPr="00F37527" w:rsidRDefault="007405D5" w:rsidP="0076441E">
      <w:pPr>
        <w:pStyle w:val="Header"/>
        <w:tabs>
          <w:tab w:val="left" w:pos="284"/>
        </w:tabs>
        <w:jc w:val="both"/>
        <w:rPr>
          <w:sz w:val="22"/>
          <w:szCs w:val="22"/>
          <w:u w:val="single"/>
          <w:lang w:val="hr-HR"/>
        </w:rPr>
      </w:pPr>
    </w:p>
    <w:p w14:paraId="07A8BDC7" w14:textId="77777777" w:rsidR="007405D5" w:rsidRPr="00F37527" w:rsidRDefault="007405D5" w:rsidP="0076441E">
      <w:pPr>
        <w:pStyle w:val="Header"/>
        <w:tabs>
          <w:tab w:val="left" w:pos="284"/>
        </w:tabs>
        <w:jc w:val="both"/>
        <w:rPr>
          <w:sz w:val="22"/>
          <w:szCs w:val="22"/>
          <w:lang w:val="hr-HR"/>
        </w:rPr>
      </w:pPr>
      <w:r w:rsidRPr="00F37527">
        <w:rPr>
          <w:sz w:val="22"/>
          <w:szCs w:val="22"/>
          <w:lang w:val="hr-HR"/>
        </w:rPr>
        <w:t>Kod pacijenata sa HIV infekcijom bilo je izvještaja o slučajevima pankreatitisa i periferne neuropatije (ili parestezije). Kod pacijenata sa hroničnim hepatitisom B nije uočena razlika u učestalosti navedenih događaja između pacijenata liječenih placebom i lamivudinom.</w:t>
      </w:r>
    </w:p>
    <w:p w14:paraId="2A28A9A2" w14:textId="77777777" w:rsidR="005F461D" w:rsidRDefault="005F461D" w:rsidP="0076441E">
      <w:pPr>
        <w:spacing w:after="200" w:line="276" w:lineRule="auto"/>
        <w:jc w:val="both"/>
        <w:rPr>
          <w:rFonts w:eastAsia="Calibri"/>
          <w:sz w:val="22"/>
          <w:szCs w:val="22"/>
          <w:u w:val="single"/>
          <w:lang w:val="sr-Latn-RS"/>
        </w:rPr>
      </w:pPr>
    </w:p>
    <w:p w14:paraId="18BE86C0" w14:textId="4A3D3BB7" w:rsidR="005A23D2" w:rsidRPr="00F37527" w:rsidRDefault="005A23D2" w:rsidP="0076441E">
      <w:pPr>
        <w:spacing w:after="200" w:line="276" w:lineRule="auto"/>
        <w:jc w:val="both"/>
        <w:rPr>
          <w:rFonts w:eastAsia="Calibri"/>
          <w:sz w:val="22"/>
          <w:szCs w:val="22"/>
          <w:u w:val="single"/>
          <w:lang w:val="sr-Latn-RS"/>
        </w:rPr>
      </w:pPr>
      <w:r w:rsidRPr="00F37527">
        <w:rPr>
          <w:rFonts w:eastAsia="Calibri"/>
          <w:sz w:val="22"/>
          <w:szCs w:val="22"/>
          <w:u w:val="single"/>
          <w:lang w:val="sr-Latn-RS"/>
        </w:rPr>
        <w:t>Prijavljivanje sumnji na neželjena dejstva</w:t>
      </w:r>
    </w:p>
    <w:p w14:paraId="18BE86C1" w14:textId="77777777" w:rsidR="005A23D2" w:rsidRPr="00F37527" w:rsidRDefault="005A23D2" w:rsidP="009C5662">
      <w:pPr>
        <w:spacing w:after="200"/>
        <w:jc w:val="both"/>
        <w:rPr>
          <w:rFonts w:eastAsia="Calibri"/>
          <w:sz w:val="22"/>
          <w:szCs w:val="22"/>
          <w:lang w:val="sr-Latn-RS"/>
        </w:rPr>
      </w:pPr>
      <w:r w:rsidRPr="00F37527">
        <w:rPr>
          <w:rFonts w:eastAsia="Calibri"/>
          <w:sz w:val="22"/>
          <w:szCs w:val="22"/>
          <w:lang w:val="sr-Latn-RS"/>
        </w:rPr>
        <w:t>Prijavljivanje neželjenih dejstava nakon dobijanja dozvole je od velikog značaja jer </w:t>
      </w:r>
      <w:proofErr w:type="spellStart"/>
      <w:r w:rsidRPr="00F37527">
        <w:rPr>
          <w:rFonts w:eastAsia="Calibri"/>
          <w:sz w:val="22"/>
          <w:szCs w:val="22"/>
          <w:lang w:val="sr-Latn-RS"/>
        </w:rPr>
        <w:t>obezbjeđuje</w:t>
      </w:r>
      <w:proofErr w:type="spellEnd"/>
      <w:r w:rsidRPr="00F37527">
        <w:rPr>
          <w:rFonts w:eastAsia="Calibri"/>
          <w:sz w:val="22"/>
          <w:szCs w:val="22"/>
          <w:lang w:val="sr-Latn-RS"/>
        </w:rPr>
        <w:t xml:space="preserve"> kont</w:t>
      </w:r>
      <w:r w:rsidR="00EA5765" w:rsidRPr="00F37527">
        <w:rPr>
          <w:rFonts w:eastAsia="Calibri"/>
          <w:sz w:val="22"/>
          <w:szCs w:val="22"/>
          <w:lang w:val="sr-Latn-RS"/>
        </w:rPr>
        <w:t>inuirano praćenje odnosa korist</w:t>
      </w:r>
      <w:r w:rsidRPr="00F37527">
        <w:rPr>
          <w:rFonts w:eastAsia="Calibri"/>
          <w:sz w:val="22"/>
          <w:szCs w:val="22"/>
          <w:lang w:val="sr-Latn-RS"/>
        </w:rPr>
        <w:t xml:space="preserve">/rizik </w:t>
      </w:r>
      <w:proofErr w:type="spellStart"/>
      <w:r w:rsidRPr="00F37527">
        <w:rPr>
          <w:rFonts w:eastAsia="Calibri"/>
          <w:sz w:val="22"/>
          <w:szCs w:val="22"/>
          <w:lang w:val="sr-Latn-RS"/>
        </w:rPr>
        <w:t>primjene</w:t>
      </w:r>
      <w:proofErr w:type="spellEnd"/>
      <w:r w:rsidRPr="00F37527">
        <w:rPr>
          <w:rFonts w:eastAsia="Calibri"/>
          <w:sz w:val="22"/>
          <w:szCs w:val="22"/>
          <w:lang w:val="sr-Latn-RS"/>
        </w:rPr>
        <w:t xml:space="preserve"> </w:t>
      </w:r>
      <w:proofErr w:type="spellStart"/>
      <w:r w:rsidRPr="00F37527">
        <w:rPr>
          <w:rFonts w:eastAsia="Calibri"/>
          <w:sz w:val="22"/>
          <w:szCs w:val="22"/>
          <w:lang w:val="sr-Latn-RS"/>
        </w:rPr>
        <w:t>lijeka</w:t>
      </w:r>
      <w:proofErr w:type="spellEnd"/>
      <w:r w:rsidRPr="00F37527">
        <w:rPr>
          <w:rFonts w:eastAsia="Calibri"/>
          <w:sz w:val="22"/>
          <w:szCs w:val="22"/>
          <w:lang w:val="sr-Latn-RS"/>
        </w:rPr>
        <w:t>. Zdravstveni radnici treba da prijave svaku sumnju na neželjeno</w:t>
      </w:r>
      <w:r w:rsidR="009B062A" w:rsidRPr="00F37527">
        <w:rPr>
          <w:rFonts w:eastAsia="Calibri"/>
          <w:sz w:val="22"/>
          <w:szCs w:val="22"/>
          <w:lang w:val="sr-Latn-RS"/>
        </w:rPr>
        <w:t xml:space="preserve"> </w:t>
      </w:r>
      <w:r w:rsidRPr="00F37527">
        <w:rPr>
          <w:rFonts w:eastAsia="Calibri"/>
          <w:sz w:val="22"/>
          <w:szCs w:val="22"/>
          <w:lang w:val="sr-Latn-RS"/>
        </w:rPr>
        <w:t xml:space="preserve">dejstvo ovog </w:t>
      </w:r>
      <w:proofErr w:type="spellStart"/>
      <w:r w:rsidRPr="00F37527">
        <w:rPr>
          <w:rFonts w:eastAsia="Calibri"/>
          <w:sz w:val="22"/>
          <w:szCs w:val="22"/>
          <w:lang w:val="sr-Latn-RS"/>
        </w:rPr>
        <w:t>lijeka</w:t>
      </w:r>
      <w:proofErr w:type="spellEnd"/>
      <w:r w:rsidRPr="00F37527">
        <w:rPr>
          <w:rFonts w:eastAsia="Calibri"/>
          <w:sz w:val="22"/>
          <w:szCs w:val="22"/>
          <w:lang w:val="sr-Latn-RS"/>
        </w:rPr>
        <w:t xml:space="preserve"> </w:t>
      </w:r>
      <w:r w:rsidR="004E70AD" w:rsidRPr="00F37527">
        <w:rPr>
          <w:rFonts w:eastAsia="Calibri"/>
          <w:sz w:val="22"/>
          <w:szCs w:val="22"/>
          <w:lang w:val="sr-Latn-RS"/>
        </w:rPr>
        <w:t>Institutu</w:t>
      </w:r>
      <w:r w:rsidRPr="00F37527">
        <w:rPr>
          <w:rFonts w:eastAsia="Calibri"/>
          <w:sz w:val="22"/>
          <w:szCs w:val="22"/>
          <w:lang w:val="sr-Latn-RS"/>
        </w:rPr>
        <w:t xml:space="preserve"> za </w:t>
      </w:r>
      <w:proofErr w:type="spellStart"/>
      <w:r w:rsidRPr="00F37527">
        <w:rPr>
          <w:rFonts w:eastAsia="Calibri"/>
          <w:sz w:val="22"/>
          <w:szCs w:val="22"/>
          <w:lang w:val="sr-Latn-RS"/>
        </w:rPr>
        <w:t>ljekove</w:t>
      </w:r>
      <w:proofErr w:type="spellEnd"/>
      <w:r w:rsidRPr="00F37527">
        <w:rPr>
          <w:rFonts w:eastAsia="Calibri"/>
          <w:sz w:val="22"/>
          <w:szCs w:val="22"/>
          <w:lang w:val="sr-Latn-RS"/>
        </w:rPr>
        <w:t xml:space="preserve"> i medicinska sredstva</w:t>
      </w:r>
      <w:r w:rsidR="004E70AD" w:rsidRPr="00F37527">
        <w:rPr>
          <w:rFonts w:eastAsia="Calibri"/>
          <w:sz w:val="22"/>
          <w:szCs w:val="22"/>
          <w:lang w:val="sr-Latn-RS"/>
        </w:rPr>
        <w:t xml:space="preserve"> </w:t>
      </w:r>
      <w:r w:rsidRPr="00F37527">
        <w:rPr>
          <w:rFonts w:eastAsia="Calibri"/>
          <w:sz w:val="22"/>
          <w:szCs w:val="22"/>
          <w:lang w:val="sr-Latn-RS"/>
        </w:rPr>
        <w:t>(</w:t>
      </w:r>
      <w:r w:rsidR="004E70AD" w:rsidRPr="00F37527">
        <w:rPr>
          <w:rFonts w:eastAsia="Calibri"/>
          <w:sz w:val="22"/>
          <w:szCs w:val="22"/>
          <w:lang w:val="sr-Latn-RS"/>
        </w:rPr>
        <w:t>CInMED</w:t>
      </w:r>
      <w:r w:rsidRPr="00F37527">
        <w:rPr>
          <w:rFonts w:eastAsia="Calibri"/>
          <w:sz w:val="22"/>
          <w:szCs w:val="22"/>
          <w:lang w:val="sr-Latn-RS"/>
        </w:rPr>
        <w:t>):</w:t>
      </w:r>
    </w:p>
    <w:p w14:paraId="18BE86C2" w14:textId="77777777" w:rsidR="005A23D2" w:rsidRPr="00F37527" w:rsidRDefault="004E70AD" w:rsidP="009C5662">
      <w:pPr>
        <w:pStyle w:val="NoSpacing"/>
        <w:jc w:val="both"/>
        <w:rPr>
          <w:rFonts w:eastAsia="Calibri"/>
          <w:sz w:val="22"/>
          <w:szCs w:val="22"/>
          <w:lang w:val="sr-Latn-RS"/>
        </w:rPr>
      </w:pPr>
      <w:r w:rsidRPr="00F37527">
        <w:rPr>
          <w:rFonts w:eastAsia="Calibri"/>
          <w:sz w:val="22"/>
          <w:szCs w:val="22"/>
          <w:lang w:val="sr-Latn-RS"/>
        </w:rPr>
        <w:t xml:space="preserve">Institut </w:t>
      </w:r>
      <w:r w:rsidR="005A23D2" w:rsidRPr="00F37527">
        <w:rPr>
          <w:rFonts w:eastAsia="Calibri"/>
          <w:sz w:val="22"/>
          <w:szCs w:val="22"/>
          <w:lang w:val="sr-Latn-RS"/>
        </w:rPr>
        <w:t xml:space="preserve">za </w:t>
      </w:r>
      <w:proofErr w:type="spellStart"/>
      <w:r w:rsidR="005A23D2" w:rsidRPr="00F37527">
        <w:rPr>
          <w:rFonts w:eastAsia="Calibri"/>
          <w:sz w:val="22"/>
          <w:szCs w:val="22"/>
          <w:lang w:val="sr-Latn-RS"/>
        </w:rPr>
        <w:t>ljekove</w:t>
      </w:r>
      <w:proofErr w:type="spellEnd"/>
      <w:r w:rsidR="005A23D2" w:rsidRPr="00F37527">
        <w:rPr>
          <w:rFonts w:eastAsia="Calibri"/>
          <w:sz w:val="22"/>
          <w:szCs w:val="22"/>
          <w:lang w:val="sr-Latn-RS"/>
        </w:rPr>
        <w:t xml:space="preserve"> i medicinska sredstva </w:t>
      </w:r>
    </w:p>
    <w:p w14:paraId="18BE86C3" w14:textId="77777777" w:rsidR="005A23D2" w:rsidRPr="00F37527" w:rsidRDefault="005A23D2" w:rsidP="009C5662">
      <w:pPr>
        <w:pStyle w:val="NoSpacing"/>
        <w:jc w:val="both"/>
        <w:rPr>
          <w:rFonts w:eastAsia="Calibri"/>
          <w:sz w:val="22"/>
          <w:szCs w:val="22"/>
          <w:lang w:val="sr-Latn-RS"/>
        </w:rPr>
      </w:pPr>
      <w:proofErr w:type="spellStart"/>
      <w:r w:rsidRPr="00F37527">
        <w:rPr>
          <w:rFonts w:eastAsia="Calibri"/>
          <w:sz w:val="22"/>
          <w:szCs w:val="22"/>
          <w:lang w:val="sr-Latn-RS"/>
        </w:rPr>
        <w:t>Odjeljenje</w:t>
      </w:r>
      <w:proofErr w:type="spellEnd"/>
      <w:r w:rsidRPr="00F37527">
        <w:rPr>
          <w:rFonts w:eastAsia="Calibri"/>
          <w:sz w:val="22"/>
          <w:szCs w:val="22"/>
          <w:lang w:val="sr-Latn-RS"/>
        </w:rPr>
        <w:t xml:space="preserve"> za </w:t>
      </w:r>
      <w:proofErr w:type="spellStart"/>
      <w:r w:rsidRPr="00F37527">
        <w:rPr>
          <w:rFonts w:eastAsia="Calibri"/>
          <w:sz w:val="22"/>
          <w:szCs w:val="22"/>
          <w:lang w:val="sr-Latn-RS"/>
        </w:rPr>
        <w:t>farmakovigilancu</w:t>
      </w:r>
      <w:proofErr w:type="spellEnd"/>
    </w:p>
    <w:p w14:paraId="18BE86C4" w14:textId="77777777" w:rsidR="00EA5765" w:rsidRPr="00F37527" w:rsidRDefault="005A23D2" w:rsidP="002D30C2">
      <w:pPr>
        <w:pStyle w:val="NoSpacing"/>
        <w:jc w:val="both"/>
        <w:rPr>
          <w:rFonts w:eastAsia="Calibri"/>
          <w:sz w:val="22"/>
          <w:szCs w:val="22"/>
          <w:lang w:val="sr-Latn-RS"/>
        </w:rPr>
      </w:pPr>
      <w:r w:rsidRPr="00F37527">
        <w:rPr>
          <w:rFonts w:eastAsia="Calibri"/>
          <w:sz w:val="22"/>
          <w:szCs w:val="22"/>
          <w:lang w:val="sr-Latn-RS"/>
        </w:rPr>
        <w:t>Bulevar Ivana Crnojevića 64a, 81000 Podgorica</w:t>
      </w:r>
    </w:p>
    <w:p w14:paraId="18BE86C5" w14:textId="77777777" w:rsidR="00EA5765" w:rsidRPr="00F37527" w:rsidRDefault="00EA5765" w:rsidP="0076441E">
      <w:pPr>
        <w:pStyle w:val="NoSpacing"/>
        <w:jc w:val="both"/>
        <w:rPr>
          <w:rFonts w:eastAsia="Calibri"/>
          <w:sz w:val="22"/>
          <w:szCs w:val="22"/>
          <w:lang w:val="sr-Latn-RS"/>
        </w:rPr>
      </w:pPr>
    </w:p>
    <w:p w14:paraId="18BE86C6" w14:textId="77777777" w:rsidR="005A23D2" w:rsidRPr="00F37527" w:rsidRDefault="005A23D2" w:rsidP="009C5662">
      <w:pPr>
        <w:pStyle w:val="NoSpacing"/>
        <w:jc w:val="both"/>
        <w:rPr>
          <w:rFonts w:eastAsia="Calibri"/>
          <w:sz w:val="22"/>
          <w:szCs w:val="22"/>
          <w:lang w:val="sr-Latn-RS"/>
        </w:rPr>
      </w:pPr>
      <w:r w:rsidRPr="00F37527">
        <w:rPr>
          <w:rFonts w:eastAsia="Calibri"/>
          <w:sz w:val="22"/>
          <w:szCs w:val="22"/>
          <w:lang w:val="sr-Latn-RS"/>
        </w:rPr>
        <w:t>tel: +382 (0) 20 310 280</w:t>
      </w:r>
    </w:p>
    <w:p w14:paraId="18BE86C7" w14:textId="77777777" w:rsidR="00EA5765" w:rsidRPr="00F37527" w:rsidRDefault="005A23D2" w:rsidP="009C5662">
      <w:pPr>
        <w:pStyle w:val="NoSpacing"/>
        <w:jc w:val="both"/>
        <w:rPr>
          <w:rFonts w:eastAsia="Calibri"/>
          <w:sz w:val="22"/>
          <w:szCs w:val="22"/>
          <w:lang w:val="sr-Latn-RS"/>
        </w:rPr>
      </w:pPr>
      <w:proofErr w:type="spellStart"/>
      <w:r w:rsidRPr="00F37527">
        <w:rPr>
          <w:rFonts w:eastAsia="Calibri"/>
          <w:sz w:val="22"/>
          <w:szCs w:val="22"/>
          <w:lang w:val="sr-Latn-RS"/>
        </w:rPr>
        <w:t>fax</w:t>
      </w:r>
      <w:proofErr w:type="spellEnd"/>
      <w:r w:rsidRPr="00F37527">
        <w:rPr>
          <w:rFonts w:eastAsia="Calibri"/>
          <w:sz w:val="22"/>
          <w:szCs w:val="22"/>
          <w:lang w:val="sr-Latn-RS"/>
        </w:rPr>
        <w:t>:</w:t>
      </w:r>
      <w:r w:rsidR="00EA5765" w:rsidRPr="00F37527">
        <w:rPr>
          <w:rFonts w:eastAsia="Calibri"/>
          <w:sz w:val="22"/>
          <w:szCs w:val="22"/>
          <w:lang w:val="sr-Latn-RS"/>
        </w:rPr>
        <w:t xml:space="preserve"> </w:t>
      </w:r>
      <w:r w:rsidRPr="00F37527">
        <w:rPr>
          <w:rFonts w:eastAsia="Calibri"/>
          <w:sz w:val="22"/>
          <w:szCs w:val="22"/>
          <w:lang w:val="sr-Latn-RS"/>
        </w:rPr>
        <w:t>+382 (0) 20 310 581</w:t>
      </w:r>
    </w:p>
    <w:p w14:paraId="18BE86C8" w14:textId="77777777" w:rsidR="005A23D2" w:rsidRPr="00F37527" w:rsidRDefault="002310E1" w:rsidP="009C5662">
      <w:pPr>
        <w:pStyle w:val="NoSpacing"/>
        <w:jc w:val="both"/>
        <w:rPr>
          <w:rFonts w:eastAsia="Calibri"/>
          <w:sz w:val="22"/>
          <w:szCs w:val="22"/>
          <w:lang w:val="sr-Latn-RS"/>
        </w:rPr>
      </w:pPr>
      <w:hyperlink r:id="rId8" w:history="1">
        <w:r w:rsidR="004E70AD" w:rsidRPr="00F37527">
          <w:rPr>
            <w:rStyle w:val="Hyperlink"/>
            <w:rFonts w:eastAsia="Calibri"/>
            <w:sz w:val="22"/>
            <w:szCs w:val="22"/>
            <w:lang w:val="sr-Latn-RS"/>
          </w:rPr>
          <w:t>www.cinmed.me</w:t>
        </w:r>
      </w:hyperlink>
    </w:p>
    <w:p w14:paraId="18BE86C9" w14:textId="77777777" w:rsidR="00EA5765" w:rsidRPr="00F37527" w:rsidRDefault="002310E1" w:rsidP="009C5662">
      <w:pPr>
        <w:pStyle w:val="NoSpacing"/>
        <w:jc w:val="both"/>
        <w:rPr>
          <w:rFonts w:eastAsia="Calibri"/>
          <w:color w:val="0000FF"/>
          <w:sz w:val="22"/>
          <w:szCs w:val="22"/>
          <w:u w:val="single"/>
          <w:lang w:val="sr-Latn-RS"/>
        </w:rPr>
      </w:pPr>
      <w:hyperlink r:id="rId9" w:history="1">
        <w:r w:rsidR="004E70AD" w:rsidRPr="00F37527">
          <w:rPr>
            <w:rStyle w:val="Hyperlink"/>
            <w:rFonts w:eastAsia="Calibri"/>
            <w:sz w:val="22"/>
            <w:szCs w:val="22"/>
            <w:lang w:val="sr-Latn-RS"/>
          </w:rPr>
          <w:t>nezeljenadejstva@cinmed.me</w:t>
        </w:r>
      </w:hyperlink>
    </w:p>
    <w:p w14:paraId="18BE86CA" w14:textId="79928BC3" w:rsidR="005A23D2" w:rsidRPr="00F37527" w:rsidRDefault="005A23D2" w:rsidP="002D30C2">
      <w:pPr>
        <w:pStyle w:val="NoSpacing"/>
        <w:jc w:val="both"/>
        <w:rPr>
          <w:rFonts w:eastAsia="Calibri"/>
          <w:sz w:val="22"/>
          <w:szCs w:val="22"/>
          <w:lang w:val="sr-Latn-RS"/>
        </w:rPr>
      </w:pPr>
      <w:r w:rsidRPr="00F37527">
        <w:rPr>
          <w:rFonts w:eastAsia="Calibri"/>
          <w:sz w:val="22"/>
          <w:szCs w:val="22"/>
          <w:lang w:val="sr-Latn-RS"/>
        </w:rPr>
        <w:t>putem IS zdravstvene zaštite</w:t>
      </w:r>
    </w:p>
    <w:p w14:paraId="4898003F" w14:textId="77777777" w:rsidR="004B5A7D" w:rsidRPr="00F37527" w:rsidRDefault="004B5A7D" w:rsidP="004B5A7D">
      <w:pPr>
        <w:pStyle w:val="NoSpacing"/>
        <w:jc w:val="both"/>
        <w:rPr>
          <w:rFonts w:eastAsia="Calibri"/>
          <w:sz w:val="22"/>
          <w:szCs w:val="22"/>
          <w:lang w:val="sr-Latn-RS"/>
        </w:rPr>
      </w:pPr>
      <w:proofErr w:type="spellStart"/>
      <w:r w:rsidRPr="00F37527">
        <w:rPr>
          <w:rFonts w:eastAsia="Calibri"/>
          <w:sz w:val="22"/>
          <w:szCs w:val="22"/>
          <w:lang w:val="sr-Latn-RS"/>
        </w:rPr>
        <w:t>QR</w:t>
      </w:r>
      <w:proofErr w:type="spellEnd"/>
      <w:r w:rsidRPr="00F37527">
        <w:rPr>
          <w:rFonts w:eastAsia="Calibri"/>
          <w:sz w:val="22"/>
          <w:szCs w:val="22"/>
          <w:lang w:val="sr-Latn-RS"/>
        </w:rPr>
        <w:t xml:space="preserve"> kod za </w:t>
      </w:r>
      <w:proofErr w:type="spellStart"/>
      <w:r w:rsidRPr="00F37527">
        <w:rPr>
          <w:rFonts w:eastAsia="Calibri"/>
          <w:sz w:val="22"/>
          <w:szCs w:val="22"/>
          <w:lang w:val="sr-Latn-RS"/>
        </w:rPr>
        <w:t>online</w:t>
      </w:r>
      <w:proofErr w:type="spellEnd"/>
      <w:r w:rsidRPr="00F37527">
        <w:rPr>
          <w:rFonts w:eastAsia="Calibri"/>
          <w:sz w:val="22"/>
          <w:szCs w:val="22"/>
          <w:lang w:val="sr-Latn-RS"/>
        </w:rPr>
        <w:t xml:space="preserve"> prijavu sumnje na neželjeno dejstvo </w:t>
      </w:r>
      <w:proofErr w:type="spellStart"/>
      <w:r w:rsidRPr="00F37527">
        <w:rPr>
          <w:rFonts w:eastAsia="Calibri"/>
          <w:sz w:val="22"/>
          <w:szCs w:val="22"/>
          <w:lang w:val="sr-Latn-RS"/>
        </w:rPr>
        <w:t>lijeka</w:t>
      </w:r>
      <w:proofErr w:type="spellEnd"/>
      <w:r w:rsidRPr="00F37527">
        <w:rPr>
          <w:rFonts w:eastAsia="Calibri"/>
          <w:sz w:val="22"/>
          <w:szCs w:val="22"/>
          <w:lang w:val="sr-Latn-RS"/>
        </w:rPr>
        <w:t>:</w:t>
      </w:r>
    </w:p>
    <w:p w14:paraId="0A4E463C" w14:textId="77777777" w:rsidR="004B5A7D" w:rsidRPr="00F37527" w:rsidRDefault="004B5A7D" w:rsidP="004B5A7D">
      <w:pPr>
        <w:pStyle w:val="NoSpacing"/>
        <w:jc w:val="both"/>
        <w:rPr>
          <w:rFonts w:eastAsia="Calibri"/>
          <w:sz w:val="22"/>
          <w:szCs w:val="22"/>
          <w:lang w:val="sr-Latn-RS"/>
        </w:rPr>
      </w:pPr>
    </w:p>
    <w:p w14:paraId="77E91B00" w14:textId="77777777" w:rsidR="004B5A7D" w:rsidRPr="00F37527" w:rsidRDefault="004B5A7D" w:rsidP="004B5A7D">
      <w:pPr>
        <w:pStyle w:val="NoSpacing"/>
        <w:rPr>
          <w:rFonts w:eastAsia="Calibri"/>
          <w:sz w:val="22"/>
          <w:szCs w:val="22"/>
          <w:lang w:val="sr-Latn-RS"/>
        </w:rPr>
      </w:pPr>
      <w:r w:rsidRPr="00F37527">
        <w:rPr>
          <w:noProof/>
          <w:sz w:val="22"/>
          <w:szCs w:val="22"/>
          <w:lang w:val="sr-Latn-ME" w:eastAsia="sr-Latn-ME"/>
        </w:rPr>
        <w:drawing>
          <wp:inline distT="0" distB="0" distL="0" distR="0" wp14:anchorId="44BDB979" wp14:editId="3D813524">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608AA69" w14:textId="77777777" w:rsidR="004B5A7D" w:rsidRPr="00F37527" w:rsidRDefault="004B5A7D" w:rsidP="002D30C2">
      <w:pPr>
        <w:pStyle w:val="NoSpacing"/>
        <w:jc w:val="both"/>
        <w:rPr>
          <w:rFonts w:eastAsia="Calibri"/>
          <w:sz w:val="22"/>
          <w:szCs w:val="22"/>
          <w:lang w:val="sr-Latn-RS"/>
        </w:rPr>
      </w:pPr>
    </w:p>
    <w:p w14:paraId="18BE86CC" w14:textId="77777777" w:rsidR="00CD6F02" w:rsidRPr="00F37527" w:rsidRDefault="0072020E" w:rsidP="0076441E">
      <w:pPr>
        <w:tabs>
          <w:tab w:val="left" w:pos="540"/>
          <w:tab w:val="left" w:pos="569"/>
        </w:tabs>
        <w:jc w:val="both"/>
        <w:rPr>
          <w:b/>
          <w:bCs/>
          <w:sz w:val="22"/>
          <w:szCs w:val="22"/>
        </w:rPr>
      </w:pPr>
      <w:r w:rsidRPr="00F37527">
        <w:rPr>
          <w:b/>
          <w:bCs/>
          <w:sz w:val="22"/>
          <w:szCs w:val="22"/>
        </w:rPr>
        <w:t xml:space="preserve">4.9. </w:t>
      </w:r>
      <w:r w:rsidR="00480FB1" w:rsidRPr="00F37527">
        <w:rPr>
          <w:b/>
          <w:bCs/>
          <w:sz w:val="22"/>
          <w:szCs w:val="22"/>
        </w:rPr>
        <w:tab/>
      </w:r>
      <w:proofErr w:type="spellStart"/>
      <w:r w:rsidRPr="00F37527">
        <w:rPr>
          <w:b/>
          <w:bCs/>
          <w:sz w:val="22"/>
          <w:szCs w:val="22"/>
        </w:rPr>
        <w:t>Predoziranje</w:t>
      </w:r>
      <w:proofErr w:type="spellEnd"/>
      <w:r w:rsidR="002846DB" w:rsidRPr="00F37527">
        <w:rPr>
          <w:b/>
          <w:bCs/>
          <w:sz w:val="22"/>
          <w:szCs w:val="22"/>
        </w:rPr>
        <w:t xml:space="preserve"> </w:t>
      </w:r>
    </w:p>
    <w:p w14:paraId="3E8323CF" w14:textId="77777777" w:rsidR="009B457D" w:rsidRPr="00F37527" w:rsidRDefault="009B457D" w:rsidP="0076441E">
      <w:pPr>
        <w:pStyle w:val="Header"/>
        <w:tabs>
          <w:tab w:val="left" w:pos="284"/>
        </w:tabs>
        <w:jc w:val="both"/>
        <w:rPr>
          <w:sz w:val="22"/>
          <w:szCs w:val="22"/>
          <w:lang w:val="sl-SI"/>
        </w:rPr>
      </w:pPr>
    </w:p>
    <w:p w14:paraId="5ED49CE6" w14:textId="218676AA" w:rsidR="00AD62A2" w:rsidRPr="00F37527" w:rsidRDefault="00AD62A2" w:rsidP="0076441E">
      <w:pPr>
        <w:pStyle w:val="Header"/>
        <w:tabs>
          <w:tab w:val="left" w:pos="284"/>
        </w:tabs>
        <w:jc w:val="both"/>
        <w:rPr>
          <w:sz w:val="22"/>
          <w:szCs w:val="22"/>
          <w:lang w:val="sl-SI"/>
        </w:rPr>
      </w:pPr>
      <w:r w:rsidRPr="00F37527">
        <w:rPr>
          <w:sz w:val="22"/>
          <w:szCs w:val="22"/>
          <w:lang w:val="sl-SI"/>
        </w:rPr>
        <w:t>Primjena lamivudina u veoma visokim dozama u okviru akutnih ispitivanja na životinjama nije pokazala postojanje organske toksičnosti. Dostupni su ograničeni podaci o posljedicama akutne ingestije prekomjernih doza kod ljudi. Nije bilo fatalnih ishoda i pacijenti su se oporavili. Nakon navedenih predoziranja nijesu identifikovani specifični znaci i simptomi.</w:t>
      </w:r>
    </w:p>
    <w:p w14:paraId="1D9408B6" w14:textId="77777777" w:rsidR="00AD62A2" w:rsidRPr="00F37527" w:rsidRDefault="00AD62A2" w:rsidP="0076441E">
      <w:pPr>
        <w:pStyle w:val="Header"/>
        <w:tabs>
          <w:tab w:val="left" w:pos="284"/>
        </w:tabs>
        <w:jc w:val="both"/>
        <w:rPr>
          <w:sz w:val="22"/>
          <w:szCs w:val="22"/>
          <w:lang w:val="sl-SI"/>
        </w:rPr>
      </w:pPr>
    </w:p>
    <w:p w14:paraId="3D63E5FE" w14:textId="471DB176" w:rsidR="00244B55" w:rsidRPr="00F37527" w:rsidRDefault="00AD62A2" w:rsidP="0076441E">
      <w:pPr>
        <w:jc w:val="both"/>
        <w:rPr>
          <w:sz w:val="22"/>
          <w:szCs w:val="22"/>
          <w:lang w:val="sl-SI"/>
        </w:rPr>
      </w:pPr>
      <w:r w:rsidRPr="00F37527">
        <w:rPr>
          <w:sz w:val="22"/>
          <w:szCs w:val="22"/>
          <w:lang w:val="sl-SI"/>
        </w:rPr>
        <w:t xml:space="preserve">U slučaju predoziranja, stanje pacijenta bi trebalo kontrolisati i po potrebi primijeniti standardnu suportivnu terapiju. S obzirom na to da se lamivudin može dijalizovati, trebalo bi primijeniti kontinuiranu hemodijalizu u liječenju predoziranja, iako navedeno nije ispitano. </w:t>
      </w:r>
    </w:p>
    <w:p w14:paraId="592DE225" w14:textId="77777777" w:rsidR="009C5662" w:rsidRPr="00F37527" w:rsidRDefault="009C5662" w:rsidP="0076441E">
      <w:pPr>
        <w:jc w:val="both"/>
        <w:rPr>
          <w:sz w:val="22"/>
          <w:szCs w:val="22"/>
          <w:lang w:val="sl-SI"/>
        </w:rPr>
      </w:pPr>
    </w:p>
    <w:p w14:paraId="18BE86CE" w14:textId="77777777" w:rsidR="00227BDB" w:rsidRPr="00F37527" w:rsidRDefault="00227BDB" w:rsidP="0076441E">
      <w:pPr>
        <w:tabs>
          <w:tab w:val="left" w:pos="540"/>
          <w:tab w:val="left" w:pos="569"/>
        </w:tabs>
        <w:jc w:val="both"/>
        <w:rPr>
          <w:b/>
          <w:bCs/>
          <w:sz w:val="22"/>
          <w:szCs w:val="22"/>
          <w:lang w:val="sl-SI"/>
        </w:rPr>
      </w:pPr>
    </w:p>
    <w:p w14:paraId="18BE86CF" w14:textId="77777777" w:rsidR="0072020E" w:rsidRPr="00F37527" w:rsidRDefault="0072020E" w:rsidP="0076441E">
      <w:pPr>
        <w:tabs>
          <w:tab w:val="left" w:pos="540"/>
          <w:tab w:val="left" w:pos="569"/>
        </w:tabs>
        <w:jc w:val="both"/>
        <w:rPr>
          <w:b/>
          <w:bCs/>
          <w:sz w:val="22"/>
          <w:szCs w:val="22"/>
          <w:lang w:val="sl-SI"/>
        </w:rPr>
      </w:pPr>
      <w:r w:rsidRPr="00F37527">
        <w:rPr>
          <w:b/>
          <w:bCs/>
          <w:sz w:val="22"/>
          <w:szCs w:val="22"/>
          <w:lang w:val="sl-SI"/>
        </w:rPr>
        <w:t xml:space="preserve">5. </w:t>
      </w:r>
      <w:r w:rsidR="00480FB1" w:rsidRPr="00F37527">
        <w:rPr>
          <w:b/>
          <w:bCs/>
          <w:sz w:val="22"/>
          <w:szCs w:val="22"/>
          <w:lang w:val="sl-SI"/>
        </w:rPr>
        <w:tab/>
      </w:r>
      <w:r w:rsidRPr="00F37527">
        <w:rPr>
          <w:b/>
          <w:bCs/>
          <w:sz w:val="22"/>
          <w:szCs w:val="22"/>
          <w:lang w:val="sl-SI"/>
        </w:rPr>
        <w:t>FARMAKOLOŠK</w:t>
      </w:r>
      <w:r w:rsidR="000D425A" w:rsidRPr="00F37527">
        <w:rPr>
          <w:b/>
          <w:bCs/>
          <w:sz w:val="22"/>
          <w:szCs w:val="22"/>
          <w:lang w:val="sl-SI"/>
        </w:rPr>
        <w:t>I</w:t>
      </w:r>
      <w:r w:rsidRPr="00F37527">
        <w:rPr>
          <w:b/>
          <w:bCs/>
          <w:sz w:val="22"/>
          <w:szCs w:val="22"/>
          <w:lang w:val="sl-SI"/>
        </w:rPr>
        <w:t xml:space="preserve"> PODACI</w:t>
      </w:r>
    </w:p>
    <w:p w14:paraId="18BE86D0" w14:textId="77777777" w:rsidR="0072020E" w:rsidRPr="00F37527" w:rsidRDefault="0072020E" w:rsidP="0076441E">
      <w:pPr>
        <w:tabs>
          <w:tab w:val="left" w:pos="540"/>
          <w:tab w:val="left" w:pos="569"/>
        </w:tabs>
        <w:jc w:val="both"/>
        <w:rPr>
          <w:b/>
          <w:bCs/>
          <w:sz w:val="22"/>
          <w:szCs w:val="22"/>
          <w:lang w:val="sl-SI"/>
        </w:rPr>
      </w:pPr>
    </w:p>
    <w:p w14:paraId="18BE86D1" w14:textId="77777777" w:rsidR="0072020E" w:rsidRPr="00F37527" w:rsidRDefault="0072020E" w:rsidP="0076441E">
      <w:pPr>
        <w:tabs>
          <w:tab w:val="left" w:pos="540"/>
          <w:tab w:val="left" w:pos="569"/>
        </w:tabs>
        <w:jc w:val="both"/>
        <w:rPr>
          <w:b/>
          <w:bCs/>
          <w:sz w:val="22"/>
          <w:szCs w:val="22"/>
          <w:lang w:val="sl-SI"/>
        </w:rPr>
      </w:pPr>
      <w:r w:rsidRPr="00F37527">
        <w:rPr>
          <w:b/>
          <w:bCs/>
          <w:sz w:val="22"/>
          <w:szCs w:val="22"/>
          <w:lang w:val="sl-SI"/>
        </w:rPr>
        <w:t xml:space="preserve">5.1. </w:t>
      </w:r>
      <w:r w:rsidR="00480FB1" w:rsidRPr="00F37527">
        <w:rPr>
          <w:b/>
          <w:bCs/>
          <w:sz w:val="22"/>
          <w:szCs w:val="22"/>
          <w:lang w:val="sl-SI"/>
        </w:rPr>
        <w:tab/>
      </w:r>
      <w:r w:rsidRPr="00F37527">
        <w:rPr>
          <w:b/>
          <w:bCs/>
          <w:sz w:val="22"/>
          <w:szCs w:val="22"/>
          <w:lang w:val="sl-SI"/>
        </w:rPr>
        <w:t>Farmakodinamski podaci</w:t>
      </w:r>
      <w:r w:rsidR="003A7059" w:rsidRPr="00F37527">
        <w:rPr>
          <w:b/>
          <w:bCs/>
          <w:sz w:val="22"/>
          <w:szCs w:val="22"/>
          <w:lang w:val="sl-SI"/>
        </w:rPr>
        <w:t xml:space="preserve"> </w:t>
      </w:r>
    </w:p>
    <w:p w14:paraId="18BE86D2" w14:textId="77777777" w:rsidR="00F45F77" w:rsidRPr="00F37527" w:rsidRDefault="00F45F77" w:rsidP="0076441E">
      <w:pPr>
        <w:tabs>
          <w:tab w:val="left" w:pos="540"/>
          <w:tab w:val="left" w:pos="569"/>
        </w:tabs>
        <w:jc w:val="both"/>
        <w:rPr>
          <w:b/>
          <w:bCs/>
          <w:sz w:val="22"/>
          <w:szCs w:val="22"/>
          <w:lang w:val="sl-SI"/>
        </w:rPr>
      </w:pPr>
    </w:p>
    <w:p w14:paraId="18BE86D3" w14:textId="011E9FA4" w:rsidR="0072020E" w:rsidRPr="00F37527" w:rsidRDefault="0072020E" w:rsidP="0076441E">
      <w:pPr>
        <w:tabs>
          <w:tab w:val="left" w:pos="540"/>
          <w:tab w:val="left" w:pos="569"/>
        </w:tabs>
        <w:jc w:val="both"/>
        <w:rPr>
          <w:bCs/>
          <w:sz w:val="22"/>
          <w:szCs w:val="22"/>
          <w:lang w:val="sl-SI"/>
        </w:rPr>
      </w:pPr>
      <w:r w:rsidRPr="00F37527">
        <w:rPr>
          <w:bCs/>
          <w:sz w:val="22"/>
          <w:szCs w:val="22"/>
          <w:lang w:val="sl-SI"/>
        </w:rPr>
        <w:t>Farmakoterapijska grupa:</w:t>
      </w:r>
      <w:r w:rsidR="00A94122" w:rsidRPr="00F37527">
        <w:rPr>
          <w:sz w:val="22"/>
          <w:szCs w:val="22"/>
          <w:lang w:val="sl-SI"/>
        </w:rPr>
        <w:t xml:space="preserve"> nukleozidni i nukleotidni inhibitori reverzne transkriptaze</w:t>
      </w:r>
    </w:p>
    <w:p w14:paraId="18BE86D4" w14:textId="77777777" w:rsidR="0072020E" w:rsidRPr="00F37527" w:rsidRDefault="0072020E" w:rsidP="0076441E">
      <w:pPr>
        <w:tabs>
          <w:tab w:val="left" w:pos="540"/>
          <w:tab w:val="left" w:pos="569"/>
        </w:tabs>
        <w:jc w:val="both"/>
        <w:rPr>
          <w:bCs/>
          <w:sz w:val="22"/>
          <w:szCs w:val="22"/>
          <w:lang w:val="sl-SI"/>
        </w:rPr>
      </w:pPr>
    </w:p>
    <w:p w14:paraId="18BE86D5" w14:textId="13353671" w:rsidR="0072020E" w:rsidRPr="00F37527" w:rsidRDefault="0072020E" w:rsidP="0076441E">
      <w:pPr>
        <w:tabs>
          <w:tab w:val="left" w:pos="540"/>
          <w:tab w:val="left" w:pos="569"/>
        </w:tabs>
        <w:jc w:val="both"/>
        <w:rPr>
          <w:bCs/>
          <w:sz w:val="22"/>
          <w:szCs w:val="22"/>
          <w:lang w:val="sl-SI"/>
        </w:rPr>
      </w:pPr>
      <w:r w:rsidRPr="00F37527">
        <w:rPr>
          <w:bCs/>
          <w:sz w:val="22"/>
          <w:szCs w:val="22"/>
          <w:lang w:val="sl-SI"/>
        </w:rPr>
        <w:lastRenderedPageBreak/>
        <w:t>ATC kod:</w:t>
      </w:r>
      <w:r w:rsidR="00A94122" w:rsidRPr="00F37527">
        <w:rPr>
          <w:sz w:val="22"/>
          <w:szCs w:val="22"/>
          <w:lang w:val="sl-SI"/>
        </w:rPr>
        <w:t xml:space="preserve"> J05AF05</w:t>
      </w:r>
    </w:p>
    <w:p w14:paraId="06E7624A" w14:textId="604E7B4F" w:rsidR="009744C5" w:rsidRPr="00F37527" w:rsidRDefault="009744C5" w:rsidP="0076441E">
      <w:pPr>
        <w:pStyle w:val="Header"/>
        <w:tabs>
          <w:tab w:val="left" w:pos="284"/>
        </w:tabs>
        <w:jc w:val="both"/>
        <w:rPr>
          <w:sz w:val="22"/>
          <w:szCs w:val="22"/>
          <w:lang w:val="sl-SI"/>
        </w:rPr>
      </w:pPr>
    </w:p>
    <w:p w14:paraId="22D4D37A" w14:textId="77777777" w:rsidR="001E298F" w:rsidRPr="00F37527" w:rsidRDefault="00947135" w:rsidP="0076441E">
      <w:pPr>
        <w:pStyle w:val="Header"/>
        <w:tabs>
          <w:tab w:val="left" w:pos="284"/>
        </w:tabs>
        <w:jc w:val="both"/>
        <w:rPr>
          <w:sz w:val="22"/>
          <w:szCs w:val="22"/>
          <w:u w:val="single"/>
          <w:lang w:val="sl-SI"/>
        </w:rPr>
      </w:pPr>
      <w:r w:rsidRPr="00F37527">
        <w:rPr>
          <w:sz w:val="22"/>
          <w:szCs w:val="22"/>
          <w:u w:val="single"/>
          <w:lang w:val="sl-SI"/>
        </w:rPr>
        <w:t>Mehanizam dejstva</w:t>
      </w:r>
    </w:p>
    <w:p w14:paraId="7538D626" w14:textId="77777777" w:rsidR="001E298F" w:rsidRPr="00F37527" w:rsidRDefault="001E298F" w:rsidP="0076441E">
      <w:pPr>
        <w:pStyle w:val="Header"/>
        <w:tabs>
          <w:tab w:val="left" w:pos="284"/>
        </w:tabs>
        <w:jc w:val="both"/>
        <w:rPr>
          <w:sz w:val="22"/>
          <w:szCs w:val="22"/>
          <w:u w:val="single"/>
          <w:lang w:val="sl-SI"/>
        </w:rPr>
      </w:pPr>
    </w:p>
    <w:p w14:paraId="0A0825A7" w14:textId="59C1A737" w:rsidR="009744C5" w:rsidRPr="00F37527" w:rsidRDefault="009744C5" w:rsidP="0076441E">
      <w:pPr>
        <w:pStyle w:val="Header"/>
        <w:tabs>
          <w:tab w:val="left" w:pos="284"/>
        </w:tabs>
        <w:jc w:val="both"/>
        <w:rPr>
          <w:sz w:val="22"/>
          <w:szCs w:val="22"/>
          <w:lang w:val="sl-SI"/>
        </w:rPr>
      </w:pPr>
      <w:r w:rsidRPr="00F37527">
        <w:rPr>
          <w:sz w:val="22"/>
          <w:szCs w:val="22"/>
          <w:lang w:val="sl-SI"/>
        </w:rPr>
        <w:t>Lamivudin je antivirotik, koji djeluje na virus hepatitisa B u svim ispitivanim ćelijskim linijama i kod eksperimentalno inficiranih životinja.</w:t>
      </w:r>
    </w:p>
    <w:p w14:paraId="759928E5" w14:textId="77777777" w:rsidR="009744C5" w:rsidRPr="00F37527" w:rsidRDefault="009744C5" w:rsidP="0076441E">
      <w:pPr>
        <w:pStyle w:val="Header"/>
        <w:tabs>
          <w:tab w:val="left" w:pos="284"/>
        </w:tabs>
        <w:jc w:val="both"/>
        <w:rPr>
          <w:sz w:val="22"/>
          <w:szCs w:val="22"/>
          <w:lang w:val="sl-SI"/>
        </w:rPr>
      </w:pPr>
    </w:p>
    <w:p w14:paraId="0FC2BFFF" w14:textId="77777777" w:rsidR="009744C5" w:rsidRPr="00F37527" w:rsidRDefault="009744C5" w:rsidP="0076441E">
      <w:pPr>
        <w:pStyle w:val="Header"/>
        <w:tabs>
          <w:tab w:val="left" w:pos="284"/>
        </w:tabs>
        <w:jc w:val="both"/>
        <w:rPr>
          <w:sz w:val="22"/>
          <w:szCs w:val="22"/>
          <w:lang w:val="sl-SI"/>
        </w:rPr>
      </w:pPr>
      <w:r w:rsidRPr="00F37527">
        <w:rPr>
          <w:sz w:val="22"/>
          <w:szCs w:val="22"/>
          <w:lang w:val="sl-SI"/>
        </w:rPr>
        <w:t>Lamivudin se metaboliše od strane zaraženih i nezaraženih ćelija do trifosfatnog derivata (TP) koji predstavlja aktivni oblik polaznog jedinjenja. Intracelularno poluvrijeme eliminacije trifosfata u hepatocitima iznosi 17 - 19 časova u uslovima</w:t>
      </w:r>
      <w:r w:rsidRPr="00F37527">
        <w:rPr>
          <w:i/>
          <w:sz w:val="22"/>
          <w:szCs w:val="22"/>
          <w:lang w:val="sl-SI"/>
        </w:rPr>
        <w:t xml:space="preserve"> in vitro.</w:t>
      </w:r>
      <w:r w:rsidRPr="00F37527">
        <w:rPr>
          <w:sz w:val="22"/>
          <w:szCs w:val="22"/>
          <w:lang w:val="sl-SI"/>
        </w:rPr>
        <w:t xml:space="preserve"> Lamivudin-TP djeluje kao supstrat za HBV polimerazu.</w:t>
      </w:r>
    </w:p>
    <w:p w14:paraId="3D4C5535" w14:textId="77777777" w:rsidR="009744C5" w:rsidRPr="00F37527" w:rsidRDefault="009744C5" w:rsidP="0076441E">
      <w:pPr>
        <w:pStyle w:val="Header"/>
        <w:tabs>
          <w:tab w:val="left" w:pos="284"/>
        </w:tabs>
        <w:jc w:val="both"/>
        <w:rPr>
          <w:sz w:val="22"/>
          <w:szCs w:val="22"/>
          <w:lang w:val="sl-SI"/>
        </w:rPr>
      </w:pPr>
    </w:p>
    <w:p w14:paraId="346D953E" w14:textId="77777777" w:rsidR="009744C5" w:rsidRPr="00F37527" w:rsidRDefault="009744C5" w:rsidP="0076441E">
      <w:pPr>
        <w:pStyle w:val="Header"/>
        <w:tabs>
          <w:tab w:val="left" w:pos="284"/>
        </w:tabs>
        <w:jc w:val="both"/>
        <w:rPr>
          <w:sz w:val="22"/>
          <w:szCs w:val="22"/>
          <w:lang w:val="sl-SI"/>
        </w:rPr>
      </w:pPr>
      <w:r w:rsidRPr="00F37527">
        <w:rPr>
          <w:sz w:val="22"/>
          <w:szCs w:val="22"/>
          <w:lang w:val="sl-SI"/>
        </w:rPr>
        <w:t>Dalje formiranje virusne DNK se blokira inkorporacijom lamivudina-TP u lanac i posljedičnim prekidanjem  lanca.</w:t>
      </w:r>
    </w:p>
    <w:p w14:paraId="6B032DD5" w14:textId="77777777" w:rsidR="009744C5" w:rsidRPr="00F37527" w:rsidRDefault="009744C5" w:rsidP="0076441E">
      <w:pPr>
        <w:pStyle w:val="Header"/>
        <w:tabs>
          <w:tab w:val="left" w:pos="284"/>
        </w:tabs>
        <w:jc w:val="both"/>
        <w:rPr>
          <w:sz w:val="22"/>
          <w:szCs w:val="22"/>
          <w:lang w:val="sl-SI"/>
        </w:rPr>
      </w:pPr>
    </w:p>
    <w:p w14:paraId="74023B10" w14:textId="77777777" w:rsidR="009744C5" w:rsidRPr="00F37527" w:rsidRDefault="009744C5" w:rsidP="0076441E">
      <w:pPr>
        <w:pStyle w:val="Header"/>
        <w:tabs>
          <w:tab w:val="left" w:pos="284"/>
        </w:tabs>
        <w:jc w:val="both"/>
        <w:rPr>
          <w:sz w:val="22"/>
          <w:szCs w:val="22"/>
          <w:lang w:val="sl-SI"/>
        </w:rPr>
      </w:pPr>
      <w:r w:rsidRPr="00F37527">
        <w:rPr>
          <w:sz w:val="22"/>
          <w:szCs w:val="22"/>
          <w:lang w:val="sl-SI"/>
        </w:rPr>
        <w:t>Lamivudin-TP ne interferira sa normalnim ćelijskim metabolizmom deoksinukleotida. On je takođe  slab inhibitor alfa- i beta-polimeraza DNK sisara. Osim toga, lamivudin-TP ispoljava slab uticaj na sadržaj DNK ćelija sisara.</w:t>
      </w:r>
    </w:p>
    <w:p w14:paraId="14A0CA3A" w14:textId="77777777" w:rsidR="009744C5" w:rsidRPr="00F37527" w:rsidRDefault="009744C5" w:rsidP="0076441E">
      <w:pPr>
        <w:pStyle w:val="Header"/>
        <w:tabs>
          <w:tab w:val="left" w:pos="284"/>
        </w:tabs>
        <w:jc w:val="both"/>
        <w:rPr>
          <w:sz w:val="22"/>
          <w:szCs w:val="22"/>
          <w:lang w:val="sl-SI"/>
        </w:rPr>
      </w:pPr>
    </w:p>
    <w:p w14:paraId="777ADED2" w14:textId="77777777" w:rsidR="009744C5" w:rsidRPr="00F37527" w:rsidRDefault="009744C5" w:rsidP="0076441E">
      <w:pPr>
        <w:pStyle w:val="Header"/>
        <w:tabs>
          <w:tab w:val="left" w:pos="284"/>
        </w:tabs>
        <w:jc w:val="both"/>
        <w:rPr>
          <w:sz w:val="22"/>
          <w:szCs w:val="22"/>
          <w:lang w:val="sl-SI"/>
        </w:rPr>
      </w:pPr>
      <w:r w:rsidRPr="00F37527">
        <w:rPr>
          <w:sz w:val="22"/>
          <w:szCs w:val="22"/>
          <w:lang w:val="sl-SI"/>
        </w:rPr>
        <w:t>U ispitivanjima potencijalnih dejstava supstance na strukturu mitohondrija i sadržaj i funkciju DNK, lamivudin nije ispoljio značajna toksična dejstva. On posjeduje veoma mali potencijal za smanjenje sadržaja mitohondrijalne DNK, ne ugrađuje se trajno u mitohondrijalnu DNK i ne djeluje kao inhibitor mitohondrijalne DNK gama-polimeraze.</w:t>
      </w:r>
    </w:p>
    <w:p w14:paraId="033771A6" w14:textId="77777777" w:rsidR="007405D5" w:rsidRPr="00F37527" w:rsidRDefault="007405D5" w:rsidP="0076441E">
      <w:pPr>
        <w:pStyle w:val="Header"/>
        <w:tabs>
          <w:tab w:val="left" w:pos="284"/>
        </w:tabs>
        <w:jc w:val="both"/>
        <w:rPr>
          <w:sz w:val="22"/>
          <w:szCs w:val="22"/>
          <w:u w:val="single"/>
          <w:lang w:val="sl-SI"/>
        </w:rPr>
      </w:pPr>
    </w:p>
    <w:p w14:paraId="79A0C955" w14:textId="6369A497" w:rsidR="00A94122" w:rsidRPr="00F37527" w:rsidRDefault="00A94122" w:rsidP="0076441E">
      <w:pPr>
        <w:pStyle w:val="Header"/>
        <w:tabs>
          <w:tab w:val="left" w:pos="284"/>
        </w:tabs>
        <w:jc w:val="both"/>
        <w:rPr>
          <w:sz w:val="22"/>
          <w:szCs w:val="22"/>
          <w:u w:val="single"/>
          <w:lang w:val="sl-SI"/>
        </w:rPr>
      </w:pPr>
      <w:r w:rsidRPr="00F37527">
        <w:rPr>
          <w:sz w:val="22"/>
          <w:szCs w:val="22"/>
          <w:u w:val="single"/>
          <w:lang w:val="sl-SI"/>
        </w:rPr>
        <w:t>Kliničk</w:t>
      </w:r>
      <w:r w:rsidR="007475C7" w:rsidRPr="00F37527">
        <w:rPr>
          <w:sz w:val="22"/>
          <w:szCs w:val="22"/>
          <w:u w:val="single"/>
          <w:lang w:val="sl-SI"/>
        </w:rPr>
        <w:t>a efikasnost i bezbjednost</w:t>
      </w:r>
    </w:p>
    <w:p w14:paraId="2858B6B2" w14:textId="77777777" w:rsidR="00A94122" w:rsidRPr="00F37527" w:rsidRDefault="00A94122" w:rsidP="0076441E">
      <w:pPr>
        <w:pStyle w:val="Header"/>
        <w:tabs>
          <w:tab w:val="left" w:pos="284"/>
        </w:tabs>
        <w:jc w:val="both"/>
        <w:rPr>
          <w:b/>
          <w:sz w:val="22"/>
          <w:szCs w:val="22"/>
          <w:lang w:val="sl-SI"/>
        </w:rPr>
      </w:pPr>
    </w:p>
    <w:p w14:paraId="6E658508" w14:textId="4801A40D" w:rsidR="00A94122" w:rsidRPr="00F37527" w:rsidRDefault="00A94122" w:rsidP="0076441E">
      <w:pPr>
        <w:pStyle w:val="Header"/>
        <w:tabs>
          <w:tab w:val="left" w:pos="284"/>
        </w:tabs>
        <w:jc w:val="both"/>
        <w:rPr>
          <w:i/>
          <w:sz w:val="22"/>
          <w:szCs w:val="22"/>
          <w:lang w:val="sl-SI"/>
        </w:rPr>
      </w:pPr>
      <w:r w:rsidRPr="00F37527">
        <w:rPr>
          <w:i/>
          <w:sz w:val="22"/>
          <w:szCs w:val="22"/>
          <w:lang w:val="sl-SI"/>
        </w:rPr>
        <w:t>Iskustvo kod pacijenata sa HBeAg pozitivnim HHB i kompenzovanim oboljenjem jetre</w:t>
      </w:r>
    </w:p>
    <w:p w14:paraId="47AD70DA"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U kontrolisanim ispitivanjima, jednogodišnje liječenje lamivudinom značajno je suprimiralo HBV DNK replikaciju [34-57% pacijenata nalazilo se ispod granica detekcije (Abbot Genostics hibridizaciona analiza, LLOD &lt; 1,6 pg/ml)], normalizovalo je nivo ALT u serumu (40-72% pacijenata), indukovalo je HBeAg serokonverziju (gubitak HBeAg i detekcija HBeAb uz gubitak HBV DNK [konvencionalnom analizom], 16-18% pacijenata), poboljšalo je histološki nalaz (38-52% pacijenata imalo je smanjenje od ≥ 2 stepena u Knodellovom indeksu histološke aktivnosti [HAI]) i smanjilo je napredovanje fibroze (kod 3-17% pacijenata) i napredovanje ka cirozi.</w:t>
      </w:r>
    </w:p>
    <w:p w14:paraId="63CF393A" w14:textId="77777777" w:rsidR="00A94122" w:rsidRPr="00F37527" w:rsidRDefault="00A94122" w:rsidP="0076441E">
      <w:pPr>
        <w:pStyle w:val="Header"/>
        <w:tabs>
          <w:tab w:val="left" w:pos="284"/>
        </w:tabs>
        <w:jc w:val="both"/>
        <w:rPr>
          <w:sz w:val="22"/>
          <w:szCs w:val="22"/>
          <w:lang w:val="sl-SI"/>
        </w:rPr>
      </w:pPr>
    </w:p>
    <w:p w14:paraId="1FD364B4" w14:textId="05CF479A" w:rsidR="00A94122" w:rsidRPr="00F37527" w:rsidRDefault="00A94122" w:rsidP="0076441E">
      <w:pPr>
        <w:pStyle w:val="Header"/>
        <w:tabs>
          <w:tab w:val="left" w:pos="284"/>
        </w:tabs>
        <w:jc w:val="both"/>
        <w:rPr>
          <w:sz w:val="22"/>
          <w:szCs w:val="22"/>
          <w:lang w:val="sl-SI"/>
        </w:rPr>
      </w:pPr>
      <w:r w:rsidRPr="00F37527">
        <w:rPr>
          <w:sz w:val="22"/>
          <w:szCs w:val="22"/>
          <w:lang w:val="sl-SI"/>
        </w:rPr>
        <w:t>Kontinuirano liječenje lamivudinom u toku dodatne 2 godine kod pacijenata kod kojih nije došlo do postizanja HBeAg serokonverzije u inicijalnoj godini kontrolisanog ispitivanja, imalo je za posljedicu dalje poboljšanje progresivne fibroze. Kod pacijenata sa YMDD mutantom HBV, 41/82 (50%) pacijenata je imalo poboljšanje stepena inflamacije jetre i 40/56 (71%) pacijenata bez YMDD mutanta HBV imalo je poboljšanje. Zaustavljanje progresivne fibroze registrovano je kod 19/30 (63%) pacijenata bez YMDD mutanta i 22/44 (50%) pacijenata sa mutantom. Pet procenata (3/56) pacijenata bez YMDD mutanta i 13% (11/82) pacijenata sa YMDD mutantom pokazalo je pogoršanje hepatičke inflamacije u poređenju sa stanjem prije liječenja. Progresija ka cirozi registrovana je kod 4/68 (6%) pacijenata sa YMDD mutantom, dok ni kod jednog pacijenta bez mutanta nije došlo do progresije ka cirozi.</w:t>
      </w:r>
    </w:p>
    <w:p w14:paraId="0BCAFFD2" w14:textId="77777777" w:rsidR="00A94122" w:rsidRPr="00F37527" w:rsidRDefault="00A94122" w:rsidP="0076441E">
      <w:pPr>
        <w:pStyle w:val="Header"/>
        <w:tabs>
          <w:tab w:val="left" w:pos="284"/>
        </w:tabs>
        <w:jc w:val="both"/>
        <w:rPr>
          <w:sz w:val="22"/>
          <w:szCs w:val="22"/>
          <w:lang w:val="sl-SI"/>
        </w:rPr>
      </w:pPr>
    </w:p>
    <w:p w14:paraId="05C4D822" w14:textId="5851410C" w:rsidR="00A94122" w:rsidRPr="00F37527" w:rsidRDefault="00A94122" w:rsidP="0076441E">
      <w:pPr>
        <w:pStyle w:val="Header"/>
        <w:tabs>
          <w:tab w:val="left" w:pos="284"/>
        </w:tabs>
        <w:jc w:val="both"/>
        <w:rPr>
          <w:sz w:val="22"/>
          <w:szCs w:val="22"/>
          <w:lang w:val="sl-SI"/>
        </w:rPr>
      </w:pPr>
      <w:r w:rsidRPr="00F37527">
        <w:rPr>
          <w:sz w:val="22"/>
          <w:szCs w:val="22"/>
          <w:lang w:val="sl-SI"/>
        </w:rPr>
        <w:t>U okviru opsežne studije terapije kod pacijenata azijskog por</w:t>
      </w:r>
      <w:r w:rsidR="001B73A5" w:rsidRPr="00F37527">
        <w:rPr>
          <w:sz w:val="22"/>
          <w:szCs w:val="22"/>
          <w:lang w:val="sl-SI"/>
        </w:rPr>
        <w:t>ij</w:t>
      </w:r>
      <w:r w:rsidRPr="00F37527">
        <w:rPr>
          <w:sz w:val="22"/>
          <w:szCs w:val="22"/>
          <w:lang w:val="sl-SI"/>
        </w:rPr>
        <w:t>ekla (NUCB3018), stopa serokonverzije HBeAg i stopa normalizacije ALT na kraju perioda liječenja od 5 godina bila je 48% (28/58) i 47% (15/32), respektivno. Serokonverzija HBeAg bila je povišena kod pacijenata sa povišenim nivoima ALT; 77% (20/26) pacijenata sa ALT &gt; 2 puta veće od gornje granice normalnih vrijednosti prije liječenja imalo je serokonverziju. Na kraju perioda od 5 godina, svi pacijenti su imali nivo HBV DNK koji se nije mogao detektovati ili je bio niži u odnosu na nivo prije terapije.</w:t>
      </w:r>
    </w:p>
    <w:p w14:paraId="6BA456B5" w14:textId="77777777" w:rsidR="00A94122" w:rsidRPr="00F37527" w:rsidRDefault="00A94122" w:rsidP="0076441E">
      <w:pPr>
        <w:pStyle w:val="Header"/>
        <w:tabs>
          <w:tab w:val="left" w:pos="284"/>
        </w:tabs>
        <w:jc w:val="both"/>
        <w:rPr>
          <w:sz w:val="22"/>
          <w:szCs w:val="22"/>
          <w:lang w:val="sl-SI"/>
        </w:rPr>
      </w:pPr>
    </w:p>
    <w:p w14:paraId="1A9F4D1A"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Dalji rezultati ispitivanja statusa YMDD mutanta su prikazani u tabeli 2.</w:t>
      </w:r>
    </w:p>
    <w:p w14:paraId="6C5D8EEC" w14:textId="77777777" w:rsidR="00A94122" w:rsidRPr="00F37527" w:rsidRDefault="00A94122" w:rsidP="0076441E">
      <w:pPr>
        <w:pStyle w:val="Header"/>
        <w:tabs>
          <w:tab w:val="left" w:pos="284"/>
        </w:tabs>
        <w:jc w:val="both"/>
        <w:rPr>
          <w:sz w:val="22"/>
          <w:szCs w:val="22"/>
          <w:lang w:val="sl-SI"/>
        </w:rPr>
      </w:pPr>
    </w:p>
    <w:p w14:paraId="5C40E194" w14:textId="77777777" w:rsidR="00A94122" w:rsidRPr="00F37527" w:rsidRDefault="00A94122" w:rsidP="0076441E">
      <w:pPr>
        <w:pStyle w:val="Header"/>
        <w:tabs>
          <w:tab w:val="left" w:pos="284"/>
        </w:tabs>
        <w:jc w:val="both"/>
        <w:rPr>
          <w:b/>
          <w:sz w:val="22"/>
          <w:szCs w:val="22"/>
          <w:lang w:val="sl-SI"/>
        </w:rPr>
      </w:pPr>
      <w:r w:rsidRPr="00F37527">
        <w:rPr>
          <w:b/>
          <w:sz w:val="22"/>
          <w:szCs w:val="22"/>
          <w:lang w:val="sl-SI"/>
        </w:rPr>
        <w:t>Tabela 2: Rezultati ispitivanja efikasnosti liječenja u toku 5 godina prema YMDD statusu (Azijska studija) NUCB3018</w:t>
      </w:r>
    </w:p>
    <w:p w14:paraId="401ACFB2" w14:textId="77777777" w:rsidR="00A94122" w:rsidRPr="00F37527" w:rsidRDefault="00A94122" w:rsidP="0076441E">
      <w:pPr>
        <w:pStyle w:val="Header"/>
        <w:tabs>
          <w:tab w:val="left" w:pos="284"/>
        </w:tabs>
        <w:jc w:val="both"/>
        <w:rPr>
          <w:b/>
          <w:sz w:val="22"/>
          <w:szCs w:val="22"/>
          <w:lang w:val="sl-SI"/>
        </w:rPr>
      </w:pPr>
    </w:p>
    <w:tbl>
      <w:tblPr>
        <w:tblW w:w="9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5"/>
        <w:gridCol w:w="2469"/>
        <w:gridCol w:w="2377"/>
      </w:tblGrid>
      <w:tr w:rsidR="00A94122" w:rsidRPr="00F37527" w14:paraId="382B88A3" w14:textId="77777777" w:rsidTr="00F37527">
        <w:trPr>
          <w:trHeight w:val="255"/>
        </w:trPr>
        <w:tc>
          <w:tcPr>
            <w:tcW w:w="4285" w:type="dxa"/>
            <w:tcBorders>
              <w:top w:val="single" w:sz="4" w:space="0" w:color="000000"/>
              <w:left w:val="single" w:sz="4" w:space="0" w:color="000000"/>
              <w:bottom w:val="single" w:sz="4" w:space="0" w:color="000000"/>
              <w:right w:val="single" w:sz="4" w:space="0" w:color="000000"/>
            </w:tcBorders>
          </w:tcPr>
          <w:p w14:paraId="5F9EACD7" w14:textId="77777777" w:rsidR="00A94122" w:rsidRPr="00F37527" w:rsidRDefault="00A94122" w:rsidP="0076441E">
            <w:pPr>
              <w:pStyle w:val="Header"/>
              <w:tabs>
                <w:tab w:val="left" w:pos="284"/>
              </w:tabs>
              <w:jc w:val="both"/>
              <w:rPr>
                <w:b/>
                <w:sz w:val="22"/>
                <w:szCs w:val="22"/>
                <w:lang w:val="sl-SI"/>
              </w:rPr>
            </w:pPr>
          </w:p>
        </w:tc>
        <w:tc>
          <w:tcPr>
            <w:tcW w:w="4846" w:type="dxa"/>
            <w:gridSpan w:val="2"/>
            <w:tcBorders>
              <w:top w:val="single" w:sz="4" w:space="0" w:color="000000"/>
              <w:left w:val="single" w:sz="4" w:space="0" w:color="000000"/>
              <w:bottom w:val="single" w:sz="4" w:space="0" w:color="000000"/>
              <w:right w:val="single" w:sz="4" w:space="0" w:color="000000"/>
            </w:tcBorders>
            <w:hideMark/>
          </w:tcPr>
          <w:p w14:paraId="65599164" w14:textId="77777777" w:rsidR="00A94122" w:rsidRPr="00F37527" w:rsidRDefault="00A94122" w:rsidP="0076441E">
            <w:pPr>
              <w:pStyle w:val="Header"/>
              <w:tabs>
                <w:tab w:val="left" w:pos="284"/>
              </w:tabs>
              <w:jc w:val="both"/>
              <w:rPr>
                <w:b/>
                <w:sz w:val="22"/>
                <w:szCs w:val="22"/>
                <w:lang w:val="sl-SI"/>
              </w:rPr>
            </w:pPr>
            <w:r w:rsidRPr="00F37527">
              <w:rPr>
                <w:b/>
                <w:sz w:val="22"/>
                <w:szCs w:val="22"/>
                <w:lang w:val="sl-SI"/>
              </w:rPr>
              <w:t>Ispitanici, % (broj)</w:t>
            </w:r>
          </w:p>
        </w:tc>
      </w:tr>
      <w:tr w:rsidR="00A94122" w:rsidRPr="00F37527" w14:paraId="6463DB7B" w14:textId="77777777" w:rsidTr="00F37527">
        <w:trPr>
          <w:trHeight w:val="240"/>
        </w:trPr>
        <w:tc>
          <w:tcPr>
            <w:tcW w:w="4285" w:type="dxa"/>
            <w:tcBorders>
              <w:top w:val="single" w:sz="4" w:space="0" w:color="000000"/>
              <w:left w:val="single" w:sz="4" w:space="0" w:color="000000"/>
              <w:bottom w:val="single" w:sz="4" w:space="0" w:color="000000"/>
              <w:right w:val="single" w:sz="4" w:space="0" w:color="000000"/>
            </w:tcBorders>
            <w:hideMark/>
          </w:tcPr>
          <w:p w14:paraId="7925B0D9" w14:textId="77777777" w:rsidR="00A94122" w:rsidRPr="00F37527" w:rsidRDefault="00A94122" w:rsidP="0076441E">
            <w:pPr>
              <w:pStyle w:val="Header"/>
              <w:tabs>
                <w:tab w:val="left" w:pos="284"/>
              </w:tabs>
              <w:jc w:val="both"/>
              <w:rPr>
                <w:b/>
                <w:sz w:val="22"/>
                <w:szCs w:val="22"/>
                <w:lang w:val="sl-SI"/>
              </w:rPr>
            </w:pPr>
            <w:r w:rsidRPr="00F37527">
              <w:rPr>
                <w:b/>
                <w:sz w:val="22"/>
                <w:szCs w:val="22"/>
                <w:lang w:val="sl-SI"/>
              </w:rPr>
              <w:t>YMDD mutant HBV status</w:t>
            </w:r>
          </w:p>
        </w:tc>
        <w:tc>
          <w:tcPr>
            <w:tcW w:w="2469" w:type="dxa"/>
            <w:tcBorders>
              <w:top w:val="single" w:sz="4" w:space="0" w:color="000000"/>
              <w:left w:val="single" w:sz="4" w:space="0" w:color="000000"/>
              <w:bottom w:val="single" w:sz="4" w:space="0" w:color="000000"/>
              <w:right w:val="single" w:sz="4" w:space="0" w:color="000000"/>
            </w:tcBorders>
            <w:hideMark/>
          </w:tcPr>
          <w:p w14:paraId="35FE7AA8" w14:textId="77777777" w:rsidR="00A94122" w:rsidRPr="00F37527" w:rsidRDefault="00A94122" w:rsidP="0076441E">
            <w:pPr>
              <w:pStyle w:val="Header"/>
              <w:tabs>
                <w:tab w:val="left" w:pos="284"/>
              </w:tabs>
              <w:jc w:val="both"/>
              <w:rPr>
                <w:b/>
                <w:sz w:val="22"/>
                <w:szCs w:val="22"/>
                <w:lang w:val="sl-SI"/>
              </w:rPr>
            </w:pPr>
            <w:r w:rsidRPr="00F37527">
              <w:rPr>
                <w:sz w:val="22"/>
                <w:szCs w:val="22"/>
                <w:lang w:val="sl-SI"/>
              </w:rPr>
              <w:t>YMDD</w:t>
            </w:r>
            <w:r w:rsidRPr="00F37527">
              <w:rPr>
                <w:sz w:val="22"/>
                <w:szCs w:val="22"/>
                <w:vertAlign w:val="superscript"/>
                <w:lang w:val="sl-SI"/>
              </w:rPr>
              <w:t>1</w:t>
            </w:r>
          </w:p>
        </w:tc>
        <w:tc>
          <w:tcPr>
            <w:tcW w:w="2376" w:type="dxa"/>
            <w:tcBorders>
              <w:top w:val="single" w:sz="4" w:space="0" w:color="000000"/>
              <w:left w:val="single" w:sz="4" w:space="0" w:color="000000"/>
              <w:bottom w:val="single" w:sz="4" w:space="0" w:color="000000"/>
              <w:right w:val="single" w:sz="4" w:space="0" w:color="000000"/>
            </w:tcBorders>
            <w:hideMark/>
          </w:tcPr>
          <w:p w14:paraId="7EB44263" w14:textId="77777777" w:rsidR="00A94122" w:rsidRPr="00F37527" w:rsidRDefault="00A94122" w:rsidP="0076441E">
            <w:pPr>
              <w:pStyle w:val="Header"/>
              <w:tabs>
                <w:tab w:val="left" w:pos="284"/>
              </w:tabs>
              <w:jc w:val="both"/>
              <w:rPr>
                <w:b/>
                <w:sz w:val="22"/>
                <w:szCs w:val="22"/>
                <w:lang w:val="sl-SI"/>
              </w:rPr>
            </w:pPr>
            <w:r w:rsidRPr="00F37527">
              <w:rPr>
                <w:sz w:val="22"/>
                <w:szCs w:val="22"/>
                <w:lang w:val="sl-SI"/>
              </w:rPr>
              <w:t>Bez YMDD</w:t>
            </w:r>
            <w:r w:rsidRPr="00F37527">
              <w:rPr>
                <w:sz w:val="22"/>
                <w:szCs w:val="22"/>
                <w:vertAlign w:val="superscript"/>
                <w:lang w:val="sl-SI"/>
              </w:rPr>
              <w:t>1</w:t>
            </w:r>
          </w:p>
        </w:tc>
      </w:tr>
      <w:tr w:rsidR="00A94122" w:rsidRPr="00F37527" w14:paraId="51086823" w14:textId="77777777" w:rsidTr="00F37527">
        <w:trPr>
          <w:trHeight w:val="673"/>
        </w:trPr>
        <w:tc>
          <w:tcPr>
            <w:tcW w:w="4285" w:type="dxa"/>
            <w:tcBorders>
              <w:top w:val="single" w:sz="4" w:space="0" w:color="000000"/>
              <w:left w:val="single" w:sz="4" w:space="0" w:color="000000"/>
              <w:bottom w:val="single" w:sz="4" w:space="0" w:color="000000"/>
              <w:right w:val="single" w:sz="4" w:space="0" w:color="000000"/>
            </w:tcBorders>
          </w:tcPr>
          <w:p w14:paraId="65E7DFEA" w14:textId="77777777" w:rsidR="00A94122" w:rsidRPr="00F37527" w:rsidRDefault="00A94122" w:rsidP="0076441E">
            <w:pPr>
              <w:pStyle w:val="Header"/>
              <w:tabs>
                <w:tab w:val="left" w:pos="284"/>
              </w:tabs>
              <w:jc w:val="both"/>
              <w:rPr>
                <w:b/>
                <w:sz w:val="22"/>
                <w:szCs w:val="22"/>
                <w:u w:val="single"/>
                <w:lang w:val="sl-SI"/>
              </w:rPr>
            </w:pPr>
            <w:r w:rsidRPr="00F37527">
              <w:rPr>
                <w:b/>
                <w:sz w:val="22"/>
                <w:szCs w:val="22"/>
                <w:u w:val="single"/>
                <w:lang w:val="sl-SI"/>
              </w:rPr>
              <w:t>HBeAg serokonverzija</w:t>
            </w:r>
          </w:p>
          <w:p w14:paraId="0B85F2DF" w14:textId="77777777" w:rsidR="00A94122" w:rsidRPr="00F37527" w:rsidRDefault="00A94122" w:rsidP="0076441E">
            <w:pPr>
              <w:pStyle w:val="Header"/>
              <w:tabs>
                <w:tab w:val="left" w:pos="284"/>
              </w:tabs>
              <w:jc w:val="both"/>
              <w:rPr>
                <w:b/>
                <w:sz w:val="22"/>
                <w:szCs w:val="22"/>
                <w:u w:val="single"/>
                <w:lang w:val="sl-SI"/>
              </w:rPr>
            </w:pPr>
          </w:p>
          <w:p w14:paraId="2CC306D7" w14:textId="77777777" w:rsidR="00A94122" w:rsidRPr="00F37527" w:rsidRDefault="00A94122" w:rsidP="0076441E">
            <w:pPr>
              <w:pStyle w:val="Header"/>
              <w:tabs>
                <w:tab w:val="left" w:pos="284"/>
              </w:tabs>
              <w:jc w:val="both"/>
              <w:rPr>
                <w:b/>
                <w:sz w:val="22"/>
                <w:szCs w:val="22"/>
                <w:lang w:val="sl-SI"/>
              </w:rPr>
            </w:pPr>
            <w:r w:rsidRPr="00F37527">
              <w:rPr>
                <w:b/>
                <w:sz w:val="22"/>
                <w:szCs w:val="22"/>
                <w:lang w:val="sl-SI"/>
              </w:rPr>
              <w:t xml:space="preserve">- </w:t>
            </w:r>
            <w:r w:rsidRPr="00F37527">
              <w:rPr>
                <w:sz w:val="22"/>
                <w:szCs w:val="22"/>
                <w:lang w:val="sl-SI"/>
              </w:rPr>
              <w:t>Svi pacijenti</w:t>
            </w:r>
          </w:p>
          <w:p w14:paraId="50EA37ED" w14:textId="77777777" w:rsidR="00A94122" w:rsidRPr="00F37527" w:rsidRDefault="00A94122" w:rsidP="0076441E">
            <w:pPr>
              <w:pStyle w:val="Header"/>
              <w:tabs>
                <w:tab w:val="left" w:pos="284"/>
              </w:tabs>
              <w:jc w:val="both"/>
              <w:rPr>
                <w:sz w:val="22"/>
                <w:szCs w:val="22"/>
                <w:vertAlign w:val="superscript"/>
                <w:lang w:val="sl-SI"/>
              </w:rPr>
            </w:pPr>
            <w:r w:rsidRPr="00F37527">
              <w:rPr>
                <w:b/>
                <w:sz w:val="22"/>
                <w:szCs w:val="22"/>
                <w:lang w:val="sl-SI"/>
              </w:rPr>
              <w:t xml:space="preserve">- </w:t>
            </w:r>
            <w:r w:rsidRPr="00F37527">
              <w:rPr>
                <w:sz w:val="22"/>
                <w:szCs w:val="22"/>
                <w:lang w:val="sl-SI"/>
              </w:rPr>
              <w:t xml:space="preserve">Početna ALT </w:t>
            </w:r>
            <w:r w:rsidRPr="00F37527">
              <w:rPr>
                <w:sz w:val="22"/>
                <w:szCs w:val="22"/>
                <w:lang w:val="sl-SI"/>
              </w:rPr>
              <w:sym w:font="Symbol" w:char="F0A3"/>
            </w:r>
            <w:r w:rsidRPr="00F37527">
              <w:rPr>
                <w:sz w:val="22"/>
                <w:szCs w:val="22"/>
                <w:lang w:val="sl-SI"/>
              </w:rPr>
              <w:t xml:space="preserve"> 1 x GGN</w:t>
            </w:r>
            <w:r w:rsidRPr="00F37527">
              <w:rPr>
                <w:sz w:val="22"/>
                <w:szCs w:val="22"/>
                <w:vertAlign w:val="superscript"/>
                <w:lang w:val="sl-SI"/>
              </w:rPr>
              <w:t>2</w:t>
            </w:r>
          </w:p>
          <w:p w14:paraId="4470666C"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 Početna ALT &gt; 2 GGN</w:t>
            </w:r>
          </w:p>
          <w:p w14:paraId="27162995" w14:textId="77777777" w:rsidR="00A94122" w:rsidRPr="00F37527" w:rsidRDefault="00A94122" w:rsidP="0076441E">
            <w:pPr>
              <w:pStyle w:val="Header"/>
              <w:tabs>
                <w:tab w:val="left" w:pos="284"/>
              </w:tabs>
              <w:jc w:val="both"/>
              <w:rPr>
                <w:sz w:val="22"/>
                <w:szCs w:val="22"/>
                <w:lang w:val="sl-SI"/>
              </w:rPr>
            </w:pPr>
          </w:p>
          <w:p w14:paraId="184605A2" w14:textId="77777777" w:rsidR="00A94122" w:rsidRPr="00F37527" w:rsidRDefault="00A94122" w:rsidP="0076441E">
            <w:pPr>
              <w:pStyle w:val="Header"/>
              <w:tabs>
                <w:tab w:val="left" w:pos="284"/>
              </w:tabs>
              <w:jc w:val="both"/>
              <w:rPr>
                <w:b/>
                <w:sz w:val="22"/>
                <w:szCs w:val="22"/>
                <w:u w:val="single"/>
                <w:lang w:val="sl-SI"/>
              </w:rPr>
            </w:pPr>
            <w:r w:rsidRPr="00F37527">
              <w:rPr>
                <w:b/>
                <w:sz w:val="22"/>
                <w:szCs w:val="22"/>
                <w:u w:val="single"/>
                <w:lang w:val="sl-SI"/>
              </w:rPr>
              <w:t>Nemjerljiva HBV DNK</w:t>
            </w:r>
          </w:p>
          <w:p w14:paraId="5152DCC9" w14:textId="77777777" w:rsidR="00A94122" w:rsidRPr="00F37527" w:rsidRDefault="00A94122" w:rsidP="0076441E">
            <w:pPr>
              <w:pStyle w:val="Header"/>
              <w:tabs>
                <w:tab w:val="left" w:pos="284"/>
              </w:tabs>
              <w:jc w:val="both"/>
              <w:rPr>
                <w:b/>
                <w:sz w:val="22"/>
                <w:szCs w:val="22"/>
                <w:lang w:val="sl-SI"/>
              </w:rPr>
            </w:pPr>
          </w:p>
          <w:p w14:paraId="72ECE90D" w14:textId="77777777" w:rsidR="00A94122" w:rsidRPr="00F37527" w:rsidRDefault="00A94122" w:rsidP="0076441E">
            <w:pPr>
              <w:pStyle w:val="Header"/>
              <w:tabs>
                <w:tab w:val="left" w:pos="284"/>
              </w:tabs>
              <w:jc w:val="both"/>
              <w:rPr>
                <w:sz w:val="22"/>
                <w:szCs w:val="22"/>
                <w:vertAlign w:val="superscript"/>
                <w:lang w:val="sl-SI"/>
              </w:rPr>
            </w:pPr>
            <w:r w:rsidRPr="00F37527">
              <w:rPr>
                <w:sz w:val="22"/>
                <w:szCs w:val="22"/>
                <w:lang w:val="sl-SI"/>
              </w:rPr>
              <w:t>- Početna vrijednost</w:t>
            </w:r>
            <w:r w:rsidRPr="00F37527">
              <w:rPr>
                <w:sz w:val="22"/>
                <w:szCs w:val="22"/>
                <w:vertAlign w:val="superscript"/>
                <w:lang w:val="sl-SI"/>
              </w:rPr>
              <w:t>3</w:t>
            </w:r>
          </w:p>
          <w:p w14:paraId="05B5965B" w14:textId="77777777" w:rsidR="00A94122" w:rsidRPr="00F37527" w:rsidRDefault="00A94122" w:rsidP="0076441E">
            <w:pPr>
              <w:pStyle w:val="Header"/>
              <w:tabs>
                <w:tab w:val="left" w:pos="284"/>
              </w:tabs>
              <w:jc w:val="both"/>
              <w:rPr>
                <w:sz w:val="22"/>
                <w:szCs w:val="22"/>
                <w:vertAlign w:val="superscript"/>
                <w:lang w:val="sl-SI"/>
              </w:rPr>
            </w:pPr>
          </w:p>
          <w:p w14:paraId="2255D3A3" w14:textId="77777777" w:rsidR="00A94122" w:rsidRPr="00F37527" w:rsidRDefault="00A94122" w:rsidP="0076441E">
            <w:pPr>
              <w:pStyle w:val="Header"/>
              <w:tabs>
                <w:tab w:val="left" w:pos="284"/>
              </w:tabs>
              <w:jc w:val="both"/>
              <w:rPr>
                <w:sz w:val="22"/>
                <w:szCs w:val="22"/>
                <w:vertAlign w:val="superscript"/>
                <w:lang w:val="sl-SI"/>
              </w:rPr>
            </w:pPr>
            <w:r w:rsidRPr="00F37527">
              <w:rPr>
                <w:b/>
                <w:sz w:val="22"/>
                <w:szCs w:val="22"/>
                <w:lang w:val="sl-SI"/>
              </w:rPr>
              <w:t xml:space="preserve">- </w:t>
            </w:r>
            <w:r w:rsidRPr="00F37527">
              <w:rPr>
                <w:sz w:val="22"/>
                <w:szCs w:val="22"/>
                <w:lang w:val="sl-SI"/>
              </w:rPr>
              <w:t>Nedjelja 260</w:t>
            </w:r>
            <w:r w:rsidRPr="00F37527">
              <w:rPr>
                <w:sz w:val="22"/>
                <w:szCs w:val="22"/>
                <w:vertAlign w:val="superscript"/>
                <w:lang w:val="sl-SI"/>
              </w:rPr>
              <w:t>4</w:t>
            </w:r>
          </w:p>
          <w:p w14:paraId="51A4DEFE" w14:textId="77777777" w:rsidR="00A94122" w:rsidRPr="00F37527" w:rsidRDefault="00A94122" w:rsidP="0076441E">
            <w:pPr>
              <w:pStyle w:val="Header"/>
              <w:tabs>
                <w:tab w:val="left" w:pos="284"/>
              </w:tabs>
              <w:jc w:val="both"/>
              <w:rPr>
                <w:b/>
                <w:sz w:val="22"/>
                <w:szCs w:val="22"/>
                <w:lang w:val="sl-SI"/>
              </w:rPr>
            </w:pPr>
            <w:r w:rsidRPr="00F37527">
              <w:rPr>
                <w:sz w:val="22"/>
                <w:szCs w:val="22"/>
                <w:lang w:val="sl-SI"/>
              </w:rPr>
              <w:t xml:space="preserve">  Negativna</w:t>
            </w:r>
            <w:r w:rsidRPr="00F37527">
              <w:rPr>
                <w:b/>
                <w:sz w:val="22"/>
                <w:szCs w:val="22"/>
                <w:lang w:val="sl-SI"/>
              </w:rPr>
              <w:t xml:space="preserve"> </w:t>
            </w:r>
          </w:p>
          <w:p w14:paraId="3D0B9AC1"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 xml:space="preserve">  Pozitivna &lt; početna vrijednost</w:t>
            </w:r>
          </w:p>
          <w:p w14:paraId="013CA7D9"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 xml:space="preserve">  Pozitivna &gt; početna vrijednost</w:t>
            </w:r>
          </w:p>
          <w:p w14:paraId="0EFFD91F" w14:textId="77777777" w:rsidR="00A94122" w:rsidRPr="00F37527" w:rsidRDefault="00A94122" w:rsidP="0076441E">
            <w:pPr>
              <w:pStyle w:val="Header"/>
              <w:tabs>
                <w:tab w:val="left" w:pos="284"/>
              </w:tabs>
              <w:jc w:val="both"/>
              <w:rPr>
                <w:sz w:val="22"/>
                <w:szCs w:val="22"/>
                <w:lang w:val="sl-SI"/>
              </w:rPr>
            </w:pPr>
          </w:p>
          <w:p w14:paraId="083930F7" w14:textId="77777777" w:rsidR="00A94122" w:rsidRPr="00F37527" w:rsidRDefault="00A94122" w:rsidP="0076441E">
            <w:pPr>
              <w:pStyle w:val="Header"/>
              <w:tabs>
                <w:tab w:val="left" w:pos="284"/>
              </w:tabs>
              <w:jc w:val="both"/>
              <w:rPr>
                <w:b/>
                <w:sz w:val="22"/>
                <w:szCs w:val="22"/>
                <w:u w:val="single"/>
                <w:lang w:val="sl-SI"/>
              </w:rPr>
            </w:pPr>
            <w:r w:rsidRPr="00F37527">
              <w:rPr>
                <w:b/>
                <w:sz w:val="22"/>
                <w:szCs w:val="22"/>
                <w:u w:val="single"/>
                <w:lang w:val="sl-SI"/>
              </w:rPr>
              <w:t>Normalizacija ALT</w:t>
            </w:r>
          </w:p>
          <w:p w14:paraId="15182347" w14:textId="77777777" w:rsidR="00A94122" w:rsidRPr="00F37527" w:rsidRDefault="00A94122" w:rsidP="0076441E">
            <w:pPr>
              <w:pStyle w:val="Header"/>
              <w:tabs>
                <w:tab w:val="left" w:pos="284"/>
              </w:tabs>
              <w:jc w:val="both"/>
              <w:rPr>
                <w:b/>
                <w:sz w:val="22"/>
                <w:szCs w:val="22"/>
                <w:u w:val="single"/>
                <w:lang w:val="sl-SI"/>
              </w:rPr>
            </w:pPr>
          </w:p>
          <w:p w14:paraId="5A0E04B7" w14:textId="77777777" w:rsidR="00A94122" w:rsidRPr="00F37527" w:rsidRDefault="00A94122" w:rsidP="0076441E">
            <w:pPr>
              <w:pStyle w:val="Header"/>
              <w:tabs>
                <w:tab w:val="left" w:pos="284"/>
              </w:tabs>
              <w:jc w:val="both"/>
              <w:rPr>
                <w:b/>
                <w:sz w:val="22"/>
                <w:szCs w:val="22"/>
                <w:u w:val="single"/>
                <w:lang w:val="sl-SI"/>
              </w:rPr>
            </w:pPr>
            <w:r w:rsidRPr="00F37527">
              <w:rPr>
                <w:sz w:val="22"/>
                <w:szCs w:val="22"/>
                <w:lang w:val="sl-SI"/>
              </w:rPr>
              <w:t>- Početna vrijednost</w:t>
            </w:r>
          </w:p>
          <w:p w14:paraId="66D7BF3A"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 xml:space="preserve">  Normalna vrijednost</w:t>
            </w:r>
          </w:p>
          <w:p w14:paraId="7DCFF506"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 xml:space="preserve">  Iznad normale vrijednosti</w:t>
            </w:r>
          </w:p>
          <w:p w14:paraId="2DF7E908" w14:textId="77777777" w:rsidR="00A94122" w:rsidRPr="00F37527" w:rsidRDefault="00A94122" w:rsidP="0076441E">
            <w:pPr>
              <w:pStyle w:val="Header"/>
              <w:tabs>
                <w:tab w:val="left" w:pos="284"/>
              </w:tabs>
              <w:jc w:val="both"/>
              <w:rPr>
                <w:sz w:val="22"/>
                <w:szCs w:val="22"/>
                <w:lang w:val="sl-SI"/>
              </w:rPr>
            </w:pPr>
          </w:p>
          <w:p w14:paraId="1AB3A981"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 Nedjelja 260</w:t>
            </w:r>
          </w:p>
          <w:p w14:paraId="797A8C48"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 xml:space="preserve">  Normalna vrijednost</w:t>
            </w:r>
          </w:p>
          <w:p w14:paraId="6D649EDD"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 xml:space="preserve">  Iznad normalne &lt; početna vrijednost</w:t>
            </w:r>
          </w:p>
          <w:p w14:paraId="482F761A" w14:textId="77777777" w:rsidR="00A94122" w:rsidRPr="00F37527" w:rsidRDefault="00A94122" w:rsidP="0076441E">
            <w:pPr>
              <w:pStyle w:val="Header"/>
              <w:tabs>
                <w:tab w:val="left" w:pos="284"/>
              </w:tabs>
              <w:jc w:val="both"/>
              <w:rPr>
                <w:b/>
                <w:sz w:val="22"/>
                <w:szCs w:val="22"/>
                <w:u w:val="single"/>
                <w:lang w:val="sl-SI"/>
              </w:rPr>
            </w:pPr>
            <w:r w:rsidRPr="00F37527">
              <w:rPr>
                <w:sz w:val="22"/>
                <w:szCs w:val="22"/>
                <w:lang w:val="sl-SI"/>
              </w:rPr>
              <w:t xml:space="preserve">  Iznad normalne &gt; početna vrijednost</w:t>
            </w:r>
          </w:p>
        </w:tc>
        <w:tc>
          <w:tcPr>
            <w:tcW w:w="2469" w:type="dxa"/>
            <w:tcBorders>
              <w:top w:val="single" w:sz="4" w:space="0" w:color="000000"/>
              <w:left w:val="single" w:sz="4" w:space="0" w:color="000000"/>
              <w:bottom w:val="single" w:sz="4" w:space="0" w:color="000000"/>
              <w:right w:val="single" w:sz="4" w:space="0" w:color="000000"/>
            </w:tcBorders>
          </w:tcPr>
          <w:p w14:paraId="5FD299FC" w14:textId="77777777" w:rsidR="00A94122" w:rsidRPr="00F37527" w:rsidRDefault="00A94122" w:rsidP="0076441E">
            <w:pPr>
              <w:pStyle w:val="Header"/>
              <w:tabs>
                <w:tab w:val="left" w:pos="284"/>
              </w:tabs>
              <w:jc w:val="both"/>
              <w:rPr>
                <w:b/>
                <w:sz w:val="22"/>
                <w:szCs w:val="22"/>
                <w:lang w:val="sl-SI"/>
              </w:rPr>
            </w:pPr>
          </w:p>
          <w:p w14:paraId="2D6A50E2" w14:textId="77777777" w:rsidR="00A94122" w:rsidRPr="00F37527" w:rsidRDefault="00A94122" w:rsidP="0076441E">
            <w:pPr>
              <w:pStyle w:val="Header"/>
              <w:tabs>
                <w:tab w:val="left" w:pos="284"/>
              </w:tabs>
              <w:jc w:val="both"/>
              <w:rPr>
                <w:b/>
                <w:sz w:val="22"/>
                <w:szCs w:val="22"/>
                <w:lang w:val="sl-SI"/>
              </w:rPr>
            </w:pPr>
          </w:p>
          <w:p w14:paraId="62ADBD00"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38   (15/40)</w:t>
            </w:r>
          </w:p>
          <w:p w14:paraId="3E388D1B"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9     (1/11)</w:t>
            </w:r>
          </w:p>
          <w:p w14:paraId="1A8A1210"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60   (9/15)</w:t>
            </w:r>
          </w:p>
          <w:p w14:paraId="3DE3ADB4" w14:textId="77777777" w:rsidR="00A94122" w:rsidRPr="00F37527" w:rsidRDefault="00A94122" w:rsidP="0076441E">
            <w:pPr>
              <w:pStyle w:val="Header"/>
              <w:tabs>
                <w:tab w:val="left" w:pos="284"/>
              </w:tabs>
              <w:jc w:val="both"/>
              <w:rPr>
                <w:sz w:val="22"/>
                <w:szCs w:val="22"/>
                <w:lang w:val="sl-SI"/>
              </w:rPr>
            </w:pPr>
          </w:p>
          <w:p w14:paraId="628BAD94" w14:textId="77777777" w:rsidR="00A94122" w:rsidRPr="00F37527" w:rsidRDefault="00A94122" w:rsidP="0076441E">
            <w:pPr>
              <w:pStyle w:val="Header"/>
              <w:tabs>
                <w:tab w:val="left" w:pos="284"/>
              </w:tabs>
              <w:jc w:val="both"/>
              <w:rPr>
                <w:sz w:val="22"/>
                <w:szCs w:val="22"/>
                <w:lang w:val="sl-SI"/>
              </w:rPr>
            </w:pPr>
          </w:p>
          <w:p w14:paraId="238EE2C8" w14:textId="77777777" w:rsidR="00A94122" w:rsidRPr="00F37527" w:rsidRDefault="00A94122" w:rsidP="0076441E">
            <w:pPr>
              <w:pStyle w:val="Header"/>
              <w:tabs>
                <w:tab w:val="left" w:pos="284"/>
              </w:tabs>
              <w:jc w:val="both"/>
              <w:rPr>
                <w:sz w:val="22"/>
                <w:szCs w:val="22"/>
                <w:lang w:val="sl-SI"/>
              </w:rPr>
            </w:pPr>
          </w:p>
          <w:p w14:paraId="3B9EC83B"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5     (2/40)</w:t>
            </w:r>
          </w:p>
          <w:p w14:paraId="55745467" w14:textId="77777777" w:rsidR="00A94122" w:rsidRPr="00F37527" w:rsidRDefault="00A94122" w:rsidP="0076441E">
            <w:pPr>
              <w:pStyle w:val="Header"/>
              <w:tabs>
                <w:tab w:val="left" w:pos="284"/>
              </w:tabs>
              <w:jc w:val="both"/>
              <w:rPr>
                <w:sz w:val="22"/>
                <w:szCs w:val="22"/>
                <w:lang w:val="sl-SI"/>
              </w:rPr>
            </w:pPr>
          </w:p>
          <w:p w14:paraId="6AD6CC81" w14:textId="77777777" w:rsidR="00A94122" w:rsidRPr="00F37527" w:rsidRDefault="00A94122" w:rsidP="0076441E">
            <w:pPr>
              <w:pStyle w:val="Header"/>
              <w:tabs>
                <w:tab w:val="left" w:pos="284"/>
              </w:tabs>
              <w:jc w:val="both"/>
              <w:rPr>
                <w:sz w:val="22"/>
                <w:szCs w:val="22"/>
                <w:lang w:val="sl-SI"/>
              </w:rPr>
            </w:pPr>
          </w:p>
          <w:p w14:paraId="4D706FF1"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8     (2/25)</w:t>
            </w:r>
          </w:p>
          <w:p w14:paraId="6D834CC9"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92   (23/25)</w:t>
            </w:r>
          </w:p>
          <w:p w14:paraId="6125ABDC"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0</w:t>
            </w:r>
          </w:p>
          <w:p w14:paraId="7D3F060A" w14:textId="77777777" w:rsidR="00A94122" w:rsidRPr="00F37527" w:rsidRDefault="00A94122" w:rsidP="0076441E">
            <w:pPr>
              <w:pStyle w:val="Header"/>
              <w:tabs>
                <w:tab w:val="left" w:pos="284"/>
              </w:tabs>
              <w:jc w:val="both"/>
              <w:rPr>
                <w:sz w:val="22"/>
                <w:szCs w:val="22"/>
                <w:lang w:val="sl-SI"/>
              </w:rPr>
            </w:pPr>
          </w:p>
          <w:p w14:paraId="75D795C8" w14:textId="77777777" w:rsidR="00A94122" w:rsidRPr="00F37527" w:rsidRDefault="00A94122" w:rsidP="0076441E">
            <w:pPr>
              <w:pStyle w:val="Header"/>
              <w:tabs>
                <w:tab w:val="left" w:pos="284"/>
              </w:tabs>
              <w:jc w:val="both"/>
              <w:rPr>
                <w:sz w:val="22"/>
                <w:szCs w:val="22"/>
                <w:lang w:val="sl-SI"/>
              </w:rPr>
            </w:pPr>
          </w:p>
          <w:p w14:paraId="6A9A0613" w14:textId="77777777" w:rsidR="00A94122" w:rsidRPr="00F37527" w:rsidRDefault="00A94122" w:rsidP="0076441E">
            <w:pPr>
              <w:pStyle w:val="Header"/>
              <w:tabs>
                <w:tab w:val="left" w:pos="284"/>
              </w:tabs>
              <w:jc w:val="both"/>
              <w:rPr>
                <w:sz w:val="22"/>
                <w:szCs w:val="22"/>
                <w:lang w:val="sl-SI"/>
              </w:rPr>
            </w:pPr>
          </w:p>
          <w:p w14:paraId="31E800D0" w14:textId="77777777" w:rsidR="00A94122" w:rsidRPr="00F37527" w:rsidRDefault="00A94122" w:rsidP="0076441E">
            <w:pPr>
              <w:pStyle w:val="Header"/>
              <w:tabs>
                <w:tab w:val="left" w:pos="284"/>
              </w:tabs>
              <w:jc w:val="both"/>
              <w:rPr>
                <w:sz w:val="22"/>
                <w:szCs w:val="22"/>
                <w:lang w:val="sl-SI"/>
              </w:rPr>
            </w:pPr>
          </w:p>
          <w:p w14:paraId="2C73F358"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28   (11/40)</w:t>
            </w:r>
          </w:p>
          <w:p w14:paraId="774B5141"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73   (29/40)</w:t>
            </w:r>
          </w:p>
          <w:p w14:paraId="1F792619" w14:textId="77777777" w:rsidR="00A94122" w:rsidRPr="00F37527" w:rsidRDefault="00A94122" w:rsidP="0076441E">
            <w:pPr>
              <w:pStyle w:val="Header"/>
              <w:tabs>
                <w:tab w:val="left" w:pos="284"/>
              </w:tabs>
              <w:jc w:val="both"/>
              <w:rPr>
                <w:sz w:val="22"/>
                <w:szCs w:val="22"/>
                <w:lang w:val="sl-SI"/>
              </w:rPr>
            </w:pPr>
          </w:p>
          <w:p w14:paraId="05B74DC0" w14:textId="77777777" w:rsidR="00A94122" w:rsidRPr="00F37527" w:rsidRDefault="00A94122" w:rsidP="0076441E">
            <w:pPr>
              <w:pStyle w:val="Header"/>
              <w:tabs>
                <w:tab w:val="left" w:pos="284"/>
              </w:tabs>
              <w:jc w:val="both"/>
              <w:rPr>
                <w:sz w:val="22"/>
                <w:szCs w:val="22"/>
                <w:lang w:val="sl-SI"/>
              </w:rPr>
            </w:pPr>
          </w:p>
          <w:p w14:paraId="642E68DC"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46   (13/28)</w:t>
            </w:r>
          </w:p>
          <w:p w14:paraId="63799CE8"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21   (6/28)</w:t>
            </w:r>
          </w:p>
          <w:p w14:paraId="4B855A14"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32   (9/28)</w:t>
            </w:r>
          </w:p>
        </w:tc>
        <w:tc>
          <w:tcPr>
            <w:tcW w:w="2376" w:type="dxa"/>
            <w:tcBorders>
              <w:top w:val="single" w:sz="4" w:space="0" w:color="000000"/>
              <w:left w:val="single" w:sz="4" w:space="0" w:color="000000"/>
              <w:bottom w:val="single" w:sz="4" w:space="0" w:color="000000"/>
              <w:right w:val="single" w:sz="4" w:space="0" w:color="000000"/>
            </w:tcBorders>
          </w:tcPr>
          <w:p w14:paraId="55DD9D63" w14:textId="77777777" w:rsidR="00A94122" w:rsidRPr="00F37527" w:rsidRDefault="00A94122" w:rsidP="0076441E">
            <w:pPr>
              <w:pStyle w:val="Header"/>
              <w:tabs>
                <w:tab w:val="left" w:pos="284"/>
              </w:tabs>
              <w:jc w:val="both"/>
              <w:rPr>
                <w:b/>
                <w:sz w:val="22"/>
                <w:szCs w:val="22"/>
                <w:lang w:val="sl-SI"/>
              </w:rPr>
            </w:pPr>
          </w:p>
          <w:p w14:paraId="31EBBCED" w14:textId="77777777" w:rsidR="00A94122" w:rsidRPr="00F37527" w:rsidRDefault="00A94122" w:rsidP="0076441E">
            <w:pPr>
              <w:pStyle w:val="Header"/>
              <w:tabs>
                <w:tab w:val="left" w:pos="284"/>
              </w:tabs>
              <w:jc w:val="both"/>
              <w:rPr>
                <w:b/>
                <w:sz w:val="22"/>
                <w:szCs w:val="22"/>
                <w:lang w:val="sl-SI"/>
              </w:rPr>
            </w:pPr>
          </w:p>
          <w:p w14:paraId="3BBBA165"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72     (13/18)</w:t>
            </w:r>
          </w:p>
          <w:p w14:paraId="282B7C9B"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33     (2/6)</w:t>
            </w:r>
          </w:p>
          <w:p w14:paraId="275802C7"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100   (11/11)</w:t>
            </w:r>
          </w:p>
          <w:p w14:paraId="766F562B" w14:textId="77777777" w:rsidR="00A94122" w:rsidRPr="00F37527" w:rsidRDefault="00A94122" w:rsidP="0076441E">
            <w:pPr>
              <w:pStyle w:val="Header"/>
              <w:tabs>
                <w:tab w:val="left" w:pos="284"/>
              </w:tabs>
              <w:jc w:val="both"/>
              <w:rPr>
                <w:sz w:val="22"/>
                <w:szCs w:val="22"/>
                <w:lang w:val="sl-SI"/>
              </w:rPr>
            </w:pPr>
          </w:p>
          <w:p w14:paraId="2849B392" w14:textId="77777777" w:rsidR="00A94122" w:rsidRPr="00F37527" w:rsidRDefault="00A94122" w:rsidP="0076441E">
            <w:pPr>
              <w:pStyle w:val="Header"/>
              <w:tabs>
                <w:tab w:val="left" w:pos="284"/>
              </w:tabs>
              <w:jc w:val="both"/>
              <w:rPr>
                <w:sz w:val="22"/>
                <w:szCs w:val="22"/>
                <w:lang w:val="sl-SI"/>
              </w:rPr>
            </w:pPr>
          </w:p>
          <w:p w14:paraId="2E7ABCEF" w14:textId="77777777" w:rsidR="00A94122" w:rsidRPr="00F37527" w:rsidRDefault="00A94122" w:rsidP="0076441E">
            <w:pPr>
              <w:pStyle w:val="Header"/>
              <w:tabs>
                <w:tab w:val="left" w:pos="284"/>
              </w:tabs>
              <w:jc w:val="both"/>
              <w:rPr>
                <w:sz w:val="22"/>
                <w:szCs w:val="22"/>
                <w:lang w:val="sl-SI"/>
              </w:rPr>
            </w:pPr>
          </w:p>
          <w:p w14:paraId="35AEEEF2"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6       (1/18)</w:t>
            </w:r>
          </w:p>
          <w:p w14:paraId="131196C1" w14:textId="77777777" w:rsidR="00A94122" w:rsidRPr="00F37527" w:rsidRDefault="00A94122" w:rsidP="0076441E">
            <w:pPr>
              <w:pStyle w:val="Header"/>
              <w:tabs>
                <w:tab w:val="left" w:pos="284"/>
              </w:tabs>
              <w:jc w:val="both"/>
              <w:rPr>
                <w:sz w:val="22"/>
                <w:szCs w:val="22"/>
                <w:lang w:val="sl-SI"/>
              </w:rPr>
            </w:pPr>
          </w:p>
          <w:p w14:paraId="24D11F9D" w14:textId="77777777" w:rsidR="00A94122" w:rsidRPr="00F37527" w:rsidRDefault="00A94122" w:rsidP="0076441E">
            <w:pPr>
              <w:pStyle w:val="Header"/>
              <w:tabs>
                <w:tab w:val="left" w:pos="284"/>
              </w:tabs>
              <w:jc w:val="both"/>
              <w:rPr>
                <w:sz w:val="22"/>
                <w:szCs w:val="22"/>
                <w:lang w:val="sl-SI"/>
              </w:rPr>
            </w:pPr>
          </w:p>
          <w:p w14:paraId="05B6980A"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0</w:t>
            </w:r>
          </w:p>
          <w:p w14:paraId="48F36E7B"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100   (4/4)</w:t>
            </w:r>
          </w:p>
          <w:p w14:paraId="3DE23D06"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0</w:t>
            </w:r>
          </w:p>
          <w:p w14:paraId="2B4BEEF1" w14:textId="77777777" w:rsidR="00A94122" w:rsidRPr="00F37527" w:rsidRDefault="00A94122" w:rsidP="0076441E">
            <w:pPr>
              <w:pStyle w:val="Header"/>
              <w:tabs>
                <w:tab w:val="left" w:pos="284"/>
              </w:tabs>
              <w:jc w:val="both"/>
              <w:rPr>
                <w:sz w:val="22"/>
                <w:szCs w:val="22"/>
                <w:lang w:val="sl-SI"/>
              </w:rPr>
            </w:pPr>
          </w:p>
          <w:p w14:paraId="1B1A4C46" w14:textId="77777777" w:rsidR="00A94122" w:rsidRPr="00F37527" w:rsidRDefault="00A94122" w:rsidP="0076441E">
            <w:pPr>
              <w:pStyle w:val="Header"/>
              <w:tabs>
                <w:tab w:val="left" w:pos="284"/>
              </w:tabs>
              <w:jc w:val="both"/>
              <w:rPr>
                <w:sz w:val="22"/>
                <w:szCs w:val="22"/>
                <w:lang w:val="sl-SI"/>
              </w:rPr>
            </w:pPr>
          </w:p>
          <w:p w14:paraId="5AECE029" w14:textId="77777777" w:rsidR="00A94122" w:rsidRPr="00F37527" w:rsidRDefault="00A94122" w:rsidP="0076441E">
            <w:pPr>
              <w:pStyle w:val="Header"/>
              <w:tabs>
                <w:tab w:val="left" w:pos="284"/>
              </w:tabs>
              <w:jc w:val="both"/>
              <w:rPr>
                <w:sz w:val="22"/>
                <w:szCs w:val="22"/>
                <w:lang w:val="sl-SI"/>
              </w:rPr>
            </w:pPr>
          </w:p>
          <w:p w14:paraId="4C6070B7" w14:textId="77777777" w:rsidR="00A94122" w:rsidRPr="00F37527" w:rsidRDefault="00A94122" w:rsidP="0076441E">
            <w:pPr>
              <w:pStyle w:val="Header"/>
              <w:tabs>
                <w:tab w:val="left" w:pos="284"/>
              </w:tabs>
              <w:jc w:val="both"/>
              <w:rPr>
                <w:sz w:val="22"/>
                <w:szCs w:val="22"/>
                <w:lang w:val="sl-SI"/>
              </w:rPr>
            </w:pPr>
          </w:p>
          <w:p w14:paraId="2AD104EF"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33   (6/18)</w:t>
            </w:r>
          </w:p>
          <w:p w14:paraId="2FB7003E"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67   (12/18)</w:t>
            </w:r>
          </w:p>
          <w:p w14:paraId="1A9125F0" w14:textId="77777777" w:rsidR="00A94122" w:rsidRPr="00F37527" w:rsidRDefault="00A94122" w:rsidP="0076441E">
            <w:pPr>
              <w:pStyle w:val="Header"/>
              <w:tabs>
                <w:tab w:val="left" w:pos="284"/>
              </w:tabs>
              <w:jc w:val="both"/>
              <w:rPr>
                <w:sz w:val="22"/>
                <w:szCs w:val="22"/>
                <w:lang w:val="sl-SI"/>
              </w:rPr>
            </w:pPr>
          </w:p>
          <w:p w14:paraId="4D6932BE" w14:textId="77777777" w:rsidR="00A94122" w:rsidRPr="00F37527" w:rsidRDefault="00A94122" w:rsidP="0076441E">
            <w:pPr>
              <w:pStyle w:val="Header"/>
              <w:tabs>
                <w:tab w:val="left" w:pos="284"/>
              </w:tabs>
              <w:jc w:val="both"/>
              <w:rPr>
                <w:sz w:val="22"/>
                <w:szCs w:val="22"/>
                <w:lang w:val="sl-SI"/>
              </w:rPr>
            </w:pPr>
          </w:p>
          <w:p w14:paraId="57CC7299"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50   (2/4)</w:t>
            </w:r>
          </w:p>
          <w:p w14:paraId="59552DAC"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0</w:t>
            </w:r>
          </w:p>
          <w:p w14:paraId="33C61460" w14:textId="77777777" w:rsidR="00A94122" w:rsidRPr="00F37527" w:rsidRDefault="00A94122" w:rsidP="0076441E">
            <w:pPr>
              <w:pStyle w:val="Header"/>
              <w:tabs>
                <w:tab w:val="left" w:pos="284"/>
              </w:tabs>
              <w:jc w:val="both"/>
              <w:rPr>
                <w:b/>
                <w:sz w:val="22"/>
                <w:szCs w:val="22"/>
                <w:lang w:val="sl-SI"/>
              </w:rPr>
            </w:pPr>
            <w:r w:rsidRPr="00F37527">
              <w:rPr>
                <w:sz w:val="22"/>
                <w:szCs w:val="22"/>
                <w:lang w:val="sl-SI"/>
              </w:rPr>
              <w:t>50   (2/4)</w:t>
            </w:r>
          </w:p>
        </w:tc>
      </w:tr>
    </w:tbl>
    <w:p w14:paraId="4A8FE892" w14:textId="77777777" w:rsidR="00A94122" w:rsidRPr="00F37527" w:rsidRDefault="00A94122" w:rsidP="0076441E">
      <w:pPr>
        <w:pStyle w:val="Header"/>
        <w:tabs>
          <w:tab w:val="left" w:pos="284"/>
        </w:tabs>
        <w:jc w:val="both"/>
        <w:rPr>
          <w:b/>
          <w:sz w:val="22"/>
          <w:szCs w:val="22"/>
          <w:lang w:val="sl-SI"/>
        </w:rPr>
      </w:pPr>
    </w:p>
    <w:p w14:paraId="0DDA0B6C" w14:textId="77777777" w:rsidR="00A94122" w:rsidRPr="00F37527" w:rsidRDefault="00A94122" w:rsidP="0076441E">
      <w:pPr>
        <w:pStyle w:val="Header"/>
        <w:tabs>
          <w:tab w:val="left" w:pos="284"/>
        </w:tabs>
        <w:jc w:val="both"/>
        <w:rPr>
          <w:sz w:val="22"/>
          <w:szCs w:val="22"/>
          <w:lang w:val="sl-SI"/>
        </w:rPr>
      </w:pPr>
      <w:r w:rsidRPr="00F37527">
        <w:rPr>
          <w:sz w:val="22"/>
          <w:szCs w:val="22"/>
          <w:vertAlign w:val="superscript"/>
          <w:lang w:val="sl-SI"/>
        </w:rPr>
        <w:t>1</w:t>
      </w:r>
      <w:r w:rsidRPr="00F37527">
        <w:rPr>
          <w:sz w:val="22"/>
          <w:szCs w:val="22"/>
          <w:lang w:val="sl-SI"/>
        </w:rPr>
        <w:t xml:space="preserve"> Pacijenti označeni kao "YMDD mutant" su bili oni sa ≥ 5% YMDD mutanta HBV u bilo kojoj godišnjoj vremenskoj tački tokom perioda od 5 godina. Pacijenti svrstani kao "bez YMDD mutanta" su bili oni sa &gt; 95% HBV bez navedene mutacije u bilo kojoj godišnjoj vremenskoj tački tokom perioda od 5 godina</w:t>
      </w:r>
    </w:p>
    <w:p w14:paraId="00F4F4AC" w14:textId="77777777" w:rsidR="00A94122" w:rsidRPr="00F37527" w:rsidRDefault="00A94122" w:rsidP="0076441E">
      <w:pPr>
        <w:pStyle w:val="Header"/>
        <w:tabs>
          <w:tab w:val="left" w:pos="284"/>
        </w:tabs>
        <w:jc w:val="both"/>
        <w:rPr>
          <w:sz w:val="22"/>
          <w:szCs w:val="22"/>
          <w:lang w:val="sl-SI"/>
        </w:rPr>
      </w:pPr>
      <w:r w:rsidRPr="00F37527">
        <w:rPr>
          <w:sz w:val="22"/>
          <w:szCs w:val="22"/>
          <w:vertAlign w:val="superscript"/>
          <w:lang w:val="sl-SI"/>
        </w:rPr>
        <w:t>2</w:t>
      </w:r>
      <w:r w:rsidRPr="00F37527">
        <w:rPr>
          <w:sz w:val="22"/>
          <w:szCs w:val="22"/>
          <w:lang w:val="sl-SI"/>
        </w:rPr>
        <w:t xml:space="preserve"> Gornja granica normale</w:t>
      </w:r>
    </w:p>
    <w:p w14:paraId="505B1412" w14:textId="77777777" w:rsidR="00A94122" w:rsidRPr="00F37527" w:rsidRDefault="00A94122" w:rsidP="0076441E">
      <w:pPr>
        <w:pStyle w:val="Header"/>
        <w:tabs>
          <w:tab w:val="left" w:pos="284"/>
        </w:tabs>
        <w:jc w:val="both"/>
        <w:rPr>
          <w:sz w:val="22"/>
          <w:szCs w:val="22"/>
          <w:lang w:val="sl-SI"/>
        </w:rPr>
      </w:pPr>
      <w:r w:rsidRPr="00F37527">
        <w:rPr>
          <w:sz w:val="22"/>
          <w:szCs w:val="22"/>
          <w:vertAlign w:val="superscript"/>
          <w:lang w:val="sl-SI"/>
        </w:rPr>
        <w:t>3</w:t>
      </w:r>
      <w:r w:rsidRPr="00F37527">
        <w:rPr>
          <w:sz w:val="22"/>
          <w:szCs w:val="22"/>
          <w:lang w:val="sl-SI"/>
        </w:rPr>
        <w:t xml:space="preserve"> Abbot Genostics hibridizaciona analiza (LLOD &lt; 1,6 pg/ml)</w:t>
      </w:r>
    </w:p>
    <w:p w14:paraId="511DC91C" w14:textId="77777777" w:rsidR="00A94122" w:rsidRPr="00F37527" w:rsidRDefault="00A94122" w:rsidP="0076441E">
      <w:pPr>
        <w:pStyle w:val="Header"/>
        <w:tabs>
          <w:tab w:val="left" w:pos="284"/>
        </w:tabs>
        <w:jc w:val="both"/>
        <w:rPr>
          <w:sz w:val="22"/>
          <w:szCs w:val="22"/>
          <w:lang w:val="sl-SI"/>
        </w:rPr>
      </w:pPr>
      <w:r w:rsidRPr="00F37527">
        <w:rPr>
          <w:sz w:val="22"/>
          <w:szCs w:val="22"/>
          <w:vertAlign w:val="superscript"/>
          <w:lang w:val="sl-SI"/>
        </w:rPr>
        <w:t>4</w:t>
      </w:r>
      <w:r w:rsidRPr="00F37527">
        <w:rPr>
          <w:sz w:val="22"/>
          <w:szCs w:val="22"/>
          <w:lang w:val="sl-SI"/>
        </w:rPr>
        <w:t xml:space="preserve"> Chiron Quantiplex test (LLOD 0,7 Meq/ml)</w:t>
      </w:r>
    </w:p>
    <w:p w14:paraId="7EB922EA" w14:textId="77777777" w:rsidR="00A94122" w:rsidRPr="00F37527" w:rsidRDefault="00A94122" w:rsidP="0076441E">
      <w:pPr>
        <w:pStyle w:val="Header"/>
        <w:tabs>
          <w:tab w:val="left" w:pos="284"/>
        </w:tabs>
        <w:jc w:val="both"/>
        <w:rPr>
          <w:sz w:val="22"/>
          <w:szCs w:val="22"/>
          <w:lang w:val="sl-SI"/>
        </w:rPr>
      </w:pPr>
    </w:p>
    <w:p w14:paraId="1F7D72DB" w14:textId="5B3B15DE" w:rsidR="00A94122" w:rsidRPr="00F37527" w:rsidRDefault="00A94122" w:rsidP="0076441E">
      <w:pPr>
        <w:pStyle w:val="Header"/>
        <w:tabs>
          <w:tab w:val="left" w:pos="284"/>
        </w:tabs>
        <w:jc w:val="both"/>
        <w:rPr>
          <w:sz w:val="22"/>
          <w:szCs w:val="22"/>
          <w:lang w:val="sl-SI"/>
        </w:rPr>
      </w:pPr>
      <w:r w:rsidRPr="00F37527">
        <w:rPr>
          <w:sz w:val="22"/>
          <w:szCs w:val="22"/>
          <w:lang w:val="sl-SI"/>
        </w:rPr>
        <w:t>Komparativni podaci prema YMDD statusu takođe su bili na raspolaganju u cilju histološke procjene, ali samo do perioda od tri godine. Kod pacijenata sa YMDD mutantom HBV, 18/39 (46%) zabilježeno je  poboljšanje u pogledu nekro-inflamatorne aktivnosti, a 9/39 (23%) je zabilježeno pogoršanje. Kod pacijenata bez navedenog mutanta, kod 20/27</w:t>
      </w:r>
      <w:r w:rsidR="001B73A5" w:rsidRPr="00F37527">
        <w:rPr>
          <w:sz w:val="22"/>
          <w:szCs w:val="22"/>
          <w:lang w:val="sl-SI"/>
        </w:rPr>
        <w:t xml:space="preserve"> </w:t>
      </w:r>
      <w:r w:rsidRPr="00F37527">
        <w:rPr>
          <w:sz w:val="22"/>
          <w:szCs w:val="22"/>
          <w:lang w:val="sl-SI"/>
        </w:rPr>
        <w:t>(74%) se javilo poboljšanje nekro-inflamatorne aktivnosti, a u 2/27 (7%) je došlo do  pogoršanje.</w:t>
      </w:r>
    </w:p>
    <w:p w14:paraId="4F087D47" w14:textId="77777777" w:rsidR="007405D5" w:rsidRPr="00F37527" w:rsidRDefault="007405D5" w:rsidP="0076441E">
      <w:pPr>
        <w:pStyle w:val="Header"/>
        <w:tabs>
          <w:tab w:val="left" w:pos="284"/>
        </w:tabs>
        <w:jc w:val="both"/>
        <w:rPr>
          <w:sz w:val="22"/>
          <w:szCs w:val="22"/>
          <w:lang w:val="sl-SI"/>
        </w:rPr>
      </w:pPr>
    </w:p>
    <w:p w14:paraId="22CFA8FE" w14:textId="76F5CEB9" w:rsidR="00A94122" w:rsidRPr="00F37527" w:rsidRDefault="00A94122" w:rsidP="0076441E">
      <w:pPr>
        <w:pStyle w:val="Header"/>
        <w:tabs>
          <w:tab w:val="left" w:pos="284"/>
        </w:tabs>
        <w:jc w:val="both"/>
        <w:rPr>
          <w:sz w:val="22"/>
          <w:szCs w:val="22"/>
          <w:lang w:val="sl-SI"/>
        </w:rPr>
      </w:pPr>
      <w:r w:rsidRPr="00F37527">
        <w:rPr>
          <w:sz w:val="22"/>
          <w:szCs w:val="22"/>
          <w:lang w:val="sl-SI"/>
        </w:rPr>
        <w:t>Nakon serokonverzije HBeAg, serološki odgovor i klinička remisija su generalno trajni i nakon prekida primjene lamivudina. Međutim, može se javiti relaps nakon serokonverzije. U okviru dugoročnog naknadnog ispitivanja pacijenata kod kojih je prethodno došlo do serokonverzije i primjena lamivudina je prekinuta, kasni virološki relaps se javio kod 39% ispitanika. Stoga, nakon HBeAg serokonverzije, pacijente bi trebalo periodično kontrolisati u cilju utvrđivanja da li se održavaju serološki i klinički odgovor. Kod pacijenata kod  kojih ne postoji trajan serološki odgovor, trebalo bi razmotriti dalje liječenje, bilo ponovnom primjenom lamivudina, bilo nekog alternativnog antivirusnog preparata, radi ostvarivanja kliničke kontrole HBV.</w:t>
      </w:r>
    </w:p>
    <w:p w14:paraId="1392E23B" w14:textId="77777777" w:rsidR="00A94122" w:rsidRPr="00F37527" w:rsidRDefault="00A94122" w:rsidP="0076441E">
      <w:pPr>
        <w:pStyle w:val="Header"/>
        <w:tabs>
          <w:tab w:val="left" w:pos="284"/>
        </w:tabs>
        <w:jc w:val="both"/>
        <w:rPr>
          <w:sz w:val="22"/>
          <w:szCs w:val="22"/>
          <w:lang w:val="sl-SI"/>
        </w:rPr>
      </w:pPr>
    </w:p>
    <w:p w14:paraId="04FDAFA1"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 xml:space="preserve">Kod pacijenata koji su bili praćeni do 16 nedjelja nakon prekida liječenja u trajanju od od jedne godine, zapaženo je češće povišenje nivoa ALT nakon terapije kod pacijenata kojima je primijenjen lamivudin, nego kod pacijenata kojima je primijenjen placebo. Poređenje postterapijskog povišenja nivoa ALT između 52. i 68. nedjelje kod pacijenata koji su prekinuli primjenu lamivudina nakon 52. nedjelje i pacijenata u okviru istih kliničkih ispitivanja kojima je primijenjen placebo tokom čitave terapije, je prikazano u tabeli 3. Procenat pacijenata kod kojih se javilo povišenje ALT nakon liječenja, zajedno sa </w:t>
      </w:r>
      <w:r w:rsidRPr="00F37527">
        <w:rPr>
          <w:sz w:val="22"/>
          <w:szCs w:val="22"/>
          <w:lang w:val="sl-SI"/>
        </w:rPr>
        <w:lastRenderedPageBreak/>
        <w:t>povišenjem nivoa bilirubina, bio je mali i sličan kod pacijenata koji su dobijali bilo lamivudin, bilo placebo.</w:t>
      </w:r>
    </w:p>
    <w:p w14:paraId="13475DD3" w14:textId="77777777" w:rsidR="00A94122" w:rsidRPr="00F37527" w:rsidRDefault="00A94122" w:rsidP="0076441E">
      <w:pPr>
        <w:pStyle w:val="Header"/>
        <w:tabs>
          <w:tab w:val="left" w:pos="284"/>
        </w:tabs>
        <w:jc w:val="both"/>
        <w:rPr>
          <w:sz w:val="22"/>
          <w:szCs w:val="22"/>
          <w:lang w:val="sl-SI"/>
        </w:rPr>
      </w:pPr>
    </w:p>
    <w:p w14:paraId="33E7332E" w14:textId="77777777" w:rsidR="00A94122" w:rsidRPr="00F37527" w:rsidRDefault="00A94122" w:rsidP="0076441E">
      <w:pPr>
        <w:pStyle w:val="Header"/>
        <w:tabs>
          <w:tab w:val="left" w:pos="284"/>
        </w:tabs>
        <w:jc w:val="both"/>
        <w:rPr>
          <w:b/>
          <w:sz w:val="22"/>
          <w:szCs w:val="22"/>
          <w:lang w:val="sl-SI"/>
        </w:rPr>
      </w:pPr>
      <w:r w:rsidRPr="00F37527">
        <w:rPr>
          <w:b/>
          <w:sz w:val="22"/>
          <w:szCs w:val="22"/>
          <w:lang w:val="sl-SI"/>
        </w:rPr>
        <w:t>Tabela 3: Povišenje nivoa ALT nakon liječenja u 2 placebom kontrolisana klinička ispitivanja kod odraslih osoba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1836"/>
        <w:gridCol w:w="2952"/>
      </w:tblGrid>
      <w:tr w:rsidR="00A94122" w:rsidRPr="00F37527" w14:paraId="71C61C54" w14:textId="77777777" w:rsidTr="00A94122">
        <w:tc>
          <w:tcPr>
            <w:tcW w:w="4068" w:type="dxa"/>
            <w:vMerge w:val="restart"/>
            <w:tcBorders>
              <w:top w:val="single" w:sz="4" w:space="0" w:color="auto"/>
              <w:left w:val="single" w:sz="4" w:space="0" w:color="auto"/>
              <w:bottom w:val="single" w:sz="4" w:space="0" w:color="auto"/>
              <w:right w:val="single" w:sz="4" w:space="0" w:color="auto"/>
            </w:tcBorders>
            <w:hideMark/>
          </w:tcPr>
          <w:p w14:paraId="47A34925" w14:textId="77777777" w:rsidR="00A94122" w:rsidRPr="00F37527" w:rsidRDefault="00A94122" w:rsidP="0076441E">
            <w:pPr>
              <w:pStyle w:val="Header"/>
              <w:tabs>
                <w:tab w:val="left" w:pos="284"/>
              </w:tabs>
              <w:jc w:val="both"/>
              <w:rPr>
                <w:b/>
                <w:sz w:val="22"/>
                <w:szCs w:val="22"/>
                <w:lang w:val="sl-SI"/>
              </w:rPr>
            </w:pPr>
            <w:r w:rsidRPr="00F37527">
              <w:rPr>
                <w:sz w:val="22"/>
                <w:szCs w:val="22"/>
                <w:lang w:val="sl-SI"/>
              </w:rPr>
              <w:t>Abnormalne vrijednosti</w:t>
            </w:r>
          </w:p>
        </w:tc>
        <w:tc>
          <w:tcPr>
            <w:tcW w:w="4788" w:type="dxa"/>
            <w:gridSpan w:val="2"/>
            <w:tcBorders>
              <w:top w:val="single" w:sz="4" w:space="0" w:color="auto"/>
              <w:left w:val="single" w:sz="4" w:space="0" w:color="auto"/>
              <w:bottom w:val="single" w:sz="4" w:space="0" w:color="auto"/>
              <w:right w:val="single" w:sz="4" w:space="0" w:color="auto"/>
            </w:tcBorders>
            <w:hideMark/>
          </w:tcPr>
          <w:p w14:paraId="5E39FDAF" w14:textId="77777777" w:rsidR="00A94122" w:rsidRPr="00F37527" w:rsidRDefault="00A94122" w:rsidP="0076441E">
            <w:pPr>
              <w:pStyle w:val="Header"/>
              <w:tabs>
                <w:tab w:val="left" w:pos="284"/>
              </w:tabs>
              <w:jc w:val="both"/>
              <w:rPr>
                <w:b/>
                <w:sz w:val="22"/>
                <w:szCs w:val="22"/>
                <w:lang w:val="sl-SI"/>
              </w:rPr>
            </w:pPr>
            <w:r w:rsidRPr="00F37527">
              <w:rPr>
                <w:sz w:val="22"/>
                <w:szCs w:val="22"/>
                <w:lang w:val="sl-SI"/>
              </w:rPr>
              <w:t>Pacijenti sa povišenjem ALT/svi  praćeni pacijenti*</w:t>
            </w:r>
          </w:p>
        </w:tc>
      </w:tr>
      <w:tr w:rsidR="00A94122" w:rsidRPr="00F37527" w14:paraId="656C6A6D" w14:textId="77777777" w:rsidTr="00A94122">
        <w:tc>
          <w:tcPr>
            <w:tcW w:w="4068" w:type="dxa"/>
            <w:vMerge/>
            <w:tcBorders>
              <w:top w:val="single" w:sz="4" w:space="0" w:color="auto"/>
              <w:left w:val="single" w:sz="4" w:space="0" w:color="auto"/>
              <w:bottom w:val="single" w:sz="4" w:space="0" w:color="auto"/>
              <w:right w:val="single" w:sz="4" w:space="0" w:color="auto"/>
            </w:tcBorders>
            <w:vAlign w:val="center"/>
            <w:hideMark/>
          </w:tcPr>
          <w:p w14:paraId="5839C916" w14:textId="77777777" w:rsidR="00A94122" w:rsidRPr="00F37527" w:rsidRDefault="00A94122" w:rsidP="0076441E">
            <w:pPr>
              <w:jc w:val="both"/>
              <w:rPr>
                <w:b/>
                <w:sz w:val="22"/>
                <w:szCs w:val="22"/>
                <w:lang w:val="sl-SI"/>
              </w:rPr>
            </w:pPr>
          </w:p>
        </w:tc>
        <w:tc>
          <w:tcPr>
            <w:tcW w:w="1836" w:type="dxa"/>
            <w:tcBorders>
              <w:top w:val="single" w:sz="4" w:space="0" w:color="auto"/>
              <w:left w:val="single" w:sz="4" w:space="0" w:color="auto"/>
              <w:bottom w:val="single" w:sz="4" w:space="0" w:color="auto"/>
              <w:right w:val="single" w:sz="4" w:space="0" w:color="auto"/>
            </w:tcBorders>
            <w:hideMark/>
          </w:tcPr>
          <w:p w14:paraId="3BE43386"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Lamivudin</w:t>
            </w:r>
          </w:p>
        </w:tc>
        <w:tc>
          <w:tcPr>
            <w:tcW w:w="2952" w:type="dxa"/>
            <w:tcBorders>
              <w:top w:val="single" w:sz="4" w:space="0" w:color="auto"/>
              <w:left w:val="single" w:sz="4" w:space="0" w:color="auto"/>
              <w:bottom w:val="single" w:sz="4" w:space="0" w:color="auto"/>
              <w:right w:val="single" w:sz="4" w:space="0" w:color="auto"/>
            </w:tcBorders>
            <w:hideMark/>
          </w:tcPr>
          <w:p w14:paraId="3C99700D"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Placebo</w:t>
            </w:r>
          </w:p>
        </w:tc>
      </w:tr>
      <w:tr w:rsidR="00A94122" w:rsidRPr="00F37527" w14:paraId="29F858F7" w14:textId="77777777" w:rsidTr="00A94122">
        <w:tc>
          <w:tcPr>
            <w:tcW w:w="4068" w:type="dxa"/>
            <w:tcBorders>
              <w:top w:val="single" w:sz="4" w:space="0" w:color="auto"/>
              <w:left w:val="single" w:sz="4" w:space="0" w:color="auto"/>
              <w:bottom w:val="single" w:sz="4" w:space="0" w:color="auto"/>
              <w:right w:val="single" w:sz="4" w:space="0" w:color="auto"/>
            </w:tcBorders>
            <w:hideMark/>
          </w:tcPr>
          <w:p w14:paraId="0B3BD149"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ALT ≥ 2x osnovna vrijednost</w:t>
            </w:r>
          </w:p>
        </w:tc>
        <w:tc>
          <w:tcPr>
            <w:tcW w:w="1836" w:type="dxa"/>
            <w:tcBorders>
              <w:top w:val="single" w:sz="4" w:space="0" w:color="auto"/>
              <w:left w:val="single" w:sz="4" w:space="0" w:color="auto"/>
              <w:bottom w:val="single" w:sz="4" w:space="0" w:color="auto"/>
              <w:right w:val="single" w:sz="4" w:space="0" w:color="auto"/>
            </w:tcBorders>
            <w:hideMark/>
          </w:tcPr>
          <w:p w14:paraId="10D89066"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37/137 (27%)</w:t>
            </w:r>
          </w:p>
        </w:tc>
        <w:tc>
          <w:tcPr>
            <w:tcW w:w="2952" w:type="dxa"/>
            <w:tcBorders>
              <w:top w:val="single" w:sz="4" w:space="0" w:color="auto"/>
              <w:left w:val="single" w:sz="4" w:space="0" w:color="auto"/>
              <w:bottom w:val="single" w:sz="4" w:space="0" w:color="auto"/>
              <w:right w:val="single" w:sz="4" w:space="0" w:color="auto"/>
            </w:tcBorders>
            <w:hideMark/>
          </w:tcPr>
          <w:p w14:paraId="5F285957"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22/116 (19%)</w:t>
            </w:r>
          </w:p>
        </w:tc>
      </w:tr>
      <w:tr w:rsidR="00A94122" w:rsidRPr="00F37527" w14:paraId="769D5FE9" w14:textId="77777777" w:rsidTr="00A94122">
        <w:tc>
          <w:tcPr>
            <w:tcW w:w="4068" w:type="dxa"/>
            <w:tcBorders>
              <w:top w:val="single" w:sz="4" w:space="0" w:color="auto"/>
              <w:left w:val="single" w:sz="4" w:space="0" w:color="auto"/>
              <w:bottom w:val="single" w:sz="4" w:space="0" w:color="auto"/>
              <w:right w:val="single" w:sz="4" w:space="0" w:color="auto"/>
            </w:tcBorders>
            <w:hideMark/>
          </w:tcPr>
          <w:p w14:paraId="3779C6F6"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ALT ≥ 3x osnovna vrijednost</w:t>
            </w:r>
            <w:r w:rsidRPr="00F37527">
              <w:rPr>
                <w:sz w:val="22"/>
                <w:szCs w:val="22"/>
                <w:vertAlign w:val="superscript"/>
                <w:lang w:val="sl-SI"/>
              </w:rPr>
              <w:t>†</w:t>
            </w:r>
          </w:p>
        </w:tc>
        <w:tc>
          <w:tcPr>
            <w:tcW w:w="1836" w:type="dxa"/>
            <w:tcBorders>
              <w:top w:val="single" w:sz="4" w:space="0" w:color="auto"/>
              <w:left w:val="single" w:sz="4" w:space="0" w:color="auto"/>
              <w:bottom w:val="single" w:sz="4" w:space="0" w:color="auto"/>
              <w:right w:val="single" w:sz="4" w:space="0" w:color="auto"/>
            </w:tcBorders>
            <w:hideMark/>
          </w:tcPr>
          <w:p w14:paraId="55D28CEE"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29/137 (21%)</w:t>
            </w:r>
          </w:p>
        </w:tc>
        <w:tc>
          <w:tcPr>
            <w:tcW w:w="2952" w:type="dxa"/>
            <w:tcBorders>
              <w:top w:val="single" w:sz="4" w:space="0" w:color="auto"/>
              <w:left w:val="single" w:sz="4" w:space="0" w:color="auto"/>
              <w:bottom w:val="single" w:sz="4" w:space="0" w:color="auto"/>
              <w:right w:val="single" w:sz="4" w:space="0" w:color="auto"/>
            </w:tcBorders>
            <w:hideMark/>
          </w:tcPr>
          <w:p w14:paraId="09755DD5"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9/116 (8%)</w:t>
            </w:r>
          </w:p>
        </w:tc>
      </w:tr>
      <w:tr w:rsidR="00A94122" w:rsidRPr="00F37527" w14:paraId="7CDC3AAA" w14:textId="77777777" w:rsidTr="00A94122">
        <w:tc>
          <w:tcPr>
            <w:tcW w:w="4068" w:type="dxa"/>
            <w:tcBorders>
              <w:top w:val="single" w:sz="4" w:space="0" w:color="auto"/>
              <w:left w:val="single" w:sz="4" w:space="0" w:color="auto"/>
              <w:bottom w:val="single" w:sz="4" w:space="0" w:color="auto"/>
              <w:right w:val="single" w:sz="4" w:space="0" w:color="auto"/>
            </w:tcBorders>
            <w:hideMark/>
          </w:tcPr>
          <w:p w14:paraId="0E755BF1"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 xml:space="preserve">ALT ≥ 2x osnovna vrijednost i apsolutna </w:t>
            </w:r>
          </w:p>
          <w:p w14:paraId="4754EE6A"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ALT &gt; 500 IJ/l</w:t>
            </w:r>
          </w:p>
        </w:tc>
        <w:tc>
          <w:tcPr>
            <w:tcW w:w="1836" w:type="dxa"/>
            <w:tcBorders>
              <w:top w:val="single" w:sz="4" w:space="0" w:color="auto"/>
              <w:left w:val="single" w:sz="4" w:space="0" w:color="auto"/>
              <w:bottom w:val="single" w:sz="4" w:space="0" w:color="auto"/>
              <w:right w:val="single" w:sz="4" w:space="0" w:color="auto"/>
            </w:tcBorders>
            <w:hideMark/>
          </w:tcPr>
          <w:p w14:paraId="204B2563"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21/137 (15%)</w:t>
            </w:r>
          </w:p>
        </w:tc>
        <w:tc>
          <w:tcPr>
            <w:tcW w:w="2952" w:type="dxa"/>
            <w:tcBorders>
              <w:top w:val="single" w:sz="4" w:space="0" w:color="auto"/>
              <w:left w:val="single" w:sz="4" w:space="0" w:color="auto"/>
              <w:bottom w:val="single" w:sz="4" w:space="0" w:color="auto"/>
              <w:right w:val="single" w:sz="4" w:space="0" w:color="auto"/>
            </w:tcBorders>
            <w:hideMark/>
          </w:tcPr>
          <w:p w14:paraId="7DE60860"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8/116 (7%)</w:t>
            </w:r>
          </w:p>
        </w:tc>
      </w:tr>
      <w:tr w:rsidR="00A94122" w:rsidRPr="00F37527" w14:paraId="4190D21B" w14:textId="77777777" w:rsidTr="00A94122">
        <w:tc>
          <w:tcPr>
            <w:tcW w:w="4068" w:type="dxa"/>
            <w:tcBorders>
              <w:top w:val="single" w:sz="4" w:space="0" w:color="auto"/>
              <w:left w:val="single" w:sz="4" w:space="0" w:color="auto"/>
              <w:bottom w:val="single" w:sz="4" w:space="0" w:color="auto"/>
              <w:right w:val="single" w:sz="4" w:space="0" w:color="auto"/>
            </w:tcBorders>
            <w:hideMark/>
          </w:tcPr>
          <w:p w14:paraId="27C38C43"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ALT ≥ 2x osnovna vrijednost; i bilirubin &gt; 2 x GGN** i ≥ 2 x osnovna vrijednost</w:t>
            </w:r>
          </w:p>
        </w:tc>
        <w:tc>
          <w:tcPr>
            <w:tcW w:w="1836" w:type="dxa"/>
            <w:tcBorders>
              <w:top w:val="single" w:sz="4" w:space="0" w:color="auto"/>
              <w:left w:val="single" w:sz="4" w:space="0" w:color="auto"/>
              <w:bottom w:val="single" w:sz="4" w:space="0" w:color="auto"/>
              <w:right w:val="single" w:sz="4" w:space="0" w:color="auto"/>
            </w:tcBorders>
            <w:hideMark/>
          </w:tcPr>
          <w:p w14:paraId="13E8AD9A"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1/137 (0,7%)</w:t>
            </w:r>
          </w:p>
        </w:tc>
        <w:tc>
          <w:tcPr>
            <w:tcW w:w="2952" w:type="dxa"/>
            <w:tcBorders>
              <w:top w:val="single" w:sz="4" w:space="0" w:color="auto"/>
              <w:left w:val="single" w:sz="4" w:space="0" w:color="auto"/>
              <w:bottom w:val="single" w:sz="4" w:space="0" w:color="auto"/>
              <w:right w:val="single" w:sz="4" w:space="0" w:color="auto"/>
            </w:tcBorders>
            <w:hideMark/>
          </w:tcPr>
          <w:p w14:paraId="60589674"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1/116 (0,9%)</w:t>
            </w:r>
          </w:p>
        </w:tc>
      </w:tr>
    </w:tbl>
    <w:p w14:paraId="6BD93A36" w14:textId="77777777" w:rsidR="00A94122" w:rsidRPr="00F37527" w:rsidRDefault="00A94122" w:rsidP="0076441E">
      <w:pPr>
        <w:pStyle w:val="Header"/>
        <w:tabs>
          <w:tab w:val="left" w:pos="284"/>
        </w:tabs>
        <w:jc w:val="both"/>
        <w:rPr>
          <w:sz w:val="22"/>
          <w:szCs w:val="22"/>
          <w:lang w:val="sl-SI"/>
        </w:rPr>
      </w:pPr>
      <w:r w:rsidRPr="00F37527">
        <w:rPr>
          <w:b/>
          <w:sz w:val="22"/>
          <w:szCs w:val="22"/>
          <w:lang w:val="sl-SI"/>
        </w:rPr>
        <w:t xml:space="preserve">* </w:t>
      </w:r>
      <w:r w:rsidRPr="00F37527">
        <w:rPr>
          <w:sz w:val="22"/>
          <w:szCs w:val="22"/>
          <w:lang w:val="sl-SI"/>
        </w:rPr>
        <w:t>Svaki pacijent može biti zastupljen u jednoj ili više kategorija.</w:t>
      </w:r>
    </w:p>
    <w:p w14:paraId="079B12BF" w14:textId="77777777" w:rsidR="00A94122" w:rsidRPr="00F37527" w:rsidRDefault="00A94122" w:rsidP="0076441E">
      <w:pPr>
        <w:pStyle w:val="Header"/>
        <w:tabs>
          <w:tab w:val="left" w:pos="284"/>
        </w:tabs>
        <w:jc w:val="both"/>
        <w:rPr>
          <w:sz w:val="22"/>
          <w:szCs w:val="22"/>
          <w:lang w:val="sl-SI"/>
        </w:rPr>
      </w:pPr>
      <w:r w:rsidRPr="00F37527">
        <w:rPr>
          <w:sz w:val="22"/>
          <w:szCs w:val="22"/>
          <w:vertAlign w:val="superscript"/>
          <w:lang w:val="sl-SI"/>
        </w:rPr>
        <w:t>†</w:t>
      </w:r>
      <w:r w:rsidRPr="00F37527">
        <w:rPr>
          <w:sz w:val="22"/>
          <w:szCs w:val="22"/>
          <w:lang w:val="sl-SI"/>
        </w:rPr>
        <w:t xml:space="preserve"> Uporedivo sa toksičnošću stepena 3 u skladu sa modifikovanim kriterijumima SZO.</w:t>
      </w:r>
    </w:p>
    <w:p w14:paraId="632AD6DE"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**GGN = gornja granica normalnih vrijednosti</w:t>
      </w:r>
    </w:p>
    <w:p w14:paraId="7D81E64D" w14:textId="77777777" w:rsidR="00A94122" w:rsidRPr="00F37527" w:rsidRDefault="00A94122" w:rsidP="0076441E">
      <w:pPr>
        <w:pStyle w:val="Header"/>
        <w:tabs>
          <w:tab w:val="left" w:pos="284"/>
        </w:tabs>
        <w:jc w:val="both"/>
        <w:rPr>
          <w:sz w:val="22"/>
          <w:szCs w:val="22"/>
          <w:lang w:val="sl-SI"/>
        </w:rPr>
      </w:pPr>
    </w:p>
    <w:p w14:paraId="7B6D0823" w14:textId="77777777" w:rsidR="00A94122" w:rsidRPr="00F37527" w:rsidRDefault="00A94122" w:rsidP="0076441E">
      <w:pPr>
        <w:pStyle w:val="Header"/>
        <w:tabs>
          <w:tab w:val="left" w:pos="284"/>
        </w:tabs>
        <w:jc w:val="both"/>
        <w:rPr>
          <w:i/>
          <w:sz w:val="22"/>
          <w:szCs w:val="22"/>
          <w:lang w:val="sl-SI"/>
        </w:rPr>
      </w:pPr>
      <w:r w:rsidRPr="00F37527">
        <w:rPr>
          <w:i/>
          <w:sz w:val="22"/>
          <w:szCs w:val="22"/>
          <w:lang w:val="sl-SI"/>
        </w:rPr>
        <w:t>Iskustva kod HBeAg negativnimh pacijenata s hroničnim hepatitisom B (HHB)</w:t>
      </w:r>
    </w:p>
    <w:p w14:paraId="20DE23C6" w14:textId="4A064151" w:rsidR="00A94122" w:rsidRPr="00F37527" w:rsidRDefault="00A94122" w:rsidP="0076441E">
      <w:pPr>
        <w:pStyle w:val="Header"/>
        <w:tabs>
          <w:tab w:val="left" w:pos="284"/>
        </w:tabs>
        <w:jc w:val="both"/>
        <w:rPr>
          <w:i/>
          <w:sz w:val="22"/>
          <w:szCs w:val="22"/>
          <w:lang w:val="sl-SI"/>
        </w:rPr>
      </w:pPr>
      <w:r w:rsidRPr="00F37527">
        <w:rPr>
          <w:sz w:val="22"/>
          <w:szCs w:val="22"/>
          <w:lang w:val="sl-SI"/>
        </w:rPr>
        <w:t xml:space="preserve">Početni  podaci ukazuju da je efikasnost lamivudina kod  HBeAg negativniih pacijenata s HHB bila slična efikasnosti kod HBeAg pozitivnih pacijenata s HHB, sa supresijom HBV DNK ispod granice detekcije </w:t>
      </w:r>
      <w:r w:rsidR="00845D04" w:rsidRPr="00F37527">
        <w:rPr>
          <w:sz w:val="22"/>
          <w:szCs w:val="22"/>
          <w:lang w:val="sl-SI"/>
        </w:rPr>
        <w:t>kod</w:t>
      </w:r>
      <w:r w:rsidRPr="00F37527">
        <w:rPr>
          <w:sz w:val="22"/>
          <w:szCs w:val="22"/>
          <w:lang w:val="sl-SI"/>
        </w:rPr>
        <w:t xml:space="preserve"> 71% pacijenata, s normalizacijom ALT-a  </w:t>
      </w:r>
      <w:r w:rsidR="00845D04" w:rsidRPr="00F37527">
        <w:rPr>
          <w:sz w:val="22"/>
          <w:szCs w:val="22"/>
          <w:lang w:val="sl-SI"/>
        </w:rPr>
        <w:t>kod</w:t>
      </w:r>
      <w:r w:rsidRPr="00F37527">
        <w:rPr>
          <w:sz w:val="22"/>
          <w:szCs w:val="22"/>
          <w:lang w:val="sl-SI"/>
        </w:rPr>
        <w:t xml:space="preserve">  67% </w:t>
      </w:r>
      <w:r w:rsidR="00845D04" w:rsidRPr="00F37527">
        <w:rPr>
          <w:sz w:val="22"/>
          <w:szCs w:val="22"/>
          <w:lang w:val="sl-SI"/>
        </w:rPr>
        <w:t>pacijenata</w:t>
      </w:r>
      <w:r w:rsidRPr="00F37527">
        <w:rPr>
          <w:sz w:val="22"/>
          <w:szCs w:val="22"/>
          <w:lang w:val="sl-SI"/>
        </w:rPr>
        <w:t xml:space="preserve">  i poboljšanjem HAI rezultata </w:t>
      </w:r>
      <w:r w:rsidR="00845D04" w:rsidRPr="00F37527">
        <w:rPr>
          <w:sz w:val="22"/>
          <w:szCs w:val="22"/>
          <w:lang w:val="sl-SI"/>
        </w:rPr>
        <w:t>kod</w:t>
      </w:r>
      <w:r w:rsidRPr="00F37527">
        <w:rPr>
          <w:sz w:val="22"/>
          <w:szCs w:val="22"/>
          <w:lang w:val="sl-SI"/>
        </w:rPr>
        <w:t xml:space="preserve"> 38% </w:t>
      </w:r>
      <w:r w:rsidR="00845D04" w:rsidRPr="00F37527">
        <w:rPr>
          <w:sz w:val="22"/>
          <w:szCs w:val="22"/>
          <w:lang w:val="sl-SI"/>
        </w:rPr>
        <w:t>pacijenata</w:t>
      </w:r>
      <w:r w:rsidRPr="00F37527">
        <w:rPr>
          <w:sz w:val="22"/>
          <w:szCs w:val="22"/>
          <w:lang w:val="sl-SI"/>
        </w:rPr>
        <w:t xml:space="preserve">  nakon jedne godine liječenja. Prilikom prekida primjene lamivudina, većina pacijenata (70%) pokazala je recidiv replikacije virusa. Na raspolaganju su podaci iz proširene terapijske studije kod HBeAg negativnih pacijenata (NUCAB3017) liječenih lamivudinom. Nakon dvije godine primjene terapije u navedenom kliničkom ispitivanju, normalizacija ALT i nemjerljiva HBV DNK registrovani su kod 30/69 (43%) i 32/68 (47%) pacijenata, respektivno, dok je poboljšanje nekro-inflamatornog skora zabilježeno kod 18/49 (37%) pacijenata. Kod pacijenata bez YMDD mutanta HBV, 14/22 (64%) je pokazalo poboljšanje nekro-inflamatornog skora i 1/22 (5%) pacijenata ispoljilo je pogoršanje u poređenju sa stanjem prije liječenja. Kod pacijenata sa navedenim mutantom, 4/26 (15%) pacijenata je ispoljilo poboljšanje nekro-inflamatornog skora, dok je kod 8/26 (31%) registrovano pogoršanje u odnosu na stanje prije primjene terapije. Ni kod jednog pacijenta u bilo kojoj grupi nije zapažena progresija ka cirozi.</w:t>
      </w:r>
    </w:p>
    <w:p w14:paraId="050F1C8E" w14:textId="77777777" w:rsidR="00A94122" w:rsidRPr="00F37527" w:rsidRDefault="00A94122" w:rsidP="0076441E">
      <w:pPr>
        <w:pStyle w:val="Header"/>
        <w:tabs>
          <w:tab w:val="left" w:pos="284"/>
        </w:tabs>
        <w:jc w:val="both"/>
        <w:rPr>
          <w:sz w:val="22"/>
          <w:szCs w:val="22"/>
          <w:lang w:val="sl-SI"/>
        </w:rPr>
      </w:pPr>
    </w:p>
    <w:p w14:paraId="2FC71ADA" w14:textId="77777777" w:rsidR="00A94122" w:rsidRPr="00F37527" w:rsidRDefault="00A94122" w:rsidP="0076441E">
      <w:pPr>
        <w:pStyle w:val="Header"/>
        <w:tabs>
          <w:tab w:val="left" w:pos="284"/>
        </w:tabs>
        <w:jc w:val="both"/>
        <w:rPr>
          <w:i/>
          <w:sz w:val="22"/>
          <w:szCs w:val="22"/>
          <w:lang w:val="sl-SI"/>
        </w:rPr>
      </w:pPr>
      <w:r w:rsidRPr="00F37527">
        <w:rPr>
          <w:i/>
          <w:sz w:val="22"/>
          <w:szCs w:val="22"/>
          <w:lang w:val="sl-SI"/>
        </w:rPr>
        <w:t>Učestalost pojave YMDD mutanta HBV i uticaj na odgovor na terapiju</w:t>
      </w:r>
    </w:p>
    <w:p w14:paraId="045DD792" w14:textId="531BB6D5" w:rsidR="00A94122" w:rsidRPr="00F37527" w:rsidRDefault="00A94122" w:rsidP="0076441E">
      <w:pPr>
        <w:pStyle w:val="Header"/>
        <w:tabs>
          <w:tab w:val="left" w:pos="284"/>
        </w:tabs>
        <w:jc w:val="both"/>
        <w:rPr>
          <w:i/>
          <w:sz w:val="22"/>
          <w:szCs w:val="22"/>
          <w:lang w:val="sl-SI"/>
        </w:rPr>
      </w:pPr>
      <w:r w:rsidRPr="00F37527">
        <w:rPr>
          <w:sz w:val="22"/>
          <w:szCs w:val="22"/>
          <w:lang w:val="sl-SI"/>
        </w:rPr>
        <w:t>Monoterapija lamivudinom ima za posljedicu selekciju YMDD muatnta HBV kod približno 24% pacijenata nakon jedne godine primjene terapije, uz povećanje do 69% nakon 5 godina liječenja. Razvoj YMDD mutanta HBV udružen je sa smanjenjem terapijskog odgovora kod pojedinih pacijenata, što je pokazano povećanjem HBV DNK nivoa i povišenjem nivoa ALT u odnosu na vrijednosti navedenih parametara za vrijeme terapije, progresiju simptoma i znakova hepatitisa i/ili pogoršanje nekro-inflamatornih nalaza na jetri.  S obzirom na rizik od YMDD mutanta HBV, održavanje na monoterapiji lamivudinom nije odgovarajuće kod pacijenata  kod kojih je nivo HBV DNK u serumu detektibilan u 24. nedjelji terapije i kasnije (vidjeti dio 4.4).</w:t>
      </w:r>
    </w:p>
    <w:p w14:paraId="1F239C43" w14:textId="77777777" w:rsidR="00A94122" w:rsidRPr="00F37527" w:rsidRDefault="00A94122" w:rsidP="0076441E">
      <w:pPr>
        <w:pStyle w:val="Header"/>
        <w:tabs>
          <w:tab w:val="left" w:pos="284"/>
        </w:tabs>
        <w:jc w:val="both"/>
        <w:rPr>
          <w:sz w:val="22"/>
          <w:szCs w:val="22"/>
          <w:lang w:val="sl-SI"/>
        </w:rPr>
      </w:pPr>
    </w:p>
    <w:p w14:paraId="342E6DDD" w14:textId="6D04A175" w:rsidR="00A94122" w:rsidRPr="00F37527" w:rsidRDefault="00A94122" w:rsidP="0076441E">
      <w:pPr>
        <w:pStyle w:val="Header"/>
        <w:tabs>
          <w:tab w:val="left" w:pos="284"/>
        </w:tabs>
        <w:jc w:val="both"/>
        <w:rPr>
          <w:sz w:val="22"/>
          <w:szCs w:val="22"/>
          <w:lang w:val="sl-SI"/>
        </w:rPr>
      </w:pPr>
      <w:r w:rsidRPr="00F37527">
        <w:rPr>
          <w:sz w:val="22"/>
          <w:szCs w:val="22"/>
          <w:lang w:val="sl-SI"/>
        </w:rPr>
        <w:t>U okviru dvostruko slijepe kliničke studije kod HHB pacijenata sa YMDD mutantom HBV i kompenzovanim oboljenjem jetre (NUC200904) i smanjenim virološkim i biohemijskim odgovorom na lamivudin (n=95), dodatak adefovir dipivoksila u dozi od 10 mg jednom dnevno postojećoj terapiji lamivudinom u dozi od 100 mg, u toku 52 nedjelje, imalo je za posljedicu smanjenje HBV DNK od 4,6 log</w:t>
      </w:r>
      <w:r w:rsidRPr="00F37527">
        <w:rPr>
          <w:sz w:val="22"/>
          <w:szCs w:val="22"/>
          <w:vertAlign w:val="subscript"/>
          <w:lang w:val="sl-SI"/>
        </w:rPr>
        <w:t xml:space="preserve">10 </w:t>
      </w:r>
      <w:r w:rsidRPr="00F37527">
        <w:rPr>
          <w:sz w:val="22"/>
          <w:szCs w:val="22"/>
          <w:lang w:val="sl-SI"/>
        </w:rPr>
        <w:t xml:space="preserve">kopija/ml, u poređenju sa </w:t>
      </w:r>
      <w:r w:rsidR="00845D04" w:rsidRPr="00F37527">
        <w:rPr>
          <w:sz w:val="22"/>
          <w:szCs w:val="22"/>
          <w:lang w:val="sl-SI"/>
        </w:rPr>
        <w:t>medijanom povećanja</w:t>
      </w:r>
      <w:r w:rsidRPr="00F37527">
        <w:rPr>
          <w:sz w:val="22"/>
          <w:szCs w:val="22"/>
          <w:lang w:val="sl-SI"/>
        </w:rPr>
        <w:t xml:space="preserve"> od 0,3 log</w:t>
      </w:r>
      <w:r w:rsidRPr="00F37527">
        <w:rPr>
          <w:sz w:val="22"/>
          <w:szCs w:val="22"/>
          <w:vertAlign w:val="subscript"/>
          <w:lang w:val="sl-SI"/>
        </w:rPr>
        <w:t>10</w:t>
      </w:r>
      <w:r w:rsidRPr="00F37527">
        <w:rPr>
          <w:sz w:val="22"/>
          <w:szCs w:val="22"/>
          <w:lang w:val="sl-SI"/>
        </w:rPr>
        <w:t xml:space="preserve"> kopija/ml kod pacijenata kojima je primijenjen lamivudin kao monoterapija. Normalizacija nivoa ALT registrovana je kod 31% (14/45) pacijenata kojima je primijenjena kombinovana terapija, u odnosu na 6% (3/47) pacijenata kojima je primijenjen isključivo lamivudin. Viralna supresija je održavana (nastavak kliničke studije NUC20917) primjenom kombinovane terapije tokom druge godine primjene terapije do 104. nedjelje kod pacijenata kod kojih je zabilježen kontinuirani napredak u virološkom i biohemijskom odgovoru.</w:t>
      </w:r>
    </w:p>
    <w:p w14:paraId="7439819C" w14:textId="77777777" w:rsidR="00A94122" w:rsidRPr="00F37527" w:rsidRDefault="00A94122" w:rsidP="0076441E">
      <w:pPr>
        <w:pStyle w:val="Header"/>
        <w:tabs>
          <w:tab w:val="left" w:pos="284"/>
        </w:tabs>
        <w:jc w:val="both"/>
        <w:rPr>
          <w:sz w:val="22"/>
          <w:szCs w:val="22"/>
          <w:lang w:val="sl-SI"/>
        </w:rPr>
      </w:pPr>
    </w:p>
    <w:p w14:paraId="5D2E4511" w14:textId="22793223" w:rsidR="00A94122" w:rsidRPr="00F37527" w:rsidRDefault="00A94122" w:rsidP="0076441E">
      <w:pPr>
        <w:pStyle w:val="Header"/>
        <w:tabs>
          <w:tab w:val="left" w:pos="284"/>
        </w:tabs>
        <w:jc w:val="both"/>
        <w:rPr>
          <w:sz w:val="22"/>
          <w:szCs w:val="22"/>
          <w:lang w:val="sl-SI"/>
        </w:rPr>
      </w:pPr>
      <w:r w:rsidRPr="00F37527">
        <w:rPr>
          <w:sz w:val="22"/>
          <w:szCs w:val="22"/>
          <w:lang w:val="sl-SI"/>
        </w:rPr>
        <w:t>U okviru retrospektivnog kliničkog ispitivanja sprovedenog u cilju određivanja faktora udruženih sa izmjenom HBV DNK, 159 HbeAg pozitivnih pacijentata azijskog porijekla su bili liječeni lamivudinom i praćeni tokom</w:t>
      </w:r>
      <w:r w:rsidR="00845D04" w:rsidRPr="00F37527">
        <w:rPr>
          <w:sz w:val="22"/>
          <w:szCs w:val="22"/>
          <w:lang w:val="sl-SI"/>
        </w:rPr>
        <w:t xml:space="preserve"> medijane trajanja</w:t>
      </w:r>
      <w:r w:rsidRPr="00F37527">
        <w:rPr>
          <w:sz w:val="22"/>
          <w:szCs w:val="22"/>
          <w:lang w:val="sl-SI"/>
        </w:rPr>
        <w:t xml:space="preserve"> od gotovo 30 </w:t>
      </w:r>
      <w:r w:rsidR="00845D04" w:rsidRPr="00F37527">
        <w:rPr>
          <w:sz w:val="22"/>
          <w:szCs w:val="22"/>
          <w:lang w:val="sl-SI"/>
        </w:rPr>
        <w:t>mjeseci</w:t>
      </w:r>
      <w:r w:rsidRPr="00F37527">
        <w:rPr>
          <w:sz w:val="22"/>
          <w:szCs w:val="22"/>
          <w:lang w:val="sl-SI"/>
        </w:rPr>
        <w:t xml:space="preserve">. Pacijenti sa HBV DNK nivoima višim od 200 </w:t>
      </w:r>
      <w:r w:rsidRPr="00F37527">
        <w:rPr>
          <w:sz w:val="22"/>
          <w:szCs w:val="22"/>
          <w:lang w:val="sl-SI"/>
        </w:rPr>
        <w:lastRenderedPageBreak/>
        <w:t>kopija/ml 6 mjeseci (24 nedjelje) terapije lamivudinom su imali 60% šanse za razvoj YMDD mutanta u poređenju sa 8% kod pacijentat sa HBV DNK nivoima manjim od 200 kopija/ml nakon 24 nedjelje terapije lamivudinom. Rizik od razvoja YMDD mutanta je bio 63% u odnosu na 13%  sa presjekom od  1000 kopija/ml (NUC3009 i NUC3018).</w:t>
      </w:r>
    </w:p>
    <w:p w14:paraId="531C7FB5" w14:textId="77777777" w:rsidR="00A94122" w:rsidRPr="00F37527" w:rsidRDefault="00A94122" w:rsidP="0076441E">
      <w:pPr>
        <w:pStyle w:val="Header"/>
        <w:tabs>
          <w:tab w:val="left" w:pos="284"/>
        </w:tabs>
        <w:jc w:val="both"/>
        <w:rPr>
          <w:sz w:val="22"/>
          <w:szCs w:val="22"/>
          <w:lang w:val="sl-SI"/>
        </w:rPr>
      </w:pPr>
    </w:p>
    <w:p w14:paraId="075C1720" w14:textId="77777777" w:rsidR="00A94122" w:rsidRPr="00F37527" w:rsidRDefault="00A94122" w:rsidP="0076441E">
      <w:pPr>
        <w:pStyle w:val="Header"/>
        <w:tabs>
          <w:tab w:val="left" w:pos="284"/>
        </w:tabs>
        <w:jc w:val="both"/>
        <w:rPr>
          <w:i/>
          <w:sz w:val="22"/>
          <w:szCs w:val="22"/>
          <w:lang w:val="sl-SI"/>
        </w:rPr>
      </w:pPr>
      <w:r w:rsidRPr="00F37527">
        <w:rPr>
          <w:i/>
          <w:sz w:val="22"/>
          <w:szCs w:val="22"/>
          <w:lang w:val="sl-SI"/>
        </w:rPr>
        <w:t>Iskustvo kod pacijenata sa dekompenzovanim oboljenjem jetre</w:t>
      </w:r>
    </w:p>
    <w:p w14:paraId="72EFEE54" w14:textId="1E85336C" w:rsidR="00A94122" w:rsidRPr="00F37527" w:rsidRDefault="00A94122" w:rsidP="0076441E">
      <w:pPr>
        <w:pStyle w:val="Header"/>
        <w:tabs>
          <w:tab w:val="left" w:pos="284"/>
        </w:tabs>
        <w:jc w:val="both"/>
        <w:rPr>
          <w:i/>
          <w:sz w:val="22"/>
          <w:szCs w:val="22"/>
          <w:lang w:val="sl-SI"/>
        </w:rPr>
      </w:pPr>
      <w:r w:rsidRPr="00F37527">
        <w:rPr>
          <w:sz w:val="22"/>
          <w:szCs w:val="22"/>
          <w:lang w:val="sl-SI"/>
        </w:rPr>
        <w:t>Placebo</w:t>
      </w:r>
      <w:r w:rsidR="00845D04" w:rsidRPr="00F37527">
        <w:rPr>
          <w:sz w:val="22"/>
          <w:szCs w:val="22"/>
          <w:lang w:val="sl-SI"/>
        </w:rPr>
        <w:t>m</w:t>
      </w:r>
      <w:r w:rsidRPr="00F37527">
        <w:rPr>
          <w:sz w:val="22"/>
          <w:szCs w:val="22"/>
          <w:lang w:val="sl-SI"/>
        </w:rPr>
        <w:t xml:space="preserve"> kontrolisana klinička ispitivanja se smatraju neodgovarajućim kod pacijenata sa dekompenzovanim oboljenjem jetre i nijesu sproveden</w:t>
      </w:r>
      <w:r w:rsidR="00845D04" w:rsidRPr="00F37527">
        <w:rPr>
          <w:sz w:val="22"/>
          <w:szCs w:val="22"/>
          <w:lang w:val="sl-SI"/>
        </w:rPr>
        <w:t>a</w:t>
      </w:r>
      <w:r w:rsidRPr="00F37527">
        <w:rPr>
          <w:sz w:val="22"/>
          <w:szCs w:val="22"/>
          <w:lang w:val="sl-SI"/>
        </w:rPr>
        <w:t>. U okviru nekontrolisanih kliničkih ispitivanja u kojima je lamivudin primijenjen prije kao i u toku transplantacije, pokazana je efikasna supresija HBV DNK i normalizacija ALT. Prilikom nastavka liječenja lamivudinom nakon transplantacije, registrovano je smanjenje reinfekcije grafta HBV-om, povećanje gubitka HbsAg, kao i godišnja stopa preživljavanja od 76-100%.</w:t>
      </w:r>
    </w:p>
    <w:p w14:paraId="79970632" w14:textId="77777777" w:rsidR="00A94122" w:rsidRPr="00F37527" w:rsidRDefault="00A94122" w:rsidP="0076441E">
      <w:pPr>
        <w:pStyle w:val="Header"/>
        <w:tabs>
          <w:tab w:val="left" w:pos="284"/>
        </w:tabs>
        <w:jc w:val="both"/>
        <w:rPr>
          <w:sz w:val="22"/>
          <w:szCs w:val="22"/>
          <w:lang w:val="sl-SI"/>
        </w:rPr>
      </w:pPr>
    </w:p>
    <w:p w14:paraId="31D5ABC5" w14:textId="77777777" w:rsidR="00A94122" w:rsidRPr="00F37527" w:rsidRDefault="00A94122" w:rsidP="0076441E">
      <w:pPr>
        <w:pStyle w:val="Header"/>
        <w:tabs>
          <w:tab w:val="left" w:pos="284"/>
        </w:tabs>
        <w:jc w:val="both"/>
        <w:rPr>
          <w:sz w:val="22"/>
          <w:szCs w:val="22"/>
          <w:lang w:val="sl-SI"/>
        </w:rPr>
      </w:pPr>
      <w:r w:rsidRPr="00F37527">
        <w:rPr>
          <w:sz w:val="22"/>
          <w:szCs w:val="22"/>
          <w:lang w:val="sl-SI"/>
        </w:rPr>
        <w:t>U skladu sa pretpostavkama, usljed konkomitantne imunosupresije, učestalost pojave YMDD mutanta HBV nakon 52 nedjelje terapije bila je viša (36% - 64%) u populaciji sa transplantiranom jetrom, u odnosu na imunokompetentne HHB pacijente (14% - 32%).</w:t>
      </w:r>
    </w:p>
    <w:p w14:paraId="6D2B64ED" w14:textId="77777777" w:rsidR="00A94122" w:rsidRPr="00F37527" w:rsidRDefault="00A94122" w:rsidP="0076441E">
      <w:pPr>
        <w:pStyle w:val="Header"/>
        <w:tabs>
          <w:tab w:val="left" w:pos="284"/>
        </w:tabs>
        <w:jc w:val="both"/>
        <w:rPr>
          <w:sz w:val="22"/>
          <w:szCs w:val="22"/>
          <w:lang w:val="sl-SI"/>
        </w:rPr>
      </w:pPr>
    </w:p>
    <w:p w14:paraId="34CBD96D" w14:textId="2963CBE4" w:rsidR="00A94122" w:rsidRPr="00F37527" w:rsidRDefault="00A94122" w:rsidP="0076441E">
      <w:pPr>
        <w:pStyle w:val="Header"/>
        <w:tabs>
          <w:tab w:val="left" w:pos="284"/>
        </w:tabs>
        <w:jc w:val="both"/>
        <w:rPr>
          <w:sz w:val="22"/>
          <w:szCs w:val="22"/>
          <w:lang w:val="sl-SI"/>
        </w:rPr>
      </w:pPr>
      <w:r w:rsidRPr="00F37527">
        <w:rPr>
          <w:sz w:val="22"/>
          <w:szCs w:val="22"/>
          <w:lang w:val="sl-SI"/>
        </w:rPr>
        <w:t>Četrdeset pacijenata (HBeAg negativnih ili HBeAg pozitivnih) sa ili dekompenzovanim oboljenjem jetre ili rekurentnom HBV infekcijom nakon transplantacije jetre i YMDD mutantom, bili su uključeni u  kliničko</w:t>
      </w:r>
      <w:r w:rsidR="00845D04" w:rsidRPr="00F37527">
        <w:rPr>
          <w:sz w:val="22"/>
          <w:szCs w:val="22"/>
          <w:lang w:val="sl-SI"/>
        </w:rPr>
        <w:t xml:space="preserve"> </w:t>
      </w:r>
      <w:r w:rsidRPr="00F37527">
        <w:rPr>
          <w:sz w:val="22"/>
          <w:szCs w:val="22"/>
          <w:lang w:val="sl-SI"/>
        </w:rPr>
        <w:t>ispitivanje  NUC20904. Uvođenje doze od 10 mg adefovir dipivoksila jednom dnevno u postojeću terapiju lamivudinom u dozi od 100 mg tokom 52 nedjelje, imalo je za posljedicu prosječno smanjenje HBV DNK od 4,6 log</w:t>
      </w:r>
      <w:r w:rsidRPr="00F37527">
        <w:rPr>
          <w:sz w:val="22"/>
          <w:szCs w:val="22"/>
          <w:vertAlign w:val="subscript"/>
          <w:lang w:val="sl-SI"/>
        </w:rPr>
        <w:t>10</w:t>
      </w:r>
      <w:r w:rsidRPr="00F37527">
        <w:rPr>
          <w:sz w:val="22"/>
          <w:szCs w:val="22"/>
          <w:lang w:val="sl-SI"/>
        </w:rPr>
        <w:t xml:space="preserve"> kopija/ml. Poboljšanje u funkciji jetre je takođe primijećeno nakon jednogodišnje primjene terapije. Navedeni nivo viralne supresije je održavan (nastavak kliničke studije NUC20917) primjenom kombinovane terapije tokom druge godine terapije do 104. nedjelje i kod većine pacijenata se javilo poboljšanje markera funkcije jetre i nastavak ostvarenja kliničke koristi.</w:t>
      </w:r>
    </w:p>
    <w:p w14:paraId="0B60F1DC" w14:textId="77777777" w:rsidR="00A94122" w:rsidRPr="00F37527" w:rsidRDefault="00A94122" w:rsidP="0076441E">
      <w:pPr>
        <w:pStyle w:val="Header"/>
        <w:tabs>
          <w:tab w:val="left" w:pos="284"/>
        </w:tabs>
        <w:jc w:val="both"/>
        <w:rPr>
          <w:sz w:val="22"/>
          <w:szCs w:val="22"/>
          <w:lang w:val="sl-SI"/>
        </w:rPr>
      </w:pPr>
    </w:p>
    <w:p w14:paraId="212B2E6F" w14:textId="77777777" w:rsidR="00A94122" w:rsidRPr="00F37527" w:rsidRDefault="00A94122" w:rsidP="0076441E">
      <w:pPr>
        <w:pStyle w:val="Header"/>
        <w:tabs>
          <w:tab w:val="left" w:pos="284"/>
        </w:tabs>
        <w:jc w:val="both"/>
        <w:rPr>
          <w:i/>
          <w:sz w:val="22"/>
          <w:szCs w:val="22"/>
          <w:lang w:val="sl-SI"/>
        </w:rPr>
      </w:pPr>
      <w:r w:rsidRPr="00F37527">
        <w:rPr>
          <w:i/>
          <w:sz w:val="22"/>
          <w:szCs w:val="22"/>
          <w:lang w:val="sl-SI"/>
        </w:rPr>
        <w:t>Iskustvo kod pacijenata s HHB  sa uznapredovalom fibrozom ili cirozom</w:t>
      </w:r>
    </w:p>
    <w:p w14:paraId="10A123EE" w14:textId="73992F7D" w:rsidR="00A94122" w:rsidRPr="00F37527" w:rsidRDefault="00A94122" w:rsidP="0076441E">
      <w:pPr>
        <w:pStyle w:val="Header"/>
        <w:tabs>
          <w:tab w:val="left" w:pos="284"/>
        </w:tabs>
        <w:jc w:val="both"/>
        <w:rPr>
          <w:i/>
          <w:sz w:val="22"/>
          <w:szCs w:val="22"/>
          <w:lang w:val="sl-SI"/>
        </w:rPr>
      </w:pPr>
      <w:r w:rsidRPr="00F37527">
        <w:rPr>
          <w:sz w:val="22"/>
          <w:szCs w:val="22"/>
          <w:lang w:val="sl-SI"/>
        </w:rPr>
        <w:t>U okviru placebo</w:t>
      </w:r>
      <w:r w:rsidR="00845D04" w:rsidRPr="00F37527">
        <w:rPr>
          <w:sz w:val="22"/>
          <w:szCs w:val="22"/>
          <w:lang w:val="sl-SI"/>
        </w:rPr>
        <w:t>m</w:t>
      </w:r>
      <w:r w:rsidRPr="00F37527">
        <w:rPr>
          <w:sz w:val="22"/>
          <w:szCs w:val="22"/>
          <w:lang w:val="sl-SI"/>
        </w:rPr>
        <w:t xml:space="preserve"> kontrolisanog kliničkog ispitivanja na 651 pacijentu sa klinički kompenzovanim hroničnim hepatitisom B i histološki potvrđenom fibrozom ili cirozom, liječenje lamivudinom (</w:t>
      </w:r>
      <w:r w:rsidR="00845D04" w:rsidRPr="00F37527">
        <w:rPr>
          <w:sz w:val="22"/>
          <w:szCs w:val="22"/>
          <w:lang w:val="sl-SI"/>
        </w:rPr>
        <w:t>medijana trajanja</w:t>
      </w:r>
      <w:r w:rsidRPr="00F37527">
        <w:rPr>
          <w:sz w:val="22"/>
          <w:szCs w:val="22"/>
          <w:lang w:val="sl-SI"/>
        </w:rPr>
        <w:t xml:space="preserve"> od 32 mjeseca) značajno je umanjilo učestalost opšte progresije bolesti (34/436, 7,8% pri primjeni lamivudina u odnosu na 38/215, 17,7% pri primjeni placeba, p=0,001), što je pokazano značajnim smanjenjem </w:t>
      </w:r>
      <w:r w:rsidR="00845D04" w:rsidRPr="00F37527">
        <w:rPr>
          <w:sz w:val="22"/>
          <w:szCs w:val="22"/>
          <w:lang w:val="sl-SI"/>
        </w:rPr>
        <w:t>broja</w:t>
      </w:r>
      <w:r w:rsidRPr="00F37527">
        <w:rPr>
          <w:sz w:val="22"/>
          <w:szCs w:val="22"/>
          <w:lang w:val="sl-SI"/>
        </w:rPr>
        <w:t xml:space="preserve"> pacijenata koji su imali povišen Child-Pugh skor (15/436, 3,4% u odnosu na 19/215, 8,8%, p=0,023) ili razvojem hepatocelularnog karcinoma (17/436, 3,9% u odnosu na 16/215, 7,4%, p=0,047). Učestalost opšte progresije bolesti u grupi lamivudina bila je viša kod pacijenata sa detektabilnim nivoom YMDD mutanta HBV DNK (23/209, 11%), u poređenju sa ispitanicima sa nedetektabilnim nivoom YMDD mutanta HBV (11/221, 5%). Međutim, progresija bolesti kod YMDD ispitanika u grupi u kojoj je primijenjen lamivudin bila je niža od progresije bolesti u grupi u kojoj je primijenjen placebo (23/209, 11% u odnosu na 38/214, 18%, respektivno). Potvrđena HBeAg serokonverzija je registrovana kod 47% (118/252) pacijenata liječenih lamivudinom, a 93% (320/345) ispitanika kojima je primijenjen lamivudin postalo je HBV DNK negativno (VERSANT [Verzija 1], bDNA analiza, LLOD &lt; 0,7 MEq/ml) u toku kliničkog ispitivanja.</w:t>
      </w:r>
    </w:p>
    <w:p w14:paraId="10EC1F81" w14:textId="77777777" w:rsidR="00A94122" w:rsidRPr="00F37527" w:rsidRDefault="00A94122" w:rsidP="0076441E">
      <w:pPr>
        <w:pStyle w:val="Header"/>
        <w:tabs>
          <w:tab w:val="left" w:pos="284"/>
        </w:tabs>
        <w:jc w:val="both"/>
        <w:rPr>
          <w:sz w:val="22"/>
          <w:szCs w:val="22"/>
          <w:lang w:val="sl-SI"/>
        </w:rPr>
      </w:pPr>
    </w:p>
    <w:p w14:paraId="4D815AA0" w14:textId="77777777" w:rsidR="00A94122" w:rsidRPr="00F37527" w:rsidRDefault="00A94122" w:rsidP="0076441E">
      <w:pPr>
        <w:pStyle w:val="Header"/>
        <w:tabs>
          <w:tab w:val="left" w:pos="284"/>
        </w:tabs>
        <w:jc w:val="both"/>
        <w:rPr>
          <w:i/>
          <w:sz w:val="22"/>
          <w:szCs w:val="22"/>
          <w:lang w:val="sl-SI"/>
        </w:rPr>
      </w:pPr>
      <w:r w:rsidRPr="00F37527">
        <w:rPr>
          <w:i/>
          <w:sz w:val="22"/>
          <w:szCs w:val="22"/>
          <w:lang w:val="sl-SI"/>
        </w:rPr>
        <w:t>Iskustva kod djece i adolescenata</w:t>
      </w:r>
    </w:p>
    <w:p w14:paraId="767E7FE4" w14:textId="532058A6" w:rsidR="00A94122" w:rsidRPr="00F37527" w:rsidRDefault="00A94122" w:rsidP="0076441E">
      <w:pPr>
        <w:pStyle w:val="Header"/>
        <w:tabs>
          <w:tab w:val="left" w:pos="284"/>
        </w:tabs>
        <w:jc w:val="both"/>
        <w:rPr>
          <w:i/>
          <w:sz w:val="22"/>
          <w:szCs w:val="22"/>
          <w:lang w:val="sl-SI"/>
        </w:rPr>
      </w:pPr>
      <w:r w:rsidRPr="00F37527">
        <w:rPr>
          <w:sz w:val="22"/>
          <w:szCs w:val="22"/>
          <w:lang w:val="sl-SI"/>
        </w:rPr>
        <w:t xml:space="preserve">Lamivudin je primijenjen kod djece i adolescenata sa kompenzovanim HHB u okviru placebo kontrolisanog kliničkog ispitivanja na 286 pacijenata </w:t>
      </w:r>
      <w:r w:rsidR="00845D04" w:rsidRPr="00F37527">
        <w:rPr>
          <w:sz w:val="22"/>
          <w:szCs w:val="22"/>
          <w:lang w:val="sl-SI"/>
        </w:rPr>
        <w:t>uzrasta</w:t>
      </w:r>
      <w:r w:rsidRPr="00F37527">
        <w:rPr>
          <w:sz w:val="22"/>
          <w:szCs w:val="22"/>
          <w:lang w:val="sl-SI"/>
        </w:rPr>
        <w:t xml:space="preserve"> od 2. do 17. godine života. Navedenu populaciju su prvenstveno činila djeca sa minimalnim </w:t>
      </w:r>
      <w:r w:rsidR="00E234DA" w:rsidRPr="00F37527">
        <w:rPr>
          <w:sz w:val="22"/>
          <w:szCs w:val="22"/>
          <w:lang w:val="sl-SI"/>
        </w:rPr>
        <w:t xml:space="preserve">znakovima </w:t>
      </w:r>
      <w:r w:rsidRPr="00F37527">
        <w:rPr>
          <w:sz w:val="22"/>
          <w:szCs w:val="22"/>
          <w:lang w:val="sl-SI"/>
        </w:rPr>
        <w:t>hepaitis</w:t>
      </w:r>
      <w:r w:rsidR="00E234DA" w:rsidRPr="00F37527">
        <w:rPr>
          <w:sz w:val="22"/>
          <w:szCs w:val="22"/>
          <w:lang w:val="sl-SI"/>
        </w:rPr>
        <w:t xml:space="preserve">a </w:t>
      </w:r>
      <w:r w:rsidRPr="00F37527">
        <w:rPr>
          <w:sz w:val="22"/>
          <w:szCs w:val="22"/>
          <w:lang w:val="sl-SI"/>
        </w:rPr>
        <w:t xml:space="preserve">B. Doza od 3 mg/kg jednom dnevno (do maksimalne doze od 100 mg dnevno) bila je primijenjena kod djece </w:t>
      </w:r>
      <w:r w:rsidR="00E234DA" w:rsidRPr="00F37527">
        <w:rPr>
          <w:sz w:val="22"/>
          <w:szCs w:val="22"/>
          <w:lang w:val="sl-SI"/>
        </w:rPr>
        <w:t>uzrasta</w:t>
      </w:r>
      <w:r w:rsidRPr="00F37527">
        <w:rPr>
          <w:sz w:val="22"/>
          <w:szCs w:val="22"/>
          <w:lang w:val="sl-SI"/>
        </w:rPr>
        <w:t xml:space="preserve"> od 2. do 11. godine života, a doza od 100 mg jednom dnevno kod adolescenata </w:t>
      </w:r>
      <w:r w:rsidR="00E234DA" w:rsidRPr="00F37527">
        <w:rPr>
          <w:sz w:val="22"/>
          <w:szCs w:val="22"/>
          <w:lang w:val="sl-SI"/>
        </w:rPr>
        <w:t>uzrasta</w:t>
      </w:r>
      <w:r w:rsidRPr="00F37527">
        <w:rPr>
          <w:sz w:val="22"/>
          <w:szCs w:val="22"/>
          <w:lang w:val="sl-SI"/>
        </w:rPr>
        <w:t xml:space="preserve"> od 12 godina života i starijih. Naveden</w:t>
      </w:r>
      <w:r w:rsidR="00E234DA" w:rsidRPr="00F37527">
        <w:rPr>
          <w:sz w:val="22"/>
          <w:szCs w:val="22"/>
          <w:lang w:val="sl-SI"/>
        </w:rPr>
        <w:t>u</w:t>
      </w:r>
      <w:r w:rsidRPr="00F37527">
        <w:rPr>
          <w:sz w:val="22"/>
          <w:szCs w:val="22"/>
          <w:lang w:val="sl-SI"/>
        </w:rPr>
        <w:t xml:space="preserve"> doz</w:t>
      </w:r>
      <w:r w:rsidR="00E234DA" w:rsidRPr="00F37527">
        <w:rPr>
          <w:sz w:val="22"/>
          <w:szCs w:val="22"/>
          <w:lang w:val="sl-SI"/>
        </w:rPr>
        <w:t>u</w:t>
      </w:r>
      <w:r w:rsidRPr="00F37527">
        <w:rPr>
          <w:sz w:val="22"/>
          <w:szCs w:val="22"/>
          <w:lang w:val="sl-SI"/>
        </w:rPr>
        <w:t xml:space="preserve"> je potrebno dodatno potvrditi. Razlika u učestalosti HBeAg serokonverzije (gubitak HBeAg i HBV DNK uz detekciju HBeAb) između placeba i lamivudina nije bila statistički značajna u navedenoj populaciji (učestalosti nakon jedne godine su iznosile 13% (12/95) za placebo, u odnosu na 22% (42/191) za lamivudin; p=0,057). Učestalost pojave YMDD mutanta HBV bila je slična učestalosti registrovanoj kod odraslih osoba, varirajući od 19% u 52. nedjelji terapije, do 45% kod pacijenata liječenih neprekidno 24 mjeseca.</w:t>
      </w:r>
    </w:p>
    <w:p w14:paraId="0DE198A1" w14:textId="65425043" w:rsidR="00A94122" w:rsidRPr="00F37527" w:rsidRDefault="00A94122" w:rsidP="0076441E">
      <w:pPr>
        <w:tabs>
          <w:tab w:val="left" w:pos="540"/>
          <w:tab w:val="left" w:pos="569"/>
        </w:tabs>
        <w:jc w:val="both"/>
        <w:rPr>
          <w:b/>
          <w:bCs/>
          <w:sz w:val="22"/>
          <w:szCs w:val="22"/>
          <w:lang w:val="sl-SI"/>
        </w:rPr>
      </w:pPr>
    </w:p>
    <w:p w14:paraId="10EDD588" w14:textId="77777777" w:rsidR="00397A90" w:rsidRDefault="00397A90" w:rsidP="0076441E">
      <w:pPr>
        <w:tabs>
          <w:tab w:val="left" w:pos="540"/>
          <w:tab w:val="left" w:pos="569"/>
        </w:tabs>
        <w:jc w:val="both"/>
        <w:rPr>
          <w:b/>
          <w:bCs/>
          <w:sz w:val="22"/>
          <w:szCs w:val="22"/>
          <w:lang w:val="sl-SI"/>
        </w:rPr>
      </w:pPr>
    </w:p>
    <w:p w14:paraId="5C9F6DD7" w14:textId="77777777" w:rsidR="00397A90" w:rsidRDefault="00397A90" w:rsidP="0076441E">
      <w:pPr>
        <w:tabs>
          <w:tab w:val="left" w:pos="540"/>
          <w:tab w:val="left" w:pos="569"/>
        </w:tabs>
        <w:jc w:val="both"/>
        <w:rPr>
          <w:b/>
          <w:bCs/>
          <w:sz w:val="22"/>
          <w:szCs w:val="22"/>
          <w:lang w:val="sl-SI"/>
        </w:rPr>
      </w:pPr>
    </w:p>
    <w:p w14:paraId="18BE86D7" w14:textId="18890C09" w:rsidR="0072020E" w:rsidRPr="00F37527" w:rsidRDefault="0072020E" w:rsidP="0076441E">
      <w:pPr>
        <w:tabs>
          <w:tab w:val="left" w:pos="540"/>
          <w:tab w:val="left" w:pos="569"/>
        </w:tabs>
        <w:jc w:val="both"/>
        <w:rPr>
          <w:b/>
          <w:bCs/>
          <w:sz w:val="22"/>
          <w:szCs w:val="22"/>
          <w:lang w:val="sl-SI"/>
        </w:rPr>
      </w:pPr>
      <w:r w:rsidRPr="00F37527">
        <w:rPr>
          <w:b/>
          <w:bCs/>
          <w:sz w:val="22"/>
          <w:szCs w:val="22"/>
          <w:lang w:val="sl-SI"/>
        </w:rPr>
        <w:lastRenderedPageBreak/>
        <w:t xml:space="preserve">5.2. </w:t>
      </w:r>
      <w:r w:rsidR="00480FB1" w:rsidRPr="00F37527">
        <w:rPr>
          <w:b/>
          <w:bCs/>
          <w:sz w:val="22"/>
          <w:szCs w:val="22"/>
          <w:lang w:val="sl-SI"/>
        </w:rPr>
        <w:tab/>
      </w:r>
      <w:r w:rsidRPr="00F37527">
        <w:rPr>
          <w:b/>
          <w:bCs/>
          <w:sz w:val="22"/>
          <w:szCs w:val="22"/>
          <w:lang w:val="sl-SI"/>
        </w:rPr>
        <w:t>Farmakokinetički podaci</w:t>
      </w:r>
      <w:r w:rsidR="003A7059" w:rsidRPr="00F37527">
        <w:rPr>
          <w:b/>
          <w:bCs/>
          <w:sz w:val="22"/>
          <w:szCs w:val="22"/>
          <w:lang w:val="sl-SI"/>
        </w:rPr>
        <w:t xml:space="preserve"> </w:t>
      </w:r>
    </w:p>
    <w:p w14:paraId="42AF1DEC" w14:textId="77777777" w:rsidR="00394C0D" w:rsidRPr="00F37527" w:rsidRDefault="00394C0D" w:rsidP="0076441E">
      <w:pPr>
        <w:pStyle w:val="Header"/>
        <w:tabs>
          <w:tab w:val="left" w:pos="284"/>
        </w:tabs>
        <w:jc w:val="both"/>
        <w:rPr>
          <w:sz w:val="22"/>
          <w:szCs w:val="22"/>
          <w:u w:val="single"/>
          <w:lang w:val="sl-SI"/>
        </w:rPr>
      </w:pPr>
    </w:p>
    <w:p w14:paraId="6113A199" w14:textId="4615857E" w:rsidR="00430523" w:rsidRPr="00F37527" w:rsidRDefault="00430523" w:rsidP="0076441E">
      <w:pPr>
        <w:pStyle w:val="Header"/>
        <w:tabs>
          <w:tab w:val="left" w:pos="284"/>
        </w:tabs>
        <w:jc w:val="both"/>
        <w:rPr>
          <w:sz w:val="22"/>
          <w:szCs w:val="22"/>
          <w:u w:val="single"/>
          <w:lang w:val="sl-SI"/>
        </w:rPr>
      </w:pPr>
      <w:r w:rsidRPr="00F37527">
        <w:rPr>
          <w:sz w:val="22"/>
          <w:szCs w:val="22"/>
          <w:u w:val="single"/>
          <w:lang w:val="sl-SI"/>
        </w:rPr>
        <w:t>Resorpcija</w:t>
      </w:r>
    </w:p>
    <w:p w14:paraId="492B48D7" w14:textId="77777777" w:rsidR="00430523" w:rsidRPr="00F37527" w:rsidRDefault="00430523" w:rsidP="0076441E">
      <w:pPr>
        <w:pStyle w:val="Header"/>
        <w:tabs>
          <w:tab w:val="left" w:pos="284"/>
        </w:tabs>
        <w:jc w:val="both"/>
        <w:rPr>
          <w:sz w:val="22"/>
          <w:szCs w:val="22"/>
          <w:u w:val="single"/>
          <w:lang w:val="sl-SI"/>
        </w:rPr>
      </w:pPr>
    </w:p>
    <w:p w14:paraId="1C964D47" w14:textId="507CFD88" w:rsidR="00430523" w:rsidRPr="00F37527" w:rsidRDefault="00430523" w:rsidP="0076441E">
      <w:pPr>
        <w:pStyle w:val="Header"/>
        <w:tabs>
          <w:tab w:val="left" w:pos="284"/>
        </w:tabs>
        <w:jc w:val="both"/>
        <w:rPr>
          <w:b/>
          <w:sz w:val="22"/>
          <w:szCs w:val="22"/>
          <w:lang w:val="sl-SI"/>
        </w:rPr>
      </w:pPr>
      <w:r w:rsidRPr="00F37527">
        <w:rPr>
          <w:sz w:val="22"/>
          <w:szCs w:val="22"/>
          <w:lang w:val="sl-SI"/>
        </w:rPr>
        <w:t>Lamivudin se dobro resorbuje iz gastrointestinalnog trakta i bioraspoloživost oralno primijenjenog lamivudina kod odraslih osoba se normalno kreće između 80 i 85%. Nakon oralne primjene, srednje vrijeme (</w:t>
      </w:r>
      <w:r w:rsidRPr="00F37527">
        <w:rPr>
          <w:sz w:val="22"/>
          <w:szCs w:val="22"/>
          <w:vertAlign w:val="subscript"/>
          <w:lang w:val="sl-SI"/>
        </w:rPr>
        <w:t xml:space="preserve">t max </w:t>
      </w:r>
      <w:r w:rsidRPr="00F37527">
        <w:rPr>
          <w:sz w:val="22"/>
          <w:szCs w:val="22"/>
          <w:lang w:val="sl-SI"/>
        </w:rPr>
        <w:t>) do postizanja maksimalnih koncentracija u serumu (C</w:t>
      </w:r>
      <w:r w:rsidRPr="00F37527">
        <w:rPr>
          <w:sz w:val="22"/>
          <w:szCs w:val="22"/>
          <w:vertAlign w:val="subscript"/>
          <w:lang w:val="sl-SI"/>
        </w:rPr>
        <w:t>max</w:t>
      </w:r>
      <w:r w:rsidRPr="00F37527">
        <w:rPr>
          <w:sz w:val="22"/>
          <w:szCs w:val="22"/>
          <w:lang w:val="sl-SI"/>
        </w:rPr>
        <w:t>) je približno jedan čas. Pri terapijskim  dozama, odnosno 100 mg jednom dnevno, C</w:t>
      </w:r>
      <w:r w:rsidRPr="00F37527">
        <w:rPr>
          <w:sz w:val="22"/>
          <w:szCs w:val="22"/>
          <w:vertAlign w:val="subscript"/>
          <w:lang w:val="sl-SI"/>
        </w:rPr>
        <w:t>max</w:t>
      </w:r>
      <w:r w:rsidR="00E234DA" w:rsidRPr="00F37527">
        <w:rPr>
          <w:sz w:val="22"/>
          <w:szCs w:val="22"/>
          <w:vertAlign w:val="subscript"/>
          <w:lang w:val="sl-SI"/>
        </w:rPr>
        <w:t xml:space="preserve"> </w:t>
      </w:r>
      <w:r w:rsidRPr="00F37527">
        <w:rPr>
          <w:sz w:val="22"/>
          <w:szCs w:val="22"/>
          <w:lang w:val="sl-SI"/>
        </w:rPr>
        <w:t>se kreće u vrijednostima  od  1,1 - 1,5 µg/ml, dok su nivoi na kraju intervala doziranja  0,015 - 0,020 µg/ml.</w:t>
      </w:r>
    </w:p>
    <w:p w14:paraId="4D1F6938" w14:textId="77777777" w:rsidR="00430523" w:rsidRPr="00F37527" w:rsidRDefault="00430523" w:rsidP="0076441E">
      <w:pPr>
        <w:pStyle w:val="Header"/>
        <w:tabs>
          <w:tab w:val="left" w:pos="284"/>
        </w:tabs>
        <w:jc w:val="both"/>
        <w:rPr>
          <w:sz w:val="22"/>
          <w:szCs w:val="22"/>
          <w:lang w:val="sl-SI"/>
        </w:rPr>
      </w:pPr>
    </w:p>
    <w:p w14:paraId="49146DAC" w14:textId="77777777" w:rsidR="00430523" w:rsidRPr="00F37527" w:rsidRDefault="00430523" w:rsidP="0076441E">
      <w:pPr>
        <w:pStyle w:val="Header"/>
        <w:tabs>
          <w:tab w:val="left" w:pos="284"/>
        </w:tabs>
        <w:jc w:val="both"/>
        <w:rPr>
          <w:sz w:val="22"/>
          <w:szCs w:val="22"/>
          <w:lang w:val="sl-SI"/>
        </w:rPr>
      </w:pPr>
      <w:r w:rsidRPr="00F37527">
        <w:rPr>
          <w:sz w:val="22"/>
          <w:szCs w:val="22"/>
          <w:lang w:val="sl-SI"/>
        </w:rPr>
        <w:t>Istovremena primjena lamivudina sa hranom imala je za posljedicu odlaganje t</w:t>
      </w:r>
      <w:r w:rsidRPr="00F37527">
        <w:rPr>
          <w:sz w:val="22"/>
          <w:szCs w:val="22"/>
          <w:vertAlign w:val="subscript"/>
          <w:lang w:val="sl-SI"/>
        </w:rPr>
        <w:t>max</w:t>
      </w:r>
      <w:r w:rsidRPr="00F37527">
        <w:rPr>
          <w:sz w:val="22"/>
          <w:szCs w:val="22"/>
          <w:lang w:val="sl-SI"/>
        </w:rPr>
        <w:t xml:space="preserve">  i smanjenje  C</w:t>
      </w:r>
      <w:r w:rsidRPr="00F37527">
        <w:rPr>
          <w:sz w:val="22"/>
          <w:szCs w:val="22"/>
          <w:vertAlign w:val="subscript"/>
          <w:lang w:val="sl-SI"/>
        </w:rPr>
        <w:t>max</w:t>
      </w:r>
      <w:r w:rsidRPr="00F37527">
        <w:rPr>
          <w:sz w:val="22"/>
          <w:szCs w:val="22"/>
          <w:lang w:val="sl-SI"/>
        </w:rPr>
        <w:t xml:space="preserve"> (smanjuje se do 47%). Međutim, hrana ne utiče na obim resorpcije lamivudina (na osnovu PIK), pa se stoga lamivudin može primjenjivati uz obrok ili nezavisno od njega. </w:t>
      </w:r>
    </w:p>
    <w:p w14:paraId="2FC041A4" w14:textId="77777777" w:rsidR="00430523" w:rsidRPr="00F37527" w:rsidRDefault="00430523" w:rsidP="0076441E">
      <w:pPr>
        <w:pStyle w:val="Header"/>
        <w:tabs>
          <w:tab w:val="left" w:pos="284"/>
        </w:tabs>
        <w:jc w:val="both"/>
        <w:rPr>
          <w:sz w:val="22"/>
          <w:szCs w:val="22"/>
          <w:lang w:val="sl-SI"/>
        </w:rPr>
      </w:pPr>
    </w:p>
    <w:p w14:paraId="7DA30877" w14:textId="77777777" w:rsidR="00430523" w:rsidRPr="00F37527" w:rsidRDefault="00430523" w:rsidP="0076441E">
      <w:pPr>
        <w:pStyle w:val="Header"/>
        <w:tabs>
          <w:tab w:val="left" w:pos="284"/>
        </w:tabs>
        <w:jc w:val="both"/>
        <w:rPr>
          <w:sz w:val="22"/>
          <w:szCs w:val="22"/>
          <w:u w:val="single"/>
          <w:lang w:val="sl-SI"/>
        </w:rPr>
      </w:pPr>
      <w:r w:rsidRPr="00F37527">
        <w:rPr>
          <w:sz w:val="22"/>
          <w:szCs w:val="22"/>
          <w:u w:val="single"/>
          <w:lang w:val="sl-SI"/>
        </w:rPr>
        <w:t>Distribucija</w:t>
      </w:r>
    </w:p>
    <w:p w14:paraId="79A54506" w14:textId="77777777" w:rsidR="00430523" w:rsidRPr="00F37527" w:rsidRDefault="00430523" w:rsidP="0076441E">
      <w:pPr>
        <w:pStyle w:val="Header"/>
        <w:tabs>
          <w:tab w:val="left" w:pos="284"/>
        </w:tabs>
        <w:jc w:val="both"/>
        <w:rPr>
          <w:sz w:val="22"/>
          <w:szCs w:val="22"/>
          <w:u w:val="single"/>
          <w:lang w:val="sl-SI"/>
        </w:rPr>
      </w:pPr>
    </w:p>
    <w:p w14:paraId="5455F343" w14:textId="77777777" w:rsidR="00430523" w:rsidRPr="00F37527" w:rsidRDefault="00430523" w:rsidP="0076441E">
      <w:pPr>
        <w:pStyle w:val="Header"/>
        <w:tabs>
          <w:tab w:val="left" w:pos="284"/>
        </w:tabs>
        <w:jc w:val="both"/>
        <w:rPr>
          <w:b/>
          <w:sz w:val="22"/>
          <w:szCs w:val="22"/>
          <w:lang w:val="sl-SI"/>
        </w:rPr>
      </w:pPr>
      <w:r w:rsidRPr="00F37527">
        <w:rPr>
          <w:sz w:val="22"/>
          <w:szCs w:val="22"/>
          <w:lang w:val="sl-SI"/>
        </w:rPr>
        <w:t>Na osnovu ispitivanja intravenske primjene, srednji volumen distribucije iznosi 1,3 l/kg. Lamivudin pokazuje linearnu farmakokinetiku u okviru opsega terapijskih doza i ispoljava nisko vezivanje za albumine plazme.</w:t>
      </w:r>
    </w:p>
    <w:p w14:paraId="00622364" w14:textId="77777777" w:rsidR="00430523" w:rsidRPr="00F37527" w:rsidRDefault="00430523" w:rsidP="0076441E">
      <w:pPr>
        <w:pStyle w:val="Header"/>
        <w:tabs>
          <w:tab w:val="left" w:pos="284"/>
        </w:tabs>
        <w:jc w:val="both"/>
        <w:rPr>
          <w:sz w:val="22"/>
          <w:szCs w:val="22"/>
          <w:lang w:val="sl-SI"/>
        </w:rPr>
      </w:pPr>
      <w:r w:rsidRPr="00F37527">
        <w:rPr>
          <w:sz w:val="22"/>
          <w:szCs w:val="22"/>
          <w:lang w:val="sl-SI"/>
        </w:rPr>
        <w:t>Ograničeni podaci pokazuju da lamivudin prodire u centralni nervni sistem i dospijeva u cerebrospinalnu tečnost (CSF). Odnos srednjih koncentracija lamivudina u CSF i serumu 2-4 časa nakon oralne primjene iznosio je približno 0,12.</w:t>
      </w:r>
    </w:p>
    <w:p w14:paraId="4FF462D5" w14:textId="77777777" w:rsidR="00430523" w:rsidRPr="00F37527" w:rsidRDefault="00430523" w:rsidP="0076441E">
      <w:pPr>
        <w:pStyle w:val="Header"/>
        <w:tabs>
          <w:tab w:val="left" w:pos="284"/>
        </w:tabs>
        <w:jc w:val="both"/>
        <w:rPr>
          <w:sz w:val="22"/>
          <w:szCs w:val="22"/>
          <w:lang w:val="sl-SI"/>
        </w:rPr>
      </w:pPr>
    </w:p>
    <w:p w14:paraId="6D80655C" w14:textId="77777777" w:rsidR="00430523" w:rsidRPr="00F37527" w:rsidRDefault="00430523" w:rsidP="0076441E">
      <w:pPr>
        <w:pStyle w:val="Header"/>
        <w:tabs>
          <w:tab w:val="left" w:pos="284"/>
        </w:tabs>
        <w:jc w:val="both"/>
        <w:rPr>
          <w:sz w:val="22"/>
          <w:szCs w:val="22"/>
          <w:u w:val="single"/>
          <w:lang w:val="sl-SI"/>
        </w:rPr>
      </w:pPr>
      <w:r w:rsidRPr="00F37527">
        <w:rPr>
          <w:sz w:val="22"/>
          <w:szCs w:val="22"/>
          <w:u w:val="single"/>
          <w:lang w:val="sl-SI"/>
        </w:rPr>
        <w:t>Biotransformacija</w:t>
      </w:r>
    </w:p>
    <w:p w14:paraId="71BD7CCB" w14:textId="77777777" w:rsidR="00430523" w:rsidRPr="00F37527" w:rsidRDefault="00430523" w:rsidP="0076441E">
      <w:pPr>
        <w:pStyle w:val="Header"/>
        <w:tabs>
          <w:tab w:val="left" w:pos="284"/>
        </w:tabs>
        <w:jc w:val="both"/>
        <w:rPr>
          <w:sz w:val="22"/>
          <w:szCs w:val="22"/>
          <w:u w:val="single"/>
          <w:lang w:val="sl-SI"/>
        </w:rPr>
      </w:pPr>
    </w:p>
    <w:p w14:paraId="0D697A0D" w14:textId="77777777" w:rsidR="00430523" w:rsidRPr="00F37527" w:rsidRDefault="00430523" w:rsidP="0076441E">
      <w:pPr>
        <w:pStyle w:val="Header"/>
        <w:tabs>
          <w:tab w:val="left" w:pos="284"/>
        </w:tabs>
        <w:jc w:val="both"/>
        <w:rPr>
          <w:sz w:val="22"/>
          <w:szCs w:val="22"/>
          <w:lang w:val="sl-SI"/>
        </w:rPr>
      </w:pPr>
      <w:r w:rsidRPr="00F37527">
        <w:rPr>
          <w:sz w:val="22"/>
          <w:szCs w:val="22"/>
          <w:lang w:val="sl-SI"/>
        </w:rPr>
        <w:t>Lamivudin se dominantno eliminiše putem bubrežne ekskrecije u nepromijenjenom obliku. Vjerovatnoća  metaboličkih interakcija supstanci sa lamivudinom je niska zbog malog obima (5-10%) metabolizma lamivudina  u jetri i niskog vezivanja za proteine plazme.</w:t>
      </w:r>
    </w:p>
    <w:p w14:paraId="227BF368" w14:textId="77777777" w:rsidR="00430523" w:rsidRPr="00F37527" w:rsidRDefault="00430523" w:rsidP="0076441E">
      <w:pPr>
        <w:pStyle w:val="Header"/>
        <w:tabs>
          <w:tab w:val="left" w:pos="284"/>
        </w:tabs>
        <w:jc w:val="both"/>
        <w:rPr>
          <w:b/>
          <w:sz w:val="22"/>
          <w:szCs w:val="22"/>
          <w:lang w:val="sl-SI"/>
        </w:rPr>
      </w:pPr>
    </w:p>
    <w:p w14:paraId="0835967B" w14:textId="77777777" w:rsidR="00430523" w:rsidRPr="00F37527" w:rsidRDefault="00430523" w:rsidP="0076441E">
      <w:pPr>
        <w:pStyle w:val="Header"/>
        <w:tabs>
          <w:tab w:val="left" w:pos="284"/>
        </w:tabs>
        <w:jc w:val="both"/>
        <w:rPr>
          <w:sz w:val="22"/>
          <w:szCs w:val="22"/>
          <w:u w:val="single"/>
          <w:lang w:val="sl-SI"/>
        </w:rPr>
      </w:pPr>
      <w:r w:rsidRPr="00F37527">
        <w:rPr>
          <w:sz w:val="22"/>
          <w:szCs w:val="22"/>
          <w:u w:val="single"/>
          <w:lang w:val="sl-SI"/>
        </w:rPr>
        <w:t xml:space="preserve">Eliminacija </w:t>
      </w:r>
    </w:p>
    <w:p w14:paraId="0ADA9AEB" w14:textId="77777777" w:rsidR="00430523" w:rsidRPr="00F37527" w:rsidRDefault="00430523" w:rsidP="0076441E">
      <w:pPr>
        <w:pStyle w:val="Header"/>
        <w:tabs>
          <w:tab w:val="left" w:pos="284"/>
        </w:tabs>
        <w:jc w:val="both"/>
        <w:rPr>
          <w:sz w:val="22"/>
          <w:szCs w:val="22"/>
          <w:u w:val="single"/>
          <w:lang w:val="sl-SI"/>
        </w:rPr>
      </w:pPr>
    </w:p>
    <w:p w14:paraId="7F75DF9E" w14:textId="77777777" w:rsidR="00430523" w:rsidRPr="00F37527" w:rsidRDefault="00430523" w:rsidP="0076441E">
      <w:pPr>
        <w:pStyle w:val="Header"/>
        <w:tabs>
          <w:tab w:val="left" w:pos="284"/>
        </w:tabs>
        <w:jc w:val="both"/>
        <w:rPr>
          <w:b/>
          <w:sz w:val="22"/>
          <w:szCs w:val="22"/>
          <w:lang w:val="sl-SI"/>
        </w:rPr>
      </w:pPr>
      <w:r w:rsidRPr="00F37527">
        <w:rPr>
          <w:sz w:val="22"/>
          <w:szCs w:val="22"/>
          <w:lang w:val="sl-SI"/>
        </w:rPr>
        <w:t>Srednji sistemski klirens lamivudina iznosi približno 0,3 l/h/kg. Registrovani poluvrijeme eliminacije je 5 do 7 časova. Najveći dio lamivudina se izlučuje u nepromijenjenom obliku urinom, putem glomerularne filtracije i aktivne sekrecije (organski katjonski transportni sistem).  Renalnim klirensom izlučuje se oko 70%  lamivudina.</w:t>
      </w:r>
    </w:p>
    <w:p w14:paraId="68109DB7" w14:textId="77777777" w:rsidR="00430523" w:rsidRPr="00F37527" w:rsidRDefault="00430523" w:rsidP="0076441E">
      <w:pPr>
        <w:pStyle w:val="Header"/>
        <w:tabs>
          <w:tab w:val="left" w:pos="284"/>
        </w:tabs>
        <w:jc w:val="both"/>
        <w:rPr>
          <w:sz w:val="22"/>
          <w:szCs w:val="22"/>
          <w:lang w:val="sl-SI"/>
        </w:rPr>
      </w:pPr>
    </w:p>
    <w:p w14:paraId="607F7648" w14:textId="77777777" w:rsidR="00430523" w:rsidRPr="00F37527" w:rsidRDefault="00430523" w:rsidP="0076441E">
      <w:pPr>
        <w:pStyle w:val="Header"/>
        <w:tabs>
          <w:tab w:val="left" w:pos="284"/>
        </w:tabs>
        <w:jc w:val="both"/>
        <w:rPr>
          <w:sz w:val="22"/>
          <w:szCs w:val="22"/>
          <w:u w:val="single"/>
          <w:lang w:val="sl-SI"/>
        </w:rPr>
      </w:pPr>
      <w:r w:rsidRPr="00F37527">
        <w:rPr>
          <w:sz w:val="22"/>
          <w:szCs w:val="22"/>
          <w:u w:val="single"/>
          <w:lang w:val="sl-SI"/>
        </w:rPr>
        <w:t>Posebne populacije</w:t>
      </w:r>
    </w:p>
    <w:p w14:paraId="14E98B37" w14:textId="77777777" w:rsidR="00430523" w:rsidRPr="00F37527" w:rsidRDefault="00430523" w:rsidP="0076441E">
      <w:pPr>
        <w:pStyle w:val="Header"/>
        <w:tabs>
          <w:tab w:val="left" w:pos="284"/>
        </w:tabs>
        <w:jc w:val="both"/>
        <w:rPr>
          <w:sz w:val="22"/>
          <w:szCs w:val="22"/>
          <w:u w:val="single"/>
          <w:lang w:val="sl-SI"/>
        </w:rPr>
      </w:pPr>
    </w:p>
    <w:p w14:paraId="5E8E7566" w14:textId="61F66F37" w:rsidR="00430523" w:rsidRPr="00F37527" w:rsidRDefault="00430523" w:rsidP="0076441E">
      <w:pPr>
        <w:pStyle w:val="Header"/>
        <w:tabs>
          <w:tab w:val="left" w:pos="284"/>
        </w:tabs>
        <w:jc w:val="both"/>
        <w:rPr>
          <w:b/>
          <w:sz w:val="22"/>
          <w:szCs w:val="22"/>
          <w:lang w:val="sl-SI"/>
        </w:rPr>
      </w:pPr>
      <w:r w:rsidRPr="00F37527">
        <w:rPr>
          <w:sz w:val="22"/>
          <w:szCs w:val="22"/>
          <w:lang w:val="sl-SI"/>
        </w:rPr>
        <w:t>Klinička ispitivanja kod pacijenata sa oštećenjem bubrega pokazuju da na eliminaciju lamivudina utiče renalna disfunkcija. Neophodno je smanjenje doze kod pacijenata sa klirensom kreatinina &lt; 50 ml/min (vidjeti dio 4.2).</w:t>
      </w:r>
    </w:p>
    <w:p w14:paraId="1A3AC1A5" w14:textId="77777777" w:rsidR="00430523" w:rsidRPr="00F37527" w:rsidRDefault="00430523" w:rsidP="0076441E">
      <w:pPr>
        <w:pStyle w:val="Header"/>
        <w:tabs>
          <w:tab w:val="left" w:pos="284"/>
        </w:tabs>
        <w:jc w:val="both"/>
        <w:rPr>
          <w:sz w:val="22"/>
          <w:szCs w:val="22"/>
          <w:lang w:val="sl-SI"/>
        </w:rPr>
      </w:pPr>
    </w:p>
    <w:p w14:paraId="5B238685" w14:textId="77777777" w:rsidR="00430523" w:rsidRPr="00F37527" w:rsidRDefault="00430523" w:rsidP="0076441E">
      <w:pPr>
        <w:pStyle w:val="Header"/>
        <w:tabs>
          <w:tab w:val="left" w:pos="284"/>
        </w:tabs>
        <w:jc w:val="both"/>
        <w:rPr>
          <w:sz w:val="22"/>
          <w:szCs w:val="22"/>
          <w:lang w:val="sl-SI"/>
        </w:rPr>
      </w:pPr>
      <w:r w:rsidRPr="00F37527">
        <w:rPr>
          <w:sz w:val="22"/>
          <w:szCs w:val="22"/>
          <w:lang w:val="sl-SI"/>
        </w:rPr>
        <w:t xml:space="preserve">Oštećenje jetre ne utiče na farmakokinetiku lamivudina. Ograničeni podaci kod pacijenata koji se podvrgavaju transplantaciji jetre pokazuju da hepatička funkcija ne utiče značajno na farmakokinetiku lamivudina izuzev ukoliko nije praćena renalnom disfunkcijom. </w:t>
      </w:r>
    </w:p>
    <w:p w14:paraId="1BF48C11" w14:textId="77777777" w:rsidR="009B457D" w:rsidRPr="00F37527" w:rsidRDefault="009B457D" w:rsidP="0076441E">
      <w:pPr>
        <w:pStyle w:val="Header"/>
        <w:tabs>
          <w:tab w:val="left" w:pos="284"/>
        </w:tabs>
        <w:jc w:val="both"/>
        <w:rPr>
          <w:sz w:val="22"/>
          <w:szCs w:val="22"/>
          <w:lang w:val="sl-SI"/>
        </w:rPr>
      </w:pPr>
    </w:p>
    <w:p w14:paraId="688BE998" w14:textId="1ABB3BDF" w:rsidR="00430523" w:rsidRPr="00F37527" w:rsidRDefault="00430523" w:rsidP="0076441E">
      <w:pPr>
        <w:pStyle w:val="Header"/>
        <w:tabs>
          <w:tab w:val="left" w:pos="284"/>
        </w:tabs>
        <w:jc w:val="both"/>
        <w:rPr>
          <w:sz w:val="22"/>
          <w:szCs w:val="22"/>
          <w:lang w:val="sl-SI"/>
        </w:rPr>
      </w:pPr>
      <w:r w:rsidRPr="00F37527">
        <w:rPr>
          <w:sz w:val="22"/>
          <w:szCs w:val="22"/>
          <w:lang w:val="sl-SI"/>
        </w:rPr>
        <w:t>Kod starijih pacijenata, farmakokinetički profil lamivudina ukazuje da normalno starenje udruženo sa slabljenjem renalne funkcije ne ispoljava klinički značajno dejstvo na ekspoziciju lamivudinu, osim kod pacijenata sa klirensom kreatinina &lt; 50 ml/min (vidjeti dio 4.2).</w:t>
      </w:r>
    </w:p>
    <w:p w14:paraId="18BE86D8" w14:textId="77777777" w:rsidR="0072020E" w:rsidRPr="00F37527" w:rsidRDefault="0072020E" w:rsidP="0076441E">
      <w:pPr>
        <w:tabs>
          <w:tab w:val="left" w:pos="540"/>
          <w:tab w:val="left" w:pos="569"/>
        </w:tabs>
        <w:jc w:val="both"/>
        <w:rPr>
          <w:bCs/>
          <w:sz w:val="22"/>
          <w:szCs w:val="22"/>
          <w:lang w:val="sl-SI"/>
        </w:rPr>
      </w:pPr>
    </w:p>
    <w:p w14:paraId="18BE86D9" w14:textId="4BECE6C3" w:rsidR="0072020E" w:rsidRPr="00F37527" w:rsidRDefault="0072020E" w:rsidP="0076441E">
      <w:pPr>
        <w:tabs>
          <w:tab w:val="left" w:pos="540"/>
          <w:tab w:val="left" w:pos="569"/>
        </w:tabs>
        <w:jc w:val="both"/>
        <w:rPr>
          <w:b/>
          <w:bCs/>
          <w:sz w:val="22"/>
          <w:szCs w:val="22"/>
          <w:lang w:val="sl-SI"/>
        </w:rPr>
      </w:pPr>
      <w:r w:rsidRPr="00F37527">
        <w:rPr>
          <w:b/>
          <w:bCs/>
          <w:sz w:val="22"/>
          <w:szCs w:val="22"/>
          <w:lang w:val="sl-SI"/>
        </w:rPr>
        <w:t xml:space="preserve">5.3. </w:t>
      </w:r>
      <w:r w:rsidR="00480FB1" w:rsidRPr="00F37527">
        <w:rPr>
          <w:b/>
          <w:bCs/>
          <w:sz w:val="22"/>
          <w:szCs w:val="22"/>
          <w:lang w:val="sl-SI"/>
        </w:rPr>
        <w:tab/>
      </w:r>
      <w:r w:rsidRPr="00F37527">
        <w:rPr>
          <w:b/>
          <w:bCs/>
          <w:sz w:val="22"/>
          <w:szCs w:val="22"/>
          <w:lang w:val="sl-SI"/>
        </w:rPr>
        <w:t xml:space="preserve">Pretklinički podaci o bezbjednosti </w:t>
      </w:r>
    </w:p>
    <w:p w14:paraId="5A5DA001" w14:textId="77777777" w:rsidR="009C5662" w:rsidRPr="00F37527" w:rsidRDefault="009C5662" w:rsidP="0076441E">
      <w:pPr>
        <w:tabs>
          <w:tab w:val="left" w:pos="540"/>
          <w:tab w:val="left" w:pos="569"/>
        </w:tabs>
        <w:jc w:val="both"/>
        <w:rPr>
          <w:b/>
          <w:bCs/>
          <w:sz w:val="22"/>
          <w:szCs w:val="22"/>
          <w:lang w:val="sl-SI"/>
        </w:rPr>
      </w:pPr>
    </w:p>
    <w:p w14:paraId="6503978D" w14:textId="77777777" w:rsidR="00934D44" w:rsidRPr="00F37527" w:rsidRDefault="00934D44" w:rsidP="0076441E">
      <w:pPr>
        <w:pStyle w:val="Header"/>
        <w:tabs>
          <w:tab w:val="left" w:pos="284"/>
        </w:tabs>
        <w:jc w:val="both"/>
        <w:rPr>
          <w:sz w:val="22"/>
          <w:szCs w:val="22"/>
          <w:lang w:val="sl-SI"/>
        </w:rPr>
      </w:pPr>
      <w:r w:rsidRPr="00F37527">
        <w:rPr>
          <w:sz w:val="22"/>
          <w:szCs w:val="22"/>
          <w:lang w:val="sl-SI"/>
        </w:rPr>
        <w:t xml:space="preserve">Primjena lamivudina u visokim dozama u ispitivanjima toksičnosti kod životinja nije bila udružena sa značajnom organskom toksičnošću. Pri najvišim primijenjenim dozama, zapažen je mali efekat  na indikatore funkcije jetre i bubrega, zajedno sa povremenim smanjenjem težine jetre. Smanjenja broja eritrocita i neutrofila identifikovana su kao dejstva sa najvjerovatnijim kliničkim značajem. Navedene manifestacije registrovane su rijetko u kliničkim ispitivanjima. </w:t>
      </w:r>
    </w:p>
    <w:p w14:paraId="2543D085" w14:textId="77777777" w:rsidR="00A17228" w:rsidRPr="00F37527" w:rsidRDefault="00A17228" w:rsidP="0076441E">
      <w:pPr>
        <w:pStyle w:val="Header"/>
        <w:tabs>
          <w:tab w:val="left" w:pos="284"/>
        </w:tabs>
        <w:jc w:val="both"/>
        <w:rPr>
          <w:sz w:val="22"/>
          <w:szCs w:val="22"/>
          <w:lang w:val="sl-SI"/>
        </w:rPr>
      </w:pPr>
      <w:r w:rsidRPr="00F37527">
        <w:rPr>
          <w:sz w:val="22"/>
          <w:szCs w:val="22"/>
          <w:lang w:val="sl-SI"/>
        </w:rPr>
        <w:lastRenderedPageBreak/>
        <w:t xml:space="preserve">Lamivudin nije ispoljavao mutagena svojstva u bakterijskim testovima ali, kao i mnogi nukleozidni analozi, ispoljavao je aktivnost u </w:t>
      </w:r>
      <w:r w:rsidRPr="00F37527">
        <w:rPr>
          <w:i/>
          <w:sz w:val="22"/>
          <w:szCs w:val="22"/>
          <w:lang w:val="sl-SI"/>
        </w:rPr>
        <w:t>in vitro</w:t>
      </w:r>
      <w:r w:rsidRPr="00F37527">
        <w:rPr>
          <w:sz w:val="22"/>
          <w:szCs w:val="22"/>
          <w:lang w:val="sl-SI"/>
        </w:rPr>
        <w:t xml:space="preserve"> citogenetskim testovima kao i testu mišjeg limfoma. Lamivudin nije ispoljavao genotoksičnost u uslovima </w:t>
      </w:r>
      <w:r w:rsidRPr="00F37527">
        <w:rPr>
          <w:i/>
          <w:sz w:val="22"/>
          <w:szCs w:val="22"/>
          <w:lang w:val="sl-SI"/>
        </w:rPr>
        <w:t>in vitro</w:t>
      </w:r>
      <w:r w:rsidRPr="00F37527">
        <w:rPr>
          <w:sz w:val="22"/>
          <w:szCs w:val="22"/>
          <w:lang w:val="sl-SI"/>
        </w:rPr>
        <w:t xml:space="preserve"> pri dozama koje dovode do koncentracije u plazmi koje su približno 60-70 puta više od predviđenih kliničkih koncentracija u plazmi. Budući da </w:t>
      </w:r>
      <w:r w:rsidRPr="00F37527">
        <w:rPr>
          <w:i/>
          <w:sz w:val="22"/>
          <w:szCs w:val="22"/>
          <w:lang w:val="sl-SI"/>
        </w:rPr>
        <w:t>in vitro</w:t>
      </w:r>
      <w:r w:rsidRPr="00F37527">
        <w:rPr>
          <w:sz w:val="22"/>
          <w:szCs w:val="22"/>
          <w:lang w:val="sl-SI"/>
        </w:rPr>
        <w:t xml:space="preserve"> mutagena aktivnost lamivudina nije mogla biti potvrđena testovima u uslovima </w:t>
      </w:r>
      <w:r w:rsidRPr="00F37527">
        <w:rPr>
          <w:i/>
          <w:sz w:val="22"/>
          <w:szCs w:val="22"/>
          <w:lang w:val="sl-SI"/>
        </w:rPr>
        <w:t>in vivo</w:t>
      </w:r>
      <w:r w:rsidRPr="00F37527">
        <w:rPr>
          <w:sz w:val="22"/>
          <w:szCs w:val="22"/>
          <w:lang w:val="sl-SI"/>
        </w:rPr>
        <w:t>, zaključuje se da lamivudin ne bi trebalo da predstavlja genotoksični rizik za pacijente koji se podvrgavaju liječenju.</w:t>
      </w:r>
    </w:p>
    <w:p w14:paraId="19054432" w14:textId="77777777" w:rsidR="00A17228" w:rsidRPr="00F37527" w:rsidRDefault="00A17228" w:rsidP="0076441E">
      <w:pPr>
        <w:pStyle w:val="Header"/>
        <w:tabs>
          <w:tab w:val="left" w:pos="284"/>
        </w:tabs>
        <w:jc w:val="both"/>
        <w:rPr>
          <w:sz w:val="22"/>
          <w:szCs w:val="22"/>
          <w:lang w:val="sl-SI"/>
        </w:rPr>
      </w:pPr>
    </w:p>
    <w:p w14:paraId="1443620D" w14:textId="7F707A00" w:rsidR="00A17228" w:rsidRPr="00F37527" w:rsidRDefault="00A17228" w:rsidP="0076441E">
      <w:pPr>
        <w:pStyle w:val="Header"/>
        <w:tabs>
          <w:tab w:val="left" w:pos="284"/>
        </w:tabs>
        <w:jc w:val="both"/>
        <w:rPr>
          <w:sz w:val="22"/>
          <w:szCs w:val="22"/>
          <w:lang w:val="sl-SI"/>
        </w:rPr>
      </w:pPr>
      <w:r w:rsidRPr="00F37527">
        <w:rPr>
          <w:sz w:val="22"/>
          <w:szCs w:val="22"/>
          <w:lang w:val="sl-SI"/>
        </w:rPr>
        <w:t>Reproduktivne studije na životinjama  nijesu dokazale teratogenost i nijesu pokazale postojanje dejstva na muški ili ženski fertilitet. Lamivudin indukuje rani letalitet embriona pri primjeni kod gravidnih ženki kunića, pri nivoima ekspozicije koji se mogu uporediti sa koncentracijama  koje se postižu kod ljudi, ali ne i kod pacova, čak ni prilikom veoma visoke  sistemske izloženosti.</w:t>
      </w:r>
    </w:p>
    <w:p w14:paraId="42E863E5" w14:textId="77777777" w:rsidR="009B457D" w:rsidRPr="00F37527" w:rsidRDefault="009B457D" w:rsidP="0076441E">
      <w:pPr>
        <w:jc w:val="both"/>
        <w:rPr>
          <w:sz w:val="22"/>
          <w:szCs w:val="22"/>
          <w:lang w:val="sl-SI"/>
        </w:rPr>
      </w:pPr>
    </w:p>
    <w:p w14:paraId="63B40608" w14:textId="4C67BDC7" w:rsidR="00A17228" w:rsidRPr="00F37527" w:rsidRDefault="00A17228" w:rsidP="0076441E">
      <w:pPr>
        <w:jc w:val="both"/>
        <w:rPr>
          <w:sz w:val="22"/>
          <w:szCs w:val="22"/>
          <w:lang w:val="sl-SI"/>
        </w:rPr>
      </w:pPr>
      <w:r w:rsidRPr="00F37527">
        <w:rPr>
          <w:sz w:val="22"/>
          <w:szCs w:val="22"/>
          <w:lang w:val="sl-SI"/>
        </w:rPr>
        <w:t>Rezultati dugotrajnih ispitivanja karcinogenosti lamivudina u  pacova i miševa nijesu pokazali karcinogeni potencijal.</w:t>
      </w:r>
    </w:p>
    <w:p w14:paraId="18BE86DA" w14:textId="77777777" w:rsidR="00836B35" w:rsidRPr="00F37527" w:rsidRDefault="00836B35" w:rsidP="00480FB1">
      <w:pPr>
        <w:tabs>
          <w:tab w:val="left" w:pos="540"/>
          <w:tab w:val="left" w:pos="569"/>
        </w:tabs>
        <w:rPr>
          <w:bCs/>
          <w:sz w:val="22"/>
          <w:szCs w:val="22"/>
          <w:lang w:val="sl-SI"/>
        </w:rPr>
      </w:pPr>
    </w:p>
    <w:p w14:paraId="18BE86DB" w14:textId="77777777" w:rsidR="00396DFD" w:rsidRPr="00F37527" w:rsidRDefault="00396DFD" w:rsidP="00480FB1">
      <w:pPr>
        <w:tabs>
          <w:tab w:val="left" w:pos="540"/>
          <w:tab w:val="left" w:pos="569"/>
        </w:tabs>
        <w:rPr>
          <w:b/>
          <w:bCs/>
          <w:sz w:val="22"/>
          <w:szCs w:val="22"/>
          <w:lang w:val="sl-SI"/>
        </w:rPr>
      </w:pPr>
    </w:p>
    <w:p w14:paraId="18BE86DC" w14:textId="77777777" w:rsidR="0072020E" w:rsidRPr="00F37527" w:rsidRDefault="0072020E" w:rsidP="00480FB1">
      <w:pPr>
        <w:tabs>
          <w:tab w:val="left" w:pos="540"/>
          <w:tab w:val="left" w:pos="569"/>
        </w:tabs>
        <w:rPr>
          <w:b/>
          <w:bCs/>
          <w:sz w:val="22"/>
          <w:szCs w:val="22"/>
          <w:lang w:val="sl-SI"/>
        </w:rPr>
      </w:pPr>
      <w:r w:rsidRPr="00F37527">
        <w:rPr>
          <w:b/>
          <w:bCs/>
          <w:sz w:val="22"/>
          <w:szCs w:val="22"/>
          <w:lang w:val="sl-SI"/>
        </w:rPr>
        <w:t xml:space="preserve">6. </w:t>
      </w:r>
      <w:r w:rsidR="00480FB1" w:rsidRPr="00F37527">
        <w:rPr>
          <w:b/>
          <w:bCs/>
          <w:sz w:val="22"/>
          <w:szCs w:val="22"/>
          <w:lang w:val="sl-SI"/>
        </w:rPr>
        <w:tab/>
      </w:r>
      <w:r w:rsidRPr="00F37527">
        <w:rPr>
          <w:b/>
          <w:bCs/>
          <w:sz w:val="22"/>
          <w:szCs w:val="22"/>
          <w:lang w:val="sl-SI"/>
        </w:rPr>
        <w:t>FARMACEUTSKI PODACI</w:t>
      </w:r>
    </w:p>
    <w:p w14:paraId="18BE86DD" w14:textId="77777777" w:rsidR="00836B35" w:rsidRPr="00F37527" w:rsidRDefault="00836B35" w:rsidP="00480FB1">
      <w:pPr>
        <w:tabs>
          <w:tab w:val="left" w:pos="540"/>
          <w:tab w:val="left" w:pos="569"/>
        </w:tabs>
        <w:rPr>
          <w:bCs/>
          <w:sz w:val="22"/>
          <w:szCs w:val="22"/>
          <w:lang w:val="sl-SI"/>
        </w:rPr>
      </w:pPr>
    </w:p>
    <w:p w14:paraId="18BE86DE" w14:textId="77777777" w:rsidR="0072020E" w:rsidRPr="00F37527" w:rsidRDefault="0072020E" w:rsidP="00480FB1">
      <w:pPr>
        <w:tabs>
          <w:tab w:val="left" w:pos="540"/>
          <w:tab w:val="left" w:pos="569"/>
        </w:tabs>
        <w:rPr>
          <w:b/>
          <w:bCs/>
          <w:sz w:val="22"/>
          <w:szCs w:val="22"/>
          <w:lang w:val="sl-SI"/>
        </w:rPr>
      </w:pPr>
      <w:r w:rsidRPr="00F37527">
        <w:rPr>
          <w:b/>
          <w:bCs/>
          <w:sz w:val="22"/>
          <w:szCs w:val="22"/>
          <w:lang w:val="sl-SI"/>
        </w:rPr>
        <w:t xml:space="preserve">6.1. </w:t>
      </w:r>
      <w:r w:rsidR="00480FB1" w:rsidRPr="00F37527">
        <w:rPr>
          <w:b/>
          <w:bCs/>
          <w:sz w:val="22"/>
          <w:szCs w:val="22"/>
          <w:lang w:val="sl-SI"/>
        </w:rPr>
        <w:tab/>
      </w:r>
      <w:r w:rsidRPr="00F37527">
        <w:rPr>
          <w:b/>
          <w:bCs/>
          <w:sz w:val="22"/>
          <w:szCs w:val="22"/>
          <w:lang w:val="sl-SI"/>
        </w:rPr>
        <w:t>Lista pomoćnih supstanci</w:t>
      </w:r>
      <w:r w:rsidR="002E0135" w:rsidRPr="00F37527">
        <w:rPr>
          <w:b/>
          <w:bCs/>
          <w:sz w:val="22"/>
          <w:szCs w:val="22"/>
          <w:lang w:val="sl-SI"/>
        </w:rPr>
        <w:t xml:space="preserve"> (ekscipijenasa)</w:t>
      </w:r>
    </w:p>
    <w:p w14:paraId="655C1C7F" w14:textId="77777777" w:rsidR="009D1AC7" w:rsidRPr="00F37527" w:rsidRDefault="009D1AC7" w:rsidP="009D1AC7">
      <w:pPr>
        <w:pStyle w:val="Header"/>
        <w:tabs>
          <w:tab w:val="left" w:pos="284"/>
        </w:tabs>
        <w:rPr>
          <w:i/>
          <w:sz w:val="22"/>
          <w:szCs w:val="22"/>
          <w:lang w:val="sl-SI"/>
        </w:rPr>
      </w:pPr>
    </w:p>
    <w:p w14:paraId="7983DA1E" w14:textId="7FA483AA" w:rsidR="009D1AC7" w:rsidRPr="00F37527" w:rsidRDefault="009D1AC7" w:rsidP="009D1AC7">
      <w:pPr>
        <w:pStyle w:val="Header"/>
        <w:tabs>
          <w:tab w:val="left" w:pos="284"/>
        </w:tabs>
        <w:rPr>
          <w:b/>
          <w:i/>
          <w:sz w:val="22"/>
          <w:szCs w:val="22"/>
          <w:lang w:val="sl-SI"/>
        </w:rPr>
      </w:pPr>
      <w:r w:rsidRPr="00F37527">
        <w:rPr>
          <w:i/>
          <w:sz w:val="22"/>
          <w:szCs w:val="22"/>
          <w:lang w:val="sl-SI"/>
        </w:rPr>
        <w:t>Jezgro tablete:</w:t>
      </w:r>
      <w:r w:rsidRPr="00F37527">
        <w:rPr>
          <w:b/>
          <w:i/>
          <w:sz w:val="22"/>
          <w:szCs w:val="22"/>
          <w:lang w:val="sl-SI"/>
        </w:rPr>
        <w:t xml:space="preserve"> </w:t>
      </w:r>
      <w:r w:rsidRPr="00F37527">
        <w:rPr>
          <w:b/>
          <w:i/>
          <w:sz w:val="22"/>
          <w:szCs w:val="22"/>
          <w:lang w:val="sl-SI"/>
        </w:rPr>
        <w:tab/>
      </w:r>
      <w:r w:rsidRPr="00F37527">
        <w:rPr>
          <w:b/>
          <w:i/>
          <w:sz w:val="22"/>
          <w:szCs w:val="22"/>
          <w:lang w:val="sl-SI"/>
        </w:rPr>
        <w:tab/>
      </w:r>
    </w:p>
    <w:p w14:paraId="52539EE4" w14:textId="77777777" w:rsidR="009D1AC7" w:rsidRPr="00F37527" w:rsidRDefault="009D1AC7" w:rsidP="009D1AC7">
      <w:pPr>
        <w:pStyle w:val="Header"/>
        <w:tabs>
          <w:tab w:val="left" w:pos="284"/>
        </w:tabs>
        <w:rPr>
          <w:sz w:val="22"/>
          <w:szCs w:val="22"/>
          <w:lang w:val="sl-SI"/>
        </w:rPr>
      </w:pPr>
      <w:r w:rsidRPr="00F37527">
        <w:rPr>
          <w:sz w:val="22"/>
          <w:szCs w:val="22"/>
          <w:lang w:val="sl-SI"/>
        </w:rPr>
        <w:t xml:space="preserve">Celuloza, mikrokristalna </w:t>
      </w:r>
      <w:r w:rsidRPr="00F37527">
        <w:rPr>
          <w:sz w:val="22"/>
          <w:szCs w:val="22"/>
          <w:lang w:val="sl-SI"/>
        </w:rPr>
        <w:tab/>
      </w:r>
    </w:p>
    <w:p w14:paraId="6D03838A" w14:textId="7D4698BA" w:rsidR="009D1AC7" w:rsidRPr="00F37527" w:rsidRDefault="009D1AC7" w:rsidP="009D1AC7">
      <w:pPr>
        <w:pStyle w:val="Header"/>
        <w:tabs>
          <w:tab w:val="left" w:pos="284"/>
        </w:tabs>
        <w:rPr>
          <w:sz w:val="22"/>
          <w:szCs w:val="22"/>
          <w:lang w:val="sl-SI"/>
        </w:rPr>
      </w:pPr>
      <w:r w:rsidRPr="00F37527">
        <w:rPr>
          <w:sz w:val="22"/>
          <w:szCs w:val="22"/>
          <w:lang w:val="sl-SI"/>
        </w:rPr>
        <w:t>Natrijum skrob</w:t>
      </w:r>
      <w:r w:rsidR="00AF7642" w:rsidRPr="00F37527">
        <w:rPr>
          <w:sz w:val="22"/>
          <w:szCs w:val="22"/>
          <w:lang w:val="sl-SI"/>
        </w:rPr>
        <w:t xml:space="preserve"> </w:t>
      </w:r>
      <w:r w:rsidRPr="00F37527">
        <w:rPr>
          <w:sz w:val="22"/>
          <w:szCs w:val="22"/>
          <w:lang w:val="sl-SI"/>
        </w:rPr>
        <w:t xml:space="preserve">glikolat </w:t>
      </w:r>
      <w:r w:rsidRPr="00F37527">
        <w:rPr>
          <w:sz w:val="22"/>
          <w:szCs w:val="22"/>
          <w:lang w:val="sl-SI"/>
        </w:rPr>
        <w:tab/>
      </w:r>
    </w:p>
    <w:p w14:paraId="3ADA48DB" w14:textId="77777777" w:rsidR="009D1AC7" w:rsidRPr="00F37527" w:rsidRDefault="009D1AC7" w:rsidP="009D1AC7">
      <w:pPr>
        <w:pStyle w:val="Header"/>
        <w:tabs>
          <w:tab w:val="left" w:pos="284"/>
        </w:tabs>
        <w:rPr>
          <w:sz w:val="22"/>
          <w:szCs w:val="22"/>
          <w:lang w:val="sl-SI"/>
        </w:rPr>
      </w:pPr>
      <w:r w:rsidRPr="00F37527">
        <w:rPr>
          <w:sz w:val="22"/>
          <w:szCs w:val="22"/>
          <w:lang w:val="sl-SI"/>
        </w:rPr>
        <w:t xml:space="preserve">Magnezijum stearat </w:t>
      </w:r>
    </w:p>
    <w:p w14:paraId="18BE86DF" w14:textId="2FEA39AC" w:rsidR="0072020E" w:rsidRPr="00F37527" w:rsidRDefault="0072020E" w:rsidP="00480FB1">
      <w:pPr>
        <w:tabs>
          <w:tab w:val="left" w:pos="540"/>
          <w:tab w:val="left" w:pos="569"/>
        </w:tabs>
        <w:rPr>
          <w:bCs/>
          <w:sz w:val="22"/>
          <w:szCs w:val="22"/>
          <w:lang w:val="sl-SI"/>
        </w:rPr>
      </w:pPr>
    </w:p>
    <w:p w14:paraId="6D819BB7" w14:textId="77777777" w:rsidR="009D1AC7" w:rsidRPr="00F37527" w:rsidRDefault="009D1AC7" w:rsidP="009D1AC7">
      <w:pPr>
        <w:pStyle w:val="Header"/>
        <w:tabs>
          <w:tab w:val="left" w:pos="284"/>
        </w:tabs>
        <w:rPr>
          <w:i/>
          <w:sz w:val="22"/>
          <w:szCs w:val="22"/>
          <w:lang w:val="sl-SI"/>
        </w:rPr>
      </w:pPr>
      <w:r w:rsidRPr="00F37527">
        <w:rPr>
          <w:i/>
          <w:sz w:val="22"/>
          <w:szCs w:val="22"/>
          <w:lang w:val="sl-SI"/>
        </w:rPr>
        <w:t>Film omotač tablete:</w:t>
      </w:r>
    </w:p>
    <w:p w14:paraId="203FBC5C" w14:textId="77777777" w:rsidR="009D1AC7" w:rsidRPr="00F37527" w:rsidRDefault="009D1AC7" w:rsidP="009D1AC7">
      <w:pPr>
        <w:pStyle w:val="Header"/>
        <w:tabs>
          <w:tab w:val="left" w:pos="284"/>
        </w:tabs>
        <w:rPr>
          <w:sz w:val="22"/>
          <w:szCs w:val="22"/>
          <w:lang w:val="sl-SI"/>
        </w:rPr>
      </w:pPr>
      <w:r w:rsidRPr="00F37527">
        <w:rPr>
          <w:sz w:val="22"/>
          <w:szCs w:val="22"/>
          <w:lang w:val="sl-SI"/>
        </w:rPr>
        <w:t>Hipromeloza</w:t>
      </w:r>
    </w:p>
    <w:p w14:paraId="4829D915" w14:textId="77777777" w:rsidR="009D1AC7" w:rsidRPr="00F37527" w:rsidRDefault="009D1AC7" w:rsidP="009D1AC7">
      <w:pPr>
        <w:pStyle w:val="Header"/>
        <w:tabs>
          <w:tab w:val="left" w:pos="284"/>
        </w:tabs>
        <w:rPr>
          <w:sz w:val="22"/>
          <w:szCs w:val="22"/>
          <w:lang w:val="sl-SI"/>
        </w:rPr>
      </w:pPr>
      <w:r w:rsidRPr="00F37527">
        <w:rPr>
          <w:sz w:val="22"/>
          <w:szCs w:val="22"/>
          <w:lang w:val="sl-SI"/>
        </w:rPr>
        <w:t>Titan dioksid</w:t>
      </w:r>
    </w:p>
    <w:p w14:paraId="0879D54C" w14:textId="77777777" w:rsidR="009D1AC7" w:rsidRPr="00F37527" w:rsidRDefault="009D1AC7" w:rsidP="009D1AC7">
      <w:pPr>
        <w:pStyle w:val="Header"/>
        <w:tabs>
          <w:tab w:val="left" w:pos="284"/>
        </w:tabs>
        <w:rPr>
          <w:sz w:val="22"/>
          <w:szCs w:val="22"/>
          <w:lang w:val="sl-SI"/>
        </w:rPr>
      </w:pPr>
      <w:r w:rsidRPr="00F37527">
        <w:rPr>
          <w:sz w:val="22"/>
          <w:szCs w:val="22"/>
          <w:lang w:val="sl-SI"/>
        </w:rPr>
        <w:t>Makrogol 400</w:t>
      </w:r>
    </w:p>
    <w:p w14:paraId="2D3222DC" w14:textId="77777777" w:rsidR="009D1AC7" w:rsidRPr="00F37527" w:rsidRDefault="009D1AC7" w:rsidP="009D1AC7">
      <w:pPr>
        <w:pStyle w:val="Header"/>
        <w:tabs>
          <w:tab w:val="left" w:pos="284"/>
        </w:tabs>
        <w:rPr>
          <w:sz w:val="22"/>
          <w:szCs w:val="22"/>
          <w:lang w:val="sl-SI"/>
        </w:rPr>
      </w:pPr>
      <w:r w:rsidRPr="00F37527">
        <w:rPr>
          <w:sz w:val="22"/>
          <w:szCs w:val="22"/>
          <w:lang w:val="sl-SI"/>
        </w:rPr>
        <w:t>Polisorbat 80</w:t>
      </w:r>
    </w:p>
    <w:p w14:paraId="47B34943" w14:textId="08E78180" w:rsidR="009D1AC7" w:rsidRPr="00F37527" w:rsidRDefault="009D1AC7" w:rsidP="009D1AC7">
      <w:pPr>
        <w:tabs>
          <w:tab w:val="left" w:pos="540"/>
          <w:tab w:val="left" w:pos="569"/>
        </w:tabs>
        <w:rPr>
          <w:sz w:val="22"/>
          <w:szCs w:val="22"/>
          <w:lang w:val="sl-SI"/>
        </w:rPr>
      </w:pPr>
      <w:r w:rsidRPr="00F37527">
        <w:rPr>
          <w:sz w:val="22"/>
          <w:szCs w:val="22"/>
          <w:lang w:val="sl-SI"/>
        </w:rPr>
        <w:t>Sintetički gvožđe oksid, žuti i crveni</w:t>
      </w:r>
    </w:p>
    <w:p w14:paraId="345FD335" w14:textId="77777777" w:rsidR="009D1AC7" w:rsidRPr="00F37527" w:rsidRDefault="009D1AC7" w:rsidP="009D1AC7">
      <w:pPr>
        <w:tabs>
          <w:tab w:val="left" w:pos="540"/>
          <w:tab w:val="left" w:pos="569"/>
        </w:tabs>
        <w:rPr>
          <w:bCs/>
          <w:sz w:val="22"/>
          <w:szCs w:val="22"/>
        </w:rPr>
      </w:pPr>
    </w:p>
    <w:p w14:paraId="18BE86E0" w14:textId="77777777" w:rsidR="0072020E" w:rsidRPr="00F37527" w:rsidRDefault="0072020E" w:rsidP="00480FB1">
      <w:pPr>
        <w:tabs>
          <w:tab w:val="left" w:pos="540"/>
          <w:tab w:val="left" w:pos="569"/>
        </w:tabs>
        <w:rPr>
          <w:b/>
          <w:bCs/>
          <w:sz w:val="22"/>
          <w:szCs w:val="22"/>
        </w:rPr>
      </w:pPr>
      <w:r w:rsidRPr="00F37527">
        <w:rPr>
          <w:b/>
          <w:bCs/>
          <w:sz w:val="22"/>
          <w:szCs w:val="22"/>
        </w:rPr>
        <w:t xml:space="preserve">6.2. </w:t>
      </w:r>
      <w:r w:rsidR="00480FB1" w:rsidRPr="00F37527">
        <w:rPr>
          <w:b/>
          <w:bCs/>
          <w:sz w:val="22"/>
          <w:szCs w:val="22"/>
        </w:rPr>
        <w:tab/>
      </w:r>
      <w:proofErr w:type="spellStart"/>
      <w:r w:rsidRPr="00F37527">
        <w:rPr>
          <w:b/>
          <w:bCs/>
          <w:sz w:val="22"/>
          <w:szCs w:val="22"/>
        </w:rPr>
        <w:t>Inkompatibilnost</w:t>
      </w:r>
      <w:r w:rsidR="002846DB" w:rsidRPr="00F37527">
        <w:rPr>
          <w:b/>
          <w:bCs/>
          <w:sz w:val="22"/>
          <w:szCs w:val="22"/>
        </w:rPr>
        <w:t>i</w:t>
      </w:r>
      <w:proofErr w:type="spellEnd"/>
    </w:p>
    <w:p w14:paraId="37C82F79" w14:textId="77777777" w:rsidR="00DA12A2" w:rsidRPr="00F37527" w:rsidRDefault="00DA12A2" w:rsidP="009D1AC7">
      <w:pPr>
        <w:pStyle w:val="Header"/>
        <w:tabs>
          <w:tab w:val="left" w:pos="284"/>
        </w:tabs>
        <w:rPr>
          <w:sz w:val="22"/>
          <w:szCs w:val="22"/>
        </w:rPr>
      </w:pPr>
    </w:p>
    <w:p w14:paraId="63425F26" w14:textId="030A28B4" w:rsidR="009D1AC7" w:rsidRPr="00F37527" w:rsidRDefault="009D1AC7" w:rsidP="009D1AC7">
      <w:pPr>
        <w:pStyle w:val="Header"/>
        <w:tabs>
          <w:tab w:val="left" w:pos="284"/>
        </w:tabs>
        <w:rPr>
          <w:sz w:val="22"/>
          <w:szCs w:val="22"/>
        </w:rPr>
      </w:pPr>
      <w:proofErr w:type="spellStart"/>
      <w:r w:rsidRPr="00F37527">
        <w:rPr>
          <w:sz w:val="22"/>
          <w:szCs w:val="22"/>
        </w:rPr>
        <w:t>Nije</w:t>
      </w:r>
      <w:proofErr w:type="spellEnd"/>
      <w:r w:rsidRPr="00F37527">
        <w:rPr>
          <w:sz w:val="22"/>
          <w:szCs w:val="22"/>
        </w:rPr>
        <w:t xml:space="preserve"> </w:t>
      </w:r>
      <w:proofErr w:type="spellStart"/>
      <w:r w:rsidRPr="00F37527">
        <w:rPr>
          <w:sz w:val="22"/>
          <w:szCs w:val="22"/>
        </w:rPr>
        <w:t>primjenljivo</w:t>
      </w:r>
      <w:proofErr w:type="spellEnd"/>
      <w:r w:rsidRPr="00F37527">
        <w:rPr>
          <w:sz w:val="22"/>
          <w:szCs w:val="22"/>
        </w:rPr>
        <w:t>.</w:t>
      </w:r>
    </w:p>
    <w:p w14:paraId="18BE86E1" w14:textId="77777777" w:rsidR="0072020E" w:rsidRPr="00F37527" w:rsidRDefault="0072020E" w:rsidP="00480FB1">
      <w:pPr>
        <w:tabs>
          <w:tab w:val="left" w:pos="540"/>
          <w:tab w:val="left" w:pos="569"/>
        </w:tabs>
        <w:rPr>
          <w:bCs/>
          <w:sz w:val="22"/>
          <w:szCs w:val="22"/>
        </w:rPr>
      </w:pPr>
    </w:p>
    <w:p w14:paraId="18BE86E2" w14:textId="77777777" w:rsidR="0072020E" w:rsidRPr="00F37527" w:rsidRDefault="0072020E" w:rsidP="00480FB1">
      <w:pPr>
        <w:tabs>
          <w:tab w:val="left" w:pos="540"/>
          <w:tab w:val="left" w:pos="569"/>
        </w:tabs>
        <w:rPr>
          <w:b/>
          <w:bCs/>
          <w:sz w:val="22"/>
          <w:szCs w:val="22"/>
        </w:rPr>
      </w:pPr>
      <w:r w:rsidRPr="00F37527">
        <w:rPr>
          <w:b/>
          <w:bCs/>
          <w:sz w:val="22"/>
          <w:szCs w:val="22"/>
        </w:rPr>
        <w:t>6.3.</w:t>
      </w:r>
      <w:r w:rsidR="00C05DF8" w:rsidRPr="00F37527">
        <w:rPr>
          <w:b/>
          <w:bCs/>
          <w:sz w:val="22"/>
          <w:szCs w:val="22"/>
        </w:rPr>
        <w:t xml:space="preserve"> </w:t>
      </w:r>
      <w:r w:rsidR="00480FB1" w:rsidRPr="00F37527">
        <w:rPr>
          <w:b/>
          <w:bCs/>
          <w:sz w:val="22"/>
          <w:szCs w:val="22"/>
        </w:rPr>
        <w:tab/>
      </w:r>
      <w:proofErr w:type="spellStart"/>
      <w:r w:rsidRPr="00F37527">
        <w:rPr>
          <w:b/>
          <w:bCs/>
          <w:sz w:val="22"/>
          <w:szCs w:val="22"/>
        </w:rPr>
        <w:t>Rok</w:t>
      </w:r>
      <w:proofErr w:type="spellEnd"/>
      <w:r w:rsidRPr="00F37527">
        <w:rPr>
          <w:b/>
          <w:bCs/>
          <w:sz w:val="22"/>
          <w:szCs w:val="22"/>
        </w:rPr>
        <w:t xml:space="preserve"> </w:t>
      </w:r>
      <w:proofErr w:type="spellStart"/>
      <w:r w:rsidRPr="00F37527">
        <w:rPr>
          <w:b/>
          <w:bCs/>
          <w:sz w:val="22"/>
          <w:szCs w:val="22"/>
        </w:rPr>
        <w:t>upotrebe</w:t>
      </w:r>
      <w:proofErr w:type="spellEnd"/>
    </w:p>
    <w:p w14:paraId="546AE789" w14:textId="77777777" w:rsidR="00DA12A2" w:rsidRPr="00F37527" w:rsidRDefault="00DA12A2" w:rsidP="009D1AC7">
      <w:pPr>
        <w:rPr>
          <w:sz w:val="22"/>
          <w:szCs w:val="22"/>
        </w:rPr>
      </w:pPr>
    </w:p>
    <w:p w14:paraId="179AD01B" w14:textId="05372243" w:rsidR="009D1AC7" w:rsidRPr="00F37527" w:rsidRDefault="009D1AC7" w:rsidP="009D1AC7">
      <w:pPr>
        <w:rPr>
          <w:sz w:val="22"/>
          <w:szCs w:val="22"/>
          <w:lang w:val="sl-SI"/>
        </w:rPr>
      </w:pPr>
      <w:r w:rsidRPr="00F37527">
        <w:rPr>
          <w:sz w:val="22"/>
          <w:szCs w:val="22"/>
        </w:rPr>
        <w:t xml:space="preserve">3 </w:t>
      </w:r>
      <w:proofErr w:type="spellStart"/>
      <w:r w:rsidRPr="00F37527">
        <w:rPr>
          <w:sz w:val="22"/>
          <w:szCs w:val="22"/>
        </w:rPr>
        <w:t>godine</w:t>
      </w:r>
      <w:proofErr w:type="spellEnd"/>
      <w:r w:rsidR="00F37527">
        <w:rPr>
          <w:sz w:val="22"/>
          <w:szCs w:val="22"/>
        </w:rPr>
        <w:t>.</w:t>
      </w:r>
      <w:r w:rsidRPr="00F37527">
        <w:rPr>
          <w:sz w:val="22"/>
          <w:szCs w:val="22"/>
          <w:lang w:val="sl-SI"/>
        </w:rPr>
        <w:t xml:space="preserve"> </w:t>
      </w:r>
    </w:p>
    <w:p w14:paraId="18BE86E3" w14:textId="77777777" w:rsidR="0072020E" w:rsidRPr="00F37527" w:rsidRDefault="0072020E" w:rsidP="00480FB1">
      <w:pPr>
        <w:tabs>
          <w:tab w:val="left" w:pos="540"/>
          <w:tab w:val="left" w:pos="569"/>
        </w:tabs>
        <w:rPr>
          <w:bCs/>
          <w:sz w:val="22"/>
          <w:szCs w:val="22"/>
        </w:rPr>
      </w:pPr>
    </w:p>
    <w:p w14:paraId="18BE86E4" w14:textId="77777777" w:rsidR="0072020E" w:rsidRPr="00F37527" w:rsidRDefault="0072020E" w:rsidP="00480FB1">
      <w:pPr>
        <w:tabs>
          <w:tab w:val="left" w:pos="540"/>
          <w:tab w:val="left" w:pos="569"/>
        </w:tabs>
        <w:rPr>
          <w:b/>
          <w:bCs/>
          <w:sz w:val="22"/>
          <w:szCs w:val="22"/>
        </w:rPr>
      </w:pPr>
      <w:r w:rsidRPr="00F37527">
        <w:rPr>
          <w:b/>
          <w:bCs/>
          <w:sz w:val="22"/>
          <w:szCs w:val="22"/>
        </w:rPr>
        <w:t xml:space="preserve">6.4. </w:t>
      </w:r>
      <w:r w:rsidR="00480FB1" w:rsidRPr="00F37527">
        <w:rPr>
          <w:b/>
          <w:bCs/>
          <w:sz w:val="22"/>
          <w:szCs w:val="22"/>
        </w:rPr>
        <w:tab/>
      </w:r>
      <w:proofErr w:type="spellStart"/>
      <w:r w:rsidRPr="00F37527">
        <w:rPr>
          <w:b/>
          <w:bCs/>
          <w:sz w:val="22"/>
          <w:szCs w:val="22"/>
        </w:rPr>
        <w:t>Posebne</w:t>
      </w:r>
      <w:proofErr w:type="spellEnd"/>
      <w:r w:rsidRPr="00F37527">
        <w:rPr>
          <w:b/>
          <w:bCs/>
          <w:sz w:val="22"/>
          <w:szCs w:val="22"/>
        </w:rPr>
        <w:t xml:space="preserve"> </w:t>
      </w:r>
      <w:proofErr w:type="spellStart"/>
      <w:r w:rsidRPr="00F37527">
        <w:rPr>
          <w:b/>
          <w:bCs/>
          <w:sz w:val="22"/>
          <w:szCs w:val="22"/>
        </w:rPr>
        <w:t>mjere</w:t>
      </w:r>
      <w:proofErr w:type="spellEnd"/>
      <w:r w:rsidRPr="00F37527">
        <w:rPr>
          <w:b/>
          <w:bCs/>
          <w:sz w:val="22"/>
          <w:szCs w:val="22"/>
        </w:rPr>
        <w:t xml:space="preserve"> </w:t>
      </w:r>
      <w:proofErr w:type="spellStart"/>
      <w:r w:rsidRPr="00F37527">
        <w:rPr>
          <w:b/>
          <w:bCs/>
          <w:sz w:val="22"/>
          <w:szCs w:val="22"/>
        </w:rPr>
        <w:t>upozorenja</w:t>
      </w:r>
      <w:proofErr w:type="spellEnd"/>
      <w:r w:rsidRPr="00F37527">
        <w:rPr>
          <w:b/>
          <w:bCs/>
          <w:sz w:val="22"/>
          <w:szCs w:val="22"/>
        </w:rPr>
        <w:t xml:space="preserve"> </w:t>
      </w:r>
      <w:proofErr w:type="spellStart"/>
      <w:r w:rsidRPr="00F37527">
        <w:rPr>
          <w:b/>
          <w:bCs/>
          <w:sz w:val="22"/>
          <w:szCs w:val="22"/>
        </w:rPr>
        <w:t>pri</w:t>
      </w:r>
      <w:proofErr w:type="spellEnd"/>
      <w:r w:rsidRPr="00F37527">
        <w:rPr>
          <w:b/>
          <w:bCs/>
          <w:sz w:val="22"/>
          <w:szCs w:val="22"/>
        </w:rPr>
        <w:t xml:space="preserve"> </w:t>
      </w:r>
      <w:proofErr w:type="spellStart"/>
      <w:r w:rsidRPr="00F37527">
        <w:rPr>
          <w:b/>
          <w:bCs/>
          <w:sz w:val="22"/>
          <w:szCs w:val="22"/>
        </w:rPr>
        <w:t>čuvanju</w:t>
      </w:r>
      <w:proofErr w:type="spellEnd"/>
      <w:r w:rsidR="00F8570A" w:rsidRPr="00F37527">
        <w:rPr>
          <w:b/>
          <w:bCs/>
          <w:sz w:val="22"/>
          <w:szCs w:val="22"/>
        </w:rPr>
        <w:t xml:space="preserve"> </w:t>
      </w:r>
      <w:proofErr w:type="spellStart"/>
      <w:r w:rsidR="00F8570A" w:rsidRPr="00F37527">
        <w:rPr>
          <w:b/>
          <w:bCs/>
          <w:sz w:val="22"/>
          <w:szCs w:val="22"/>
        </w:rPr>
        <w:t>lijeka</w:t>
      </w:r>
      <w:proofErr w:type="spellEnd"/>
    </w:p>
    <w:p w14:paraId="6D8EF442" w14:textId="77777777" w:rsidR="00DA12A2" w:rsidRPr="00F37527" w:rsidRDefault="00DA12A2" w:rsidP="00480FB1">
      <w:pPr>
        <w:tabs>
          <w:tab w:val="left" w:pos="540"/>
          <w:tab w:val="left" w:pos="569"/>
        </w:tabs>
        <w:rPr>
          <w:sz w:val="22"/>
          <w:szCs w:val="22"/>
        </w:rPr>
      </w:pPr>
    </w:p>
    <w:p w14:paraId="18BE86E5" w14:textId="6C78B399" w:rsidR="00EC2532" w:rsidRPr="00F37527" w:rsidRDefault="009D1AC7" w:rsidP="00480FB1">
      <w:pPr>
        <w:tabs>
          <w:tab w:val="left" w:pos="540"/>
          <w:tab w:val="left" w:pos="569"/>
        </w:tabs>
        <w:rPr>
          <w:sz w:val="22"/>
          <w:szCs w:val="22"/>
        </w:rPr>
      </w:pPr>
      <w:proofErr w:type="spellStart"/>
      <w:r w:rsidRPr="00F37527">
        <w:rPr>
          <w:sz w:val="22"/>
          <w:szCs w:val="22"/>
        </w:rPr>
        <w:t>Lijek</w:t>
      </w:r>
      <w:proofErr w:type="spellEnd"/>
      <w:r w:rsidRPr="00F37527">
        <w:rPr>
          <w:sz w:val="22"/>
          <w:szCs w:val="22"/>
        </w:rPr>
        <w:t xml:space="preserve"> </w:t>
      </w:r>
      <w:proofErr w:type="spellStart"/>
      <w:r w:rsidRPr="00F37527">
        <w:rPr>
          <w:sz w:val="22"/>
          <w:szCs w:val="22"/>
        </w:rPr>
        <w:t>čuvati</w:t>
      </w:r>
      <w:proofErr w:type="spellEnd"/>
      <w:r w:rsidRPr="00F37527">
        <w:rPr>
          <w:sz w:val="22"/>
          <w:szCs w:val="22"/>
        </w:rPr>
        <w:t xml:space="preserve"> </w:t>
      </w:r>
      <w:proofErr w:type="spellStart"/>
      <w:proofErr w:type="gramStart"/>
      <w:r w:rsidRPr="00F37527">
        <w:rPr>
          <w:sz w:val="22"/>
          <w:szCs w:val="22"/>
        </w:rPr>
        <w:t>na</w:t>
      </w:r>
      <w:proofErr w:type="spellEnd"/>
      <w:proofErr w:type="gramEnd"/>
      <w:r w:rsidRPr="00F37527">
        <w:rPr>
          <w:sz w:val="22"/>
          <w:szCs w:val="22"/>
        </w:rPr>
        <w:t xml:space="preserve"> </w:t>
      </w:r>
      <w:proofErr w:type="spellStart"/>
      <w:r w:rsidRPr="00F37527">
        <w:rPr>
          <w:sz w:val="22"/>
          <w:szCs w:val="22"/>
        </w:rPr>
        <w:t>temperaturi</w:t>
      </w:r>
      <w:proofErr w:type="spellEnd"/>
      <w:r w:rsidRPr="00F37527">
        <w:rPr>
          <w:sz w:val="22"/>
          <w:szCs w:val="22"/>
        </w:rPr>
        <w:t xml:space="preserve"> do 30°C.</w:t>
      </w:r>
    </w:p>
    <w:p w14:paraId="63AEAD4B" w14:textId="77777777" w:rsidR="009D1AC7" w:rsidRPr="00F37527" w:rsidRDefault="009D1AC7" w:rsidP="00480FB1">
      <w:pPr>
        <w:tabs>
          <w:tab w:val="left" w:pos="540"/>
          <w:tab w:val="left" w:pos="569"/>
        </w:tabs>
        <w:rPr>
          <w:bCs/>
          <w:sz w:val="22"/>
          <w:szCs w:val="22"/>
        </w:rPr>
      </w:pPr>
    </w:p>
    <w:p w14:paraId="18BE86E6" w14:textId="77777777" w:rsidR="0072020E" w:rsidRPr="00F37527" w:rsidRDefault="0072020E" w:rsidP="00480FB1">
      <w:pPr>
        <w:tabs>
          <w:tab w:val="left" w:pos="540"/>
          <w:tab w:val="left" w:pos="569"/>
        </w:tabs>
        <w:rPr>
          <w:b/>
          <w:bCs/>
          <w:sz w:val="22"/>
          <w:szCs w:val="22"/>
        </w:rPr>
      </w:pPr>
      <w:r w:rsidRPr="00F37527">
        <w:rPr>
          <w:b/>
          <w:bCs/>
          <w:sz w:val="22"/>
          <w:szCs w:val="22"/>
        </w:rPr>
        <w:t xml:space="preserve">6.5. </w:t>
      </w:r>
      <w:r w:rsidR="00480FB1" w:rsidRPr="00F37527">
        <w:rPr>
          <w:b/>
          <w:bCs/>
          <w:sz w:val="22"/>
          <w:szCs w:val="22"/>
        </w:rPr>
        <w:tab/>
      </w:r>
      <w:proofErr w:type="spellStart"/>
      <w:r w:rsidR="002846DB" w:rsidRPr="00F37527">
        <w:rPr>
          <w:b/>
          <w:bCs/>
          <w:sz w:val="22"/>
          <w:szCs w:val="22"/>
        </w:rPr>
        <w:t>Vrsta</w:t>
      </w:r>
      <w:proofErr w:type="spellEnd"/>
      <w:r w:rsidR="002846DB" w:rsidRPr="00F37527">
        <w:rPr>
          <w:b/>
          <w:bCs/>
          <w:sz w:val="22"/>
          <w:szCs w:val="22"/>
        </w:rPr>
        <w:t xml:space="preserve"> </w:t>
      </w:r>
      <w:proofErr w:type="spellStart"/>
      <w:r w:rsidR="002846DB" w:rsidRPr="00F37527">
        <w:rPr>
          <w:b/>
          <w:bCs/>
          <w:sz w:val="22"/>
          <w:szCs w:val="22"/>
        </w:rPr>
        <w:t>i</w:t>
      </w:r>
      <w:proofErr w:type="spellEnd"/>
      <w:r w:rsidR="002846DB" w:rsidRPr="00F37527">
        <w:rPr>
          <w:b/>
          <w:bCs/>
          <w:sz w:val="22"/>
          <w:szCs w:val="22"/>
        </w:rPr>
        <w:t xml:space="preserve"> </w:t>
      </w:r>
      <w:proofErr w:type="spellStart"/>
      <w:r w:rsidR="002846DB" w:rsidRPr="00F37527">
        <w:rPr>
          <w:b/>
          <w:bCs/>
          <w:sz w:val="22"/>
          <w:szCs w:val="22"/>
        </w:rPr>
        <w:t>sadržaj</w:t>
      </w:r>
      <w:proofErr w:type="spellEnd"/>
      <w:r w:rsidR="002846DB" w:rsidRPr="00F37527">
        <w:rPr>
          <w:b/>
          <w:bCs/>
          <w:sz w:val="22"/>
          <w:szCs w:val="22"/>
        </w:rPr>
        <w:t xml:space="preserve"> </w:t>
      </w:r>
      <w:proofErr w:type="spellStart"/>
      <w:r w:rsidR="00F8570A" w:rsidRPr="00F37527">
        <w:rPr>
          <w:b/>
          <w:bCs/>
          <w:sz w:val="22"/>
          <w:szCs w:val="22"/>
        </w:rPr>
        <w:t>pakovanja</w:t>
      </w:r>
      <w:proofErr w:type="spellEnd"/>
      <w:r w:rsidR="00C06864" w:rsidRPr="00F37527">
        <w:rPr>
          <w:b/>
          <w:bCs/>
          <w:sz w:val="22"/>
          <w:szCs w:val="22"/>
        </w:rPr>
        <w:t xml:space="preserve"> </w:t>
      </w:r>
    </w:p>
    <w:p w14:paraId="09426177" w14:textId="77777777" w:rsidR="00DA12A2" w:rsidRPr="00F37527" w:rsidRDefault="00DA12A2" w:rsidP="009D1AC7">
      <w:pPr>
        <w:pStyle w:val="Header"/>
        <w:tabs>
          <w:tab w:val="left" w:pos="284"/>
        </w:tabs>
        <w:rPr>
          <w:sz w:val="22"/>
          <w:szCs w:val="22"/>
          <w:lang w:val="sl-SI"/>
        </w:rPr>
      </w:pPr>
    </w:p>
    <w:p w14:paraId="59252633" w14:textId="2B8F0D75" w:rsidR="00DA12A2" w:rsidRPr="00F37527" w:rsidRDefault="00DA12A2" w:rsidP="00DA12A2">
      <w:pPr>
        <w:pStyle w:val="Header"/>
        <w:tabs>
          <w:tab w:val="left" w:pos="284"/>
        </w:tabs>
        <w:rPr>
          <w:sz w:val="22"/>
          <w:szCs w:val="22"/>
          <w:lang w:val="sl-SI"/>
        </w:rPr>
      </w:pPr>
      <w:r w:rsidRPr="00F37527">
        <w:rPr>
          <w:sz w:val="22"/>
          <w:szCs w:val="22"/>
          <w:lang w:val="sl-SI"/>
        </w:rPr>
        <w:t>Unutrašnje pakovanje je blister sa dvoslojnom folijom, laminiran polivinil hloridom koji sadrži 14 film</w:t>
      </w:r>
    </w:p>
    <w:p w14:paraId="013754C3" w14:textId="77777777" w:rsidR="00DA12A2" w:rsidRPr="00F37527" w:rsidRDefault="00DA12A2" w:rsidP="00DA12A2">
      <w:pPr>
        <w:pStyle w:val="Header"/>
        <w:tabs>
          <w:tab w:val="left" w:pos="284"/>
        </w:tabs>
        <w:rPr>
          <w:sz w:val="22"/>
          <w:szCs w:val="22"/>
          <w:lang w:val="sl-SI"/>
        </w:rPr>
      </w:pPr>
      <w:r w:rsidRPr="00F37527">
        <w:rPr>
          <w:sz w:val="22"/>
          <w:szCs w:val="22"/>
          <w:lang w:val="sl-SI"/>
        </w:rPr>
        <w:t>tableta.</w:t>
      </w:r>
    </w:p>
    <w:p w14:paraId="71CB1612" w14:textId="77777777" w:rsidR="00DA12A2" w:rsidRPr="00F37527" w:rsidRDefault="00DA12A2" w:rsidP="00DA12A2">
      <w:pPr>
        <w:pStyle w:val="Header"/>
        <w:tabs>
          <w:tab w:val="left" w:pos="284"/>
        </w:tabs>
        <w:rPr>
          <w:sz w:val="22"/>
          <w:szCs w:val="22"/>
          <w:lang w:val="sl-SI"/>
        </w:rPr>
      </w:pPr>
    </w:p>
    <w:p w14:paraId="52787DCD" w14:textId="6BAE8A46" w:rsidR="00DA12A2" w:rsidRPr="00F37527" w:rsidRDefault="00DA12A2" w:rsidP="0076441E">
      <w:pPr>
        <w:pStyle w:val="Header"/>
        <w:tabs>
          <w:tab w:val="left" w:pos="284"/>
        </w:tabs>
        <w:rPr>
          <w:sz w:val="22"/>
          <w:szCs w:val="22"/>
          <w:lang w:val="sl-SI"/>
        </w:rPr>
      </w:pPr>
      <w:r w:rsidRPr="00F37527">
        <w:rPr>
          <w:sz w:val="22"/>
          <w:szCs w:val="22"/>
          <w:lang w:val="sl-SI"/>
        </w:rPr>
        <w:t xml:space="preserve">Spoljašnje pakovanje je složiva kartonska kutija u kojoj se nalazi 2 blistera sa po 14 film tableta </w:t>
      </w:r>
      <w:r w:rsidR="00B5037C" w:rsidRPr="00F37527">
        <w:rPr>
          <w:sz w:val="22"/>
          <w:szCs w:val="22"/>
          <w:lang w:val="sl-SI"/>
        </w:rPr>
        <w:t>(</w:t>
      </w:r>
      <w:r w:rsidRPr="00F37527">
        <w:rPr>
          <w:sz w:val="22"/>
          <w:szCs w:val="22"/>
          <w:lang w:val="sl-SI"/>
        </w:rPr>
        <w:t>ukupno 28 film tableta) i Uputstvo za lijek.</w:t>
      </w:r>
    </w:p>
    <w:p w14:paraId="18BE86E7" w14:textId="77777777" w:rsidR="0072020E" w:rsidRPr="00F37527" w:rsidRDefault="0072020E" w:rsidP="00480FB1">
      <w:pPr>
        <w:tabs>
          <w:tab w:val="left" w:pos="540"/>
          <w:tab w:val="left" w:pos="569"/>
        </w:tabs>
        <w:rPr>
          <w:bCs/>
          <w:sz w:val="22"/>
          <w:szCs w:val="22"/>
          <w:lang w:val="sl-SI"/>
        </w:rPr>
      </w:pPr>
    </w:p>
    <w:p w14:paraId="18BE86E8" w14:textId="589F07AB" w:rsidR="002846DB" w:rsidRPr="00F37527" w:rsidRDefault="0072020E" w:rsidP="00480FB1">
      <w:pPr>
        <w:tabs>
          <w:tab w:val="left" w:pos="540"/>
          <w:tab w:val="left" w:pos="569"/>
        </w:tabs>
        <w:rPr>
          <w:b/>
          <w:bCs/>
          <w:sz w:val="22"/>
          <w:szCs w:val="22"/>
          <w:lang w:val="sl-SI"/>
        </w:rPr>
      </w:pPr>
      <w:r w:rsidRPr="00F37527">
        <w:rPr>
          <w:b/>
          <w:bCs/>
          <w:sz w:val="22"/>
          <w:szCs w:val="22"/>
          <w:lang w:val="sl-SI"/>
        </w:rPr>
        <w:t xml:space="preserve">6.6. </w:t>
      </w:r>
      <w:r w:rsidR="00480FB1" w:rsidRPr="00F37527">
        <w:rPr>
          <w:b/>
          <w:bCs/>
          <w:sz w:val="22"/>
          <w:szCs w:val="22"/>
          <w:lang w:val="sl-SI"/>
        </w:rPr>
        <w:tab/>
      </w:r>
      <w:r w:rsidRPr="00F37527">
        <w:rPr>
          <w:b/>
          <w:bCs/>
          <w:color w:val="000000"/>
          <w:sz w:val="22"/>
          <w:szCs w:val="22"/>
          <w:lang w:val="sl-SI"/>
        </w:rPr>
        <w:t>Posebne mjere opreza pri odlaganju materijala koji treba odbaciti nakon primjene lijeka</w:t>
      </w:r>
      <w:r w:rsidRPr="00F37527">
        <w:rPr>
          <w:b/>
          <w:bCs/>
          <w:sz w:val="22"/>
          <w:szCs w:val="22"/>
          <w:lang w:val="sl-SI"/>
        </w:rPr>
        <w:t xml:space="preserve"> </w:t>
      </w:r>
      <w:r w:rsidR="00310F03" w:rsidRPr="00F37527">
        <w:rPr>
          <w:b/>
          <w:bCs/>
          <w:sz w:val="22"/>
          <w:szCs w:val="22"/>
          <w:lang w:val="sl-SI"/>
        </w:rPr>
        <w:t>(i druga uputs</w:t>
      </w:r>
      <w:r w:rsidR="004109FA" w:rsidRPr="00F37527">
        <w:rPr>
          <w:b/>
          <w:bCs/>
          <w:sz w:val="22"/>
          <w:szCs w:val="22"/>
          <w:lang w:val="sl-SI"/>
        </w:rPr>
        <w:t>t</w:t>
      </w:r>
      <w:r w:rsidR="00310F03" w:rsidRPr="00F37527">
        <w:rPr>
          <w:b/>
          <w:bCs/>
          <w:sz w:val="22"/>
          <w:szCs w:val="22"/>
          <w:lang w:val="sl-SI"/>
        </w:rPr>
        <w:t xml:space="preserve">va za rukovanje lijekom) </w:t>
      </w:r>
    </w:p>
    <w:p w14:paraId="453C2362" w14:textId="77777777" w:rsidR="00DA12A2" w:rsidRPr="00F37527" w:rsidRDefault="00DA12A2" w:rsidP="009D1AC7">
      <w:pPr>
        <w:rPr>
          <w:sz w:val="22"/>
          <w:szCs w:val="22"/>
          <w:lang w:val="sl-SI"/>
        </w:rPr>
      </w:pPr>
    </w:p>
    <w:p w14:paraId="24D11960" w14:textId="125760AB" w:rsidR="00DA12A2" w:rsidRPr="00F37527" w:rsidRDefault="00DA12A2" w:rsidP="00480FB1">
      <w:pPr>
        <w:tabs>
          <w:tab w:val="left" w:pos="540"/>
          <w:tab w:val="left" w:pos="569"/>
        </w:tabs>
        <w:rPr>
          <w:sz w:val="22"/>
          <w:szCs w:val="22"/>
          <w:lang w:val="sl-SI"/>
        </w:rPr>
      </w:pPr>
      <w:r w:rsidRPr="00F37527">
        <w:rPr>
          <w:sz w:val="22"/>
          <w:szCs w:val="22"/>
          <w:lang w:val="sl-SI"/>
        </w:rPr>
        <w:t>Svu neiskorišćenu količinu lijeka ili otpadnog materijala nakon njegove upotrebe treba ukloniti, u skladu sa važećim propisima.</w:t>
      </w:r>
    </w:p>
    <w:p w14:paraId="18BE86EB" w14:textId="77777777" w:rsidR="00F8570A" w:rsidRPr="00F37527" w:rsidRDefault="0072020E" w:rsidP="00480FB1">
      <w:pPr>
        <w:tabs>
          <w:tab w:val="left" w:pos="540"/>
          <w:tab w:val="left" w:pos="569"/>
        </w:tabs>
        <w:rPr>
          <w:b/>
          <w:bCs/>
          <w:sz w:val="22"/>
          <w:szCs w:val="22"/>
          <w:lang w:val="sl-SI"/>
        </w:rPr>
      </w:pPr>
      <w:r w:rsidRPr="00F37527">
        <w:rPr>
          <w:b/>
          <w:bCs/>
          <w:sz w:val="22"/>
          <w:szCs w:val="22"/>
          <w:lang w:val="sl-SI"/>
        </w:rPr>
        <w:lastRenderedPageBreak/>
        <w:t xml:space="preserve">7. </w:t>
      </w:r>
      <w:r w:rsidR="00480FB1" w:rsidRPr="00F37527">
        <w:rPr>
          <w:b/>
          <w:bCs/>
          <w:sz w:val="22"/>
          <w:szCs w:val="22"/>
          <w:lang w:val="sl-SI"/>
        </w:rPr>
        <w:tab/>
      </w:r>
      <w:r w:rsidRPr="00F37527">
        <w:rPr>
          <w:b/>
          <w:bCs/>
          <w:sz w:val="22"/>
          <w:szCs w:val="22"/>
          <w:lang w:val="sl-SI"/>
        </w:rPr>
        <w:t>NOSILAC DOZVOLE</w:t>
      </w:r>
      <w:r w:rsidR="00483928" w:rsidRPr="00F37527">
        <w:rPr>
          <w:b/>
          <w:bCs/>
          <w:sz w:val="22"/>
          <w:szCs w:val="22"/>
          <w:lang w:val="sl-SI"/>
        </w:rPr>
        <w:t xml:space="preserve"> </w:t>
      </w:r>
    </w:p>
    <w:p w14:paraId="1EBA8D8A" w14:textId="77777777" w:rsidR="00DA12A2" w:rsidRPr="00F37527" w:rsidRDefault="00DA12A2" w:rsidP="004B3630">
      <w:pPr>
        <w:widowControl w:val="0"/>
        <w:autoSpaceDE w:val="0"/>
        <w:autoSpaceDN w:val="0"/>
        <w:rPr>
          <w:bCs/>
          <w:sz w:val="22"/>
          <w:szCs w:val="22"/>
          <w:lang w:val="sv-SE"/>
        </w:rPr>
      </w:pPr>
    </w:p>
    <w:p w14:paraId="0B797F52" w14:textId="623ECFE6" w:rsidR="004B3630" w:rsidRPr="00F37527" w:rsidRDefault="004B3630" w:rsidP="004B3630">
      <w:pPr>
        <w:widowControl w:val="0"/>
        <w:autoSpaceDE w:val="0"/>
        <w:autoSpaceDN w:val="0"/>
        <w:rPr>
          <w:bCs/>
          <w:sz w:val="22"/>
          <w:szCs w:val="22"/>
          <w:lang w:val="sl-SI"/>
        </w:rPr>
      </w:pPr>
      <w:r w:rsidRPr="00F37527">
        <w:rPr>
          <w:bCs/>
          <w:sz w:val="22"/>
          <w:szCs w:val="22"/>
          <w:lang w:val="sv-SE"/>
        </w:rPr>
        <w:t>Evropa Lek Pharma d.o.o. Podgoric</w:t>
      </w:r>
      <w:r w:rsidRPr="00F37527">
        <w:rPr>
          <w:bCs/>
          <w:sz w:val="22"/>
          <w:szCs w:val="22"/>
          <w:lang w:val="sr-Latn-CS"/>
        </w:rPr>
        <w:t>a</w:t>
      </w:r>
    </w:p>
    <w:p w14:paraId="18BE86EC" w14:textId="2ACE9168" w:rsidR="00C61BE0" w:rsidRPr="00F37527" w:rsidRDefault="004B3630" w:rsidP="00323C81">
      <w:pPr>
        <w:pStyle w:val="Header"/>
        <w:tabs>
          <w:tab w:val="left" w:pos="284"/>
        </w:tabs>
        <w:rPr>
          <w:bCs/>
          <w:sz w:val="22"/>
          <w:szCs w:val="22"/>
          <w:lang w:val="es-ES"/>
        </w:rPr>
      </w:pPr>
      <w:r w:rsidRPr="00F37527">
        <w:rPr>
          <w:bCs/>
          <w:sz w:val="22"/>
          <w:szCs w:val="22"/>
          <w:lang w:val="sv-SE"/>
        </w:rPr>
        <w:t xml:space="preserve">Kritskog odreda 4/1, </w:t>
      </w:r>
      <w:r w:rsidR="00323C81" w:rsidRPr="00F37527">
        <w:rPr>
          <w:bCs/>
          <w:sz w:val="22"/>
          <w:szCs w:val="22"/>
          <w:lang w:val="es-ES"/>
        </w:rPr>
        <w:t xml:space="preserve">81000 Podgorica, </w:t>
      </w:r>
      <w:proofErr w:type="spellStart"/>
      <w:r w:rsidR="00323C81" w:rsidRPr="00F37527">
        <w:rPr>
          <w:bCs/>
          <w:sz w:val="22"/>
          <w:szCs w:val="22"/>
          <w:lang w:val="es-ES"/>
        </w:rPr>
        <w:t>Crna</w:t>
      </w:r>
      <w:proofErr w:type="spellEnd"/>
      <w:r w:rsidR="00323C81" w:rsidRPr="00F37527">
        <w:rPr>
          <w:bCs/>
          <w:sz w:val="22"/>
          <w:szCs w:val="22"/>
          <w:lang w:val="es-ES"/>
        </w:rPr>
        <w:t xml:space="preserve"> </w:t>
      </w:r>
      <w:proofErr w:type="spellStart"/>
      <w:r w:rsidR="00323C81" w:rsidRPr="00F37527">
        <w:rPr>
          <w:bCs/>
          <w:sz w:val="22"/>
          <w:szCs w:val="22"/>
          <w:lang w:val="es-ES"/>
        </w:rPr>
        <w:t>Gora</w:t>
      </w:r>
      <w:proofErr w:type="spellEnd"/>
    </w:p>
    <w:p w14:paraId="18BE86ED" w14:textId="51F2ADC6" w:rsidR="00C37FD7" w:rsidRPr="00F37527" w:rsidRDefault="00C37FD7" w:rsidP="00480FB1">
      <w:pPr>
        <w:tabs>
          <w:tab w:val="left" w:pos="540"/>
          <w:tab w:val="left" w:pos="569"/>
        </w:tabs>
        <w:rPr>
          <w:bCs/>
          <w:sz w:val="22"/>
          <w:szCs w:val="22"/>
          <w:lang w:val="sl-SI"/>
        </w:rPr>
      </w:pPr>
    </w:p>
    <w:p w14:paraId="66015D6B" w14:textId="77777777" w:rsidR="00DA12A2" w:rsidRPr="00F37527" w:rsidRDefault="00DA12A2" w:rsidP="00480FB1">
      <w:pPr>
        <w:tabs>
          <w:tab w:val="left" w:pos="540"/>
          <w:tab w:val="left" w:pos="569"/>
        </w:tabs>
        <w:rPr>
          <w:bCs/>
          <w:sz w:val="22"/>
          <w:szCs w:val="22"/>
          <w:lang w:val="sl-SI"/>
        </w:rPr>
      </w:pPr>
    </w:p>
    <w:p w14:paraId="18BE86EE" w14:textId="77777777" w:rsidR="0072020E" w:rsidRPr="00F37527" w:rsidRDefault="0072020E" w:rsidP="00480FB1">
      <w:pPr>
        <w:tabs>
          <w:tab w:val="left" w:pos="540"/>
          <w:tab w:val="left" w:pos="569"/>
        </w:tabs>
        <w:rPr>
          <w:b/>
          <w:bCs/>
          <w:sz w:val="22"/>
          <w:szCs w:val="22"/>
          <w:lang w:val="sl-SI"/>
        </w:rPr>
      </w:pPr>
      <w:r w:rsidRPr="00F37527">
        <w:rPr>
          <w:b/>
          <w:bCs/>
          <w:sz w:val="22"/>
          <w:szCs w:val="22"/>
          <w:lang w:val="sl-SI"/>
        </w:rPr>
        <w:t xml:space="preserve">8. </w:t>
      </w:r>
      <w:r w:rsidR="00480FB1" w:rsidRPr="00F37527">
        <w:rPr>
          <w:b/>
          <w:bCs/>
          <w:sz w:val="22"/>
          <w:szCs w:val="22"/>
          <w:lang w:val="sl-SI"/>
        </w:rPr>
        <w:tab/>
      </w:r>
      <w:r w:rsidRPr="00F37527">
        <w:rPr>
          <w:b/>
          <w:bCs/>
          <w:sz w:val="22"/>
          <w:szCs w:val="22"/>
          <w:lang w:val="sl-SI"/>
        </w:rPr>
        <w:t>BROJ DOZVOLE</w:t>
      </w:r>
      <w:r w:rsidR="008A6D43" w:rsidRPr="00F37527">
        <w:rPr>
          <w:b/>
          <w:bCs/>
          <w:sz w:val="22"/>
          <w:szCs w:val="22"/>
          <w:lang w:val="sl-SI"/>
        </w:rPr>
        <w:t xml:space="preserve"> ZA STAVLJANJE LIJEKA U PROMET</w:t>
      </w:r>
    </w:p>
    <w:p w14:paraId="784C7F00" w14:textId="77777777" w:rsidR="00DA12A2" w:rsidRPr="00F37527" w:rsidRDefault="00DA12A2" w:rsidP="00323C81">
      <w:pPr>
        <w:spacing w:after="40"/>
        <w:rPr>
          <w:bCs/>
          <w:sz w:val="22"/>
          <w:szCs w:val="22"/>
          <w:lang w:val="sl-SI"/>
        </w:rPr>
      </w:pPr>
    </w:p>
    <w:p w14:paraId="18BE86F0" w14:textId="46126BA9" w:rsidR="00F45F77" w:rsidRPr="00F37527" w:rsidRDefault="00F37527" w:rsidP="00480FB1">
      <w:pPr>
        <w:tabs>
          <w:tab w:val="left" w:pos="540"/>
          <w:tab w:val="left" w:pos="569"/>
        </w:tabs>
        <w:rPr>
          <w:bCs/>
          <w:sz w:val="22"/>
          <w:szCs w:val="22"/>
          <w:lang w:val="sl-SI"/>
        </w:rPr>
      </w:pPr>
      <w:r>
        <w:rPr>
          <w:rFonts w:ascii="TimesNewRoman" w:hAnsi="TimesNewRoman" w:cs="TimesNewRoman"/>
          <w:sz w:val="22"/>
          <w:szCs w:val="22"/>
          <w:lang w:eastAsia="sr-Latn-ME"/>
        </w:rPr>
        <w:t>2030/24/863 - 8619</w:t>
      </w:r>
    </w:p>
    <w:p w14:paraId="145257E6" w14:textId="53C5502E" w:rsidR="00DA12A2" w:rsidRPr="00F37527" w:rsidRDefault="00DA12A2" w:rsidP="00480FB1">
      <w:pPr>
        <w:tabs>
          <w:tab w:val="left" w:pos="540"/>
          <w:tab w:val="left" w:pos="569"/>
        </w:tabs>
        <w:rPr>
          <w:bCs/>
          <w:sz w:val="22"/>
          <w:szCs w:val="22"/>
          <w:lang w:val="sl-SI"/>
        </w:rPr>
      </w:pPr>
      <w:bookmarkStart w:id="0" w:name="_GoBack"/>
      <w:bookmarkEnd w:id="0"/>
    </w:p>
    <w:p w14:paraId="53A1C8EE" w14:textId="77777777" w:rsidR="00DA12A2" w:rsidRPr="00F37527" w:rsidRDefault="00DA12A2" w:rsidP="00480FB1">
      <w:pPr>
        <w:tabs>
          <w:tab w:val="left" w:pos="540"/>
          <w:tab w:val="left" w:pos="569"/>
        </w:tabs>
        <w:rPr>
          <w:bCs/>
          <w:sz w:val="22"/>
          <w:szCs w:val="22"/>
          <w:lang w:val="sl-SI"/>
        </w:rPr>
      </w:pPr>
    </w:p>
    <w:p w14:paraId="18BE86F1" w14:textId="77777777" w:rsidR="0072020E" w:rsidRPr="00F37527" w:rsidRDefault="0072020E" w:rsidP="00480FB1">
      <w:pPr>
        <w:tabs>
          <w:tab w:val="left" w:pos="540"/>
          <w:tab w:val="left" w:pos="569"/>
        </w:tabs>
        <w:rPr>
          <w:b/>
          <w:bCs/>
          <w:sz w:val="22"/>
          <w:szCs w:val="22"/>
          <w:lang w:val="sl-SI"/>
        </w:rPr>
      </w:pPr>
      <w:r w:rsidRPr="00F37527">
        <w:rPr>
          <w:b/>
          <w:bCs/>
          <w:sz w:val="22"/>
          <w:szCs w:val="22"/>
          <w:lang w:val="sl-SI"/>
        </w:rPr>
        <w:t xml:space="preserve">9. </w:t>
      </w:r>
      <w:r w:rsidR="00480FB1" w:rsidRPr="00F37527">
        <w:rPr>
          <w:b/>
          <w:bCs/>
          <w:sz w:val="22"/>
          <w:szCs w:val="22"/>
          <w:lang w:val="sl-SI"/>
        </w:rPr>
        <w:tab/>
      </w:r>
      <w:r w:rsidRPr="00F37527">
        <w:rPr>
          <w:b/>
          <w:bCs/>
          <w:sz w:val="22"/>
          <w:szCs w:val="22"/>
          <w:lang w:val="sl-SI"/>
        </w:rPr>
        <w:t xml:space="preserve">DATUM </w:t>
      </w:r>
      <w:r w:rsidR="00C05DF8" w:rsidRPr="00F37527">
        <w:rPr>
          <w:b/>
          <w:bCs/>
          <w:sz w:val="22"/>
          <w:szCs w:val="22"/>
          <w:lang w:val="sl-SI"/>
        </w:rPr>
        <w:t xml:space="preserve">PRVE </w:t>
      </w:r>
      <w:r w:rsidR="008A6D43" w:rsidRPr="00F37527">
        <w:rPr>
          <w:b/>
          <w:bCs/>
          <w:sz w:val="22"/>
          <w:szCs w:val="22"/>
          <w:lang w:val="sl-SI"/>
        </w:rPr>
        <w:t>DOZVOLE</w:t>
      </w:r>
      <w:r w:rsidR="00C05DF8" w:rsidRPr="00F37527">
        <w:rPr>
          <w:b/>
          <w:bCs/>
          <w:sz w:val="22"/>
          <w:szCs w:val="22"/>
          <w:lang w:val="sl-SI"/>
        </w:rPr>
        <w:t>/OBNOVE DOZVOLE</w:t>
      </w:r>
      <w:r w:rsidR="008A6D43" w:rsidRPr="00F37527">
        <w:rPr>
          <w:b/>
          <w:bCs/>
          <w:sz w:val="22"/>
          <w:szCs w:val="22"/>
          <w:lang w:val="sl-SI"/>
        </w:rPr>
        <w:t xml:space="preserve"> ZA STAVLJANJE LIJEKA U PROMET</w:t>
      </w:r>
    </w:p>
    <w:p w14:paraId="18BE86F3" w14:textId="58DCA869" w:rsidR="00836B35" w:rsidRPr="00F37527" w:rsidRDefault="00836B35" w:rsidP="00480FB1">
      <w:pPr>
        <w:tabs>
          <w:tab w:val="left" w:pos="540"/>
          <w:tab w:val="left" w:pos="569"/>
        </w:tabs>
        <w:rPr>
          <w:bCs/>
          <w:sz w:val="22"/>
          <w:szCs w:val="22"/>
          <w:lang w:val="sl-SI"/>
        </w:rPr>
      </w:pPr>
    </w:p>
    <w:p w14:paraId="2435B6F0" w14:textId="1443D8D8" w:rsidR="00DA12A2" w:rsidRPr="00F37527" w:rsidRDefault="00DA12A2" w:rsidP="00480FB1">
      <w:pPr>
        <w:tabs>
          <w:tab w:val="left" w:pos="540"/>
          <w:tab w:val="left" w:pos="569"/>
        </w:tabs>
        <w:rPr>
          <w:bCs/>
          <w:sz w:val="22"/>
          <w:szCs w:val="22"/>
          <w:lang w:val="de-DE"/>
        </w:rPr>
      </w:pPr>
      <w:r w:rsidRPr="00F37527">
        <w:rPr>
          <w:bCs/>
          <w:sz w:val="22"/>
          <w:szCs w:val="22"/>
          <w:lang w:val="de-DE"/>
        </w:rPr>
        <w:t>Datum prve dozvole:</w:t>
      </w:r>
      <w:r w:rsidR="00F37527">
        <w:rPr>
          <w:bCs/>
          <w:sz w:val="22"/>
          <w:szCs w:val="22"/>
          <w:lang w:val="de-DE"/>
        </w:rPr>
        <w:t xml:space="preserve"> </w:t>
      </w:r>
      <w:r w:rsidR="00F37527">
        <w:rPr>
          <w:rFonts w:ascii="TimesNewRoman" w:hAnsi="TimesNewRoman" w:cs="TimesNewRoman"/>
          <w:sz w:val="22"/>
          <w:szCs w:val="22"/>
          <w:lang w:eastAsia="sr-Latn-ME"/>
        </w:rPr>
        <w:t xml:space="preserve">27.06.2013. </w:t>
      </w:r>
      <w:proofErr w:type="spellStart"/>
      <w:proofErr w:type="gramStart"/>
      <w:r w:rsidR="00F37527">
        <w:rPr>
          <w:rFonts w:ascii="TimesNewRoman" w:hAnsi="TimesNewRoman" w:cs="TimesNewRoman"/>
          <w:sz w:val="22"/>
          <w:szCs w:val="22"/>
          <w:lang w:eastAsia="sr-Latn-ME"/>
        </w:rPr>
        <w:t>godine</w:t>
      </w:r>
      <w:proofErr w:type="spellEnd"/>
      <w:proofErr w:type="gramEnd"/>
    </w:p>
    <w:p w14:paraId="7F6C90F2" w14:textId="78E99C2B" w:rsidR="00DA12A2" w:rsidRPr="00F37527" w:rsidRDefault="00DA12A2" w:rsidP="00480FB1">
      <w:pPr>
        <w:tabs>
          <w:tab w:val="left" w:pos="540"/>
          <w:tab w:val="left" w:pos="569"/>
        </w:tabs>
        <w:rPr>
          <w:bCs/>
          <w:sz w:val="22"/>
          <w:szCs w:val="22"/>
          <w:lang w:val="de-DE"/>
        </w:rPr>
      </w:pPr>
      <w:r w:rsidRPr="00F37527">
        <w:rPr>
          <w:bCs/>
          <w:sz w:val="22"/>
          <w:szCs w:val="22"/>
          <w:lang w:val="de-DE"/>
        </w:rPr>
        <w:t>Datum poslednje obnove dozvole:</w:t>
      </w:r>
      <w:r w:rsidR="00F37527">
        <w:rPr>
          <w:bCs/>
          <w:sz w:val="22"/>
          <w:szCs w:val="22"/>
          <w:lang w:val="de-DE"/>
        </w:rPr>
        <w:t xml:space="preserve"> </w:t>
      </w:r>
      <w:r w:rsidR="00F37527">
        <w:rPr>
          <w:rFonts w:ascii="TimesNewRoman" w:hAnsi="TimesNewRoman" w:cs="TimesNewRoman"/>
          <w:sz w:val="22"/>
          <w:szCs w:val="22"/>
          <w:lang w:eastAsia="sr-Latn-ME"/>
        </w:rPr>
        <w:t xml:space="preserve">20.02.2024. </w:t>
      </w:r>
      <w:proofErr w:type="spellStart"/>
      <w:proofErr w:type="gramStart"/>
      <w:r w:rsidR="00F37527">
        <w:rPr>
          <w:rFonts w:ascii="TimesNewRoman" w:hAnsi="TimesNewRoman" w:cs="TimesNewRoman"/>
          <w:sz w:val="22"/>
          <w:szCs w:val="22"/>
          <w:lang w:eastAsia="sr-Latn-ME"/>
        </w:rPr>
        <w:t>godine</w:t>
      </w:r>
      <w:proofErr w:type="spellEnd"/>
      <w:proofErr w:type="gramEnd"/>
    </w:p>
    <w:p w14:paraId="1BC02A8C" w14:textId="77777777" w:rsidR="00DA12A2" w:rsidRPr="00F37527" w:rsidRDefault="00DA12A2" w:rsidP="00480FB1">
      <w:pPr>
        <w:tabs>
          <w:tab w:val="left" w:pos="540"/>
          <w:tab w:val="left" w:pos="569"/>
        </w:tabs>
        <w:rPr>
          <w:bCs/>
          <w:sz w:val="22"/>
          <w:szCs w:val="22"/>
          <w:lang w:val="de-DE"/>
        </w:rPr>
      </w:pPr>
    </w:p>
    <w:p w14:paraId="476644F3" w14:textId="77777777" w:rsidR="00DA12A2" w:rsidRPr="00F37527" w:rsidRDefault="00DA12A2" w:rsidP="00480FB1">
      <w:pPr>
        <w:tabs>
          <w:tab w:val="left" w:pos="540"/>
          <w:tab w:val="left" w:pos="569"/>
        </w:tabs>
        <w:rPr>
          <w:bCs/>
          <w:sz w:val="22"/>
          <w:szCs w:val="22"/>
          <w:lang w:val="de-DE"/>
        </w:rPr>
      </w:pPr>
    </w:p>
    <w:p w14:paraId="18BE86F4" w14:textId="77777777" w:rsidR="003F6A59" w:rsidRPr="00F37527" w:rsidRDefault="0072020E" w:rsidP="00C05DF8">
      <w:pPr>
        <w:tabs>
          <w:tab w:val="left" w:pos="540"/>
          <w:tab w:val="left" w:pos="569"/>
        </w:tabs>
        <w:ind w:left="540" w:hanging="540"/>
        <w:rPr>
          <w:bCs/>
          <w:sz w:val="22"/>
          <w:szCs w:val="22"/>
        </w:rPr>
      </w:pPr>
      <w:r w:rsidRPr="00F37527">
        <w:rPr>
          <w:b/>
          <w:bCs/>
          <w:sz w:val="22"/>
          <w:szCs w:val="22"/>
        </w:rPr>
        <w:t xml:space="preserve">10. </w:t>
      </w:r>
      <w:r w:rsidR="00480FB1" w:rsidRPr="00F37527">
        <w:rPr>
          <w:b/>
          <w:bCs/>
          <w:sz w:val="22"/>
          <w:szCs w:val="22"/>
        </w:rPr>
        <w:tab/>
      </w:r>
      <w:r w:rsidR="002846DB" w:rsidRPr="00F37527">
        <w:rPr>
          <w:b/>
          <w:bCs/>
          <w:sz w:val="22"/>
          <w:szCs w:val="22"/>
        </w:rPr>
        <w:t>D</w:t>
      </w:r>
      <w:r w:rsidR="00EC2532" w:rsidRPr="00F37527">
        <w:rPr>
          <w:b/>
          <w:bCs/>
          <w:sz w:val="22"/>
          <w:szCs w:val="22"/>
        </w:rPr>
        <w:t xml:space="preserve">ATUM REVIZIJE TEKSTA </w:t>
      </w:r>
    </w:p>
    <w:p w14:paraId="18BE86F5" w14:textId="77777777" w:rsidR="003F6A59" w:rsidRPr="00F37527" w:rsidRDefault="003F6A59" w:rsidP="00480FB1">
      <w:pPr>
        <w:tabs>
          <w:tab w:val="left" w:pos="540"/>
          <w:tab w:val="left" w:pos="569"/>
        </w:tabs>
        <w:rPr>
          <w:bCs/>
          <w:sz w:val="22"/>
          <w:szCs w:val="22"/>
        </w:rPr>
      </w:pPr>
    </w:p>
    <w:p w14:paraId="18BE86FD" w14:textId="4ABC5831" w:rsidR="003F6A59" w:rsidRPr="00F37527" w:rsidRDefault="00F37527" w:rsidP="00DE3F5C">
      <w:pPr>
        <w:rPr>
          <w:sz w:val="22"/>
          <w:szCs w:val="22"/>
          <w:lang w:val="pl-PL"/>
        </w:rPr>
      </w:pPr>
      <w:r>
        <w:rPr>
          <w:sz w:val="22"/>
          <w:szCs w:val="22"/>
          <w:lang w:val="pl-PL"/>
        </w:rPr>
        <w:t>Februar, 2024. godine</w:t>
      </w:r>
    </w:p>
    <w:sectPr w:rsidR="003F6A59" w:rsidRPr="00F37527"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E28FB" w14:textId="77777777" w:rsidR="002310E1" w:rsidRDefault="002310E1">
      <w:r>
        <w:separator/>
      </w:r>
    </w:p>
  </w:endnote>
  <w:endnote w:type="continuationSeparator" w:id="0">
    <w:p w14:paraId="2B9601D2" w14:textId="77777777" w:rsidR="002310E1" w:rsidRDefault="0023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8704" w14:textId="61B29102" w:rsidR="00AF7642" w:rsidRPr="00B23F69" w:rsidRDefault="00AF764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97A90">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97A90">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89E0D" w14:textId="77777777" w:rsidR="002310E1" w:rsidRDefault="002310E1">
      <w:r>
        <w:separator/>
      </w:r>
    </w:p>
  </w:footnote>
  <w:footnote w:type="continuationSeparator" w:id="0">
    <w:p w14:paraId="13970408" w14:textId="77777777" w:rsidR="002310E1" w:rsidRDefault="00231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5.9pt;height:13.55pt;visibility:visible" o:bullet="t">
        <v:imagedata r:id="rId1" o:title="BT_1000x858px"/>
      </v:shape>
    </w:pict>
  </w:numPicBullet>
  <w:abstractNum w:abstractNumId="0" w15:restartNumberingAfterBreak="0">
    <w:nsid w:val="0171706F"/>
    <w:multiLevelType w:val="hybridMultilevel"/>
    <w:tmpl w:val="F1525A54"/>
    <w:lvl w:ilvl="0" w:tplc="081A0001">
      <w:start w:val="1"/>
      <w:numFmt w:val="bullet"/>
      <w:lvlText w:val=""/>
      <w:lvlJc w:val="left"/>
      <w:pPr>
        <w:tabs>
          <w:tab w:val="num" w:pos="360"/>
        </w:tabs>
        <w:ind w:left="360" w:hanging="360"/>
      </w:pPr>
      <w:rPr>
        <w:rFonts w:ascii="Symbol" w:hAnsi="Symbol" w:hint="default"/>
      </w:rPr>
    </w:lvl>
    <w:lvl w:ilvl="1" w:tplc="081A0003">
      <w:start w:val="1"/>
      <w:numFmt w:val="bullet"/>
      <w:lvlText w:val="o"/>
      <w:lvlJc w:val="left"/>
      <w:pPr>
        <w:tabs>
          <w:tab w:val="num" w:pos="1080"/>
        </w:tabs>
        <w:ind w:left="1080" w:hanging="360"/>
      </w:pPr>
      <w:rPr>
        <w:rFonts w:ascii="Courier New" w:hAnsi="Courier New" w:cs="Courier New" w:hint="default"/>
      </w:rPr>
    </w:lvl>
    <w:lvl w:ilvl="2" w:tplc="081A0005">
      <w:start w:val="1"/>
      <w:numFmt w:val="bullet"/>
      <w:lvlText w:val=""/>
      <w:lvlJc w:val="left"/>
      <w:pPr>
        <w:tabs>
          <w:tab w:val="num" w:pos="1800"/>
        </w:tabs>
        <w:ind w:left="1800" w:hanging="360"/>
      </w:pPr>
      <w:rPr>
        <w:rFonts w:ascii="Wingdings" w:hAnsi="Wingdings" w:hint="default"/>
      </w:rPr>
    </w:lvl>
    <w:lvl w:ilvl="3" w:tplc="081A0001">
      <w:start w:val="1"/>
      <w:numFmt w:val="bullet"/>
      <w:lvlText w:val=""/>
      <w:lvlJc w:val="left"/>
      <w:pPr>
        <w:tabs>
          <w:tab w:val="num" w:pos="2520"/>
        </w:tabs>
        <w:ind w:left="2520" w:hanging="360"/>
      </w:pPr>
      <w:rPr>
        <w:rFonts w:ascii="Symbol" w:hAnsi="Symbol" w:hint="default"/>
      </w:rPr>
    </w:lvl>
    <w:lvl w:ilvl="4" w:tplc="081A0003">
      <w:start w:val="1"/>
      <w:numFmt w:val="bullet"/>
      <w:lvlText w:val="o"/>
      <w:lvlJc w:val="left"/>
      <w:pPr>
        <w:tabs>
          <w:tab w:val="num" w:pos="3240"/>
        </w:tabs>
        <w:ind w:left="3240" w:hanging="360"/>
      </w:pPr>
      <w:rPr>
        <w:rFonts w:ascii="Courier New" w:hAnsi="Courier New" w:cs="Courier New" w:hint="default"/>
      </w:rPr>
    </w:lvl>
    <w:lvl w:ilvl="5" w:tplc="081A0005">
      <w:start w:val="1"/>
      <w:numFmt w:val="bullet"/>
      <w:lvlText w:val=""/>
      <w:lvlJc w:val="left"/>
      <w:pPr>
        <w:tabs>
          <w:tab w:val="num" w:pos="3960"/>
        </w:tabs>
        <w:ind w:left="3960" w:hanging="360"/>
      </w:pPr>
      <w:rPr>
        <w:rFonts w:ascii="Wingdings" w:hAnsi="Wingdings" w:hint="default"/>
      </w:rPr>
    </w:lvl>
    <w:lvl w:ilvl="6" w:tplc="081A0001">
      <w:start w:val="1"/>
      <w:numFmt w:val="bullet"/>
      <w:lvlText w:val=""/>
      <w:lvlJc w:val="left"/>
      <w:pPr>
        <w:tabs>
          <w:tab w:val="num" w:pos="4680"/>
        </w:tabs>
        <w:ind w:left="4680" w:hanging="360"/>
      </w:pPr>
      <w:rPr>
        <w:rFonts w:ascii="Symbol" w:hAnsi="Symbol" w:hint="default"/>
      </w:rPr>
    </w:lvl>
    <w:lvl w:ilvl="7" w:tplc="081A0003">
      <w:start w:val="1"/>
      <w:numFmt w:val="bullet"/>
      <w:lvlText w:val="o"/>
      <w:lvlJc w:val="left"/>
      <w:pPr>
        <w:tabs>
          <w:tab w:val="num" w:pos="5400"/>
        </w:tabs>
        <w:ind w:left="5400" w:hanging="360"/>
      </w:pPr>
      <w:rPr>
        <w:rFonts w:ascii="Courier New" w:hAnsi="Courier New" w:cs="Courier New" w:hint="default"/>
      </w:rPr>
    </w:lvl>
    <w:lvl w:ilvl="8" w:tplc="081A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593210"/>
    <w:multiLevelType w:val="hybridMultilevel"/>
    <w:tmpl w:val="1706B6FC"/>
    <w:lvl w:ilvl="0" w:tplc="12DAA3B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34C4A9E"/>
    <w:multiLevelType w:val="hybridMultilevel"/>
    <w:tmpl w:val="97DA0FE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1"/>
  </w:num>
  <w:num w:numId="5">
    <w:abstractNumId w:val="6"/>
  </w:num>
  <w:num w:numId="6">
    <w:abstractNumId w:val="2"/>
  </w:num>
  <w:num w:numId="7">
    <w:abstractNumId w:val="9"/>
  </w:num>
  <w:num w:numId="8">
    <w:abstractNumId w:val="5"/>
  </w:num>
  <w:num w:numId="9">
    <w:abstractNumId w:val="8"/>
  </w:num>
  <w:num w:numId="10">
    <w:abstractNumId w:val="13"/>
  </w:num>
  <w:num w:numId="11">
    <w:abstractNumId w:val="7"/>
  </w:num>
  <w:num w:numId="12">
    <w:abstractNumId w:val="0"/>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A3F58"/>
    <w:rsid w:val="000B6106"/>
    <w:rsid w:val="000D2343"/>
    <w:rsid w:val="000D3449"/>
    <w:rsid w:val="000D425A"/>
    <w:rsid w:val="000D56C9"/>
    <w:rsid w:val="000D60CC"/>
    <w:rsid w:val="000E2084"/>
    <w:rsid w:val="000E6F55"/>
    <w:rsid w:val="000F77FA"/>
    <w:rsid w:val="00107BF7"/>
    <w:rsid w:val="00126F53"/>
    <w:rsid w:val="0014766D"/>
    <w:rsid w:val="001536CC"/>
    <w:rsid w:val="00167180"/>
    <w:rsid w:val="001A3FBA"/>
    <w:rsid w:val="001A5518"/>
    <w:rsid w:val="001B1C6A"/>
    <w:rsid w:val="001B73A5"/>
    <w:rsid w:val="001C1263"/>
    <w:rsid w:val="001C1417"/>
    <w:rsid w:val="001E298F"/>
    <w:rsid w:val="001E390B"/>
    <w:rsid w:val="001F42FB"/>
    <w:rsid w:val="001F719A"/>
    <w:rsid w:val="002014CA"/>
    <w:rsid w:val="002031B3"/>
    <w:rsid w:val="00215931"/>
    <w:rsid w:val="00224C91"/>
    <w:rsid w:val="00227BDB"/>
    <w:rsid w:val="002310E1"/>
    <w:rsid w:val="00234CB1"/>
    <w:rsid w:val="002352F8"/>
    <w:rsid w:val="00244B55"/>
    <w:rsid w:val="002510A5"/>
    <w:rsid w:val="00254A0A"/>
    <w:rsid w:val="00266046"/>
    <w:rsid w:val="002846DB"/>
    <w:rsid w:val="00284CCD"/>
    <w:rsid w:val="002A772C"/>
    <w:rsid w:val="002C6637"/>
    <w:rsid w:val="002D30C2"/>
    <w:rsid w:val="002E0135"/>
    <w:rsid w:val="002E37A5"/>
    <w:rsid w:val="00305AB2"/>
    <w:rsid w:val="00310F03"/>
    <w:rsid w:val="003239E4"/>
    <w:rsid w:val="00323C81"/>
    <w:rsid w:val="003247D2"/>
    <w:rsid w:val="003445C1"/>
    <w:rsid w:val="00355B61"/>
    <w:rsid w:val="00362686"/>
    <w:rsid w:val="00371510"/>
    <w:rsid w:val="00380F58"/>
    <w:rsid w:val="00394C0D"/>
    <w:rsid w:val="00396DFD"/>
    <w:rsid w:val="00397A90"/>
    <w:rsid w:val="003A7059"/>
    <w:rsid w:val="003B0E98"/>
    <w:rsid w:val="003B30DC"/>
    <w:rsid w:val="003B7A36"/>
    <w:rsid w:val="003C17AB"/>
    <w:rsid w:val="003C7823"/>
    <w:rsid w:val="003E1DCC"/>
    <w:rsid w:val="003F11A1"/>
    <w:rsid w:val="003F6A59"/>
    <w:rsid w:val="004065C8"/>
    <w:rsid w:val="004109FA"/>
    <w:rsid w:val="00411B4B"/>
    <w:rsid w:val="00415BEE"/>
    <w:rsid w:val="00427F85"/>
    <w:rsid w:val="00430523"/>
    <w:rsid w:val="00436F42"/>
    <w:rsid w:val="004378B4"/>
    <w:rsid w:val="00451314"/>
    <w:rsid w:val="00452E9D"/>
    <w:rsid w:val="004534C7"/>
    <w:rsid w:val="0045403B"/>
    <w:rsid w:val="004671AA"/>
    <w:rsid w:val="00470D21"/>
    <w:rsid w:val="00480FB1"/>
    <w:rsid w:val="00483928"/>
    <w:rsid w:val="004B3630"/>
    <w:rsid w:val="004B5A7D"/>
    <w:rsid w:val="004C331F"/>
    <w:rsid w:val="004C6E14"/>
    <w:rsid w:val="004D6103"/>
    <w:rsid w:val="004D6E53"/>
    <w:rsid w:val="004E3BCE"/>
    <w:rsid w:val="004E70AD"/>
    <w:rsid w:val="004F0E97"/>
    <w:rsid w:val="00501DD1"/>
    <w:rsid w:val="00515C21"/>
    <w:rsid w:val="00530BD7"/>
    <w:rsid w:val="00545CD2"/>
    <w:rsid w:val="005476F3"/>
    <w:rsid w:val="005524AC"/>
    <w:rsid w:val="00572527"/>
    <w:rsid w:val="00573E40"/>
    <w:rsid w:val="00576348"/>
    <w:rsid w:val="005855A4"/>
    <w:rsid w:val="005A0B2E"/>
    <w:rsid w:val="005A23D2"/>
    <w:rsid w:val="005A36CB"/>
    <w:rsid w:val="005B49B8"/>
    <w:rsid w:val="005C0741"/>
    <w:rsid w:val="005C5EF4"/>
    <w:rsid w:val="005E2E0B"/>
    <w:rsid w:val="005E7A7D"/>
    <w:rsid w:val="005F461D"/>
    <w:rsid w:val="00602457"/>
    <w:rsid w:val="00644FC3"/>
    <w:rsid w:val="00646BD1"/>
    <w:rsid w:val="006561C2"/>
    <w:rsid w:val="00671CB3"/>
    <w:rsid w:val="00674BAF"/>
    <w:rsid w:val="00682200"/>
    <w:rsid w:val="00692BF6"/>
    <w:rsid w:val="006A1497"/>
    <w:rsid w:val="006B0BD1"/>
    <w:rsid w:val="006B5404"/>
    <w:rsid w:val="006D20A5"/>
    <w:rsid w:val="006D37BF"/>
    <w:rsid w:val="006D3FD0"/>
    <w:rsid w:val="00702E22"/>
    <w:rsid w:val="0072020E"/>
    <w:rsid w:val="007405D5"/>
    <w:rsid w:val="00742C83"/>
    <w:rsid w:val="007475C7"/>
    <w:rsid w:val="0076441E"/>
    <w:rsid w:val="00786071"/>
    <w:rsid w:val="007A3ECB"/>
    <w:rsid w:val="007D7BB3"/>
    <w:rsid w:val="00824AB9"/>
    <w:rsid w:val="00836B35"/>
    <w:rsid w:val="00843BDE"/>
    <w:rsid w:val="00845D04"/>
    <w:rsid w:val="0087588C"/>
    <w:rsid w:val="0089705C"/>
    <w:rsid w:val="008A6D43"/>
    <w:rsid w:val="008B491E"/>
    <w:rsid w:val="008C1A28"/>
    <w:rsid w:val="008C2E98"/>
    <w:rsid w:val="008E49BD"/>
    <w:rsid w:val="008E53E9"/>
    <w:rsid w:val="008E5771"/>
    <w:rsid w:val="008F4ACF"/>
    <w:rsid w:val="00924166"/>
    <w:rsid w:val="00934D44"/>
    <w:rsid w:val="00940B9B"/>
    <w:rsid w:val="00947135"/>
    <w:rsid w:val="0095676E"/>
    <w:rsid w:val="00956983"/>
    <w:rsid w:val="00963CF0"/>
    <w:rsid w:val="00963E95"/>
    <w:rsid w:val="00964BB1"/>
    <w:rsid w:val="009744C5"/>
    <w:rsid w:val="009775D9"/>
    <w:rsid w:val="00997175"/>
    <w:rsid w:val="009A1847"/>
    <w:rsid w:val="009B062A"/>
    <w:rsid w:val="009B457D"/>
    <w:rsid w:val="009C5662"/>
    <w:rsid w:val="009D1AC7"/>
    <w:rsid w:val="009E7C6F"/>
    <w:rsid w:val="009F1793"/>
    <w:rsid w:val="009F2D23"/>
    <w:rsid w:val="00A01D69"/>
    <w:rsid w:val="00A02335"/>
    <w:rsid w:val="00A02F86"/>
    <w:rsid w:val="00A17228"/>
    <w:rsid w:val="00A46C9A"/>
    <w:rsid w:val="00A619F3"/>
    <w:rsid w:val="00A62A73"/>
    <w:rsid w:val="00A87FF6"/>
    <w:rsid w:val="00A94122"/>
    <w:rsid w:val="00AA0A3B"/>
    <w:rsid w:val="00AA2763"/>
    <w:rsid w:val="00AA33B6"/>
    <w:rsid w:val="00AA4D4B"/>
    <w:rsid w:val="00AB50CA"/>
    <w:rsid w:val="00AB6D64"/>
    <w:rsid w:val="00AC53CE"/>
    <w:rsid w:val="00AD2193"/>
    <w:rsid w:val="00AD62A2"/>
    <w:rsid w:val="00AF2AC7"/>
    <w:rsid w:val="00AF5158"/>
    <w:rsid w:val="00AF74CE"/>
    <w:rsid w:val="00AF7642"/>
    <w:rsid w:val="00B208DB"/>
    <w:rsid w:val="00B23F69"/>
    <w:rsid w:val="00B5037C"/>
    <w:rsid w:val="00B60619"/>
    <w:rsid w:val="00B66A70"/>
    <w:rsid w:val="00B67366"/>
    <w:rsid w:val="00B80EE1"/>
    <w:rsid w:val="00B84135"/>
    <w:rsid w:val="00BC57A0"/>
    <w:rsid w:val="00C04D34"/>
    <w:rsid w:val="00C05DF8"/>
    <w:rsid w:val="00C06864"/>
    <w:rsid w:val="00C10F54"/>
    <w:rsid w:val="00C23D8D"/>
    <w:rsid w:val="00C37AA3"/>
    <w:rsid w:val="00C37FD7"/>
    <w:rsid w:val="00C43361"/>
    <w:rsid w:val="00C43419"/>
    <w:rsid w:val="00C44CF3"/>
    <w:rsid w:val="00C61BE0"/>
    <w:rsid w:val="00C6707E"/>
    <w:rsid w:val="00C70B0E"/>
    <w:rsid w:val="00C773CA"/>
    <w:rsid w:val="00C83785"/>
    <w:rsid w:val="00C84E03"/>
    <w:rsid w:val="00C94C0D"/>
    <w:rsid w:val="00CA1FEB"/>
    <w:rsid w:val="00CD4F85"/>
    <w:rsid w:val="00CD6F02"/>
    <w:rsid w:val="00CE246D"/>
    <w:rsid w:val="00CF07A0"/>
    <w:rsid w:val="00CF3E03"/>
    <w:rsid w:val="00CF7738"/>
    <w:rsid w:val="00CF7A1F"/>
    <w:rsid w:val="00D0082A"/>
    <w:rsid w:val="00D13202"/>
    <w:rsid w:val="00D21455"/>
    <w:rsid w:val="00D34290"/>
    <w:rsid w:val="00D47634"/>
    <w:rsid w:val="00D709B3"/>
    <w:rsid w:val="00DA12A2"/>
    <w:rsid w:val="00DA2ED6"/>
    <w:rsid w:val="00DB76B8"/>
    <w:rsid w:val="00DC22E7"/>
    <w:rsid w:val="00DC2EA1"/>
    <w:rsid w:val="00DD6AAF"/>
    <w:rsid w:val="00DE2D6A"/>
    <w:rsid w:val="00DE3F5C"/>
    <w:rsid w:val="00DF1D20"/>
    <w:rsid w:val="00E112EF"/>
    <w:rsid w:val="00E21324"/>
    <w:rsid w:val="00E234DA"/>
    <w:rsid w:val="00E246B9"/>
    <w:rsid w:val="00E31FEA"/>
    <w:rsid w:val="00E45169"/>
    <w:rsid w:val="00E47787"/>
    <w:rsid w:val="00E51C30"/>
    <w:rsid w:val="00E64180"/>
    <w:rsid w:val="00E74AEE"/>
    <w:rsid w:val="00E80E72"/>
    <w:rsid w:val="00E868E5"/>
    <w:rsid w:val="00E9237A"/>
    <w:rsid w:val="00E939FA"/>
    <w:rsid w:val="00EA5765"/>
    <w:rsid w:val="00EC2532"/>
    <w:rsid w:val="00ED6E58"/>
    <w:rsid w:val="00ED7812"/>
    <w:rsid w:val="00EF3B86"/>
    <w:rsid w:val="00EF44DD"/>
    <w:rsid w:val="00F317E9"/>
    <w:rsid w:val="00F34554"/>
    <w:rsid w:val="00F37527"/>
    <w:rsid w:val="00F45F77"/>
    <w:rsid w:val="00F5167F"/>
    <w:rsid w:val="00F52258"/>
    <w:rsid w:val="00F8570A"/>
    <w:rsid w:val="00F91C7B"/>
    <w:rsid w:val="00FC2B73"/>
    <w:rsid w:val="00FD543C"/>
    <w:rsid w:val="00FE6A91"/>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E868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AA4D4B"/>
    <w:rPr>
      <w:sz w:val="24"/>
      <w:szCs w:val="24"/>
      <w:lang w:val="en-US" w:eastAsia="en-US"/>
    </w:rPr>
  </w:style>
  <w:style w:type="paragraph" w:styleId="ListParagraph">
    <w:name w:val="List Paragraph"/>
    <w:basedOn w:val="Normal"/>
    <w:uiPriority w:val="34"/>
    <w:qFormat/>
    <w:rsid w:val="00AF7642"/>
    <w:pPr>
      <w:ind w:left="720"/>
      <w:contextualSpacing/>
    </w:pPr>
  </w:style>
  <w:style w:type="paragraph" w:styleId="Revision">
    <w:name w:val="Revision"/>
    <w:hidden/>
    <w:uiPriority w:val="99"/>
    <w:semiHidden/>
    <w:rsid w:val="0076441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122">
      <w:bodyDiv w:val="1"/>
      <w:marLeft w:val="0"/>
      <w:marRight w:val="0"/>
      <w:marTop w:val="0"/>
      <w:marBottom w:val="0"/>
      <w:divBdr>
        <w:top w:val="none" w:sz="0" w:space="0" w:color="auto"/>
        <w:left w:val="none" w:sz="0" w:space="0" w:color="auto"/>
        <w:bottom w:val="none" w:sz="0" w:space="0" w:color="auto"/>
        <w:right w:val="none" w:sz="0" w:space="0" w:color="auto"/>
      </w:divBdr>
    </w:div>
    <w:div w:id="72820395">
      <w:bodyDiv w:val="1"/>
      <w:marLeft w:val="0"/>
      <w:marRight w:val="0"/>
      <w:marTop w:val="0"/>
      <w:marBottom w:val="0"/>
      <w:divBdr>
        <w:top w:val="none" w:sz="0" w:space="0" w:color="auto"/>
        <w:left w:val="none" w:sz="0" w:space="0" w:color="auto"/>
        <w:bottom w:val="none" w:sz="0" w:space="0" w:color="auto"/>
        <w:right w:val="none" w:sz="0" w:space="0" w:color="auto"/>
      </w:divBdr>
    </w:div>
    <w:div w:id="145710149">
      <w:bodyDiv w:val="1"/>
      <w:marLeft w:val="0"/>
      <w:marRight w:val="0"/>
      <w:marTop w:val="0"/>
      <w:marBottom w:val="0"/>
      <w:divBdr>
        <w:top w:val="none" w:sz="0" w:space="0" w:color="auto"/>
        <w:left w:val="none" w:sz="0" w:space="0" w:color="auto"/>
        <w:bottom w:val="none" w:sz="0" w:space="0" w:color="auto"/>
        <w:right w:val="none" w:sz="0" w:space="0" w:color="auto"/>
      </w:divBdr>
    </w:div>
    <w:div w:id="166557686">
      <w:bodyDiv w:val="1"/>
      <w:marLeft w:val="0"/>
      <w:marRight w:val="0"/>
      <w:marTop w:val="0"/>
      <w:marBottom w:val="0"/>
      <w:divBdr>
        <w:top w:val="none" w:sz="0" w:space="0" w:color="auto"/>
        <w:left w:val="none" w:sz="0" w:space="0" w:color="auto"/>
        <w:bottom w:val="none" w:sz="0" w:space="0" w:color="auto"/>
        <w:right w:val="none" w:sz="0" w:space="0" w:color="auto"/>
      </w:divBdr>
    </w:div>
    <w:div w:id="211969881">
      <w:bodyDiv w:val="1"/>
      <w:marLeft w:val="0"/>
      <w:marRight w:val="0"/>
      <w:marTop w:val="0"/>
      <w:marBottom w:val="0"/>
      <w:divBdr>
        <w:top w:val="none" w:sz="0" w:space="0" w:color="auto"/>
        <w:left w:val="none" w:sz="0" w:space="0" w:color="auto"/>
        <w:bottom w:val="none" w:sz="0" w:space="0" w:color="auto"/>
        <w:right w:val="none" w:sz="0" w:space="0" w:color="auto"/>
      </w:divBdr>
    </w:div>
    <w:div w:id="245193783">
      <w:bodyDiv w:val="1"/>
      <w:marLeft w:val="0"/>
      <w:marRight w:val="0"/>
      <w:marTop w:val="0"/>
      <w:marBottom w:val="0"/>
      <w:divBdr>
        <w:top w:val="none" w:sz="0" w:space="0" w:color="auto"/>
        <w:left w:val="none" w:sz="0" w:space="0" w:color="auto"/>
        <w:bottom w:val="none" w:sz="0" w:space="0" w:color="auto"/>
        <w:right w:val="none" w:sz="0" w:space="0" w:color="auto"/>
      </w:divBdr>
    </w:div>
    <w:div w:id="261651650">
      <w:bodyDiv w:val="1"/>
      <w:marLeft w:val="0"/>
      <w:marRight w:val="0"/>
      <w:marTop w:val="0"/>
      <w:marBottom w:val="0"/>
      <w:divBdr>
        <w:top w:val="none" w:sz="0" w:space="0" w:color="auto"/>
        <w:left w:val="none" w:sz="0" w:space="0" w:color="auto"/>
        <w:bottom w:val="none" w:sz="0" w:space="0" w:color="auto"/>
        <w:right w:val="none" w:sz="0" w:space="0" w:color="auto"/>
      </w:divBdr>
    </w:div>
    <w:div w:id="275451398">
      <w:bodyDiv w:val="1"/>
      <w:marLeft w:val="0"/>
      <w:marRight w:val="0"/>
      <w:marTop w:val="0"/>
      <w:marBottom w:val="0"/>
      <w:divBdr>
        <w:top w:val="none" w:sz="0" w:space="0" w:color="auto"/>
        <w:left w:val="none" w:sz="0" w:space="0" w:color="auto"/>
        <w:bottom w:val="none" w:sz="0" w:space="0" w:color="auto"/>
        <w:right w:val="none" w:sz="0" w:space="0" w:color="auto"/>
      </w:divBdr>
    </w:div>
    <w:div w:id="277152790">
      <w:bodyDiv w:val="1"/>
      <w:marLeft w:val="0"/>
      <w:marRight w:val="0"/>
      <w:marTop w:val="0"/>
      <w:marBottom w:val="0"/>
      <w:divBdr>
        <w:top w:val="none" w:sz="0" w:space="0" w:color="auto"/>
        <w:left w:val="none" w:sz="0" w:space="0" w:color="auto"/>
        <w:bottom w:val="none" w:sz="0" w:space="0" w:color="auto"/>
        <w:right w:val="none" w:sz="0" w:space="0" w:color="auto"/>
      </w:divBdr>
    </w:div>
    <w:div w:id="418596331">
      <w:bodyDiv w:val="1"/>
      <w:marLeft w:val="0"/>
      <w:marRight w:val="0"/>
      <w:marTop w:val="0"/>
      <w:marBottom w:val="0"/>
      <w:divBdr>
        <w:top w:val="none" w:sz="0" w:space="0" w:color="auto"/>
        <w:left w:val="none" w:sz="0" w:space="0" w:color="auto"/>
        <w:bottom w:val="none" w:sz="0" w:space="0" w:color="auto"/>
        <w:right w:val="none" w:sz="0" w:space="0" w:color="auto"/>
      </w:divBdr>
    </w:div>
    <w:div w:id="462624248">
      <w:bodyDiv w:val="1"/>
      <w:marLeft w:val="0"/>
      <w:marRight w:val="0"/>
      <w:marTop w:val="0"/>
      <w:marBottom w:val="0"/>
      <w:divBdr>
        <w:top w:val="none" w:sz="0" w:space="0" w:color="auto"/>
        <w:left w:val="none" w:sz="0" w:space="0" w:color="auto"/>
        <w:bottom w:val="none" w:sz="0" w:space="0" w:color="auto"/>
        <w:right w:val="none" w:sz="0" w:space="0" w:color="auto"/>
      </w:divBdr>
    </w:div>
    <w:div w:id="523397673">
      <w:bodyDiv w:val="1"/>
      <w:marLeft w:val="0"/>
      <w:marRight w:val="0"/>
      <w:marTop w:val="0"/>
      <w:marBottom w:val="0"/>
      <w:divBdr>
        <w:top w:val="none" w:sz="0" w:space="0" w:color="auto"/>
        <w:left w:val="none" w:sz="0" w:space="0" w:color="auto"/>
        <w:bottom w:val="none" w:sz="0" w:space="0" w:color="auto"/>
        <w:right w:val="none" w:sz="0" w:space="0" w:color="auto"/>
      </w:divBdr>
    </w:div>
    <w:div w:id="569341266">
      <w:bodyDiv w:val="1"/>
      <w:marLeft w:val="0"/>
      <w:marRight w:val="0"/>
      <w:marTop w:val="0"/>
      <w:marBottom w:val="0"/>
      <w:divBdr>
        <w:top w:val="none" w:sz="0" w:space="0" w:color="auto"/>
        <w:left w:val="none" w:sz="0" w:space="0" w:color="auto"/>
        <w:bottom w:val="none" w:sz="0" w:space="0" w:color="auto"/>
        <w:right w:val="none" w:sz="0" w:space="0" w:color="auto"/>
      </w:divBdr>
    </w:div>
    <w:div w:id="644238474">
      <w:bodyDiv w:val="1"/>
      <w:marLeft w:val="0"/>
      <w:marRight w:val="0"/>
      <w:marTop w:val="0"/>
      <w:marBottom w:val="0"/>
      <w:divBdr>
        <w:top w:val="none" w:sz="0" w:space="0" w:color="auto"/>
        <w:left w:val="none" w:sz="0" w:space="0" w:color="auto"/>
        <w:bottom w:val="none" w:sz="0" w:space="0" w:color="auto"/>
        <w:right w:val="none" w:sz="0" w:space="0" w:color="auto"/>
      </w:divBdr>
    </w:div>
    <w:div w:id="672143787">
      <w:bodyDiv w:val="1"/>
      <w:marLeft w:val="0"/>
      <w:marRight w:val="0"/>
      <w:marTop w:val="0"/>
      <w:marBottom w:val="0"/>
      <w:divBdr>
        <w:top w:val="none" w:sz="0" w:space="0" w:color="auto"/>
        <w:left w:val="none" w:sz="0" w:space="0" w:color="auto"/>
        <w:bottom w:val="none" w:sz="0" w:space="0" w:color="auto"/>
        <w:right w:val="none" w:sz="0" w:space="0" w:color="auto"/>
      </w:divBdr>
    </w:div>
    <w:div w:id="767695980">
      <w:bodyDiv w:val="1"/>
      <w:marLeft w:val="0"/>
      <w:marRight w:val="0"/>
      <w:marTop w:val="0"/>
      <w:marBottom w:val="0"/>
      <w:divBdr>
        <w:top w:val="none" w:sz="0" w:space="0" w:color="auto"/>
        <w:left w:val="none" w:sz="0" w:space="0" w:color="auto"/>
        <w:bottom w:val="none" w:sz="0" w:space="0" w:color="auto"/>
        <w:right w:val="none" w:sz="0" w:space="0" w:color="auto"/>
      </w:divBdr>
    </w:div>
    <w:div w:id="811795437">
      <w:bodyDiv w:val="1"/>
      <w:marLeft w:val="0"/>
      <w:marRight w:val="0"/>
      <w:marTop w:val="0"/>
      <w:marBottom w:val="0"/>
      <w:divBdr>
        <w:top w:val="none" w:sz="0" w:space="0" w:color="auto"/>
        <w:left w:val="none" w:sz="0" w:space="0" w:color="auto"/>
        <w:bottom w:val="none" w:sz="0" w:space="0" w:color="auto"/>
        <w:right w:val="none" w:sz="0" w:space="0" w:color="auto"/>
      </w:divBdr>
    </w:div>
    <w:div w:id="847989956">
      <w:bodyDiv w:val="1"/>
      <w:marLeft w:val="0"/>
      <w:marRight w:val="0"/>
      <w:marTop w:val="0"/>
      <w:marBottom w:val="0"/>
      <w:divBdr>
        <w:top w:val="none" w:sz="0" w:space="0" w:color="auto"/>
        <w:left w:val="none" w:sz="0" w:space="0" w:color="auto"/>
        <w:bottom w:val="none" w:sz="0" w:space="0" w:color="auto"/>
        <w:right w:val="none" w:sz="0" w:space="0" w:color="auto"/>
      </w:divBdr>
    </w:div>
    <w:div w:id="1004166988">
      <w:bodyDiv w:val="1"/>
      <w:marLeft w:val="0"/>
      <w:marRight w:val="0"/>
      <w:marTop w:val="0"/>
      <w:marBottom w:val="0"/>
      <w:divBdr>
        <w:top w:val="none" w:sz="0" w:space="0" w:color="auto"/>
        <w:left w:val="none" w:sz="0" w:space="0" w:color="auto"/>
        <w:bottom w:val="none" w:sz="0" w:space="0" w:color="auto"/>
        <w:right w:val="none" w:sz="0" w:space="0" w:color="auto"/>
      </w:divBdr>
    </w:div>
    <w:div w:id="1081683260">
      <w:bodyDiv w:val="1"/>
      <w:marLeft w:val="0"/>
      <w:marRight w:val="0"/>
      <w:marTop w:val="0"/>
      <w:marBottom w:val="0"/>
      <w:divBdr>
        <w:top w:val="none" w:sz="0" w:space="0" w:color="auto"/>
        <w:left w:val="none" w:sz="0" w:space="0" w:color="auto"/>
        <w:bottom w:val="none" w:sz="0" w:space="0" w:color="auto"/>
        <w:right w:val="none" w:sz="0" w:space="0" w:color="auto"/>
      </w:divBdr>
    </w:div>
    <w:div w:id="1137259065">
      <w:bodyDiv w:val="1"/>
      <w:marLeft w:val="0"/>
      <w:marRight w:val="0"/>
      <w:marTop w:val="0"/>
      <w:marBottom w:val="0"/>
      <w:divBdr>
        <w:top w:val="none" w:sz="0" w:space="0" w:color="auto"/>
        <w:left w:val="none" w:sz="0" w:space="0" w:color="auto"/>
        <w:bottom w:val="none" w:sz="0" w:space="0" w:color="auto"/>
        <w:right w:val="none" w:sz="0" w:space="0" w:color="auto"/>
      </w:divBdr>
    </w:div>
    <w:div w:id="1417051575">
      <w:bodyDiv w:val="1"/>
      <w:marLeft w:val="0"/>
      <w:marRight w:val="0"/>
      <w:marTop w:val="0"/>
      <w:marBottom w:val="0"/>
      <w:divBdr>
        <w:top w:val="none" w:sz="0" w:space="0" w:color="auto"/>
        <w:left w:val="none" w:sz="0" w:space="0" w:color="auto"/>
        <w:bottom w:val="none" w:sz="0" w:space="0" w:color="auto"/>
        <w:right w:val="none" w:sz="0" w:space="0" w:color="auto"/>
      </w:divBdr>
    </w:div>
    <w:div w:id="1424229993">
      <w:bodyDiv w:val="1"/>
      <w:marLeft w:val="0"/>
      <w:marRight w:val="0"/>
      <w:marTop w:val="0"/>
      <w:marBottom w:val="0"/>
      <w:divBdr>
        <w:top w:val="none" w:sz="0" w:space="0" w:color="auto"/>
        <w:left w:val="none" w:sz="0" w:space="0" w:color="auto"/>
        <w:bottom w:val="none" w:sz="0" w:space="0" w:color="auto"/>
        <w:right w:val="none" w:sz="0" w:space="0" w:color="auto"/>
      </w:divBdr>
    </w:div>
    <w:div w:id="1528175263">
      <w:bodyDiv w:val="1"/>
      <w:marLeft w:val="0"/>
      <w:marRight w:val="0"/>
      <w:marTop w:val="0"/>
      <w:marBottom w:val="0"/>
      <w:divBdr>
        <w:top w:val="none" w:sz="0" w:space="0" w:color="auto"/>
        <w:left w:val="none" w:sz="0" w:space="0" w:color="auto"/>
        <w:bottom w:val="none" w:sz="0" w:space="0" w:color="auto"/>
        <w:right w:val="none" w:sz="0" w:space="0" w:color="auto"/>
      </w:divBdr>
    </w:div>
    <w:div w:id="1592281064">
      <w:bodyDiv w:val="1"/>
      <w:marLeft w:val="0"/>
      <w:marRight w:val="0"/>
      <w:marTop w:val="0"/>
      <w:marBottom w:val="0"/>
      <w:divBdr>
        <w:top w:val="none" w:sz="0" w:space="0" w:color="auto"/>
        <w:left w:val="none" w:sz="0" w:space="0" w:color="auto"/>
        <w:bottom w:val="none" w:sz="0" w:space="0" w:color="auto"/>
        <w:right w:val="none" w:sz="0" w:space="0" w:color="auto"/>
      </w:divBdr>
    </w:div>
    <w:div w:id="1593002070">
      <w:bodyDiv w:val="1"/>
      <w:marLeft w:val="0"/>
      <w:marRight w:val="0"/>
      <w:marTop w:val="0"/>
      <w:marBottom w:val="0"/>
      <w:divBdr>
        <w:top w:val="none" w:sz="0" w:space="0" w:color="auto"/>
        <w:left w:val="none" w:sz="0" w:space="0" w:color="auto"/>
        <w:bottom w:val="none" w:sz="0" w:space="0" w:color="auto"/>
        <w:right w:val="none" w:sz="0" w:space="0" w:color="auto"/>
      </w:divBdr>
    </w:div>
    <w:div w:id="1636256747">
      <w:bodyDiv w:val="1"/>
      <w:marLeft w:val="0"/>
      <w:marRight w:val="0"/>
      <w:marTop w:val="0"/>
      <w:marBottom w:val="0"/>
      <w:divBdr>
        <w:top w:val="none" w:sz="0" w:space="0" w:color="auto"/>
        <w:left w:val="none" w:sz="0" w:space="0" w:color="auto"/>
        <w:bottom w:val="none" w:sz="0" w:space="0" w:color="auto"/>
        <w:right w:val="none" w:sz="0" w:space="0" w:color="auto"/>
      </w:divBdr>
    </w:div>
    <w:div w:id="1754202489">
      <w:bodyDiv w:val="1"/>
      <w:marLeft w:val="0"/>
      <w:marRight w:val="0"/>
      <w:marTop w:val="0"/>
      <w:marBottom w:val="0"/>
      <w:divBdr>
        <w:top w:val="none" w:sz="0" w:space="0" w:color="auto"/>
        <w:left w:val="none" w:sz="0" w:space="0" w:color="auto"/>
        <w:bottom w:val="none" w:sz="0" w:space="0" w:color="auto"/>
        <w:right w:val="none" w:sz="0" w:space="0" w:color="auto"/>
      </w:divBdr>
    </w:div>
    <w:div w:id="1790514577">
      <w:bodyDiv w:val="1"/>
      <w:marLeft w:val="0"/>
      <w:marRight w:val="0"/>
      <w:marTop w:val="0"/>
      <w:marBottom w:val="0"/>
      <w:divBdr>
        <w:top w:val="none" w:sz="0" w:space="0" w:color="auto"/>
        <w:left w:val="none" w:sz="0" w:space="0" w:color="auto"/>
        <w:bottom w:val="none" w:sz="0" w:space="0" w:color="auto"/>
        <w:right w:val="none" w:sz="0" w:space="0" w:color="auto"/>
      </w:divBdr>
    </w:div>
    <w:div w:id="1814636271">
      <w:bodyDiv w:val="1"/>
      <w:marLeft w:val="0"/>
      <w:marRight w:val="0"/>
      <w:marTop w:val="0"/>
      <w:marBottom w:val="0"/>
      <w:divBdr>
        <w:top w:val="none" w:sz="0" w:space="0" w:color="auto"/>
        <w:left w:val="none" w:sz="0" w:space="0" w:color="auto"/>
        <w:bottom w:val="none" w:sz="0" w:space="0" w:color="auto"/>
        <w:right w:val="none" w:sz="0" w:space="0" w:color="auto"/>
      </w:divBdr>
    </w:div>
    <w:div w:id="1829324955">
      <w:bodyDiv w:val="1"/>
      <w:marLeft w:val="0"/>
      <w:marRight w:val="0"/>
      <w:marTop w:val="0"/>
      <w:marBottom w:val="0"/>
      <w:divBdr>
        <w:top w:val="none" w:sz="0" w:space="0" w:color="auto"/>
        <w:left w:val="none" w:sz="0" w:space="0" w:color="auto"/>
        <w:bottom w:val="none" w:sz="0" w:space="0" w:color="auto"/>
        <w:right w:val="none" w:sz="0" w:space="0" w:color="auto"/>
      </w:divBdr>
    </w:div>
    <w:div w:id="1866289571">
      <w:bodyDiv w:val="1"/>
      <w:marLeft w:val="0"/>
      <w:marRight w:val="0"/>
      <w:marTop w:val="0"/>
      <w:marBottom w:val="0"/>
      <w:divBdr>
        <w:top w:val="none" w:sz="0" w:space="0" w:color="auto"/>
        <w:left w:val="none" w:sz="0" w:space="0" w:color="auto"/>
        <w:bottom w:val="none" w:sz="0" w:space="0" w:color="auto"/>
        <w:right w:val="none" w:sz="0" w:space="0" w:color="auto"/>
      </w:divBdr>
    </w:div>
    <w:div w:id="1899583430">
      <w:bodyDiv w:val="1"/>
      <w:marLeft w:val="0"/>
      <w:marRight w:val="0"/>
      <w:marTop w:val="0"/>
      <w:marBottom w:val="0"/>
      <w:divBdr>
        <w:top w:val="none" w:sz="0" w:space="0" w:color="auto"/>
        <w:left w:val="none" w:sz="0" w:space="0" w:color="auto"/>
        <w:bottom w:val="none" w:sz="0" w:space="0" w:color="auto"/>
        <w:right w:val="none" w:sz="0" w:space="0" w:color="auto"/>
      </w:divBdr>
    </w:div>
    <w:div w:id="1963805424">
      <w:bodyDiv w:val="1"/>
      <w:marLeft w:val="0"/>
      <w:marRight w:val="0"/>
      <w:marTop w:val="0"/>
      <w:marBottom w:val="0"/>
      <w:divBdr>
        <w:top w:val="none" w:sz="0" w:space="0" w:color="auto"/>
        <w:left w:val="none" w:sz="0" w:space="0" w:color="auto"/>
        <w:bottom w:val="none" w:sz="0" w:space="0" w:color="auto"/>
        <w:right w:val="none" w:sz="0" w:space="0" w:color="auto"/>
      </w:divBdr>
    </w:div>
    <w:div w:id="1969360362">
      <w:bodyDiv w:val="1"/>
      <w:marLeft w:val="0"/>
      <w:marRight w:val="0"/>
      <w:marTop w:val="0"/>
      <w:marBottom w:val="0"/>
      <w:divBdr>
        <w:top w:val="none" w:sz="0" w:space="0" w:color="auto"/>
        <w:left w:val="none" w:sz="0" w:space="0" w:color="auto"/>
        <w:bottom w:val="none" w:sz="0" w:space="0" w:color="auto"/>
        <w:right w:val="none" w:sz="0" w:space="0" w:color="auto"/>
      </w:divBdr>
    </w:div>
    <w:div w:id="2076197322">
      <w:bodyDiv w:val="1"/>
      <w:marLeft w:val="0"/>
      <w:marRight w:val="0"/>
      <w:marTop w:val="0"/>
      <w:marBottom w:val="0"/>
      <w:divBdr>
        <w:top w:val="none" w:sz="0" w:space="0" w:color="auto"/>
        <w:left w:val="none" w:sz="0" w:space="0" w:color="auto"/>
        <w:bottom w:val="none" w:sz="0" w:space="0" w:color="auto"/>
        <w:right w:val="none" w:sz="0" w:space="0" w:color="auto"/>
      </w:divBdr>
    </w:div>
    <w:div w:id="2076389887">
      <w:bodyDiv w:val="1"/>
      <w:marLeft w:val="0"/>
      <w:marRight w:val="0"/>
      <w:marTop w:val="0"/>
      <w:marBottom w:val="0"/>
      <w:divBdr>
        <w:top w:val="none" w:sz="0" w:space="0" w:color="auto"/>
        <w:left w:val="none" w:sz="0" w:space="0" w:color="auto"/>
        <w:bottom w:val="none" w:sz="0" w:space="0" w:color="auto"/>
        <w:right w:val="none" w:sz="0" w:space="0" w:color="auto"/>
      </w:divBdr>
    </w:div>
    <w:div w:id="21456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13604-5245-4FD6-8744-C79D1ACF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6710</Words>
  <Characters>38253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44874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5</cp:revision>
  <dcterms:created xsi:type="dcterms:W3CDTF">2024-02-20T10:56:00Z</dcterms:created>
  <dcterms:modified xsi:type="dcterms:W3CDTF">2024-02-20T13:24:00Z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