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4A6E0" w14:textId="77777777" w:rsidR="001A5518" w:rsidRPr="0071319B" w:rsidRDefault="001A5518" w:rsidP="001A5518">
      <w:pPr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  <w:lang w:val="sr-Latn-ME"/>
        </w:rPr>
      </w:pPr>
    </w:p>
    <w:p w14:paraId="13A2C428" w14:textId="77777777" w:rsidR="00F91C7B" w:rsidRPr="0071319B" w:rsidRDefault="00F91C7B" w:rsidP="001A5518">
      <w:pPr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  <w:lang w:val="sr-Latn-ME"/>
        </w:rPr>
      </w:pPr>
    </w:p>
    <w:p w14:paraId="664BF1C5" w14:textId="77777777" w:rsidR="002510A5" w:rsidRPr="0071319B" w:rsidRDefault="002510A5" w:rsidP="002510A5">
      <w:pPr>
        <w:jc w:val="center"/>
        <w:rPr>
          <w:rFonts w:asciiTheme="majorBidi" w:hAnsiTheme="majorBidi" w:cstheme="majorBidi"/>
          <w:b/>
          <w:bCs/>
          <w:iCs/>
          <w:sz w:val="22"/>
          <w:szCs w:val="22"/>
          <w:u w:val="single"/>
          <w:lang w:val="sr-Latn-ME"/>
        </w:rPr>
      </w:pPr>
      <w:r w:rsidRPr="0071319B">
        <w:rPr>
          <w:rFonts w:asciiTheme="majorBidi" w:hAnsiTheme="majorBidi" w:cstheme="majorBidi"/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0A86F819" w14:textId="77777777" w:rsidR="002510A5" w:rsidRPr="0071319B" w:rsidRDefault="002510A5" w:rsidP="002510A5">
      <w:pPr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  <w:lang w:val="sr-Latn-ME"/>
        </w:rPr>
      </w:pPr>
    </w:p>
    <w:p w14:paraId="76E88F46" w14:textId="77777777" w:rsidR="003C17AB" w:rsidRPr="0071319B" w:rsidRDefault="003C17AB" w:rsidP="00F5167F">
      <w:pPr>
        <w:tabs>
          <w:tab w:val="left" w:pos="540"/>
          <w:tab w:val="left" w:pos="569"/>
        </w:tabs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14:paraId="52CD7979" w14:textId="77777777" w:rsidR="00C37FD7" w:rsidRPr="0071319B" w:rsidRDefault="00C37FD7" w:rsidP="00F5167F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2FB9F957" w14:textId="77777777" w:rsidR="00E17387" w:rsidRPr="0071319B" w:rsidRDefault="00E17387" w:rsidP="00E17387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>1.</w:t>
      </w: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="002846DB"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NAZIV </w:t>
      </w:r>
      <w:r w:rsidR="00411B4B"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>LIJEKA</w:t>
      </w:r>
    </w:p>
    <w:p w14:paraId="0C9F450B" w14:textId="77777777" w:rsidR="00E17387" w:rsidRPr="0071319B" w:rsidRDefault="00E17387" w:rsidP="00E17387">
      <w:pPr>
        <w:rPr>
          <w:rFonts w:asciiTheme="majorBidi" w:hAnsiTheme="majorBidi" w:cstheme="majorBidi"/>
          <w:sz w:val="22"/>
          <w:szCs w:val="22"/>
          <w:lang w:val="sr-Latn-ME"/>
        </w:rPr>
      </w:pPr>
    </w:p>
    <w:p w14:paraId="55286095" w14:textId="77777777" w:rsidR="00E17387" w:rsidRPr="0071319B" w:rsidRDefault="00922CCB" w:rsidP="00E17387">
      <w:pPr>
        <w:rPr>
          <w:rFonts w:asciiTheme="majorBidi" w:hAnsiTheme="majorBidi" w:cstheme="majorBidi"/>
          <w:sz w:val="22"/>
          <w:szCs w:val="22"/>
          <w:lang w:val="sr-Latn-ME"/>
        </w:rPr>
      </w:pP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Enoxaparin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Ledraxen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, 2000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="004C1266" w:rsidRPr="0071319B">
        <w:rPr>
          <w:rFonts w:asciiTheme="majorBidi" w:hAnsiTheme="majorBidi" w:cstheme="majorBidi"/>
          <w:sz w:val="22"/>
          <w:szCs w:val="22"/>
          <w:lang w:val="sr-Latn-ME"/>
        </w:rPr>
        <w:t>.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/0.2 </w:t>
      </w:r>
      <w:r w:rsidR="00444F6E" w:rsidRPr="0071319B">
        <w:rPr>
          <w:rFonts w:asciiTheme="majorBidi" w:hAnsiTheme="majorBidi" w:cstheme="majorBidi"/>
          <w:sz w:val="22"/>
          <w:szCs w:val="22"/>
          <w:lang w:val="sr-Latn-ME"/>
        </w:rPr>
        <w:t>ml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, rastvor za injekciju u napunjenom injekcionom špricu </w:t>
      </w:r>
    </w:p>
    <w:p w14:paraId="090E06B4" w14:textId="77777777" w:rsidR="00E17387" w:rsidRPr="0071319B" w:rsidRDefault="00922CCB" w:rsidP="00E17387">
      <w:pPr>
        <w:rPr>
          <w:rFonts w:asciiTheme="majorBidi" w:hAnsiTheme="majorBidi" w:cstheme="majorBidi"/>
          <w:sz w:val="22"/>
          <w:szCs w:val="22"/>
          <w:lang w:val="sr-Latn-ME"/>
        </w:rPr>
      </w:pP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Enoxaparin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Ledraxen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, 4000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="004C1266" w:rsidRPr="0071319B">
        <w:rPr>
          <w:rFonts w:asciiTheme="majorBidi" w:hAnsiTheme="majorBidi" w:cstheme="majorBidi"/>
          <w:sz w:val="22"/>
          <w:szCs w:val="22"/>
          <w:lang w:val="sr-Latn-ME"/>
        </w:rPr>
        <w:t>.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/0.4 </w:t>
      </w:r>
      <w:r w:rsidR="00444F6E" w:rsidRPr="0071319B">
        <w:rPr>
          <w:rFonts w:asciiTheme="majorBidi" w:hAnsiTheme="majorBidi" w:cstheme="majorBidi"/>
          <w:sz w:val="22"/>
          <w:szCs w:val="22"/>
          <w:lang w:val="sr-Latn-ME"/>
        </w:rPr>
        <w:t>ml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, rastvor za injekciju u napunjenom injekcionom špricu</w:t>
      </w:r>
    </w:p>
    <w:p w14:paraId="7A23E14F" w14:textId="77777777" w:rsidR="00E17387" w:rsidRPr="0071319B" w:rsidRDefault="00922CCB" w:rsidP="00E17387">
      <w:pPr>
        <w:rPr>
          <w:rFonts w:asciiTheme="majorBidi" w:hAnsiTheme="majorBidi" w:cstheme="majorBidi"/>
          <w:sz w:val="22"/>
          <w:szCs w:val="22"/>
          <w:lang w:val="sr-Latn-ME"/>
        </w:rPr>
      </w:pP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Enoxaparin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Ledraxen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, 6000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./0.6 </w:t>
      </w:r>
      <w:r w:rsidR="00444F6E" w:rsidRPr="0071319B">
        <w:rPr>
          <w:rFonts w:asciiTheme="majorBidi" w:hAnsiTheme="majorBidi" w:cstheme="majorBidi"/>
          <w:sz w:val="22"/>
          <w:szCs w:val="22"/>
          <w:lang w:val="sr-Latn-ME"/>
        </w:rPr>
        <w:t>ml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, rastvor za injekciju u napunjenom injekcionom špricu</w:t>
      </w:r>
    </w:p>
    <w:p w14:paraId="4D877D33" w14:textId="77777777" w:rsidR="00E17387" w:rsidRPr="0071319B" w:rsidRDefault="00922CCB" w:rsidP="00E17387">
      <w:pPr>
        <w:rPr>
          <w:rFonts w:asciiTheme="majorBidi" w:hAnsiTheme="majorBidi" w:cstheme="majorBidi"/>
          <w:sz w:val="22"/>
          <w:szCs w:val="22"/>
          <w:lang w:val="sr-Latn-ME"/>
        </w:rPr>
      </w:pP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Enoxaparin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Ledraxen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, 8000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="004C1266" w:rsidRPr="0071319B">
        <w:rPr>
          <w:rFonts w:asciiTheme="majorBidi" w:hAnsiTheme="majorBidi" w:cstheme="majorBidi"/>
          <w:sz w:val="22"/>
          <w:szCs w:val="22"/>
          <w:lang w:val="sr-Latn-ME"/>
        </w:rPr>
        <w:t>. /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0.8 </w:t>
      </w:r>
      <w:r w:rsidR="00444F6E" w:rsidRPr="0071319B">
        <w:rPr>
          <w:rFonts w:asciiTheme="majorBidi" w:hAnsiTheme="majorBidi" w:cstheme="majorBidi"/>
          <w:sz w:val="22"/>
          <w:szCs w:val="22"/>
          <w:lang w:val="sr-Latn-ME"/>
        </w:rPr>
        <w:t>ml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, rastvor za injekciju u napunjenom injekcionom špricu </w:t>
      </w:r>
    </w:p>
    <w:p w14:paraId="61DADDC6" w14:textId="77777777" w:rsidR="00E17387" w:rsidRPr="0071319B" w:rsidRDefault="00E17387" w:rsidP="00E17387">
      <w:pPr>
        <w:rPr>
          <w:rFonts w:asciiTheme="majorBidi" w:hAnsiTheme="majorBidi" w:cstheme="majorBidi"/>
          <w:sz w:val="22"/>
          <w:szCs w:val="22"/>
          <w:lang w:val="sr-Latn-ME"/>
        </w:rPr>
      </w:pPr>
    </w:p>
    <w:p w14:paraId="247AE360" w14:textId="77777777" w:rsidR="00833E38" w:rsidRPr="0071319B" w:rsidRDefault="00833E38" w:rsidP="00E17387">
      <w:pPr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INN:</w:t>
      </w:r>
      <w:r w:rsidR="00922CCB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</w:p>
    <w:p w14:paraId="1971A9AD" w14:textId="77777777" w:rsidR="000D425A" w:rsidRPr="0071319B" w:rsidRDefault="000D425A">
      <w:pPr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3887167C" w14:textId="77777777" w:rsidR="00530BD7" w:rsidRPr="0071319B" w:rsidRDefault="00530BD7">
      <w:pPr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31765536" w14:textId="77777777" w:rsidR="00E17387" w:rsidRPr="0071319B" w:rsidRDefault="00411B4B" w:rsidP="00E17387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2. </w:t>
      </w:r>
      <w:r w:rsidR="00F5167F"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>KVALITATIVNI I KVANTITATIVNI SASTAV</w:t>
      </w:r>
    </w:p>
    <w:p w14:paraId="23AFBB01" w14:textId="77777777" w:rsidR="00E17387" w:rsidRPr="0071319B" w:rsidRDefault="00E17387" w:rsidP="00E17387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27A5ECA8" w14:textId="77777777" w:rsidR="00922CCB" w:rsidRDefault="00922CCB" w:rsidP="006568C9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Napunjeni injekcioni špric:</w:t>
      </w:r>
    </w:p>
    <w:p w14:paraId="2374B3F6" w14:textId="77777777" w:rsidR="00594DFF" w:rsidRPr="0071319B" w:rsidRDefault="00594DFF" w:rsidP="006568C9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4F28B06B" w14:textId="77777777" w:rsidR="00922CCB" w:rsidRPr="0071319B" w:rsidRDefault="00922CCB" w:rsidP="00594DFF">
      <w:pPr>
        <w:pStyle w:val="BodyText"/>
        <w:ind w:left="0"/>
        <w:jc w:val="both"/>
        <w:rPr>
          <w:rFonts w:asciiTheme="majorBidi" w:hAnsiTheme="majorBidi" w:cstheme="majorBidi"/>
          <w:i/>
          <w:u w:val="single"/>
          <w:lang w:val="sr-Latn-ME"/>
        </w:rPr>
      </w:pPr>
      <w:r w:rsidRPr="0071319B">
        <w:rPr>
          <w:rFonts w:asciiTheme="majorBidi" w:hAnsiTheme="majorBidi" w:cstheme="majorBidi"/>
          <w:i/>
          <w:u w:val="single"/>
          <w:lang w:val="sr-Latn-ME"/>
        </w:rPr>
        <w:t xml:space="preserve">2,000 </w:t>
      </w:r>
      <w:proofErr w:type="spellStart"/>
      <w:r w:rsidRPr="0071319B">
        <w:rPr>
          <w:rFonts w:asciiTheme="majorBidi" w:hAnsiTheme="majorBidi" w:cstheme="majorBidi"/>
          <w:i/>
          <w:u w:val="single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i/>
          <w:u w:val="single"/>
          <w:lang w:val="sr-Latn-ME"/>
        </w:rPr>
        <w:t xml:space="preserve">./0.2 </w:t>
      </w:r>
      <w:r w:rsidR="00444F6E" w:rsidRPr="0071319B">
        <w:rPr>
          <w:rFonts w:asciiTheme="majorBidi" w:hAnsiTheme="majorBidi" w:cstheme="majorBidi"/>
          <w:i/>
          <w:u w:val="single"/>
          <w:lang w:val="sr-Latn-ME"/>
        </w:rPr>
        <w:t>ml</w:t>
      </w:r>
      <w:r w:rsidRPr="0071319B">
        <w:rPr>
          <w:rFonts w:asciiTheme="majorBidi" w:hAnsiTheme="majorBidi" w:cstheme="majorBidi"/>
          <w:i/>
          <w:u w:val="single"/>
          <w:lang w:val="sr-Latn-ME"/>
        </w:rPr>
        <w:t xml:space="preserve"> </w:t>
      </w:r>
    </w:p>
    <w:p w14:paraId="6704E0B8" w14:textId="77777777" w:rsidR="00922CCB" w:rsidRDefault="00922CCB" w:rsidP="00594DFF">
      <w:pPr>
        <w:pStyle w:val="BodyText"/>
        <w:tabs>
          <w:tab w:val="left" w:pos="9072"/>
        </w:tabs>
        <w:ind w:left="0"/>
        <w:jc w:val="both"/>
        <w:rPr>
          <w:rFonts w:asciiTheme="majorBidi" w:hAnsiTheme="majorBidi" w:cstheme="majorBidi"/>
          <w:lang w:val="sr-Latn-ME"/>
        </w:rPr>
      </w:pPr>
      <w:r w:rsidRPr="0071319B">
        <w:rPr>
          <w:rFonts w:asciiTheme="majorBidi" w:hAnsiTheme="majorBidi" w:cstheme="majorBidi"/>
          <w:lang w:val="sr-Latn-ME"/>
        </w:rPr>
        <w:t xml:space="preserve">Jedan napunjeni injekcioni špric sadrži 2,000 </w:t>
      </w:r>
      <w:proofErr w:type="spellStart"/>
      <w:r w:rsidRPr="0071319B">
        <w:rPr>
          <w:rFonts w:asciiTheme="majorBidi" w:hAnsiTheme="majorBidi" w:cstheme="majorBidi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lang w:val="sr-Latn-ME"/>
        </w:rPr>
        <w:t>. anti-</w:t>
      </w:r>
      <w:proofErr w:type="spellStart"/>
      <w:r w:rsidRPr="0071319B">
        <w:rPr>
          <w:rFonts w:asciiTheme="majorBidi" w:hAnsiTheme="majorBidi" w:cstheme="majorBidi"/>
          <w:lang w:val="sr-Latn-ME"/>
        </w:rPr>
        <w:t>Xa</w:t>
      </w:r>
      <w:proofErr w:type="spellEnd"/>
      <w:r w:rsidRPr="0071319B">
        <w:rPr>
          <w:rFonts w:asciiTheme="majorBidi" w:hAnsiTheme="majorBidi" w:cstheme="majorBidi"/>
          <w:lang w:val="sr-Latn-ME"/>
        </w:rPr>
        <w:t xml:space="preserve"> aktivnosti </w:t>
      </w:r>
      <w:proofErr w:type="spellStart"/>
      <w:r w:rsidRPr="0071319B">
        <w:rPr>
          <w:rFonts w:asciiTheme="majorBidi" w:hAnsiTheme="majorBidi" w:cstheme="majorBidi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lang w:val="sr-Latn-ME"/>
        </w:rPr>
        <w:t xml:space="preserve"> natrijuma (što odgovara 20 mg) u 0.2</w:t>
      </w:r>
      <w:r w:rsidR="00444F6E" w:rsidRPr="0071319B">
        <w:rPr>
          <w:rFonts w:asciiTheme="majorBidi" w:hAnsiTheme="majorBidi" w:cstheme="majorBidi"/>
          <w:lang w:val="sr-Latn-ME"/>
        </w:rPr>
        <w:t>ml</w:t>
      </w:r>
      <w:r w:rsidRPr="0071319B">
        <w:rPr>
          <w:rFonts w:asciiTheme="majorBidi" w:hAnsiTheme="majorBidi" w:cstheme="majorBidi"/>
          <w:lang w:val="sr-Latn-ME"/>
        </w:rPr>
        <w:t xml:space="preserve"> vode za injekcije.  </w:t>
      </w:r>
    </w:p>
    <w:p w14:paraId="412DE99B" w14:textId="77777777" w:rsidR="00594DFF" w:rsidRPr="0071319B" w:rsidRDefault="00594DFF" w:rsidP="00594DFF">
      <w:pPr>
        <w:pStyle w:val="BodyText"/>
        <w:tabs>
          <w:tab w:val="left" w:pos="9072"/>
        </w:tabs>
        <w:ind w:left="0"/>
        <w:jc w:val="both"/>
        <w:rPr>
          <w:rFonts w:asciiTheme="majorBidi" w:hAnsiTheme="majorBidi" w:cstheme="majorBidi"/>
          <w:lang w:val="sr-Latn-ME"/>
        </w:rPr>
      </w:pPr>
    </w:p>
    <w:p w14:paraId="1967B554" w14:textId="77777777" w:rsidR="00922CCB" w:rsidRPr="0071319B" w:rsidRDefault="00922CCB" w:rsidP="00594DFF">
      <w:pPr>
        <w:pStyle w:val="BodyText"/>
        <w:ind w:left="0"/>
        <w:jc w:val="both"/>
        <w:rPr>
          <w:rFonts w:asciiTheme="majorBidi" w:hAnsiTheme="majorBidi" w:cstheme="majorBidi"/>
          <w:i/>
          <w:u w:val="single"/>
          <w:lang w:val="sr-Latn-ME"/>
        </w:rPr>
      </w:pPr>
      <w:r w:rsidRPr="0071319B">
        <w:rPr>
          <w:rFonts w:asciiTheme="majorBidi" w:hAnsiTheme="majorBidi" w:cstheme="majorBidi"/>
          <w:i/>
          <w:u w:val="single"/>
          <w:lang w:val="sr-Latn-ME"/>
        </w:rPr>
        <w:t xml:space="preserve">4,000 </w:t>
      </w:r>
      <w:proofErr w:type="spellStart"/>
      <w:r w:rsidRPr="0071319B">
        <w:rPr>
          <w:rFonts w:asciiTheme="majorBidi" w:hAnsiTheme="majorBidi" w:cstheme="majorBidi"/>
          <w:i/>
          <w:u w:val="single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i/>
          <w:u w:val="single"/>
          <w:lang w:val="sr-Latn-ME"/>
        </w:rPr>
        <w:t xml:space="preserve">./0.4 </w:t>
      </w:r>
      <w:r w:rsidR="00444F6E" w:rsidRPr="0071319B">
        <w:rPr>
          <w:rFonts w:asciiTheme="majorBidi" w:hAnsiTheme="majorBidi" w:cstheme="majorBidi"/>
          <w:i/>
          <w:u w:val="single"/>
          <w:lang w:val="sr-Latn-ME"/>
        </w:rPr>
        <w:t>ml</w:t>
      </w:r>
      <w:r w:rsidRPr="0071319B">
        <w:rPr>
          <w:rFonts w:asciiTheme="majorBidi" w:hAnsiTheme="majorBidi" w:cstheme="majorBidi"/>
          <w:i/>
          <w:u w:val="single"/>
          <w:lang w:val="sr-Latn-ME"/>
        </w:rPr>
        <w:t xml:space="preserve"> </w:t>
      </w:r>
    </w:p>
    <w:p w14:paraId="3AA41F13" w14:textId="77777777" w:rsidR="00922CCB" w:rsidRDefault="00922CCB" w:rsidP="00594DFF">
      <w:pPr>
        <w:pStyle w:val="BodyText"/>
        <w:ind w:left="0"/>
        <w:jc w:val="both"/>
        <w:rPr>
          <w:rFonts w:asciiTheme="majorBidi" w:hAnsiTheme="majorBidi" w:cstheme="majorBidi"/>
          <w:lang w:val="sr-Latn-ME"/>
        </w:rPr>
      </w:pPr>
      <w:r w:rsidRPr="0071319B">
        <w:rPr>
          <w:rFonts w:asciiTheme="majorBidi" w:hAnsiTheme="majorBidi" w:cstheme="majorBidi"/>
          <w:lang w:val="sr-Latn-ME"/>
        </w:rPr>
        <w:t xml:space="preserve">Jedan napunjeni injekcioni špric sadrži 4,000 </w:t>
      </w:r>
      <w:proofErr w:type="spellStart"/>
      <w:r w:rsidRPr="0071319B">
        <w:rPr>
          <w:rFonts w:asciiTheme="majorBidi" w:hAnsiTheme="majorBidi" w:cstheme="majorBidi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lang w:val="sr-Latn-ME"/>
        </w:rPr>
        <w:t>. anti-</w:t>
      </w:r>
      <w:proofErr w:type="spellStart"/>
      <w:r w:rsidRPr="0071319B">
        <w:rPr>
          <w:rFonts w:asciiTheme="majorBidi" w:hAnsiTheme="majorBidi" w:cstheme="majorBidi"/>
          <w:lang w:val="sr-Latn-ME"/>
        </w:rPr>
        <w:t>Xa</w:t>
      </w:r>
      <w:proofErr w:type="spellEnd"/>
      <w:r w:rsidRPr="0071319B">
        <w:rPr>
          <w:rFonts w:asciiTheme="majorBidi" w:hAnsiTheme="majorBidi" w:cstheme="majorBidi"/>
          <w:lang w:val="sr-Latn-ME"/>
        </w:rPr>
        <w:t xml:space="preserve"> aktivnosti </w:t>
      </w:r>
      <w:proofErr w:type="spellStart"/>
      <w:r w:rsidRPr="0071319B">
        <w:rPr>
          <w:rFonts w:asciiTheme="majorBidi" w:hAnsiTheme="majorBidi" w:cstheme="majorBidi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lang w:val="sr-Latn-ME"/>
        </w:rPr>
        <w:t xml:space="preserve"> natrijuma (što odgovara 40 mg) u 0.4</w:t>
      </w:r>
      <w:r w:rsidR="00444F6E" w:rsidRPr="0071319B">
        <w:rPr>
          <w:rFonts w:asciiTheme="majorBidi" w:hAnsiTheme="majorBidi" w:cstheme="majorBidi"/>
          <w:lang w:val="sr-Latn-ME"/>
        </w:rPr>
        <w:t>ml</w:t>
      </w:r>
      <w:r w:rsidRPr="0071319B">
        <w:rPr>
          <w:rFonts w:asciiTheme="majorBidi" w:hAnsiTheme="majorBidi" w:cstheme="majorBidi"/>
          <w:lang w:val="sr-Latn-ME"/>
        </w:rPr>
        <w:t xml:space="preserve"> vode za injekcije.  </w:t>
      </w:r>
    </w:p>
    <w:p w14:paraId="4548E149" w14:textId="77777777" w:rsidR="00594DFF" w:rsidRPr="0071319B" w:rsidRDefault="00594DFF" w:rsidP="00594DFF">
      <w:pPr>
        <w:pStyle w:val="BodyText"/>
        <w:ind w:left="0"/>
        <w:jc w:val="both"/>
        <w:rPr>
          <w:rFonts w:asciiTheme="majorBidi" w:hAnsiTheme="majorBidi" w:cstheme="majorBidi"/>
          <w:lang w:val="sr-Latn-ME"/>
        </w:rPr>
      </w:pPr>
    </w:p>
    <w:p w14:paraId="17F78F01" w14:textId="77777777" w:rsidR="00922CCB" w:rsidRPr="0071319B" w:rsidRDefault="00922CCB" w:rsidP="00594DFF">
      <w:pPr>
        <w:pStyle w:val="BodyText"/>
        <w:ind w:left="0"/>
        <w:jc w:val="both"/>
        <w:rPr>
          <w:rFonts w:asciiTheme="majorBidi" w:hAnsiTheme="majorBidi" w:cstheme="majorBidi"/>
          <w:i/>
          <w:u w:val="single"/>
          <w:lang w:val="sr-Latn-ME"/>
        </w:rPr>
      </w:pPr>
      <w:r w:rsidRPr="0071319B">
        <w:rPr>
          <w:rFonts w:asciiTheme="majorBidi" w:hAnsiTheme="majorBidi" w:cstheme="majorBidi"/>
          <w:i/>
          <w:u w:val="single"/>
          <w:lang w:val="sr-Latn-ME"/>
        </w:rPr>
        <w:t>6</w:t>
      </w:r>
      <w:r w:rsidR="004C1266" w:rsidRPr="0071319B">
        <w:rPr>
          <w:rFonts w:asciiTheme="majorBidi" w:hAnsiTheme="majorBidi" w:cstheme="majorBidi"/>
          <w:i/>
          <w:u w:val="single"/>
          <w:lang w:val="sr-Latn-ME"/>
        </w:rPr>
        <w:t xml:space="preserve">,000 </w:t>
      </w:r>
      <w:proofErr w:type="spellStart"/>
      <w:r w:rsidR="004C1266" w:rsidRPr="0071319B">
        <w:rPr>
          <w:rFonts w:asciiTheme="majorBidi" w:hAnsiTheme="majorBidi" w:cstheme="majorBidi"/>
          <w:i/>
          <w:u w:val="single"/>
          <w:lang w:val="sr-Latn-ME"/>
        </w:rPr>
        <w:t>i.j</w:t>
      </w:r>
      <w:proofErr w:type="spellEnd"/>
      <w:r w:rsidR="004C1266" w:rsidRPr="0071319B">
        <w:rPr>
          <w:rFonts w:asciiTheme="majorBidi" w:hAnsiTheme="majorBidi" w:cstheme="majorBidi"/>
          <w:i/>
          <w:u w:val="single"/>
          <w:lang w:val="sr-Latn-ME"/>
        </w:rPr>
        <w:t>.</w:t>
      </w:r>
      <w:r w:rsidRPr="0071319B">
        <w:rPr>
          <w:rFonts w:asciiTheme="majorBidi" w:hAnsiTheme="majorBidi" w:cstheme="majorBidi"/>
          <w:i/>
          <w:u w:val="single"/>
          <w:lang w:val="sr-Latn-ME"/>
        </w:rPr>
        <w:t xml:space="preserve">/0.6 </w:t>
      </w:r>
      <w:r w:rsidR="00444F6E" w:rsidRPr="0071319B">
        <w:rPr>
          <w:rFonts w:asciiTheme="majorBidi" w:hAnsiTheme="majorBidi" w:cstheme="majorBidi"/>
          <w:i/>
          <w:u w:val="single"/>
          <w:lang w:val="sr-Latn-ME"/>
        </w:rPr>
        <w:t>ml</w:t>
      </w:r>
      <w:r w:rsidRPr="0071319B">
        <w:rPr>
          <w:rFonts w:asciiTheme="majorBidi" w:hAnsiTheme="majorBidi" w:cstheme="majorBidi"/>
          <w:i/>
          <w:u w:val="single"/>
          <w:lang w:val="sr-Latn-ME"/>
        </w:rPr>
        <w:t xml:space="preserve"> </w:t>
      </w:r>
    </w:p>
    <w:p w14:paraId="0F35D8E8" w14:textId="77777777" w:rsidR="00594DFF" w:rsidRDefault="00922CCB" w:rsidP="00594DFF">
      <w:pPr>
        <w:pStyle w:val="BodyText"/>
        <w:ind w:left="0"/>
        <w:jc w:val="both"/>
        <w:rPr>
          <w:rFonts w:asciiTheme="majorBidi" w:hAnsiTheme="majorBidi" w:cstheme="majorBidi"/>
          <w:lang w:val="sr-Latn-ME"/>
        </w:rPr>
      </w:pPr>
      <w:r w:rsidRPr="0071319B">
        <w:rPr>
          <w:rFonts w:asciiTheme="majorBidi" w:hAnsiTheme="majorBidi" w:cstheme="majorBidi"/>
          <w:lang w:val="sr-Latn-ME"/>
        </w:rPr>
        <w:t xml:space="preserve">Jedan napunjeni injekcioni špric sadrži 6,000 </w:t>
      </w:r>
      <w:proofErr w:type="spellStart"/>
      <w:r w:rsidRPr="0071319B">
        <w:rPr>
          <w:rFonts w:asciiTheme="majorBidi" w:hAnsiTheme="majorBidi" w:cstheme="majorBidi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lang w:val="sr-Latn-ME"/>
        </w:rPr>
        <w:t>. anti-</w:t>
      </w:r>
      <w:proofErr w:type="spellStart"/>
      <w:r w:rsidRPr="0071319B">
        <w:rPr>
          <w:rFonts w:asciiTheme="majorBidi" w:hAnsiTheme="majorBidi" w:cstheme="majorBidi"/>
          <w:lang w:val="sr-Latn-ME"/>
        </w:rPr>
        <w:t>Xa</w:t>
      </w:r>
      <w:proofErr w:type="spellEnd"/>
      <w:r w:rsidRPr="0071319B">
        <w:rPr>
          <w:rFonts w:asciiTheme="majorBidi" w:hAnsiTheme="majorBidi" w:cstheme="majorBidi"/>
          <w:lang w:val="sr-Latn-ME"/>
        </w:rPr>
        <w:t xml:space="preserve"> aktivnosti </w:t>
      </w:r>
      <w:proofErr w:type="spellStart"/>
      <w:r w:rsidRPr="0071319B">
        <w:rPr>
          <w:rFonts w:asciiTheme="majorBidi" w:hAnsiTheme="majorBidi" w:cstheme="majorBidi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lang w:val="sr-Latn-ME"/>
        </w:rPr>
        <w:t xml:space="preserve"> natrijuma (što odgovara </w:t>
      </w:r>
      <w:r w:rsidR="0016112A" w:rsidRPr="0071319B">
        <w:rPr>
          <w:rFonts w:asciiTheme="majorBidi" w:hAnsiTheme="majorBidi" w:cstheme="majorBidi"/>
          <w:lang w:val="sr-Latn-ME"/>
        </w:rPr>
        <w:t>6</w:t>
      </w:r>
      <w:r w:rsidRPr="0071319B">
        <w:rPr>
          <w:rFonts w:asciiTheme="majorBidi" w:hAnsiTheme="majorBidi" w:cstheme="majorBidi"/>
          <w:lang w:val="sr-Latn-ME"/>
        </w:rPr>
        <w:t>0 mg) u 0.</w:t>
      </w:r>
      <w:r w:rsidR="0016112A" w:rsidRPr="0071319B">
        <w:rPr>
          <w:rFonts w:asciiTheme="majorBidi" w:hAnsiTheme="majorBidi" w:cstheme="majorBidi"/>
          <w:lang w:val="sr-Latn-ME"/>
        </w:rPr>
        <w:t>6</w:t>
      </w:r>
      <w:r w:rsidR="00444F6E" w:rsidRPr="0071319B">
        <w:rPr>
          <w:rFonts w:asciiTheme="majorBidi" w:hAnsiTheme="majorBidi" w:cstheme="majorBidi"/>
          <w:lang w:val="sr-Latn-ME"/>
        </w:rPr>
        <w:t>ml</w:t>
      </w:r>
      <w:r w:rsidRPr="0071319B">
        <w:rPr>
          <w:rFonts w:asciiTheme="majorBidi" w:hAnsiTheme="majorBidi" w:cstheme="majorBidi"/>
          <w:lang w:val="sr-Latn-ME"/>
        </w:rPr>
        <w:t xml:space="preserve"> vode za injekcije. </w:t>
      </w:r>
    </w:p>
    <w:p w14:paraId="1FCEF0F5" w14:textId="77777777" w:rsidR="00922CCB" w:rsidRPr="0071319B" w:rsidRDefault="00922CCB" w:rsidP="00594DFF">
      <w:pPr>
        <w:pStyle w:val="BodyText"/>
        <w:ind w:left="0"/>
        <w:jc w:val="both"/>
        <w:rPr>
          <w:rFonts w:asciiTheme="majorBidi" w:hAnsiTheme="majorBidi" w:cstheme="majorBidi"/>
          <w:lang w:val="sr-Latn-ME"/>
        </w:rPr>
      </w:pPr>
      <w:r w:rsidRPr="0071319B">
        <w:rPr>
          <w:rFonts w:asciiTheme="majorBidi" w:hAnsiTheme="majorBidi" w:cstheme="majorBidi"/>
          <w:lang w:val="sr-Latn-ME"/>
        </w:rPr>
        <w:t xml:space="preserve"> </w:t>
      </w:r>
    </w:p>
    <w:p w14:paraId="60FEB514" w14:textId="77777777" w:rsidR="0016112A" w:rsidRPr="0071319B" w:rsidRDefault="0016112A" w:rsidP="00594DFF">
      <w:pPr>
        <w:pStyle w:val="BodyText"/>
        <w:ind w:left="0"/>
        <w:jc w:val="both"/>
        <w:rPr>
          <w:rFonts w:asciiTheme="majorBidi" w:hAnsiTheme="majorBidi" w:cstheme="majorBidi"/>
          <w:i/>
          <w:u w:val="single"/>
          <w:lang w:val="sr-Latn-ME"/>
        </w:rPr>
      </w:pPr>
      <w:r w:rsidRPr="0071319B">
        <w:rPr>
          <w:rFonts w:asciiTheme="majorBidi" w:hAnsiTheme="majorBidi" w:cstheme="majorBidi"/>
          <w:i/>
          <w:u w:val="single"/>
          <w:lang w:val="sr-Latn-ME"/>
        </w:rPr>
        <w:t xml:space="preserve">8,000 </w:t>
      </w:r>
      <w:proofErr w:type="spellStart"/>
      <w:r w:rsidRPr="0071319B">
        <w:rPr>
          <w:rFonts w:asciiTheme="majorBidi" w:hAnsiTheme="majorBidi" w:cstheme="majorBidi"/>
          <w:i/>
          <w:u w:val="single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i/>
          <w:u w:val="single"/>
          <w:lang w:val="sr-Latn-ME"/>
        </w:rPr>
        <w:t xml:space="preserve">./0.8 </w:t>
      </w:r>
      <w:r w:rsidR="00444F6E" w:rsidRPr="0071319B">
        <w:rPr>
          <w:rFonts w:asciiTheme="majorBidi" w:hAnsiTheme="majorBidi" w:cstheme="majorBidi"/>
          <w:i/>
          <w:u w:val="single"/>
          <w:lang w:val="sr-Latn-ME"/>
        </w:rPr>
        <w:t>ml</w:t>
      </w:r>
      <w:r w:rsidRPr="0071319B">
        <w:rPr>
          <w:rFonts w:asciiTheme="majorBidi" w:hAnsiTheme="majorBidi" w:cstheme="majorBidi"/>
          <w:i/>
          <w:u w:val="single"/>
          <w:lang w:val="sr-Latn-ME"/>
        </w:rPr>
        <w:t xml:space="preserve"> </w:t>
      </w:r>
    </w:p>
    <w:p w14:paraId="2675A472" w14:textId="77777777" w:rsidR="0016112A" w:rsidRPr="0071319B" w:rsidRDefault="0016112A" w:rsidP="00594DFF">
      <w:pPr>
        <w:pStyle w:val="BodyText"/>
        <w:ind w:left="0"/>
        <w:jc w:val="both"/>
        <w:rPr>
          <w:rFonts w:asciiTheme="majorBidi" w:hAnsiTheme="majorBidi" w:cstheme="majorBidi"/>
          <w:lang w:val="sr-Latn-ME"/>
        </w:rPr>
      </w:pPr>
      <w:r w:rsidRPr="0071319B">
        <w:rPr>
          <w:rFonts w:asciiTheme="majorBidi" w:hAnsiTheme="majorBidi" w:cstheme="majorBidi"/>
          <w:lang w:val="sr-Latn-ME"/>
        </w:rPr>
        <w:t xml:space="preserve">Jedan napunjeni injekcioni špric sadrži 8,000 </w:t>
      </w:r>
      <w:proofErr w:type="spellStart"/>
      <w:r w:rsidRPr="0071319B">
        <w:rPr>
          <w:rFonts w:asciiTheme="majorBidi" w:hAnsiTheme="majorBidi" w:cstheme="majorBidi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lang w:val="sr-Latn-ME"/>
        </w:rPr>
        <w:t>. anti-</w:t>
      </w:r>
      <w:proofErr w:type="spellStart"/>
      <w:r w:rsidRPr="0071319B">
        <w:rPr>
          <w:rFonts w:asciiTheme="majorBidi" w:hAnsiTheme="majorBidi" w:cstheme="majorBidi"/>
          <w:lang w:val="sr-Latn-ME"/>
        </w:rPr>
        <w:t>Xa</w:t>
      </w:r>
      <w:proofErr w:type="spellEnd"/>
      <w:r w:rsidRPr="0071319B">
        <w:rPr>
          <w:rFonts w:asciiTheme="majorBidi" w:hAnsiTheme="majorBidi" w:cstheme="majorBidi"/>
          <w:lang w:val="sr-Latn-ME"/>
        </w:rPr>
        <w:t xml:space="preserve"> aktivnosti </w:t>
      </w:r>
      <w:proofErr w:type="spellStart"/>
      <w:r w:rsidRPr="0071319B">
        <w:rPr>
          <w:rFonts w:asciiTheme="majorBidi" w:hAnsiTheme="majorBidi" w:cstheme="majorBidi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lang w:val="sr-Latn-ME"/>
        </w:rPr>
        <w:t xml:space="preserve"> natrijuma (što odgovara 80 mg) u 0.8</w:t>
      </w:r>
      <w:r w:rsidR="00444F6E" w:rsidRPr="0071319B">
        <w:rPr>
          <w:rFonts w:asciiTheme="majorBidi" w:hAnsiTheme="majorBidi" w:cstheme="majorBidi"/>
          <w:lang w:val="sr-Latn-ME"/>
        </w:rPr>
        <w:t>ml</w:t>
      </w:r>
      <w:r w:rsidRPr="0071319B">
        <w:rPr>
          <w:rFonts w:asciiTheme="majorBidi" w:hAnsiTheme="majorBidi" w:cstheme="majorBidi"/>
          <w:lang w:val="sr-Latn-ME"/>
        </w:rPr>
        <w:t xml:space="preserve"> vode za injekcije.  </w:t>
      </w:r>
    </w:p>
    <w:p w14:paraId="0A327DA3" w14:textId="77777777" w:rsidR="0003793F" w:rsidRPr="0071319B" w:rsidRDefault="00833E38" w:rsidP="006568C9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   </w:t>
      </w:r>
    </w:p>
    <w:p w14:paraId="4E0A8FFC" w14:textId="77777777" w:rsidR="00C37FD7" w:rsidRPr="0071319B" w:rsidRDefault="0016112A" w:rsidP="006568C9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 je biološka supstanca dobijena alkalnom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depolimerizacijom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benzil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estra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dobijenog iz svinjske intestinalne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mukoze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0642921D" w14:textId="77777777" w:rsidR="00F83A2F" w:rsidRPr="0071319B" w:rsidRDefault="00F83A2F" w:rsidP="0016112A">
      <w:pPr>
        <w:rPr>
          <w:rFonts w:asciiTheme="majorBidi" w:hAnsiTheme="majorBidi" w:cstheme="majorBidi"/>
          <w:sz w:val="22"/>
          <w:szCs w:val="22"/>
          <w:lang w:val="sr-Latn-ME"/>
        </w:rPr>
      </w:pPr>
    </w:p>
    <w:p w14:paraId="42EC14AA" w14:textId="77777777" w:rsidR="00F83A2F" w:rsidRPr="0071319B" w:rsidRDefault="00F83A2F" w:rsidP="00F83A2F">
      <w:pPr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Za spisak svih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ekscipijenasa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, pogledati dio 6.1.</w:t>
      </w:r>
    </w:p>
    <w:p w14:paraId="75E18516" w14:textId="77777777" w:rsidR="00F83A2F" w:rsidRPr="0071319B" w:rsidRDefault="00F83A2F" w:rsidP="0016112A">
      <w:pPr>
        <w:rPr>
          <w:rFonts w:asciiTheme="majorBidi" w:hAnsiTheme="majorBidi" w:cstheme="majorBidi"/>
          <w:sz w:val="22"/>
          <w:szCs w:val="22"/>
          <w:lang w:val="sr-Latn-ME"/>
        </w:rPr>
      </w:pPr>
    </w:p>
    <w:p w14:paraId="67BB9A32" w14:textId="77777777" w:rsidR="00F83A2F" w:rsidRPr="0071319B" w:rsidRDefault="00F83A2F" w:rsidP="0016112A">
      <w:pPr>
        <w:rPr>
          <w:rFonts w:asciiTheme="majorBidi" w:hAnsiTheme="majorBidi" w:cstheme="majorBidi"/>
          <w:sz w:val="22"/>
          <w:szCs w:val="22"/>
          <w:lang w:val="sr-Latn-ME"/>
        </w:rPr>
      </w:pPr>
    </w:p>
    <w:p w14:paraId="23175E16" w14:textId="77777777" w:rsidR="00411B4B" w:rsidRPr="0071319B" w:rsidRDefault="00411B4B" w:rsidP="00F5167F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3. </w:t>
      </w:r>
      <w:r w:rsidR="00F5167F"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>FARMACEUTSKI OBLIK</w:t>
      </w:r>
      <w:r w:rsidR="009F2D23"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</w:p>
    <w:p w14:paraId="52813760" w14:textId="77777777" w:rsidR="00411B4B" w:rsidRPr="0071319B" w:rsidRDefault="00411B4B">
      <w:pPr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42363F5B" w14:textId="77777777" w:rsidR="0016112A" w:rsidRPr="0071319B" w:rsidRDefault="00833E38">
      <w:pPr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Rastvor za injekciju u napunjenom injekcionom špricu.</w:t>
      </w:r>
    </w:p>
    <w:p w14:paraId="36296BF6" w14:textId="77777777" w:rsidR="00EC2532" w:rsidRPr="0071319B" w:rsidRDefault="00833E38">
      <w:pPr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Bezbojna ili </w:t>
      </w:r>
      <w:proofErr w:type="spellStart"/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svijetložuta</w:t>
      </w:r>
      <w:proofErr w:type="spellEnd"/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providna tečnost, </w:t>
      </w:r>
      <w:proofErr w:type="spellStart"/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pH</w:t>
      </w:r>
      <w:proofErr w:type="spellEnd"/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rastvora je između 5.5 i 7.5.</w:t>
      </w:r>
    </w:p>
    <w:p w14:paraId="6E1F9767" w14:textId="77777777" w:rsidR="0016112A" w:rsidRPr="0071319B" w:rsidRDefault="0016112A">
      <w:pPr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4D003EDB" w14:textId="77777777" w:rsidR="00E17387" w:rsidRPr="0071319B" w:rsidRDefault="00E17387">
      <w:pPr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1D783BE4" w14:textId="77777777" w:rsidR="00411B4B" w:rsidRPr="0071319B" w:rsidRDefault="00411B4B" w:rsidP="00F5167F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4. </w:t>
      </w:r>
      <w:r w:rsidR="00480FB1"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>KLINIČKI PODACI</w:t>
      </w:r>
    </w:p>
    <w:p w14:paraId="289E559F" w14:textId="77777777" w:rsidR="00CD6F02" w:rsidRPr="0071319B" w:rsidRDefault="00CD6F02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5D478CA7" w14:textId="77777777" w:rsidR="00411B4B" w:rsidRPr="0071319B" w:rsidRDefault="00411B4B" w:rsidP="00ED4E48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4.1. </w:t>
      </w:r>
      <w:r w:rsidR="00480FB1"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>Terapijske indikacije</w:t>
      </w:r>
    </w:p>
    <w:p w14:paraId="1CEBBEFB" w14:textId="77777777" w:rsidR="00411B4B" w:rsidRPr="0071319B" w:rsidRDefault="00411B4B" w:rsidP="00ED4E48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1B0A74A2" w14:textId="77777777" w:rsidR="00833E38" w:rsidRPr="0071319B" w:rsidRDefault="00833E38" w:rsidP="007C460C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Lijek </w:t>
      </w:r>
      <w:proofErr w:type="spellStart"/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Enoxaparin</w:t>
      </w:r>
      <w:proofErr w:type="spellEnd"/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Ledraxen</w:t>
      </w:r>
      <w:proofErr w:type="spellEnd"/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je kod odraslih osoba </w:t>
      </w:r>
      <w:proofErr w:type="spellStart"/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indikovan</w:t>
      </w:r>
      <w:proofErr w:type="spellEnd"/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za:</w:t>
      </w:r>
    </w:p>
    <w:p w14:paraId="7B292F55" w14:textId="77777777" w:rsidR="00064BDC" w:rsidRPr="0071319B" w:rsidRDefault="00064BDC" w:rsidP="008A7714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7609D0D4" w14:textId="77777777" w:rsidR="00064BDC" w:rsidRPr="0071319B" w:rsidRDefault="0016112A" w:rsidP="00E17387">
      <w:pPr>
        <w:pStyle w:val="ListParagraph"/>
        <w:numPr>
          <w:ilvl w:val="0"/>
          <w:numId w:val="28"/>
        </w:numPr>
        <w:tabs>
          <w:tab w:val="left" w:pos="0"/>
          <w:tab w:val="left" w:pos="569"/>
        </w:tabs>
        <w:ind w:left="567" w:hanging="567"/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lastRenderedPageBreak/>
        <w:t>P</w:t>
      </w:r>
      <w:r w:rsidR="00833E38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rofilaksu venske </w:t>
      </w:r>
      <w:proofErr w:type="spellStart"/>
      <w:r w:rsidR="00833E38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tromboembolijske</w:t>
      </w:r>
      <w:proofErr w:type="spellEnd"/>
      <w:r w:rsidR="00833E38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bolesti kod hirurških pacijenata umjerenog i visokog rizika, posebno onih koji se podvrgavaju ortopedskim ili opštim hirurškim intervencijama, uključujući </w:t>
      </w:r>
      <w:proofErr w:type="spellStart"/>
      <w:r w:rsidR="00833E38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onkološku</w:t>
      </w:r>
      <w:proofErr w:type="spellEnd"/>
      <w:r w:rsidR="00833E38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hirurgiju.</w:t>
      </w:r>
    </w:p>
    <w:p w14:paraId="719D4614" w14:textId="77777777" w:rsidR="0016112A" w:rsidRPr="0071319B" w:rsidRDefault="0016112A" w:rsidP="00E17387">
      <w:pPr>
        <w:pStyle w:val="ListParagraph"/>
        <w:numPr>
          <w:ilvl w:val="0"/>
          <w:numId w:val="28"/>
        </w:numPr>
        <w:tabs>
          <w:tab w:val="left" w:pos="0"/>
          <w:tab w:val="left" w:pos="569"/>
        </w:tabs>
        <w:ind w:left="567" w:hanging="567"/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P</w:t>
      </w:r>
      <w:r w:rsidR="00833E38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rofilaksu venske </w:t>
      </w:r>
      <w:proofErr w:type="spellStart"/>
      <w:r w:rsidR="00833E38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tromboembolijske</w:t>
      </w:r>
      <w:proofErr w:type="spellEnd"/>
      <w:r w:rsidR="00833E38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bolesti kod</w:t>
      </w:r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medikamentozno</w:t>
      </w:r>
      <w:proofErr w:type="spellEnd"/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liječenih </w:t>
      </w:r>
      <w:r w:rsidR="00064BDC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pacijenata sa</w:t>
      </w:r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akutnom bolešću</w:t>
      </w:r>
      <w:r w:rsidR="00833E38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(uključujući srčanu insuficijenciju, respiratornu insuficijenciju, teške infekcije i</w:t>
      </w:r>
      <w:r w:rsidR="00064BDC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li</w:t>
      </w:r>
      <w:r w:rsidR="00833E38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reumatske bolesti) i smanjene pokretljivosti u situacijama povećanog rizika od razvoja venske </w:t>
      </w:r>
      <w:proofErr w:type="spellStart"/>
      <w:r w:rsidR="00833E38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tromboembolije</w:t>
      </w:r>
      <w:proofErr w:type="spellEnd"/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</w:p>
    <w:p w14:paraId="39967137" w14:textId="77777777" w:rsidR="0016112A" w:rsidRPr="0071319B" w:rsidRDefault="0016112A" w:rsidP="00E17387">
      <w:pPr>
        <w:pStyle w:val="ListParagraph"/>
        <w:numPr>
          <w:ilvl w:val="0"/>
          <w:numId w:val="28"/>
        </w:numPr>
        <w:tabs>
          <w:tab w:val="left" w:pos="0"/>
          <w:tab w:val="left" w:pos="569"/>
        </w:tabs>
        <w:ind w:left="567" w:hanging="567"/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Terapiju duboke venske tromboze </w:t>
      </w:r>
      <w:r w:rsidR="00833E38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(DVT) i plućne embolije (PE), izuzev PE koja će vjerovatno zahtijevati </w:t>
      </w:r>
      <w:proofErr w:type="spellStart"/>
      <w:r w:rsidR="00833E38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trombolitičku</w:t>
      </w:r>
      <w:proofErr w:type="spellEnd"/>
      <w:r w:rsidR="00833E38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terapiju ili operaciju</w:t>
      </w:r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</w:p>
    <w:p w14:paraId="5B821FDF" w14:textId="77777777" w:rsidR="00064BDC" w:rsidRPr="0071319B" w:rsidRDefault="00064BDC" w:rsidP="00E17387">
      <w:pPr>
        <w:pStyle w:val="ListParagraph"/>
        <w:numPr>
          <w:ilvl w:val="0"/>
          <w:numId w:val="28"/>
        </w:numPr>
        <w:tabs>
          <w:tab w:val="left" w:pos="0"/>
          <w:tab w:val="left" w:pos="569"/>
        </w:tabs>
        <w:ind w:left="567" w:hanging="567"/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Produženu </w:t>
      </w:r>
      <w:r w:rsidR="004C1266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terapiju duboke</w:t>
      </w:r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venske tromboze (DVT) i plućne embolije (PE) i </w:t>
      </w:r>
      <w:r w:rsidR="003B26CA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prevenciji </w:t>
      </w:r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njihovog ponavljanja kod pacijenata koji boluju od </w:t>
      </w:r>
      <w:proofErr w:type="spellStart"/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karcinoma</w:t>
      </w:r>
      <w:proofErr w:type="spellEnd"/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</w:p>
    <w:p w14:paraId="2A0DA680" w14:textId="77777777" w:rsidR="0002675C" w:rsidRPr="0071319B" w:rsidRDefault="0016112A" w:rsidP="00E17387">
      <w:pPr>
        <w:pStyle w:val="ListParagraph"/>
        <w:numPr>
          <w:ilvl w:val="0"/>
          <w:numId w:val="28"/>
        </w:numPr>
        <w:tabs>
          <w:tab w:val="left" w:pos="0"/>
          <w:tab w:val="left" w:pos="569"/>
        </w:tabs>
        <w:ind w:left="567" w:hanging="567"/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P</w:t>
      </w:r>
      <w:r w:rsidR="00833E38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revenciju formiranja</w:t>
      </w:r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="0002675C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krvnih ugruška</w:t>
      </w:r>
      <w:r w:rsidR="00833E38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u </w:t>
      </w:r>
      <w:proofErr w:type="spellStart"/>
      <w:r w:rsidR="00833E38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ekstrakorporalnoj</w:t>
      </w:r>
      <w:proofErr w:type="spellEnd"/>
      <w:r w:rsidR="00833E38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cirkulaciji za vrijeme </w:t>
      </w:r>
      <w:proofErr w:type="spellStart"/>
      <w:r w:rsidR="00833E38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hemodijalize</w:t>
      </w:r>
      <w:proofErr w:type="spellEnd"/>
      <w:r w:rsidR="00833E38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</w:p>
    <w:p w14:paraId="68B932F9" w14:textId="77777777" w:rsidR="00833E38" w:rsidRPr="0071319B" w:rsidRDefault="0002675C" w:rsidP="00E17387">
      <w:pPr>
        <w:pStyle w:val="ListParagraph"/>
        <w:numPr>
          <w:ilvl w:val="0"/>
          <w:numId w:val="28"/>
        </w:numPr>
        <w:tabs>
          <w:tab w:val="left" w:pos="0"/>
          <w:tab w:val="left" w:pos="569"/>
        </w:tabs>
        <w:ind w:left="567" w:hanging="567"/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A</w:t>
      </w:r>
      <w:r w:rsidR="00833E38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kutni koronarni sindrom:</w:t>
      </w:r>
    </w:p>
    <w:p w14:paraId="23E55652" w14:textId="77777777" w:rsidR="007770C8" w:rsidRPr="0071319B" w:rsidRDefault="00833E38">
      <w:pPr>
        <w:pStyle w:val="ListParagraph"/>
        <w:numPr>
          <w:ilvl w:val="0"/>
          <w:numId w:val="29"/>
        </w:numPr>
        <w:tabs>
          <w:tab w:val="left" w:pos="540"/>
          <w:tab w:val="left" w:pos="567"/>
        </w:tabs>
        <w:ind w:left="567"/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terapija nestabilne angine i akutnog infarkta miokarda bez elevacije ST segmenta (NS</w:t>
      </w:r>
      <w:r w:rsidR="0002675C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TEMI), u kombinaciji sa </w:t>
      </w:r>
      <w:proofErr w:type="spellStart"/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acetilsalicilnom</w:t>
      </w:r>
      <w:proofErr w:type="spellEnd"/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kiselinom.</w:t>
      </w:r>
    </w:p>
    <w:p w14:paraId="302D55CA" w14:textId="77777777" w:rsidR="00833E38" w:rsidRPr="0071319B" w:rsidRDefault="00833E38" w:rsidP="00ED4E48">
      <w:pPr>
        <w:pStyle w:val="ListParagraph"/>
        <w:numPr>
          <w:ilvl w:val="0"/>
          <w:numId w:val="29"/>
        </w:numPr>
        <w:tabs>
          <w:tab w:val="left" w:pos="540"/>
          <w:tab w:val="left" w:pos="567"/>
        </w:tabs>
        <w:ind w:left="567"/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terapija akutnog infarkta miokarda sa elevacijom ST segmenta (STEMI), uključujući i pacijente</w:t>
      </w:r>
      <w:r w:rsidR="007770C8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7770C8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koji će</w:t>
      </w:r>
      <w:r w:rsidR="001A68D8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="007770C8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se liječiti </w:t>
      </w:r>
      <w:proofErr w:type="spellStart"/>
      <w:r w:rsidR="007770C8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medikamentozno</w:t>
      </w:r>
      <w:proofErr w:type="spellEnd"/>
      <w:r w:rsidR="007770C8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ili </w:t>
      </w:r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će naknadno biti podvrgnuti </w:t>
      </w:r>
      <w:proofErr w:type="spellStart"/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perkutanoj</w:t>
      </w:r>
      <w:proofErr w:type="spellEnd"/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koronarnoj intervenciji (PCI).</w:t>
      </w:r>
    </w:p>
    <w:p w14:paraId="56410398" w14:textId="77777777" w:rsidR="00833E38" w:rsidRPr="0071319B" w:rsidRDefault="00833E38" w:rsidP="00ED4E48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1733B690" w14:textId="77777777" w:rsidR="00411B4B" w:rsidRPr="0071319B" w:rsidRDefault="00411B4B" w:rsidP="00ED4E48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4.2. </w:t>
      </w:r>
      <w:r w:rsidR="00480FB1"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>Doziranje i način primjene</w:t>
      </w:r>
    </w:p>
    <w:p w14:paraId="35EF6BB5" w14:textId="77777777" w:rsidR="0072020E" w:rsidRPr="0071319B" w:rsidRDefault="0072020E" w:rsidP="00ED4E48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3D03DDD7" w14:textId="77777777" w:rsidR="00452E9D" w:rsidRPr="0071319B" w:rsidRDefault="00452E9D" w:rsidP="00ED4E48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</w:pPr>
      <w:r w:rsidRPr="0071319B"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  <w:t>Doziranje</w:t>
      </w:r>
    </w:p>
    <w:p w14:paraId="586247D6" w14:textId="77777777" w:rsidR="0065709D" w:rsidRPr="0071319B" w:rsidRDefault="0065709D" w:rsidP="00ED4E48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</w:pPr>
    </w:p>
    <w:p w14:paraId="4D6AC890" w14:textId="77777777" w:rsidR="00E17387" w:rsidRPr="0071319B" w:rsidRDefault="00833E38" w:rsidP="00E17387">
      <w:pPr>
        <w:widowControl w:val="0"/>
        <w:autoSpaceDE w:val="0"/>
        <w:autoSpaceDN w:val="0"/>
        <w:spacing w:before="2" w:line="235" w:lineRule="auto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 xml:space="preserve">Profilaksa venske </w:t>
      </w:r>
      <w:proofErr w:type="spellStart"/>
      <w:r w:rsidRPr="0071319B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>tromboembolijske</w:t>
      </w:r>
      <w:proofErr w:type="spellEnd"/>
      <w:r w:rsidRPr="0071319B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 xml:space="preserve"> bolesti kod hirurških pacijenata umjerenog i visokog rizika</w:t>
      </w:r>
      <w:r w:rsidRPr="0071319B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 </w:t>
      </w:r>
    </w:p>
    <w:p w14:paraId="149D24C4" w14:textId="77777777" w:rsidR="00833E38" w:rsidRPr="0071319B" w:rsidRDefault="00833E38" w:rsidP="00E17387">
      <w:pPr>
        <w:widowControl w:val="0"/>
        <w:autoSpaceDE w:val="0"/>
        <w:autoSpaceDN w:val="0"/>
        <w:spacing w:before="2" w:line="235" w:lineRule="auto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Individualni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tromboembolijski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rizik za pacijent</w:t>
      </w:r>
      <w:r w:rsidR="00FD1FA1" w:rsidRPr="0071319B">
        <w:rPr>
          <w:rFonts w:asciiTheme="majorBidi" w:hAnsiTheme="majorBidi" w:cstheme="majorBidi"/>
          <w:sz w:val="22"/>
          <w:szCs w:val="22"/>
          <w:lang w:val="sr-Latn-ME"/>
        </w:rPr>
        <w:t>e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može biti procijenjen upotrebom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validiranog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modela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stratifikacije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rizika.</w:t>
      </w:r>
    </w:p>
    <w:p w14:paraId="6B982E9E" w14:textId="77777777" w:rsidR="00C60338" w:rsidRPr="0071319B" w:rsidRDefault="00833E38" w:rsidP="006568C9">
      <w:pPr>
        <w:pStyle w:val="ListParagraph"/>
        <w:widowControl w:val="0"/>
        <w:numPr>
          <w:ilvl w:val="0"/>
          <w:numId w:val="30"/>
        </w:numPr>
        <w:tabs>
          <w:tab w:val="left" w:pos="876"/>
        </w:tabs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Kod pacijenata sa umjerenim rizikom od venske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tromboembolije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, preporučena doza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je 2000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(20 mg.) jednom dnevno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su</w:t>
      </w:r>
      <w:r w:rsidR="003601E4" w:rsidRPr="0071319B">
        <w:rPr>
          <w:rFonts w:asciiTheme="majorBidi" w:hAnsiTheme="majorBidi" w:cstheme="majorBidi"/>
          <w:sz w:val="22"/>
          <w:szCs w:val="22"/>
          <w:lang w:val="sr-Latn-ME"/>
        </w:rPr>
        <w:t>b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kutanom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injekcijom. Kod pacijenata koji se operišu,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incijalna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doza od 2000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 (20 mg) 2 sata </w:t>
      </w:r>
      <w:proofErr w:type="spellStart"/>
      <w:r w:rsidRPr="0071319B">
        <w:rPr>
          <w:rFonts w:asciiTheme="majorBidi" w:hAnsiTheme="majorBidi" w:cstheme="majorBidi"/>
          <w:spacing w:val="-3"/>
          <w:sz w:val="22"/>
          <w:szCs w:val="22"/>
          <w:lang w:val="sr-Latn-ME"/>
        </w:rPr>
        <w:t>pred</w:t>
      </w:r>
      <w:proofErr w:type="spellEnd"/>
      <w:r w:rsidRPr="0071319B">
        <w:rPr>
          <w:rFonts w:asciiTheme="majorBidi" w:hAnsiTheme="majorBidi" w:cstheme="majorBidi"/>
          <w:spacing w:val="-3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operaciju pokazala se kao efikasna i </w:t>
      </w:r>
      <w:r w:rsidR="001A68D8" w:rsidRPr="0071319B">
        <w:rPr>
          <w:rFonts w:asciiTheme="majorBidi" w:hAnsiTheme="majorBidi" w:cstheme="majorBidi"/>
          <w:sz w:val="22"/>
          <w:szCs w:val="22"/>
          <w:lang w:val="sr-Latn-ME"/>
        </w:rPr>
        <w:t>bezbjedna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kod operacija umjerenog</w:t>
      </w:r>
      <w:r w:rsidRPr="0071319B">
        <w:rPr>
          <w:rFonts w:asciiTheme="majorBidi" w:hAnsiTheme="majorBidi" w:cstheme="majorBidi"/>
          <w:spacing w:val="-3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rizika.</w:t>
      </w:r>
    </w:p>
    <w:p w14:paraId="4841652D" w14:textId="77777777" w:rsidR="00833E38" w:rsidRPr="0071319B" w:rsidRDefault="00833E38" w:rsidP="006568C9">
      <w:pPr>
        <w:pStyle w:val="ListParagraph"/>
        <w:widowControl w:val="0"/>
        <w:numPr>
          <w:ilvl w:val="0"/>
          <w:numId w:val="30"/>
        </w:numPr>
        <w:tabs>
          <w:tab w:val="left" w:pos="876"/>
        </w:tabs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Kod pacijenata umjerenog rizika terapija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natrijumom treba da traje minimum 7-10 dana bez obzira na stanje pacijenta (npr. pokretljivost). Profilaksu treba nastaviti sve dok pacijent više nema značajno smanjenu pokretljivost.</w:t>
      </w:r>
    </w:p>
    <w:p w14:paraId="0FD339E8" w14:textId="77777777" w:rsidR="00C60338" w:rsidRPr="0071319B" w:rsidRDefault="00833E38" w:rsidP="006568C9">
      <w:pPr>
        <w:pStyle w:val="ListParagraph"/>
        <w:widowControl w:val="0"/>
        <w:numPr>
          <w:ilvl w:val="0"/>
          <w:numId w:val="30"/>
        </w:numPr>
        <w:tabs>
          <w:tab w:val="left" w:pos="1673"/>
        </w:tabs>
        <w:autoSpaceDE w:val="0"/>
        <w:autoSpaceDN w:val="0"/>
        <w:spacing w:before="1" w:line="235" w:lineRule="auto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Kod pacijenata sa visokim rizikom od nastanka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tromboembolije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, preporučena doza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natrijuma, koja </w:t>
      </w:r>
      <w:r w:rsidRPr="0071319B">
        <w:rPr>
          <w:rFonts w:asciiTheme="majorBidi" w:hAnsiTheme="majorBidi" w:cstheme="majorBidi"/>
          <w:spacing w:val="2"/>
          <w:sz w:val="22"/>
          <w:szCs w:val="22"/>
          <w:lang w:val="sr-Latn-ME"/>
        </w:rPr>
        <w:t xml:space="preserve">se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daje </w:t>
      </w:r>
      <w:proofErr w:type="spellStart"/>
      <w:r w:rsidR="003601E4" w:rsidRPr="0071319B">
        <w:rPr>
          <w:rFonts w:asciiTheme="majorBidi" w:hAnsiTheme="majorBidi" w:cstheme="majorBidi"/>
          <w:sz w:val="22"/>
          <w:szCs w:val="22"/>
          <w:lang w:val="sr-Latn-ME"/>
        </w:rPr>
        <w:t>subk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utnom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injekcijom, je 4000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 </w:t>
      </w:r>
      <w:r w:rsidR="003601E4" w:rsidRPr="0071319B">
        <w:rPr>
          <w:rFonts w:asciiTheme="majorBidi" w:hAnsiTheme="majorBidi" w:cstheme="majorBidi"/>
          <w:sz w:val="22"/>
          <w:szCs w:val="22"/>
          <w:lang w:val="sr-Latn-ME"/>
        </w:rPr>
        <w:t>(40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mg) jednom dnevno uz inicijalnu dozu koja se primjenjuje približno 12 sati prije operacije. Ukoliko postoji potreba za početkom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profilaktičke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primjene ranije od 12 h </w:t>
      </w:r>
      <w:r w:rsidRPr="0071319B">
        <w:rPr>
          <w:rFonts w:asciiTheme="majorBidi" w:hAnsiTheme="majorBidi" w:cstheme="majorBidi"/>
          <w:spacing w:val="2"/>
          <w:sz w:val="22"/>
          <w:szCs w:val="22"/>
          <w:lang w:val="sr-Latn-ME"/>
        </w:rPr>
        <w:t xml:space="preserve">prije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operacije (npr. pacijent visokog rizika koga očekuje ortopedska operacija), posljednju injekciju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treba dati najkasnije 12 h </w:t>
      </w:r>
      <w:r w:rsidRPr="0071319B">
        <w:rPr>
          <w:rFonts w:asciiTheme="majorBidi" w:hAnsiTheme="majorBidi" w:cstheme="majorBidi"/>
          <w:spacing w:val="2"/>
          <w:sz w:val="22"/>
          <w:szCs w:val="22"/>
          <w:lang w:val="sr-Latn-ME"/>
        </w:rPr>
        <w:t xml:space="preserve">prije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operacije i nastaviti sa primjenom 12</w:t>
      </w:r>
      <w:r w:rsidR="001A68D8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h nakon operacije.</w:t>
      </w:r>
    </w:p>
    <w:p w14:paraId="3561227E" w14:textId="77777777" w:rsidR="00C60338" w:rsidRPr="0071319B" w:rsidRDefault="00833E38" w:rsidP="003207FF">
      <w:pPr>
        <w:pStyle w:val="ListParagraph"/>
        <w:widowControl w:val="0"/>
        <w:numPr>
          <w:ilvl w:val="0"/>
          <w:numId w:val="40"/>
        </w:numPr>
        <w:tabs>
          <w:tab w:val="left" w:pos="1673"/>
        </w:tabs>
        <w:autoSpaceDE w:val="0"/>
        <w:autoSpaceDN w:val="0"/>
        <w:spacing w:before="1" w:line="235" w:lineRule="auto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Za pacijente koji se podvrgavaju velikim ortopedskim operacijama preporučuje se produžena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tromboprofilaksa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u trajanju do 5 ned</w:t>
      </w:r>
      <w:r w:rsidR="001A68D8" w:rsidRPr="0071319B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elja.</w:t>
      </w:r>
    </w:p>
    <w:p w14:paraId="6A7511DD" w14:textId="77777777" w:rsidR="00833E38" w:rsidRPr="0071319B" w:rsidRDefault="003601E4" w:rsidP="003207FF">
      <w:pPr>
        <w:pStyle w:val="ListParagraph"/>
        <w:widowControl w:val="0"/>
        <w:numPr>
          <w:ilvl w:val="0"/>
          <w:numId w:val="39"/>
        </w:numPr>
        <w:tabs>
          <w:tab w:val="left" w:pos="1673"/>
        </w:tabs>
        <w:autoSpaceDE w:val="0"/>
        <w:autoSpaceDN w:val="0"/>
        <w:spacing w:before="1" w:line="235" w:lineRule="auto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Za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pacijenate</w:t>
      </w:r>
      <w:proofErr w:type="spellEnd"/>
      <w:r w:rsidR="00833E38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sa visokim rizikom od nastanka venske </w:t>
      </w:r>
      <w:proofErr w:type="spellStart"/>
      <w:r w:rsidR="00833E38" w:rsidRPr="0071319B">
        <w:rPr>
          <w:rFonts w:asciiTheme="majorBidi" w:hAnsiTheme="majorBidi" w:cstheme="majorBidi"/>
          <w:sz w:val="22"/>
          <w:szCs w:val="22"/>
          <w:lang w:val="sr-Latn-ME"/>
        </w:rPr>
        <w:t>tromboembolije</w:t>
      </w:r>
      <w:proofErr w:type="spellEnd"/>
      <w:r w:rsidR="00833E38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(VTE)</w:t>
      </w:r>
      <w:r w:rsidR="00FF3DF0" w:rsidRPr="0071319B">
        <w:rPr>
          <w:rFonts w:asciiTheme="majorBidi" w:hAnsiTheme="majorBidi" w:cstheme="majorBidi"/>
          <w:sz w:val="22"/>
          <w:szCs w:val="22"/>
          <w:lang w:val="sr-Latn-ME"/>
        </w:rPr>
        <w:t>,</w:t>
      </w:r>
      <w:r w:rsidR="00833E38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a </w:t>
      </w:r>
      <w:r w:rsidR="00833E38" w:rsidRPr="0071319B">
        <w:rPr>
          <w:rFonts w:asciiTheme="majorBidi" w:hAnsiTheme="majorBidi" w:cstheme="majorBidi"/>
          <w:spacing w:val="-3"/>
          <w:sz w:val="22"/>
          <w:szCs w:val="22"/>
          <w:lang w:val="sr-Latn-ME"/>
        </w:rPr>
        <w:t xml:space="preserve">koji </w:t>
      </w:r>
      <w:r w:rsidR="00833E38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će biti podvrgnuti </w:t>
      </w:r>
      <w:proofErr w:type="spellStart"/>
      <w:r w:rsidR="00833E38" w:rsidRPr="0071319B">
        <w:rPr>
          <w:rFonts w:asciiTheme="majorBidi" w:hAnsiTheme="majorBidi" w:cstheme="majorBidi"/>
          <w:sz w:val="22"/>
          <w:szCs w:val="22"/>
          <w:lang w:val="sr-Latn-ME"/>
        </w:rPr>
        <w:t>onkološkim</w:t>
      </w:r>
      <w:proofErr w:type="spellEnd"/>
      <w:r w:rsidR="00833E38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operacijama u predjelu abdomena i </w:t>
      </w:r>
      <w:proofErr w:type="spellStart"/>
      <w:r w:rsidR="00833E38" w:rsidRPr="0071319B">
        <w:rPr>
          <w:rFonts w:asciiTheme="majorBidi" w:hAnsiTheme="majorBidi" w:cstheme="majorBidi"/>
          <w:sz w:val="22"/>
          <w:szCs w:val="22"/>
          <w:lang w:val="sr-Latn-ME"/>
        </w:rPr>
        <w:t>pelvisa</w:t>
      </w:r>
      <w:proofErr w:type="spellEnd"/>
      <w:r w:rsidR="00833E38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, preporučuje se produžena </w:t>
      </w:r>
      <w:proofErr w:type="spellStart"/>
      <w:r w:rsidR="00833E38" w:rsidRPr="0071319B">
        <w:rPr>
          <w:rFonts w:asciiTheme="majorBidi" w:hAnsiTheme="majorBidi" w:cstheme="majorBidi"/>
          <w:sz w:val="22"/>
          <w:szCs w:val="22"/>
          <w:lang w:val="sr-Latn-ME"/>
        </w:rPr>
        <w:t>tromboprofilaksa</w:t>
      </w:r>
      <w:proofErr w:type="spellEnd"/>
      <w:r w:rsidR="00833E38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u trajanju do 4</w:t>
      </w:r>
      <w:r w:rsidR="00833E38" w:rsidRPr="0071319B">
        <w:rPr>
          <w:rFonts w:asciiTheme="majorBidi" w:hAnsiTheme="majorBidi" w:cstheme="majorBidi"/>
          <w:spacing w:val="-31"/>
          <w:sz w:val="22"/>
          <w:szCs w:val="22"/>
          <w:lang w:val="sr-Latn-ME"/>
        </w:rPr>
        <w:t xml:space="preserve"> </w:t>
      </w:r>
      <w:r w:rsidR="00833E38" w:rsidRPr="0071319B">
        <w:rPr>
          <w:rFonts w:asciiTheme="majorBidi" w:hAnsiTheme="majorBidi" w:cstheme="majorBidi"/>
          <w:sz w:val="22"/>
          <w:szCs w:val="22"/>
          <w:lang w:val="sr-Latn-ME"/>
        </w:rPr>
        <w:t>ned</w:t>
      </w:r>
      <w:r w:rsidR="001A68D8" w:rsidRPr="0071319B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="00833E38" w:rsidRPr="0071319B">
        <w:rPr>
          <w:rFonts w:asciiTheme="majorBidi" w:hAnsiTheme="majorBidi" w:cstheme="majorBidi"/>
          <w:sz w:val="22"/>
          <w:szCs w:val="22"/>
          <w:lang w:val="sr-Latn-ME"/>
        </w:rPr>
        <w:t>elje.</w:t>
      </w:r>
    </w:p>
    <w:p w14:paraId="283B402D" w14:textId="77777777" w:rsidR="00833E38" w:rsidRPr="0071319B" w:rsidRDefault="00833E38">
      <w:pPr>
        <w:widowControl w:val="0"/>
        <w:tabs>
          <w:tab w:val="left" w:pos="1673"/>
        </w:tabs>
        <w:autoSpaceDE w:val="0"/>
        <w:autoSpaceDN w:val="0"/>
        <w:spacing w:before="1" w:line="232" w:lineRule="auto"/>
        <w:ind w:left="1672" w:right="331" w:hanging="361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0419BF9D" w14:textId="346B9DFD" w:rsidR="00833E38" w:rsidRPr="0071319B" w:rsidRDefault="00833E38" w:rsidP="00E17387">
      <w:pPr>
        <w:widowControl w:val="0"/>
        <w:autoSpaceDE w:val="0"/>
        <w:autoSpaceDN w:val="0"/>
        <w:spacing w:before="2" w:line="235" w:lineRule="auto"/>
        <w:jc w:val="both"/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 xml:space="preserve">Profilaksa venske </w:t>
      </w:r>
      <w:proofErr w:type="spellStart"/>
      <w:r w:rsidRPr="0071319B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>tromboembolije</w:t>
      </w:r>
      <w:proofErr w:type="spellEnd"/>
      <w:r w:rsidRPr="0071319B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 xml:space="preserve"> kod </w:t>
      </w:r>
      <w:proofErr w:type="spellStart"/>
      <w:r w:rsidR="00C24A20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>medikamentozno</w:t>
      </w:r>
      <w:proofErr w:type="spellEnd"/>
      <w:r w:rsidR="00C24A20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 xml:space="preserve"> liječenih</w:t>
      </w:r>
      <w:r w:rsidR="00C24A20" w:rsidRPr="0071319B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 xml:space="preserve"> </w:t>
      </w:r>
      <w:r w:rsidRPr="0071319B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>pacijenata</w:t>
      </w:r>
    </w:p>
    <w:p w14:paraId="6AD8A587" w14:textId="77777777" w:rsidR="00833E38" w:rsidRPr="0071319B" w:rsidRDefault="00833E38" w:rsidP="006568C9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Preporučena doza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je 4000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 (40 mg) jednom dnevno putem </w:t>
      </w:r>
      <w:proofErr w:type="spellStart"/>
      <w:r w:rsidR="003601E4" w:rsidRPr="0071319B">
        <w:rPr>
          <w:rFonts w:asciiTheme="majorBidi" w:hAnsiTheme="majorBidi" w:cstheme="majorBidi"/>
          <w:sz w:val="22"/>
          <w:szCs w:val="22"/>
          <w:lang w:val="sr-Latn-ME"/>
        </w:rPr>
        <w:t>subk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utane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injekcije.</w:t>
      </w:r>
      <w:r w:rsidR="001A68D8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Terapija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natrijumom se propisuje u trajanju od najmanje 6 do 14 dana bez obzira na stepen oporavka (npr. pokretljivost). Nije utvrđena korist od terapije u trajanju dužem od 14 dana.</w:t>
      </w:r>
    </w:p>
    <w:p w14:paraId="14530E6D" w14:textId="77777777" w:rsidR="0087601E" w:rsidRPr="0071319B" w:rsidRDefault="0087601E" w:rsidP="006568C9">
      <w:pPr>
        <w:widowControl w:val="0"/>
        <w:autoSpaceDE w:val="0"/>
        <w:autoSpaceDN w:val="0"/>
        <w:spacing w:before="2" w:line="235" w:lineRule="auto"/>
        <w:jc w:val="both"/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</w:pPr>
    </w:p>
    <w:p w14:paraId="515D321B" w14:textId="77777777" w:rsidR="00833E38" w:rsidRPr="0071319B" w:rsidRDefault="00833E38" w:rsidP="006568C9">
      <w:pPr>
        <w:widowControl w:val="0"/>
        <w:autoSpaceDE w:val="0"/>
        <w:autoSpaceDN w:val="0"/>
        <w:spacing w:before="2" w:line="235" w:lineRule="auto"/>
        <w:jc w:val="both"/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>T</w:t>
      </w:r>
      <w:r w:rsidR="0087601E" w:rsidRPr="0071319B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 xml:space="preserve">erapija </w:t>
      </w:r>
      <w:r w:rsidRPr="0071319B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>DVT</w:t>
      </w:r>
      <w:r w:rsidR="0087601E" w:rsidRPr="0071319B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 xml:space="preserve"> i </w:t>
      </w:r>
      <w:r w:rsidRPr="0071319B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>PE</w:t>
      </w:r>
    </w:p>
    <w:p w14:paraId="7F580CB9" w14:textId="1F98C795" w:rsidR="00833E38" w:rsidRPr="0071319B" w:rsidRDefault="00833E38" w:rsidP="006568C9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 se može davati </w:t>
      </w:r>
      <w:proofErr w:type="spellStart"/>
      <w:r w:rsidR="003601E4" w:rsidRPr="0071319B">
        <w:rPr>
          <w:rFonts w:asciiTheme="majorBidi" w:hAnsiTheme="majorBidi" w:cstheme="majorBidi"/>
          <w:sz w:val="22"/>
          <w:szCs w:val="22"/>
          <w:lang w:val="sr-Latn-ME"/>
        </w:rPr>
        <w:t>subk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utano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bilo kao </w:t>
      </w:r>
      <w:r w:rsidR="00C24A20">
        <w:rPr>
          <w:rFonts w:asciiTheme="majorBidi" w:hAnsiTheme="majorBidi" w:cstheme="majorBidi"/>
          <w:sz w:val="22"/>
          <w:szCs w:val="22"/>
          <w:lang w:val="sr-Latn-ME"/>
        </w:rPr>
        <w:t>pojedinačna</w:t>
      </w:r>
      <w:r w:rsidR="00C24A20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injekcija od 150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./kg (1,5 mg/kg) ili dva puta dnevno kao injekcija od 100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./</w:t>
      </w:r>
      <w:r w:rsidR="0087601E" w:rsidRPr="0071319B">
        <w:rPr>
          <w:rFonts w:asciiTheme="majorBidi" w:hAnsiTheme="majorBidi" w:cstheme="majorBidi"/>
          <w:sz w:val="22"/>
          <w:szCs w:val="22"/>
          <w:lang w:val="sr-Latn-ME"/>
        </w:rPr>
        <w:t>kg (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1mg /kg).</w:t>
      </w:r>
    </w:p>
    <w:p w14:paraId="6FED0A05" w14:textId="3E3C852B" w:rsidR="00833E38" w:rsidRDefault="00833E38" w:rsidP="006568C9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Odgovarajući režim primjene treba da bude odabran od strane ljekara i zasnovan na individualnoj procjeni, uključujući procjenu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tromboembolijskog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rizika i rizika od nastanka krvarenja. Režim primjene </w:t>
      </w:r>
      <w:r w:rsidR="00C24A20">
        <w:rPr>
          <w:rFonts w:asciiTheme="majorBidi" w:hAnsiTheme="majorBidi" w:cstheme="majorBidi"/>
          <w:sz w:val="22"/>
          <w:szCs w:val="22"/>
          <w:lang w:val="sr-Latn-ME"/>
        </w:rPr>
        <w:t xml:space="preserve">pojedinačne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injekcije od 150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./kg (1,5 mg/kg) treba primjenjivati kod pacijenata sa niskim rizikom </w:t>
      </w:r>
      <w:r w:rsidR="00C24A20">
        <w:rPr>
          <w:rFonts w:asciiTheme="majorBidi" w:hAnsiTheme="majorBidi" w:cstheme="majorBidi"/>
          <w:sz w:val="22"/>
          <w:szCs w:val="22"/>
          <w:lang w:val="sr-Latn-ME"/>
        </w:rPr>
        <w:t>od ponovne pojave</w:t>
      </w:r>
      <w:r w:rsidR="00C24A20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venske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tromboembolije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(VTE). Režim primjene dva puta dnevno kao injekcija od 100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./kg (1mg /kg) treba primijeniti kod svih ostalih pacijenata, kao što su gojazni pacijenti, pacijenti sa simptomatskom PE,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lastRenderedPageBreak/>
        <w:t>malignitetom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, rekurentnom VTE ili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proksimalnom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trombozom (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ilijačne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vene).</w:t>
      </w:r>
    </w:p>
    <w:p w14:paraId="10889A32" w14:textId="77777777" w:rsidR="00F1097F" w:rsidRPr="0071319B" w:rsidRDefault="00F1097F" w:rsidP="006568C9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73A6428C" w14:textId="66D859AC" w:rsidR="00833E38" w:rsidRDefault="00833E38" w:rsidP="001254DD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Terapija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enoksaprain</w:t>
      </w:r>
      <w:proofErr w:type="spellEnd"/>
      <w:r w:rsidR="003B26CA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om </w:t>
      </w:r>
      <w:r w:rsidRPr="0071319B">
        <w:rPr>
          <w:rFonts w:asciiTheme="majorBidi" w:hAnsiTheme="majorBidi" w:cstheme="majorBidi"/>
          <w:spacing w:val="2"/>
          <w:sz w:val="22"/>
          <w:szCs w:val="22"/>
          <w:lang w:val="sr-Latn-ME"/>
        </w:rPr>
        <w:t xml:space="preserve">se </w:t>
      </w:r>
      <w:r w:rsidRPr="0071319B">
        <w:rPr>
          <w:rFonts w:asciiTheme="majorBidi" w:hAnsiTheme="majorBidi" w:cstheme="majorBidi"/>
          <w:spacing w:val="-3"/>
          <w:sz w:val="22"/>
          <w:szCs w:val="22"/>
          <w:lang w:val="sr-Latn-ME"/>
        </w:rPr>
        <w:t xml:space="preserve">obično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propisuje na srednji period od 10</w:t>
      </w:r>
      <w:r w:rsidR="008A7714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dana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 Terapiju oralnim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antikoagulansom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treba započeti u odgovarajućem momentu (vidjeti „Prelazak sa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na oralne </w:t>
      </w:r>
      <w:proofErr w:type="spellStart"/>
      <w:r w:rsidR="002014DC" w:rsidRPr="0071319B">
        <w:rPr>
          <w:rFonts w:asciiTheme="majorBidi" w:hAnsiTheme="majorBidi" w:cstheme="majorBidi"/>
          <w:sz w:val="22"/>
          <w:szCs w:val="22"/>
          <w:lang w:val="sr-Latn-ME"/>
        </w:rPr>
        <w:t>antikoagulanse</w:t>
      </w:r>
      <w:proofErr w:type="spellEnd"/>
      <w:r w:rsidR="002014DC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“na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kraju </w:t>
      </w:r>
      <w:r w:rsidR="00F30D6A">
        <w:rPr>
          <w:rFonts w:asciiTheme="majorBidi" w:hAnsiTheme="majorBidi" w:cstheme="majorBidi"/>
          <w:sz w:val="22"/>
          <w:szCs w:val="22"/>
          <w:lang w:val="sr-Latn-ME"/>
        </w:rPr>
        <w:t>dijel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a</w:t>
      </w:r>
      <w:r w:rsidRPr="0071319B">
        <w:rPr>
          <w:rFonts w:asciiTheme="majorBidi" w:hAnsiTheme="majorBidi" w:cstheme="majorBidi"/>
          <w:spacing w:val="3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4.2).</w:t>
      </w:r>
    </w:p>
    <w:p w14:paraId="14F513F9" w14:textId="77777777" w:rsidR="00F1097F" w:rsidRPr="0071319B" w:rsidRDefault="00F1097F" w:rsidP="001254DD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4C53E1E1" w14:textId="40710CC3" w:rsidR="003B26CA" w:rsidRDefault="003B26CA" w:rsidP="001254DD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U produženoj terapiji duboke venske tromboze (DVT) i plućne embolije (PE) i </w:t>
      </w:r>
      <w:r w:rsidR="004C1266" w:rsidRPr="0071319B">
        <w:rPr>
          <w:rFonts w:asciiTheme="majorBidi" w:hAnsiTheme="majorBidi" w:cstheme="majorBidi"/>
          <w:sz w:val="22"/>
          <w:szCs w:val="22"/>
          <w:lang w:val="sr-Latn-ME"/>
        </w:rPr>
        <w:t>prevenciji njihovog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ponavljanja</w:t>
      </w:r>
      <w:r w:rsidR="0078654D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kod pacijenata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koji boluju od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karcinoma</w:t>
      </w:r>
      <w:proofErr w:type="spellEnd"/>
      <w:r w:rsidR="008A7714" w:rsidRPr="0071319B">
        <w:rPr>
          <w:rFonts w:asciiTheme="majorBidi" w:hAnsiTheme="majorBidi" w:cstheme="majorBidi"/>
          <w:sz w:val="22"/>
          <w:szCs w:val="22"/>
          <w:lang w:val="sr-Latn-ME"/>
        </w:rPr>
        <w:t>,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4C1266" w:rsidRPr="0071319B">
        <w:rPr>
          <w:rFonts w:asciiTheme="majorBidi" w:hAnsiTheme="majorBidi" w:cstheme="majorBidi"/>
          <w:sz w:val="22"/>
          <w:szCs w:val="22"/>
          <w:lang w:val="sr-Latn-ME"/>
        </w:rPr>
        <w:t>ljekari moraju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pažljivo procijeniti</w:t>
      </w:r>
      <w:r w:rsidR="0078654D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individualne rizike od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tromboembolije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 krvarenja </w:t>
      </w:r>
      <w:r w:rsidR="0078654D" w:rsidRPr="0071319B">
        <w:rPr>
          <w:rFonts w:asciiTheme="majorBidi" w:hAnsiTheme="majorBidi" w:cstheme="majorBidi"/>
          <w:sz w:val="22"/>
          <w:szCs w:val="22"/>
          <w:lang w:val="sr-Latn-ME"/>
        </w:rPr>
        <w:t>kod pacijenata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4C037798" w14:textId="77777777" w:rsidR="00F1097F" w:rsidRPr="0071319B" w:rsidRDefault="00F1097F" w:rsidP="001254DD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490D59AB" w14:textId="3B1E7A36" w:rsidR="00E17387" w:rsidRPr="0071319B" w:rsidRDefault="003B26CA" w:rsidP="001254DD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Preporučena doza od 100</w:t>
      </w:r>
      <w:r w:rsidR="0078654D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="0078654D"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="0078654D" w:rsidRPr="0071319B">
        <w:rPr>
          <w:rFonts w:asciiTheme="majorBidi" w:hAnsiTheme="majorBidi" w:cstheme="majorBidi"/>
          <w:sz w:val="22"/>
          <w:szCs w:val="22"/>
          <w:lang w:val="sr-Latn-ME"/>
        </w:rPr>
        <w:t>.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/kg (1 mg/kg) </w:t>
      </w:r>
      <w:r w:rsidR="0078654D" w:rsidRPr="0071319B">
        <w:rPr>
          <w:rFonts w:asciiTheme="majorBidi" w:hAnsiTheme="majorBidi" w:cstheme="majorBidi"/>
          <w:sz w:val="22"/>
          <w:szCs w:val="22"/>
          <w:lang w:val="sr-Latn-ME"/>
        </w:rPr>
        <w:t>primjenjuje se dva</w:t>
      </w:r>
      <w:r w:rsidR="00F1097F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78654D" w:rsidRPr="0071319B">
        <w:rPr>
          <w:rFonts w:asciiTheme="majorBidi" w:hAnsiTheme="majorBidi" w:cstheme="majorBidi"/>
          <w:sz w:val="22"/>
          <w:szCs w:val="22"/>
          <w:lang w:val="sr-Latn-ME"/>
        </w:rPr>
        <w:t>put</w:t>
      </w:r>
      <w:r w:rsidR="00F1097F">
        <w:rPr>
          <w:rFonts w:asciiTheme="majorBidi" w:hAnsiTheme="majorBidi" w:cstheme="majorBidi"/>
          <w:sz w:val="22"/>
          <w:szCs w:val="22"/>
          <w:lang w:val="sr-Latn-ME"/>
        </w:rPr>
        <w:t>a</w:t>
      </w:r>
      <w:r w:rsidR="0078654D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 dan </w:t>
      </w:r>
      <w:proofErr w:type="spellStart"/>
      <w:r w:rsidR="0078654D" w:rsidRPr="0071319B">
        <w:rPr>
          <w:rFonts w:asciiTheme="majorBidi" w:hAnsiTheme="majorBidi" w:cstheme="majorBidi"/>
          <w:sz w:val="22"/>
          <w:szCs w:val="22"/>
          <w:lang w:val="sr-Latn-ME"/>
        </w:rPr>
        <w:t>subkutanom</w:t>
      </w:r>
      <w:proofErr w:type="spellEnd"/>
      <w:r w:rsidR="0078654D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injekcijom,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t</w:t>
      </w:r>
      <w:r w:rsidR="0078654D" w:rsidRPr="0071319B">
        <w:rPr>
          <w:rFonts w:asciiTheme="majorBidi" w:hAnsiTheme="majorBidi" w:cstheme="majorBidi"/>
          <w:sz w:val="22"/>
          <w:szCs w:val="22"/>
          <w:lang w:val="sr-Latn-ME"/>
        </w:rPr>
        <w:t>o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kom 5 do 10 dana nakon čega slijedi doza od 150 </w:t>
      </w:r>
      <w:proofErr w:type="spellStart"/>
      <w:r w:rsidR="0078654D"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="0078654D" w:rsidRPr="0071319B">
        <w:rPr>
          <w:rFonts w:asciiTheme="majorBidi" w:hAnsiTheme="majorBidi" w:cstheme="majorBidi"/>
          <w:sz w:val="22"/>
          <w:szCs w:val="22"/>
          <w:lang w:val="sr-Latn-ME"/>
        </w:rPr>
        <w:t>.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/kg (1,5 mg/kg) </w:t>
      </w:r>
      <w:r w:rsidR="00F1097F" w:rsidRPr="0071319B">
        <w:rPr>
          <w:rFonts w:asciiTheme="majorBidi" w:hAnsiTheme="majorBidi" w:cstheme="majorBidi"/>
          <w:sz w:val="22"/>
          <w:szCs w:val="22"/>
          <w:lang w:val="sr-Latn-ME"/>
        </w:rPr>
        <w:t>jed</w:t>
      </w:r>
      <w:r w:rsidR="00F1097F">
        <w:rPr>
          <w:rFonts w:asciiTheme="majorBidi" w:hAnsiTheme="majorBidi" w:cstheme="majorBidi"/>
          <w:sz w:val="22"/>
          <w:szCs w:val="22"/>
          <w:lang w:val="sr-Latn-ME"/>
        </w:rPr>
        <w:t>nom</w:t>
      </w:r>
      <w:r w:rsidR="00F1097F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F1097F">
        <w:rPr>
          <w:rFonts w:asciiTheme="majorBidi" w:hAnsiTheme="majorBidi" w:cstheme="majorBidi"/>
          <w:sz w:val="22"/>
          <w:szCs w:val="22"/>
          <w:lang w:val="sr-Latn-ME"/>
        </w:rPr>
        <w:t>dnevno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su</w:t>
      </w:r>
      <w:r w:rsidR="0078654D" w:rsidRPr="0071319B">
        <w:rPr>
          <w:rFonts w:asciiTheme="majorBidi" w:hAnsiTheme="majorBidi" w:cstheme="majorBidi"/>
          <w:sz w:val="22"/>
          <w:szCs w:val="22"/>
          <w:lang w:val="sr-Latn-ME"/>
        </w:rPr>
        <w:t>b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kutanom</w:t>
      </w:r>
      <w:proofErr w:type="spellEnd"/>
      <w:r w:rsidR="0078654D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injekcijom u trajanju do 6 mjeseci. Nakon 6 mjeseci </w:t>
      </w:r>
      <w:r w:rsidR="004C1266" w:rsidRPr="0071319B">
        <w:rPr>
          <w:rFonts w:asciiTheme="majorBidi" w:hAnsiTheme="majorBidi" w:cstheme="majorBidi"/>
          <w:sz w:val="22"/>
          <w:szCs w:val="22"/>
          <w:lang w:val="sr-Latn-ME"/>
        </w:rPr>
        <w:t>terapije potrebno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je ponovno procijeniti korist</w:t>
      </w:r>
      <w:r w:rsidR="0078654D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kontinuiranog liječenja</w:t>
      </w:r>
      <w:r w:rsidR="004C1266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="004C1266" w:rsidRPr="0071319B">
        <w:rPr>
          <w:rFonts w:asciiTheme="majorBidi" w:hAnsiTheme="majorBidi" w:cstheme="majorBidi"/>
          <w:sz w:val="22"/>
          <w:szCs w:val="22"/>
          <w:lang w:val="sr-Latn-ME"/>
        </w:rPr>
        <w:t>antikoagulansima</w:t>
      </w:r>
      <w:proofErr w:type="spellEnd"/>
      <w:r w:rsidR="004C1266" w:rsidRPr="0071319B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496BBAE5" w14:textId="77777777" w:rsidR="00833E38" w:rsidRPr="0071319B" w:rsidRDefault="00833E38" w:rsidP="00E17387">
      <w:pPr>
        <w:widowControl w:val="0"/>
        <w:autoSpaceDE w:val="0"/>
        <w:autoSpaceDN w:val="0"/>
        <w:spacing w:before="113"/>
        <w:ind w:right="33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>Prevencija formiranja</w:t>
      </w:r>
      <w:r w:rsidR="005B42E6" w:rsidRPr="0071319B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 xml:space="preserve"> krvnih ugruška</w:t>
      </w:r>
      <w:r w:rsidRPr="0071319B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 xml:space="preserve"> tokom </w:t>
      </w:r>
      <w:proofErr w:type="spellStart"/>
      <w:r w:rsidRPr="0071319B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>hemodijalize</w:t>
      </w:r>
      <w:proofErr w:type="spellEnd"/>
    </w:p>
    <w:p w14:paraId="44EDC280" w14:textId="77777777" w:rsidR="00833E38" w:rsidRPr="0071319B" w:rsidRDefault="00833E38" w:rsidP="00E17387">
      <w:pPr>
        <w:widowControl w:val="0"/>
        <w:autoSpaceDE w:val="0"/>
        <w:autoSpaceDN w:val="0"/>
        <w:ind w:right="33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Preporučuje se doza od 100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./kg (1mg/kg)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natrijuma.</w:t>
      </w:r>
    </w:p>
    <w:p w14:paraId="704B8422" w14:textId="3B592C8E" w:rsidR="00833E38" w:rsidRDefault="00833E38" w:rsidP="006568C9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Kod pacijenata sa velikim rizikom od krvarenja, dozu treba smanjiti na 50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./kg (0,5mg/kg) za dvostruki vaskularni pristup ili 0,75 mg/kg (75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./kg) za pojedinačni vaskularni pristup.</w:t>
      </w:r>
    </w:p>
    <w:p w14:paraId="670F0E23" w14:textId="77777777" w:rsidR="00F1097F" w:rsidRPr="0071319B" w:rsidRDefault="00F1097F" w:rsidP="006568C9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1C19122D" w14:textId="01FECFE4" w:rsidR="00833E38" w:rsidRDefault="0078654D" w:rsidP="006568C9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Tokom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hemodijalize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,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</w:t>
      </w:r>
      <w:r w:rsidR="00833E38" w:rsidRPr="0071319B">
        <w:rPr>
          <w:rFonts w:asciiTheme="majorBidi" w:hAnsiTheme="majorBidi" w:cstheme="majorBidi"/>
          <w:sz w:val="22"/>
          <w:szCs w:val="22"/>
          <w:lang w:val="sr-Latn-ME"/>
        </w:rPr>
        <w:t>noksaparin</w:t>
      </w:r>
      <w:proofErr w:type="spellEnd"/>
      <w:r w:rsidR="00833E38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 se uvodi arterijskom linijom na početku dijalize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. P</w:t>
      </w:r>
      <w:r w:rsidR="00833E38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rimijenjena doza je obično dovoljna za proceduru u trajanju do 4 sata. Ako se jave </w:t>
      </w:r>
      <w:proofErr w:type="spellStart"/>
      <w:r w:rsidR="00833E38" w:rsidRPr="0071319B">
        <w:rPr>
          <w:rFonts w:asciiTheme="majorBidi" w:hAnsiTheme="majorBidi" w:cstheme="majorBidi"/>
          <w:sz w:val="22"/>
          <w:szCs w:val="22"/>
          <w:lang w:val="sr-Latn-ME"/>
        </w:rPr>
        <w:t>fibrinski</w:t>
      </w:r>
      <w:proofErr w:type="spellEnd"/>
      <w:r w:rsidR="00833E38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prstenovi, kao što je moguće u procedurama koje traju duže nego </w:t>
      </w:r>
      <w:r w:rsidR="005B42E6" w:rsidRPr="0071319B">
        <w:rPr>
          <w:rFonts w:asciiTheme="majorBidi" w:hAnsiTheme="majorBidi" w:cstheme="majorBidi"/>
          <w:sz w:val="22"/>
          <w:szCs w:val="22"/>
          <w:lang w:val="sr-Latn-ME"/>
        </w:rPr>
        <w:t>uobičajeno, može</w:t>
      </w:r>
      <w:r w:rsidR="00833E38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se primijeniti dodatna doza od 50 do 100 </w:t>
      </w:r>
      <w:proofErr w:type="spellStart"/>
      <w:r w:rsidR="00833E38"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="00833E38" w:rsidRPr="0071319B">
        <w:rPr>
          <w:rFonts w:asciiTheme="majorBidi" w:hAnsiTheme="majorBidi" w:cstheme="majorBidi"/>
          <w:sz w:val="22"/>
          <w:szCs w:val="22"/>
          <w:lang w:val="sr-Latn-ME"/>
        </w:rPr>
        <w:t>./kg (0,5 do 1mg/kg).</w:t>
      </w:r>
    </w:p>
    <w:p w14:paraId="277A1C9F" w14:textId="77777777" w:rsidR="00F1097F" w:rsidRPr="0071319B" w:rsidRDefault="00F1097F" w:rsidP="006568C9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08DB0BB6" w14:textId="77777777" w:rsidR="00833E38" w:rsidRPr="0071319B" w:rsidRDefault="00833E38" w:rsidP="006568C9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Nema dostupnih podataka </w:t>
      </w:r>
      <w:r w:rsidR="00842C0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o </w:t>
      </w:r>
      <w:proofErr w:type="spellStart"/>
      <w:r w:rsidR="00842C0E" w:rsidRPr="0071319B">
        <w:rPr>
          <w:rFonts w:asciiTheme="majorBidi" w:hAnsiTheme="majorBidi" w:cstheme="majorBidi"/>
          <w:sz w:val="22"/>
          <w:szCs w:val="22"/>
          <w:lang w:val="sr-Latn-ME"/>
        </w:rPr>
        <w:t>pacijenatima</w:t>
      </w:r>
      <w:proofErr w:type="spellEnd"/>
      <w:r w:rsidR="00347210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kod kojih se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 </w:t>
      </w:r>
      <w:r w:rsidR="00347210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primjenjuje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kao profilaks</w:t>
      </w:r>
      <w:r w:rsidR="00347210" w:rsidRPr="0071319B">
        <w:rPr>
          <w:rFonts w:asciiTheme="majorBidi" w:hAnsiTheme="majorBidi" w:cstheme="majorBidi"/>
          <w:sz w:val="22"/>
          <w:szCs w:val="22"/>
          <w:lang w:val="sr-Latn-ME"/>
        </w:rPr>
        <w:t>a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ili terapij</w:t>
      </w:r>
      <w:r w:rsidR="00347210" w:rsidRPr="0071319B">
        <w:rPr>
          <w:rFonts w:asciiTheme="majorBidi" w:hAnsiTheme="majorBidi" w:cstheme="majorBidi"/>
          <w:sz w:val="22"/>
          <w:szCs w:val="22"/>
          <w:lang w:val="sr-Latn-ME"/>
        </w:rPr>
        <w:t>a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 tokom </w:t>
      </w:r>
      <w:r w:rsidR="00347210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postupka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hemodijalize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565D03E8" w14:textId="77777777" w:rsidR="005B42E6" w:rsidRPr="0071319B" w:rsidRDefault="005B42E6" w:rsidP="005B42E6">
      <w:pPr>
        <w:widowControl w:val="0"/>
        <w:autoSpaceDE w:val="0"/>
        <w:autoSpaceDN w:val="0"/>
        <w:spacing w:before="2" w:line="235" w:lineRule="auto"/>
        <w:ind w:left="232"/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</w:pPr>
    </w:p>
    <w:p w14:paraId="496BBD5D" w14:textId="77777777" w:rsidR="00E17387" w:rsidRPr="0071319B" w:rsidRDefault="00833E38" w:rsidP="00E17387">
      <w:pPr>
        <w:widowControl w:val="0"/>
        <w:autoSpaceDE w:val="0"/>
        <w:autoSpaceDN w:val="0"/>
        <w:spacing w:before="2" w:line="235" w:lineRule="auto"/>
        <w:ind w:right="376"/>
        <w:jc w:val="both"/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>Akutni koronarni sindrom: Terapija nestabilne angine i NSTEMI</w:t>
      </w:r>
      <w:r w:rsidR="005B42E6" w:rsidRPr="0071319B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 xml:space="preserve"> i terapija akutnog </w:t>
      </w:r>
      <w:r w:rsidRPr="0071319B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>STEMI</w:t>
      </w:r>
      <w:r w:rsidR="00FF3DF0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14:paraId="454C69B5" w14:textId="2CEB4DB7" w:rsidR="00E17387" w:rsidRPr="003207FF" w:rsidRDefault="00833E38" w:rsidP="003207FF">
      <w:pPr>
        <w:pStyle w:val="ListParagraph"/>
        <w:widowControl w:val="0"/>
        <w:numPr>
          <w:ilvl w:val="0"/>
          <w:numId w:val="41"/>
        </w:numPr>
        <w:autoSpaceDE w:val="0"/>
        <w:autoSpaceDN w:val="0"/>
        <w:spacing w:before="2" w:line="235" w:lineRule="auto"/>
        <w:jc w:val="both"/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</w:pPr>
      <w:r w:rsidRPr="0071319B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72769B" wp14:editId="503CF4D8">
                <wp:simplePos x="0" y="0"/>
                <wp:positionH relativeFrom="page">
                  <wp:posOffset>3483610</wp:posOffset>
                </wp:positionH>
                <wp:positionV relativeFrom="paragraph">
                  <wp:posOffset>226695</wp:posOffset>
                </wp:positionV>
                <wp:extent cx="45720" cy="12065"/>
                <wp:effectExtent l="0" t="0" r="444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C618F" id="Rectangle 2" o:spid="_x0000_s1026" style="position:absolute;margin-left:274.3pt;margin-top:17.85pt;width:3.6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WvHcAIAAPgEAAAOAAAAZHJzL2Uyb0RvYy54bWysVNuO2yAQfa/Uf0C8Z32Rc7EVZ7WbbapK&#10;abvqth9AAMeoGCiQONuq/94BJ2nSvqyq+gEDMxzOzJxhfnvoJNpz64RWNc5uUoy4opoJta3xl8+r&#10;0Qwj54liRGrFa/zMHb5dvH41703Fc91qybhFAKJc1Zsat96bKkkcbXlH3I02XIGx0bYjHpZ2mzBL&#10;ekDvZJKn6STptWXGasqdg92HwYgXEb9pOPUfm8Zxj2SNgZuPo43jJozJYk6qrSWmFfRIg/wDi44I&#10;BZeeoR6IJ2hnxV9QnaBWO934G6q7RDeNoDzGANFk6R/RPLXE8BgLJMeZc5rc/4OlH/aPFglW4xwj&#10;RToo0SdIGlFbyVEe0tMbV4HXk3m0IUBn1pp+dUjpZQte/M5a3becMCCVBf/k6kBYODiKNv17zQCd&#10;7LyOmTo0tguAkAN0iAV5PheEHzyisFmMpzlUjYIly9PJOOKT6nTUWOffct2hMKmxBeIRmuzXzgcq&#10;pDq5ROpaCrYSUsaF3W6W0qI9CcqI3xHdXbpJFZyVDscGxGEHGMIdwRa4xkr/KLO8SO/zcrSazKaj&#10;YlWMR+U0nY3SrLwvJ2lRFg+rn4FgVlStYIyrtVD8pLqseFlVj/of9BJ1h/oal+N8HGO/Yu9eFmQn&#10;PDShFF2NZ+dMkCpU9Y1iEDapPBFymCfX9GOWIQenf8xK1EAo+yCfjWbPIAGroUhQTnguYNJq+x2j&#10;Hlqvxu7bjliOkXynQEZlVhShV+PiKAF7adlcWoiiAFVjj9EwXfqhv3fGim0LN2UxMUrfgfQaEYUR&#10;ZDmwOgoW2itGcHwKQv9erqPX7wdr8QsAAP//AwBQSwMEFAAGAAgAAAAhAIDyd3rfAAAACQEAAA8A&#10;AABkcnMvZG93bnJldi54bWxMj8FOwzAMhu9IvENkJG4sZSxdKU0nhsQRiQ0O7JY2pq3WOKXJtsLT&#10;453gaPvT7+8vVpPrxRHH0HnScDtLQCDV3nbUaHh/e77JQIRoyJreE2r4xgCr8vKiMLn1J9rgcRsb&#10;wSEUcqOhjXHIpQx1i86EmR+Q+PbpR2cij2Mj7WhOHO56OU+SVDrTEX9ozYBPLdb77cFpWN9n66/X&#10;Bb38bKod7j6qvZqPidbXV9PjA4iIU/yD4azP6lCyU+UPZIPoNahFljKq4U4tQTCglOIuFS+WKciy&#10;kP8blL8AAAD//wMAUEsBAi0AFAAGAAgAAAAhALaDOJL+AAAA4QEAABMAAAAAAAAAAAAAAAAAAAAA&#10;AFtDb250ZW50X1R5cGVzXS54bWxQSwECLQAUAAYACAAAACEAOP0h/9YAAACUAQAACwAAAAAAAAAA&#10;AAAAAAAvAQAAX3JlbHMvLnJlbHNQSwECLQAUAAYACAAAACEAdzVrx3ACAAD4BAAADgAAAAAAAAAA&#10;AAAAAAAuAgAAZHJzL2Uyb0RvYy54bWxQSwECLQAUAAYACAAAACEAgPJ3et8AAAAJAQAADwAAAAAA&#10;AAAAAAAAAADKBAAAZHJzL2Rvd25yZXYueG1sUEsFBgAAAAAEAAQA8wAAANYFAAAAAA==&#10;" fillcolor="black" stroked="f">
                <w10:wrap anchorx="page"/>
              </v:rect>
            </w:pict>
          </mc:Fallback>
        </mc:AlternateContent>
      </w:r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Za terapiju nestabilne angine i NSTEMI preporučena je doza </w:t>
      </w:r>
      <w:proofErr w:type="spellStart"/>
      <w:r w:rsidR="00842C0E" w:rsidRPr="003207FF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="00842C0E"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natrijuma </w:t>
      </w:r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od 100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./kg (1mg/kg) na svakih 12 sati putem </w:t>
      </w:r>
      <w:proofErr w:type="spellStart"/>
      <w:r w:rsidR="003601E4" w:rsidRPr="003207FF">
        <w:rPr>
          <w:rFonts w:asciiTheme="majorBidi" w:hAnsiTheme="majorBidi" w:cstheme="majorBidi"/>
          <w:sz w:val="22"/>
          <w:szCs w:val="22"/>
          <w:lang w:val="sr-Latn-ME"/>
        </w:rPr>
        <w:t>subk</w:t>
      </w:r>
      <w:r w:rsidRPr="003207FF">
        <w:rPr>
          <w:rFonts w:asciiTheme="majorBidi" w:hAnsiTheme="majorBidi" w:cstheme="majorBidi"/>
          <w:sz w:val="22"/>
          <w:szCs w:val="22"/>
          <w:lang w:val="sr-Latn-ME"/>
        </w:rPr>
        <w:t>utane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injekcije,</w:t>
      </w:r>
      <w:r w:rsidR="00F1097F"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u k</w:t>
      </w:r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ombinaciji sa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antitrombocitnom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terapijom. Terapija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natrijumom treba </w:t>
      </w:r>
      <w:r w:rsidR="00824CE0">
        <w:rPr>
          <w:rFonts w:asciiTheme="majorBidi" w:hAnsiTheme="majorBidi" w:cstheme="majorBidi"/>
          <w:sz w:val="22"/>
          <w:szCs w:val="22"/>
          <w:lang w:val="sr-Latn-ME"/>
        </w:rPr>
        <w:t>održavati</w:t>
      </w:r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824CE0">
        <w:rPr>
          <w:rFonts w:asciiTheme="majorBidi" w:hAnsiTheme="majorBidi" w:cstheme="majorBidi"/>
          <w:sz w:val="22"/>
          <w:szCs w:val="22"/>
          <w:lang w:val="sr-Latn-ME"/>
        </w:rPr>
        <w:t xml:space="preserve">tokom </w:t>
      </w:r>
      <w:r w:rsidRPr="003207FF">
        <w:rPr>
          <w:rFonts w:asciiTheme="majorBidi" w:hAnsiTheme="majorBidi" w:cstheme="majorBidi"/>
          <w:sz w:val="22"/>
          <w:szCs w:val="22"/>
          <w:lang w:val="sr-Latn-ME"/>
        </w:rPr>
        <w:t>najmanje 2 dana i nastavi</w:t>
      </w:r>
      <w:r w:rsidR="00824CE0">
        <w:rPr>
          <w:rFonts w:asciiTheme="majorBidi" w:hAnsiTheme="majorBidi" w:cstheme="majorBidi"/>
          <w:sz w:val="22"/>
          <w:szCs w:val="22"/>
          <w:lang w:val="sr-Latn-ME"/>
        </w:rPr>
        <w:t>ti</w:t>
      </w:r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do kliničke stabilizacije. Uobičajeno trajanje terapije je od 2 do 8</w:t>
      </w:r>
      <w:r w:rsidRPr="003207FF">
        <w:rPr>
          <w:rFonts w:asciiTheme="majorBidi" w:hAnsiTheme="majorBidi" w:cstheme="majorBidi"/>
          <w:spacing w:val="-3"/>
          <w:sz w:val="22"/>
          <w:szCs w:val="22"/>
          <w:lang w:val="sr-Latn-ME"/>
        </w:rPr>
        <w:t xml:space="preserve"> </w:t>
      </w:r>
      <w:r w:rsidRPr="003207FF">
        <w:rPr>
          <w:rFonts w:asciiTheme="majorBidi" w:hAnsiTheme="majorBidi" w:cstheme="majorBidi"/>
          <w:sz w:val="22"/>
          <w:szCs w:val="22"/>
          <w:lang w:val="sr-Latn-ME"/>
        </w:rPr>
        <w:t>dana.</w:t>
      </w:r>
    </w:p>
    <w:p w14:paraId="1F802530" w14:textId="5A1125C5" w:rsidR="00E17387" w:rsidRPr="003207FF" w:rsidRDefault="00833E38" w:rsidP="003207FF">
      <w:pPr>
        <w:pStyle w:val="ListParagraph"/>
        <w:widowControl w:val="0"/>
        <w:autoSpaceDE w:val="0"/>
        <w:autoSpaceDN w:val="0"/>
        <w:spacing w:line="235" w:lineRule="auto"/>
        <w:jc w:val="both"/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</w:pPr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Primjena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acetilsalicilne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kiseline se preporučuje kod svih pacijenata bez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kontraindikacija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kao inicijalna oralna doza od 150-300 mg (kod pacijenata koji je do tada ni</w:t>
      </w:r>
      <w:r w:rsidR="008A7714" w:rsidRPr="003207FF">
        <w:rPr>
          <w:rFonts w:asciiTheme="majorBidi" w:hAnsiTheme="majorBidi" w:cstheme="majorBidi"/>
          <w:sz w:val="22"/>
          <w:szCs w:val="22"/>
          <w:lang w:val="sr-Latn-ME"/>
        </w:rPr>
        <w:t>je</w:t>
      </w:r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su koristili) i doza održavanja od 75 do 325 mg jednom dnevno </w:t>
      </w:r>
      <w:r w:rsidR="00824CE0" w:rsidRPr="003207FF">
        <w:rPr>
          <w:rFonts w:asciiTheme="majorBidi" w:hAnsiTheme="majorBidi" w:cstheme="majorBidi"/>
          <w:sz w:val="22"/>
          <w:szCs w:val="22"/>
          <w:lang w:val="sr-Latn-ME"/>
        </w:rPr>
        <w:t>dugo</w:t>
      </w:r>
      <w:r w:rsidR="00824CE0">
        <w:rPr>
          <w:rFonts w:asciiTheme="majorBidi" w:hAnsiTheme="majorBidi" w:cstheme="majorBidi"/>
          <w:sz w:val="22"/>
          <w:szCs w:val="22"/>
          <w:lang w:val="sr-Latn-ME"/>
        </w:rPr>
        <w:t>trajno</w:t>
      </w:r>
      <w:r w:rsidRPr="003207FF">
        <w:rPr>
          <w:rFonts w:asciiTheme="majorBidi" w:hAnsiTheme="majorBidi" w:cstheme="majorBidi"/>
          <w:sz w:val="22"/>
          <w:szCs w:val="22"/>
          <w:lang w:val="sr-Latn-ME"/>
        </w:rPr>
        <w:t>, bez obzira na terapijsku strategiju.</w:t>
      </w:r>
    </w:p>
    <w:p w14:paraId="121F7383" w14:textId="77777777" w:rsidR="00E17387" w:rsidRPr="0071319B" w:rsidRDefault="00E17387" w:rsidP="003207FF">
      <w:pPr>
        <w:widowControl w:val="0"/>
        <w:autoSpaceDE w:val="0"/>
        <w:autoSpaceDN w:val="0"/>
        <w:spacing w:line="235" w:lineRule="auto"/>
        <w:jc w:val="both"/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</w:pPr>
    </w:p>
    <w:p w14:paraId="5B9F3098" w14:textId="37532100" w:rsidR="00833E38" w:rsidRPr="003207FF" w:rsidRDefault="00833E38" w:rsidP="003207FF">
      <w:pPr>
        <w:pStyle w:val="ListParagraph"/>
        <w:widowControl w:val="0"/>
        <w:numPr>
          <w:ilvl w:val="0"/>
          <w:numId w:val="42"/>
        </w:numPr>
        <w:autoSpaceDE w:val="0"/>
        <w:autoSpaceDN w:val="0"/>
        <w:spacing w:line="235" w:lineRule="auto"/>
        <w:jc w:val="both"/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</w:pPr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U terapiji akutnog STEMI preporučena doza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natrijuma je jedna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i.v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.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bolus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injekcija od 3000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(30 mg) plus 100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./kg (1 mg/kg) </w:t>
      </w:r>
      <w:proofErr w:type="spellStart"/>
      <w:r w:rsidR="003601E4" w:rsidRPr="003207FF">
        <w:rPr>
          <w:rFonts w:asciiTheme="majorBidi" w:hAnsiTheme="majorBidi" w:cstheme="majorBidi"/>
          <w:sz w:val="22"/>
          <w:szCs w:val="22"/>
          <w:lang w:val="sr-Latn-ME"/>
        </w:rPr>
        <w:t>subk</w:t>
      </w:r>
      <w:r w:rsidRPr="003207FF">
        <w:rPr>
          <w:rFonts w:asciiTheme="majorBidi" w:hAnsiTheme="majorBidi" w:cstheme="majorBidi"/>
          <w:sz w:val="22"/>
          <w:szCs w:val="22"/>
          <w:lang w:val="sr-Latn-ME"/>
        </w:rPr>
        <w:t>utano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, a nakon toga 100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./kg (1mg/kg) </w:t>
      </w:r>
      <w:proofErr w:type="spellStart"/>
      <w:r w:rsidR="003601E4" w:rsidRPr="003207FF">
        <w:rPr>
          <w:rFonts w:asciiTheme="majorBidi" w:hAnsiTheme="majorBidi" w:cstheme="majorBidi"/>
          <w:sz w:val="22"/>
          <w:szCs w:val="22"/>
          <w:lang w:val="sr-Latn-ME"/>
        </w:rPr>
        <w:t>subk</w:t>
      </w:r>
      <w:r w:rsidRPr="003207FF">
        <w:rPr>
          <w:rFonts w:asciiTheme="majorBidi" w:hAnsiTheme="majorBidi" w:cstheme="majorBidi"/>
          <w:sz w:val="22"/>
          <w:szCs w:val="22"/>
          <w:lang w:val="sr-Latn-ME"/>
        </w:rPr>
        <w:t>utano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na svakih 12 sati (maksimalno 10</w:t>
      </w:r>
      <w:r w:rsidR="00824CE0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000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. (100 </w:t>
      </w:r>
      <w:r w:rsidRPr="003207FF">
        <w:rPr>
          <w:rFonts w:asciiTheme="majorBidi" w:hAnsiTheme="majorBidi" w:cstheme="majorBidi"/>
          <w:spacing w:val="-3"/>
          <w:sz w:val="22"/>
          <w:szCs w:val="22"/>
          <w:lang w:val="sr-Latn-ME"/>
        </w:rPr>
        <w:t xml:space="preserve">mg) </w:t>
      </w:r>
      <w:r w:rsidRPr="003207FF">
        <w:rPr>
          <w:rFonts w:asciiTheme="majorBidi" w:hAnsiTheme="majorBidi" w:cstheme="majorBidi"/>
          <w:sz w:val="22"/>
          <w:szCs w:val="22"/>
          <w:lang w:val="sr-Latn-ME"/>
        </w:rPr>
        <w:t>po dozi za prve dv</w:t>
      </w:r>
      <w:r w:rsidR="009524DD" w:rsidRPr="003207FF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e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s.c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>. doze). Potrebna je istovremena prim</w:t>
      </w:r>
      <w:r w:rsidR="00BC3BFA" w:rsidRPr="003207FF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ena odgovarajuće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antitrombocitne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terapije, kao što je terapija oralnom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acetilsalicilnom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kiselinom (75 mg do 325 mg), ukoliko nije kontraindikovano. Preporučeno trajanje terapije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natrijumom je 8 dana ili do otpuštanja iz bolnice, ukoliko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hospitalizacija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traje manje od 8 dana. Kada se daje u kombinaciji sa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trombolitikom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(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fibrin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-specifičnim ili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fibrin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nespecifičnim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),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natrijum treba primijeniti u periodu između 15 minuta prije i 30 minuta poslije početka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fibrinolitičke</w:t>
      </w:r>
      <w:proofErr w:type="spellEnd"/>
      <w:r w:rsidRPr="003207FF">
        <w:rPr>
          <w:rFonts w:asciiTheme="majorBidi" w:hAnsiTheme="majorBidi" w:cstheme="majorBidi"/>
          <w:spacing w:val="-8"/>
          <w:sz w:val="22"/>
          <w:szCs w:val="22"/>
          <w:lang w:val="sr-Latn-ME"/>
        </w:rPr>
        <w:t xml:space="preserve"> </w:t>
      </w:r>
      <w:r w:rsidRPr="003207FF">
        <w:rPr>
          <w:rFonts w:asciiTheme="majorBidi" w:hAnsiTheme="majorBidi" w:cstheme="majorBidi"/>
          <w:sz w:val="22"/>
          <w:szCs w:val="22"/>
          <w:lang w:val="sr-Latn-ME"/>
        </w:rPr>
        <w:t>terapije.</w:t>
      </w:r>
    </w:p>
    <w:p w14:paraId="0518266B" w14:textId="32BE4D0A" w:rsidR="00E97E8A" w:rsidRPr="003207FF" w:rsidRDefault="00833E38" w:rsidP="003207FF">
      <w:pPr>
        <w:pStyle w:val="ListParagraph"/>
        <w:widowControl w:val="0"/>
        <w:numPr>
          <w:ilvl w:val="0"/>
          <w:numId w:val="43"/>
        </w:numPr>
        <w:tabs>
          <w:tab w:val="left" w:pos="953"/>
        </w:tabs>
        <w:autoSpaceDE w:val="0"/>
        <w:autoSpaceDN w:val="0"/>
        <w:spacing w:line="291" w:lineRule="exact"/>
        <w:ind w:right="282"/>
        <w:jc w:val="both"/>
        <w:outlineLvl w:val="0"/>
        <w:rPr>
          <w:rFonts w:asciiTheme="majorBidi" w:hAnsiTheme="majorBidi" w:cstheme="majorBidi"/>
          <w:sz w:val="22"/>
          <w:szCs w:val="22"/>
          <w:lang w:val="sr-Latn-ME"/>
        </w:rPr>
      </w:pPr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Za doziranje pacijenata </w:t>
      </w:r>
      <w:r w:rsidRPr="003207FF">
        <w:rPr>
          <w:rFonts w:asciiTheme="majorBidi" w:hAnsiTheme="majorBidi" w:cstheme="majorBidi"/>
          <w:sz w:val="22"/>
          <w:szCs w:val="22"/>
          <w:u w:val="single"/>
          <w:lang w:val="sr-Latn-ME"/>
        </w:rPr>
        <w:t>&gt;</w:t>
      </w:r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75 godina starosti, vidjeti </w:t>
      </w:r>
      <w:r w:rsidR="00F30D6A" w:rsidRPr="003207FF">
        <w:rPr>
          <w:rFonts w:asciiTheme="majorBidi" w:hAnsiTheme="majorBidi" w:cstheme="majorBidi"/>
          <w:sz w:val="22"/>
          <w:szCs w:val="22"/>
          <w:lang w:val="sr-Latn-ME"/>
        </w:rPr>
        <w:t>di</w:t>
      </w:r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o </w:t>
      </w:r>
      <w:r w:rsidR="00E97E8A" w:rsidRPr="003207FF">
        <w:rPr>
          <w:rFonts w:asciiTheme="majorBidi" w:hAnsiTheme="majorBidi" w:cstheme="majorBidi"/>
          <w:sz w:val="22"/>
          <w:szCs w:val="22"/>
          <w:lang w:val="sr-Latn-ME"/>
        </w:rPr>
        <w:t>“Starije osobe”.</w:t>
      </w:r>
    </w:p>
    <w:p w14:paraId="0A867944" w14:textId="55DD53C8" w:rsidR="00E97E8A" w:rsidRPr="003207FF" w:rsidRDefault="00833E38" w:rsidP="003207FF">
      <w:pPr>
        <w:pStyle w:val="ListParagraph"/>
        <w:widowControl w:val="0"/>
        <w:numPr>
          <w:ilvl w:val="0"/>
          <w:numId w:val="43"/>
        </w:numPr>
        <w:tabs>
          <w:tab w:val="left" w:pos="953"/>
        </w:tabs>
        <w:autoSpaceDE w:val="0"/>
        <w:autoSpaceDN w:val="0"/>
        <w:spacing w:line="291" w:lineRule="exact"/>
        <w:jc w:val="both"/>
        <w:outlineLvl w:val="0"/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</w:pPr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Za pacijente koji </w:t>
      </w:r>
      <w:r w:rsidRPr="003207FF">
        <w:rPr>
          <w:rFonts w:asciiTheme="majorBidi" w:hAnsiTheme="majorBidi" w:cstheme="majorBidi"/>
          <w:spacing w:val="2"/>
          <w:sz w:val="22"/>
          <w:szCs w:val="22"/>
          <w:lang w:val="sr-Latn-ME"/>
        </w:rPr>
        <w:t xml:space="preserve">se </w:t>
      </w:r>
      <w:r w:rsidRPr="003207FF">
        <w:rPr>
          <w:rFonts w:asciiTheme="majorBidi" w:hAnsiTheme="majorBidi" w:cstheme="majorBidi"/>
          <w:sz w:val="22"/>
          <w:szCs w:val="22"/>
          <w:lang w:val="sr-Latn-ME"/>
        </w:rPr>
        <w:t>podvrg</w:t>
      </w:r>
      <w:r w:rsidR="00E97E8A"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avaju </w:t>
      </w:r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PCI: ukoliko je posljednja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s.c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. injekcija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natrijuma primijenjena manje od 8 sati </w:t>
      </w:r>
      <w:r w:rsidRPr="003207FF">
        <w:rPr>
          <w:rFonts w:asciiTheme="majorBidi" w:hAnsiTheme="majorBidi" w:cstheme="majorBidi"/>
          <w:spacing w:val="2"/>
          <w:sz w:val="22"/>
          <w:szCs w:val="22"/>
          <w:lang w:val="sr-Latn-ME"/>
        </w:rPr>
        <w:t xml:space="preserve">prije </w:t>
      </w:r>
      <w:r w:rsidR="00E97E8A" w:rsidRPr="003207FF">
        <w:rPr>
          <w:rFonts w:asciiTheme="majorBidi" w:hAnsiTheme="majorBidi" w:cstheme="majorBidi"/>
          <w:sz w:val="22"/>
          <w:szCs w:val="22"/>
          <w:lang w:val="sr-Latn-ME"/>
        </w:rPr>
        <w:t>bal</w:t>
      </w:r>
      <w:r w:rsidR="0085742A" w:rsidRPr="003207FF">
        <w:rPr>
          <w:rFonts w:asciiTheme="majorBidi" w:hAnsiTheme="majorBidi" w:cstheme="majorBidi"/>
          <w:sz w:val="22"/>
          <w:szCs w:val="22"/>
          <w:lang w:val="sr-Latn-ME"/>
        </w:rPr>
        <w:t>o</w:t>
      </w:r>
      <w:r w:rsidR="00E97E8A"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n </w:t>
      </w:r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dilatacije, nije potrebna primjena dodatnih doza. Ukoliko je posljednja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s.c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. injekcija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natrijuma primijenjena više</w:t>
      </w:r>
      <w:r w:rsidRPr="003207FF">
        <w:rPr>
          <w:rFonts w:asciiTheme="majorBidi" w:hAnsiTheme="majorBidi" w:cstheme="majorBidi"/>
          <w:spacing w:val="-3"/>
          <w:sz w:val="22"/>
          <w:szCs w:val="22"/>
          <w:lang w:val="sr-Latn-ME"/>
        </w:rPr>
        <w:t xml:space="preserve"> </w:t>
      </w:r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od 8 sati prije </w:t>
      </w:r>
      <w:r w:rsidR="00BC3BFA" w:rsidRPr="003207FF">
        <w:rPr>
          <w:rFonts w:asciiTheme="majorBidi" w:hAnsiTheme="majorBidi" w:cstheme="majorBidi"/>
          <w:sz w:val="22"/>
          <w:szCs w:val="22"/>
          <w:lang w:val="sr-Latn-ME"/>
        </w:rPr>
        <w:t>balo</w:t>
      </w:r>
      <w:r w:rsidR="00E97E8A"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n </w:t>
      </w:r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dilatacije, potrebno je primijeniti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i.v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.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bolus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dozu od 30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./kg (0,3 mg/kg)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natrijuma.</w:t>
      </w:r>
    </w:p>
    <w:p w14:paraId="26E3FF57" w14:textId="77777777" w:rsidR="00597A63" w:rsidRPr="003207FF" w:rsidRDefault="00597A63" w:rsidP="003207FF">
      <w:pPr>
        <w:widowControl w:val="0"/>
        <w:tabs>
          <w:tab w:val="left" w:pos="953"/>
        </w:tabs>
        <w:autoSpaceDE w:val="0"/>
        <w:autoSpaceDN w:val="0"/>
        <w:spacing w:line="291" w:lineRule="exact"/>
        <w:ind w:left="1178"/>
        <w:jc w:val="both"/>
        <w:outlineLvl w:val="0"/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</w:pPr>
    </w:p>
    <w:p w14:paraId="63E6E77D" w14:textId="77777777" w:rsidR="00833E38" w:rsidRPr="0071319B" w:rsidRDefault="00833E38" w:rsidP="003207FF">
      <w:pPr>
        <w:widowControl w:val="0"/>
        <w:autoSpaceDE w:val="0"/>
        <w:autoSpaceDN w:val="0"/>
        <w:spacing w:line="251" w:lineRule="exact"/>
        <w:jc w:val="both"/>
        <w:outlineLvl w:val="2"/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>Pedijatrijska populacija</w:t>
      </w:r>
    </w:p>
    <w:p w14:paraId="2C4B92AF" w14:textId="77777777" w:rsidR="00833E38" w:rsidRPr="0071319B" w:rsidRDefault="00833E38" w:rsidP="00597A63">
      <w:pPr>
        <w:widowControl w:val="0"/>
        <w:autoSpaceDE w:val="0"/>
        <w:autoSpaceDN w:val="0"/>
        <w:spacing w:line="251" w:lineRule="exact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Bezbjednost i efikasnost primjene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nije utvrđena u pedijatrijskoj populaciji.</w:t>
      </w:r>
    </w:p>
    <w:p w14:paraId="6A47091B" w14:textId="77777777" w:rsidR="00833E38" w:rsidRPr="0071319B" w:rsidRDefault="00833E38" w:rsidP="00E17387">
      <w:pPr>
        <w:widowControl w:val="0"/>
        <w:autoSpaceDE w:val="0"/>
        <w:autoSpaceDN w:val="0"/>
        <w:spacing w:before="126" w:line="251" w:lineRule="exact"/>
        <w:jc w:val="both"/>
        <w:outlineLvl w:val="2"/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>Starije osobe</w:t>
      </w:r>
    </w:p>
    <w:p w14:paraId="4235403A" w14:textId="44B3D078" w:rsidR="00833E38" w:rsidRPr="0071319B" w:rsidRDefault="00833E38" w:rsidP="006568C9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lastRenderedPageBreak/>
        <w:t xml:space="preserve">Za sve indikacije izuzev STEMI, nije potrebno prilagođavanje doze kod starijih osoba, osim u slučaju oštećenja funkcije bubrega (vidjeti u nastavku „oštećenje funkcije </w:t>
      </w:r>
      <w:r w:rsidR="00BC3BFA" w:rsidRPr="0071319B">
        <w:rPr>
          <w:rFonts w:asciiTheme="majorBidi" w:hAnsiTheme="majorBidi" w:cstheme="majorBidi"/>
          <w:sz w:val="22"/>
          <w:szCs w:val="22"/>
          <w:lang w:val="sr-Latn-ME"/>
        </w:rPr>
        <w:t>bubrega“</w:t>
      </w:r>
      <w:r w:rsidR="005855FC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BC3BFA" w:rsidRPr="0071319B">
        <w:rPr>
          <w:rFonts w:asciiTheme="majorBidi" w:hAnsiTheme="majorBidi" w:cstheme="majorBidi"/>
          <w:sz w:val="22"/>
          <w:szCs w:val="22"/>
          <w:lang w:val="sr-Latn-ME"/>
        </w:rPr>
        <w:t>i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F30D6A">
        <w:rPr>
          <w:rFonts w:asciiTheme="majorBidi" w:hAnsiTheme="majorBidi" w:cstheme="majorBidi"/>
          <w:sz w:val="22"/>
          <w:szCs w:val="22"/>
          <w:lang w:val="sr-Latn-ME"/>
        </w:rPr>
        <w:t>di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o 4.4).</w:t>
      </w:r>
    </w:p>
    <w:p w14:paraId="0FEDCEBC" w14:textId="5719FCCC" w:rsidR="004C1266" w:rsidRPr="0071319B" w:rsidRDefault="00833E38" w:rsidP="006568C9">
      <w:pPr>
        <w:widowControl w:val="0"/>
        <w:autoSpaceDE w:val="0"/>
        <w:autoSpaceDN w:val="0"/>
        <w:jc w:val="both"/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Kod pacijenata starijih od </w:t>
      </w: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&gt;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75 godina, prilikom terapije akutnog infarkta miokarda sa elevacijom ST- segmenta, ne treba primjenjivati inicijalnu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i.v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bolus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injekciju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="00BC3BFA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natrijuma. Početi primjenu sa 75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./kg (0,75 mg/kg)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s.c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 na svakih 12 sati (maksimum 7500 </w:t>
      </w:r>
      <w:proofErr w:type="spellStart"/>
      <w:r w:rsidR="00E97E8A"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(75 mg) po dozi za prve dvije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s.</w:t>
      </w:r>
      <w:r w:rsidR="00BC3BFA" w:rsidRPr="0071319B">
        <w:rPr>
          <w:rFonts w:asciiTheme="majorBidi" w:hAnsiTheme="majorBidi" w:cstheme="majorBidi"/>
          <w:sz w:val="22"/>
          <w:szCs w:val="22"/>
          <w:lang w:val="sr-Latn-ME"/>
        </w:rPr>
        <w:t>c</w:t>
      </w:r>
      <w:proofErr w:type="spellEnd"/>
      <w:r w:rsidR="00BC3BFA" w:rsidRPr="0071319B">
        <w:rPr>
          <w:rFonts w:asciiTheme="majorBidi" w:hAnsiTheme="majorBidi" w:cstheme="majorBidi"/>
          <w:sz w:val="22"/>
          <w:szCs w:val="22"/>
          <w:lang w:val="sr-Latn-ME"/>
        </w:rPr>
        <w:t>. doze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, a nakon toga 75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./kg (0,75 mg/kg)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s.c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 za preostale doze). Za doziranje kod pacijenata starije životne dobi sa oštećenjem funkcije bubrega vidjeti u nastavku „oštećenjem funkcije </w:t>
      </w:r>
      <w:r w:rsidR="004C1266" w:rsidRPr="0071319B">
        <w:rPr>
          <w:rFonts w:asciiTheme="majorBidi" w:hAnsiTheme="majorBidi" w:cstheme="majorBidi"/>
          <w:sz w:val="22"/>
          <w:szCs w:val="22"/>
          <w:lang w:val="sr-Latn-ME"/>
        </w:rPr>
        <w:t>bubrega“</w:t>
      </w:r>
      <w:r w:rsidR="00A80D5C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4C1266" w:rsidRPr="0071319B">
        <w:rPr>
          <w:rFonts w:asciiTheme="majorBidi" w:hAnsiTheme="majorBidi" w:cstheme="majorBidi"/>
          <w:sz w:val="22"/>
          <w:szCs w:val="22"/>
          <w:lang w:val="sr-Latn-ME"/>
        </w:rPr>
        <w:t>i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F30D6A">
        <w:rPr>
          <w:rFonts w:asciiTheme="majorBidi" w:hAnsiTheme="majorBidi" w:cstheme="majorBidi"/>
          <w:sz w:val="22"/>
          <w:szCs w:val="22"/>
          <w:lang w:val="sr-Latn-ME"/>
        </w:rPr>
        <w:t>di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o 4.4.</w:t>
      </w:r>
    </w:p>
    <w:p w14:paraId="3120B7B9" w14:textId="77777777" w:rsidR="00833E38" w:rsidRPr="0071319B" w:rsidRDefault="00833E38" w:rsidP="00E17387">
      <w:pPr>
        <w:widowControl w:val="0"/>
        <w:autoSpaceDE w:val="0"/>
        <w:autoSpaceDN w:val="0"/>
        <w:spacing w:before="126" w:line="251" w:lineRule="exact"/>
        <w:jc w:val="both"/>
        <w:outlineLvl w:val="2"/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>Oštećenje funkcije jetre</w:t>
      </w:r>
    </w:p>
    <w:p w14:paraId="4F34FB3D" w14:textId="13F9928F" w:rsidR="00BC3BFA" w:rsidRPr="0071319B" w:rsidRDefault="00833E38" w:rsidP="006568C9">
      <w:pPr>
        <w:widowControl w:val="0"/>
        <w:autoSpaceDE w:val="0"/>
        <w:autoSpaceDN w:val="0"/>
        <w:spacing w:line="251" w:lineRule="exact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Dostupni su ograničeni podaci u vezi primjene kod pacijenata sa oštećenom funkcijom jetre (vidjeti </w:t>
      </w:r>
      <w:r w:rsidR="00F30D6A">
        <w:rPr>
          <w:rFonts w:asciiTheme="majorBidi" w:hAnsiTheme="majorBidi" w:cstheme="majorBidi"/>
          <w:sz w:val="22"/>
          <w:szCs w:val="22"/>
          <w:lang w:val="sr-Latn-ME"/>
        </w:rPr>
        <w:t xml:space="preserve">djelove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5.1 i 5.2), tako da treba pristupiti oprezno (vidjeti </w:t>
      </w:r>
      <w:r w:rsidR="00F30D6A">
        <w:rPr>
          <w:rFonts w:asciiTheme="majorBidi" w:hAnsiTheme="majorBidi" w:cstheme="majorBidi"/>
          <w:sz w:val="22"/>
          <w:szCs w:val="22"/>
          <w:lang w:val="sr-Latn-ME"/>
        </w:rPr>
        <w:t>di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o 4.4).</w:t>
      </w:r>
    </w:p>
    <w:p w14:paraId="3E97347E" w14:textId="68782E92" w:rsidR="00833E38" w:rsidRDefault="00833E38" w:rsidP="00E17387">
      <w:pPr>
        <w:widowControl w:val="0"/>
        <w:autoSpaceDE w:val="0"/>
        <w:autoSpaceDN w:val="0"/>
        <w:spacing w:before="116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>Oštećena funkcija bubrega</w:t>
      </w:r>
      <w:r w:rsidRPr="0071319B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(vidjeti </w:t>
      </w:r>
      <w:r w:rsidR="00F30D6A">
        <w:rPr>
          <w:rFonts w:asciiTheme="majorBidi" w:hAnsiTheme="majorBidi" w:cstheme="majorBidi"/>
          <w:sz w:val="22"/>
          <w:szCs w:val="22"/>
          <w:lang w:val="sr-Latn-ME"/>
        </w:rPr>
        <w:t>djelov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e 4.4 i 5.2).</w:t>
      </w:r>
    </w:p>
    <w:p w14:paraId="49C59DBD" w14:textId="77777777" w:rsidR="006568C9" w:rsidRPr="0071319B" w:rsidRDefault="006568C9" w:rsidP="00E17387">
      <w:pPr>
        <w:widowControl w:val="0"/>
        <w:autoSpaceDE w:val="0"/>
        <w:autoSpaceDN w:val="0"/>
        <w:spacing w:before="116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3D413EF1" w14:textId="77777777" w:rsidR="00833E38" w:rsidRPr="0071319B" w:rsidRDefault="00833E38" w:rsidP="00833E38">
      <w:pPr>
        <w:widowControl w:val="0"/>
        <w:numPr>
          <w:ilvl w:val="0"/>
          <w:numId w:val="13"/>
        </w:numPr>
        <w:tabs>
          <w:tab w:val="left" w:pos="516"/>
        </w:tabs>
        <w:autoSpaceDE w:val="0"/>
        <w:autoSpaceDN w:val="0"/>
        <w:ind w:left="516"/>
        <w:jc w:val="both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>Teška bubrežna</w:t>
      </w:r>
      <w:r w:rsidRPr="0071319B">
        <w:rPr>
          <w:rFonts w:asciiTheme="majorBidi" w:hAnsiTheme="majorBidi" w:cstheme="majorBidi"/>
          <w:i/>
          <w:spacing w:val="-3"/>
          <w:sz w:val="22"/>
          <w:szCs w:val="22"/>
          <w:u w:val="single"/>
          <w:lang w:val="sr-Latn-ME"/>
        </w:rPr>
        <w:t xml:space="preserve"> </w:t>
      </w:r>
      <w:r w:rsidRPr="0071319B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>insuficijencija</w:t>
      </w:r>
    </w:p>
    <w:p w14:paraId="0B1870E1" w14:textId="77777777" w:rsidR="00E17387" w:rsidRPr="0071319B" w:rsidRDefault="00833E38" w:rsidP="006568C9">
      <w:pPr>
        <w:widowControl w:val="0"/>
        <w:autoSpaceDE w:val="0"/>
        <w:autoSpaceDN w:val="0"/>
        <w:spacing w:before="121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 se ne preporučuje kod pacijenata u završnom stadijumu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renalne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insuficijencije (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klirens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kreatinina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&lt; 15 </w:t>
      </w:r>
      <w:r w:rsidR="00444F6E" w:rsidRPr="0071319B">
        <w:rPr>
          <w:rFonts w:asciiTheme="majorBidi" w:hAnsiTheme="majorBidi" w:cstheme="majorBidi"/>
          <w:sz w:val="22"/>
          <w:szCs w:val="22"/>
          <w:lang w:val="sr-Latn-ME"/>
        </w:rPr>
        <w:t>ml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/min) zbog nedostatka podataka za ovu populaciju van prevencije tromboze 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ekstrakorporalnoj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cirkulaciji tokom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hemodijalize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43AF2C99" w14:textId="77777777" w:rsidR="00833E38" w:rsidRPr="0071319B" w:rsidRDefault="00833E38" w:rsidP="00E17387">
      <w:pPr>
        <w:widowControl w:val="0"/>
        <w:autoSpaceDE w:val="0"/>
        <w:autoSpaceDN w:val="0"/>
        <w:spacing w:before="121"/>
        <w:ind w:right="33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Tabela doziranja kod pacijenata sa ozbiljnim oštećenjem bubrega (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klirens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kreatinina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[15-30] </w:t>
      </w:r>
      <w:r w:rsidR="00444F6E" w:rsidRPr="0071319B">
        <w:rPr>
          <w:rFonts w:asciiTheme="majorBidi" w:hAnsiTheme="majorBidi" w:cstheme="majorBidi"/>
          <w:sz w:val="22"/>
          <w:szCs w:val="22"/>
          <w:lang w:val="sr-Latn-ME"/>
        </w:rPr>
        <w:t>ml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/min):</w:t>
      </w:r>
    </w:p>
    <w:p w14:paraId="324EC0A6" w14:textId="77777777" w:rsidR="00833E38" w:rsidRPr="0071319B" w:rsidRDefault="00833E38" w:rsidP="00833E38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7"/>
        <w:gridCol w:w="5566"/>
      </w:tblGrid>
      <w:tr w:rsidR="00833E38" w:rsidRPr="0071319B" w14:paraId="025FD536" w14:textId="77777777" w:rsidTr="006568C9">
        <w:trPr>
          <w:trHeight w:val="431"/>
          <w:jc w:val="center"/>
        </w:trPr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417CB2" w14:textId="77777777" w:rsidR="00833E38" w:rsidRPr="0071319B" w:rsidRDefault="00833E38" w:rsidP="00833E38">
            <w:pPr>
              <w:widowControl w:val="0"/>
              <w:autoSpaceDE w:val="0"/>
              <w:autoSpaceDN w:val="0"/>
              <w:spacing w:before="80"/>
              <w:ind w:left="124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u w:val="single"/>
                <w:lang w:val="sr-Latn-ME"/>
              </w:rPr>
              <w:t>Indikacija</w:t>
            </w:r>
          </w:p>
        </w:tc>
        <w:tc>
          <w:tcPr>
            <w:tcW w:w="5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596AB7" w14:textId="77777777" w:rsidR="00833E38" w:rsidRPr="0071319B" w:rsidRDefault="00833E38" w:rsidP="00833E38">
            <w:pPr>
              <w:widowControl w:val="0"/>
              <w:autoSpaceDE w:val="0"/>
              <w:autoSpaceDN w:val="0"/>
              <w:spacing w:before="80"/>
              <w:ind w:left="124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u w:val="single"/>
                <w:lang w:val="sr-Latn-ME"/>
              </w:rPr>
              <w:t>Režim doziranja</w:t>
            </w:r>
          </w:p>
        </w:tc>
      </w:tr>
      <w:tr w:rsidR="00833E38" w:rsidRPr="003207FF" w14:paraId="4FAE98F8" w14:textId="77777777" w:rsidTr="006568C9">
        <w:trPr>
          <w:trHeight w:val="517"/>
          <w:jc w:val="center"/>
        </w:trPr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832D4B" w14:textId="77777777" w:rsidR="00833E38" w:rsidRPr="0071319B" w:rsidRDefault="00833E38" w:rsidP="00833E38">
            <w:pPr>
              <w:widowControl w:val="0"/>
              <w:autoSpaceDE w:val="0"/>
              <w:autoSpaceDN w:val="0"/>
              <w:spacing w:line="252" w:lineRule="exact"/>
              <w:ind w:left="124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Profilaksa venske </w:t>
            </w:r>
            <w:proofErr w:type="spellStart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tromboembolijske</w:t>
            </w:r>
            <w:proofErr w:type="spellEnd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bolesti</w:t>
            </w:r>
          </w:p>
        </w:tc>
        <w:tc>
          <w:tcPr>
            <w:tcW w:w="5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6D6454" w14:textId="5EE2CA8F" w:rsidR="00833E38" w:rsidRPr="0071319B" w:rsidRDefault="00833E38" w:rsidP="005855FC">
            <w:pPr>
              <w:widowControl w:val="0"/>
              <w:autoSpaceDE w:val="0"/>
              <w:autoSpaceDN w:val="0"/>
              <w:spacing w:before="124"/>
              <w:ind w:left="124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2000 </w:t>
            </w:r>
            <w:proofErr w:type="spellStart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i.j</w:t>
            </w:r>
            <w:proofErr w:type="spellEnd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. (20 mg) </w:t>
            </w:r>
            <w:proofErr w:type="spellStart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s.c</w:t>
            </w:r>
            <w:proofErr w:type="spellEnd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. jednom </w:t>
            </w:r>
            <w:r w:rsidR="005855FC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dnevno</w:t>
            </w:r>
          </w:p>
        </w:tc>
      </w:tr>
      <w:tr w:rsidR="00833E38" w:rsidRPr="003207FF" w14:paraId="1365C421" w14:textId="77777777" w:rsidTr="006568C9">
        <w:trPr>
          <w:trHeight w:val="522"/>
          <w:jc w:val="center"/>
        </w:trPr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2F539B" w14:textId="77777777" w:rsidR="00833E38" w:rsidRPr="0071319B" w:rsidRDefault="00833E38" w:rsidP="00833E38">
            <w:pPr>
              <w:widowControl w:val="0"/>
              <w:autoSpaceDE w:val="0"/>
              <w:autoSpaceDN w:val="0"/>
              <w:spacing w:before="124"/>
              <w:ind w:left="124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Terapija DVT i PE</w:t>
            </w:r>
          </w:p>
        </w:tc>
        <w:tc>
          <w:tcPr>
            <w:tcW w:w="5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A768A1" w14:textId="3D81C18A" w:rsidR="00833E38" w:rsidRPr="0071319B" w:rsidRDefault="00833E38" w:rsidP="005855FC">
            <w:pPr>
              <w:widowControl w:val="0"/>
              <w:autoSpaceDE w:val="0"/>
              <w:autoSpaceDN w:val="0"/>
              <w:spacing w:before="1" w:line="254" w:lineRule="exact"/>
              <w:ind w:left="124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100 </w:t>
            </w:r>
            <w:proofErr w:type="spellStart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i.j</w:t>
            </w:r>
            <w:proofErr w:type="spellEnd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./kg (1 mg/kg) tjelesne mase </w:t>
            </w:r>
            <w:proofErr w:type="spellStart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s.c</w:t>
            </w:r>
            <w:proofErr w:type="spellEnd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. jednom </w:t>
            </w:r>
            <w:r w:rsidR="005855FC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dnevno</w:t>
            </w:r>
          </w:p>
        </w:tc>
      </w:tr>
      <w:tr w:rsidR="006A249D" w:rsidRPr="003207FF" w14:paraId="6260775D" w14:textId="77777777" w:rsidTr="006568C9">
        <w:trPr>
          <w:trHeight w:val="517"/>
          <w:jc w:val="center"/>
        </w:trPr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61721" w14:textId="1ADC917B" w:rsidR="006A249D" w:rsidRPr="0071319B" w:rsidRDefault="006A249D" w:rsidP="00833E38">
            <w:pPr>
              <w:widowControl w:val="0"/>
              <w:autoSpaceDE w:val="0"/>
              <w:autoSpaceDN w:val="0"/>
              <w:spacing w:before="124"/>
              <w:ind w:left="124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proofErr w:type="spellStart"/>
            <w:r>
              <w:t>Produ</w:t>
            </w:r>
            <w:proofErr w:type="spellEnd"/>
            <w:r w:rsidRPr="00357F8F">
              <w:rPr>
                <w:lang w:val="sr-Latn-ME"/>
              </w:rPr>
              <w:t>ž</w:t>
            </w:r>
            <w:proofErr w:type="spellStart"/>
            <w:r>
              <w:t>ena</w:t>
            </w:r>
            <w:proofErr w:type="spellEnd"/>
            <w:r w:rsidRPr="00357F8F">
              <w:rPr>
                <w:lang w:val="sr-Latn-ME"/>
              </w:rPr>
              <w:t xml:space="preserve"> </w:t>
            </w:r>
            <w:proofErr w:type="spellStart"/>
            <w:r>
              <w:t>terapija</w:t>
            </w:r>
            <w:proofErr w:type="spellEnd"/>
            <w:r w:rsidRPr="00357F8F">
              <w:rPr>
                <w:lang w:val="sr-Latn-ME"/>
              </w:rPr>
              <w:t xml:space="preserve"> </w:t>
            </w:r>
            <w:r>
              <w:t>DVT</w:t>
            </w:r>
            <w:r w:rsidRPr="00357F8F">
              <w:rPr>
                <w:lang w:val="sr-Latn-ME"/>
              </w:rPr>
              <w:t xml:space="preserve"> </w:t>
            </w:r>
            <w:proofErr w:type="spellStart"/>
            <w:r>
              <w:t>i</w:t>
            </w:r>
            <w:proofErr w:type="spellEnd"/>
            <w:r w:rsidRPr="00357F8F">
              <w:rPr>
                <w:lang w:val="sr-Latn-ME"/>
              </w:rPr>
              <w:t xml:space="preserve"> </w:t>
            </w:r>
            <w:r>
              <w:t>PE</w:t>
            </w:r>
            <w:r w:rsidRPr="00357F8F">
              <w:rPr>
                <w:lang w:val="sr-Latn-ME"/>
              </w:rPr>
              <w:t xml:space="preserve"> </w:t>
            </w:r>
            <w:proofErr w:type="spellStart"/>
            <w:r>
              <w:t>kod</w:t>
            </w:r>
            <w:proofErr w:type="spellEnd"/>
            <w:r w:rsidRPr="00357F8F">
              <w:rPr>
                <w:lang w:val="sr-Latn-ME"/>
              </w:rPr>
              <w:t xml:space="preserve"> </w:t>
            </w:r>
            <w:proofErr w:type="spellStart"/>
            <w:r>
              <w:t>pacijenata</w:t>
            </w:r>
            <w:proofErr w:type="spellEnd"/>
            <w:r w:rsidRPr="00357F8F">
              <w:rPr>
                <w:lang w:val="sr-Latn-ME"/>
              </w:rPr>
              <w:t xml:space="preserve"> </w:t>
            </w:r>
            <w:proofErr w:type="spellStart"/>
            <w:r>
              <w:t>sa</w:t>
            </w:r>
            <w:proofErr w:type="spellEnd"/>
            <w:r w:rsidRPr="00357F8F">
              <w:rPr>
                <w:lang w:val="sr-Latn-ME"/>
              </w:rPr>
              <w:t xml:space="preserve"> </w:t>
            </w:r>
            <w:proofErr w:type="spellStart"/>
            <w:r>
              <w:t>aktivnom</w:t>
            </w:r>
            <w:proofErr w:type="spellEnd"/>
            <w:r w:rsidRPr="00357F8F">
              <w:rPr>
                <w:lang w:val="sr-Latn-ME"/>
              </w:rPr>
              <w:t xml:space="preserve"> </w:t>
            </w:r>
            <w:proofErr w:type="spellStart"/>
            <w:r>
              <w:t>malignom</w:t>
            </w:r>
            <w:proofErr w:type="spellEnd"/>
            <w:r w:rsidRPr="00357F8F">
              <w:rPr>
                <w:lang w:val="sr-Latn-ME"/>
              </w:rPr>
              <w:t xml:space="preserve"> </w:t>
            </w:r>
            <w:r>
              <w:t>bole</w:t>
            </w:r>
            <w:proofErr w:type="spellStart"/>
            <w:r w:rsidRPr="00357F8F">
              <w:rPr>
                <w:lang w:val="sr-Latn-ME"/>
              </w:rPr>
              <w:t>šć</w:t>
            </w:r>
            <w:proofErr w:type="spellEnd"/>
            <w:r>
              <w:t>u</w:t>
            </w:r>
          </w:p>
        </w:tc>
        <w:tc>
          <w:tcPr>
            <w:tcW w:w="5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22E8B" w14:textId="35EAB30F" w:rsidR="006A249D" w:rsidRPr="0071319B" w:rsidRDefault="006A249D" w:rsidP="005855FC">
            <w:pPr>
              <w:widowControl w:val="0"/>
              <w:autoSpaceDE w:val="0"/>
              <w:autoSpaceDN w:val="0"/>
              <w:spacing w:before="4" w:line="250" w:lineRule="exact"/>
              <w:ind w:left="124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100 </w:t>
            </w:r>
            <w:proofErr w:type="spellStart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i.j</w:t>
            </w:r>
            <w:proofErr w:type="spellEnd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./kg (1 mg/kg) tjelesne mase </w:t>
            </w:r>
            <w:proofErr w:type="spellStart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s.c</w:t>
            </w:r>
            <w:proofErr w:type="spellEnd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. jednom </w:t>
            </w:r>
            <w:r w:rsidR="005855FC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dnevno</w:t>
            </w:r>
          </w:p>
        </w:tc>
      </w:tr>
      <w:tr w:rsidR="00833E38" w:rsidRPr="003207FF" w14:paraId="215F2C1C" w14:textId="77777777" w:rsidTr="006568C9">
        <w:trPr>
          <w:trHeight w:val="517"/>
          <w:jc w:val="center"/>
        </w:trPr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21DF15" w14:textId="77777777" w:rsidR="00833E38" w:rsidRPr="0071319B" w:rsidRDefault="00833E38" w:rsidP="00833E38">
            <w:pPr>
              <w:widowControl w:val="0"/>
              <w:autoSpaceDE w:val="0"/>
              <w:autoSpaceDN w:val="0"/>
              <w:spacing w:before="124"/>
              <w:ind w:left="124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Terapija nestabilne angine i NSTEMI</w:t>
            </w:r>
          </w:p>
        </w:tc>
        <w:tc>
          <w:tcPr>
            <w:tcW w:w="5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781234" w14:textId="07E41DD2" w:rsidR="00833E38" w:rsidRPr="0071319B" w:rsidRDefault="00833E38" w:rsidP="005855FC">
            <w:pPr>
              <w:widowControl w:val="0"/>
              <w:autoSpaceDE w:val="0"/>
              <w:autoSpaceDN w:val="0"/>
              <w:spacing w:before="4" w:line="250" w:lineRule="exact"/>
              <w:ind w:left="124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100 </w:t>
            </w:r>
            <w:proofErr w:type="spellStart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i.j</w:t>
            </w:r>
            <w:proofErr w:type="spellEnd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./kg (1 mg/kg) tjelesne mase </w:t>
            </w:r>
            <w:proofErr w:type="spellStart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s.c</w:t>
            </w:r>
            <w:proofErr w:type="spellEnd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. jednom </w:t>
            </w:r>
            <w:r w:rsidR="005855FC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dnevno</w:t>
            </w:r>
          </w:p>
        </w:tc>
      </w:tr>
      <w:tr w:rsidR="00833E38" w:rsidRPr="003207FF" w14:paraId="2E3D4628" w14:textId="77777777" w:rsidTr="006568C9">
        <w:trPr>
          <w:trHeight w:val="892"/>
          <w:jc w:val="center"/>
        </w:trPr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B2BF221" w14:textId="77777777" w:rsidR="00833E38" w:rsidRPr="0071319B" w:rsidRDefault="00833E38" w:rsidP="00833E38">
            <w:pPr>
              <w:widowControl w:val="0"/>
              <w:autoSpaceDE w:val="0"/>
              <w:autoSpaceDN w:val="0"/>
              <w:spacing w:before="124"/>
              <w:ind w:left="124" w:right="51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Terapija akutnog STEMI (pacijenti </w:t>
            </w:r>
            <w:r w:rsidR="00444F6E"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ml</w:t>
            </w: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ađi od 75)</w:t>
            </w:r>
          </w:p>
        </w:tc>
        <w:tc>
          <w:tcPr>
            <w:tcW w:w="55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FF4D286" w14:textId="77777777" w:rsidR="00833E38" w:rsidRPr="0071319B" w:rsidRDefault="00833E38" w:rsidP="00833E38">
            <w:pPr>
              <w:widowControl w:val="0"/>
              <w:autoSpaceDE w:val="0"/>
              <w:autoSpaceDN w:val="0"/>
              <w:ind w:left="124" w:right="102"/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1 x 3 000 </w:t>
            </w:r>
            <w:proofErr w:type="spellStart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i.j</w:t>
            </w:r>
            <w:proofErr w:type="spellEnd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. (30 mg) </w:t>
            </w:r>
            <w:proofErr w:type="spellStart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i.v</w:t>
            </w:r>
            <w:proofErr w:type="spellEnd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bolus</w:t>
            </w:r>
            <w:proofErr w:type="spellEnd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plus 100 </w:t>
            </w:r>
            <w:proofErr w:type="spellStart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i.j</w:t>
            </w:r>
            <w:proofErr w:type="spellEnd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./kg (1 mg/kg) tjelesne mase </w:t>
            </w:r>
            <w:proofErr w:type="spellStart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s.c</w:t>
            </w:r>
            <w:proofErr w:type="spellEnd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. i zatim 100 </w:t>
            </w:r>
            <w:proofErr w:type="spellStart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i.j</w:t>
            </w:r>
            <w:proofErr w:type="spellEnd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./kg (1 mg/kg) tjelesne mase </w:t>
            </w:r>
            <w:proofErr w:type="spellStart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s.c</w:t>
            </w:r>
            <w:proofErr w:type="spellEnd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. svaka 24 sata</w:t>
            </w:r>
          </w:p>
        </w:tc>
      </w:tr>
      <w:tr w:rsidR="00833E38" w:rsidRPr="003207FF" w14:paraId="0388F350" w14:textId="77777777" w:rsidTr="006568C9">
        <w:trPr>
          <w:trHeight w:val="892"/>
          <w:jc w:val="center"/>
        </w:trPr>
        <w:tc>
          <w:tcPr>
            <w:tcW w:w="4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94073" w14:textId="77777777" w:rsidR="00833E38" w:rsidRPr="0071319B" w:rsidRDefault="00833E38" w:rsidP="00833E38">
            <w:pPr>
              <w:widowControl w:val="0"/>
              <w:autoSpaceDE w:val="0"/>
              <w:autoSpaceDN w:val="0"/>
              <w:spacing w:before="2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00EA6668" w14:textId="77777777" w:rsidR="00833E38" w:rsidRPr="0071319B" w:rsidRDefault="00833E38" w:rsidP="00833E38">
            <w:pPr>
              <w:widowControl w:val="0"/>
              <w:autoSpaceDE w:val="0"/>
              <w:autoSpaceDN w:val="0"/>
              <w:spacing w:before="1"/>
              <w:ind w:left="124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Terapija akutnog STEMI (pacijenti </w:t>
            </w:r>
            <w:proofErr w:type="spellStart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starijii</w:t>
            </w:r>
            <w:proofErr w:type="spellEnd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od 75)</w:t>
            </w:r>
          </w:p>
        </w:tc>
        <w:tc>
          <w:tcPr>
            <w:tcW w:w="5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67432D" w14:textId="77777777" w:rsidR="00833E38" w:rsidRPr="0071319B" w:rsidRDefault="00833E38" w:rsidP="00833E38">
            <w:pPr>
              <w:widowControl w:val="0"/>
              <w:autoSpaceDE w:val="0"/>
              <w:autoSpaceDN w:val="0"/>
              <w:spacing w:before="114" w:line="250" w:lineRule="atLeast"/>
              <w:ind w:left="124" w:right="103"/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Bez inicijalnog </w:t>
            </w:r>
            <w:proofErr w:type="spellStart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i.v</w:t>
            </w:r>
            <w:proofErr w:type="spellEnd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. </w:t>
            </w:r>
            <w:proofErr w:type="spellStart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bolusa</w:t>
            </w:r>
            <w:proofErr w:type="spellEnd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, 100 </w:t>
            </w:r>
            <w:proofErr w:type="spellStart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i.j</w:t>
            </w:r>
            <w:proofErr w:type="spellEnd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./kg (1 mg/kg) tjelesne mase </w:t>
            </w:r>
            <w:proofErr w:type="spellStart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s.c</w:t>
            </w:r>
            <w:proofErr w:type="spellEnd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. i zatim 100 </w:t>
            </w:r>
            <w:proofErr w:type="spellStart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i.j</w:t>
            </w:r>
            <w:proofErr w:type="spellEnd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./kg (1 mg/kg) tjelesne mase </w:t>
            </w:r>
            <w:proofErr w:type="spellStart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s.c</w:t>
            </w:r>
            <w:proofErr w:type="spellEnd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. svaka 24 sata</w:t>
            </w:r>
          </w:p>
        </w:tc>
      </w:tr>
    </w:tbl>
    <w:p w14:paraId="37EAFA76" w14:textId="77777777" w:rsidR="00833E38" w:rsidRPr="0071319B" w:rsidRDefault="00833E38" w:rsidP="00E17387">
      <w:pPr>
        <w:widowControl w:val="0"/>
        <w:autoSpaceDE w:val="0"/>
        <w:autoSpaceDN w:val="0"/>
        <w:spacing w:before="105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Preporučen</w:t>
      </w:r>
      <w:r w:rsidR="00444F6E" w:rsidRPr="0071319B">
        <w:rPr>
          <w:rFonts w:asciiTheme="majorBidi" w:hAnsiTheme="majorBidi" w:cstheme="majorBidi"/>
          <w:sz w:val="22"/>
          <w:szCs w:val="22"/>
          <w:lang w:val="sr-Latn-ME"/>
        </w:rPr>
        <w:t>a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prilagođavanja doze se ne odnose na primjenu kod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hemodijalize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4C9755C3" w14:textId="77777777" w:rsidR="00833E38" w:rsidRPr="0071319B" w:rsidRDefault="00833E38" w:rsidP="00833E38">
      <w:pPr>
        <w:widowControl w:val="0"/>
        <w:numPr>
          <w:ilvl w:val="0"/>
          <w:numId w:val="13"/>
        </w:numPr>
        <w:tabs>
          <w:tab w:val="left" w:pos="516"/>
        </w:tabs>
        <w:autoSpaceDE w:val="0"/>
        <w:autoSpaceDN w:val="0"/>
        <w:spacing w:before="115"/>
        <w:ind w:left="516"/>
        <w:jc w:val="both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>Umjerena i blaga insuficijencija</w:t>
      </w:r>
      <w:r w:rsidRPr="0071319B">
        <w:rPr>
          <w:rFonts w:asciiTheme="majorBidi" w:hAnsiTheme="majorBidi" w:cstheme="majorBidi"/>
          <w:i/>
          <w:spacing w:val="-6"/>
          <w:sz w:val="22"/>
          <w:szCs w:val="22"/>
          <w:u w:val="single"/>
          <w:lang w:val="sr-Latn-ME"/>
        </w:rPr>
        <w:t xml:space="preserve"> </w:t>
      </w:r>
      <w:r w:rsidRPr="0071319B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>bubrega</w:t>
      </w:r>
    </w:p>
    <w:p w14:paraId="64C1EBF6" w14:textId="77777777" w:rsidR="00E17387" w:rsidRPr="0071319B" w:rsidRDefault="00833E38" w:rsidP="00E17387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Iako se ne preporučuje prilagođavanje doze kod pacijenata sa umjerenim (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klirens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kreatinina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30-50 </w:t>
      </w:r>
      <w:r w:rsidR="00444F6E" w:rsidRPr="0071319B">
        <w:rPr>
          <w:rFonts w:asciiTheme="majorBidi" w:hAnsiTheme="majorBidi" w:cstheme="majorBidi"/>
          <w:sz w:val="22"/>
          <w:szCs w:val="22"/>
          <w:lang w:val="sr-Latn-ME"/>
        </w:rPr>
        <w:t>ml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/min) i blagim (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klirens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kreatinina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50-80 </w:t>
      </w:r>
      <w:r w:rsidR="00444F6E" w:rsidRPr="0071319B">
        <w:rPr>
          <w:rFonts w:asciiTheme="majorBidi" w:hAnsiTheme="majorBidi" w:cstheme="majorBidi"/>
          <w:sz w:val="22"/>
          <w:szCs w:val="22"/>
          <w:lang w:val="sr-Latn-ME"/>
        </w:rPr>
        <w:t>ml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/min) oštećenjem funkcije bubrega, savjetuje se pažljivo kliničko praćenje.</w:t>
      </w:r>
    </w:p>
    <w:p w14:paraId="7E861933" w14:textId="77777777" w:rsidR="00E17387" w:rsidRPr="0071319B" w:rsidRDefault="00E17387" w:rsidP="00E17387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7981BBC0" w14:textId="77777777" w:rsidR="00E17387" w:rsidRPr="0071319B" w:rsidRDefault="00452E9D" w:rsidP="00E17387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  <w:t>Način primjene</w:t>
      </w:r>
    </w:p>
    <w:p w14:paraId="010CA945" w14:textId="77777777" w:rsidR="00E17387" w:rsidRPr="0071319B" w:rsidRDefault="000635CE" w:rsidP="00E17387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Lijek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Enoxaparin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Ledraxen</w:t>
      </w:r>
      <w:proofErr w:type="spellEnd"/>
      <w:r w:rsidR="00E97E8A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se ne smije davati int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r</w:t>
      </w:r>
      <w:r w:rsidR="00E97E8A" w:rsidRPr="0071319B">
        <w:rPr>
          <w:rFonts w:asciiTheme="majorBidi" w:hAnsiTheme="majorBidi" w:cstheme="majorBidi"/>
          <w:sz w:val="22"/>
          <w:szCs w:val="22"/>
          <w:lang w:val="sr-Latn-ME"/>
        </w:rPr>
        <w:t>a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muskularno.</w:t>
      </w:r>
    </w:p>
    <w:p w14:paraId="5DC65A90" w14:textId="77777777" w:rsidR="00E17387" w:rsidRPr="0071319B" w:rsidRDefault="00E17387" w:rsidP="00E17387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1D8D1D62" w14:textId="659F8C56" w:rsidR="00E17387" w:rsidRPr="0071319B" w:rsidRDefault="00675401" w:rsidP="00E17387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se primjenjuje </w:t>
      </w:r>
      <w:proofErr w:type="spellStart"/>
      <w:r w:rsidR="003601E4" w:rsidRPr="0071319B">
        <w:rPr>
          <w:rFonts w:asciiTheme="majorBidi" w:hAnsiTheme="majorBidi" w:cstheme="majorBidi"/>
          <w:sz w:val="22"/>
          <w:szCs w:val="22"/>
          <w:lang w:val="sr-Latn-ME"/>
        </w:rPr>
        <w:t>subk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utanom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injekcijom u prevenciji venske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tromboembolijske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bolesti nakon </w:t>
      </w:r>
      <w:r w:rsidR="00444F6E" w:rsidRPr="0071319B">
        <w:rPr>
          <w:rFonts w:asciiTheme="majorBidi" w:hAnsiTheme="majorBidi" w:cstheme="majorBidi"/>
          <w:sz w:val="22"/>
          <w:szCs w:val="22"/>
          <w:lang w:val="sr-Latn-ME"/>
        </w:rPr>
        <w:t>operacije, terapiji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E97E8A" w:rsidRPr="0071319B">
        <w:rPr>
          <w:rFonts w:asciiTheme="majorBidi" w:hAnsiTheme="majorBidi" w:cstheme="majorBidi"/>
          <w:sz w:val="22"/>
          <w:szCs w:val="22"/>
          <w:lang w:val="sr-Latn-ME"/>
        </w:rPr>
        <w:t>DVT i PE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,</w:t>
      </w:r>
      <w:r w:rsidR="00444F6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produženoj </w:t>
      </w:r>
      <w:r w:rsidR="004C1266" w:rsidRPr="0071319B">
        <w:rPr>
          <w:rFonts w:asciiTheme="majorBidi" w:hAnsiTheme="majorBidi" w:cstheme="majorBidi"/>
          <w:sz w:val="22"/>
          <w:szCs w:val="22"/>
          <w:lang w:val="sr-Latn-ME"/>
        </w:rPr>
        <w:t>terapiji DVT</w:t>
      </w:r>
      <w:r w:rsidR="00444F6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 PE kod pacijenata </w:t>
      </w:r>
      <w:r w:rsidR="008441CF">
        <w:rPr>
          <w:rFonts w:asciiTheme="majorBidi" w:hAnsiTheme="majorBidi" w:cstheme="majorBidi"/>
          <w:sz w:val="22"/>
          <w:szCs w:val="22"/>
          <w:lang w:val="sr-Latn-ME"/>
        </w:rPr>
        <w:t>sa aktivnom malignom bolešću</w:t>
      </w:r>
      <w:r w:rsidR="00444F6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, 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terapiji nestabilne angine i </w:t>
      </w:r>
      <w:r w:rsidR="00E97E8A" w:rsidRPr="0071319B">
        <w:rPr>
          <w:rFonts w:asciiTheme="majorBidi" w:hAnsiTheme="majorBidi" w:cstheme="majorBidi"/>
          <w:sz w:val="22"/>
          <w:szCs w:val="22"/>
          <w:lang w:val="sr-Latn-ME"/>
        </w:rPr>
        <w:t>NSTEMI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49ACFA17" w14:textId="77777777" w:rsidR="00E17387" w:rsidRPr="003207FF" w:rsidRDefault="000635CE" w:rsidP="003207FF">
      <w:pPr>
        <w:pStyle w:val="ListParagraph"/>
        <w:widowControl w:val="0"/>
        <w:numPr>
          <w:ilvl w:val="0"/>
          <w:numId w:val="44"/>
        </w:numPr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Kod akutnog STEMI, terapiju treba započeti inicijalnom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i.v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.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bolus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injekcijom neposredno praćenom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s.c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>.</w:t>
      </w:r>
      <w:r w:rsidRPr="003207FF">
        <w:rPr>
          <w:rFonts w:asciiTheme="majorBidi" w:hAnsiTheme="majorBidi" w:cstheme="majorBidi"/>
          <w:spacing w:val="-5"/>
          <w:sz w:val="22"/>
          <w:szCs w:val="22"/>
          <w:lang w:val="sr-Latn-ME"/>
        </w:rPr>
        <w:t xml:space="preserve"> </w:t>
      </w:r>
      <w:r w:rsidRPr="003207FF">
        <w:rPr>
          <w:rFonts w:asciiTheme="majorBidi" w:hAnsiTheme="majorBidi" w:cstheme="majorBidi"/>
          <w:sz w:val="22"/>
          <w:szCs w:val="22"/>
          <w:lang w:val="sr-Latn-ME"/>
        </w:rPr>
        <w:t>injekcijom</w:t>
      </w:r>
      <w:r w:rsidR="00444F6E" w:rsidRPr="003207FF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0C0314C2" w14:textId="77777777" w:rsidR="00E17387" w:rsidRPr="003207FF" w:rsidRDefault="000635CE" w:rsidP="003207FF">
      <w:pPr>
        <w:pStyle w:val="ListParagraph"/>
        <w:widowControl w:val="0"/>
        <w:numPr>
          <w:ilvl w:val="0"/>
          <w:numId w:val="44"/>
        </w:numPr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Kod prevencije tromboze u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ekstrakorporalnoj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cirkulaciji tokom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hemodijalize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, primjena </w:t>
      </w:r>
      <w:r w:rsidRPr="003207FF">
        <w:rPr>
          <w:rFonts w:asciiTheme="majorBidi" w:hAnsiTheme="majorBidi" w:cstheme="majorBidi"/>
          <w:spacing w:val="2"/>
          <w:sz w:val="22"/>
          <w:szCs w:val="22"/>
          <w:lang w:val="sr-Latn-ME"/>
        </w:rPr>
        <w:t xml:space="preserve">se </w:t>
      </w:r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vrši kroz arterijsku liniju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dijaliznog</w:t>
      </w:r>
      <w:proofErr w:type="spellEnd"/>
      <w:r w:rsidRPr="003207FF">
        <w:rPr>
          <w:rFonts w:asciiTheme="majorBidi" w:hAnsiTheme="majorBidi" w:cstheme="majorBidi"/>
          <w:spacing w:val="-4"/>
          <w:sz w:val="22"/>
          <w:szCs w:val="22"/>
          <w:lang w:val="sr-Latn-ME"/>
        </w:rPr>
        <w:t xml:space="preserve"> </w:t>
      </w:r>
      <w:r w:rsidRPr="003207FF">
        <w:rPr>
          <w:rFonts w:asciiTheme="majorBidi" w:hAnsiTheme="majorBidi" w:cstheme="majorBidi"/>
          <w:sz w:val="22"/>
          <w:szCs w:val="22"/>
          <w:lang w:val="sr-Latn-ME"/>
        </w:rPr>
        <w:t>kola</w:t>
      </w:r>
      <w:r w:rsidR="00444F6E" w:rsidRPr="003207FF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6D400621" w14:textId="77777777" w:rsidR="000635CE" w:rsidRPr="0071319B" w:rsidRDefault="000635CE" w:rsidP="00E17387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Napunjeni špric za jednokratnu upotrebu je spreman za neposrednu upotrebu.</w:t>
      </w:r>
    </w:p>
    <w:p w14:paraId="4C380DE8" w14:textId="77777777" w:rsidR="000635CE" w:rsidRPr="0071319B" w:rsidRDefault="000635CE" w:rsidP="000635CE">
      <w:pPr>
        <w:widowControl w:val="0"/>
        <w:autoSpaceDE w:val="0"/>
        <w:autoSpaceDN w:val="0"/>
        <w:spacing w:before="1"/>
        <w:rPr>
          <w:rFonts w:asciiTheme="majorBidi" w:hAnsiTheme="majorBidi" w:cstheme="majorBidi"/>
          <w:sz w:val="22"/>
          <w:szCs w:val="22"/>
          <w:lang w:val="sr-Latn-ME"/>
        </w:rPr>
      </w:pPr>
    </w:p>
    <w:p w14:paraId="1D7A691B" w14:textId="77777777" w:rsidR="0028256F" w:rsidRPr="0071319B" w:rsidRDefault="000635CE" w:rsidP="00B6245C">
      <w:pPr>
        <w:pStyle w:val="ListParagraph"/>
        <w:widowControl w:val="0"/>
        <w:numPr>
          <w:ilvl w:val="0"/>
          <w:numId w:val="31"/>
        </w:numPr>
        <w:autoSpaceDE w:val="0"/>
        <w:autoSpaceDN w:val="0"/>
        <w:spacing w:line="251" w:lineRule="exact"/>
        <w:outlineLvl w:val="2"/>
        <w:rPr>
          <w:rFonts w:asciiTheme="majorBidi" w:hAnsiTheme="majorBidi" w:cstheme="majorBidi"/>
          <w:bCs/>
          <w:i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Cs/>
          <w:i/>
          <w:sz w:val="22"/>
          <w:szCs w:val="22"/>
          <w:lang w:val="sr-Latn-ME"/>
        </w:rPr>
        <w:t xml:space="preserve">Metoda </w:t>
      </w:r>
      <w:proofErr w:type="spellStart"/>
      <w:r w:rsidR="003601E4" w:rsidRPr="0071319B">
        <w:rPr>
          <w:rFonts w:asciiTheme="majorBidi" w:hAnsiTheme="majorBidi" w:cstheme="majorBidi"/>
          <w:bCs/>
          <w:i/>
          <w:sz w:val="22"/>
          <w:szCs w:val="22"/>
          <w:lang w:val="sr-Latn-ME"/>
        </w:rPr>
        <w:t>subk</w:t>
      </w:r>
      <w:r w:rsidRPr="0071319B">
        <w:rPr>
          <w:rFonts w:asciiTheme="majorBidi" w:hAnsiTheme="majorBidi" w:cstheme="majorBidi"/>
          <w:bCs/>
          <w:i/>
          <w:sz w:val="22"/>
          <w:szCs w:val="22"/>
          <w:lang w:val="sr-Latn-ME"/>
        </w:rPr>
        <w:t>utane</w:t>
      </w:r>
      <w:proofErr w:type="spellEnd"/>
      <w:r w:rsidRPr="0071319B">
        <w:rPr>
          <w:rFonts w:asciiTheme="majorBidi" w:hAnsiTheme="majorBidi" w:cstheme="majorBidi"/>
          <w:bCs/>
          <w:i/>
          <w:sz w:val="22"/>
          <w:szCs w:val="22"/>
          <w:lang w:val="sr-Latn-ME"/>
        </w:rPr>
        <w:t xml:space="preserve"> injekcije:</w:t>
      </w:r>
      <w:r w:rsidR="0028256F" w:rsidRPr="0071319B">
        <w:rPr>
          <w:rFonts w:asciiTheme="majorBidi" w:hAnsiTheme="majorBidi" w:cstheme="majorBidi"/>
          <w:bCs/>
          <w:i/>
          <w:sz w:val="22"/>
          <w:szCs w:val="22"/>
          <w:lang w:val="sr-Latn-ME"/>
        </w:rPr>
        <w:t xml:space="preserve"> </w:t>
      </w:r>
    </w:p>
    <w:p w14:paraId="7C1EF2E4" w14:textId="11E99785" w:rsidR="006E0000" w:rsidRDefault="006E0000" w:rsidP="00E17387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Poželjno je primijeniti injekciju dok je pacijent u ležećem položaju.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 se primjenjuje</w:t>
      </w:r>
      <w:r w:rsidR="00E17387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dubokom</w:t>
      </w:r>
      <w:r w:rsidR="0085742A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="003601E4" w:rsidRPr="0071319B">
        <w:rPr>
          <w:rFonts w:asciiTheme="majorBidi" w:hAnsiTheme="majorBidi" w:cstheme="majorBidi"/>
          <w:sz w:val="22"/>
          <w:szCs w:val="22"/>
          <w:lang w:val="sr-Latn-ME"/>
        </w:rPr>
        <w:t>subk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utanom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injekcijom. </w:t>
      </w:r>
    </w:p>
    <w:p w14:paraId="49669299" w14:textId="77777777" w:rsidR="005855FC" w:rsidRPr="0071319B" w:rsidRDefault="005855FC" w:rsidP="00E17387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4A591CF9" w14:textId="77777777" w:rsidR="000635CE" w:rsidRPr="0071319B" w:rsidRDefault="006E0000" w:rsidP="00E17387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Kako ne bi došlo do gubitka lijeka kod upo</w:t>
      </w:r>
      <w:r w:rsidR="00444F6E" w:rsidRPr="0071319B">
        <w:rPr>
          <w:rFonts w:asciiTheme="majorBidi" w:hAnsiTheme="majorBidi" w:cstheme="majorBidi"/>
          <w:sz w:val="22"/>
          <w:szCs w:val="22"/>
          <w:lang w:val="sr-Latn-ME"/>
        </w:rPr>
        <w:t>t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r</w:t>
      </w:r>
      <w:r w:rsidR="00444F6E" w:rsidRPr="0071319B">
        <w:rPr>
          <w:rFonts w:asciiTheme="majorBidi" w:hAnsiTheme="majorBidi" w:cstheme="majorBidi"/>
          <w:sz w:val="22"/>
          <w:szCs w:val="22"/>
          <w:lang w:val="sr-Latn-ME"/>
        </w:rPr>
        <w:t>e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be napunjenih injekcionih špriceva, nemojte </w:t>
      </w:r>
      <w:r w:rsidR="00AB7A0A" w:rsidRPr="0071319B">
        <w:rPr>
          <w:rFonts w:asciiTheme="majorBidi" w:hAnsiTheme="majorBidi" w:cstheme="majorBidi"/>
          <w:sz w:val="22"/>
          <w:szCs w:val="22"/>
          <w:lang w:val="sr-Latn-ME"/>
        </w:rPr>
        <w:t>prije davanja injekcije uklanjati mjehuriće vazduha iz šprica.</w:t>
      </w:r>
      <w:r w:rsidR="00D5548F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Kada količinu lijeka koja će se </w:t>
      </w:r>
      <w:proofErr w:type="spellStart"/>
      <w:r w:rsidR="00D5548F" w:rsidRPr="0071319B">
        <w:rPr>
          <w:rFonts w:asciiTheme="majorBidi" w:hAnsiTheme="majorBidi" w:cstheme="majorBidi"/>
          <w:sz w:val="22"/>
          <w:szCs w:val="22"/>
          <w:lang w:val="sr-Latn-ME"/>
        </w:rPr>
        <w:t>injicirati</w:t>
      </w:r>
      <w:proofErr w:type="spellEnd"/>
      <w:r w:rsidR="00D5548F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morate prilagoditi prema tjelesnoj </w:t>
      </w:r>
      <w:r w:rsidR="0085742A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masi </w:t>
      </w:r>
      <w:r w:rsidR="00D5548F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pacijenta, upotrijebite graduisani napunjeni injekcioni špric i prilagodite volumen izbacivanjem viška prije injekcije. Imajte na umu da u nekim slučajevima zbog oznaka na </w:t>
      </w:r>
      <w:r w:rsidR="00414B12" w:rsidRPr="0071319B">
        <w:rPr>
          <w:rFonts w:asciiTheme="majorBidi" w:hAnsiTheme="majorBidi" w:cstheme="majorBidi"/>
          <w:sz w:val="22"/>
          <w:szCs w:val="22"/>
          <w:lang w:val="sr-Latn-ME"/>
        </w:rPr>
        <w:t>špricu neće</w:t>
      </w:r>
      <w:r w:rsidR="00D5548F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biti moguće prilagoditi volumen na tačnu dozu, pa ga u tom slučaju treba zaokružiti na sljedeću najbližu oznaku.</w:t>
      </w:r>
    </w:p>
    <w:p w14:paraId="57B957F1" w14:textId="77777777" w:rsidR="00AB7A0A" w:rsidRPr="0071319B" w:rsidRDefault="00AB7A0A" w:rsidP="00E17387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7C6FB06F" w14:textId="6ED25CD8" w:rsidR="000635CE" w:rsidRDefault="000635CE" w:rsidP="00E17387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Primjena treba da bude naizmjenično u lijevi i desni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anterolateralni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ili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posterolateralni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dio zida abdomena.</w:t>
      </w:r>
    </w:p>
    <w:p w14:paraId="1740C9C6" w14:textId="77777777" w:rsidR="005855FC" w:rsidRPr="0071319B" w:rsidRDefault="005855FC" w:rsidP="00E17387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63D08423" w14:textId="38DCF910" w:rsidR="00BC6407" w:rsidRDefault="00414B12" w:rsidP="00E17387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Iglu treba </w:t>
      </w:r>
      <w:r w:rsidR="004C1266" w:rsidRPr="0071319B">
        <w:rPr>
          <w:rFonts w:asciiTheme="majorBidi" w:hAnsiTheme="majorBidi" w:cstheme="majorBidi"/>
          <w:sz w:val="22"/>
          <w:szCs w:val="22"/>
          <w:lang w:val="sr-Latn-ME"/>
        </w:rPr>
        <w:t>uvesti cijelom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dužinom, </w:t>
      </w:r>
      <w:r w:rsidR="00D5548F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vertikalno u nabor kože koji se nježno 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drži između palca i kažiprsta. Nabor kože treba držati sve vrijeme dok se ne završi davanje injekcije. Ne trljajte mjesto gdje je data injekcija nakon primjene.</w:t>
      </w:r>
    </w:p>
    <w:p w14:paraId="104BB2DB" w14:textId="77777777" w:rsidR="005855FC" w:rsidRPr="0071319B" w:rsidRDefault="005855FC" w:rsidP="00E17387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516A2F9F" w14:textId="77777777" w:rsidR="000635CE" w:rsidRPr="0071319B" w:rsidRDefault="00B77C26" w:rsidP="00E17387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Sigurnosni sistem </w:t>
      </w:r>
      <w:r w:rsidR="004C1266" w:rsidRPr="0071319B">
        <w:rPr>
          <w:rFonts w:asciiTheme="majorBidi" w:hAnsiTheme="majorBidi" w:cstheme="majorBidi"/>
          <w:sz w:val="22"/>
          <w:szCs w:val="22"/>
          <w:lang w:val="sr-Latn-ME"/>
        </w:rPr>
        <w:t>se aktivira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 kraju injekcije</w:t>
      </w:r>
      <w:r w:rsidR="00414B12" w:rsidRPr="0071319B">
        <w:rPr>
          <w:rFonts w:asciiTheme="majorBidi" w:hAnsiTheme="majorBidi" w:cstheme="majorBidi"/>
          <w:sz w:val="22"/>
          <w:szCs w:val="22"/>
          <w:lang w:val="sr-Latn-ME"/>
        </w:rPr>
        <w:t>.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14:paraId="71B1B8BB" w14:textId="77777777" w:rsidR="000635CE" w:rsidRPr="0071319B" w:rsidRDefault="000635CE" w:rsidP="00E17387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U slučaju da pacijent samostalno primjenjuje lijek, treba ga posavjetovati da prati uputstva iz Uputstva za lijek koje se nalazi u pakovanju lijeka.</w:t>
      </w:r>
    </w:p>
    <w:p w14:paraId="4A08D332" w14:textId="77777777" w:rsidR="00B6245C" w:rsidRPr="0071319B" w:rsidRDefault="00B6245C" w:rsidP="000635CE">
      <w:pPr>
        <w:widowControl w:val="0"/>
        <w:autoSpaceDE w:val="0"/>
        <w:autoSpaceDN w:val="0"/>
        <w:spacing w:before="123" w:line="235" w:lineRule="auto"/>
        <w:ind w:left="232" w:right="592"/>
        <w:rPr>
          <w:rFonts w:asciiTheme="majorBidi" w:hAnsiTheme="majorBidi" w:cstheme="majorBidi"/>
          <w:sz w:val="22"/>
          <w:szCs w:val="22"/>
          <w:lang w:val="sr-Latn-ME"/>
        </w:rPr>
      </w:pPr>
    </w:p>
    <w:p w14:paraId="4F9B0958" w14:textId="5F03565A" w:rsidR="000635CE" w:rsidRPr="0071319B" w:rsidRDefault="005855FC" w:rsidP="00B6245C">
      <w:pPr>
        <w:pStyle w:val="ListParagraph"/>
        <w:widowControl w:val="0"/>
        <w:numPr>
          <w:ilvl w:val="0"/>
          <w:numId w:val="31"/>
        </w:numPr>
        <w:autoSpaceDE w:val="0"/>
        <w:autoSpaceDN w:val="0"/>
        <w:spacing w:line="251" w:lineRule="exact"/>
        <w:outlineLvl w:val="2"/>
        <w:rPr>
          <w:rFonts w:asciiTheme="majorBidi" w:hAnsiTheme="majorBidi" w:cstheme="majorBidi"/>
          <w:bCs/>
          <w:i/>
          <w:sz w:val="22"/>
          <w:szCs w:val="22"/>
          <w:lang w:val="sr-Latn-ME"/>
        </w:rPr>
      </w:pPr>
      <w:proofErr w:type="spellStart"/>
      <w:r>
        <w:rPr>
          <w:rFonts w:asciiTheme="majorBidi" w:hAnsiTheme="majorBidi" w:cstheme="majorBidi"/>
          <w:bCs/>
          <w:i/>
          <w:sz w:val="22"/>
          <w:szCs w:val="22"/>
          <w:lang w:val="sr-Latn-ME"/>
        </w:rPr>
        <w:t>Intravenska</w:t>
      </w:r>
      <w:proofErr w:type="spellEnd"/>
      <w:r w:rsidR="000635CE" w:rsidRPr="0071319B">
        <w:rPr>
          <w:rFonts w:asciiTheme="majorBidi" w:hAnsiTheme="majorBidi" w:cstheme="majorBidi"/>
          <w:bCs/>
          <w:i/>
          <w:sz w:val="22"/>
          <w:szCs w:val="22"/>
          <w:lang w:val="sr-Latn-ME"/>
        </w:rPr>
        <w:t xml:space="preserve"> (</w:t>
      </w:r>
      <w:proofErr w:type="spellStart"/>
      <w:r w:rsidR="000635CE" w:rsidRPr="0071319B">
        <w:rPr>
          <w:rFonts w:asciiTheme="majorBidi" w:hAnsiTheme="majorBidi" w:cstheme="majorBidi"/>
          <w:bCs/>
          <w:i/>
          <w:sz w:val="22"/>
          <w:szCs w:val="22"/>
          <w:lang w:val="sr-Latn-ME"/>
        </w:rPr>
        <w:t>bolus</w:t>
      </w:r>
      <w:proofErr w:type="spellEnd"/>
      <w:r w:rsidR="000635CE" w:rsidRPr="0071319B">
        <w:rPr>
          <w:rFonts w:asciiTheme="majorBidi" w:hAnsiTheme="majorBidi" w:cstheme="majorBidi"/>
          <w:bCs/>
          <w:i/>
          <w:sz w:val="22"/>
          <w:szCs w:val="22"/>
          <w:lang w:val="sr-Latn-ME"/>
        </w:rPr>
        <w:t>) injekcij</w:t>
      </w:r>
      <w:r>
        <w:rPr>
          <w:rFonts w:asciiTheme="majorBidi" w:hAnsiTheme="majorBidi" w:cstheme="majorBidi"/>
          <w:bCs/>
          <w:i/>
          <w:sz w:val="22"/>
          <w:szCs w:val="22"/>
          <w:lang w:val="sr-Latn-ME"/>
        </w:rPr>
        <w:t>a</w:t>
      </w:r>
      <w:r w:rsidR="000635CE" w:rsidRPr="0071319B">
        <w:rPr>
          <w:rFonts w:asciiTheme="majorBidi" w:hAnsiTheme="majorBidi" w:cstheme="majorBidi"/>
          <w:bCs/>
          <w:i/>
          <w:sz w:val="22"/>
          <w:szCs w:val="22"/>
          <w:lang w:val="sr-Latn-ME"/>
        </w:rPr>
        <w:t xml:space="preserve"> (samo kod indikacije </w:t>
      </w:r>
      <w:r w:rsidR="004C1266" w:rsidRPr="0071319B">
        <w:rPr>
          <w:rFonts w:asciiTheme="majorBidi" w:hAnsiTheme="majorBidi" w:cstheme="majorBidi"/>
          <w:bCs/>
          <w:i/>
          <w:sz w:val="22"/>
          <w:szCs w:val="22"/>
          <w:lang w:val="sr-Latn-ME"/>
        </w:rPr>
        <w:t>akutni STEMI</w:t>
      </w:r>
      <w:r w:rsidR="000635CE" w:rsidRPr="0071319B">
        <w:rPr>
          <w:rFonts w:asciiTheme="majorBidi" w:hAnsiTheme="majorBidi" w:cstheme="majorBidi"/>
          <w:bCs/>
          <w:i/>
          <w:sz w:val="22"/>
          <w:szCs w:val="22"/>
          <w:lang w:val="sr-Latn-ME"/>
        </w:rPr>
        <w:t>)</w:t>
      </w:r>
    </w:p>
    <w:p w14:paraId="09C24931" w14:textId="5A85ABAA" w:rsidR="000635CE" w:rsidRDefault="000635CE" w:rsidP="00E17387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Kod akutnog </w:t>
      </w:r>
      <w:r w:rsidR="00B6245C" w:rsidRPr="0071319B">
        <w:rPr>
          <w:rFonts w:asciiTheme="majorBidi" w:hAnsiTheme="majorBidi" w:cstheme="majorBidi"/>
          <w:sz w:val="22"/>
          <w:szCs w:val="22"/>
          <w:lang w:val="sr-Latn-ME"/>
        </w:rPr>
        <w:t>STEMI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, terapiju treba započeti inicijalnom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i.v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bolus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injekcijom neposredno praćenom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s.c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. injekcijom.</w:t>
      </w:r>
    </w:p>
    <w:p w14:paraId="55177FEF" w14:textId="77777777" w:rsidR="005855FC" w:rsidRPr="0071319B" w:rsidRDefault="005855FC" w:rsidP="00E17387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7D7E9691" w14:textId="13ECB585" w:rsidR="00B6245C" w:rsidRDefault="000635CE" w:rsidP="00E17387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Za primjenu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i.v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. injekcije može biti upotrijebljen napunjeni injekcioni špric.</w:t>
      </w:r>
    </w:p>
    <w:p w14:paraId="7AFC7452" w14:textId="77777777" w:rsidR="002656AB" w:rsidRPr="0071319B" w:rsidRDefault="002656AB" w:rsidP="00E17387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7C633A99" w14:textId="77777777" w:rsidR="000635CE" w:rsidRPr="0071319B" w:rsidRDefault="000635CE" w:rsidP="00E17387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 treba primijeniti kroz vensku liniju. Ne treba ga miješati niti primjenjivati istovremeno sa drugim ljekovima. Da bi se izbjegla mogućnost miješanja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i drugih ljekova, odabrani venski pristup treba isprati dovoljnom količinom fiziološkog rastvora ili rastvora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dekstroze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prije i nakon primjene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i.v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bolusa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natrijuma.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 je bezbjedno primijeniti sa normalnim fiziološkim rastvorom (0.9%) ili 5% rastvorom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dekstroze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u vodi.</w:t>
      </w:r>
    </w:p>
    <w:p w14:paraId="05CBFE97" w14:textId="77777777" w:rsidR="00B6245C" w:rsidRPr="0071319B" w:rsidRDefault="00B6245C" w:rsidP="00B6245C">
      <w:pPr>
        <w:widowControl w:val="0"/>
        <w:autoSpaceDE w:val="0"/>
        <w:autoSpaceDN w:val="0"/>
        <w:spacing w:before="1" w:line="235" w:lineRule="auto"/>
        <w:ind w:left="232" w:right="494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7DF295D5" w14:textId="77777777" w:rsidR="000635CE" w:rsidRPr="003207FF" w:rsidRDefault="000635CE" w:rsidP="003207FF">
      <w:pPr>
        <w:pStyle w:val="ListParagraph"/>
        <w:widowControl w:val="0"/>
        <w:numPr>
          <w:ilvl w:val="0"/>
          <w:numId w:val="45"/>
        </w:numPr>
        <w:autoSpaceDE w:val="0"/>
        <w:autoSpaceDN w:val="0"/>
        <w:spacing w:line="251" w:lineRule="exact"/>
        <w:outlineLvl w:val="2"/>
        <w:rPr>
          <w:rFonts w:asciiTheme="majorBidi" w:hAnsiTheme="majorBidi" w:cstheme="majorBidi"/>
          <w:bCs/>
          <w:i/>
          <w:sz w:val="22"/>
          <w:szCs w:val="22"/>
          <w:lang w:val="sr-Latn-ME"/>
        </w:rPr>
      </w:pPr>
      <w:r w:rsidRPr="003207FF">
        <w:rPr>
          <w:rFonts w:asciiTheme="majorBidi" w:hAnsiTheme="majorBidi" w:cstheme="majorBidi"/>
          <w:bCs/>
          <w:i/>
          <w:sz w:val="22"/>
          <w:szCs w:val="22"/>
          <w:lang w:val="sr-Latn-ME"/>
        </w:rPr>
        <w:t xml:space="preserve">Inicijalni </w:t>
      </w:r>
      <w:proofErr w:type="spellStart"/>
      <w:r w:rsidRPr="003207FF">
        <w:rPr>
          <w:rFonts w:asciiTheme="majorBidi" w:hAnsiTheme="majorBidi" w:cstheme="majorBidi"/>
          <w:bCs/>
          <w:i/>
          <w:sz w:val="22"/>
          <w:szCs w:val="22"/>
          <w:lang w:val="sr-Latn-ME"/>
        </w:rPr>
        <w:t>bolus</w:t>
      </w:r>
      <w:proofErr w:type="spellEnd"/>
      <w:r w:rsidRPr="003207FF">
        <w:rPr>
          <w:rFonts w:asciiTheme="majorBidi" w:hAnsiTheme="majorBidi" w:cstheme="majorBidi"/>
          <w:bCs/>
          <w:i/>
          <w:sz w:val="22"/>
          <w:szCs w:val="22"/>
          <w:lang w:val="sr-Latn-ME"/>
        </w:rPr>
        <w:t xml:space="preserve"> od 3000 </w:t>
      </w:r>
      <w:proofErr w:type="spellStart"/>
      <w:r w:rsidRPr="003207FF">
        <w:rPr>
          <w:rFonts w:asciiTheme="majorBidi" w:hAnsiTheme="majorBidi" w:cstheme="majorBidi"/>
          <w:bCs/>
          <w:i/>
          <w:sz w:val="22"/>
          <w:szCs w:val="22"/>
          <w:lang w:val="sr-Latn-ME"/>
        </w:rPr>
        <w:t>i.j</w:t>
      </w:r>
      <w:proofErr w:type="spellEnd"/>
      <w:r w:rsidRPr="003207FF">
        <w:rPr>
          <w:rFonts w:asciiTheme="majorBidi" w:hAnsiTheme="majorBidi" w:cstheme="majorBidi"/>
          <w:bCs/>
          <w:i/>
          <w:sz w:val="22"/>
          <w:szCs w:val="22"/>
          <w:lang w:val="sr-Latn-ME"/>
        </w:rPr>
        <w:t>. (30 mg)</w:t>
      </w:r>
    </w:p>
    <w:p w14:paraId="5E6B084F" w14:textId="77777777" w:rsidR="000635CE" w:rsidRPr="003207FF" w:rsidRDefault="000635CE" w:rsidP="003207FF">
      <w:pPr>
        <w:pStyle w:val="ListParagraph"/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Za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incijalni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bolus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od 3000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. (30 mg), korišćenjem napunjenog graduisanog šprica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natrijuma, odbacuje se višak kako bi ostalo samo 3000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. (30 mg) u špricu. Doza od 3000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>. (30 mg) može se zatim primijeniti direktnim ubrizgavanjem u vensku liniju.</w:t>
      </w:r>
    </w:p>
    <w:p w14:paraId="4B2AA952" w14:textId="77777777" w:rsidR="000635CE" w:rsidRPr="0071319B" w:rsidRDefault="000635CE" w:rsidP="000635CE">
      <w:pPr>
        <w:widowControl w:val="0"/>
        <w:autoSpaceDE w:val="0"/>
        <w:autoSpaceDN w:val="0"/>
        <w:rPr>
          <w:rFonts w:asciiTheme="majorBidi" w:hAnsiTheme="majorBidi" w:cstheme="majorBidi"/>
          <w:sz w:val="22"/>
          <w:szCs w:val="22"/>
          <w:lang w:val="sr-Latn-ME"/>
        </w:rPr>
      </w:pPr>
    </w:p>
    <w:p w14:paraId="3EAE9AD6" w14:textId="1E14ADF0" w:rsidR="0028256F" w:rsidRPr="003207FF" w:rsidRDefault="000635CE" w:rsidP="003207FF">
      <w:pPr>
        <w:pStyle w:val="ListParagraph"/>
        <w:widowControl w:val="0"/>
        <w:numPr>
          <w:ilvl w:val="0"/>
          <w:numId w:val="45"/>
        </w:numPr>
        <w:autoSpaceDE w:val="0"/>
        <w:autoSpaceDN w:val="0"/>
        <w:spacing w:line="251" w:lineRule="exact"/>
        <w:jc w:val="both"/>
        <w:outlineLvl w:val="2"/>
        <w:rPr>
          <w:rFonts w:asciiTheme="majorBidi" w:hAnsiTheme="majorBidi" w:cstheme="majorBidi"/>
          <w:bCs/>
          <w:i/>
          <w:sz w:val="22"/>
          <w:szCs w:val="22"/>
          <w:lang w:val="sr-Latn-ME"/>
        </w:rPr>
      </w:pPr>
      <w:r w:rsidRPr="003207FF">
        <w:rPr>
          <w:rFonts w:asciiTheme="majorBidi" w:hAnsiTheme="majorBidi" w:cstheme="majorBidi"/>
          <w:bCs/>
          <w:i/>
          <w:sz w:val="22"/>
          <w:szCs w:val="22"/>
          <w:lang w:val="sr-Latn-ME"/>
        </w:rPr>
        <w:t>Dodatn</w:t>
      </w:r>
      <w:r w:rsidR="002656AB">
        <w:rPr>
          <w:rFonts w:asciiTheme="majorBidi" w:hAnsiTheme="majorBidi" w:cstheme="majorBidi"/>
          <w:bCs/>
          <w:i/>
          <w:sz w:val="22"/>
          <w:szCs w:val="22"/>
          <w:lang w:val="sr-Latn-ME"/>
        </w:rPr>
        <w:t>a</w:t>
      </w:r>
      <w:r w:rsidRPr="003207FF">
        <w:rPr>
          <w:rFonts w:asciiTheme="majorBidi" w:hAnsiTheme="majorBidi" w:cstheme="majorBidi"/>
          <w:bCs/>
          <w:i/>
          <w:sz w:val="22"/>
          <w:szCs w:val="22"/>
          <w:lang w:val="sr-Latn-ME"/>
        </w:rPr>
        <w:t xml:space="preserve"> </w:t>
      </w:r>
      <w:proofErr w:type="spellStart"/>
      <w:r w:rsidRPr="003207FF">
        <w:rPr>
          <w:rFonts w:asciiTheme="majorBidi" w:hAnsiTheme="majorBidi" w:cstheme="majorBidi"/>
          <w:bCs/>
          <w:i/>
          <w:sz w:val="22"/>
          <w:szCs w:val="22"/>
          <w:lang w:val="sr-Latn-ME"/>
        </w:rPr>
        <w:t>bolus</w:t>
      </w:r>
      <w:r w:rsidR="002656AB">
        <w:rPr>
          <w:rFonts w:asciiTheme="majorBidi" w:hAnsiTheme="majorBidi" w:cstheme="majorBidi"/>
          <w:bCs/>
          <w:i/>
          <w:sz w:val="22"/>
          <w:szCs w:val="22"/>
          <w:lang w:val="sr-Latn-ME"/>
        </w:rPr>
        <w:t>na</w:t>
      </w:r>
      <w:proofErr w:type="spellEnd"/>
      <w:r w:rsidR="002656AB">
        <w:rPr>
          <w:rFonts w:asciiTheme="majorBidi" w:hAnsiTheme="majorBidi" w:cstheme="majorBidi"/>
          <w:bCs/>
          <w:i/>
          <w:sz w:val="22"/>
          <w:szCs w:val="22"/>
          <w:lang w:val="sr-Latn-ME"/>
        </w:rPr>
        <w:t xml:space="preserve"> doza</w:t>
      </w:r>
      <w:r w:rsidRPr="003207FF">
        <w:rPr>
          <w:rFonts w:asciiTheme="majorBidi" w:hAnsiTheme="majorBidi" w:cstheme="majorBidi"/>
          <w:bCs/>
          <w:i/>
          <w:sz w:val="22"/>
          <w:szCs w:val="22"/>
          <w:lang w:val="sr-Latn-ME"/>
        </w:rPr>
        <w:t xml:space="preserve"> za PCI kada je posljednja </w:t>
      </w:r>
      <w:proofErr w:type="spellStart"/>
      <w:r w:rsidRPr="003207FF">
        <w:rPr>
          <w:rFonts w:asciiTheme="majorBidi" w:hAnsiTheme="majorBidi" w:cstheme="majorBidi"/>
          <w:bCs/>
          <w:i/>
          <w:sz w:val="22"/>
          <w:szCs w:val="22"/>
          <w:lang w:val="sr-Latn-ME"/>
        </w:rPr>
        <w:t>s.c</w:t>
      </w:r>
      <w:proofErr w:type="spellEnd"/>
      <w:r w:rsidRPr="003207FF">
        <w:rPr>
          <w:rFonts w:asciiTheme="majorBidi" w:hAnsiTheme="majorBidi" w:cstheme="majorBidi"/>
          <w:bCs/>
          <w:i/>
          <w:sz w:val="22"/>
          <w:szCs w:val="22"/>
          <w:lang w:val="sr-Latn-ME"/>
        </w:rPr>
        <w:t>. doza primijenjena prije više od 8 sati prije balon dilatacije:</w:t>
      </w:r>
      <w:r w:rsidR="0028256F" w:rsidRPr="003207FF">
        <w:rPr>
          <w:rFonts w:asciiTheme="majorBidi" w:hAnsiTheme="majorBidi" w:cstheme="majorBidi"/>
          <w:bCs/>
          <w:i/>
          <w:sz w:val="22"/>
          <w:szCs w:val="22"/>
          <w:lang w:val="sr-Latn-ME"/>
        </w:rPr>
        <w:t xml:space="preserve"> </w:t>
      </w:r>
    </w:p>
    <w:p w14:paraId="4B76DABC" w14:textId="2C1B8A60" w:rsidR="000635CE" w:rsidRDefault="000635CE" w:rsidP="003207FF">
      <w:pPr>
        <w:pStyle w:val="ListParagraph"/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Za pacijente koji su podvrgnuti PCI, dodatni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i.v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.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bolus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od 30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./kg (0,3mg/kg) se daje ako je </w:t>
      </w:r>
      <w:r w:rsidR="002656AB"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    </w:t>
      </w:r>
      <w:r w:rsidRPr="003207FF">
        <w:rPr>
          <w:rFonts w:asciiTheme="majorBidi" w:hAnsiTheme="majorBidi" w:cstheme="majorBidi"/>
          <w:sz w:val="22"/>
          <w:szCs w:val="22"/>
          <w:lang w:val="sr-Latn-ME"/>
        </w:rPr>
        <w:t>posljednja</w:t>
      </w:r>
      <w:r w:rsidR="0028256F"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s.c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>. doza primijenjena prije više od 8 sati prije naduvavanja balona.</w:t>
      </w:r>
    </w:p>
    <w:p w14:paraId="42443609" w14:textId="77777777" w:rsidR="002656AB" w:rsidRPr="003207FF" w:rsidRDefault="002656AB" w:rsidP="003207FF">
      <w:pPr>
        <w:pStyle w:val="ListParagraph"/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9B233B8" w14:textId="77777777" w:rsidR="000635CE" w:rsidRPr="0071319B" w:rsidRDefault="000635CE" w:rsidP="00E17387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Da bi se osigurala tačnost primjene male zapremine koja treba da se ubrizga, preporučuje se da se lijek rastvori do 300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./</w:t>
      </w:r>
      <w:r w:rsidR="00444F6E" w:rsidRPr="0071319B">
        <w:rPr>
          <w:rFonts w:asciiTheme="majorBidi" w:hAnsiTheme="majorBidi" w:cstheme="majorBidi"/>
          <w:sz w:val="22"/>
          <w:szCs w:val="22"/>
          <w:lang w:val="sr-Latn-ME"/>
        </w:rPr>
        <w:t>ml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(3 mg/</w:t>
      </w:r>
      <w:r w:rsidR="00444F6E" w:rsidRPr="0071319B">
        <w:rPr>
          <w:rFonts w:asciiTheme="majorBidi" w:hAnsiTheme="majorBidi" w:cstheme="majorBidi"/>
          <w:sz w:val="22"/>
          <w:szCs w:val="22"/>
          <w:lang w:val="sr-Latn-ME"/>
        </w:rPr>
        <w:t>ml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). Da bi se dobio rastvor koncentracije 300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./</w:t>
      </w:r>
      <w:r w:rsidR="00444F6E" w:rsidRPr="0071319B">
        <w:rPr>
          <w:rFonts w:asciiTheme="majorBidi" w:hAnsiTheme="majorBidi" w:cstheme="majorBidi"/>
          <w:sz w:val="22"/>
          <w:szCs w:val="22"/>
          <w:lang w:val="sr-Latn-ME"/>
        </w:rPr>
        <w:t>ml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(3 mg/</w:t>
      </w:r>
      <w:r w:rsidR="00444F6E" w:rsidRPr="0071319B">
        <w:rPr>
          <w:rFonts w:asciiTheme="majorBidi" w:hAnsiTheme="majorBidi" w:cstheme="majorBidi"/>
          <w:sz w:val="22"/>
          <w:szCs w:val="22"/>
          <w:lang w:val="sr-Latn-ME"/>
        </w:rPr>
        <w:t>ml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), koristeći napunjeni injekcioni špric sa 6000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 (60 mg)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natrijuma, preporučuje se korišćenje kese za infuziju od 50 </w:t>
      </w:r>
      <w:r w:rsidR="00444F6E" w:rsidRPr="0071319B">
        <w:rPr>
          <w:rFonts w:asciiTheme="majorBidi" w:hAnsiTheme="majorBidi" w:cstheme="majorBidi"/>
          <w:sz w:val="22"/>
          <w:szCs w:val="22"/>
          <w:lang w:val="sr-Latn-ME"/>
        </w:rPr>
        <w:t>ml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(bilo sa fiziološkim rastvorom (0,9%) ili 5% rastvorom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dekstroze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u vodi) na sl</w:t>
      </w:r>
      <w:r w:rsidR="008A2E1C" w:rsidRPr="0071319B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edeći način:</w:t>
      </w:r>
    </w:p>
    <w:p w14:paraId="3476D005" w14:textId="77777777" w:rsidR="00AB403E" w:rsidRPr="003207FF" w:rsidRDefault="000635CE" w:rsidP="003207FF">
      <w:pPr>
        <w:widowControl w:val="0"/>
        <w:tabs>
          <w:tab w:val="left" w:pos="9356"/>
        </w:tabs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Izvucite 30 </w:t>
      </w:r>
      <w:r w:rsidR="00444F6E" w:rsidRPr="003207FF">
        <w:rPr>
          <w:rFonts w:asciiTheme="majorBidi" w:hAnsiTheme="majorBidi" w:cstheme="majorBidi"/>
          <w:sz w:val="22"/>
          <w:szCs w:val="22"/>
          <w:lang w:val="sr-Latn-ME"/>
        </w:rPr>
        <w:t>ml</w:t>
      </w:r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tečnosti iz kese za infuziju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špricem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i odbacite tečnost. Ubrizgajte kompletan sadržaj napunjenog injekcionog šprica od 6000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. (60 mg) </w:t>
      </w:r>
      <w:proofErr w:type="spellStart"/>
      <w:r w:rsidRPr="003207FF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natrijuma u preostalih 20 </w:t>
      </w:r>
      <w:r w:rsidR="00444F6E" w:rsidRPr="003207FF">
        <w:rPr>
          <w:rFonts w:asciiTheme="majorBidi" w:hAnsiTheme="majorBidi" w:cstheme="majorBidi"/>
          <w:sz w:val="22"/>
          <w:szCs w:val="22"/>
          <w:lang w:val="sr-Latn-ME"/>
        </w:rPr>
        <w:t>ml</w:t>
      </w:r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rastvora u kesi za infuziju. Blago promiješajte sadržaj kese. Izvucite potrebnu količinu razblaženog rastvora pomoću šprica kojim se uvodi u vensku liniju.</w:t>
      </w:r>
    </w:p>
    <w:p w14:paraId="4D170FCE" w14:textId="77777777" w:rsidR="000635CE" w:rsidRPr="003207FF" w:rsidRDefault="000635CE" w:rsidP="003207FF">
      <w:pPr>
        <w:widowControl w:val="0"/>
        <w:tabs>
          <w:tab w:val="left" w:pos="9356"/>
        </w:tabs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3207FF">
        <w:rPr>
          <w:rFonts w:asciiTheme="majorBidi" w:hAnsiTheme="majorBidi" w:cstheme="majorBidi"/>
          <w:sz w:val="22"/>
          <w:szCs w:val="22"/>
          <w:lang w:val="sr-Latn-ME"/>
        </w:rPr>
        <w:t>Nakon što je razblaživanje završeno, količina koju treba ubrizgati se može izračunati korišćenjem sl</w:t>
      </w:r>
      <w:r w:rsidR="008A2E1C" w:rsidRPr="003207FF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edeće formule </w:t>
      </w:r>
      <w:r w:rsidR="00B6245C" w:rsidRPr="003207FF">
        <w:rPr>
          <w:rFonts w:asciiTheme="majorBidi" w:hAnsiTheme="majorBidi" w:cstheme="majorBidi"/>
          <w:sz w:val="22"/>
          <w:szCs w:val="22"/>
          <w:lang w:val="sr-Latn-ME"/>
        </w:rPr>
        <w:t>[</w:t>
      </w:r>
      <w:r w:rsidRPr="003207FF">
        <w:rPr>
          <w:rFonts w:asciiTheme="majorBidi" w:hAnsiTheme="majorBidi" w:cstheme="majorBidi"/>
          <w:sz w:val="22"/>
          <w:szCs w:val="22"/>
          <w:lang w:val="sr-Latn-ME"/>
        </w:rPr>
        <w:t>zapremina razblaženog rastvora (</w:t>
      </w:r>
      <w:r w:rsidR="00444F6E" w:rsidRPr="003207FF">
        <w:rPr>
          <w:rFonts w:asciiTheme="majorBidi" w:hAnsiTheme="majorBidi" w:cstheme="majorBidi"/>
          <w:sz w:val="22"/>
          <w:szCs w:val="22"/>
          <w:lang w:val="sr-Latn-ME"/>
        </w:rPr>
        <w:t>ml</w:t>
      </w:r>
      <w:r w:rsidRPr="003207FF">
        <w:rPr>
          <w:rFonts w:asciiTheme="majorBidi" w:hAnsiTheme="majorBidi" w:cstheme="majorBidi"/>
          <w:sz w:val="22"/>
          <w:szCs w:val="22"/>
          <w:lang w:val="sr-Latn-ME"/>
        </w:rPr>
        <w:t>) = tjelesna masa pacijenta (kg) x 0,1</w:t>
      </w:r>
      <w:r w:rsidR="00B6245C" w:rsidRPr="003207FF">
        <w:rPr>
          <w:rFonts w:asciiTheme="majorBidi" w:hAnsiTheme="majorBidi" w:cstheme="majorBidi"/>
          <w:sz w:val="22"/>
          <w:szCs w:val="22"/>
          <w:lang w:val="sr-Latn-ME"/>
        </w:rPr>
        <w:t>]</w:t>
      </w:r>
      <w:r w:rsidRPr="003207FF">
        <w:rPr>
          <w:rFonts w:asciiTheme="majorBidi" w:hAnsiTheme="majorBidi" w:cstheme="majorBidi"/>
          <w:sz w:val="22"/>
          <w:szCs w:val="22"/>
          <w:lang w:val="sr-Latn-ME"/>
        </w:rPr>
        <w:t xml:space="preserve"> ili upotrebom tabele u nastavku. Preporučuje se da se rastvor pripremi neposredno prije upotrebe.</w:t>
      </w:r>
    </w:p>
    <w:p w14:paraId="08C63053" w14:textId="77777777" w:rsidR="000635CE" w:rsidRPr="0071319B" w:rsidRDefault="000635CE" w:rsidP="000635CE">
      <w:pPr>
        <w:widowControl w:val="0"/>
        <w:autoSpaceDE w:val="0"/>
        <w:autoSpaceDN w:val="0"/>
        <w:spacing w:before="1"/>
        <w:rPr>
          <w:rFonts w:asciiTheme="majorBidi" w:hAnsiTheme="majorBidi" w:cstheme="majorBidi"/>
          <w:sz w:val="22"/>
          <w:szCs w:val="22"/>
          <w:lang w:val="sr-Latn-ME"/>
        </w:rPr>
      </w:pPr>
    </w:p>
    <w:p w14:paraId="33CC35EE" w14:textId="7106AD1E" w:rsidR="000635CE" w:rsidRPr="0071319B" w:rsidRDefault="000635CE" w:rsidP="003207FF">
      <w:pPr>
        <w:widowControl w:val="0"/>
        <w:autoSpaceDE w:val="0"/>
        <w:autoSpaceDN w:val="0"/>
        <w:jc w:val="both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Zapremina koju treba ubrizgati putem venske linije nakon završenog razblaživanja</w:t>
      </w:r>
      <w:r w:rsidR="008A2E1C" w:rsidRPr="0071319B">
        <w:rPr>
          <w:rFonts w:asciiTheme="majorBidi" w:hAnsiTheme="majorBidi" w:cstheme="majorBidi"/>
          <w:i/>
          <w:sz w:val="22"/>
          <w:szCs w:val="22"/>
          <w:lang w:val="sr-Latn-ME"/>
        </w:rPr>
        <w:t xml:space="preserve"> </w:t>
      </w:r>
      <w:r w:rsidR="00B6245C" w:rsidRPr="0071319B">
        <w:rPr>
          <w:rFonts w:asciiTheme="majorBidi" w:hAnsiTheme="majorBidi" w:cstheme="majorBidi"/>
          <w:i/>
          <w:sz w:val="22"/>
          <w:szCs w:val="22"/>
          <w:lang w:val="sr-Latn-ME"/>
        </w:rPr>
        <w:t xml:space="preserve">do koncentracije od 300 </w:t>
      </w:r>
      <w:proofErr w:type="spellStart"/>
      <w:r w:rsidR="00B6245C" w:rsidRPr="0071319B">
        <w:rPr>
          <w:rFonts w:asciiTheme="majorBidi" w:hAnsiTheme="majorBidi" w:cstheme="majorBidi"/>
          <w:i/>
          <w:sz w:val="22"/>
          <w:szCs w:val="22"/>
          <w:lang w:val="sr-Latn-ME"/>
        </w:rPr>
        <w:lastRenderedPageBreak/>
        <w:t>i.j</w:t>
      </w:r>
      <w:proofErr w:type="spellEnd"/>
      <w:r w:rsidR="00B6245C" w:rsidRPr="0071319B">
        <w:rPr>
          <w:rFonts w:asciiTheme="majorBidi" w:hAnsiTheme="majorBidi" w:cstheme="majorBidi"/>
          <w:i/>
          <w:sz w:val="22"/>
          <w:szCs w:val="22"/>
          <w:lang w:val="sr-Latn-ME"/>
        </w:rPr>
        <w:t>.</w:t>
      </w:r>
      <w:r w:rsidR="00290AF9" w:rsidRPr="0071319B">
        <w:rPr>
          <w:rFonts w:asciiTheme="majorBidi" w:hAnsiTheme="majorBidi" w:cstheme="majorBidi"/>
          <w:i/>
          <w:sz w:val="22"/>
          <w:szCs w:val="22"/>
          <w:lang w:val="sr-Latn-ME"/>
        </w:rPr>
        <w:t xml:space="preserve"> (3 mg)/</w:t>
      </w:r>
      <w:r w:rsidR="00444F6E" w:rsidRPr="0071319B">
        <w:rPr>
          <w:rFonts w:asciiTheme="majorBidi" w:hAnsiTheme="majorBidi" w:cstheme="majorBidi"/>
          <w:i/>
          <w:sz w:val="22"/>
          <w:szCs w:val="22"/>
          <w:lang w:val="sr-Latn-ME"/>
        </w:rPr>
        <w:t>ml</w:t>
      </w:r>
      <w:r w:rsidR="00290AF9" w:rsidRPr="0071319B">
        <w:rPr>
          <w:rFonts w:asciiTheme="majorBidi" w:hAnsiTheme="majorBidi" w:cstheme="majorBidi"/>
          <w:i/>
          <w:sz w:val="22"/>
          <w:szCs w:val="22"/>
          <w:lang w:val="sr-Latn-ME"/>
        </w:rPr>
        <w:t>.</w:t>
      </w:r>
    </w:p>
    <w:p w14:paraId="3C3DAA8D" w14:textId="77777777" w:rsidR="000635CE" w:rsidRPr="0071319B" w:rsidRDefault="000635CE" w:rsidP="000635CE">
      <w:pPr>
        <w:widowControl w:val="0"/>
        <w:autoSpaceDE w:val="0"/>
        <w:autoSpaceDN w:val="0"/>
        <w:spacing w:before="11"/>
        <w:rPr>
          <w:rFonts w:asciiTheme="majorBidi" w:hAnsiTheme="majorBidi" w:cstheme="majorBidi"/>
          <w:i/>
          <w:sz w:val="22"/>
          <w:szCs w:val="22"/>
          <w:lang w:val="sr-Latn-ME"/>
        </w:rPr>
      </w:pPr>
    </w:p>
    <w:tbl>
      <w:tblPr>
        <w:tblW w:w="9580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9"/>
        <w:gridCol w:w="1528"/>
        <w:gridCol w:w="1818"/>
        <w:gridCol w:w="5265"/>
      </w:tblGrid>
      <w:tr w:rsidR="000635CE" w:rsidRPr="003207FF" w14:paraId="302ADBB1" w14:textId="77777777" w:rsidTr="006568C9">
        <w:trPr>
          <w:trHeight w:val="698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4BAD1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1" w:line="250" w:lineRule="exact"/>
              <w:ind w:left="249" w:hanging="111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Tjelesna masa</w:t>
            </w:r>
          </w:p>
        </w:tc>
        <w:tc>
          <w:tcPr>
            <w:tcW w:w="3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FA45E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47" w:lineRule="exact"/>
              <w:ind w:left="783" w:right="774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Potrebna doza</w:t>
            </w:r>
          </w:p>
          <w:p w14:paraId="669165B7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36" w:lineRule="exact"/>
              <w:ind w:left="783" w:right="777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30 </w:t>
            </w:r>
            <w:proofErr w:type="spellStart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i.j</w:t>
            </w:r>
            <w:proofErr w:type="spellEnd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./kg (0,3 mg/kg)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806D4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1" w:line="250" w:lineRule="exact"/>
              <w:ind w:left="187" w:firstLine="355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Zapremina lijeka koju treba primijeniti nakon razblaživanja do koncentracije od 300 </w:t>
            </w:r>
            <w:proofErr w:type="spellStart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i.j</w:t>
            </w:r>
            <w:proofErr w:type="spellEnd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 (3mg) /</w:t>
            </w:r>
            <w:r w:rsidR="00444F6E"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ml</w:t>
            </w:r>
          </w:p>
        </w:tc>
      </w:tr>
      <w:tr w:rsidR="000635CE" w:rsidRPr="0071319B" w14:paraId="40FF0698" w14:textId="77777777" w:rsidTr="006568C9">
        <w:trPr>
          <w:trHeight w:val="658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AE5B2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106"/>
              <w:ind w:left="285" w:right="275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(kg)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ADA0C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106"/>
              <w:ind w:left="533" w:right="528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proofErr w:type="spellStart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i.j</w:t>
            </w:r>
            <w:proofErr w:type="spellEnd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BC5EA" w14:textId="223E5DD0" w:rsidR="000635CE" w:rsidRPr="0071319B" w:rsidRDefault="002E6A41" w:rsidP="003207FF">
            <w:pPr>
              <w:widowControl w:val="0"/>
              <w:autoSpaceDE w:val="0"/>
              <w:autoSpaceDN w:val="0"/>
              <w:spacing w:line="249" w:lineRule="exact"/>
              <w:ind w:left="753" w:right="738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m</w:t>
            </w:r>
            <w:r w:rsidR="000635CE"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g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48DC1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106"/>
              <w:ind w:left="2363" w:right="2355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(</w:t>
            </w:r>
            <w:r w:rsidR="00444F6E"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ml</w:t>
            </w:r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)</w:t>
            </w:r>
          </w:p>
        </w:tc>
      </w:tr>
      <w:tr w:rsidR="000635CE" w:rsidRPr="0071319B" w14:paraId="633FD55A" w14:textId="77777777" w:rsidTr="006568C9">
        <w:trPr>
          <w:trHeight w:val="345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CDB20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29" w:lineRule="exact"/>
              <w:ind w:left="284" w:right="275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45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F0F4E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29" w:lineRule="exact"/>
              <w:ind w:left="542" w:right="528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1350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ACB0D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29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13,5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C6F8A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29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4,5</w:t>
            </w:r>
          </w:p>
        </w:tc>
      </w:tr>
      <w:tr w:rsidR="000635CE" w:rsidRPr="0071319B" w14:paraId="7C90EF8A" w14:textId="77777777" w:rsidTr="006568C9">
        <w:trPr>
          <w:trHeight w:val="35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8BDD5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34" w:lineRule="exact"/>
              <w:ind w:left="284" w:right="275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50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74994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34" w:lineRule="exact"/>
              <w:ind w:left="542" w:right="528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1500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E8B41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34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15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12A50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34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5</w:t>
            </w:r>
          </w:p>
        </w:tc>
      </w:tr>
      <w:tr w:rsidR="000635CE" w:rsidRPr="0071319B" w14:paraId="3C1402E9" w14:textId="77777777" w:rsidTr="006568C9">
        <w:trPr>
          <w:trHeight w:val="35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26EFA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34" w:lineRule="exact"/>
              <w:ind w:left="284" w:right="275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55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851C0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34" w:lineRule="exact"/>
              <w:ind w:left="542" w:right="528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1650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4FFED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34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16,5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B0461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34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5,5</w:t>
            </w:r>
          </w:p>
        </w:tc>
      </w:tr>
      <w:tr w:rsidR="000635CE" w:rsidRPr="0071319B" w14:paraId="42F3BDCB" w14:textId="77777777" w:rsidTr="006568C9">
        <w:trPr>
          <w:trHeight w:val="35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08048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34" w:lineRule="exact"/>
              <w:ind w:left="284" w:right="275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60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6299E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34" w:lineRule="exact"/>
              <w:ind w:left="542" w:right="528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1800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7559C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34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18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C18E5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34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6</w:t>
            </w:r>
          </w:p>
        </w:tc>
      </w:tr>
      <w:tr w:rsidR="000635CE" w:rsidRPr="0071319B" w14:paraId="3CC71EE9" w14:textId="77777777" w:rsidTr="006568C9">
        <w:trPr>
          <w:trHeight w:val="352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4DBDB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34" w:lineRule="exact"/>
              <w:ind w:left="284" w:right="275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65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3227E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34" w:lineRule="exact"/>
              <w:ind w:left="542" w:right="528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1950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F35FB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34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19,5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6C1D7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34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6,5</w:t>
            </w:r>
          </w:p>
        </w:tc>
      </w:tr>
      <w:tr w:rsidR="000635CE" w:rsidRPr="0071319B" w14:paraId="3D3C3511" w14:textId="77777777" w:rsidTr="006568C9">
        <w:trPr>
          <w:trHeight w:val="345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9A743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29" w:lineRule="exact"/>
              <w:ind w:left="284" w:right="275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70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28E48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29" w:lineRule="exact"/>
              <w:ind w:left="542" w:right="528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2100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92AEF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29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21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0F74D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29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7</w:t>
            </w:r>
          </w:p>
        </w:tc>
      </w:tr>
      <w:tr w:rsidR="000635CE" w:rsidRPr="0071319B" w14:paraId="74A8DAC7" w14:textId="77777777" w:rsidTr="006568C9">
        <w:trPr>
          <w:trHeight w:val="35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C9CD3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34" w:lineRule="exact"/>
              <w:ind w:left="284" w:right="275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75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927B7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34" w:lineRule="exact"/>
              <w:ind w:left="542" w:right="528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2250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561E2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34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22,5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9031A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34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7,5</w:t>
            </w:r>
          </w:p>
        </w:tc>
      </w:tr>
      <w:tr w:rsidR="000635CE" w:rsidRPr="0071319B" w14:paraId="08364162" w14:textId="77777777" w:rsidTr="006568C9">
        <w:trPr>
          <w:trHeight w:val="35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DF86F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34" w:lineRule="exact"/>
              <w:ind w:left="284" w:right="275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80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082C8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34" w:lineRule="exact"/>
              <w:ind w:left="542" w:right="528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2400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5FEEF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34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24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1ED37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34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8</w:t>
            </w:r>
          </w:p>
        </w:tc>
      </w:tr>
      <w:tr w:rsidR="000635CE" w:rsidRPr="0071319B" w14:paraId="446521BE" w14:textId="77777777" w:rsidTr="006568C9">
        <w:trPr>
          <w:trHeight w:val="35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6FD62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34" w:lineRule="exact"/>
              <w:ind w:left="284" w:right="275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85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35599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34" w:lineRule="exact"/>
              <w:ind w:left="542" w:right="528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2550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77C83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34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25,5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094B2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34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8,5</w:t>
            </w:r>
          </w:p>
        </w:tc>
      </w:tr>
      <w:tr w:rsidR="000635CE" w:rsidRPr="0071319B" w14:paraId="0B7EE739" w14:textId="77777777" w:rsidTr="006568C9">
        <w:trPr>
          <w:trHeight w:val="345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C4EE3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29" w:lineRule="exact"/>
              <w:ind w:left="284" w:right="275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90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B44A4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29" w:lineRule="exact"/>
              <w:ind w:left="542" w:right="528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2700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509E4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29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27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94027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29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9</w:t>
            </w:r>
          </w:p>
        </w:tc>
      </w:tr>
      <w:tr w:rsidR="000635CE" w:rsidRPr="0071319B" w14:paraId="0171D668" w14:textId="77777777" w:rsidTr="006568C9">
        <w:trPr>
          <w:trHeight w:val="35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91B06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34" w:lineRule="exact"/>
              <w:ind w:left="284" w:right="275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95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E7A31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34" w:lineRule="exact"/>
              <w:ind w:left="542" w:right="528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2850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26870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34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28,5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D8B32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34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9,5</w:t>
            </w:r>
          </w:p>
        </w:tc>
      </w:tr>
      <w:tr w:rsidR="000635CE" w:rsidRPr="0071319B" w14:paraId="0D592F67" w14:textId="77777777" w:rsidTr="006568C9">
        <w:trPr>
          <w:trHeight w:val="35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B1413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34" w:lineRule="exact"/>
              <w:ind w:left="285" w:right="271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DCA8A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34" w:lineRule="exact"/>
              <w:ind w:left="542" w:right="528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3000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FC07F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34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30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8BEB6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34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10</w:t>
            </w:r>
          </w:p>
        </w:tc>
      </w:tr>
      <w:tr w:rsidR="000635CE" w:rsidRPr="0071319B" w14:paraId="549F0A09" w14:textId="77777777" w:rsidTr="006568C9">
        <w:trPr>
          <w:trHeight w:val="35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C2962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34" w:lineRule="exact"/>
              <w:ind w:left="285" w:right="271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105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C5977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34" w:lineRule="exact"/>
              <w:ind w:left="542" w:right="528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3150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0DAF0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34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31,5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BDF36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34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10.5</w:t>
            </w:r>
          </w:p>
        </w:tc>
      </w:tr>
      <w:tr w:rsidR="000635CE" w:rsidRPr="0071319B" w14:paraId="2DE1E045" w14:textId="77777777" w:rsidTr="006568C9">
        <w:trPr>
          <w:trHeight w:val="35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0D8ED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34" w:lineRule="exact"/>
              <w:ind w:left="285" w:right="271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110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EFE3F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34" w:lineRule="exact"/>
              <w:ind w:left="542" w:right="528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3300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CA45B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34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33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A1F5B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34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11</w:t>
            </w:r>
          </w:p>
        </w:tc>
      </w:tr>
      <w:tr w:rsidR="000635CE" w:rsidRPr="0071319B" w14:paraId="212C6C85" w14:textId="77777777" w:rsidTr="006568C9">
        <w:trPr>
          <w:trHeight w:val="345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5745B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29" w:lineRule="exact"/>
              <w:ind w:left="285" w:right="271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115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DB73A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29" w:lineRule="exact"/>
              <w:ind w:left="542" w:right="528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3450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B02B1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29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34,5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2F2E1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29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11,5</w:t>
            </w:r>
          </w:p>
        </w:tc>
      </w:tr>
      <w:tr w:rsidR="000635CE" w:rsidRPr="0071319B" w14:paraId="789884F9" w14:textId="77777777" w:rsidTr="006568C9">
        <w:trPr>
          <w:trHeight w:val="35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BE86F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34" w:lineRule="exact"/>
              <w:ind w:left="285" w:right="271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120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0B40E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34" w:lineRule="exact"/>
              <w:ind w:left="542" w:right="528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3600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84CBB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34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36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4A55D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34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12</w:t>
            </w:r>
          </w:p>
        </w:tc>
      </w:tr>
      <w:tr w:rsidR="000635CE" w:rsidRPr="0071319B" w14:paraId="2D23BA86" w14:textId="77777777" w:rsidTr="006568C9">
        <w:trPr>
          <w:trHeight w:val="35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23A66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34" w:lineRule="exact"/>
              <w:ind w:left="285" w:right="271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125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70AEF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34" w:lineRule="exact"/>
              <w:ind w:left="542" w:right="528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3750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B4F4A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34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37,5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D82E6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34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12,5</w:t>
            </w:r>
          </w:p>
        </w:tc>
      </w:tr>
      <w:tr w:rsidR="000635CE" w:rsidRPr="0071319B" w14:paraId="088D7189" w14:textId="77777777" w:rsidTr="006568C9">
        <w:trPr>
          <w:trHeight w:val="35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78204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34" w:lineRule="exact"/>
              <w:ind w:left="285" w:right="271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130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3BD66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34" w:lineRule="exact"/>
              <w:ind w:left="542" w:right="528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3900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5EC1D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34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39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FEA54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34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13</w:t>
            </w:r>
          </w:p>
        </w:tc>
      </w:tr>
      <w:tr w:rsidR="000635CE" w:rsidRPr="0071319B" w14:paraId="60BEC747" w14:textId="77777777" w:rsidTr="006568C9">
        <w:trPr>
          <w:trHeight w:val="352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494027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34" w:lineRule="exact"/>
              <w:ind w:left="285" w:right="271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135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EF886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34" w:lineRule="exact"/>
              <w:ind w:left="542" w:right="528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4050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11D25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34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40,5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806EF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34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13,5</w:t>
            </w:r>
          </w:p>
        </w:tc>
      </w:tr>
      <w:tr w:rsidR="000635CE" w:rsidRPr="0071319B" w14:paraId="6606C017" w14:textId="77777777" w:rsidTr="006568C9">
        <w:trPr>
          <w:trHeight w:val="345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E170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29" w:lineRule="exact"/>
              <w:ind w:left="285" w:right="271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140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A835B8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29" w:lineRule="exact"/>
              <w:ind w:left="542" w:right="528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4200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197E0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29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42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C69E1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29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14</w:t>
            </w:r>
          </w:p>
        </w:tc>
      </w:tr>
      <w:tr w:rsidR="000635CE" w:rsidRPr="0071319B" w14:paraId="56FADD23" w14:textId="77777777" w:rsidTr="006568C9">
        <w:trPr>
          <w:trHeight w:val="351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2D04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34" w:lineRule="exact"/>
              <w:ind w:left="285" w:right="271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145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3FB331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34" w:lineRule="exact"/>
              <w:ind w:left="542" w:right="528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4350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A363F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34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43,5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FC163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34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14,5</w:t>
            </w:r>
          </w:p>
        </w:tc>
      </w:tr>
      <w:tr w:rsidR="000635CE" w:rsidRPr="0071319B" w14:paraId="29523B36" w14:textId="77777777" w:rsidTr="006568C9">
        <w:trPr>
          <w:trHeight w:val="284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7050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34" w:lineRule="exact"/>
              <w:ind w:left="285" w:right="271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150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9B9CC9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line="234" w:lineRule="exact"/>
              <w:ind w:left="542" w:right="528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4500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A77E7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line="234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45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6AB32" w14:textId="77777777" w:rsidR="00290AF9" w:rsidRPr="0071319B" w:rsidRDefault="000635CE" w:rsidP="0071319B">
            <w:pPr>
              <w:widowControl w:val="0"/>
              <w:autoSpaceDE w:val="0"/>
              <w:autoSpaceDN w:val="0"/>
              <w:spacing w:line="234" w:lineRule="exact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15</w:t>
            </w:r>
          </w:p>
        </w:tc>
      </w:tr>
    </w:tbl>
    <w:p w14:paraId="52B65A3D" w14:textId="77777777" w:rsidR="00290AF9" w:rsidRPr="0071319B" w:rsidRDefault="00AB403E" w:rsidP="00475EB2">
      <w:pPr>
        <w:pStyle w:val="ListParagraph"/>
        <w:widowControl w:val="0"/>
        <w:numPr>
          <w:ilvl w:val="0"/>
          <w:numId w:val="31"/>
        </w:numPr>
        <w:tabs>
          <w:tab w:val="left" w:pos="516"/>
        </w:tabs>
        <w:autoSpaceDE w:val="0"/>
        <w:autoSpaceDN w:val="0"/>
        <w:spacing w:before="75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Injekcija u arterijsku liniju</w:t>
      </w:r>
      <w:r w:rsidR="00290AF9" w:rsidRPr="0071319B">
        <w:rPr>
          <w:rFonts w:asciiTheme="majorBidi" w:hAnsiTheme="majorBidi" w:cstheme="majorBidi"/>
          <w:sz w:val="22"/>
          <w:szCs w:val="22"/>
          <w:lang w:val="sr-Latn-ME"/>
        </w:rPr>
        <w:t>:</w:t>
      </w:r>
    </w:p>
    <w:p w14:paraId="38B0B069" w14:textId="15EEDE14" w:rsidR="00290AF9" w:rsidRPr="0071319B" w:rsidRDefault="00290AF9" w:rsidP="00E17387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Injekcija se primjenjuje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preko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arterijske linije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dijaliznog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kola u cilju prevencije formiranja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tromba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ekstrakorporalnoj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cirkulaciji tokom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hemodijalize</w:t>
      </w:r>
      <w:proofErr w:type="spellEnd"/>
      <w:r w:rsidR="002E6A41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6D6C90FF" w14:textId="77777777" w:rsidR="00FD0ED0" w:rsidRPr="0071319B" w:rsidRDefault="00290AF9" w:rsidP="00E17387">
      <w:pPr>
        <w:widowControl w:val="0"/>
        <w:autoSpaceDE w:val="0"/>
        <w:autoSpaceDN w:val="0"/>
        <w:spacing w:before="118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 xml:space="preserve">Prelazak sa </w:t>
      </w:r>
      <w:proofErr w:type="spellStart"/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 xml:space="preserve"> natrijuma na oralne </w:t>
      </w:r>
      <w:proofErr w:type="spellStart"/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antikoagulanse</w:t>
      </w:r>
      <w:proofErr w:type="spellEnd"/>
      <w:r w:rsidR="00FD0ED0" w:rsidRPr="0071319B">
        <w:rPr>
          <w:rFonts w:asciiTheme="majorBidi" w:hAnsiTheme="majorBidi" w:cstheme="majorBidi"/>
          <w:i/>
          <w:sz w:val="22"/>
          <w:szCs w:val="22"/>
          <w:lang w:val="sr-Latn-ME"/>
        </w:rPr>
        <w:t xml:space="preserve"> </w:t>
      </w:r>
    </w:p>
    <w:p w14:paraId="79037334" w14:textId="77777777" w:rsidR="00290AF9" w:rsidRPr="0071319B" w:rsidRDefault="00290AF9" w:rsidP="00ED4E48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118"/>
        <w:ind w:right="659"/>
        <w:jc w:val="both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 xml:space="preserve">Prelazak sa </w:t>
      </w:r>
      <w:proofErr w:type="spellStart"/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 xml:space="preserve"> natrijuma na antagoniste vitamina K</w:t>
      </w:r>
      <w:r w:rsidRPr="0071319B">
        <w:rPr>
          <w:rFonts w:asciiTheme="majorBidi" w:hAnsiTheme="majorBidi" w:cstheme="majorBidi"/>
          <w:i/>
          <w:spacing w:val="-11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(AVK)</w:t>
      </w:r>
    </w:p>
    <w:p w14:paraId="146799BD" w14:textId="4DA1B2D4" w:rsidR="00290AF9" w:rsidRPr="0071319B" w:rsidRDefault="00290AF9" w:rsidP="00E17387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Kliničko praćenje i laboratorijske analize (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protrombinsko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vrijeme iskazano kao Internacionalni Normalizovani Odnos (</w:t>
      </w:r>
      <w:r w:rsidR="002E6A41" w:rsidRPr="002E6A41">
        <w:rPr>
          <w:rFonts w:asciiTheme="majorBidi" w:hAnsiTheme="majorBidi" w:cstheme="majorBidi"/>
          <w:sz w:val="22"/>
          <w:szCs w:val="22"/>
          <w:lang w:val="sr-Latn-ME"/>
        </w:rPr>
        <w:t xml:space="preserve">engl. </w:t>
      </w:r>
      <w:proofErr w:type="spellStart"/>
      <w:r w:rsidR="002E6A41" w:rsidRPr="003207FF">
        <w:rPr>
          <w:rFonts w:asciiTheme="majorBidi" w:hAnsiTheme="majorBidi" w:cstheme="majorBidi"/>
          <w:i/>
          <w:sz w:val="22"/>
          <w:szCs w:val="22"/>
          <w:lang w:val="sr-Latn-ME"/>
        </w:rPr>
        <w:t>international</w:t>
      </w:r>
      <w:proofErr w:type="spellEnd"/>
      <w:r w:rsidR="002E6A41" w:rsidRPr="003207FF">
        <w:rPr>
          <w:rFonts w:asciiTheme="majorBidi" w:hAnsiTheme="majorBidi" w:cstheme="majorBidi"/>
          <w:i/>
          <w:sz w:val="22"/>
          <w:szCs w:val="22"/>
          <w:lang w:val="sr-Latn-ME"/>
        </w:rPr>
        <w:t xml:space="preserve"> </w:t>
      </w:r>
      <w:proofErr w:type="spellStart"/>
      <w:r w:rsidR="002E6A41" w:rsidRPr="003207FF">
        <w:rPr>
          <w:rFonts w:asciiTheme="majorBidi" w:hAnsiTheme="majorBidi" w:cstheme="majorBidi"/>
          <w:i/>
          <w:sz w:val="22"/>
          <w:szCs w:val="22"/>
          <w:lang w:val="sr-Latn-ME"/>
        </w:rPr>
        <w:t>normalized</w:t>
      </w:r>
      <w:proofErr w:type="spellEnd"/>
      <w:r w:rsidR="002E6A41" w:rsidRPr="003207FF">
        <w:rPr>
          <w:rFonts w:asciiTheme="majorBidi" w:hAnsiTheme="majorBidi" w:cstheme="majorBidi"/>
          <w:i/>
          <w:sz w:val="22"/>
          <w:szCs w:val="22"/>
          <w:lang w:val="sr-Latn-ME"/>
        </w:rPr>
        <w:t xml:space="preserve"> </w:t>
      </w:r>
      <w:proofErr w:type="spellStart"/>
      <w:r w:rsidR="002E6A41" w:rsidRPr="003207FF">
        <w:rPr>
          <w:rFonts w:asciiTheme="majorBidi" w:hAnsiTheme="majorBidi" w:cstheme="majorBidi"/>
          <w:i/>
          <w:sz w:val="22"/>
          <w:szCs w:val="22"/>
          <w:lang w:val="sr-Latn-ME"/>
        </w:rPr>
        <w:t>ratio</w:t>
      </w:r>
      <w:proofErr w:type="spellEnd"/>
      <w:r w:rsidR="002E6A41" w:rsidRPr="002E6A41">
        <w:rPr>
          <w:rFonts w:asciiTheme="majorBidi" w:hAnsiTheme="majorBidi" w:cstheme="majorBidi"/>
          <w:sz w:val="22"/>
          <w:szCs w:val="22"/>
          <w:lang w:val="sr-Latn-ME"/>
        </w:rPr>
        <w:t>,</w:t>
      </w:r>
      <w:r w:rsidR="002E6A41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INR) moraju biti intenzivirani u cilju praćenja dejstva antagonista vitamina K (AVK).</w:t>
      </w:r>
    </w:p>
    <w:p w14:paraId="6581A746" w14:textId="78C870FE" w:rsidR="00290AF9" w:rsidRPr="0071319B" w:rsidRDefault="00290AF9" w:rsidP="00E17387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Kako postoji vremenski interval prije nego što AVK dos</w:t>
      </w:r>
      <w:r w:rsidR="002E6A41">
        <w:rPr>
          <w:rFonts w:asciiTheme="majorBidi" w:hAnsiTheme="majorBidi" w:cstheme="majorBidi"/>
          <w:sz w:val="22"/>
          <w:szCs w:val="22"/>
          <w:lang w:val="sr-Latn-ME"/>
        </w:rPr>
        <w:t>tigne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svoje maksimalno dejstvo, terapiju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natrijumom treba nastaviti u konstantnoj dozi onoliko dugo koliko je potrebno da bi se INR održao u okviru željenih terapijskih granica za datu indikaciju u dvije uzastopne analize.</w:t>
      </w:r>
    </w:p>
    <w:p w14:paraId="39FB0A70" w14:textId="77777777" w:rsidR="00AB403E" w:rsidRPr="0071319B" w:rsidRDefault="00290AF9" w:rsidP="00E17387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Kod pacijenata koji su trenutno na terapiji sa AVK, primjenu AVK treba obustaviti i prvu dozu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primijeniti kada se INR spusti ispod terapijskih granica.</w:t>
      </w:r>
    </w:p>
    <w:p w14:paraId="6ECC34A4" w14:textId="77777777" w:rsidR="00290AF9" w:rsidRPr="0071319B" w:rsidRDefault="00290AF9" w:rsidP="00ED4E48">
      <w:pPr>
        <w:widowControl w:val="0"/>
        <w:numPr>
          <w:ilvl w:val="1"/>
          <w:numId w:val="13"/>
        </w:numPr>
        <w:tabs>
          <w:tab w:val="left" w:pos="953"/>
        </w:tabs>
        <w:autoSpaceDE w:val="0"/>
        <w:autoSpaceDN w:val="0"/>
        <w:spacing w:before="109"/>
        <w:ind w:right="659" w:hanging="361"/>
        <w:jc w:val="both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 xml:space="preserve">Prelazak sa </w:t>
      </w:r>
      <w:proofErr w:type="spellStart"/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 xml:space="preserve"> natrijuma na direktne oralne </w:t>
      </w:r>
      <w:proofErr w:type="spellStart"/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antikoagulanse</w:t>
      </w:r>
      <w:proofErr w:type="spellEnd"/>
      <w:r w:rsidRPr="0071319B">
        <w:rPr>
          <w:rFonts w:asciiTheme="majorBidi" w:hAnsiTheme="majorBidi" w:cstheme="majorBidi"/>
          <w:i/>
          <w:spacing w:val="-13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(DOAK)</w:t>
      </w:r>
    </w:p>
    <w:p w14:paraId="2B0C5C22" w14:textId="1A058756" w:rsidR="00290AF9" w:rsidRPr="0071319B" w:rsidRDefault="00290AF9" w:rsidP="00E17387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Kod pacijenata koji trenutno primaju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 obustaviti njegovu primjenu</w:t>
      </w:r>
      <w:r w:rsidR="006C63D3">
        <w:rPr>
          <w:rFonts w:asciiTheme="majorBidi" w:hAnsiTheme="majorBidi" w:cstheme="majorBidi"/>
          <w:sz w:val="22"/>
          <w:szCs w:val="22"/>
          <w:lang w:val="sr-Latn-ME"/>
        </w:rPr>
        <w:t xml:space="preserve">, a primjenu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DOAK </w:t>
      </w:r>
      <w:r w:rsidR="006C63D3">
        <w:rPr>
          <w:rFonts w:asciiTheme="majorBidi" w:hAnsiTheme="majorBidi" w:cstheme="majorBidi"/>
          <w:sz w:val="22"/>
          <w:szCs w:val="22"/>
          <w:lang w:val="sr-Latn-ME"/>
        </w:rPr>
        <w:t xml:space="preserve">započeti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0 do 2 sata prije sl</w:t>
      </w:r>
      <w:r w:rsidR="00475EB2" w:rsidRPr="0071319B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edeće predviđene doze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natrijuma, </w:t>
      </w:r>
      <w:r w:rsidR="006C63D3">
        <w:rPr>
          <w:rFonts w:asciiTheme="majorBidi" w:hAnsiTheme="majorBidi" w:cstheme="majorBidi"/>
          <w:sz w:val="22"/>
          <w:szCs w:val="22"/>
          <w:lang w:val="sr-Latn-ME"/>
        </w:rPr>
        <w:t>u skladu sa informacijama iz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6C63D3">
        <w:rPr>
          <w:rFonts w:asciiTheme="majorBidi" w:hAnsiTheme="majorBidi" w:cstheme="majorBidi"/>
          <w:sz w:val="22"/>
          <w:szCs w:val="22"/>
          <w:lang w:val="sr-Latn-ME"/>
        </w:rPr>
        <w:lastRenderedPageBreak/>
        <w:t xml:space="preserve">Sažetka karakteristika lijeka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DOAK.</w:t>
      </w:r>
    </w:p>
    <w:p w14:paraId="14375534" w14:textId="1A92012C" w:rsidR="00E17387" w:rsidRPr="0071319B" w:rsidRDefault="00290AF9" w:rsidP="00E17387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Kod pacijenata koji su trenutno na terapiji sa DOAK, prvu dozu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treba primijeniti </w:t>
      </w:r>
      <w:r w:rsidR="006C63D3">
        <w:rPr>
          <w:rFonts w:asciiTheme="majorBidi" w:hAnsiTheme="majorBidi" w:cstheme="majorBidi"/>
          <w:sz w:val="22"/>
          <w:szCs w:val="22"/>
          <w:lang w:val="sr-Latn-ME"/>
        </w:rPr>
        <w:t>u vrijeme</w:t>
      </w:r>
      <w:r w:rsidR="006C63D3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kada bi </w:t>
      </w:r>
      <w:r w:rsidR="006C63D3">
        <w:rPr>
          <w:rFonts w:asciiTheme="majorBidi" w:hAnsiTheme="majorBidi" w:cstheme="majorBidi"/>
          <w:sz w:val="22"/>
          <w:szCs w:val="22"/>
          <w:lang w:val="sr-Latn-ME"/>
        </w:rPr>
        <w:t xml:space="preserve">pacijent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treba</w:t>
      </w:r>
      <w:r w:rsidR="006C63D3">
        <w:rPr>
          <w:rFonts w:asciiTheme="majorBidi" w:hAnsiTheme="majorBidi" w:cstheme="majorBidi"/>
          <w:sz w:val="22"/>
          <w:szCs w:val="22"/>
          <w:lang w:val="sr-Latn-ME"/>
        </w:rPr>
        <w:t>o da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uz</w:t>
      </w:r>
      <w:r w:rsidR="006C63D3">
        <w:rPr>
          <w:rFonts w:asciiTheme="majorBidi" w:hAnsiTheme="majorBidi" w:cstheme="majorBidi"/>
          <w:sz w:val="22"/>
          <w:szCs w:val="22"/>
          <w:lang w:val="sr-Latn-ME"/>
        </w:rPr>
        <w:t>me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sl</w:t>
      </w:r>
      <w:r w:rsidR="00475EB2" w:rsidRPr="0071319B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edeću dozu DOAK.</w:t>
      </w:r>
    </w:p>
    <w:p w14:paraId="29CC5EFE" w14:textId="77777777" w:rsidR="00E17387" w:rsidRPr="0071319B" w:rsidRDefault="00E17387" w:rsidP="00E17387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0650B78" w14:textId="77777777" w:rsidR="00290AF9" w:rsidRPr="0071319B" w:rsidRDefault="00290AF9" w:rsidP="00E17387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Primjena kod spiralne/</w:t>
      </w:r>
      <w:proofErr w:type="spellStart"/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epiduralne</w:t>
      </w:r>
      <w:proofErr w:type="spellEnd"/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 xml:space="preserve"> anestezije ili lumbalne punkcije</w:t>
      </w:r>
    </w:p>
    <w:p w14:paraId="5F75C239" w14:textId="34D7B9FA" w:rsidR="00290AF9" w:rsidRPr="0071319B" w:rsidRDefault="00290AF9" w:rsidP="00E17387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Ukoliko ljekar odluči da primijeni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antikoagulantnu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terapiju u okviru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epiduralne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ili spinalne anestezije/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analgezije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ili lumbalne punkcije, preporučuje se pažljiv neurološki monitoring zbog postojanja rizika od pojave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neuroaksijalnih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hematoma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(vidjeti </w:t>
      </w:r>
      <w:r w:rsidR="00F30D6A">
        <w:rPr>
          <w:rFonts w:asciiTheme="majorBidi" w:hAnsiTheme="majorBidi" w:cstheme="majorBidi"/>
          <w:sz w:val="22"/>
          <w:szCs w:val="22"/>
          <w:lang w:val="sr-Latn-ME"/>
        </w:rPr>
        <w:t>di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o 4.4)</w:t>
      </w:r>
    </w:p>
    <w:p w14:paraId="43A8F76C" w14:textId="77777777" w:rsidR="00290AF9" w:rsidRPr="0071319B" w:rsidRDefault="00290AF9" w:rsidP="00290AF9">
      <w:pPr>
        <w:widowControl w:val="0"/>
        <w:tabs>
          <w:tab w:val="left" w:pos="952"/>
        </w:tabs>
        <w:autoSpaceDE w:val="0"/>
        <w:autoSpaceDN w:val="0"/>
        <w:spacing w:before="57"/>
        <w:ind w:left="592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-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ab/>
      </w:r>
      <w:r w:rsidR="00AB403E" w:rsidRPr="0071319B">
        <w:rPr>
          <w:rFonts w:asciiTheme="majorBidi" w:hAnsiTheme="majorBidi" w:cstheme="majorBidi"/>
          <w:i/>
          <w:sz w:val="22"/>
          <w:szCs w:val="22"/>
          <w:lang w:val="sr-Latn-ME"/>
        </w:rPr>
        <w:t>Pri dozama koje se koriste za profilaksu</w:t>
      </w:r>
    </w:p>
    <w:p w14:paraId="4428C798" w14:textId="77777777" w:rsidR="00AB403E" w:rsidRPr="0071319B" w:rsidRDefault="00290AF9" w:rsidP="006568C9">
      <w:pPr>
        <w:pStyle w:val="ListParagraph"/>
        <w:widowControl w:val="0"/>
        <w:numPr>
          <w:ilvl w:val="0"/>
          <w:numId w:val="31"/>
        </w:numPr>
        <w:autoSpaceDE w:val="0"/>
        <w:autoSpaceDN w:val="0"/>
        <w:spacing w:before="56" w:line="235" w:lineRule="auto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Treba napraviti interval bez uboda od najmanje 12 sati između posljednje injekcije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profilaktičkim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dozama i postavljanja igle ili katetera.</w:t>
      </w:r>
    </w:p>
    <w:p w14:paraId="6B7DF87E" w14:textId="77777777" w:rsidR="00AB403E" w:rsidRPr="0071319B" w:rsidRDefault="00290AF9" w:rsidP="006568C9">
      <w:pPr>
        <w:pStyle w:val="ListParagraph"/>
        <w:widowControl w:val="0"/>
        <w:numPr>
          <w:ilvl w:val="0"/>
          <w:numId w:val="31"/>
        </w:numPr>
        <w:autoSpaceDE w:val="0"/>
        <w:autoSpaceDN w:val="0"/>
        <w:spacing w:before="56" w:line="235" w:lineRule="auto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Kod tehnika kontinuirane primjene, </w:t>
      </w:r>
      <w:r w:rsidR="000109AE" w:rsidRPr="0071319B">
        <w:rPr>
          <w:rFonts w:asciiTheme="majorBidi" w:hAnsiTheme="majorBidi" w:cstheme="majorBidi"/>
          <w:sz w:val="22"/>
          <w:szCs w:val="22"/>
          <w:lang w:val="sr-Latn-ME"/>
        </w:rPr>
        <w:t>takođe mora proći najmanje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12 sati</w:t>
      </w:r>
      <w:r w:rsidR="000109A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AB403E" w:rsidRPr="0071319B">
        <w:rPr>
          <w:rFonts w:asciiTheme="majorBidi" w:hAnsiTheme="majorBidi" w:cstheme="majorBidi"/>
          <w:sz w:val="22"/>
          <w:szCs w:val="22"/>
          <w:lang w:val="sr-Latn-ME"/>
        </w:rPr>
        <w:t>prije uklanjanje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katetera.</w:t>
      </w:r>
      <w:r w:rsidR="000109A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14:paraId="5AB2F7A7" w14:textId="77777777" w:rsidR="00AB403E" w:rsidRPr="0071319B" w:rsidRDefault="00290AF9" w:rsidP="006568C9">
      <w:pPr>
        <w:pStyle w:val="ListParagraph"/>
        <w:widowControl w:val="0"/>
        <w:numPr>
          <w:ilvl w:val="0"/>
          <w:numId w:val="31"/>
        </w:numPr>
        <w:autoSpaceDE w:val="0"/>
        <w:autoSpaceDN w:val="0"/>
        <w:spacing w:before="56" w:line="235" w:lineRule="auto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Kod pacijenata sa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klirensom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kreatinina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između </w:t>
      </w:r>
      <w:r w:rsidR="000109A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[15-30] </w:t>
      </w:r>
      <w:r w:rsidR="00444F6E" w:rsidRPr="0071319B">
        <w:rPr>
          <w:rFonts w:asciiTheme="majorBidi" w:hAnsiTheme="majorBidi" w:cstheme="majorBidi"/>
          <w:sz w:val="22"/>
          <w:szCs w:val="22"/>
          <w:lang w:val="sr-Latn-ME"/>
        </w:rPr>
        <w:t>ml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/min razmotriti dupliranje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vremena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do uboda/postavljanja katetera ili njegovog uklanjanja na najmanje 24 sata.</w:t>
      </w:r>
    </w:p>
    <w:p w14:paraId="1ED3A181" w14:textId="77777777" w:rsidR="00290AF9" w:rsidRPr="0071319B" w:rsidRDefault="00290AF9" w:rsidP="006568C9">
      <w:pPr>
        <w:pStyle w:val="ListParagraph"/>
        <w:widowControl w:val="0"/>
        <w:numPr>
          <w:ilvl w:val="0"/>
          <w:numId w:val="31"/>
        </w:numPr>
        <w:autoSpaceDE w:val="0"/>
        <w:autoSpaceDN w:val="0"/>
        <w:spacing w:before="56" w:line="235" w:lineRule="auto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Inicijalna primjena 2000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 (20 mg)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2 sata uoči operacije nije kompatibilna sa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neuroaksijalnom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anestezijom.</w:t>
      </w:r>
    </w:p>
    <w:p w14:paraId="37E7918E" w14:textId="77777777" w:rsidR="00290AF9" w:rsidRPr="0071319B" w:rsidRDefault="00290AF9" w:rsidP="006568C9">
      <w:pPr>
        <w:widowControl w:val="0"/>
        <w:tabs>
          <w:tab w:val="left" w:pos="952"/>
        </w:tabs>
        <w:autoSpaceDE w:val="0"/>
        <w:autoSpaceDN w:val="0"/>
        <w:spacing w:before="121" w:line="251" w:lineRule="exact"/>
        <w:ind w:left="592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-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ab/>
      </w:r>
      <w:r w:rsidR="004C33AD" w:rsidRPr="0071319B">
        <w:rPr>
          <w:rFonts w:asciiTheme="majorBidi" w:hAnsiTheme="majorBidi" w:cstheme="majorBidi"/>
          <w:i/>
          <w:sz w:val="22"/>
          <w:szCs w:val="22"/>
          <w:lang w:val="sr-Latn-ME"/>
        </w:rPr>
        <w:t>Pri dozama koje se koriste za terapiju</w:t>
      </w:r>
    </w:p>
    <w:p w14:paraId="49C7B732" w14:textId="53067387" w:rsidR="004C33AD" w:rsidRPr="0071319B" w:rsidRDefault="00290AF9" w:rsidP="006568C9">
      <w:pPr>
        <w:pStyle w:val="ListParagraph"/>
        <w:widowControl w:val="0"/>
        <w:numPr>
          <w:ilvl w:val="0"/>
          <w:numId w:val="31"/>
        </w:numPr>
        <w:autoSpaceDE w:val="0"/>
        <w:autoSpaceDN w:val="0"/>
        <w:spacing w:before="56" w:line="235" w:lineRule="auto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Treba napraviti interval bez uboda od najmanje 24 sata između posljednje injekcije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u terapijskim dozama ili postavljanja igle ili katetera (vidjeti takođe </w:t>
      </w:r>
      <w:r w:rsidR="00F30D6A">
        <w:rPr>
          <w:rFonts w:asciiTheme="majorBidi" w:hAnsiTheme="majorBidi" w:cstheme="majorBidi"/>
          <w:sz w:val="22"/>
          <w:szCs w:val="22"/>
          <w:lang w:val="sr-Latn-ME"/>
        </w:rPr>
        <w:t>di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o 4.3).</w:t>
      </w:r>
    </w:p>
    <w:p w14:paraId="0DCBE55D" w14:textId="77777777" w:rsidR="004C33AD" w:rsidRPr="0071319B" w:rsidRDefault="000109AE" w:rsidP="006568C9">
      <w:pPr>
        <w:pStyle w:val="ListParagraph"/>
        <w:widowControl w:val="0"/>
        <w:numPr>
          <w:ilvl w:val="0"/>
          <w:numId w:val="31"/>
        </w:numPr>
        <w:autoSpaceDE w:val="0"/>
        <w:autoSpaceDN w:val="0"/>
        <w:spacing w:before="56" w:line="235" w:lineRule="auto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Kod tehnika kontinuirane primjene, takođe mora proći najmanje 12 sati prije uklanjanje katetera. </w:t>
      </w:r>
    </w:p>
    <w:p w14:paraId="622ADF59" w14:textId="77777777" w:rsidR="004C33AD" w:rsidRPr="0071319B" w:rsidRDefault="00290AF9" w:rsidP="006568C9">
      <w:pPr>
        <w:pStyle w:val="ListParagraph"/>
        <w:widowControl w:val="0"/>
        <w:numPr>
          <w:ilvl w:val="0"/>
          <w:numId w:val="31"/>
        </w:numPr>
        <w:autoSpaceDE w:val="0"/>
        <w:autoSpaceDN w:val="0"/>
        <w:spacing w:before="56" w:line="235" w:lineRule="auto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Kod pacijenata sa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klirensom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kreatinina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između </w:t>
      </w:r>
      <w:r w:rsidR="000109A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[15-30] </w:t>
      </w:r>
      <w:r w:rsidR="00444F6E" w:rsidRPr="0071319B">
        <w:rPr>
          <w:rFonts w:asciiTheme="majorBidi" w:hAnsiTheme="majorBidi" w:cstheme="majorBidi"/>
          <w:sz w:val="22"/>
          <w:szCs w:val="22"/>
          <w:lang w:val="sr-Latn-ME"/>
        </w:rPr>
        <w:t>ml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/min razmotriti dupliranje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vremena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do uboda/postavljanja katetera ili njegovog uklanjanja na najmanje 48 sati.</w:t>
      </w:r>
    </w:p>
    <w:p w14:paraId="21C74CE0" w14:textId="34BF473F" w:rsidR="00290AF9" w:rsidRPr="0071319B" w:rsidRDefault="00290AF9" w:rsidP="006568C9">
      <w:pPr>
        <w:pStyle w:val="ListParagraph"/>
        <w:widowControl w:val="0"/>
        <w:numPr>
          <w:ilvl w:val="0"/>
          <w:numId w:val="31"/>
        </w:numPr>
        <w:autoSpaceDE w:val="0"/>
        <w:autoSpaceDN w:val="0"/>
        <w:spacing w:before="56" w:line="235" w:lineRule="auto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Pacijenti koji </w:t>
      </w:r>
      <w:r w:rsidR="006C63D3">
        <w:rPr>
          <w:rFonts w:asciiTheme="majorBidi" w:hAnsiTheme="majorBidi" w:cstheme="majorBidi"/>
          <w:sz w:val="22"/>
          <w:szCs w:val="22"/>
          <w:lang w:val="sr-Latn-ME"/>
        </w:rPr>
        <w:t>primaju dvije doze na dan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(npr. 75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./kg (0,75 mg/kg) dva puta na dan ili 100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./kg (1 mg/kg) dva puta na dan) treba da preskoče primanje druge dnevne doze da bi se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obezbijedio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dovoljno dug vremenski interval do postavljanja ili uklanjanja katetera.</w:t>
      </w:r>
    </w:p>
    <w:p w14:paraId="75DCE44B" w14:textId="77777777" w:rsidR="00290AF9" w:rsidRPr="0071319B" w:rsidRDefault="00290AF9" w:rsidP="006568C9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Nivo anti-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Xa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se i dalje može detektovati u ovoj tački, a sva ova odlaganja ni</w:t>
      </w:r>
      <w:r w:rsidR="00475EB2" w:rsidRPr="0071319B">
        <w:rPr>
          <w:rFonts w:asciiTheme="majorBidi" w:hAnsiTheme="majorBidi" w:cstheme="majorBidi"/>
          <w:sz w:val="22"/>
          <w:szCs w:val="22"/>
          <w:lang w:val="sr-Latn-ME"/>
        </w:rPr>
        <w:t>je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su garancija da će se spriječiti pojava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neuroaksijalnog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hematoma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362F16EB" w14:textId="77777777" w:rsidR="006568C9" w:rsidRDefault="00290AF9" w:rsidP="00ED4E48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Isto tako nemojte razmatrati primjenu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najmanje 4 sata nakon spinalne/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epiduralne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punkcije ili nakon uklanjanja katetera. Odlaganje mora biti zasnovano na procjeni odnosa koristi i rizika, uzimajući u obzir rizik od pojave tromboze i rizik od krvarenja u kontekstu primijenjene procedure i faktora rizika vezanih za pacijenta.</w:t>
      </w:r>
    </w:p>
    <w:p w14:paraId="478F1102" w14:textId="77777777" w:rsidR="006568C9" w:rsidRDefault="006568C9" w:rsidP="00ED4E48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568C592F" w14:textId="77777777" w:rsidR="00411B4B" w:rsidRPr="0071319B" w:rsidRDefault="00411B4B" w:rsidP="00ED4E48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4.3. </w:t>
      </w:r>
      <w:r w:rsidR="00480FB1"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proofErr w:type="spellStart"/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>Kontraindikacije</w:t>
      </w:r>
      <w:proofErr w:type="spellEnd"/>
    </w:p>
    <w:p w14:paraId="614649A5" w14:textId="46F438D3" w:rsidR="000635CE" w:rsidRPr="0071319B" w:rsidRDefault="000635CE" w:rsidP="0071319B">
      <w:pPr>
        <w:widowControl w:val="0"/>
        <w:autoSpaceDE w:val="0"/>
        <w:autoSpaceDN w:val="0"/>
        <w:spacing w:before="111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 je kontraindikovan kod</w:t>
      </w:r>
      <w:r w:rsidR="009578A4">
        <w:rPr>
          <w:rFonts w:asciiTheme="majorBidi" w:hAnsiTheme="majorBidi" w:cstheme="majorBidi"/>
          <w:sz w:val="22"/>
          <w:szCs w:val="22"/>
          <w:lang w:val="sr-Latn-ME"/>
        </w:rPr>
        <w:t xml:space="preserve"> pacijenata sa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:</w:t>
      </w:r>
    </w:p>
    <w:p w14:paraId="60843C85" w14:textId="7A60BAB8" w:rsidR="000635CE" w:rsidRPr="0071319B" w:rsidRDefault="003575A2" w:rsidP="006568C9">
      <w:pPr>
        <w:widowControl w:val="0"/>
        <w:numPr>
          <w:ilvl w:val="0"/>
          <w:numId w:val="14"/>
        </w:numPr>
        <w:tabs>
          <w:tab w:val="left" w:pos="593"/>
        </w:tabs>
        <w:autoSpaceDE w:val="0"/>
        <w:autoSpaceDN w:val="0"/>
        <w:spacing w:before="12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P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reosjetljivo</w:t>
      </w:r>
      <w:r w:rsidR="009578A4">
        <w:rPr>
          <w:rFonts w:asciiTheme="majorBidi" w:hAnsiTheme="majorBidi" w:cstheme="majorBidi"/>
          <w:sz w:val="22"/>
          <w:szCs w:val="22"/>
          <w:lang w:val="sr-Latn-ME"/>
        </w:rPr>
        <w:t>šću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natrijum;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heparin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ili njegove derivate</w:t>
      </w:r>
      <w:r w:rsidR="009578A4">
        <w:rPr>
          <w:rFonts w:asciiTheme="majorBidi" w:hAnsiTheme="majorBidi" w:cstheme="majorBidi"/>
          <w:sz w:val="22"/>
          <w:szCs w:val="22"/>
          <w:lang w:val="sr-Latn-ME"/>
        </w:rPr>
        <w:t>,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uključujući ostale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niskomolekul</w:t>
      </w:r>
      <w:r w:rsidR="006136FF">
        <w:rPr>
          <w:rFonts w:asciiTheme="majorBidi" w:hAnsiTheme="majorBidi" w:cstheme="majorBidi"/>
          <w:sz w:val="22"/>
          <w:szCs w:val="22"/>
          <w:lang w:val="sr-Latn-ME"/>
        </w:rPr>
        <w:t>ske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heparine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ili na bilo koju od pomoćnih supstanci navedenih u </w:t>
      </w:r>
      <w:r w:rsidR="00F30D6A">
        <w:rPr>
          <w:rFonts w:asciiTheme="majorBidi" w:hAnsiTheme="majorBidi" w:cstheme="majorBidi"/>
          <w:sz w:val="22"/>
          <w:szCs w:val="22"/>
          <w:lang w:val="sr-Latn-ME"/>
        </w:rPr>
        <w:t>dijel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u</w:t>
      </w:r>
      <w:r w:rsidR="000635CE" w:rsidRPr="0071319B">
        <w:rPr>
          <w:rFonts w:asciiTheme="majorBidi" w:hAnsiTheme="majorBidi" w:cstheme="majorBidi"/>
          <w:spacing w:val="-13"/>
          <w:sz w:val="22"/>
          <w:szCs w:val="22"/>
          <w:lang w:val="sr-Latn-ME"/>
        </w:rPr>
        <w:t xml:space="preserve"> 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6.1;</w:t>
      </w:r>
    </w:p>
    <w:p w14:paraId="4C12A4A4" w14:textId="1E282A07" w:rsidR="000635CE" w:rsidRPr="0071319B" w:rsidRDefault="003575A2" w:rsidP="006568C9">
      <w:pPr>
        <w:widowControl w:val="0"/>
        <w:numPr>
          <w:ilvl w:val="0"/>
          <w:numId w:val="14"/>
        </w:numPr>
        <w:tabs>
          <w:tab w:val="left" w:pos="593"/>
        </w:tabs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I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munološki posredovane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heparin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-indukovane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trombocitopenije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(HIT) u anamnezi u posljednjih 100 </w:t>
      </w:r>
      <w:r w:rsidR="000635CE" w:rsidRPr="0071319B">
        <w:rPr>
          <w:rFonts w:asciiTheme="majorBidi" w:hAnsiTheme="majorBidi" w:cstheme="majorBidi"/>
          <w:spacing w:val="-3"/>
          <w:sz w:val="22"/>
          <w:szCs w:val="22"/>
          <w:lang w:val="sr-Latn-ME"/>
        </w:rPr>
        <w:t xml:space="preserve">dana 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ili u prisustvu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cirkulišućih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antitijela (vidjeti takođe </w:t>
      </w:r>
      <w:r w:rsidR="00F30D6A">
        <w:rPr>
          <w:rFonts w:asciiTheme="majorBidi" w:hAnsiTheme="majorBidi" w:cstheme="majorBidi"/>
          <w:sz w:val="22"/>
          <w:szCs w:val="22"/>
          <w:lang w:val="sr-Latn-ME"/>
        </w:rPr>
        <w:t>di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o</w:t>
      </w:r>
      <w:r w:rsidR="000635CE" w:rsidRPr="0071319B">
        <w:rPr>
          <w:rFonts w:asciiTheme="majorBidi" w:hAnsiTheme="majorBidi" w:cstheme="majorBidi"/>
          <w:spacing w:val="-5"/>
          <w:sz w:val="22"/>
          <w:szCs w:val="22"/>
          <w:lang w:val="sr-Latn-ME"/>
        </w:rPr>
        <w:t xml:space="preserve"> 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4.4);</w:t>
      </w:r>
    </w:p>
    <w:p w14:paraId="0242F7C1" w14:textId="619C0CF0" w:rsidR="000635CE" w:rsidRPr="0071319B" w:rsidRDefault="003575A2" w:rsidP="006568C9">
      <w:pPr>
        <w:widowControl w:val="0"/>
        <w:numPr>
          <w:ilvl w:val="0"/>
          <w:numId w:val="14"/>
        </w:numPr>
        <w:tabs>
          <w:tab w:val="left" w:pos="593"/>
        </w:tabs>
        <w:autoSpaceDE w:val="0"/>
        <w:autoSpaceDN w:val="0"/>
        <w:spacing w:before="1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A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ktivni</w:t>
      </w:r>
      <w:r w:rsidR="009578A4">
        <w:rPr>
          <w:rFonts w:asciiTheme="majorBidi" w:hAnsiTheme="majorBidi" w:cstheme="majorBidi"/>
          <w:sz w:val="22"/>
          <w:szCs w:val="22"/>
          <w:lang w:val="sr-Latn-ME"/>
        </w:rPr>
        <w:t>m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klinički značajni</w:t>
      </w:r>
      <w:r w:rsidR="009578A4">
        <w:rPr>
          <w:rFonts w:asciiTheme="majorBidi" w:hAnsiTheme="majorBidi" w:cstheme="majorBidi"/>
          <w:sz w:val="22"/>
          <w:szCs w:val="22"/>
          <w:lang w:val="sr-Latn-ME"/>
        </w:rPr>
        <w:t>m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krvarenj</w:t>
      </w:r>
      <w:r w:rsidR="009578A4">
        <w:rPr>
          <w:rFonts w:asciiTheme="majorBidi" w:hAnsiTheme="majorBidi" w:cstheme="majorBidi"/>
          <w:sz w:val="22"/>
          <w:szCs w:val="22"/>
          <w:lang w:val="sr-Latn-ME"/>
        </w:rPr>
        <w:t>em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 stanj</w:t>
      </w:r>
      <w:r w:rsidR="009578A4">
        <w:rPr>
          <w:rFonts w:asciiTheme="majorBidi" w:hAnsiTheme="majorBidi" w:cstheme="majorBidi"/>
          <w:sz w:val="22"/>
          <w:szCs w:val="22"/>
          <w:lang w:val="sr-Latn-ME"/>
        </w:rPr>
        <w:t>ima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sa visokim rizikom od krvarenja, uključujući i nedavni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hemoragijski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moždani udar, gastrointestinalni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ulkus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, prisustva maligne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neoplazme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sa visokim rizikom </w:t>
      </w:r>
      <w:r w:rsidR="009578A4">
        <w:rPr>
          <w:rFonts w:asciiTheme="majorBidi" w:hAnsiTheme="majorBidi" w:cstheme="majorBidi"/>
          <w:sz w:val="22"/>
          <w:szCs w:val="22"/>
          <w:lang w:val="sr-Latn-ME"/>
        </w:rPr>
        <w:t xml:space="preserve">od 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krvarenja, </w:t>
      </w:r>
      <w:r w:rsidR="009578A4">
        <w:rPr>
          <w:rFonts w:asciiTheme="majorBidi" w:hAnsiTheme="majorBidi" w:cstheme="majorBidi"/>
          <w:sz w:val="22"/>
          <w:szCs w:val="22"/>
          <w:lang w:val="sr-Latn-ME"/>
        </w:rPr>
        <w:t>nedavne</w:t>
      </w:r>
      <w:r w:rsidR="009578A4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oftalmološke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operacije, operacije mozga ili kičme, postojeće ili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suspektne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ezofagealne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varikozitete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, arterijsko-venske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malformacije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, vaskularne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aneurizme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ili velike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intraspinalne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ili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intracerebralne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vaskularne</w:t>
      </w:r>
      <w:r w:rsidR="000635CE" w:rsidRPr="0071319B">
        <w:rPr>
          <w:rFonts w:asciiTheme="majorBidi" w:hAnsiTheme="majorBidi" w:cstheme="majorBidi"/>
          <w:spacing w:val="-7"/>
          <w:sz w:val="22"/>
          <w:szCs w:val="22"/>
          <w:lang w:val="sr-Latn-ME"/>
        </w:rPr>
        <w:t xml:space="preserve"> 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abnormalnosti;</w:t>
      </w:r>
    </w:p>
    <w:p w14:paraId="5E276839" w14:textId="3CABA597" w:rsidR="000635CE" w:rsidRPr="0071319B" w:rsidRDefault="003575A2" w:rsidP="006568C9">
      <w:pPr>
        <w:widowControl w:val="0"/>
        <w:numPr>
          <w:ilvl w:val="0"/>
          <w:numId w:val="14"/>
        </w:numPr>
        <w:tabs>
          <w:tab w:val="left" w:pos="593"/>
        </w:tabs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S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pinaln</w:t>
      </w:r>
      <w:r w:rsidR="009578A4">
        <w:rPr>
          <w:rFonts w:asciiTheme="majorBidi" w:hAnsiTheme="majorBidi" w:cstheme="majorBidi"/>
          <w:sz w:val="22"/>
          <w:szCs w:val="22"/>
          <w:lang w:val="sr-Latn-ME"/>
        </w:rPr>
        <w:t>om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ili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epiduraln</w:t>
      </w:r>
      <w:r w:rsidR="009578A4">
        <w:rPr>
          <w:rFonts w:asciiTheme="majorBidi" w:hAnsiTheme="majorBidi" w:cstheme="majorBidi"/>
          <w:sz w:val="22"/>
          <w:szCs w:val="22"/>
          <w:lang w:val="sr-Latn-ME"/>
        </w:rPr>
        <w:t>om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anestezij</w:t>
      </w:r>
      <w:r w:rsidR="009578A4">
        <w:rPr>
          <w:rFonts w:asciiTheme="majorBidi" w:hAnsiTheme="majorBidi" w:cstheme="majorBidi"/>
          <w:sz w:val="22"/>
          <w:szCs w:val="22"/>
          <w:lang w:val="sr-Latn-ME"/>
        </w:rPr>
        <w:t>om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ili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lokoregionaln</w:t>
      </w:r>
      <w:r w:rsidR="009578A4">
        <w:rPr>
          <w:rFonts w:asciiTheme="majorBidi" w:hAnsiTheme="majorBidi" w:cstheme="majorBidi"/>
          <w:sz w:val="22"/>
          <w:szCs w:val="22"/>
          <w:lang w:val="sr-Latn-ME"/>
        </w:rPr>
        <w:t>om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anestezij</w:t>
      </w:r>
      <w:r w:rsidR="009578A4">
        <w:rPr>
          <w:rFonts w:asciiTheme="majorBidi" w:hAnsiTheme="majorBidi" w:cstheme="majorBidi"/>
          <w:sz w:val="22"/>
          <w:szCs w:val="22"/>
          <w:lang w:val="sr-Latn-ME"/>
        </w:rPr>
        <w:t>om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kada je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 korišćen u terapijske svrhe u prethodna 24 sata (vidjeti </w:t>
      </w:r>
      <w:r w:rsidR="00F30D6A">
        <w:rPr>
          <w:rFonts w:asciiTheme="majorBidi" w:hAnsiTheme="majorBidi" w:cstheme="majorBidi"/>
          <w:sz w:val="22"/>
          <w:szCs w:val="22"/>
          <w:lang w:val="sr-Latn-ME"/>
        </w:rPr>
        <w:t>di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o</w:t>
      </w:r>
      <w:r w:rsidR="000635CE" w:rsidRPr="0071319B">
        <w:rPr>
          <w:rFonts w:asciiTheme="majorBidi" w:hAnsiTheme="majorBidi" w:cstheme="majorBidi"/>
          <w:spacing w:val="-10"/>
          <w:sz w:val="22"/>
          <w:szCs w:val="22"/>
          <w:lang w:val="sr-Latn-ME"/>
        </w:rPr>
        <w:t xml:space="preserve"> 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4.4).</w:t>
      </w:r>
    </w:p>
    <w:p w14:paraId="28D64CFE" w14:textId="77777777" w:rsidR="0072020E" w:rsidRPr="0071319B" w:rsidRDefault="0072020E" w:rsidP="00ED4E48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40548789" w14:textId="77777777" w:rsidR="00411B4B" w:rsidRPr="0071319B" w:rsidRDefault="00411B4B" w:rsidP="00ED4E48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4.4. </w:t>
      </w:r>
      <w:r w:rsidR="00480FB1"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>Posebna upozorenja i mjere opreza pri upotrebi lijeka</w:t>
      </w:r>
    </w:p>
    <w:p w14:paraId="05E075C1" w14:textId="1FFC6866" w:rsidR="000635CE" w:rsidRPr="0071319B" w:rsidRDefault="009578A4" w:rsidP="00ED4E48">
      <w:pPr>
        <w:widowControl w:val="0"/>
        <w:numPr>
          <w:ilvl w:val="2"/>
          <w:numId w:val="12"/>
        </w:numPr>
        <w:tabs>
          <w:tab w:val="left" w:pos="953"/>
        </w:tabs>
        <w:autoSpaceDE w:val="0"/>
        <w:autoSpaceDN w:val="0"/>
        <w:spacing w:before="119" w:line="302" w:lineRule="exact"/>
        <w:ind w:left="952" w:hanging="361"/>
        <w:jc w:val="both"/>
        <w:rPr>
          <w:rFonts w:asciiTheme="majorBidi" w:hAnsiTheme="majorBidi" w:cstheme="majorBidi"/>
          <w:i/>
          <w:sz w:val="22"/>
          <w:szCs w:val="22"/>
          <w:lang w:val="sr-Latn-ME"/>
        </w:rPr>
      </w:pPr>
      <w:r>
        <w:rPr>
          <w:rFonts w:asciiTheme="majorBidi" w:hAnsiTheme="majorBidi" w:cstheme="majorBidi"/>
          <w:i/>
          <w:sz w:val="22"/>
          <w:szCs w:val="22"/>
          <w:lang w:val="sr-Latn-ME"/>
        </w:rPr>
        <w:t>Uopšteno</w:t>
      </w:r>
    </w:p>
    <w:p w14:paraId="0F121E92" w14:textId="2E3B5272" w:rsidR="000635CE" w:rsidRPr="0071319B" w:rsidRDefault="000635CE" w:rsidP="0071319B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 i drugi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niskomolek</w:t>
      </w:r>
      <w:r w:rsidR="006F4026">
        <w:rPr>
          <w:rFonts w:asciiTheme="majorBidi" w:hAnsiTheme="majorBidi" w:cstheme="majorBidi"/>
          <w:sz w:val="22"/>
          <w:szCs w:val="22"/>
          <w:lang w:val="sr-Latn-ME"/>
        </w:rPr>
        <w:t>ulski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heparini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ne mogu se međusobno zam</w:t>
      </w:r>
      <w:r w:rsidR="00475EB2" w:rsidRPr="0071319B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enjivati (jedinicu za jedinicu) pošto se razlikuju po svom proizvodnom procesu, molekul</w:t>
      </w:r>
      <w:r w:rsidR="006F4026">
        <w:rPr>
          <w:rFonts w:asciiTheme="majorBidi" w:hAnsiTheme="majorBidi" w:cstheme="majorBidi"/>
          <w:sz w:val="22"/>
          <w:szCs w:val="22"/>
          <w:lang w:val="sr-Latn-ME"/>
        </w:rPr>
        <w:t>skim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masama, specifičnoj anti-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Xa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 anti</w:t>
      </w:r>
      <w:r w:rsidR="000E36A4" w:rsidRPr="0071319B">
        <w:rPr>
          <w:rFonts w:asciiTheme="majorBidi" w:hAnsiTheme="majorBidi" w:cstheme="majorBidi"/>
          <w:sz w:val="22"/>
          <w:szCs w:val="22"/>
          <w:lang w:val="sr-Latn-ME"/>
        </w:rPr>
        <w:t>-</w:t>
      </w:r>
      <w:proofErr w:type="spellStart"/>
      <w:r w:rsidR="000E36A4" w:rsidRPr="0071319B">
        <w:rPr>
          <w:rFonts w:asciiTheme="majorBidi" w:hAnsiTheme="majorBidi" w:cstheme="majorBidi"/>
          <w:sz w:val="22"/>
          <w:szCs w:val="22"/>
          <w:lang w:val="sr-Latn-ME"/>
        </w:rPr>
        <w:t>II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aktivnosti, jedinicama, dozama i kliničkoj efikasnosti i bezbjednosti. Ovo ima za posljedicu razlike 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farmakokinetici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 povezanim biološkim aktivnostima (npr.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antitrombinska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aktivnost i interakcije trombocita). Posebna pažnja i pridržavanje uputstva za korišćenje koje je specifično za svaki pojedinačni medicinski proizvod su stoga neophodni.</w:t>
      </w:r>
    </w:p>
    <w:p w14:paraId="452B7605" w14:textId="77777777" w:rsidR="000635CE" w:rsidRPr="0071319B" w:rsidRDefault="000635CE" w:rsidP="00ED4E48">
      <w:pPr>
        <w:widowControl w:val="0"/>
        <w:autoSpaceDE w:val="0"/>
        <w:autoSpaceDN w:val="0"/>
        <w:spacing w:before="3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F5B7363" w14:textId="77777777" w:rsidR="00B1576D" w:rsidRPr="0071319B" w:rsidRDefault="000635CE" w:rsidP="00ED4E48">
      <w:pPr>
        <w:widowControl w:val="0"/>
        <w:numPr>
          <w:ilvl w:val="2"/>
          <w:numId w:val="12"/>
        </w:numPr>
        <w:tabs>
          <w:tab w:val="left" w:pos="953"/>
        </w:tabs>
        <w:autoSpaceDE w:val="0"/>
        <w:autoSpaceDN w:val="0"/>
        <w:ind w:left="952" w:hanging="361"/>
        <w:jc w:val="both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HIT u anamnezi (˃100</w:t>
      </w:r>
      <w:r w:rsidRPr="0071319B">
        <w:rPr>
          <w:rFonts w:asciiTheme="majorBidi" w:hAnsiTheme="majorBidi" w:cstheme="majorBidi"/>
          <w:i/>
          <w:spacing w:val="-4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dana)</w:t>
      </w:r>
      <w:r w:rsidR="00B1576D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14:paraId="62666113" w14:textId="2602D560" w:rsidR="000635CE" w:rsidRPr="0071319B" w:rsidRDefault="000635CE" w:rsidP="0071319B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Upotreba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je kontraindikovana kod pacijenata sa imunološki posredovanom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-indukovanom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trombocitopenijom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(HIT) u anamnezi u posljednjih 100 dana ili u prisustvu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cirkulišućih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antitijela (vidjeti </w:t>
      </w:r>
      <w:r w:rsidR="00F30D6A">
        <w:rPr>
          <w:rFonts w:asciiTheme="majorBidi" w:hAnsiTheme="majorBidi" w:cstheme="majorBidi"/>
          <w:sz w:val="22"/>
          <w:szCs w:val="22"/>
          <w:lang w:val="sr-Latn-ME"/>
        </w:rPr>
        <w:t>di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o 4.3).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Cirkulišuća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antitijela mogu da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perzistiraju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 nekoliko godina.</w:t>
      </w:r>
    </w:p>
    <w:p w14:paraId="0CA6F404" w14:textId="77777777" w:rsidR="000635CE" w:rsidRPr="0071319B" w:rsidRDefault="000635CE" w:rsidP="0071319B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 treba koristiti sa posebnim oprezom kod pacijenata koji u anamnezi (˃ 100 dana) imaju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heparinom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indukovanu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trombocitopenija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(HIT) bez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cirkulišućih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antitijela. Odluka o upotrebi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u ovakvim slučajevima mora biti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donijeta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nakon pažljive procjene odnosa koristi i rizika i nakon uzimanja u obzir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neheparinskih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terapijskih rješenja (npr.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danaparoid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 ili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lepirudin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).</w:t>
      </w:r>
    </w:p>
    <w:p w14:paraId="7BEBF652" w14:textId="77777777" w:rsidR="000635CE" w:rsidRPr="0071319B" w:rsidRDefault="000635CE" w:rsidP="00ED4E48">
      <w:pPr>
        <w:widowControl w:val="0"/>
        <w:autoSpaceDE w:val="0"/>
        <w:autoSpaceDN w:val="0"/>
        <w:spacing w:before="5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655A2D3" w14:textId="77777777" w:rsidR="00B1576D" w:rsidRPr="0071319B" w:rsidRDefault="000635CE" w:rsidP="00ED4E48">
      <w:pPr>
        <w:widowControl w:val="0"/>
        <w:numPr>
          <w:ilvl w:val="2"/>
          <w:numId w:val="12"/>
        </w:numPr>
        <w:tabs>
          <w:tab w:val="left" w:pos="953"/>
        </w:tabs>
        <w:autoSpaceDE w:val="0"/>
        <w:autoSpaceDN w:val="0"/>
        <w:ind w:left="952" w:hanging="361"/>
        <w:jc w:val="both"/>
        <w:outlineLvl w:val="1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Praćenje broja</w:t>
      </w:r>
      <w:r w:rsidRPr="0071319B">
        <w:rPr>
          <w:rFonts w:asciiTheme="majorBidi" w:hAnsiTheme="majorBidi" w:cstheme="majorBidi"/>
          <w:i/>
          <w:spacing w:val="-3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trombocita</w:t>
      </w:r>
      <w:r w:rsidR="00B1576D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14:paraId="3E543605" w14:textId="55FF87D0" w:rsidR="00B05080" w:rsidRDefault="00B05080" w:rsidP="0071319B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Liječenje pacijenata sa brojem trombocita ispod 80 g/</w:t>
      </w:r>
      <w:r w:rsidR="00021D80" w:rsidRPr="0071319B">
        <w:rPr>
          <w:rFonts w:asciiTheme="majorBidi" w:hAnsiTheme="majorBidi" w:cstheme="majorBidi"/>
          <w:sz w:val="22"/>
          <w:szCs w:val="22"/>
          <w:lang w:val="sr-Latn-ME"/>
        </w:rPr>
        <w:t>l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koji boluju od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karcinoma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jedino je moguće razmotriti od slučaja do slučaja </w:t>
      </w:r>
      <w:r w:rsidR="00021D80" w:rsidRPr="0071319B">
        <w:rPr>
          <w:rFonts w:asciiTheme="majorBidi" w:hAnsiTheme="majorBidi" w:cstheme="majorBidi"/>
          <w:sz w:val="22"/>
          <w:szCs w:val="22"/>
          <w:lang w:val="sr-Latn-ME"/>
        </w:rPr>
        <w:t>i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zbog toga se preporučuje pažljivo praćenje.</w:t>
      </w:r>
    </w:p>
    <w:p w14:paraId="470A2CCD" w14:textId="77777777" w:rsidR="00CD52AA" w:rsidRPr="0071319B" w:rsidRDefault="00CD52AA" w:rsidP="0071319B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3FA92E97" w14:textId="34D69D28" w:rsidR="000635CE" w:rsidRPr="0071319B" w:rsidRDefault="000635CE" w:rsidP="0071319B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Postoji rizik od pojave antitijelima posredovane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heparinom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indukovane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trombocitopenije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(HIT) koja se takođe javlja i kod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niskomolekul</w:t>
      </w:r>
      <w:r w:rsidR="006F4026">
        <w:rPr>
          <w:rFonts w:asciiTheme="majorBidi" w:hAnsiTheme="majorBidi" w:cstheme="majorBidi"/>
          <w:sz w:val="22"/>
          <w:szCs w:val="22"/>
          <w:lang w:val="sr-Latn-ME"/>
        </w:rPr>
        <w:t>skih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heparina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Trombocitopenija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, ako do nje dođe, obično se javlja između 5. i 21. dana od početka terapije.</w:t>
      </w:r>
    </w:p>
    <w:p w14:paraId="586D295A" w14:textId="77777777" w:rsidR="000635CE" w:rsidRPr="0071319B" w:rsidRDefault="000635CE" w:rsidP="0071319B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Rizik od pojave HIT-a je veći 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postoperativnom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periodu i to uglavnom nakon operacija srca i kod pacijenata sa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malignitetima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6ED83B02" w14:textId="77777777" w:rsidR="000635CE" w:rsidRPr="0071319B" w:rsidRDefault="00B05080" w:rsidP="0071319B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Zbog toga 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se preporučuje da se broj trombocita utvrdi prije započinjanja terapije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natrijumom i dalje redovno tokom trajanja liječenja.</w:t>
      </w:r>
    </w:p>
    <w:p w14:paraId="785CA958" w14:textId="77777777" w:rsidR="000635CE" w:rsidRPr="0071319B" w:rsidRDefault="000635CE" w:rsidP="0071319B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Ako se pojave klinički simptomi koji ukazuju na HIT (nove epizode arterijske i/ili venske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tromboembolije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, bilo koja bolna lezija na koži na mjestu davanja injekcije, u koliko se pojavi bilo kakva alergijska ili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anafilaktoidna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reakcija) treba odrediti broj trombocita. Pacijenti treba da budu svjesni da može doći do pojave ovih simptoma i da u tom slučaju treba</w:t>
      </w:r>
      <w:r w:rsidR="00021D80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da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o tome obavijeste </w:t>
      </w:r>
      <w:r w:rsidR="00351CF2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Vašeg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ljekara.</w:t>
      </w:r>
    </w:p>
    <w:p w14:paraId="15D98B49" w14:textId="77777777" w:rsidR="000635CE" w:rsidRPr="0071319B" w:rsidRDefault="000635CE" w:rsidP="0071319B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U praksi, ako je potvrđeno da je broj trombocita značajno smanjen (30 do 50% početne vrijednosti, terapija se mora prekinuti odmah i mora se započeti druga terapija koja nije na bazi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heparina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).</w:t>
      </w:r>
    </w:p>
    <w:p w14:paraId="55C11BCD" w14:textId="77777777" w:rsidR="000635CE" w:rsidRPr="0071319B" w:rsidRDefault="000635CE" w:rsidP="00ED4E48">
      <w:pPr>
        <w:widowControl w:val="0"/>
        <w:autoSpaceDE w:val="0"/>
        <w:autoSpaceDN w:val="0"/>
        <w:spacing w:before="1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6C546EB9" w14:textId="77777777" w:rsidR="000635CE" w:rsidRPr="0071319B" w:rsidRDefault="000635CE" w:rsidP="00ED4E48">
      <w:pPr>
        <w:widowControl w:val="0"/>
        <w:numPr>
          <w:ilvl w:val="2"/>
          <w:numId w:val="12"/>
        </w:numPr>
        <w:tabs>
          <w:tab w:val="left" w:pos="953"/>
        </w:tabs>
        <w:autoSpaceDE w:val="0"/>
        <w:autoSpaceDN w:val="0"/>
        <w:spacing w:line="292" w:lineRule="exact"/>
        <w:ind w:left="952" w:hanging="361"/>
        <w:jc w:val="both"/>
        <w:outlineLvl w:val="1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Hemoragija</w:t>
      </w:r>
    </w:p>
    <w:p w14:paraId="7E289495" w14:textId="77777777" w:rsidR="000635CE" w:rsidRPr="0071319B" w:rsidRDefault="000635CE" w:rsidP="0071319B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Kao i kod drugih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antikoagulanasa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, hemoragija se može javiti na bilo kom m</w:t>
      </w:r>
      <w:r w:rsidR="004C3228" w:rsidRPr="0071319B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estu. Ako do hemoragije dođe, treba pronaći njeno porijeklo i primijeniti odgovarajuću terapiju.</w:t>
      </w:r>
    </w:p>
    <w:p w14:paraId="75D90F30" w14:textId="77777777" w:rsidR="000635CE" w:rsidRPr="0071319B" w:rsidRDefault="000635CE" w:rsidP="0071319B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natrijum, kao i bilo koju drugu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antikoagulantnu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terapiju, treba koristiti sa velikom predostrožnošću u uslovima povećanog potencijala za pojavu hemoragije, kao što su:</w:t>
      </w:r>
    </w:p>
    <w:p w14:paraId="23289668" w14:textId="4C8AE0E9" w:rsidR="000635CE" w:rsidRPr="0071319B" w:rsidRDefault="00CD52AA" w:rsidP="00ED4E48">
      <w:pPr>
        <w:widowControl w:val="0"/>
        <w:numPr>
          <w:ilvl w:val="0"/>
          <w:numId w:val="15"/>
        </w:numPr>
        <w:tabs>
          <w:tab w:val="left" w:pos="1313"/>
        </w:tabs>
        <w:autoSpaceDE w:val="0"/>
        <w:autoSpaceDN w:val="0"/>
        <w:spacing w:before="64" w:line="275" w:lineRule="exact"/>
        <w:ind w:hanging="361"/>
        <w:jc w:val="both"/>
        <w:outlineLvl w:val="0"/>
        <w:rPr>
          <w:rFonts w:asciiTheme="majorBidi" w:hAnsiTheme="majorBidi" w:cstheme="majorBidi"/>
          <w:sz w:val="22"/>
          <w:szCs w:val="22"/>
          <w:lang w:val="sr-Latn-ME"/>
        </w:rPr>
      </w:pPr>
      <w:proofErr w:type="spellStart"/>
      <w:r>
        <w:rPr>
          <w:rFonts w:asciiTheme="majorBidi" w:hAnsiTheme="majorBidi" w:cstheme="majorBidi"/>
          <w:sz w:val="22"/>
          <w:szCs w:val="22"/>
          <w:lang w:val="sr-Latn-ME"/>
        </w:rPr>
        <w:t>portemećaj</w:t>
      </w:r>
      <w:proofErr w:type="spellEnd"/>
      <w:r w:rsidRPr="0071319B">
        <w:rPr>
          <w:rFonts w:asciiTheme="majorBidi" w:hAnsiTheme="majorBidi" w:cstheme="majorBidi"/>
          <w:spacing w:val="-1"/>
          <w:sz w:val="22"/>
          <w:szCs w:val="22"/>
          <w:lang w:val="sr-Latn-ME"/>
        </w:rPr>
        <w:t xml:space="preserve">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hemostaza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,</w:t>
      </w:r>
    </w:p>
    <w:p w14:paraId="671ED1E5" w14:textId="77777777" w:rsidR="000635CE" w:rsidRPr="0071319B" w:rsidRDefault="000635CE" w:rsidP="00ED4E48">
      <w:pPr>
        <w:widowControl w:val="0"/>
        <w:numPr>
          <w:ilvl w:val="0"/>
          <w:numId w:val="15"/>
        </w:numPr>
        <w:tabs>
          <w:tab w:val="left" w:pos="1313"/>
        </w:tabs>
        <w:autoSpaceDE w:val="0"/>
        <w:autoSpaceDN w:val="0"/>
        <w:spacing w:line="275" w:lineRule="exact"/>
        <w:ind w:hanging="361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peptički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ulkus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u</w:t>
      </w:r>
      <w:r w:rsidRPr="0071319B">
        <w:rPr>
          <w:rFonts w:asciiTheme="majorBidi" w:hAnsiTheme="majorBidi" w:cstheme="majorBidi"/>
          <w:spacing w:val="1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anamnezi,</w:t>
      </w:r>
    </w:p>
    <w:p w14:paraId="24672E49" w14:textId="77777777" w:rsidR="000635CE" w:rsidRPr="0071319B" w:rsidRDefault="000635CE" w:rsidP="00ED4E48">
      <w:pPr>
        <w:widowControl w:val="0"/>
        <w:numPr>
          <w:ilvl w:val="0"/>
          <w:numId w:val="15"/>
        </w:numPr>
        <w:tabs>
          <w:tab w:val="left" w:pos="1313"/>
        </w:tabs>
        <w:autoSpaceDE w:val="0"/>
        <w:autoSpaceDN w:val="0"/>
        <w:spacing w:before="2"/>
        <w:ind w:hanging="361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nedavni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ishemijski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moždani</w:t>
      </w:r>
      <w:r w:rsidRPr="0071319B">
        <w:rPr>
          <w:rFonts w:asciiTheme="majorBidi" w:hAnsiTheme="majorBidi" w:cstheme="majorBidi"/>
          <w:spacing w:val="-5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udar,</w:t>
      </w:r>
    </w:p>
    <w:p w14:paraId="2567762C" w14:textId="77777777" w:rsidR="000635CE" w:rsidRPr="0071319B" w:rsidRDefault="000635CE" w:rsidP="00ED4E48">
      <w:pPr>
        <w:widowControl w:val="0"/>
        <w:numPr>
          <w:ilvl w:val="0"/>
          <w:numId w:val="15"/>
        </w:numPr>
        <w:tabs>
          <w:tab w:val="left" w:pos="1313"/>
        </w:tabs>
        <w:autoSpaceDE w:val="0"/>
        <w:autoSpaceDN w:val="0"/>
        <w:spacing w:before="1" w:line="275" w:lineRule="exact"/>
        <w:ind w:hanging="361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teška arterijska</w:t>
      </w:r>
      <w:r w:rsidRPr="0071319B">
        <w:rPr>
          <w:rFonts w:asciiTheme="majorBidi" w:hAnsiTheme="majorBidi" w:cstheme="majorBidi"/>
          <w:spacing w:val="-3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hipertenzija,</w:t>
      </w:r>
    </w:p>
    <w:p w14:paraId="0D2D2CAF" w14:textId="77777777" w:rsidR="000635CE" w:rsidRPr="0071319B" w:rsidRDefault="000635CE" w:rsidP="00ED4E48">
      <w:pPr>
        <w:widowControl w:val="0"/>
        <w:numPr>
          <w:ilvl w:val="0"/>
          <w:numId w:val="15"/>
        </w:numPr>
        <w:tabs>
          <w:tab w:val="left" w:pos="1313"/>
        </w:tabs>
        <w:autoSpaceDE w:val="0"/>
        <w:autoSpaceDN w:val="0"/>
        <w:spacing w:line="275" w:lineRule="exact"/>
        <w:ind w:hanging="361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nedavna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dijabetička</w:t>
      </w:r>
      <w:proofErr w:type="spellEnd"/>
      <w:r w:rsidRPr="0071319B">
        <w:rPr>
          <w:rFonts w:asciiTheme="majorBidi" w:hAnsiTheme="majorBidi" w:cstheme="majorBidi"/>
          <w:spacing w:val="-2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retinopatija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,</w:t>
      </w:r>
    </w:p>
    <w:p w14:paraId="1917FFFB" w14:textId="77777777" w:rsidR="000635CE" w:rsidRPr="0071319B" w:rsidRDefault="000635CE" w:rsidP="00ED4E48">
      <w:pPr>
        <w:widowControl w:val="0"/>
        <w:numPr>
          <w:ilvl w:val="0"/>
          <w:numId w:val="15"/>
        </w:numPr>
        <w:tabs>
          <w:tab w:val="left" w:pos="1313"/>
        </w:tabs>
        <w:autoSpaceDE w:val="0"/>
        <w:autoSpaceDN w:val="0"/>
        <w:spacing w:before="1"/>
        <w:ind w:hanging="361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oftalmološka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ili neurohirurška</w:t>
      </w:r>
      <w:r w:rsidRPr="0071319B">
        <w:rPr>
          <w:rFonts w:asciiTheme="majorBidi" w:hAnsiTheme="majorBidi" w:cstheme="majorBidi"/>
          <w:spacing w:val="1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operacija,</w:t>
      </w:r>
    </w:p>
    <w:p w14:paraId="48C401D2" w14:textId="55C08F1A" w:rsidR="000635CE" w:rsidRPr="0071319B" w:rsidRDefault="000635CE" w:rsidP="00ED4E48">
      <w:pPr>
        <w:widowControl w:val="0"/>
        <w:numPr>
          <w:ilvl w:val="0"/>
          <w:numId w:val="15"/>
        </w:numPr>
        <w:tabs>
          <w:tab w:val="left" w:pos="1313"/>
        </w:tabs>
        <w:autoSpaceDE w:val="0"/>
        <w:autoSpaceDN w:val="0"/>
        <w:spacing w:before="2"/>
        <w:ind w:hanging="361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istovremena upotreba ljekova koji utiču na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hemostazu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(vidjeti </w:t>
      </w:r>
      <w:r w:rsidR="00F30D6A">
        <w:rPr>
          <w:rFonts w:asciiTheme="majorBidi" w:hAnsiTheme="majorBidi" w:cstheme="majorBidi"/>
          <w:sz w:val="22"/>
          <w:szCs w:val="22"/>
          <w:lang w:val="sr-Latn-ME"/>
        </w:rPr>
        <w:t>di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o</w:t>
      </w:r>
      <w:r w:rsidRPr="0071319B">
        <w:rPr>
          <w:rFonts w:asciiTheme="majorBidi" w:hAnsiTheme="majorBidi" w:cstheme="majorBidi"/>
          <w:spacing w:val="-11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4.5.)</w:t>
      </w:r>
      <w:r w:rsidR="00B05080" w:rsidRPr="0071319B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2286B3A0" w14:textId="77777777" w:rsidR="000635CE" w:rsidRPr="0071319B" w:rsidRDefault="000635CE" w:rsidP="00ED4E48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4A5CEE7" w14:textId="77777777" w:rsidR="000635CE" w:rsidRPr="0071319B" w:rsidRDefault="000635CE" w:rsidP="00ED4E48">
      <w:pPr>
        <w:widowControl w:val="0"/>
        <w:numPr>
          <w:ilvl w:val="2"/>
          <w:numId w:val="12"/>
        </w:numPr>
        <w:tabs>
          <w:tab w:val="left" w:pos="953"/>
        </w:tabs>
        <w:autoSpaceDE w:val="0"/>
        <w:autoSpaceDN w:val="0"/>
        <w:ind w:left="952" w:hanging="361"/>
        <w:jc w:val="both"/>
        <w:outlineLvl w:val="1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Laboratorijske</w:t>
      </w:r>
      <w:r w:rsidRPr="0071319B">
        <w:rPr>
          <w:rFonts w:asciiTheme="majorBidi" w:hAnsiTheme="majorBidi" w:cstheme="majorBidi"/>
          <w:i/>
          <w:spacing w:val="-2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analize</w:t>
      </w:r>
    </w:p>
    <w:p w14:paraId="122B0896" w14:textId="77777777" w:rsidR="00CD52AA" w:rsidRDefault="000635CE" w:rsidP="0071319B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U dozama koje se koriste u prevenciji venske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tromboembolije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,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 ne utiče značajno na vrijeme krvarenja i testove koagulacije, niti utiče na agregaciju trombocita ili vezivanje fibrinogena za trombocite. </w:t>
      </w:r>
    </w:p>
    <w:p w14:paraId="07FF3C3A" w14:textId="7C24284D" w:rsidR="000635CE" w:rsidRPr="0071319B" w:rsidRDefault="000635CE" w:rsidP="0071319B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Pri većim dozama, može se javiti produženje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aPTT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-a (aktivirano parcijalno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tromboplastinsko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vr</w:t>
      </w:r>
      <w:r w:rsidR="004C3228" w:rsidRPr="0071319B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eme) i ACT-a (aktivirano vr</w:t>
      </w:r>
      <w:r w:rsidR="004C3228" w:rsidRPr="0071319B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eme zgrušavanja). Produženje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aPTTa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ACTa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nije linearno povezano sa porastom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antitrombotičke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aktivnosti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i stoga nije pogodno i pouzdano za praćenje aktivnosti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natrijuma.</w:t>
      </w:r>
    </w:p>
    <w:p w14:paraId="65B63B69" w14:textId="77777777" w:rsidR="000635CE" w:rsidRPr="0071319B" w:rsidRDefault="000635CE" w:rsidP="00ED4E48">
      <w:pPr>
        <w:widowControl w:val="0"/>
        <w:autoSpaceDE w:val="0"/>
        <w:autoSpaceDN w:val="0"/>
        <w:spacing w:before="2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1B1209C8" w14:textId="77777777" w:rsidR="000635CE" w:rsidRPr="0071319B" w:rsidRDefault="000635CE" w:rsidP="00ED4E48">
      <w:pPr>
        <w:widowControl w:val="0"/>
        <w:numPr>
          <w:ilvl w:val="2"/>
          <w:numId w:val="12"/>
        </w:numPr>
        <w:tabs>
          <w:tab w:val="left" w:pos="953"/>
        </w:tabs>
        <w:autoSpaceDE w:val="0"/>
        <w:autoSpaceDN w:val="0"/>
        <w:ind w:left="952" w:hanging="361"/>
        <w:jc w:val="both"/>
        <w:outlineLvl w:val="1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Spinalna/</w:t>
      </w:r>
      <w:proofErr w:type="spellStart"/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epiduralna</w:t>
      </w:r>
      <w:proofErr w:type="spellEnd"/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 xml:space="preserve"> anestezija ili lumbalna punkcija</w:t>
      </w:r>
    </w:p>
    <w:p w14:paraId="1E0E00F2" w14:textId="7462A7F7" w:rsidR="000635CE" w:rsidRPr="0071319B" w:rsidRDefault="000635CE" w:rsidP="0071319B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Spinalna/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epiduralna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anestezija ili lumbalna punkcija ne smiju se izvoditi unutar 24 sata od primjene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u terapijskim dozama (vidjeti takođe </w:t>
      </w:r>
      <w:r w:rsidR="00F30D6A">
        <w:rPr>
          <w:rFonts w:asciiTheme="majorBidi" w:hAnsiTheme="majorBidi" w:cstheme="majorBidi"/>
          <w:sz w:val="22"/>
          <w:szCs w:val="22"/>
          <w:lang w:val="sr-Latn-ME"/>
        </w:rPr>
        <w:t>di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o 4.3)</w:t>
      </w:r>
      <w:r w:rsidR="00CD52AA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1A46FBBD" w14:textId="77777777" w:rsidR="000635CE" w:rsidRPr="0071319B" w:rsidRDefault="000635CE" w:rsidP="0071319B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Bilo je slučajeva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neuroaksijalnih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hematoma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prijavljenih prilikom istovremene upotrebe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i spinalne/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epiduralne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anestezije ili spinalne punkcije koji su doveli do dugotrajne ili permanentne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lastRenderedPageBreak/>
        <w:t xml:space="preserve">paralize. Ovo se rijetko dešava kada su u pitanju doze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od 4000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 (40 mg) dnevno ili manje. Rizik je veći kod upotrebe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postoperativnih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epiduralnih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katetera, istovremene upotrebe dodatnih ljekova koji utiču na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hemostazu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kao što su NSAIL, kod traumatske ili ponavljane spinalne ili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epiduralne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punkcije ili kod pacijenata sa operacijom kičme ili deformitetom kičme u anamnezi.</w:t>
      </w:r>
    </w:p>
    <w:p w14:paraId="30344180" w14:textId="77777777" w:rsidR="000635CE" w:rsidRPr="0071319B" w:rsidRDefault="000635CE" w:rsidP="0071319B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5FC19C0C" w14:textId="06E325D6" w:rsidR="000635CE" w:rsidRPr="0071319B" w:rsidRDefault="000635CE" w:rsidP="00CD52AA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Da bi se umanjio potencijalni rizik od krvarenja koji se povezuje sa paralelnom upotrebom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epiduralne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ili spinalne anestezije/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analgezije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ili spinalne punkcije, treba uzeti u obzir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farmakokinetički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profil lijeka (vid</w:t>
      </w:r>
      <w:r w:rsidR="00CD52AA">
        <w:rPr>
          <w:rFonts w:asciiTheme="majorBidi" w:hAnsiTheme="majorBidi" w:cstheme="majorBidi"/>
          <w:sz w:val="22"/>
          <w:szCs w:val="22"/>
          <w:lang w:val="sr-Latn-ME"/>
        </w:rPr>
        <w:t>jeti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F30D6A">
        <w:rPr>
          <w:rFonts w:asciiTheme="majorBidi" w:hAnsiTheme="majorBidi" w:cstheme="majorBidi"/>
          <w:sz w:val="22"/>
          <w:szCs w:val="22"/>
          <w:lang w:val="sr-Latn-ME"/>
        </w:rPr>
        <w:t>di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o 5.2.). Uvođenje i odstranjivanje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epiduralnog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katetera ili lumbalnu punkciju je najbolje obaviti kada je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antikoagulantno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dejstvo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nisko; ipak tačno vrijeme za postizanje dovoljno niskog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antikoagulantnog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dejstva kod svakog pacijenta nije utvrđeno. Kod pacijenata kod kojih je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klirens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kreatinina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15-30 </w:t>
      </w:r>
      <w:r w:rsidR="00444F6E" w:rsidRPr="0071319B">
        <w:rPr>
          <w:rFonts w:asciiTheme="majorBidi" w:hAnsiTheme="majorBidi" w:cstheme="majorBidi"/>
          <w:sz w:val="22"/>
          <w:szCs w:val="22"/>
          <w:lang w:val="sr-Latn-ME"/>
        </w:rPr>
        <w:t>ml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/minut, potrebno je dodatno razmatranje, jer će se eliminacija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još više produžiti (vidjeti </w:t>
      </w:r>
      <w:r w:rsidR="00F30D6A">
        <w:rPr>
          <w:rFonts w:asciiTheme="majorBidi" w:hAnsiTheme="majorBidi" w:cstheme="majorBidi"/>
          <w:sz w:val="22"/>
          <w:szCs w:val="22"/>
          <w:lang w:val="sr-Latn-ME"/>
        </w:rPr>
        <w:t>di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o 4.2).</w:t>
      </w:r>
    </w:p>
    <w:p w14:paraId="218C5C51" w14:textId="77777777" w:rsidR="000635CE" w:rsidRPr="0071319B" w:rsidRDefault="000635CE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0BE4EBE" w14:textId="2B8123F5" w:rsidR="000635CE" w:rsidRPr="0071319B" w:rsidRDefault="000635CE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Ukoliko ljekar odluči da primjenjuje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antikoagulanse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uz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epiduralnu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/spinalnu anesteziju ili lumbalnu punkciju, strog nadzor mora biti primijenjen da bi se uočili bilo kakvi znaci i simptomi neuroloških oštećenja kao što je bol po središnjoj liniji leđa,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senzorni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 motorni deficiti (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utrnulost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ili slabost u donjim udovima),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disfunkcija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crijeva i/</w:t>
      </w:r>
      <w:r w:rsidR="00B05080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ili mokraćne bešike. Pacijente treba uputiti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da obavijeste ljekara odmah ukoliko iskuse neke od gore navedenih znakova i simptoma. Ako se sumnja na simptome i znakove spinalnog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hematoma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, treba hitno postaviti dijagnozu i inicirati terapiju, uključujući dekompresiju kičmene moždine iako ovaj vid terapije možda ne dovede do spr</w:t>
      </w:r>
      <w:r w:rsidR="0065577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ečavanja ili povlačenja neuroloških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sekvela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3FDF9528" w14:textId="77777777" w:rsidR="000635CE" w:rsidRPr="0071319B" w:rsidRDefault="000635CE" w:rsidP="003207FF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7F69F9F7" w14:textId="77777777" w:rsidR="000635CE" w:rsidRPr="0071319B" w:rsidRDefault="000635CE" w:rsidP="003207FF">
      <w:pPr>
        <w:widowControl w:val="0"/>
        <w:numPr>
          <w:ilvl w:val="2"/>
          <w:numId w:val="12"/>
        </w:numPr>
        <w:tabs>
          <w:tab w:val="left" w:pos="953"/>
        </w:tabs>
        <w:autoSpaceDE w:val="0"/>
        <w:autoSpaceDN w:val="0"/>
        <w:ind w:left="952" w:hanging="361"/>
        <w:jc w:val="both"/>
        <w:outlineLvl w:val="1"/>
        <w:rPr>
          <w:rFonts w:asciiTheme="majorBidi" w:hAnsiTheme="majorBidi" w:cstheme="majorBidi"/>
          <w:i/>
          <w:sz w:val="22"/>
          <w:szCs w:val="22"/>
          <w:lang w:val="sr-Latn-ME"/>
        </w:rPr>
      </w:pPr>
      <w:proofErr w:type="spellStart"/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Nekroza</w:t>
      </w:r>
      <w:proofErr w:type="spellEnd"/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 xml:space="preserve"> kože/</w:t>
      </w:r>
      <w:proofErr w:type="spellStart"/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kutani</w:t>
      </w:r>
      <w:proofErr w:type="spellEnd"/>
      <w:r w:rsidRPr="0071319B">
        <w:rPr>
          <w:rFonts w:asciiTheme="majorBidi" w:hAnsiTheme="majorBidi" w:cstheme="majorBidi"/>
          <w:i/>
          <w:spacing w:val="-3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vaskulitis</w:t>
      </w:r>
    </w:p>
    <w:p w14:paraId="1FA78227" w14:textId="532F3864" w:rsidR="000635CE" w:rsidRPr="0071319B" w:rsidRDefault="000635CE" w:rsidP="00CD52AA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Nekroza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kože 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kutani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vaskulitis su prijavljivani sa drugim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niskomolekul</w:t>
      </w:r>
      <w:r w:rsidR="006F4026">
        <w:rPr>
          <w:rFonts w:asciiTheme="majorBidi" w:hAnsiTheme="majorBidi" w:cstheme="majorBidi"/>
          <w:sz w:val="22"/>
          <w:szCs w:val="22"/>
          <w:lang w:val="sr-Latn-ME"/>
        </w:rPr>
        <w:t>skim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heparinima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, </w:t>
      </w:r>
      <w:r w:rsidR="00192933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pa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njihova pojava vodi do brzog ukidanja terapije.</w:t>
      </w:r>
    </w:p>
    <w:p w14:paraId="7838CABC" w14:textId="77777777" w:rsidR="000635CE" w:rsidRPr="0071319B" w:rsidRDefault="000635CE" w:rsidP="003207FF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35C693D2" w14:textId="77777777" w:rsidR="000635CE" w:rsidRPr="0071319B" w:rsidRDefault="000635CE" w:rsidP="003207FF">
      <w:pPr>
        <w:widowControl w:val="0"/>
        <w:numPr>
          <w:ilvl w:val="2"/>
          <w:numId w:val="12"/>
        </w:numPr>
        <w:tabs>
          <w:tab w:val="left" w:pos="953"/>
        </w:tabs>
        <w:autoSpaceDE w:val="0"/>
        <w:autoSpaceDN w:val="0"/>
        <w:spacing w:line="292" w:lineRule="exact"/>
        <w:ind w:left="952" w:hanging="361"/>
        <w:outlineLvl w:val="1"/>
        <w:rPr>
          <w:rFonts w:asciiTheme="majorBidi" w:hAnsiTheme="majorBidi" w:cstheme="majorBidi"/>
          <w:i/>
          <w:sz w:val="22"/>
          <w:szCs w:val="22"/>
          <w:lang w:val="sr-Latn-ME"/>
        </w:rPr>
      </w:pPr>
      <w:proofErr w:type="spellStart"/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Prekutana</w:t>
      </w:r>
      <w:proofErr w:type="spellEnd"/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 xml:space="preserve"> koronarna</w:t>
      </w:r>
      <w:r w:rsidRPr="0071319B">
        <w:rPr>
          <w:rFonts w:asciiTheme="majorBidi" w:hAnsiTheme="majorBidi" w:cstheme="majorBidi"/>
          <w:i/>
          <w:spacing w:val="-3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revaskularizacija</w:t>
      </w:r>
      <w:proofErr w:type="spellEnd"/>
    </w:p>
    <w:p w14:paraId="1E21AD24" w14:textId="0AAF75AD" w:rsidR="000635CE" w:rsidRPr="0071319B" w:rsidRDefault="000635CE" w:rsidP="00CD52AA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Da bi se minimalizovao rizik od hemoragije tokom koronarne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angioplastike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u liječenju nestabilne angine, </w:t>
      </w:r>
      <w:r w:rsidR="00351CF2" w:rsidRPr="0071319B">
        <w:rPr>
          <w:rFonts w:asciiTheme="majorBidi" w:hAnsiTheme="majorBidi" w:cstheme="majorBidi"/>
          <w:sz w:val="22"/>
          <w:szCs w:val="22"/>
          <w:lang w:val="sr-Latn-ME"/>
        </w:rPr>
        <w:t>NSTEMI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ili akutnog </w:t>
      </w:r>
      <w:r w:rsidR="00351CF2" w:rsidRPr="0071319B">
        <w:rPr>
          <w:rFonts w:asciiTheme="majorBidi" w:hAnsiTheme="majorBidi" w:cstheme="majorBidi"/>
          <w:sz w:val="22"/>
          <w:szCs w:val="22"/>
          <w:lang w:val="sr-Latn-ME"/>
        </w:rPr>
        <w:t>STEMI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, preporučuje se strogo pridržavanje propisanih intervala između injekcija lijeka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Enoxaparin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Ledraxena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 Nakon PCI potrebno je na mjestu vaskularne punkcije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obezbijediti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hemostazu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. Ukoliko se koristi vaskularna kopča, ovojnica se može odmah ukloniti. Ukoliko se primjenjuje metod</w:t>
      </w:r>
      <w:r w:rsidR="002C4BC6">
        <w:rPr>
          <w:rFonts w:asciiTheme="majorBidi" w:hAnsiTheme="majorBidi" w:cstheme="majorBidi"/>
          <w:sz w:val="22"/>
          <w:szCs w:val="22"/>
          <w:lang w:val="sr-Latn-ME"/>
        </w:rPr>
        <w:t>a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manuelne kompresije, </w:t>
      </w:r>
      <w:r w:rsidR="002C4BC6">
        <w:rPr>
          <w:rFonts w:asciiTheme="majorBidi" w:hAnsiTheme="majorBidi" w:cstheme="majorBidi"/>
          <w:sz w:val="22"/>
          <w:szCs w:val="22"/>
          <w:lang w:val="sr-Latn-ME"/>
        </w:rPr>
        <w:t>omotač</w:t>
      </w:r>
      <w:r w:rsidR="002C4BC6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treba ukloniti 6 sati nakon posljednje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s.c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./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i.v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 doze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natrijuma. Ako se terapija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natrijumom nastavlja, sl</w:t>
      </w:r>
      <w:r w:rsidR="004C3228" w:rsidRPr="0071319B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edeća doza se može dati tek 6 do 8 sati nakon skidanja </w:t>
      </w:r>
      <w:r w:rsidR="002C4BC6">
        <w:rPr>
          <w:rFonts w:asciiTheme="majorBidi" w:hAnsiTheme="majorBidi" w:cstheme="majorBidi"/>
          <w:sz w:val="22"/>
          <w:szCs w:val="22"/>
          <w:lang w:val="sr-Latn-ME"/>
        </w:rPr>
        <w:t>omotača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 </w:t>
      </w:r>
      <w:r w:rsidR="00192933" w:rsidRPr="0071319B">
        <w:rPr>
          <w:rFonts w:asciiTheme="majorBidi" w:hAnsiTheme="majorBidi" w:cstheme="majorBidi"/>
          <w:sz w:val="22"/>
          <w:szCs w:val="22"/>
          <w:lang w:val="sr-Latn-ME"/>
        </w:rPr>
        <w:t>Mjesto na kojem je sproveden zahvat treba pratiti zbog moguće pojave znakova krvarenja ili</w:t>
      </w:r>
      <w:r w:rsidR="004C3228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192933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nastanka </w:t>
      </w:r>
      <w:proofErr w:type="spellStart"/>
      <w:r w:rsidR="00192933" w:rsidRPr="0071319B">
        <w:rPr>
          <w:rFonts w:asciiTheme="majorBidi" w:hAnsiTheme="majorBidi" w:cstheme="majorBidi"/>
          <w:sz w:val="22"/>
          <w:szCs w:val="22"/>
          <w:lang w:val="sr-Latn-ME"/>
        </w:rPr>
        <w:t>hematoma</w:t>
      </w:r>
      <w:proofErr w:type="spellEnd"/>
      <w:r w:rsidR="00192933" w:rsidRPr="0071319B">
        <w:rPr>
          <w:rFonts w:asciiTheme="majorBidi" w:hAnsiTheme="majorBidi" w:cstheme="majorBidi"/>
          <w:sz w:val="22"/>
          <w:szCs w:val="22"/>
          <w:lang w:val="sr-Latn-ME"/>
        </w:rPr>
        <w:t>.</w:t>
      </w:r>
      <w:r w:rsidR="00192933" w:rsidRPr="0071319B">
        <w:rPr>
          <w:rFonts w:asciiTheme="majorBidi" w:hAnsiTheme="majorBidi" w:cstheme="majorBidi"/>
          <w:sz w:val="22"/>
          <w:szCs w:val="22"/>
          <w:lang w:val="sr-Latn-ME"/>
        </w:rPr>
        <w:cr/>
      </w:r>
    </w:p>
    <w:p w14:paraId="0CFC0D5B" w14:textId="77777777" w:rsidR="000635CE" w:rsidRPr="0071319B" w:rsidRDefault="000635CE" w:rsidP="00071E9C">
      <w:pPr>
        <w:widowControl w:val="0"/>
        <w:numPr>
          <w:ilvl w:val="2"/>
          <w:numId w:val="12"/>
        </w:numPr>
        <w:tabs>
          <w:tab w:val="left" w:pos="953"/>
        </w:tabs>
        <w:autoSpaceDE w:val="0"/>
        <w:autoSpaceDN w:val="0"/>
        <w:spacing w:line="292" w:lineRule="exact"/>
        <w:ind w:left="952" w:hanging="361"/>
        <w:outlineLvl w:val="1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 xml:space="preserve">Akutni infektivni </w:t>
      </w:r>
      <w:proofErr w:type="spellStart"/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endokarditis</w:t>
      </w:r>
      <w:proofErr w:type="spellEnd"/>
    </w:p>
    <w:p w14:paraId="3C991647" w14:textId="77777777" w:rsidR="000635CE" w:rsidRPr="0071319B" w:rsidRDefault="000635CE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Upotreba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heparina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se obično ne preporučuje kod pacijenata sa akutnim infektivnim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endokarditisom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zbog rizika od pojave cerebralne hemoragije. Ako se upotreba smatra apsolutno neophodnom</w:t>
      </w:r>
      <w:r w:rsidR="009C65A1" w:rsidRPr="0071319B">
        <w:rPr>
          <w:rFonts w:asciiTheme="majorBidi" w:hAnsiTheme="majorBidi" w:cstheme="majorBidi"/>
          <w:sz w:val="22"/>
          <w:szCs w:val="22"/>
          <w:lang w:val="sr-Latn-ME"/>
        </w:rPr>
        <w:t>,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odluku o tome treba donijeti tek nakon pažljive procjene individualne koristi i rizika.</w:t>
      </w:r>
    </w:p>
    <w:p w14:paraId="57F880CD" w14:textId="77777777" w:rsidR="000635CE" w:rsidRPr="0071319B" w:rsidRDefault="000635CE" w:rsidP="003207FF">
      <w:pPr>
        <w:widowControl w:val="0"/>
        <w:autoSpaceDE w:val="0"/>
        <w:autoSpaceDN w:val="0"/>
        <w:rPr>
          <w:rFonts w:asciiTheme="majorBidi" w:hAnsiTheme="majorBidi" w:cstheme="majorBidi"/>
          <w:sz w:val="22"/>
          <w:szCs w:val="22"/>
          <w:lang w:val="sr-Latn-ME"/>
        </w:rPr>
      </w:pPr>
    </w:p>
    <w:p w14:paraId="73721E99" w14:textId="77777777" w:rsidR="007A36FA" w:rsidRPr="0071319B" w:rsidRDefault="000635CE" w:rsidP="003207FF">
      <w:pPr>
        <w:widowControl w:val="0"/>
        <w:numPr>
          <w:ilvl w:val="2"/>
          <w:numId w:val="12"/>
        </w:numPr>
        <w:tabs>
          <w:tab w:val="left" w:pos="953"/>
        </w:tabs>
        <w:autoSpaceDE w:val="0"/>
        <w:autoSpaceDN w:val="0"/>
        <w:ind w:left="952" w:hanging="361"/>
        <w:jc w:val="both"/>
        <w:outlineLvl w:val="1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Mehanički v</w:t>
      </w:r>
      <w:r w:rsidR="003C174A" w:rsidRPr="0071319B">
        <w:rPr>
          <w:rFonts w:asciiTheme="majorBidi" w:hAnsiTheme="majorBidi" w:cstheme="majorBidi"/>
          <w:i/>
          <w:sz w:val="22"/>
          <w:szCs w:val="22"/>
          <w:lang w:val="sr-Latn-ME"/>
        </w:rPr>
        <w:t>j</w:t>
      </w: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eštački srčani</w:t>
      </w:r>
      <w:r w:rsidRPr="0071319B">
        <w:rPr>
          <w:rFonts w:asciiTheme="majorBidi" w:hAnsiTheme="majorBidi" w:cstheme="majorBidi"/>
          <w:i/>
          <w:spacing w:val="-4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zalisci</w:t>
      </w:r>
      <w:r w:rsidR="007A36FA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14:paraId="7C0CC386" w14:textId="77777777" w:rsidR="000635CE" w:rsidRPr="0071319B" w:rsidRDefault="000635CE" w:rsidP="00CD52AA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Upotreba </w:t>
      </w:r>
      <w:proofErr w:type="spellStart"/>
      <w:r w:rsidR="009C65A1"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="009C65A1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nije adekvatno ispitana 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tromboprofilaksi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kod pacijenata sa mehaničkim vještačkim srčanim zaliscima. Registrovani su izolovani slučajevi tromboze vještačkog srčanog zaliska kod pacijenata sa mehaničkim vještačkim srčanim zaliscima, koji su primali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kao profilaksu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tromboembolijskih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događaja. Doprinoseći faktori, uključujući osnovnu bolest i nedovoljne kliničke podatke, ograničavaju mogućnost procjene ovih slučajeva. Neki od ovih slučajeva zabilježeni su kod trudnica </w:t>
      </w:r>
      <w:r w:rsidR="009C65A1" w:rsidRPr="0071319B">
        <w:rPr>
          <w:rFonts w:asciiTheme="majorBidi" w:hAnsiTheme="majorBidi" w:cstheme="majorBidi"/>
          <w:sz w:val="22"/>
          <w:szCs w:val="22"/>
          <w:lang w:val="sr-Latn-ME"/>
        </w:rPr>
        <w:t>kod kojih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je tromboza dovela do smrti i majke i ploda.</w:t>
      </w:r>
    </w:p>
    <w:p w14:paraId="10B5D3E8" w14:textId="77777777" w:rsidR="000635CE" w:rsidRPr="0071319B" w:rsidRDefault="000635CE" w:rsidP="003207FF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A8F383C" w14:textId="77777777" w:rsidR="007A36FA" w:rsidRPr="0071319B" w:rsidRDefault="000635CE" w:rsidP="00CD52AA">
      <w:pPr>
        <w:widowControl w:val="0"/>
        <w:numPr>
          <w:ilvl w:val="2"/>
          <w:numId w:val="12"/>
        </w:numPr>
        <w:tabs>
          <w:tab w:val="left" w:pos="953"/>
        </w:tabs>
        <w:autoSpaceDE w:val="0"/>
        <w:autoSpaceDN w:val="0"/>
        <w:ind w:left="952" w:hanging="361"/>
        <w:jc w:val="both"/>
        <w:outlineLvl w:val="1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Trudnice sa mehaničkim vještačkim srčanim</w:t>
      </w:r>
      <w:r w:rsidRPr="0071319B">
        <w:rPr>
          <w:rFonts w:asciiTheme="majorBidi" w:hAnsiTheme="majorBidi" w:cstheme="majorBidi"/>
          <w:i/>
          <w:spacing w:val="-7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zaliscima:</w:t>
      </w:r>
      <w:r w:rsidR="007A36FA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14:paraId="536D1E2D" w14:textId="2FD18AD3" w:rsidR="000635CE" w:rsidRPr="0071319B" w:rsidRDefault="000635CE" w:rsidP="00683ABA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Upotreba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tromboprofilaksi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kod trudnica sa mehaničkim v</w:t>
      </w:r>
      <w:r w:rsidR="00683ABA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eštačkim srčanim zaliscima nije dovoljno ispitana. U kliničkoj studiji kod trudnica sa mehaničkim vještačkim srčanim zaliscima koje su primale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 (100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./kg (1mg/kg) dva puta dnevno) u cilju smanjivanja rizika od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tromboembolijskih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događaja, kod 2 od 8 žena javila se tromboza koja je dovela do opstrukcije zaliska i do fatalnog ishoda i za majku i za plod. Takođe, tokom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postmarketinškog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praćenja, registrovani su i drugi izolovani slučajevi pojave tromboze zaliska kod trudnica sa mehaničkim srčanim zaliscima, koje su primale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 u profilaksi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tromboembolije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 Trudnice sa mehaničkim vještačkim srčanim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lastRenderedPageBreak/>
        <w:t xml:space="preserve">zaliscima mogu imati povećan rizik od pojave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tromboembolije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1C2B9006" w14:textId="77777777" w:rsidR="000635CE" w:rsidRPr="0071319B" w:rsidRDefault="000635CE" w:rsidP="00ED4E48">
      <w:pPr>
        <w:widowControl w:val="0"/>
        <w:autoSpaceDE w:val="0"/>
        <w:autoSpaceDN w:val="0"/>
        <w:spacing w:before="1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4E40EA54" w14:textId="77777777" w:rsidR="00723A74" w:rsidRPr="0071319B" w:rsidRDefault="00842EC8" w:rsidP="000635CE">
      <w:pPr>
        <w:widowControl w:val="0"/>
        <w:numPr>
          <w:ilvl w:val="2"/>
          <w:numId w:val="12"/>
        </w:numPr>
        <w:tabs>
          <w:tab w:val="left" w:pos="953"/>
        </w:tabs>
        <w:autoSpaceDE w:val="0"/>
        <w:autoSpaceDN w:val="0"/>
        <w:ind w:left="952" w:hanging="361"/>
        <w:outlineLvl w:val="1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Starije osobe</w:t>
      </w:r>
      <w:r w:rsidR="00723A74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14:paraId="2B6A828A" w14:textId="08422094" w:rsidR="000635CE" w:rsidRPr="0071319B" w:rsidRDefault="000635CE" w:rsidP="0071319B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Nije primijećena povećana sklonost krvarenju kod starijih lica koja su primala lijek 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profilaktičkom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rasponu doza. Stariji pacijenti (posebno pacijenti od osamdeset godina i stariji) mogu biti pod povećanim rizikom od pojave</w:t>
      </w:r>
      <w:r w:rsidR="00683ABA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hemoragijskih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komplikacija kod terapijskog raspona doziranja. Savjetuje se pažljivo kliničko praćenje, a treba razmotriti i redukciju doza kod pacijenata starijih od 75 godina na terapiji zbog STEMI (</w:t>
      </w:r>
      <w:r w:rsidR="00842EC8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vidjeti </w:t>
      </w:r>
      <w:r w:rsidR="00F30D6A">
        <w:rPr>
          <w:rFonts w:asciiTheme="majorBidi" w:hAnsiTheme="majorBidi" w:cstheme="majorBidi"/>
          <w:sz w:val="22"/>
          <w:szCs w:val="22"/>
          <w:lang w:val="sr-Latn-ME"/>
        </w:rPr>
        <w:t>djelove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4.2 i 5.2).</w:t>
      </w:r>
    </w:p>
    <w:p w14:paraId="301EC2CC" w14:textId="77777777" w:rsidR="000635CE" w:rsidRPr="0071319B" w:rsidRDefault="000635CE" w:rsidP="000635CE">
      <w:pPr>
        <w:widowControl w:val="0"/>
        <w:autoSpaceDE w:val="0"/>
        <w:autoSpaceDN w:val="0"/>
        <w:spacing w:before="5"/>
        <w:rPr>
          <w:rFonts w:asciiTheme="majorBidi" w:hAnsiTheme="majorBidi" w:cstheme="majorBidi"/>
          <w:sz w:val="22"/>
          <w:szCs w:val="22"/>
          <w:lang w:val="sr-Latn-ME"/>
        </w:rPr>
      </w:pPr>
    </w:p>
    <w:p w14:paraId="2723DDB5" w14:textId="77777777" w:rsidR="00C3670A" w:rsidRPr="0071319B" w:rsidRDefault="000635CE" w:rsidP="000635CE">
      <w:pPr>
        <w:widowControl w:val="0"/>
        <w:numPr>
          <w:ilvl w:val="2"/>
          <w:numId w:val="12"/>
        </w:numPr>
        <w:tabs>
          <w:tab w:val="left" w:pos="953"/>
        </w:tabs>
        <w:autoSpaceDE w:val="0"/>
        <w:autoSpaceDN w:val="0"/>
        <w:spacing w:before="1"/>
        <w:ind w:left="952" w:hanging="361"/>
        <w:outlineLvl w:val="1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Oštećenje funkcije</w:t>
      </w:r>
      <w:r w:rsidRPr="0071319B">
        <w:rPr>
          <w:rFonts w:asciiTheme="majorBidi" w:hAnsiTheme="majorBidi" w:cstheme="majorBidi"/>
          <w:i/>
          <w:spacing w:val="-2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bubrega</w:t>
      </w:r>
      <w:r w:rsidR="00C3670A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14:paraId="25FD3B2D" w14:textId="0F0BC100" w:rsidR="000635CE" w:rsidRPr="0071319B" w:rsidRDefault="000635CE" w:rsidP="0071319B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Kod pacijenata sa oštećenom funkcijom bubrega, postoji povećana izloženost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natrijumu što povećava rizik od krvarenja. Kod ovih pacijenata se savjetuje pažljiv klinički nadzor, a potrebno je razmotriti i primjenu biološkog monitoringa utvrđivanjem anti-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Xa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aktivnosti (vidjeti </w:t>
      </w:r>
      <w:r w:rsidR="00F30D6A">
        <w:rPr>
          <w:rFonts w:asciiTheme="majorBidi" w:hAnsiTheme="majorBidi" w:cstheme="majorBidi"/>
          <w:sz w:val="22"/>
          <w:szCs w:val="22"/>
          <w:lang w:val="sr-Latn-ME"/>
        </w:rPr>
        <w:t>djelov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e 4.2 i 5.2)</w:t>
      </w:r>
    </w:p>
    <w:p w14:paraId="7ED3FFB1" w14:textId="77777777" w:rsidR="000635CE" w:rsidRPr="0071319B" w:rsidRDefault="000635CE" w:rsidP="0071319B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Primjena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se ne preporučuje kod pacijenata u terminalnoj fazi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renalne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bolesti (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klirens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kreatinina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&lt;15 </w:t>
      </w:r>
      <w:r w:rsidR="00444F6E" w:rsidRPr="0071319B">
        <w:rPr>
          <w:rFonts w:asciiTheme="majorBidi" w:hAnsiTheme="majorBidi" w:cstheme="majorBidi"/>
          <w:sz w:val="22"/>
          <w:szCs w:val="22"/>
          <w:lang w:val="sr-Latn-ME"/>
        </w:rPr>
        <w:t>ml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/min) zbog nedostatka podataka za ovu populaciju van primjene u prevenciji tromboze 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ekstrakorporalnoj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cirkulaciji tokom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hemodijalize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26051B0B" w14:textId="50F7DE69" w:rsidR="000635CE" w:rsidRPr="0071319B" w:rsidRDefault="000635CE" w:rsidP="0071319B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Kako je izloženost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natrijumu značajno povećana kod pacijenata sa teškim oštećenjem funkcije bubrega (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klirens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kreatinina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15-30 </w:t>
      </w:r>
      <w:r w:rsidR="00444F6E" w:rsidRPr="0071319B">
        <w:rPr>
          <w:rFonts w:asciiTheme="majorBidi" w:hAnsiTheme="majorBidi" w:cstheme="majorBidi"/>
          <w:sz w:val="22"/>
          <w:szCs w:val="22"/>
          <w:lang w:val="sr-Latn-ME"/>
        </w:rPr>
        <w:t>ml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/min), preporučuje se prilagođavanje doze za terapeutske 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profilaktičke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raspone doza (vidjeti </w:t>
      </w:r>
      <w:r w:rsidR="00F30D6A">
        <w:rPr>
          <w:rFonts w:asciiTheme="majorBidi" w:hAnsiTheme="majorBidi" w:cstheme="majorBidi"/>
          <w:sz w:val="22"/>
          <w:szCs w:val="22"/>
          <w:lang w:val="sr-Latn-ME"/>
        </w:rPr>
        <w:t>di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o 4.2).</w:t>
      </w:r>
    </w:p>
    <w:p w14:paraId="2CEB44A5" w14:textId="77777777" w:rsidR="000635CE" w:rsidRPr="0071319B" w:rsidRDefault="000635CE" w:rsidP="0071319B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Ne preporučuje se prilagođavanje doza kod pacijenata sa umjerenim (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klirens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kreatinina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30-50 </w:t>
      </w:r>
      <w:r w:rsidR="00444F6E" w:rsidRPr="0071319B">
        <w:rPr>
          <w:rFonts w:asciiTheme="majorBidi" w:hAnsiTheme="majorBidi" w:cstheme="majorBidi"/>
          <w:sz w:val="22"/>
          <w:szCs w:val="22"/>
          <w:lang w:val="sr-Latn-ME"/>
        </w:rPr>
        <w:t>ml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/min) i blagim (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klirens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kreatinina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50-80 </w:t>
      </w:r>
      <w:r w:rsidR="00444F6E" w:rsidRPr="0071319B">
        <w:rPr>
          <w:rFonts w:asciiTheme="majorBidi" w:hAnsiTheme="majorBidi" w:cstheme="majorBidi"/>
          <w:sz w:val="22"/>
          <w:szCs w:val="22"/>
          <w:lang w:val="sr-Latn-ME"/>
        </w:rPr>
        <w:t>ml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/min) oštećenjem funkcije bubrega.</w:t>
      </w:r>
    </w:p>
    <w:p w14:paraId="58B54B00" w14:textId="77777777" w:rsidR="000635CE" w:rsidRPr="0071319B" w:rsidRDefault="000635CE" w:rsidP="000635CE">
      <w:pPr>
        <w:widowControl w:val="0"/>
        <w:autoSpaceDE w:val="0"/>
        <w:autoSpaceDN w:val="0"/>
        <w:spacing w:before="9"/>
        <w:rPr>
          <w:rFonts w:asciiTheme="majorBidi" w:hAnsiTheme="majorBidi" w:cstheme="majorBidi"/>
          <w:sz w:val="22"/>
          <w:szCs w:val="22"/>
          <w:lang w:val="sr-Latn-ME"/>
        </w:rPr>
      </w:pPr>
    </w:p>
    <w:p w14:paraId="3E0B2FC4" w14:textId="77777777" w:rsidR="000635CE" w:rsidRPr="0071319B" w:rsidRDefault="000635CE" w:rsidP="000635CE">
      <w:pPr>
        <w:widowControl w:val="0"/>
        <w:numPr>
          <w:ilvl w:val="2"/>
          <w:numId w:val="12"/>
        </w:numPr>
        <w:tabs>
          <w:tab w:val="left" w:pos="953"/>
        </w:tabs>
        <w:autoSpaceDE w:val="0"/>
        <w:autoSpaceDN w:val="0"/>
        <w:spacing w:line="302" w:lineRule="exact"/>
        <w:ind w:left="952" w:hanging="361"/>
        <w:outlineLvl w:val="1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Oštećenje funkcije</w:t>
      </w:r>
      <w:r w:rsidRPr="0071319B">
        <w:rPr>
          <w:rFonts w:asciiTheme="majorBidi" w:hAnsiTheme="majorBidi" w:cstheme="majorBidi"/>
          <w:i/>
          <w:spacing w:val="1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jetre</w:t>
      </w:r>
    </w:p>
    <w:p w14:paraId="4E345A34" w14:textId="501C51F0" w:rsidR="000635CE" w:rsidRPr="0071319B" w:rsidRDefault="000635CE" w:rsidP="0071319B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Kod pacijenata sa oštećenom funkcijom jetre,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 treba primjenjivati oprezno zbog povećanog potencijala krvarenja. Prilagođavanje doza zasnovano na praćenju nivoa anti-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Xa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je nepouzdano kod pacijenata sa cirozom jetre, pa se stoga ne preporučuje (vidjeti </w:t>
      </w:r>
      <w:r w:rsidR="00F30D6A">
        <w:rPr>
          <w:rFonts w:asciiTheme="majorBidi" w:hAnsiTheme="majorBidi" w:cstheme="majorBidi"/>
          <w:sz w:val="22"/>
          <w:szCs w:val="22"/>
          <w:lang w:val="sr-Latn-ME"/>
        </w:rPr>
        <w:t>di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o 5.2).</w:t>
      </w:r>
    </w:p>
    <w:p w14:paraId="49755B3A" w14:textId="77777777" w:rsidR="000635CE" w:rsidRPr="0071319B" w:rsidRDefault="000635CE" w:rsidP="000635CE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36398DD9" w14:textId="77777777" w:rsidR="00C3670A" w:rsidRPr="0071319B" w:rsidRDefault="000635CE" w:rsidP="000635CE">
      <w:pPr>
        <w:widowControl w:val="0"/>
        <w:numPr>
          <w:ilvl w:val="2"/>
          <w:numId w:val="12"/>
        </w:numPr>
        <w:tabs>
          <w:tab w:val="left" w:pos="953"/>
        </w:tabs>
        <w:autoSpaceDE w:val="0"/>
        <w:autoSpaceDN w:val="0"/>
        <w:spacing w:before="87"/>
        <w:ind w:left="952" w:hanging="361"/>
        <w:outlineLvl w:val="1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Mala tjelesna masa</w:t>
      </w:r>
      <w:r w:rsidR="00C3670A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14:paraId="59038623" w14:textId="6BE8801D" w:rsidR="000635CE" w:rsidRPr="0071319B" w:rsidRDefault="000635CE" w:rsidP="0071319B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Primijećeno je povećanje izloženosti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natrijumu kod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profilaktičkih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doza (neprilagođenim prema tjelesnoj masi) kod žena sa manjom tjelesnom masom (&lt;</w:t>
      </w:r>
      <w:r w:rsidR="00683ABA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45 kg) i muškaraca sa manjom</w:t>
      </w:r>
      <w:r w:rsidR="00A57D9B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tjelesnom masom (&lt;</w:t>
      </w:r>
      <w:r w:rsidR="00683ABA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57 kg), koja može dovesti do većeg rizika od krvarenja. Stoga se savjetuje pažljivo kliničko praćenje kod ovih pacijenata (vidjeti </w:t>
      </w:r>
      <w:r w:rsidR="00F30D6A">
        <w:rPr>
          <w:rFonts w:asciiTheme="majorBidi" w:hAnsiTheme="majorBidi" w:cstheme="majorBidi"/>
          <w:sz w:val="22"/>
          <w:szCs w:val="22"/>
          <w:lang w:val="sr-Latn-ME"/>
        </w:rPr>
        <w:t>dio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5.2)</w:t>
      </w:r>
      <w:r w:rsidR="0071319B" w:rsidRPr="0071319B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773DD16A" w14:textId="77777777" w:rsidR="0071319B" w:rsidRPr="0071319B" w:rsidRDefault="0071319B" w:rsidP="0071319B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1997D482" w14:textId="77777777" w:rsidR="000635CE" w:rsidRPr="0071319B" w:rsidRDefault="000635CE" w:rsidP="000635CE">
      <w:pPr>
        <w:widowControl w:val="0"/>
        <w:numPr>
          <w:ilvl w:val="2"/>
          <w:numId w:val="12"/>
        </w:numPr>
        <w:tabs>
          <w:tab w:val="left" w:pos="953"/>
        </w:tabs>
        <w:autoSpaceDE w:val="0"/>
        <w:autoSpaceDN w:val="0"/>
        <w:spacing w:before="1"/>
        <w:ind w:left="952" w:hanging="361"/>
        <w:outlineLvl w:val="1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Gojazni</w:t>
      </w:r>
      <w:r w:rsidRPr="0071319B">
        <w:rPr>
          <w:rFonts w:asciiTheme="majorBidi" w:hAnsiTheme="majorBidi" w:cstheme="majorBidi"/>
          <w:i/>
          <w:spacing w:val="-1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pacijenti</w:t>
      </w:r>
    </w:p>
    <w:p w14:paraId="70C04296" w14:textId="3069BBBA" w:rsidR="000635CE" w:rsidRPr="0071319B" w:rsidRDefault="000635CE" w:rsidP="0071319B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Gojazni pacijenti su izloženi većem riziku od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tromboembolije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 Bezbjednost i efikasnost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profilaktičkih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doza kod gojaznih pacijenata (BMI</w:t>
      </w:r>
      <w:r w:rsidR="00683ABA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&gt;30 kg/m2) nije ustanovljena u potpunosti i nema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koncenzusa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oko prilagođavanja doze. Kod ovih pacijenata treba obratiti posebnu pažnju na pojavu znaka i simptoma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tromboembolije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1AC759A6" w14:textId="77777777" w:rsidR="000635CE" w:rsidRPr="0071319B" w:rsidRDefault="000635CE" w:rsidP="000635CE">
      <w:pPr>
        <w:widowControl w:val="0"/>
        <w:autoSpaceDE w:val="0"/>
        <w:autoSpaceDN w:val="0"/>
        <w:spacing w:before="5"/>
        <w:rPr>
          <w:rFonts w:asciiTheme="majorBidi" w:hAnsiTheme="majorBidi" w:cstheme="majorBidi"/>
          <w:sz w:val="22"/>
          <w:szCs w:val="22"/>
          <w:lang w:val="sr-Latn-ME"/>
        </w:rPr>
      </w:pPr>
    </w:p>
    <w:p w14:paraId="6CC6F12C" w14:textId="379FE2A6" w:rsidR="000635CE" w:rsidRPr="0071319B" w:rsidRDefault="000635CE" w:rsidP="000635CE">
      <w:pPr>
        <w:widowControl w:val="0"/>
        <w:numPr>
          <w:ilvl w:val="2"/>
          <w:numId w:val="12"/>
        </w:numPr>
        <w:tabs>
          <w:tab w:val="left" w:pos="953"/>
        </w:tabs>
        <w:autoSpaceDE w:val="0"/>
        <w:autoSpaceDN w:val="0"/>
        <w:spacing w:line="302" w:lineRule="exact"/>
        <w:ind w:left="952" w:hanging="361"/>
        <w:outlineLvl w:val="1"/>
        <w:rPr>
          <w:rFonts w:asciiTheme="majorBidi" w:hAnsiTheme="majorBidi" w:cstheme="majorBidi"/>
          <w:i/>
          <w:sz w:val="22"/>
          <w:szCs w:val="22"/>
          <w:lang w:val="sr-Latn-ME"/>
        </w:rPr>
      </w:pPr>
      <w:proofErr w:type="spellStart"/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Hiperkal</w:t>
      </w:r>
      <w:r w:rsidR="00683ABA">
        <w:rPr>
          <w:rFonts w:asciiTheme="majorBidi" w:hAnsiTheme="majorBidi" w:cstheme="majorBidi"/>
          <w:i/>
          <w:sz w:val="22"/>
          <w:szCs w:val="22"/>
          <w:lang w:val="sr-Latn-ME"/>
        </w:rPr>
        <w:t>ij</w:t>
      </w: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emija</w:t>
      </w:r>
      <w:proofErr w:type="spellEnd"/>
    </w:p>
    <w:p w14:paraId="271F03D8" w14:textId="7E33D6CB" w:rsidR="000635CE" w:rsidRPr="0071319B" w:rsidRDefault="000635CE" w:rsidP="0071319B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može da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suprimira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lučenje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aldosterona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iz nadbubrežne žl</w:t>
      </w:r>
      <w:r w:rsidR="00002C97" w:rsidRPr="0071319B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ezde što dovodi do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hiperkal</w:t>
      </w:r>
      <w:r w:rsidR="00683ABA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emije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(vidjeti </w:t>
      </w:r>
      <w:r w:rsidR="00F30D6A">
        <w:rPr>
          <w:rFonts w:asciiTheme="majorBidi" w:hAnsiTheme="majorBidi" w:cstheme="majorBidi"/>
          <w:sz w:val="22"/>
          <w:szCs w:val="22"/>
          <w:lang w:val="sr-Latn-ME"/>
        </w:rPr>
        <w:t xml:space="preserve">dio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4.8), posebno kod pacijenata kao što su oni koji imaju dijabetes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meltus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, hroničnu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renalnu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insuficijenciju, prethodno postojeću metaboličku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acidozu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ili uzimaju ljekove koji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štede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kalijum (vidjeti </w:t>
      </w:r>
      <w:r w:rsidR="00F30D6A">
        <w:rPr>
          <w:rFonts w:asciiTheme="majorBidi" w:hAnsiTheme="majorBidi" w:cstheme="majorBidi"/>
          <w:sz w:val="22"/>
          <w:szCs w:val="22"/>
          <w:lang w:val="sr-Latn-ME"/>
        </w:rPr>
        <w:t xml:space="preserve">dio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4.5). Vrijednost kalijuma u plazmi treba određivati redovno, posebno kod pacijenata pod rizikom.</w:t>
      </w:r>
    </w:p>
    <w:p w14:paraId="6BE34DCF" w14:textId="77777777" w:rsidR="000635CE" w:rsidRPr="0071319B" w:rsidRDefault="000635CE" w:rsidP="000635CE">
      <w:pPr>
        <w:widowControl w:val="0"/>
        <w:numPr>
          <w:ilvl w:val="2"/>
          <w:numId w:val="12"/>
        </w:numPr>
        <w:tabs>
          <w:tab w:val="left" w:pos="953"/>
        </w:tabs>
        <w:autoSpaceDE w:val="0"/>
        <w:autoSpaceDN w:val="0"/>
        <w:spacing w:before="122" w:line="302" w:lineRule="exact"/>
        <w:ind w:left="952" w:hanging="361"/>
        <w:outlineLvl w:val="1"/>
        <w:rPr>
          <w:rFonts w:asciiTheme="majorBidi" w:hAnsiTheme="majorBidi" w:cstheme="majorBidi"/>
          <w:i/>
          <w:sz w:val="22"/>
          <w:szCs w:val="22"/>
          <w:lang w:val="sr-Latn-ME"/>
        </w:rPr>
      </w:pPr>
      <w:proofErr w:type="spellStart"/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Sl</w:t>
      </w:r>
      <w:r w:rsidR="00002C97" w:rsidRPr="0071319B">
        <w:rPr>
          <w:rFonts w:asciiTheme="majorBidi" w:hAnsiTheme="majorBidi" w:cstheme="majorBidi"/>
          <w:i/>
          <w:sz w:val="22"/>
          <w:szCs w:val="22"/>
          <w:lang w:val="sr-Latn-ME"/>
        </w:rPr>
        <w:t>j</w:t>
      </w: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edljivost</w:t>
      </w:r>
      <w:proofErr w:type="spellEnd"/>
    </w:p>
    <w:p w14:paraId="0A2CDDF6" w14:textId="63EE9844" w:rsidR="000635CE" w:rsidRPr="0071319B" w:rsidRDefault="000635CE" w:rsidP="0071319B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Niskomolekul</w:t>
      </w:r>
      <w:r w:rsidR="006136FF">
        <w:rPr>
          <w:rFonts w:asciiTheme="majorBidi" w:hAnsiTheme="majorBidi" w:cstheme="majorBidi"/>
          <w:sz w:val="22"/>
          <w:szCs w:val="22"/>
          <w:lang w:val="sr-Latn-ME"/>
        </w:rPr>
        <w:t>ski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heparini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su biološki proizvodi. Da bi se unaprijedila mogućnost praćenja njihove upotrebe, zdravstvenim radnicima se preporučuje da upišu zaštićeno ime i broj serije primijenjenog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niskomolekul</w:t>
      </w:r>
      <w:r w:rsidR="006136FF">
        <w:rPr>
          <w:rFonts w:asciiTheme="majorBidi" w:hAnsiTheme="majorBidi" w:cstheme="majorBidi"/>
          <w:sz w:val="22"/>
          <w:szCs w:val="22"/>
          <w:lang w:val="sr-Latn-ME"/>
        </w:rPr>
        <w:t>skog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heparina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u karton pacijenta.</w:t>
      </w:r>
    </w:p>
    <w:p w14:paraId="764BDF3C" w14:textId="77777777" w:rsidR="00A57D9B" w:rsidRPr="0071319B" w:rsidRDefault="00C26DF5" w:rsidP="00C26DF5">
      <w:pPr>
        <w:pStyle w:val="ListParagraph"/>
        <w:widowControl w:val="0"/>
        <w:numPr>
          <w:ilvl w:val="0"/>
          <w:numId w:val="34"/>
        </w:numPr>
        <w:tabs>
          <w:tab w:val="left" w:pos="953"/>
        </w:tabs>
        <w:autoSpaceDE w:val="0"/>
        <w:autoSpaceDN w:val="0"/>
        <w:spacing w:before="122" w:line="302" w:lineRule="exact"/>
        <w:outlineLvl w:val="1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Natrijum</w:t>
      </w:r>
      <w:r w:rsidR="00A57D9B" w:rsidRPr="0071319B">
        <w:rPr>
          <w:rFonts w:asciiTheme="majorBidi" w:hAnsiTheme="majorBidi" w:cstheme="majorBidi"/>
          <w:i/>
          <w:sz w:val="22"/>
          <w:szCs w:val="22"/>
          <w:lang w:val="sr-Latn-ME"/>
        </w:rPr>
        <w:t xml:space="preserve"> </w:t>
      </w:r>
    </w:p>
    <w:p w14:paraId="57BFFBD4" w14:textId="27F717CB" w:rsidR="00842EC8" w:rsidRDefault="008441CF" w:rsidP="0071319B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>
        <w:rPr>
          <w:rFonts w:asciiTheme="majorBidi" w:hAnsiTheme="majorBidi" w:cstheme="majorBidi"/>
          <w:sz w:val="22"/>
          <w:szCs w:val="22"/>
          <w:lang w:val="sr-Latn-ME"/>
        </w:rPr>
        <w:t>O</w:t>
      </w:r>
      <w:r w:rsidR="00C26DF5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vaj lijek sadrži </w:t>
      </w:r>
      <w:r>
        <w:rPr>
          <w:rFonts w:asciiTheme="majorBidi" w:hAnsiTheme="majorBidi" w:cstheme="majorBidi"/>
          <w:sz w:val="22"/>
          <w:szCs w:val="22"/>
          <w:lang w:val="sr-Latn-ME"/>
        </w:rPr>
        <w:t>manje</w:t>
      </w:r>
      <w:r w:rsidR="00C26DF5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od </w:t>
      </w:r>
      <w:r>
        <w:rPr>
          <w:rFonts w:asciiTheme="majorBidi" w:hAnsiTheme="majorBidi" w:cstheme="majorBidi"/>
          <w:sz w:val="22"/>
          <w:szCs w:val="22"/>
          <w:lang w:val="sr-Latn-ME"/>
        </w:rPr>
        <w:t xml:space="preserve">1 </w:t>
      </w:r>
      <w:proofErr w:type="spellStart"/>
      <w:r>
        <w:rPr>
          <w:rFonts w:asciiTheme="majorBidi" w:hAnsiTheme="majorBidi" w:cstheme="majorBidi"/>
          <w:sz w:val="22"/>
          <w:szCs w:val="22"/>
          <w:lang w:val="sr-Latn-ME"/>
        </w:rPr>
        <w:t>mmol</w:t>
      </w:r>
      <w:proofErr w:type="spellEnd"/>
      <w:r>
        <w:rPr>
          <w:rFonts w:asciiTheme="majorBidi" w:hAnsiTheme="majorBidi" w:cstheme="majorBidi"/>
          <w:sz w:val="22"/>
          <w:szCs w:val="22"/>
          <w:lang w:val="sr-Latn-ME"/>
        </w:rPr>
        <w:t xml:space="preserve"> (</w:t>
      </w:r>
      <w:r w:rsidR="00C26DF5" w:rsidRPr="0071319B">
        <w:rPr>
          <w:rFonts w:asciiTheme="majorBidi" w:hAnsiTheme="majorBidi" w:cstheme="majorBidi"/>
          <w:sz w:val="22"/>
          <w:szCs w:val="22"/>
          <w:lang w:val="sr-Latn-ME"/>
        </w:rPr>
        <w:t>2</w:t>
      </w:r>
      <w:r>
        <w:rPr>
          <w:rFonts w:asciiTheme="majorBidi" w:hAnsiTheme="majorBidi" w:cstheme="majorBidi"/>
          <w:sz w:val="22"/>
          <w:szCs w:val="22"/>
          <w:lang w:val="sr-Latn-ME"/>
        </w:rPr>
        <w:t>3</w:t>
      </w:r>
      <w:r w:rsidR="00C26DF5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mg</w:t>
      </w:r>
      <w:r>
        <w:rPr>
          <w:rFonts w:asciiTheme="majorBidi" w:hAnsiTheme="majorBidi" w:cstheme="majorBidi"/>
          <w:sz w:val="22"/>
          <w:szCs w:val="22"/>
          <w:lang w:val="sr-Latn-ME"/>
        </w:rPr>
        <w:t>)</w:t>
      </w:r>
      <w:r w:rsidR="00C26DF5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</w:t>
      </w:r>
      <w:r>
        <w:rPr>
          <w:rFonts w:asciiTheme="majorBidi" w:hAnsiTheme="majorBidi" w:cstheme="majorBidi"/>
          <w:sz w:val="22"/>
          <w:szCs w:val="22"/>
          <w:lang w:val="sr-Latn-ME"/>
        </w:rPr>
        <w:t>po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C26DF5" w:rsidRPr="0071319B">
        <w:rPr>
          <w:rFonts w:asciiTheme="majorBidi" w:hAnsiTheme="majorBidi" w:cstheme="majorBidi"/>
          <w:sz w:val="22"/>
          <w:szCs w:val="22"/>
          <w:lang w:val="sr-Latn-ME"/>
        </w:rPr>
        <w:t>dozi</w:t>
      </w:r>
      <w:r>
        <w:rPr>
          <w:rFonts w:asciiTheme="majorBidi" w:hAnsiTheme="majorBidi" w:cstheme="majorBidi"/>
          <w:sz w:val="22"/>
          <w:szCs w:val="22"/>
          <w:lang w:val="sr-Latn-ME"/>
        </w:rPr>
        <w:t>, što znači da je praktično bez natrijuma</w:t>
      </w:r>
      <w:r w:rsidR="00C26DF5" w:rsidRPr="0071319B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7B2CD7BE" w14:textId="53545EA4" w:rsidR="00A04E4C" w:rsidRDefault="00A313D8" w:rsidP="00A04E4C">
      <w:pPr>
        <w:pStyle w:val="ListParagraph"/>
        <w:widowControl w:val="0"/>
        <w:numPr>
          <w:ilvl w:val="0"/>
          <w:numId w:val="34"/>
        </w:numPr>
        <w:tabs>
          <w:tab w:val="left" w:pos="953"/>
        </w:tabs>
        <w:autoSpaceDE w:val="0"/>
        <w:autoSpaceDN w:val="0"/>
        <w:spacing w:before="122" w:line="302" w:lineRule="exact"/>
        <w:outlineLvl w:val="1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A04E4C">
        <w:rPr>
          <w:rFonts w:asciiTheme="majorBidi" w:hAnsiTheme="majorBidi" w:cstheme="majorBidi"/>
          <w:i/>
          <w:sz w:val="22"/>
          <w:szCs w:val="22"/>
          <w:lang w:val="sr-Latn-ME"/>
        </w:rPr>
        <w:t xml:space="preserve">Akutna generalizovana </w:t>
      </w:r>
      <w:proofErr w:type="spellStart"/>
      <w:r w:rsidRPr="00A04E4C">
        <w:rPr>
          <w:rFonts w:asciiTheme="majorBidi" w:hAnsiTheme="majorBidi" w:cstheme="majorBidi"/>
          <w:i/>
          <w:sz w:val="22"/>
          <w:szCs w:val="22"/>
          <w:lang w:val="sr-Latn-ME"/>
        </w:rPr>
        <w:t>egzantematozna</w:t>
      </w:r>
      <w:proofErr w:type="spellEnd"/>
      <w:r w:rsidRPr="00A04E4C">
        <w:rPr>
          <w:rFonts w:asciiTheme="majorBidi" w:hAnsiTheme="majorBidi" w:cstheme="majorBidi"/>
          <w:i/>
          <w:sz w:val="22"/>
          <w:szCs w:val="22"/>
          <w:lang w:val="sr-Latn-ME"/>
        </w:rPr>
        <w:t xml:space="preserve"> </w:t>
      </w:r>
      <w:proofErr w:type="spellStart"/>
      <w:r w:rsidRPr="00A04E4C">
        <w:rPr>
          <w:rFonts w:asciiTheme="majorBidi" w:hAnsiTheme="majorBidi" w:cstheme="majorBidi"/>
          <w:i/>
          <w:sz w:val="22"/>
          <w:szCs w:val="22"/>
          <w:lang w:val="sr-Latn-ME"/>
        </w:rPr>
        <w:t>pustuloza</w:t>
      </w:r>
      <w:proofErr w:type="spellEnd"/>
      <w:r w:rsidRPr="00A04E4C">
        <w:rPr>
          <w:rFonts w:asciiTheme="majorBidi" w:hAnsiTheme="majorBidi" w:cstheme="majorBidi"/>
          <w:i/>
          <w:sz w:val="22"/>
          <w:szCs w:val="22"/>
          <w:lang w:val="sr-Latn-ME"/>
        </w:rPr>
        <w:t xml:space="preserve"> (AGEP)</w:t>
      </w:r>
    </w:p>
    <w:p w14:paraId="025D8B2A" w14:textId="77777777" w:rsidR="00002C97" w:rsidRPr="00A04E4C" w:rsidRDefault="00A313D8" w:rsidP="003207FF">
      <w:pPr>
        <w:widowControl w:val="0"/>
        <w:tabs>
          <w:tab w:val="left" w:pos="953"/>
        </w:tabs>
        <w:autoSpaceDE w:val="0"/>
        <w:autoSpaceDN w:val="0"/>
        <w:spacing w:line="302" w:lineRule="exact"/>
        <w:jc w:val="both"/>
        <w:outlineLvl w:val="1"/>
        <w:rPr>
          <w:rFonts w:asciiTheme="majorBidi" w:hAnsiTheme="majorBidi" w:cstheme="majorBidi"/>
          <w:sz w:val="22"/>
          <w:szCs w:val="22"/>
          <w:lang w:val="sr-Latn-ME"/>
        </w:rPr>
      </w:pPr>
      <w:r w:rsidRPr="00A04E4C">
        <w:rPr>
          <w:rFonts w:asciiTheme="majorBidi" w:hAnsiTheme="majorBidi" w:cstheme="majorBidi"/>
          <w:sz w:val="22"/>
          <w:szCs w:val="22"/>
          <w:lang w:val="sr-Latn-ME"/>
        </w:rPr>
        <w:t>Prijavljen</w:t>
      </w:r>
      <w:r w:rsidR="00D93E45" w:rsidRPr="00A04E4C">
        <w:rPr>
          <w:rFonts w:asciiTheme="majorBidi" w:hAnsiTheme="majorBidi" w:cstheme="majorBidi"/>
          <w:sz w:val="22"/>
          <w:szCs w:val="22"/>
          <w:lang w:val="sr-Latn-ME"/>
        </w:rPr>
        <w:t>i</w:t>
      </w:r>
      <w:r w:rsidRPr="00A04E4C">
        <w:rPr>
          <w:rFonts w:asciiTheme="majorBidi" w:hAnsiTheme="majorBidi" w:cstheme="majorBidi"/>
          <w:sz w:val="22"/>
          <w:szCs w:val="22"/>
          <w:lang w:val="sr-Latn-ME"/>
        </w:rPr>
        <w:t xml:space="preserve"> su slučajevi akutne generalizovane </w:t>
      </w:r>
      <w:proofErr w:type="spellStart"/>
      <w:r w:rsidRPr="00A04E4C">
        <w:rPr>
          <w:rFonts w:asciiTheme="majorBidi" w:hAnsiTheme="majorBidi" w:cstheme="majorBidi"/>
          <w:sz w:val="22"/>
          <w:szCs w:val="22"/>
          <w:lang w:val="sr-Latn-ME"/>
        </w:rPr>
        <w:t>egzantematozne</w:t>
      </w:r>
      <w:proofErr w:type="spellEnd"/>
      <w:r w:rsidRPr="00A04E4C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A04E4C">
        <w:rPr>
          <w:rFonts w:asciiTheme="majorBidi" w:hAnsiTheme="majorBidi" w:cstheme="majorBidi"/>
          <w:sz w:val="22"/>
          <w:szCs w:val="22"/>
          <w:lang w:val="sr-Latn-ME"/>
        </w:rPr>
        <w:t>pustuloze</w:t>
      </w:r>
      <w:proofErr w:type="spellEnd"/>
      <w:r w:rsidRPr="00A04E4C">
        <w:rPr>
          <w:rFonts w:asciiTheme="majorBidi" w:hAnsiTheme="majorBidi" w:cstheme="majorBidi"/>
          <w:sz w:val="22"/>
          <w:szCs w:val="22"/>
          <w:lang w:val="sr-Latn-ME"/>
        </w:rPr>
        <w:t xml:space="preserve"> (AGEP)</w:t>
      </w:r>
      <w:r w:rsidR="00D93E45" w:rsidRPr="00A04E4C">
        <w:rPr>
          <w:rFonts w:asciiTheme="majorBidi" w:hAnsiTheme="majorBidi" w:cstheme="majorBidi"/>
          <w:sz w:val="22"/>
          <w:szCs w:val="22"/>
          <w:lang w:val="sr-Latn-ME"/>
        </w:rPr>
        <w:t xml:space="preserve">, </w:t>
      </w:r>
      <w:r w:rsidRPr="00A04E4C">
        <w:rPr>
          <w:rFonts w:asciiTheme="majorBidi" w:hAnsiTheme="majorBidi" w:cstheme="majorBidi"/>
          <w:sz w:val="22"/>
          <w:szCs w:val="22"/>
          <w:lang w:val="sr-Latn-ME"/>
        </w:rPr>
        <w:t xml:space="preserve">nepoznate učestalosti, povezani sa </w:t>
      </w:r>
      <w:r w:rsidR="00D93E45" w:rsidRPr="00A04E4C">
        <w:rPr>
          <w:rFonts w:asciiTheme="majorBidi" w:hAnsiTheme="majorBidi" w:cstheme="majorBidi"/>
          <w:sz w:val="22"/>
          <w:szCs w:val="22"/>
          <w:lang w:val="sr-Latn-ME"/>
        </w:rPr>
        <w:t xml:space="preserve">primjenom </w:t>
      </w:r>
      <w:proofErr w:type="spellStart"/>
      <w:r w:rsidR="00D93E45" w:rsidRPr="00A04E4C">
        <w:rPr>
          <w:rFonts w:asciiTheme="majorBidi" w:hAnsiTheme="majorBidi" w:cstheme="majorBidi"/>
          <w:sz w:val="22"/>
          <w:szCs w:val="22"/>
          <w:lang w:val="sr-Latn-ME"/>
        </w:rPr>
        <w:t>enoksaparina</w:t>
      </w:r>
      <w:proofErr w:type="spellEnd"/>
      <w:r w:rsidRPr="00A04E4C">
        <w:rPr>
          <w:rFonts w:asciiTheme="majorBidi" w:hAnsiTheme="majorBidi" w:cstheme="majorBidi"/>
          <w:sz w:val="22"/>
          <w:szCs w:val="22"/>
          <w:lang w:val="sr-Latn-ME"/>
        </w:rPr>
        <w:t xml:space="preserve">. U vrijeme propisivanja lijeka potrebno je obavijestiti </w:t>
      </w:r>
      <w:r w:rsidR="00D93E45" w:rsidRPr="00A04E4C">
        <w:rPr>
          <w:rFonts w:asciiTheme="majorBidi" w:hAnsiTheme="majorBidi" w:cstheme="majorBidi"/>
          <w:sz w:val="22"/>
          <w:szCs w:val="22"/>
          <w:lang w:val="sr-Latn-ME"/>
        </w:rPr>
        <w:t>pacijente</w:t>
      </w:r>
      <w:r w:rsidRPr="00A04E4C">
        <w:rPr>
          <w:rFonts w:asciiTheme="majorBidi" w:hAnsiTheme="majorBidi" w:cstheme="majorBidi"/>
          <w:sz w:val="22"/>
          <w:szCs w:val="22"/>
          <w:lang w:val="sr-Latn-ME"/>
        </w:rPr>
        <w:t xml:space="preserve"> o </w:t>
      </w:r>
      <w:r w:rsidRPr="00A04E4C">
        <w:rPr>
          <w:rFonts w:asciiTheme="majorBidi" w:hAnsiTheme="majorBidi" w:cstheme="majorBidi"/>
          <w:sz w:val="22"/>
          <w:szCs w:val="22"/>
          <w:lang w:val="sr-Latn-ME"/>
        </w:rPr>
        <w:lastRenderedPageBreak/>
        <w:t xml:space="preserve">znakovima i </w:t>
      </w:r>
      <w:r w:rsidR="00D93E45" w:rsidRPr="00A04E4C">
        <w:rPr>
          <w:rFonts w:asciiTheme="majorBidi" w:hAnsiTheme="majorBidi" w:cstheme="majorBidi"/>
          <w:sz w:val="22"/>
          <w:szCs w:val="22"/>
          <w:lang w:val="sr-Latn-ME"/>
        </w:rPr>
        <w:t xml:space="preserve">simptomima, kao </w:t>
      </w:r>
      <w:r w:rsidRPr="00A04E4C">
        <w:rPr>
          <w:rFonts w:asciiTheme="majorBidi" w:hAnsiTheme="majorBidi" w:cstheme="majorBidi"/>
          <w:sz w:val="22"/>
          <w:szCs w:val="22"/>
          <w:lang w:val="sr-Latn-ME"/>
        </w:rPr>
        <w:t xml:space="preserve">i </w:t>
      </w:r>
      <w:r w:rsidR="00D93E45" w:rsidRPr="00A04E4C">
        <w:rPr>
          <w:rFonts w:asciiTheme="majorBidi" w:hAnsiTheme="majorBidi" w:cstheme="majorBidi"/>
          <w:sz w:val="22"/>
          <w:szCs w:val="22"/>
          <w:lang w:val="sr-Latn-ME"/>
        </w:rPr>
        <w:t>pažljivo pratiti reakcije na koži.</w:t>
      </w:r>
      <w:r w:rsidRPr="00A04E4C">
        <w:rPr>
          <w:rFonts w:asciiTheme="majorBidi" w:hAnsiTheme="majorBidi" w:cstheme="majorBidi"/>
          <w:sz w:val="22"/>
          <w:szCs w:val="22"/>
          <w:lang w:val="sr-Latn-ME"/>
        </w:rPr>
        <w:t xml:space="preserve"> Ako se pojave znakovi i simptomi koji upućuju na </w:t>
      </w:r>
      <w:r w:rsidR="00D93E45" w:rsidRPr="00A04E4C">
        <w:rPr>
          <w:rFonts w:asciiTheme="majorBidi" w:hAnsiTheme="majorBidi" w:cstheme="majorBidi"/>
          <w:sz w:val="22"/>
          <w:szCs w:val="22"/>
          <w:lang w:val="sr-Latn-ME"/>
        </w:rPr>
        <w:t>ove</w:t>
      </w:r>
      <w:r w:rsidRPr="00A04E4C">
        <w:rPr>
          <w:rFonts w:asciiTheme="majorBidi" w:hAnsiTheme="majorBidi" w:cstheme="majorBidi"/>
          <w:sz w:val="22"/>
          <w:szCs w:val="22"/>
          <w:lang w:val="sr-Latn-ME"/>
        </w:rPr>
        <w:t xml:space="preserve"> reakcije, potrebno je odmah prekinuti primjenu </w:t>
      </w:r>
      <w:proofErr w:type="spellStart"/>
      <w:r w:rsidRPr="00A04E4C">
        <w:rPr>
          <w:rFonts w:asciiTheme="majorBidi" w:hAnsiTheme="majorBidi" w:cstheme="majorBidi"/>
          <w:sz w:val="22"/>
          <w:szCs w:val="22"/>
          <w:lang w:val="sr-Latn-ME"/>
        </w:rPr>
        <w:t>enoksaparina</w:t>
      </w:r>
      <w:proofErr w:type="spellEnd"/>
      <w:r w:rsidRPr="00A04E4C">
        <w:rPr>
          <w:rFonts w:asciiTheme="majorBidi" w:hAnsiTheme="majorBidi" w:cstheme="majorBidi"/>
          <w:sz w:val="22"/>
          <w:szCs w:val="22"/>
          <w:lang w:val="sr-Latn-ME"/>
        </w:rPr>
        <w:t xml:space="preserve"> i razmotriti </w:t>
      </w:r>
      <w:r w:rsidR="00D93E45" w:rsidRPr="00A04E4C">
        <w:rPr>
          <w:rFonts w:asciiTheme="majorBidi" w:hAnsiTheme="majorBidi" w:cstheme="majorBidi"/>
          <w:sz w:val="22"/>
          <w:szCs w:val="22"/>
          <w:lang w:val="sr-Latn-ME"/>
        </w:rPr>
        <w:t>alternativno</w:t>
      </w:r>
      <w:r w:rsidRPr="00A04E4C">
        <w:rPr>
          <w:rFonts w:asciiTheme="majorBidi" w:hAnsiTheme="majorBidi" w:cstheme="majorBidi"/>
          <w:sz w:val="22"/>
          <w:szCs w:val="22"/>
          <w:lang w:val="sr-Latn-ME"/>
        </w:rPr>
        <w:t xml:space="preserve"> liječenje (</w:t>
      </w:r>
      <w:r w:rsidR="00D93E45" w:rsidRPr="00A04E4C">
        <w:rPr>
          <w:rFonts w:asciiTheme="majorBidi" w:hAnsiTheme="majorBidi" w:cstheme="majorBidi"/>
          <w:sz w:val="22"/>
          <w:szCs w:val="22"/>
          <w:lang w:val="sr-Latn-ME"/>
        </w:rPr>
        <w:t>u skladu sa potrebama</w:t>
      </w:r>
      <w:r w:rsidRPr="00A04E4C">
        <w:rPr>
          <w:rFonts w:asciiTheme="majorBidi" w:hAnsiTheme="majorBidi" w:cstheme="majorBidi"/>
          <w:sz w:val="22"/>
          <w:szCs w:val="22"/>
          <w:lang w:val="sr-Latn-ME"/>
        </w:rPr>
        <w:t>)</w:t>
      </w:r>
      <w:r w:rsidR="00D93E45" w:rsidRPr="00A04E4C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59B0768A" w14:textId="77777777" w:rsidR="00D93E45" w:rsidRPr="00357F8F" w:rsidRDefault="00D93E45" w:rsidP="003207FF">
      <w:pPr>
        <w:widowControl w:val="0"/>
        <w:tabs>
          <w:tab w:val="left" w:pos="953"/>
        </w:tabs>
        <w:autoSpaceDE w:val="0"/>
        <w:autoSpaceDN w:val="0"/>
        <w:spacing w:line="302" w:lineRule="exact"/>
        <w:jc w:val="both"/>
        <w:outlineLvl w:val="1"/>
        <w:rPr>
          <w:sz w:val="22"/>
          <w:szCs w:val="20"/>
          <w:lang w:val="sr-Latn-ME"/>
        </w:rPr>
      </w:pPr>
    </w:p>
    <w:p w14:paraId="61C07362" w14:textId="063F479F" w:rsidR="00411B4B" w:rsidRDefault="00411B4B" w:rsidP="00743062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>4.5.</w:t>
      </w:r>
      <w:r w:rsidR="000D60CC"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>Interakcije sa drugim ljekovima i druge vrste interakcija</w:t>
      </w:r>
    </w:p>
    <w:p w14:paraId="44AB4D11" w14:textId="77777777" w:rsidR="00743062" w:rsidRPr="0071319B" w:rsidRDefault="00743062" w:rsidP="00743062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2F1772FC" w14:textId="77777777" w:rsidR="000635CE" w:rsidRPr="0071319B" w:rsidRDefault="000635CE" w:rsidP="003207FF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Istovremena primjena se ne preporučuje:</w:t>
      </w:r>
    </w:p>
    <w:p w14:paraId="31A2F51B" w14:textId="4D58925A" w:rsidR="000635CE" w:rsidRPr="0071319B" w:rsidRDefault="000635CE" w:rsidP="003207FF">
      <w:pPr>
        <w:widowControl w:val="0"/>
        <w:numPr>
          <w:ilvl w:val="2"/>
          <w:numId w:val="12"/>
        </w:numPr>
        <w:tabs>
          <w:tab w:val="left" w:pos="953"/>
        </w:tabs>
        <w:autoSpaceDE w:val="0"/>
        <w:autoSpaceDN w:val="0"/>
        <w:ind w:left="952" w:hanging="361"/>
        <w:jc w:val="both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 xml:space="preserve">Ljekovi koji utiču na </w:t>
      </w:r>
      <w:proofErr w:type="spellStart"/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hemostazu</w:t>
      </w:r>
      <w:proofErr w:type="spellEnd"/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 xml:space="preserve"> (vidjeti </w:t>
      </w:r>
      <w:r w:rsidR="00F30D6A">
        <w:rPr>
          <w:rFonts w:asciiTheme="majorBidi" w:hAnsiTheme="majorBidi" w:cstheme="majorBidi"/>
          <w:i/>
          <w:sz w:val="22"/>
          <w:szCs w:val="22"/>
          <w:lang w:val="sr-Latn-ME"/>
        </w:rPr>
        <w:t xml:space="preserve">dio </w:t>
      </w:r>
      <w:r w:rsidRPr="0071319B">
        <w:rPr>
          <w:rFonts w:asciiTheme="majorBidi" w:hAnsiTheme="majorBidi" w:cstheme="majorBidi"/>
          <w:i/>
          <w:spacing w:val="-5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i/>
          <w:spacing w:val="-3"/>
          <w:sz w:val="22"/>
          <w:szCs w:val="22"/>
          <w:lang w:val="sr-Latn-ME"/>
        </w:rPr>
        <w:t>4.4)</w:t>
      </w:r>
    </w:p>
    <w:p w14:paraId="53A1D231" w14:textId="77777777" w:rsidR="000635CE" w:rsidRPr="0071319B" w:rsidRDefault="000635CE" w:rsidP="0071319B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Preporučuje se da se primjena ljekova koji utiču na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hemostazu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obustavi prije započinjanja terapije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natrijumom osim ako njihova upotreba nije strogo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indikovana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 Ako se ova kombinacija ne može izbjeći,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 treba koristiti pažljivo uz pažljivo kliničko i laboratorijsko praćenje kada je prikladno. Ovd</w:t>
      </w:r>
      <w:r w:rsidR="003A06B5" w:rsidRPr="0071319B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e spadaju sl</w:t>
      </w:r>
      <w:r w:rsidR="00002C97" w:rsidRPr="0071319B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edeći ljekovi:</w:t>
      </w:r>
    </w:p>
    <w:p w14:paraId="02098349" w14:textId="77777777" w:rsidR="000635CE" w:rsidRPr="0071319B" w:rsidRDefault="00842EC8" w:rsidP="0063021A">
      <w:pPr>
        <w:widowControl w:val="0"/>
        <w:numPr>
          <w:ilvl w:val="0"/>
          <w:numId w:val="16"/>
        </w:numPr>
        <w:tabs>
          <w:tab w:val="left" w:pos="953"/>
        </w:tabs>
        <w:autoSpaceDE w:val="0"/>
        <w:autoSpaceDN w:val="0"/>
        <w:spacing w:before="1"/>
        <w:ind w:right="373"/>
        <w:jc w:val="both"/>
        <w:outlineLvl w:val="0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S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istemski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salicilati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,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acetilsalicilna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kiselina u antiinflamatornim dozama i NSAIL,</w:t>
      </w:r>
      <w:r w:rsidR="000635CE" w:rsidRPr="0071319B">
        <w:rPr>
          <w:rFonts w:asciiTheme="majorBidi" w:hAnsiTheme="majorBidi" w:cstheme="majorBidi"/>
          <w:spacing w:val="-43"/>
          <w:sz w:val="22"/>
          <w:szCs w:val="22"/>
          <w:lang w:val="sr-Latn-ME"/>
        </w:rPr>
        <w:t xml:space="preserve"> </w:t>
      </w:r>
      <w:r w:rsidR="002669E7" w:rsidRPr="0071319B">
        <w:rPr>
          <w:rFonts w:asciiTheme="majorBidi" w:hAnsiTheme="majorBidi" w:cstheme="majorBidi"/>
          <w:spacing w:val="-43"/>
          <w:sz w:val="22"/>
          <w:szCs w:val="22"/>
          <w:lang w:val="sr-Latn-ME"/>
        </w:rPr>
        <w:t xml:space="preserve"> 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uključujući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ketorolak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,</w:t>
      </w:r>
    </w:p>
    <w:p w14:paraId="41FE470F" w14:textId="45CD0470" w:rsidR="000635CE" w:rsidRPr="0071319B" w:rsidRDefault="00842EC8" w:rsidP="0071319B">
      <w:pPr>
        <w:widowControl w:val="0"/>
        <w:numPr>
          <w:ilvl w:val="0"/>
          <w:numId w:val="16"/>
        </w:numPr>
        <w:tabs>
          <w:tab w:val="left" w:pos="953"/>
        </w:tabs>
        <w:autoSpaceDE w:val="0"/>
        <w:autoSpaceDN w:val="0"/>
        <w:ind w:right="333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Ostali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trombolitički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ljekovi (npr.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alteplaza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,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reteplaza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,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streptokinaza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,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tenekteplaza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,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urokinaza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) i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antikoagulansi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(vidjeti </w:t>
      </w:r>
      <w:r w:rsidR="00F30D6A">
        <w:rPr>
          <w:rFonts w:asciiTheme="majorBidi" w:hAnsiTheme="majorBidi" w:cstheme="majorBidi"/>
          <w:sz w:val="22"/>
          <w:szCs w:val="22"/>
          <w:lang w:val="sr-Latn-ME"/>
        </w:rPr>
        <w:t xml:space="preserve">dio 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4.2).</w:t>
      </w:r>
    </w:p>
    <w:p w14:paraId="52F8E57D" w14:textId="77777777" w:rsidR="000635CE" w:rsidRPr="0071319B" w:rsidRDefault="000635CE" w:rsidP="0071319B">
      <w:pPr>
        <w:widowControl w:val="0"/>
        <w:autoSpaceDE w:val="0"/>
        <w:autoSpaceDN w:val="0"/>
        <w:spacing w:before="117"/>
        <w:jc w:val="both"/>
        <w:rPr>
          <w:rFonts w:asciiTheme="majorBidi" w:hAnsiTheme="majorBidi" w:cstheme="majorBidi"/>
          <w:sz w:val="22"/>
          <w:szCs w:val="22"/>
          <w:u w:val="single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Istovremena primjena uz oprez:</w:t>
      </w:r>
    </w:p>
    <w:p w14:paraId="68D98385" w14:textId="77777777" w:rsidR="000635CE" w:rsidRPr="0071319B" w:rsidRDefault="000635CE" w:rsidP="0071319B">
      <w:pPr>
        <w:widowControl w:val="0"/>
        <w:autoSpaceDE w:val="0"/>
        <w:autoSpaceDN w:val="0"/>
        <w:spacing w:before="1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Sl</w:t>
      </w:r>
      <w:r w:rsidR="00002C97" w:rsidRPr="0071319B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edeći ljekovi mogu biti primijenjeni uz oprez istovremeno sa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natrijumom:</w:t>
      </w:r>
    </w:p>
    <w:p w14:paraId="7B9780B8" w14:textId="77777777" w:rsidR="000635CE" w:rsidRPr="0071319B" w:rsidRDefault="000635CE" w:rsidP="00ED4E48">
      <w:pPr>
        <w:widowControl w:val="0"/>
        <w:numPr>
          <w:ilvl w:val="2"/>
          <w:numId w:val="12"/>
        </w:numPr>
        <w:tabs>
          <w:tab w:val="left" w:pos="953"/>
        </w:tabs>
        <w:autoSpaceDE w:val="0"/>
        <w:autoSpaceDN w:val="0"/>
        <w:ind w:left="952" w:hanging="361"/>
        <w:jc w:val="both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 xml:space="preserve">Ostali ljekovi koji utiču na </w:t>
      </w:r>
      <w:proofErr w:type="spellStart"/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hemostazu</w:t>
      </w:r>
      <w:proofErr w:type="spellEnd"/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, kao što</w:t>
      </w:r>
      <w:r w:rsidRPr="0071319B">
        <w:rPr>
          <w:rFonts w:asciiTheme="majorBidi" w:hAnsiTheme="majorBidi" w:cstheme="majorBidi"/>
          <w:i/>
          <w:spacing w:val="-10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su:</w:t>
      </w:r>
    </w:p>
    <w:p w14:paraId="7E321943" w14:textId="77777777" w:rsidR="000635CE" w:rsidRPr="0071319B" w:rsidRDefault="00D02763" w:rsidP="00ED4E48">
      <w:pPr>
        <w:widowControl w:val="0"/>
        <w:numPr>
          <w:ilvl w:val="3"/>
          <w:numId w:val="12"/>
        </w:numPr>
        <w:tabs>
          <w:tab w:val="left" w:pos="1673"/>
        </w:tabs>
        <w:autoSpaceDE w:val="0"/>
        <w:autoSpaceDN w:val="0"/>
        <w:spacing w:before="7" w:line="230" w:lineRule="auto"/>
        <w:ind w:right="399"/>
        <w:jc w:val="both"/>
        <w:outlineLvl w:val="0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I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nhibitori agregacije trombocita uključujući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acetilsalicilnu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kiselinu upotrijebljeni u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antiagregacionim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dozama (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kardioprotektivnim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),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klopidogrel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,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tiklopidin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 antagonisti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glikoproteina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IIb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/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IIIa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indikovani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kod akutnog koronarnog sindroma zbog rizika od pojave</w:t>
      </w:r>
      <w:r w:rsidR="000635CE" w:rsidRPr="0071319B">
        <w:rPr>
          <w:rFonts w:asciiTheme="majorBidi" w:hAnsiTheme="majorBidi" w:cstheme="majorBidi"/>
          <w:spacing w:val="-2"/>
          <w:sz w:val="22"/>
          <w:szCs w:val="22"/>
          <w:lang w:val="sr-Latn-ME"/>
        </w:rPr>
        <w:t xml:space="preserve"> 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krvarenja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63001A72" w14:textId="77777777" w:rsidR="000635CE" w:rsidRPr="0071319B" w:rsidRDefault="00D02763" w:rsidP="00ED4E48">
      <w:pPr>
        <w:widowControl w:val="0"/>
        <w:numPr>
          <w:ilvl w:val="3"/>
          <w:numId w:val="12"/>
        </w:numPr>
        <w:tabs>
          <w:tab w:val="left" w:pos="1673"/>
        </w:tabs>
        <w:autoSpaceDE w:val="0"/>
        <w:autoSpaceDN w:val="0"/>
        <w:spacing w:before="7" w:line="285" w:lineRule="exact"/>
        <w:ind w:hanging="361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D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ekstran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40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1603720A" w14:textId="77777777" w:rsidR="000635CE" w:rsidRPr="0071319B" w:rsidRDefault="00D02763" w:rsidP="00ED4E48">
      <w:pPr>
        <w:widowControl w:val="0"/>
        <w:numPr>
          <w:ilvl w:val="3"/>
          <w:numId w:val="12"/>
        </w:numPr>
        <w:tabs>
          <w:tab w:val="left" w:pos="1673"/>
        </w:tabs>
        <w:autoSpaceDE w:val="0"/>
        <w:autoSpaceDN w:val="0"/>
        <w:spacing w:line="285" w:lineRule="exact"/>
        <w:ind w:hanging="361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S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istemski</w:t>
      </w:r>
      <w:r w:rsidR="000635CE" w:rsidRPr="0071319B">
        <w:rPr>
          <w:rFonts w:asciiTheme="majorBidi" w:hAnsiTheme="majorBidi" w:cstheme="majorBidi"/>
          <w:spacing w:val="1"/>
          <w:sz w:val="22"/>
          <w:szCs w:val="22"/>
          <w:lang w:val="sr-Latn-ME"/>
        </w:rPr>
        <w:t xml:space="preserve">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glukokortikoidi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1D3AAF52" w14:textId="77777777" w:rsidR="000635CE" w:rsidRPr="0071319B" w:rsidRDefault="000635CE" w:rsidP="00ED4E48">
      <w:pPr>
        <w:widowControl w:val="0"/>
        <w:autoSpaceDE w:val="0"/>
        <w:autoSpaceDN w:val="0"/>
        <w:spacing w:before="4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6F648D6A" w14:textId="77777777" w:rsidR="000635CE" w:rsidRPr="0071319B" w:rsidRDefault="000635CE" w:rsidP="00002C97">
      <w:pPr>
        <w:widowControl w:val="0"/>
        <w:numPr>
          <w:ilvl w:val="2"/>
          <w:numId w:val="12"/>
        </w:numPr>
        <w:tabs>
          <w:tab w:val="left" w:pos="953"/>
        </w:tabs>
        <w:autoSpaceDE w:val="0"/>
        <w:autoSpaceDN w:val="0"/>
        <w:ind w:left="952" w:hanging="361"/>
        <w:jc w:val="both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 xml:space="preserve">Ljekovi koji </w:t>
      </w:r>
      <w:proofErr w:type="spellStart"/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štede</w:t>
      </w:r>
      <w:proofErr w:type="spellEnd"/>
      <w:r w:rsidRPr="0071319B">
        <w:rPr>
          <w:rFonts w:asciiTheme="majorBidi" w:hAnsiTheme="majorBidi" w:cstheme="majorBidi"/>
          <w:i/>
          <w:spacing w:val="-3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kalijum:</w:t>
      </w:r>
    </w:p>
    <w:p w14:paraId="7F921749" w14:textId="681341B7" w:rsidR="000635CE" w:rsidRPr="0071319B" w:rsidRDefault="000635CE" w:rsidP="006103F9">
      <w:pPr>
        <w:widowControl w:val="0"/>
        <w:autoSpaceDE w:val="0"/>
        <w:autoSpaceDN w:val="0"/>
        <w:spacing w:before="17" w:line="235" w:lineRule="auto"/>
        <w:ind w:left="232" w:right="331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Ljekovi koji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štede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kalijum i dovode do povećanja njegovog nivoa u plazmi mogu biti primijenjeni istovremeno uz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 ali uz pažljivo kliničko i laboratorijsko praćenje (vidjeti </w:t>
      </w:r>
      <w:r w:rsidR="00F30D6A">
        <w:rPr>
          <w:rFonts w:asciiTheme="majorBidi" w:hAnsiTheme="majorBidi" w:cstheme="majorBidi"/>
          <w:sz w:val="22"/>
          <w:szCs w:val="22"/>
          <w:lang w:val="sr-Latn-ME"/>
        </w:rPr>
        <w:t xml:space="preserve">djelove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4.4 i 4.8).</w:t>
      </w:r>
    </w:p>
    <w:p w14:paraId="22944E6C" w14:textId="77777777" w:rsidR="0072020E" w:rsidRPr="0071319B" w:rsidRDefault="0072020E" w:rsidP="00ED4E48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2E91454D" w14:textId="77777777" w:rsidR="0072020E" w:rsidRPr="0071319B" w:rsidRDefault="0072020E" w:rsidP="00ED4E48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4.6. </w:t>
      </w:r>
      <w:r w:rsidR="00480FB1"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="006D20A5" w:rsidRPr="0071319B">
        <w:rPr>
          <w:rFonts w:asciiTheme="majorBidi" w:hAnsiTheme="majorBidi" w:cstheme="majorBidi"/>
          <w:b/>
          <w:sz w:val="22"/>
          <w:szCs w:val="22"/>
          <w:lang w:val="sr-Latn-ME"/>
        </w:rPr>
        <w:t>Plodnost, trudnoća i dojenje</w:t>
      </w:r>
    </w:p>
    <w:p w14:paraId="161C5A11" w14:textId="77777777" w:rsidR="000635CE" w:rsidRPr="0071319B" w:rsidRDefault="000635CE" w:rsidP="00ED4E48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u w:val="single"/>
          <w:lang w:val="sr-Latn-ME"/>
        </w:rPr>
      </w:pPr>
    </w:p>
    <w:p w14:paraId="58B7EF67" w14:textId="77777777" w:rsidR="002669E7" w:rsidRPr="0071319B" w:rsidRDefault="000635CE" w:rsidP="00ED4E48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u w:val="single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Trudnoća</w:t>
      </w:r>
    </w:p>
    <w:p w14:paraId="23682939" w14:textId="77777777" w:rsidR="000635CE" w:rsidRPr="0071319B" w:rsidRDefault="000635CE" w:rsidP="00ED4E48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Ne postoje dokazi da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 prelazi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placentalnu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barijeru kod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ljudi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tokom drugog i trećeg trimestra trudnoće. Nema raspoloživih informacija što se tiče prvog trimestra.</w:t>
      </w:r>
    </w:p>
    <w:p w14:paraId="6E022B46" w14:textId="6530194C" w:rsidR="000635CE" w:rsidRDefault="000635CE" w:rsidP="0071319B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Ispitivanja na životinjama ni</w:t>
      </w:r>
      <w:r w:rsidR="00002C97" w:rsidRPr="0071319B">
        <w:rPr>
          <w:rFonts w:asciiTheme="majorBidi" w:hAnsiTheme="majorBidi" w:cstheme="majorBidi"/>
          <w:sz w:val="22"/>
          <w:szCs w:val="22"/>
          <w:lang w:val="sr-Latn-ME"/>
        </w:rPr>
        <w:t>je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su dala dokaz da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 posjeduje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fetotoksični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teratogeni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potencijal (vidjeti </w:t>
      </w:r>
      <w:r w:rsidR="00F30D6A">
        <w:rPr>
          <w:rFonts w:asciiTheme="majorBidi" w:hAnsiTheme="majorBidi" w:cstheme="majorBidi"/>
          <w:sz w:val="22"/>
          <w:szCs w:val="22"/>
          <w:lang w:val="sr-Latn-ME"/>
        </w:rPr>
        <w:t xml:space="preserve">dio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5.3).</w:t>
      </w:r>
      <w:r w:rsidR="00D02763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Podaci dobijeni iz ispitivanja na životinjama su pokazali da je prolaz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kroz placentu minimalan.</w:t>
      </w:r>
    </w:p>
    <w:p w14:paraId="644305C7" w14:textId="77777777" w:rsidR="0071319B" w:rsidRPr="0071319B" w:rsidRDefault="0071319B" w:rsidP="0071319B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7A418C1D" w14:textId="7681A5C0" w:rsidR="000635CE" w:rsidRDefault="000635CE" w:rsidP="0071319B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Ovaj lijek </w:t>
      </w:r>
      <w:r w:rsidR="00743062">
        <w:rPr>
          <w:rFonts w:asciiTheme="majorBidi" w:hAnsiTheme="majorBidi" w:cstheme="majorBidi"/>
          <w:sz w:val="22"/>
          <w:szCs w:val="22"/>
          <w:lang w:val="sr-Latn-ME"/>
        </w:rPr>
        <w:t>se ne smije</w:t>
      </w:r>
      <w:r w:rsidR="00743062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koristiti tokom trudnoće samo ako ljekar ustanovi </w:t>
      </w:r>
      <w:r w:rsidR="00743062">
        <w:rPr>
          <w:rFonts w:asciiTheme="majorBidi" w:hAnsiTheme="majorBidi" w:cstheme="majorBidi"/>
          <w:sz w:val="22"/>
          <w:szCs w:val="22"/>
          <w:lang w:val="sr-Latn-ME"/>
        </w:rPr>
        <w:t xml:space="preserve">da postoji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jasn</w:t>
      </w:r>
      <w:r w:rsidR="00743062">
        <w:rPr>
          <w:rFonts w:asciiTheme="majorBidi" w:hAnsiTheme="majorBidi" w:cstheme="majorBidi"/>
          <w:sz w:val="22"/>
          <w:szCs w:val="22"/>
          <w:lang w:val="sr-Latn-ME"/>
        </w:rPr>
        <w:t>a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potreb</w:t>
      </w:r>
      <w:r w:rsidR="00743062">
        <w:rPr>
          <w:rFonts w:asciiTheme="majorBidi" w:hAnsiTheme="majorBidi" w:cstheme="majorBidi"/>
          <w:sz w:val="22"/>
          <w:szCs w:val="22"/>
          <w:lang w:val="sr-Latn-ME"/>
        </w:rPr>
        <w:t>a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3FA93929" w14:textId="77777777" w:rsidR="0071319B" w:rsidRPr="0071319B" w:rsidRDefault="0071319B" w:rsidP="0071319B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5A02A0DA" w14:textId="014765EF" w:rsidR="000635CE" w:rsidRDefault="000635CE" w:rsidP="0071319B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Trudnice koje primaju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 treba pažljivo pratiti zbog mogućnosti krvarenja i prevelike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antikoagulantne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aktivnosti i treba da budu upozorene na postojanje rizika od krvarenja. Sve u svemu, podaci ukazuju da nema dokaza za postojanje povećanog rizika od krvarenja,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trombocitopenije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ili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osteoporoze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u odnosu na rizik zabilježen kod žena koje ni</w:t>
      </w:r>
      <w:r w:rsidR="00002C97" w:rsidRPr="0071319B">
        <w:rPr>
          <w:rFonts w:asciiTheme="majorBidi" w:hAnsiTheme="majorBidi" w:cstheme="majorBidi"/>
          <w:sz w:val="22"/>
          <w:szCs w:val="22"/>
          <w:lang w:val="sr-Latn-ME"/>
        </w:rPr>
        <w:t>je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su u drugom stanju, izuzev rizika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primijećenog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kod trudnica sa mehaničkim vještačkim srčanim zaliscima (vidjeti </w:t>
      </w:r>
      <w:r w:rsidR="00F30D6A">
        <w:rPr>
          <w:rFonts w:asciiTheme="majorBidi" w:hAnsiTheme="majorBidi" w:cstheme="majorBidi"/>
          <w:sz w:val="22"/>
          <w:szCs w:val="22"/>
          <w:lang w:val="sr-Latn-ME"/>
        </w:rPr>
        <w:t xml:space="preserve">dio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4.4).</w:t>
      </w:r>
    </w:p>
    <w:p w14:paraId="31E1A58F" w14:textId="77777777" w:rsidR="0071319B" w:rsidRPr="0071319B" w:rsidRDefault="0071319B" w:rsidP="0071319B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38993B09" w14:textId="2B1E35D3" w:rsidR="000635CE" w:rsidRPr="0071319B" w:rsidRDefault="000635CE" w:rsidP="0071319B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Ukoliko se planira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epiduralna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anestezija, preporučuje se prekid terapije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natrijumom prije njene primjene (vidjeti </w:t>
      </w:r>
      <w:r w:rsidR="00F30D6A">
        <w:rPr>
          <w:rFonts w:asciiTheme="majorBidi" w:hAnsiTheme="majorBidi" w:cstheme="majorBidi"/>
          <w:sz w:val="22"/>
          <w:szCs w:val="22"/>
          <w:lang w:val="sr-Latn-ME"/>
        </w:rPr>
        <w:t xml:space="preserve">dio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4.4)</w:t>
      </w:r>
      <w:r w:rsidR="0071319B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697AAB2C" w14:textId="77777777" w:rsidR="000635CE" w:rsidRPr="0071319B" w:rsidRDefault="000635CE">
      <w:pPr>
        <w:widowControl w:val="0"/>
        <w:autoSpaceDE w:val="0"/>
        <w:autoSpaceDN w:val="0"/>
        <w:spacing w:before="9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205AE33" w14:textId="77777777" w:rsidR="000635CE" w:rsidRPr="0071319B" w:rsidRDefault="000635CE" w:rsidP="00ED4E48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Dojenje</w:t>
      </w:r>
    </w:p>
    <w:p w14:paraId="4EF88DA1" w14:textId="77777777" w:rsidR="000635CE" w:rsidRPr="0071319B" w:rsidRDefault="000635CE" w:rsidP="0071319B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Nije poznato da li se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nepromijenjen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 izlučuje u humano </w:t>
      </w:r>
      <w:r w:rsidR="00444F6E" w:rsidRPr="0071319B">
        <w:rPr>
          <w:rFonts w:asciiTheme="majorBidi" w:hAnsiTheme="majorBidi" w:cstheme="majorBidi"/>
          <w:sz w:val="22"/>
          <w:szCs w:val="22"/>
          <w:lang w:val="sr-Latn-ME"/>
        </w:rPr>
        <w:t>ml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ijeko. Kod pacova 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laktaciji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, koncentracija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ili njegovih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metabolita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u </w:t>
      </w:r>
      <w:r w:rsidR="00444F6E" w:rsidRPr="0071319B">
        <w:rPr>
          <w:rFonts w:asciiTheme="majorBidi" w:hAnsiTheme="majorBidi" w:cstheme="majorBidi"/>
          <w:sz w:val="22"/>
          <w:szCs w:val="22"/>
          <w:lang w:val="sr-Latn-ME"/>
        </w:rPr>
        <w:t>ml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ijeku je veoma niska. Oralna </w:t>
      </w:r>
      <w:r w:rsidR="00002C97" w:rsidRPr="0071319B">
        <w:rPr>
          <w:rFonts w:asciiTheme="majorBidi" w:hAnsiTheme="majorBidi" w:cstheme="majorBidi"/>
          <w:sz w:val="22"/>
          <w:szCs w:val="22"/>
          <w:lang w:val="sr-Latn-ME"/>
        </w:rPr>
        <w:t>re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sorpcija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je malo vjerovatna. Lijek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Enoxaparin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Ledraxen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se može koristiti tokom dojenja.</w:t>
      </w:r>
    </w:p>
    <w:p w14:paraId="305E2EAF" w14:textId="77777777" w:rsidR="000635CE" w:rsidRPr="0071319B" w:rsidRDefault="000635CE" w:rsidP="00ED4E48">
      <w:pPr>
        <w:widowControl w:val="0"/>
        <w:autoSpaceDE w:val="0"/>
        <w:autoSpaceDN w:val="0"/>
        <w:spacing w:before="119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lastRenderedPageBreak/>
        <w:t>Plodnost</w:t>
      </w:r>
    </w:p>
    <w:p w14:paraId="2831B735" w14:textId="4103BBBE" w:rsidR="000635CE" w:rsidRPr="0071319B" w:rsidRDefault="000635CE" w:rsidP="0071319B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Nema kliničkih podataka o uticaju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na plodnost. Ispitivanja na životinjama ni</w:t>
      </w:r>
      <w:r w:rsidR="00002C97" w:rsidRPr="0071319B">
        <w:rPr>
          <w:rFonts w:asciiTheme="majorBidi" w:hAnsiTheme="majorBidi" w:cstheme="majorBidi"/>
          <w:sz w:val="22"/>
          <w:szCs w:val="22"/>
          <w:lang w:val="sr-Latn-ME"/>
        </w:rPr>
        <w:t>je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su pokazala dejstvo na fertilitet (vidjeti </w:t>
      </w:r>
      <w:r w:rsidR="00F30D6A">
        <w:rPr>
          <w:rFonts w:asciiTheme="majorBidi" w:hAnsiTheme="majorBidi" w:cstheme="majorBidi"/>
          <w:sz w:val="22"/>
          <w:szCs w:val="22"/>
          <w:lang w:val="sr-Latn-ME"/>
        </w:rPr>
        <w:t xml:space="preserve">dio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5.3).</w:t>
      </w:r>
    </w:p>
    <w:p w14:paraId="164E389C" w14:textId="77777777" w:rsidR="00227BDB" w:rsidRPr="0071319B" w:rsidRDefault="00227BDB" w:rsidP="00ED4E48">
      <w:pPr>
        <w:tabs>
          <w:tab w:val="left" w:pos="540"/>
          <w:tab w:val="left" w:pos="569"/>
        </w:tabs>
        <w:ind w:left="540" w:hanging="54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51DE6FAB" w14:textId="77777777" w:rsidR="0071319B" w:rsidRDefault="0072020E" w:rsidP="0071319B">
      <w:pPr>
        <w:tabs>
          <w:tab w:val="left" w:pos="540"/>
          <w:tab w:val="left" w:pos="569"/>
        </w:tabs>
        <w:ind w:left="540" w:hanging="54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4.7. </w:t>
      </w:r>
      <w:r w:rsidR="00480FB1"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Uticaj na </w:t>
      </w:r>
      <w:r w:rsidR="002031B3"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sposobnost </w:t>
      </w:r>
      <w:r w:rsidR="00F34554"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>upravljanja vozili</w:t>
      </w: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>m</w:t>
      </w:r>
      <w:r w:rsidR="00F34554"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>a</w:t>
      </w: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i </w:t>
      </w:r>
      <w:r w:rsidR="000D3449"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rukovanje </w:t>
      </w: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>mašinama</w:t>
      </w:r>
    </w:p>
    <w:p w14:paraId="5D6ED966" w14:textId="77777777" w:rsidR="0071319B" w:rsidRDefault="0071319B" w:rsidP="0071319B">
      <w:pPr>
        <w:tabs>
          <w:tab w:val="left" w:pos="540"/>
          <w:tab w:val="left" w:pos="569"/>
        </w:tabs>
        <w:ind w:left="540" w:hanging="54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0096F593" w14:textId="77777777" w:rsidR="000635CE" w:rsidRPr="0071319B" w:rsidRDefault="000635CE" w:rsidP="0071319B">
      <w:pPr>
        <w:tabs>
          <w:tab w:val="left" w:pos="540"/>
          <w:tab w:val="left" w:pos="569"/>
        </w:tabs>
        <w:ind w:left="540" w:hanging="54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FD7E24" w:rsidRPr="0071319B">
        <w:rPr>
          <w:rFonts w:asciiTheme="majorBidi" w:hAnsiTheme="majorBidi" w:cstheme="majorBidi"/>
          <w:sz w:val="22"/>
          <w:szCs w:val="22"/>
          <w:lang w:val="sr-Latn-ME"/>
        </w:rPr>
        <w:t>natrijum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nema ili ima zanemarljiv uticaj na sposobnost vožnje ili upravljanja mašinama.</w:t>
      </w:r>
    </w:p>
    <w:p w14:paraId="3A57C1DF" w14:textId="77777777" w:rsidR="0072020E" w:rsidRPr="0071319B" w:rsidRDefault="0072020E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53B56E10" w14:textId="77777777" w:rsidR="0071319B" w:rsidRDefault="0072020E" w:rsidP="0071319B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4.8. </w:t>
      </w:r>
      <w:r w:rsidR="00480FB1"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>Neželjena dejstva</w:t>
      </w:r>
    </w:p>
    <w:p w14:paraId="724C5040" w14:textId="77777777" w:rsidR="0071319B" w:rsidRDefault="0071319B" w:rsidP="0071319B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74AF8B6D" w14:textId="77777777" w:rsidR="000635CE" w:rsidRPr="0071319B" w:rsidRDefault="000635CE" w:rsidP="0071319B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 xml:space="preserve">Sažetak </w:t>
      </w:r>
      <w:proofErr w:type="spellStart"/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bezbjednosnog</w:t>
      </w:r>
      <w:proofErr w:type="spellEnd"/>
      <w:r w:rsidRPr="0071319B">
        <w:rPr>
          <w:rFonts w:asciiTheme="majorBidi" w:hAnsiTheme="majorBidi" w:cstheme="majorBidi"/>
          <w:spacing w:val="-20"/>
          <w:sz w:val="22"/>
          <w:szCs w:val="22"/>
          <w:u w:val="single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profila</w:t>
      </w:r>
    </w:p>
    <w:p w14:paraId="0D84CF42" w14:textId="1C353E23" w:rsidR="000635CE" w:rsidRDefault="000635CE" w:rsidP="0071319B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 je proc</w:t>
      </w:r>
      <w:r w:rsidR="004C77A0" w:rsidRPr="0071319B">
        <w:rPr>
          <w:rFonts w:asciiTheme="majorBidi" w:hAnsiTheme="majorBidi" w:cstheme="majorBidi"/>
          <w:sz w:val="22"/>
          <w:szCs w:val="22"/>
          <w:lang w:val="sr-Latn-ME"/>
        </w:rPr>
        <w:t>i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jenjivan na više od 15</w:t>
      </w:r>
      <w:r w:rsidR="00C21BAC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000 pacijenata koji su ga dobijali tokom kliničkih ispitivanja. Ovo uključuje 1776 </w:t>
      </w:r>
      <w:r w:rsidR="003A06B5" w:rsidRPr="0071319B">
        <w:rPr>
          <w:rFonts w:asciiTheme="majorBidi" w:hAnsiTheme="majorBidi" w:cstheme="majorBidi"/>
          <w:sz w:val="22"/>
          <w:szCs w:val="22"/>
          <w:lang w:val="sr-Latn-ME"/>
        </w:rPr>
        <w:t>slučajeva profilakse duboke venske tromboze nakon ortopedskog ili abdominalnog hirurškog zahvata kod pacijenata</w:t>
      </w:r>
      <w:r w:rsidR="004C77A0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pod rizikom </w:t>
      </w:r>
      <w:r w:rsidR="003A06B5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od pojave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tromboembolijsk</w:t>
      </w:r>
      <w:r w:rsidR="003A06B5" w:rsidRPr="0071319B">
        <w:rPr>
          <w:rFonts w:asciiTheme="majorBidi" w:hAnsiTheme="majorBidi" w:cstheme="majorBidi"/>
          <w:sz w:val="22"/>
          <w:szCs w:val="22"/>
          <w:lang w:val="sr-Latn-ME"/>
        </w:rPr>
        <w:t>ih</w:t>
      </w:r>
      <w:proofErr w:type="spellEnd"/>
      <w:r w:rsidR="003A06B5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komplikacija,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1169 </w:t>
      </w:r>
      <w:r w:rsidR="003A06B5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slučajeva profilakse duboke venske tromboze kod akutno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oboljelih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internističkih pacijenata sa značajno smanjenom pokretljivošću, 559</w:t>
      </w:r>
      <w:r w:rsidR="003A06B5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slučajeva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terapij</w:t>
      </w:r>
      <w:r w:rsidR="003A06B5" w:rsidRPr="0071319B">
        <w:rPr>
          <w:rFonts w:asciiTheme="majorBidi" w:hAnsiTheme="majorBidi" w:cstheme="majorBidi"/>
          <w:sz w:val="22"/>
          <w:szCs w:val="22"/>
          <w:lang w:val="sr-Latn-ME"/>
        </w:rPr>
        <w:t>e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3A06B5" w:rsidRPr="0071319B">
        <w:rPr>
          <w:rFonts w:asciiTheme="majorBidi" w:hAnsiTheme="majorBidi" w:cstheme="majorBidi"/>
          <w:sz w:val="22"/>
          <w:szCs w:val="22"/>
          <w:lang w:val="sr-Latn-ME"/>
        </w:rPr>
        <w:t>DVT sa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ili </w:t>
      </w:r>
      <w:r w:rsidR="003A06B5" w:rsidRPr="0071319B">
        <w:rPr>
          <w:rFonts w:asciiTheme="majorBidi" w:hAnsiTheme="majorBidi" w:cstheme="majorBidi"/>
          <w:sz w:val="22"/>
          <w:szCs w:val="22"/>
          <w:lang w:val="sr-Latn-ME"/>
        </w:rPr>
        <w:t>bez PE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, 1578 </w:t>
      </w:r>
      <w:r w:rsidR="003A06B5" w:rsidRPr="0071319B">
        <w:rPr>
          <w:rFonts w:asciiTheme="majorBidi" w:hAnsiTheme="majorBidi" w:cstheme="majorBidi"/>
          <w:sz w:val="22"/>
          <w:szCs w:val="22"/>
          <w:lang w:val="sr-Latn-ME"/>
        </w:rPr>
        <w:t>slučajeva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terapij</w:t>
      </w:r>
      <w:r w:rsidR="003A06B5" w:rsidRPr="0071319B">
        <w:rPr>
          <w:rFonts w:asciiTheme="majorBidi" w:hAnsiTheme="majorBidi" w:cstheme="majorBidi"/>
          <w:sz w:val="22"/>
          <w:szCs w:val="22"/>
          <w:lang w:val="sr-Latn-ME"/>
        </w:rPr>
        <w:t>e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nestabilne angine i akutnog infarkta miokarda bez Q-zupca i 10176 </w:t>
      </w:r>
      <w:r w:rsidR="003A06B5" w:rsidRPr="0071319B">
        <w:rPr>
          <w:rFonts w:asciiTheme="majorBidi" w:hAnsiTheme="majorBidi" w:cstheme="majorBidi"/>
          <w:sz w:val="22"/>
          <w:szCs w:val="22"/>
          <w:lang w:val="sr-Latn-ME"/>
        </w:rPr>
        <w:t>slučajeva terapije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akutnog STEMI.</w:t>
      </w:r>
    </w:p>
    <w:p w14:paraId="3B0FD7CA" w14:textId="77777777" w:rsidR="0071319B" w:rsidRPr="0071319B" w:rsidRDefault="0071319B" w:rsidP="0071319B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69D63ECA" w14:textId="3A111F77" w:rsidR="000635CE" w:rsidRDefault="000635CE" w:rsidP="0071319B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Režim primjene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primijenjen tokom ovih kliničkih ispitivanja razlikuje se u zavisnosti od indikacije. Doza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je bila 4000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 (40 mg)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s.c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 jednom dnevno u profilaksi duboke venske tromboze nakon operacije ili kod akutno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oboljelih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="00C21BAC">
        <w:rPr>
          <w:rFonts w:asciiTheme="majorBidi" w:hAnsiTheme="majorBidi" w:cstheme="majorBidi"/>
          <w:sz w:val="22"/>
          <w:szCs w:val="22"/>
          <w:lang w:val="sr-Latn-ME"/>
        </w:rPr>
        <w:t>medikamentozno</w:t>
      </w:r>
      <w:proofErr w:type="spellEnd"/>
      <w:r w:rsidR="00C21BAC">
        <w:rPr>
          <w:rFonts w:asciiTheme="majorBidi" w:hAnsiTheme="majorBidi" w:cstheme="majorBidi"/>
          <w:sz w:val="22"/>
          <w:szCs w:val="22"/>
          <w:lang w:val="sr-Latn-ME"/>
        </w:rPr>
        <w:t xml:space="preserve"> liječenih</w:t>
      </w:r>
      <w:r w:rsidR="00C21BAC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pacijenata sa značajno smanjenom pokretljivošću. U terapiji DVT sa ili bez PE pacijenti su dobijali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 ili 100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./kg (1 mg/kg)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s.c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 svakih 12 sati ili 150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./kg (1,5 mg/kg)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s.c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 jednom dnevno. U kliničkim ispitivanjima vezanim za terapiju nestabilne angine i akutnog infarkta miokarda bez Q zupca doze su bile 100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./kg (1 mg/kg)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s.c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 svakih 12 sati, a u kliničkim ispitivanjima terapije akutnog STEMI režim doziranja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</w:t>
      </w:r>
      <w:r w:rsidR="00C21BAC">
        <w:rPr>
          <w:rFonts w:asciiTheme="majorBidi" w:hAnsiTheme="majorBidi" w:cstheme="majorBidi"/>
          <w:sz w:val="22"/>
          <w:szCs w:val="22"/>
          <w:lang w:val="sr-Latn-ME"/>
        </w:rPr>
        <w:t xml:space="preserve">uključivao je primjenu </w:t>
      </w:r>
      <w:proofErr w:type="spellStart"/>
      <w:r w:rsidR="00C21BAC">
        <w:rPr>
          <w:rFonts w:asciiTheme="majorBidi" w:hAnsiTheme="majorBidi" w:cstheme="majorBidi"/>
          <w:sz w:val="22"/>
          <w:szCs w:val="22"/>
          <w:lang w:val="sr-Latn-ME"/>
        </w:rPr>
        <w:t>i.v</w:t>
      </w:r>
      <w:proofErr w:type="spellEnd"/>
      <w:r w:rsidR="00C21BAC">
        <w:rPr>
          <w:rFonts w:asciiTheme="majorBidi" w:hAnsiTheme="majorBidi" w:cstheme="majorBidi"/>
          <w:sz w:val="22"/>
          <w:szCs w:val="22"/>
          <w:lang w:val="sr-Latn-ME"/>
        </w:rPr>
        <w:t xml:space="preserve">. </w:t>
      </w:r>
      <w:proofErr w:type="spellStart"/>
      <w:r w:rsidR="00C21BAC">
        <w:rPr>
          <w:rFonts w:asciiTheme="majorBidi" w:hAnsiTheme="majorBidi" w:cstheme="majorBidi"/>
          <w:sz w:val="22"/>
          <w:szCs w:val="22"/>
          <w:lang w:val="sr-Latn-ME"/>
        </w:rPr>
        <w:t>bolusne</w:t>
      </w:r>
      <w:proofErr w:type="spellEnd"/>
      <w:r w:rsidR="00C21BAC">
        <w:rPr>
          <w:rFonts w:asciiTheme="majorBidi" w:hAnsiTheme="majorBidi" w:cstheme="majorBidi"/>
          <w:sz w:val="22"/>
          <w:szCs w:val="22"/>
          <w:lang w:val="sr-Latn-ME"/>
        </w:rPr>
        <w:t xml:space="preserve"> doze</w:t>
      </w:r>
      <w:r w:rsidR="00C21BAC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C21BAC">
        <w:rPr>
          <w:rFonts w:asciiTheme="majorBidi" w:hAnsiTheme="majorBidi" w:cstheme="majorBidi"/>
          <w:sz w:val="22"/>
          <w:szCs w:val="22"/>
          <w:lang w:val="sr-Latn-ME"/>
        </w:rPr>
        <w:t>od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3000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. (30 mg)</w:t>
      </w:r>
      <w:r w:rsidR="00C21BAC">
        <w:rPr>
          <w:rFonts w:asciiTheme="majorBidi" w:hAnsiTheme="majorBidi" w:cstheme="majorBidi"/>
          <w:sz w:val="22"/>
          <w:szCs w:val="22"/>
          <w:lang w:val="sr-Latn-ME"/>
        </w:rPr>
        <w:t xml:space="preserve">, nakon koje se primjenjivala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C21BAC">
        <w:rPr>
          <w:rFonts w:asciiTheme="majorBidi" w:hAnsiTheme="majorBidi" w:cstheme="majorBidi"/>
          <w:sz w:val="22"/>
          <w:szCs w:val="22"/>
          <w:lang w:val="sr-Latn-ME"/>
        </w:rPr>
        <w:t>doza od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100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./kg (1 mg/kg)</w:t>
      </w:r>
      <w:r w:rsidR="00E454C0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="00E454C0" w:rsidRPr="0071319B">
        <w:rPr>
          <w:rFonts w:asciiTheme="majorBidi" w:hAnsiTheme="majorBidi" w:cstheme="majorBidi"/>
          <w:sz w:val="22"/>
          <w:szCs w:val="22"/>
          <w:lang w:val="sr-Latn-ME"/>
        </w:rPr>
        <w:t>s.c</w:t>
      </w:r>
      <w:proofErr w:type="spellEnd"/>
      <w:r w:rsidR="00E454C0" w:rsidRPr="0071319B">
        <w:rPr>
          <w:rFonts w:asciiTheme="majorBidi" w:hAnsiTheme="majorBidi" w:cstheme="majorBidi"/>
          <w:sz w:val="22"/>
          <w:szCs w:val="22"/>
          <w:lang w:val="sr-Latn-ME"/>
        </w:rPr>
        <w:t>.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 svakih 12 sati.</w:t>
      </w:r>
    </w:p>
    <w:p w14:paraId="5B33C67D" w14:textId="77777777" w:rsidR="0071319B" w:rsidRPr="0071319B" w:rsidRDefault="0071319B" w:rsidP="0071319B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6C5293F5" w14:textId="47463011" w:rsidR="000635CE" w:rsidRDefault="000635CE" w:rsidP="0071319B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U kliničkim ispitivanjima, hemoragije,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trombocitopenija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trombocitoza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su bile </w:t>
      </w:r>
      <w:r w:rsidR="00FD7E24" w:rsidRPr="0071319B">
        <w:rPr>
          <w:rFonts w:asciiTheme="majorBidi" w:hAnsiTheme="majorBidi" w:cstheme="majorBidi"/>
          <w:sz w:val="22"/>
          <w:szCs w:val="22"/>
          <w:lang w:val="sr-Latn-ME"/>
        </w:rPr>
        <w:t>najčešće prijavljivane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reakcije (vidjeti </w:t>
      </w:r>
      <w:r w:rsidR="00F30D6A">
        <w:rPr>
          <w:rFonts w:asciiTheme="majorBidi" w:hAnsiTheme="majorBidi" w:cstheme="majorBidi"/>
          <w:sz w:val="22"/>
          <w:szCs w:val="22"/>
          <w:lang w:val="sr-Latn-ME"/>
        </w:rPr>
        <w:t xml:space="preserve">dio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4.4 i „Opis odabranih neželjenih </w:t>
      </w:r>
      <w:r w:rsidR="008A23CE" w:rsidRPr="0071319B">
        <w:rPr>
          <w:rFonts w:asciiTheme="majorBidi" w:hAnsiTheme="majorBidi" w:cstheme="majorBidi"/>
          <w:sz w:val="22"/>
          <w:szCs w:val="22"/>
          <w:lang w:val="sr-Latn-ME"/>
        </w:rPr>
        <w:t>dejstava“</w:t>
      </w:r>
      <w:r w:rsidR="00E454C0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8A23CE" w:rsidRPr="0071319B">
        <w:rPr>
          <w:rFonts w:asciiTheme="majorBidi" w:hAnsiTheme="majorBidi" w:cstheme="majorBidi"/>
          <w:sz w:val="22"/>
          <w:szCs w:val="22"/>
          <w:lang w:val="sr-Latn-ME"/>
        </w:rPr>
        <w:t>u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nastavku).</w:t>
      </w:r>
    </w:p>
    <w:p w14:paraId="37030315" w14:textId="77777777" w:rsidR="0071319B" w:rsidRPr="0071319B" w:rsidRDefault="0071319B" w:rsidP="0071319B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099A17D2" w14:textId="0B21ABCC" w:rsidR="008A23CE" w:rsidRDefault="004208E2" w:rsidP="0071319B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Bezbjednosni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profil</w:t>
      </w:r>
      <w:r w:rsidR="008A23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="008A23CE" w:rsidRPr="0071319B">
        <w:rPr>
          <w:rFonts w:asciiTheme="majorBidi" w:hAnsiTheme="majorBidi" w:cstheme="majorBidi"/>
          <w:sz w:val="22"/>
          <w:szCs w:val="22"/>
          <w:lang w:val="sr-Latn-ME"/>
        </w:rPr>
        <w:t>enoksaparina</w:t>
      </w:r>
      <w:proofErr w:type="spellEnd"/>
      <w:r w:rsidR="008A23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za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produženo liječenje</w:t>
      </w:r>
      <w:r w:rsidR="008A23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DVT-a i PE-a kod pacijenata </w:t>
      </w:r>
      <w:r w:rsidR="005604CC">
        <w:rPr>
          <w:rFonts w:asciiTheme="majorBidi" w:hAnsiTheme="majorBidi" w:cstheme="majorBidi"/>
          <w:sz w:val="22"/>
          <w:szCs w:val="22"/>
          <w:lang w:val="sr-Latn-ME"/>
        </w:rPr>
        <w:t>sa aktivnom malignom bolešću</w:t>
      </w:r>
      <w:r w:rsidR="008A23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sličan je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bezbjednosnom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profilu</w:t>
      </w:r>
      <w:r w:rsidR="008A23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="008A23CE" w:rsidRPr="0071319B">
        <w:rPr>
          <w:rFonts w:asciiTheme="majorBidi" w:hAnsiTheme="majorBidi" w:cstheme="majorBidi"/>
          <w:sz w:val="22"/>
          <w:szCs w:val="22"/>
          <w:lang w:val="sr-Latn-ME"/>
        </w:rPr>
        <w:t>enoksaparina</w:t>
      </w:r>
      <w:proofErr w:type="spellEnd"/>
      <w:r w:rsidR="008A23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za liječenje DVT-a i PE-a.</w:t>
      </w:r>
    </w:p>
    <w:p w14:paraId="25C86E1A" w14:textId="77777777" w:rsidR="00C21BAC" w:rsidRPr="0071319B" w:rsidRDefault="00C21BAC" w:rsidP="0071319B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7EE23B1F" w14:textId="77777777" w:rsidR="00D93E45" w:rsidRDefault="00D93E45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93E45">
        <w:rPr>
          <w:rFonts w:asciiTheme="majorBidi" w:hAnsiTheme="majorBidi" w:cstheme="majorBidi"/>
          <w:sz w:val="22"/>
          <w:szCs w:val="22"/>
          <w:lang w:val="sr-Latn-ME"/>
        </w:rPr>
        <w:t xml:space="preserve">Prijavljena je akutna generalizovana </w:t>
      </w:r>
      <w:proofErr w:type="spellStart"/>
      <w:r w:rsidRPr="00D93E45">
        <w:rPr>
          <w:rFonts w:asciiTheme="majorBidi" w:hAnsiTheme="majorBidi" w:cstheme="majorBidi"/>
          <w:sz w:val="22"/>
          <w:szCs w:val="22"/>
          <w:lang w:val="sr-Latn-ME"/>
        </w:rPr>
        <w:t>egzantematozna</w:t>
      </w:r>
      <w:proofErr w:type="spellEnd"/>
      <w:r w:rsidRPr="00D93E45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  <w:lang w:val="sr-Latn-ME"/>
        </w:rPr>
        <w:t>pustuloza</w:t>
      </w:r>
      <w:proofErr w:type="spellEnd"/>
      <w:r>
        <w:rPr>
          <w:rFonts w:asciiTheme="majorBidi" w:hAnsiTheme="majorBidi" w:cstheme="majorBidi"/>
          <w:sz w:val="22"/>
          <w:szCs w:val="22"/>
          <w:lang w:val="sr-Latn-ME"/>
        </w:rPr>
        <w:t xml:space="preserve"> (AGEP) povezana sa primjenom </w:t>
      </w:r>
      <w:proofErr w:type="spellStart"/>
      <w:r w:rsidRPr="00D93E45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r>
        <w:rPr>
          <w:rFonts w:asciiTheme="majorBidi" w:hAnsiTheme="majorBidi" w:cstheme="majorBidi"/>
          <w:sz w:val="22"/>
          <w:szCs w:val="22"/>
          <w:lang w:val="sr-Latn-ME"/>
        </w:rPr>
        <w:t>a</w:t>
      </w:r>
      <w:proofErr w:type="spellEnd"/>
      <w:r w:rsidRPr="00D93E45">
        <w:rPr>
          <w:rFonts w:asciiTheme="majorBidi" w:hAnsiTheme="majorBidi" w:cstheme="majorBidi"/>
          <w:sz w:val="22"/>
          <w:szCs w:val="22"/>
          <w:lang w:val="sr-Latn-ME"/>
        </w:rPr>
        <w:t xml:space="preserve"> (vidjeti dio 4.4).</w:t>
      </w:r>
    </w:p>
    <w:p w14:paraId="48030FAB" w14:textId="77777777" w:rsidR="00D93E45" w:rsidRPr="0071319B" w:rsidRDefault="00D93E45" w:rsidP="00D93E45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387CF341" w14:textId="77777777" w:rsidR="000635CE" w:rsidRPr="0071319B" w:rsidRDefault="000635CE" w:rsidP="0071319B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Tabelarni prikaz neželjenih dejstava</w:t>
      </w:r>
    </w:p>
    <w:p w14:paraId="2C8CE02D" w14:textId="3DF0E09D" w:rsidR="000635CE" w:rsidRPr="0071319B" w:rsidRDefault="000635CE" w:rsidP="0071319B">
      <w:pPr>
        <w:widowControl w:val="0"/>
        <w:tabs>
          <w:tab w:val="left" w:pos="9781"/>
        </w:tabs>
        <w:autoSpaceDE w:val="0"/>
        <w:autoSpaceDN w:val="0"/>
        <w:spacing w:before="117"/>
        <w:ind w:right="33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Sl</w:t>
      </w:r>
      <w:r w:rsidR="00D95CF0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edeća neželjena dejstva, registrovana tokom kliničkih ispitivanja i prijavljena 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postmarketinškom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periodu (* označava neželjena dejstva prijavljena 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postmarketinškom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periodu), predstavljena su po klasama sistema</w:t>
      </w:r>
      <w:r w:rsidR="00BD6D2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organa i po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opadajućoj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učestalosti: veoma čest</w:t>
      </w:r>
      <w:r w:rsidR="00E454C0" w:rsidRPr="0071319B">
        <w:rPr>
          <w:rFonts w:asciiTheme="majorBidi" w:hAnsiTheme="majorBidi" w:cstheme="majorBidi"/>
          <w:sz w:val="22"/>
          <w:szCs w:val="22"/>
          <w:lang w:val="sr-Latn-ME"/>
        </w:rPr>
        <w:t>o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(≥</w:t>
      </w:r>
      <w:r w:rsidR="00190890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1/10); često (≥</w:t>
      </w:r>
      <w:r w:rsidR="00190890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1/100 do &lt;</w:t>
      </w:r>
      <w:r w:rsidR="00190890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1/10); povremen</w:t>
      </w:r>
      <w:r w:rsidR="00E454C0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o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(≥</w:t>
      </w:r>
      <w:r w:rsidR="00190890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1/1000 do</w:t>
      </w:r>
      <w:r w:rsidR="00BD6D2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&lt;</w:t>
      </w:r>
      <w:r w:rsidR="00190890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1/100); rijetk</w:t>
      </w:r>
      <w:r w:rsidR="00E454C0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o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(≥</w:t>
      </w:r>
      <w:r w:rsidR="00190890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1/10000 do &lt;</w:t>
      </w:r>
      <w:r w:rsidR="00190890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1/1000); </w:t>
      </w:r>
      <w:r w:rsidRPr="0071319B">
        <w:rPr>
          <w:rFonts w:asciiTheme="majorBidi" w:hAnsiTheme="majorBidi" w:cstheme="majorBidi"/>
          <w:spacing w:val="-3"/>
          <w:sz w:val="22"/>
          <w:szCs w:val="22"/>
          <w:lang w:val="sr-Latn-ME"/>
        </w:rPr>
        <w:t xml:space="preserve">veoma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rijetk</w:t>
      </w:r>
      <w:r w:rsidR="00E454C0" w:rsidRPr="0071319B">
        <w:rPr>
          <w:rFonts w:asciiTheme="majorBidi" w:hAnsiTheme="majorBidi" w:cstheme="majorBidi"/>
          <w:sz w:val="22"/>
          <w:szCs w:val="22"/>
          <w:lang w:val="sr-Latn-ME"/>
        </w:rPr>
        <w:t>o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(&lt;</w:t>
      </w:r>
      <w:r w:rsidR="00190890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1/10</w:t>
      </w:r>
      <w:r w:rsidR="00190890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000), nepoznat</w:t>
      </w:r>
      <w:r w:rsidR="00E454C0" w:rsidRPr="0071319B">
        <w:rPr>
          <w:rFonts w:asciiTheme="majorBidi" w:hAnsiTheme="majorBidi" w:cstheme="majorBidi"/>
          <w:sz w:val="22"/>
          <w:szCs w:val="22"/>
          <w:lang w:val="sr-Latn-ME"/>
        </w:rPr>
        <w:t>o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(ne može se procijeniti  na osnovu dostupnih podataka). U okviru svake klase sistema organa neželjena dejstva su prikazana sa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opadajućom</w:t>
      </w:r>
      <w:proofErr w:type="spellEnd"/>
      <w:r w:rsidRPr="0071319B">
        <w:rPr>
          <w:rFonts w:asciiTheme="majorBidi" w:hAnsiTheme="majorBidi" w:cstheme="majorBidi"/>
          <w:spacing w:val="-2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ozbiljnošću.</w:t>
      </w:r>
    </w:p>
    <w:p w14:paraId="3380F6D7" w14:textId="77777777" w:rsidR="000635CE" w:rsidRPr="0071319B" w:rsidRDefault="000635CE" w:rsidP="0071319B">
      <w:pPr>
        <w:widowControl w:val="0"/>
        <w:tabs>
          <w:tab w:val="left" w:pos="9781"/>
        </w:tabs>
        <w:autoSpaceDE w:val="0"/>
        <w:autoSpaceDN w:val="0"/>
        <w:spacing w:before="117"/>
        <w:jc w:val="both"/>
        <w:rPr>
          <w:rFonts w:asciiTheme="majorBidi" w:hAnsiTheme="majorBidi" w:cstheme="majorBidi"/>
          <w:sz w:val="22"/>
          <w:szCs w:val="22"/>
          <w:u w:val="single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Poremećaji krvi i limfnog sistema</w:t>
      </w:r>
    </w:p>
    <w:p w14:paraId="758A5D6F" w14:textId="77777777" w:rsidR="000635CE" w:rsidRPr="0071319B" w:rsidRDefault="000635CE" w:rsidP="0071319B">
      <w:pPr>
        <w:widowControl w:val="0"/>
        <w:numPr>
          <w:ilvl w:val="0"/>
          <w:numId w:val="13"/>
        </w:numPr>
        <w:tabs>
          <w:tab w:val="left" w:pos="516"/>
          <w:tab w:val="left" w:pos="9781"/>
        </w:tabs>
        <w:autoSpaceDE w:val="0"/>
        <w:autoSpaceDN w:val="0"/>
        <w:spacing w:before="1"/>
        <w:ind w:left="0" w:firstLine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Čest</w:t>
      </w:r>
      <w:r w:rsidR="00E454C0" w:rsidRPr="0071319B">
        <w:rPr>
          <w:rFonts w:asciiTheme="majorBidi" w:hAnsiTheme="majorBidi" w:cstheme="majorBidi"/>
          <w:i/>
          <w:sz w:val="22"/>
          <w:szCs w:val="22"/>
          <w:lang w:val="sr-Latn-ME"/>
        </w:rPr>
        <w:t>o</w:t>
      </w: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: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krvarenj</w:t>
      </w:r>
      <w:r w:rsidR="00E454C0" w:rsidRPr="0071319B">
        <w:rPr>
          <w:rFonts w:asciiTheme="majorBidi" w:hAnsiTheme="majorBidi" w:cstheme="majorBidi"/>
          <w:sz w:val="22"/>
          <w:szCs w:val="22"/>
          <w:lang w:val="sr-Latn-ME"/>
        </w:rPr>
        <w:t>e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,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hemoragijska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anemija*,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trombocitopenija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,</w:t>
      </w:r>
      <w:r w:rsidRPr="0071319B">
        <w:rPr>
          <w:rFonts w:asciiTheme="majorBidi" w:hAnsiTheme="majorBidi" w:cstheme="majorBidi"/>
          <w:spacing w:val="-8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trombocitoza</w:t>
      </w:r>
      <w:proofErr w:type="spellEnd"/>
    </w:p>
    <w:p w14:paraId="582F6887" w14:textId="0F2A3AEE" w:rsidR="000635CE" w:rsidRPr="0071319B" w:rsidRDefault="000635CE" w:rsidP="00190890">
      <w:pPr>
        <w:widowControl w:val="0"/>
        <w:numPr>
          <w:ilvl w:val="0"/>
          <w:numId w:val="13"/>
        </w:numPr>
        <w:tabs>
          <w:tab w:val="left" w:pos="516"/>
          <w:tab w:val="left" w:pos="9781"/>
        </w:tabs>
        <w:autoSpaceDE w:val="0"/>
        <w:autoSpaceDN w:val="0"/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Rijetk</w:t>
      </w:r>
      <w:r w:rsidR="000902A2" w:rsidRPr="0071319B">
        <w:rPr>
          <w:rFonts w:asciiTheme="majorBidi" w:hAnsiTheme="majorBidi" w:cstheme="majorBidi"/>
          <w:i/>
          <w:sz w:val="22"/>
          <w:szCs w:val="22"/>
          <w:lang w:val="sr-Latn-ME"/>
        </w:rPr>
        <w:t>o</w:t>
      </w: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:</w:t>
      </w:r>
      <w:r w:rsidR="000902A2" w:rsidRPr="0071319B">
        <w:rPr>
          <w:rFonts w:asciiTheme="majorBidi" w:hAnsiTheme="majorBidi" w:cstheme="majorBidi"/>
          <w:spacing w:val="-2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eozinofilija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*</w:t>
      </w:r>
      <w:r w:rsidR="00BD6D2E" w:rsidRPr="0071319B">
        <w:rPr>
          <w:rFonts w:asciiTheme="majorBidi" w:hAnsiTheme="majorBidi" w:cstheme="majorBidi"/>
          <w:sz w:val="22"/>
          <w:szCs w:val="22"/>
          <w:lang w:val="sr-Latn-ME"/>
        </w:rPr>
        <w:t>,</w:t>
      </w:r>
      <w:r w:rsidR="000902A2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slučajevi imuno-alergijske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trombocitopenije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sa trombozom; u nekim slučajevima tromboza </w:t>
      </w:r>
      <w:r w:rsidR="000902A2" w:rsidRPr="0071319B">
        <w:rPr>
          <w:rFonts w:asciiTheme="majorBidi" w:hAnsiTheme="majorBidi" w:cstheme="majorBidi"/>
          <w:sz w:val="22"/>
          <w:szCs w:val="22"/>
          <w:lang w:val="sr-Latn-ME"/>
        </w:rPr>
        <w:t>je dovela do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infarkt</w:t>
      </w:r>
      <w:r w:rsidR="000902A2" w:rsidRPr="0071319B">
        <w:rPr>
          <w:rFonts w:asciiTheme="majorBidi" w:hAnsiTheme="majorBidi" w:cstheme="majorBidi"/>
          <w:sz w:val="22"/>
          <w:szCs w:val="22"/>
          <w:lang w:val="sr-Latn-ME"/>
        </w:rPr>
        <w:t>a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organa ili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ishemij</w:t>
      </w:r>
      <w:r w:rsidR="000902A2" w:rsidRPr="0071319B">
        <w:rPr>
          <w:rFonts w:asciiTheme="majorBidi" w:hAnsiTheme="majorBidi" w:cstheme="majorBidi"/>
          <w:sz w:val="22"/>
          <w:szCs w:val="22"/>
          <w:lang w:val="sr-Latn-ME"/>
        </w:rPr>
        <w:t>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ekstremiteta (vidjeti </w:t>
      </w:r>
      <w:r w:rsidR="00F30D6A">
        <w:rPr>
          <w:rFonts w:asciiTheme="majorBidi" w:hAnsiTheme="majorBidi" w:cstheme="majorBidi"/>
          <w:sz w:val="22"/>
          <w:szCs w:val="22"/>
          <w:lang w:val="sr-Latn-ME"/>
        </w:rPr>
        <w:t xml:space="preserve">dio </w:t>
      </w:r>
      <w:r w:rsidRPr="0071319B">
        <w:rPr>
          <w:rFonts w:asciiTheme="majorBidi" w:hAnsiTheme="majorBidi" w:cstheme="majorBidi"/>
          <w:spacing w:val="-10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4.4)</w:t>
      </w:r>
    </w:p>
    <w:p w14:paraId="2DC9F0F7" w14:textId="77777777" w:rsidR="000635CE" w:rsidRPr="0071319B" w:rsidRDefault="0052128C" w:rsidP="0071319B">
      <w:pPr>
        <w:widowControl w:val="0"/>
        <w:tabs>
          <w:tab w:val="left" w:pos="9781"/>
        </w:tabs>
        <w:autoSpaceDE w:val="0"/>
        <w:autoSpaceDN w:val="0"/>
        <w:spacing w:before="117"/>
        <w:jc w:val="both"/>
        <w:rPr>
          <w:rFonts w:asciiTheme="majorBidi" w:hAnsiTheme="majorBidi" w:cstheme="majorBidi"/>
          <w:sz w:val="22"/>
          <w:szCs w:val="22"/>
          <w:u w:val="single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Poremećaji imuno</w:t>
      </w:r>
      <w:r w:rsidR="000635CE"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g sistema</w:t>
      </w:r>
    </w:p>
    <w:p w14:paraId="372DF91D" w14:textId="77777777" w:rsidR="000635CE" w:rsidRPr="0071319B" w:rsidRDefault="000635CE" w:rsidP="0071319B">
      <w:pPr>
        <w:widowControl w:val="0"/>
        <w:numPr>
          <w:ilvl w:val="0"/>
          <w:numId w:val="13"/>
        </w:numPr>
        <w:tabs>
          <w:tab w:val="left" w:pos="516"/>
          <w:tab w:val="left" w:pos="9781"/>
        </w:tabs>
        <w:autoSpaceDE w:val="0"/>
        <w:autoSpaceDN w:val="0"/>
        <w:ind w:left="0" w:firstLine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Čest</w:t>
      </w:r>
      <w:r w:rsidR="000902A2" w:rsidRPr="0071319B">
        <w:rPr>
          <w:rFonts w:asciiTheme="majorBidi" w:hAnsiTheme="majorBidi" w:cstheme="majorBidi"/>
          <w:sz w:val="22"/>
          <w:szCs w:val="22"/>
          <w:lang w:val="sr-Latn-ME"/>
        </w:rPr>
        <w:t>o: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alergijsk</w:t>
      </w:r>
      <w:r w:rsidR="00D63029" w:rsidRPr="0071319B">
        <w:rPr>
          <w:rFonts w:asciiTheme="majorBidi" w:hAnsiTheme="majorBidi" w:cstheme="majorBidi"/>
          <w:sz w:val="22"/>
          <w:szCs w:val="22"/>
          <w:lang w:val="sr-Latn-ME"/>
        </w:rPr>
        <w:t>a</w:t>
      </w:r>
      <w:r w:rsidRPr="0071319B">
        <w:rPr>
          <w:rFonts w:asciiTheme="majorBidi" w:hAnsiTheme="majorBidi" w:cstheme="majorBidi"/>
          <w:spacing w:val="-3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reakcij</w:t>
      </w:r>
      <w:r w:rsidR="00D63029" w:rsidRPr="0071319B">
        <w:rPr>
          <w:rFonts w:asciiTheme="majorBidi" w:hAnsiTheme="majorBidi" w:cstheme="majorBidi"/>
          <w:sz w:val="22"/>
          <w:szCs w:val="22"/>
          <w:lang w:val="sr-Latn-ME"/>
        </w:rPr>
        <w:t>a</w:t>
      </w:r>
    </w:p>
    <w:p w14:paraId="79BAAF03" w14:textId="77777777" w:rsidR="000635CE" w:rsidRPr="0071319B" w:rsidRDefault="000635CE" w:rsidP="0071319B">
      <w:pPr>
        <w:widowControl w:val="0"/>
        <w:numPr>
          <w:ilvl w:val="0"/>
          <w:numId w:val="13"/>
        </w:numPr>
        <w:tabs>
          <w:tab w:val="left" w:pos="516"/>
          <w:tab w:val="left" w:pos="9781"/>
        </w:tabs>
        <w:autoSpaceDE w:val="0"/>
        <w:autoSpaceDN w:val="0"/>
        <w:ind w:left="0" w:firstLine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Rijetk</w:t>
      </w:r>
      <w:r w:rsidR="000902A2" w:rsidRPr="0071319B">
        <w:rPr>
          <w:rFonts w:asciiTheme="majorBidi" w:hAnsiTheme="majorBidi" w:cstheme="majorBidi"/>
          <w:i/>
          <w:sz w:val="22"/>
          <w:szCs w:val="22"/>
          <w:lang w:val="sr-Latn-ME"/>
        </w:rPr>
        <w:t>o: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anafilaktičke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/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anafilaktoidne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reakcije uključujući</w:t>
      </w:r>
      <w:r w:rsidRPr="0071319B">
        <w:rPr>
          <w:rFonts w:asciiTheme="majorBidi" w:hAnsiTheme="majorBidi" w:cstheme="majorBidi"/>
          <w:spacing w:val="-6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šok*</w:t>
      </w:r>
    </w:p>
    <w:p w14:paraId="09D9125C" w14:textId="77777777" w:rsidR="000635CE" w:rsidRPr="0071319B" w:rsidRDefault="000635CE" w:rsidP="0071319B">
      <w:pPr>
        <w:widowControl w:val="0"/>
        <w:tabs>
          <w:tab w:val="left" w:pos="9781"/>
        </w:tabs>
        <w:autoSpaceDE w:val="0"/>
        <w:autoSpaceDN w:val="0"/>
        <w:spacing w:before="117"/>
        <w:jc w:val="both"/>
        <w:rPr>
          <w:rFonts w:asciiTheme="majorBidi" w:hAnsiTheme="majorBidi" w:cstheme="majorBidi"/>
          <w:sz w:val="22"/>
          <w:szCs w:val="22"/>
          <w:u w:val="single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Poremećaji nervnog sistema</w:t>
      </w:r>
    </w:p>
    <w:p w14:paraId="67A20818" w14:textId="77777777" w:rsidR="000635CE" w:rsidRPr="0071319B" w:rsidRDefault="0052128C" w:rsidP="0071319B">
      <w:pPr>
        <w:widowControl w:val="0"/>
        <w:numPr>
          <w:ilvl w:val="0"/>
          <w:numId w:val="13"/>
        </w:numPr>
        <w:tabs>
          <w:tab w:val="left" w:pos="516"/>
          <w:tab w:val="left" w:pos="9781"/>
        </w:tabs>
        <w:autoSpaceDE w:val="0"/>
        <w:autoSpaceDN w:val="0"/>
        <w:ind w:left="0" w:firstLine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Čest</w:t>
      </w:r>
      <w:r w:rsidR="000902A2" w:rsidRPr="0071319B">
        <w:rPr>
          <w:rFonts w:asciiTheme="majorBidi" w:hAnsiTheme="majorBidi" w:cstheme="majorBidi"/>
          <w:i/>
          <w:sz w:val="22"/>
          <w:szCs w:val="22"/>
          <w:lang w:val="sr-Latn-ME"/>
        </w:rPr>
        <w:t>o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:</w:t>
      </w:r>
      <w:r w:rsidR="000635CE" w:rsidRPr="0071319B">
        <w:rPr>
          <w:rFonts w:asciiTheme="majorBidi" w:hAnsiTheme="majorBidi" w:cstheme="majorBidi"/>
          <w:spacing w:val="-1"/>
          <w:sz w:val="22"/>
          <w:szCs w:val="22"/>
          <w:lang w:val="sr-Latn-ME"/>
        </w:rPr>
        <w:t xml:space="preserve"> 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glavobolja*</w:t>
      </w:r>
    </w:p>
    <w:p w14:paraId="4E1D7528" w14:textId="77777777" w:rsidR="000635CE" w:rsidRPr="0071319B" w:rsidRDefault="000635CE" w:rsidP="0071319B">
      <w:pPr>
        <w:widowControl w:val="0"/>
        <w:tabs>
          <w:tab w:val="left" w:pos="9781"/>
        </w:tabs>
        <w:autoSpaceDE w:val="0"/>
        <w:autoSpaceDN w:val="0"/>
        <w:spacing w:before="117"/>
        <w:jc w:val="both"/>
        <w:rPr>
          <w:rFonts w:asciiTheme="majorBidi" w:hAnsiTheme="majorBidi" w:cstheme="majorBidi"/>
          <w:sz w:val="22"/>
          <w:szCs w:val="22"/>
          <w:u w:val="single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Vaskularni poremećaji</w:t>
      </w:r>
    </w:p>
    <w:p w14:paraId="5B2463B6" w14:textId="5CE5AC58" w:rsidR="000635CE" w:rsidRPr="0071319B" w:rsidRDefault="000635CE" w:rsidP="00190890">
      <w:pPr>
        <w:widowControl w:val="0"/>
        <w:numPr>
          <w:ilvl w:val="0"/>
          <w:numId w:val="13"/>
        </w:numPr>
        <w:tabs>
          <w:tab w:val="left" w:pos="709"/>
          <w:tab w:val="left" w:pos="9781"/>
        </w:tabs>
        <w:autoSpaceDE w:val="0"/>
        <w:autoSpaceDN w:val="0"/>
        <w:ind w:left="426" w:right="332" w:hanging="426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lastRenderedPageBreak/>
        <w:t>Rijetk</w:t>
      </w:r>
      <w:r w:rsidR="000902A2" w:rsidRPr="0071319B">
        <w:rPr>
          <w:rFonts w:asciiTheme="majorBidi" w:hAnsiTheme="majorBidi" w:cstheme="majorBidi"/>
          <w:i/>
          <w:sz w:val="22"/>
          <w:szCs w:val="22"/>
          <w:lang w:val="sr-Latn-ME"/>
        </w:rPr>
        <w:t>o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: Spinalni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hematom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* (ili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neuroaksijalni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hematom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). Ove reakcije su imale za posljedicu neurološke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povrede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različitog stepena, uključujući dugotrajnu ili permanentnu paralizu (vidjeti </w:t>
      </w:r>
      <w:r w:rsidR="00F30D6A">
        <w:rPr>
          <w:rFonts w:asciiTheme="majorBidi" w:hAnsiTheme="majorBidi" w:cstheme="majorBidi"/>
          <w:sz w:val="22"/>
          <w:szCs w:val="22"/>
          <w:lang w:val="sr-Latn-ME"/>
        </w:rPr>
        <w:t xml:space="preserve">dio </w:t>
      </w:r>
      <w:r w:rsidRPr="0071319B">
        <w:rPr>
          <w:rFonts w:asciiTheme="majorBidi" w:hAnsiTheme="majorBidi" w:cstheme="majorBidi"/>
          <w:spacing w:val="-21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4.4)</w:t>
      </w:r>
    </w:p>
    <w:p w14:paraId="1E121157" w14:textId="77777777" w:rsidR="000635CE" w:rsidRPr="0071319B" w:rsidRDefault="000635CE" w:rsidP="0071319B">
      <w:pPr>
        <w:widowControl w:val="0"/>
        <w:tabs>
          <w:tab w:val="left" w:pos="9781"/>
        </w:tabs>
        <w:autoSpaceDE w:val="0"/>
        <w:autoSpaceDN w:val="0"/>
        <w:spacing w:before="122"/>
        <w:jc w:val="both"/>
        <w:rPr>
          <w:rFonts w:asciiTheme="majorBidi" w:hAnsiTheme="majorBidi" w:cstheme="majorBidi"/>
          <w:sz w:val="22"/>
          <w:szCs w:val="22"/>
          <w:u w:val="single"/>
          <w:lang w:val="sr-Latn-ME"/>
        </w:rPr>
      </w:pPr>
      <w:proofErr w:type="spellStart"/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Hepatobilijarni</w:t>
      </w:r>
      <w:proofErr w:type="spellEnd"/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 xml:space="preserve"> poremećaji</w:t>
      </w:r>
    </w:p>
    <w:p w14:paraId="362FF060" w14:textId="77777777" w:rsidR="000635CE" w:rsidRPr="0071319B" w:rsidRDefault="0052128C" w:rsidP="00190890">
      <w:pPr>
        <w:widowControl w:val="0"/>
        <w:numPr>
          <w:ilvl w:val="0"/>
          <w:numId w:val="13"/>
        </w:numPr>
        <w:tabs>
          <w:tab w:val="left" w:pos="516"/>
          <w:tab w:val="left" w:pos="9781"/>
        </w:tabs>
        <w:autoSpaceDE w:val="0"/>
        <w:autoSpaceDN w:val="0"/>
        <w:ind w:left="567" w:right="332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Veoma čest</w:t>
      </w:r>
      <w:r w:rsidR="008828A9" w:rsidRPr="0071319B">
        <w:rPr>
          <w:rFonts w:asciiTheme="majorBidi" w:hAnsiTheme="majorBidi" w:cstheme="majorBidi"/>
          <w:i/>
          <w:sz w:val="22"/>
          <w:szCs w:val="22"/>
          <w:lang w:val="sr-Latn-ME"/>
        </w:rPr>
        <w:t>o</w:t>
      </w:r>
      <w:r w:rsidR="000635CE" w:rsidRPr="0071319B">
        <w:rPr>
          <w:rFonts w:asciiTheme="majorBidi" w:hAnsiTheme="majorBidi" w:cstheme="majorBidi"/>
          <w:i/>
          <w:sz w:val="22"/>
          <w:szCs w:val="22"/>
          <w:lang w:val="sr-Latn-ME"/>
        </w:rPr>
        <w:t>: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povišene vrijednosti enzima jetre (uglavnom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transaminaze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˃ 3 puta iznad gornje granice normalnih</w:t>
      </w:r>
      <w:r w:rsidR="000635CE" w:rsidRPr="0071319B">
        <w:rPr>
          <w:rFonts w:asciiTheme="majorBidi" w:hAnsiTheme="majorBidi" w:cstheme="majorBidi"/>
          <w:spacing w:val="-2"/>
          <w:sz w:val="22"/>
          <w:szCs w:val="22"/>
          <w:lang w:val="sr-Latn-ME"/>
        </w:rPr>
        <w:t xml:space="preserve"> 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vr</w:t>
      </w:r>
      <w:r w:rsidR="000C4393" w:rsidRPr="0071319B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ednosti)</w:t>
      </w:r>
    </w:p>
    <w:p w14:paraId="68256E6F" w14:textId="77777777" w:rsidR="000635CE" w:rsidRPr="0071319B" w:rsidRDefault="000635CE" w:rsidP="0071319B">
      <w:pPr>
        <w:widowControl w:val="0"/>
        <w:numPr>
          <w:ilvl w:val="0"/>
          <w:numId w:val="13"/>
        </w:numPr>
        <w:tabs>
          <w:tab w:val="left" w:pos="516"/>
          <w:tab w:val="left" w:pos="9781"/>
        </w:tabs>
        <w:autoSpaceDE w:val="0"/>
        <w:autoSpaceDN w:val="0"/>
        <w:ind w:left="0" w:firstLine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Povremen</w:t>
      </w:r>
      <w:r w:rsidR="008828A9" w:rsidRPr="0071319B">
        <w:rPr>
          <w:rFonts w:asciiTheme="majorBidi" w:hAnsiTheme="majorBidi" w:cstheme="majorBidi"/>
          <w:i/>
          <w:sz w:val="22"/>
          <w:szCs w:val="22"/>
          <w:lang w:val="sr-Latn-ME"/>
        </w:rPr>
        <w:t>o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: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hepatocelularno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oštećenje</w:t>
      </w:r>
      <w:r w:rsidRPr="0071319B">
        <w:rPr>
          <w:rFonts w:asciiTheme="majorBidi" w:hAnsiTheme="majorBidi" w:cstheme="majorBidi"/>
          <w:spacing w:val="1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jetre*</w:t>
      </w:r>
    </w:p>
    <w:p w14:paraId="7F0A972D" w14:textId="77777777" w:rsidR="000635CE" w:rsidRPr="0071319B" w:rsidRDefault="0052128C" w:rsidP="0071319B">
      <w:pPr>
        <w:widowControl w:val="0"/>
        <w:numPr>
          <w:ilvl w:val="0"/>
          <w:numId w:val="13"/>
        </w:numPr>
        <w:tabs>
          <w:tab w:val="left" w:pos="516"/>
          <w:tab w:val="left" w:pos="9781"/>
        </w:tabs>
        <w:autoSpaceDE w:val="0"/>
        <w:autoSpaceDN w:val="0"/>
        <w:ind w:left="0" w:firstLine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Rijetk</w:t>
      </w:r>
      <w:r w:rsidR="008828A9" w:rsidRPr="0071319B">
        <w:rPr>
          <w:rFonts w:asciiTheme="majorBidi" w:hAnsiTheme="majorBidi" w:cstheme="majorBidi"/>
          <w:i/>
          <w:sz w:val="22"/>
          <w:szCs w:val="22"/>
          <w:lang w:val="sr-Latn-ME"/>
        </w:rPr>
        <w:t>o</w:t>
      </w:r>
      <w:r w:rsidR="000635CE" w:rsidRPr="0071319B">
        <w:rPr>
          <w:rFonts w:asciiTheme="majorBidi" w:hAnsiTheme="majorBidi" w:cstheme="majorBidi"/>
          <w:i/>
          <w:sz w:val="22"/>
          <w:szCs w:val="22"/>
          <w:lang w:val="sr-Latn-ME"/>
        </w:rPr>
        <w:t>: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holestatsko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oštećenje</w:t>
      </w:r>
      <w:r w:rsidR="000635CE" w:rsidRPr="0071319B">
        <w:rPr>
          <w:rFonts w:asciiTheme="majorBidi" w:hAnsiTheme="majorBidi" w:cstheme="majorBidi"/>
          <w:spacing w:val="1"/>
          <w:sz w:val="22"/>
          <w:szCs w:val="22"/>
          <w:lang w:val="sr-Latn-ME"/>
        </w:rPr>
        <w:t xml:space="preserve"> 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jetre*</w:t>
      </w:r>
    </w:p>
    <w:p w14:paraId="5456870B" w14:textId="77777777" w:rsidR="000635CE" w:rsidRPr="0071319B" w:rsidRDefault="000635CE" w:rsidP="0071319B">
      <w:pPr>
        <w:widowControl w:val="0"/>
        <w:tabs>
          <w:tab w:val="left" w:pos="9781"/>
        </w:tabs>
        <w:autoSpaceDE w:val="0"/>
        <w:autoSpaceDN w:val="0"/>
        <w:spacing w:before="119"/>
        <w:jc w:val="both"/>
        <w:rPr>
          <w:rFonts w:asciiTheme="majorBidi" w:hAnsiTheme="majorBidi" w:cstheme="majorBidi"/>
          <w:sz w:val="22"/>
          <w:szCs w:val="22"/>
          <w:u w:val="single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Poremećaji kože i potkožnog tkiva</w:t>
      </w:r>
    </w:p>
    <w:p w14:paraId="168787D7" w14:textId="77777777" w:rsidR="000635CE" w:rsidRPr="0071319B" w:rsidRDefault="000635CE" w:rsidP="0071319B">
      <w:pPr>
        <w:widowControl w:val="0"/>
        <w:numPr>
          <w:ilvl w:val="0"/>
          <w:numId w:val="13"/>
        </w:numPr>
        <w:tabs>
          <w:tab w:val="left" w:pos="516"/>
          <w:tab w:val="left" w:pos="9781"/>
        </w:tabs>
        <w:autoSpaceDE w:val="0"/>
        <w:autoSpaceDN w:val="0"/>
        <w:ind w:left="0" w:firstLine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Čest</w:t>
      </w:r>
      <w:r w:rsidR="008828A9" w:rsidRPr="0071319B">
        <w:rPr>
          <w:rFonts w:asciiTheme="majorBidi" w:hAnsiTheme="majorBidi" w:cstheme="majorBidi"/>
          <w:i/>
          <w:sz w:val="22"/>
          <w:szCs w:val="22"/>
          <w:lang w:val="sr-Latn-ME"/>
        </w:rPr>
        <w:t>o</w:t>
      </w: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: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urtikarija, svrab,</w:t>
      </w:r>
      <w:r w:rsidRPr="0071319B">
        <w:rPr>
          <w:rFonts w:asciiTheme="majorBidi" w:hAnsiTheme="majorBidi" w:cstheme="majorBidi"/>
          <w:spacing w:val="-20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eritem</w:t>
      </w:r>
      <w:proofErr w:type="spellEnd"/>
    </w:p>
    <w:p w14:paraId="68730A96" w14:textId="77777777" w:rsidR="000635CE" w:rsidRPr="0071319B" w:rsidRDefault="0052128C" w:rsidP="0071319B">
      <w:pPr>
        <w:widowControl w:val="0"/>
        <w:numPr>
          <w:ilvl w:val="0"/>
          <w:numId w:val="13"/>
        </w:numPr>
        <w:tabs>
          <w:tab w:val="left" w:pos="516"/>
          <w:tab w:val="left" w:pos="9781"/>
        </w:tabs>
        <w:autoSpaceDE w:val="0"/>
        <w:autoSpaceDN w:val="0"/>
        <w:ind w:left="0" w:firstLine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Povremen</w:t>
      </w:r>
      <w:r w:rsidR="00D63029" w:rsidRPr="0071319B">
        <w:rPr>
          <w:rFonts w:asciiTheme="majorBidi" w:hAnsiTheme="majorBidi" w:cstheme="majorBidi"/>
          <w:i/>
          <w:sz w:val="22"/>
          <w:szCs w:val="22"/>
          <w:lang w:val="sr-Latn-ME"/>
        </w:rPr>
        <w:t>o</w:t>
      </w:r>
      <w:r w:rsidR="000635CE" w:rsidRPr="0071319B">
        <w:rPr>
          <w:rFonts w:asciiTheme="majorBidi" w:hAnsiTheme="majorBidi" w:cstheme="majorBidi"/>
          <w:i/>
          <w:sz w:val="22"/>
          <w:szCs w:val="22"/>
          <w:lang w:val="sr-Latn-ME"/>
        </w:rPr>
        <w:t>: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bulozni</w:t>
      </w:r>
      <w:proofErr w:type="spellEnd"/>
      <w:r w:rsidR="000635CE" w:rsidRPr="0071319B">
        <w:rPr>
          <w:rFonts w:asciiTheme="majorBidi" w:hAnsiTheme="majorBidi" w:cstheme="majorBidi"/>
          <w:spacing w:val="-17"/>
          <w:sz w:val="22"/>
          <w:szCs w:val="22"/>
          <w:lang w:val="sr-Latn-ME"/>
        </w:rPr>
        <w:t xml:space="preserve"> 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dermatitis</w:t>
      </w:r>
    </w:p>
    <w:p w14:paraId="206A0146" w14:textId="256106B6" w:rsidR="000635CE" w:rsidRDefault="0052128C" w:rsidP="00190890">
      <w:pPr>
        <w:widowControl w:val="0"/>
        <w:numPr>
          <w:ilvl w:val="0"/>
          <w:numId w:val="13"/>
        </w:numPr>
        <w:tabs>
          <w:tab w:val="left" w:pos="516"/>
          <w:tab w:val="left" w:pos="9781"/>
        </w:tabs>
        <w:autoSpaceDE w:val="0"/>
        <w:autoSpaceDN w:val="0"/>
        <w:ind w:left="567" w:right="330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Rijetk</w:t>
      </w:r>
      <w:r w:rsidR="00D63029" w:rsidRPr="0071319B">
        <w:rPr>
          <w:rFonts w:asciiTheme="majorBidi" w:hAnsiTheme="majorBidi" w:cstheme="majorBidi"/>
          <w:i/>
          <w:sz w:val="22"/>
          <w:szCs w:val="22"/>
          <w:lang w:val="sr-Latn-ME"/>
        </w:rPr>
        <w:t>o</w:t>
      </w:r>
      <w:r w:rsidR="000635CE" w:rsidRPr="0071319B">
        <w:rPr>
          <w:rFonts w:asciiTheme="majorBidi" w:hAnsiTheme="majorBidi" w:cstheme="majorBidi"/>
          <w:i/>
          <w:sz w:val="22"/>
          <w:szCs w:val="22"/>
          <w:lang w:val="sr-Latn-ME"/>
        </w:rPr>
        <w:t>: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alopecija*,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kutani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vaskulitis*,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nekroza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kože* koja se obično javlja na mjestu davanja injekcije (ovom fenomenu obično prethode pojava purpure ili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eritematoznih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plakova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, infiltrirani i bolni).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Noduli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 mjestu davanja injekcije*(inflamatorni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noduli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koji ne predstavljaju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cistično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nakupljanje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enoksaparina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). Povlače se nakon nekoliko dana i ne predstavljaju razlog za prekid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terapije</w:t>
      </w:r>
    </w:p>
    <w:p w14:paraId="1DBF99AC" w14:textId="77777777" w:rsidR="009502FD" w:rsidRPr="00A04E4C" w:rsidRDefault="00D93E45" w:rsidP="0071319B">
      <w:pPr>
        <w:widowControl w:val="0"/>
        <w:numPr>
          <w:ilvl w:val="0"/>
          <w:numId w:val="13"/>
        </w:numPr>
        <w:tabs>
          <w:tab w:val="left" w:pos="516"/>
          <w:tab w:val="left" w:pos="9781"/>
        </w:tabs>
        <w:autoSpaceDE w:val="0"/>
        <w:autoSpaceDN w:val="0"/>
        <w:ind w:left="0" w:right="330" w:firstLine="0"/>
        <w:jc w:val="both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A04E4C">
        <w:rPr>
          <w:rFonts w:asciiTheme="majorBidi" w:hAnsiTheme="majorBidi" w:cstheme="majorBidi"/>
          <w:i/>
          <w:sz w:val="22"/>
          <w:szCs w:val="22"/>
          <w:lang w:val="sr-Latn-ME"/>
        </w:rPr>
        <w:t>Nepoznato:</w:t>
      </w:r>
      <w:r>
        <w:rPr>
          <w:rFonts w:asciiTheme="majorBidi" w:hAnsiTheme="majorBidi" w:cstheme="majorBidi"/>
          <w:i/>
          <w:sz w:val="22"/>
          <w:szCs w:val="22"/>
          <w:lang w:val="sr-Latn-ME"/>
        </w:rPr>
        <w:t xml:space="preserve"> </w:t>
      </w:r>
      <w:r w:rsidRPr="00A04E4C">
        <w:rPr>
          <w:rFonts w:asciiTheme="majorBidi" w:hAnsiTheme="majorBidi" w:cstheme="majorBidi"/>
          <w:sz w:val="22"/>
          <w:szCs w:val="22"/>
          <w:lang w:val="sr-Latn-ME"/>
        </w:rPr>
        <w:t>Akutna generalizovana</w:t>
      </w:r>
      <w:r w:rsidRPr="00D93E45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D93E45">
        <w:rPr>
          <w:rFonts w:asciiTheme="majorBidi" w:hAnsiTheme="majorBidi" w:cstheme="majorBidi"/>
          <w:sz w:val="22"/>
          <w:szCs w:val="22"/>
          <w:lang w:val="sr-Latn-ME"/>
        </w:rPr>
        <w:t>egzantematozna</w:t>
      </w:r>
      <w:proofErr w:type="spellEnd"/>
      <w:r w:rsidRPr="00A04E4C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A04E4C">
        <w:rPr>
          <w:rFonts w:asciiTheme="majorBidi" w:hAnsiTheme="majorBidi" w:cstheme="majorBidi"/>
          <w:sz w:val="22"/>
          <w:szCs w:val="22"/>
          <w:lang w:val="sr-Latn-ME"/>
        </w:rPr>
        <w:t>pustuloza</w:t>
      </w:r>
      <w:proofErr w:type="spellEnd"/>
      <w:r w:rsidRPr="00A04E4C">
        <w:rPr>
          <w:rFonts w:asciiTheme="majorBidi" w:hAnsiTheme="majorBidi" w:cstheme="majorBidi"/>
          <w:sz w:val="22"/>
          <w:szCs w:val="22"/>
          <w:lang w:val="sr-Latn-ME"/>
        </w:rPr>
        <w:t xml:space="preserve"> (AGEP)</w:t>
      </w:r>
    </w:p>
    <w:p w14:paraId="5A771AA6" w14:textId="164B287F" w:rsidR="000635CE" w:rsidRPr="0071319B" w:rsidRDefault="000635CE" w:rsidP="0071319B">
      <w:pPr>
        <w:widowControl w:val="0"/>
        <w:tabs>
          <w:tab w:val="left" w:pos="9781"/>
        </w:tabs>
        <w:autoSpaceDE w:val="0"/>
        <w:autoSpaceDN w:val="0"/>
        <w:spacing w:before="120"/>
        <w:jc w:val="both"/>
        <w:rPr>
          <w:rFonts w:asciiTheme="majorBidi" w:hAnsiTheme="majorBidi" w:cstheme="majorBidi"/>
          <w:sz w:val="22"/>
          <w:szCs w:val="22"/>
          <w:u w:val="single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Poremećaji mišićno-</w:t>
      </w:r>
      <w:proofErr w:type="spellStart"/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ko</w:t>
      </w:r>
      <w:r w:rsidR="00190890">
        <w:rPr>
          <w:rFonts w:asciiTheme="majorBidi" w:hAnsiTheme="majorBidi" w:cstheme="majorBidi"/>
          <w:sz w:val="22"/>
          <w:szCs w:val="22"/>
          <w:u w:val="single"/>
          <w:lang w:val="sr-Latn-ME"/>
        </w:rPr>
        <w:t>st</w:t>
      </w: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nog</w:t>
      </w:r>
      <w:proofErr w:type="spellEnd"/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 xml:space="preserve"> sistema i vezivnog tkiva</w:t>
      </w:r>
    </w:p>
    <w:p w14:paraId="564FBD19" w14:textId="1249370F" w:rsidR="001254DD" w:rsidRPr="0071319B" w:rsidRDefault="000635CE" w:rsidP="003207FF">
      <w:pPr>
        <w:widowControl w:val="0"/>
        <w:numPr>
          <w:ilvl w:val="0"/>
          <w:numId w:val="13"/>
        </w:numPr>
        <w:tabs>
          <w:tab w:val="left" w:pos="516"/>
          <w:tab w:val="left" w:pos="9781"/>
        </w:tabs>
        <w:autoSpaceDE w:val="0"/>
        <w:autoSpaceDN w:val="0"/>
        <w:ind w:left="0" w:firstLine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Rijetk</w:t>
      </w:r>
      <w:r w:rsidR="00D63029" w:rsidRPr="0071319B">
        <w:rPr>
          <w:rFonts w:asciiTheme="majorBidi" w:hAnsiTheme="majorBidi" w:cstheme="majorBidi"/>
          <w:i/>
          <w:sz w:val="22"/>
          <w:szCs w:val="22"/>
          <w:lang w:val="sr-Latn-ME"/>
        </w:rPr>
        <w:t>o</w:t>
      </w: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: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osteoporoza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* nakon dugotrajne terapije (duže od 3</w:t>
      </w:r>
      <w:r w:rsidRPr="0071319B">
        <w:rPr>
          <w:rFonts w:asciiTheme="majorBidi" w:hAnsiTheme="majorBidi" w:cstheme="majorBidi"/>
          <w:spacing w:val="-12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m</w:t>
      </w:r>
      <w:r w:rsidR="0052128C" w:rsidRPr="0071319B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eseca)</w:t>
      </w:r>
    </w:p>
    <w:p w14:paraId="4C163C3A" w14:textId="77777777" w:rsidR="000635CE" w:rsidRPr="0071319B" w:rsidRDefault="000635CE" w:rsidP="0071319B">
      <w:pPr>
        <w:widowControl w:val="0"/>
        <w:autoSpaceDE w:val="0"/>
        <w:autoSpaceDN w:val="0"/>
        <w:spacing w:before="120"/>
        <w:jc w:val="both"/>
        <w:rPr>
          <w:rFonts w:asciiTheme="majorBidi" w:hAnsiTheme="majorBidi" w:cstheme="majorBidi"/>
          <w:sz w:val="22"/>
          <w:szCs w:val="22"/>
          <w:u w:val="single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Opšti poremećaji i reakcije na mjestu primjene</w:t>
      </w:r>
    </w:p>
    <w:p w14:paraId="0C11563D" w14:textId="77777777" w:rsidR="000635CE" w:rsidRPr="0071319B" w:rsidRDefault="000635CE" w:rsidP="00190890">
      <w:pPr>
        <w:widowControl w:val="0"/>
        <w:numPr>
          <w:ilvl w:val="0"/>
          <w:numId w:val="13"/>
        </w:numPr>
        <w:tabs>
          <w:tab w:val="left" w:pos="516"/>
        </w:tabs>
        <w:autoSpaceDE w:val="0"/>
        <w:autoSpaceDN w:val="0"/>
        <w:ind w:left="567" w:right="331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Čest</w:t>
      </w:r>
      <w:r w:rsidR="00D63029" w:rsidRPr="0071319B">
        <w:rPr>
          <w:rFonts w:asciiTheme="majorBidi" w:hAnsiTheme="majorBidi" w:cstheme="majorBidi"/>
          <w:i/>
          <w:sz w:val="22"/>
          <w:szCs w:val="22"/>
          <w:lang w:val="sr-Latn-ME"/>
        </w:rPr>
        <w:t>o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: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hematom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 mjestu davanja injekcije, bol na mjestu davanja injekcije, ostale reakcije na mjestu davanja</w:t>
      </w:r>
      <w:r w:rsidRPr="0071319B">
        <w:rPr>
          <w:rFonts w:asciiTheme="majorBidi" w:hAnsiTheme="majorBidi" w:cstheme="majorBidi"/>
          <w:spacing w:val="-4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injekcije</w:t>
      </w:r>
      <w:r w:rsidRPr="0071319B">
        <w:rPr>
          <w:rFonts w:asciiTheme="majorBidi" w:hAnsiTheme="majorBidi" w:cstheme="majorBidi"/>
          <w:spacing w:val="-4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(kao</w:t>
      </w:r>
      <w:r w:rsidRPr="0071319B">
        <w:rPr>
          <w:rFonts w:asciiTheme="majorBidi" w:hAnsiTheme="majorBidi" w:cstheme="majorBidi"/>
          <w:spacing w:val="-4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što</w:t>
      </w:r>
      <w:r w:rsidRPr="0071319B">
        <w:rPr>
          <w:rFonts w:asciiTheme="majorBidi" w:hAnsiTheme="majorBidi" w:cstheme="majorBidi"/>
          <w:spacing w:val="-4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su</w:t>
      </w:r>
      <w:r w:rsidRPr="0071319B">
        <w:rPr>
          <w:rFonts w:asciiTheme="majorBidi" w:hAnsiTheme="majorBidi" w:cstheme="majorBidi"/>
          <w:spacing w:val="-4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edem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,</w:t>
      </w:r>
      <w:r w:rsidRPr="0071319B">
        <w:rPr>
          <w:rFonts w:asciiTheme="majorBidi" w:hAnsiTheme="majorBidi" w:cstheme="majorBidi"/>
          <w:spacing w:val="-4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hemoragija,</w:t>
      </w:r>
      <w:r w:rsidRPr="0071319B">
        <w:rPr>
          <w:rFonts w:asciiTheme="majorBidi" w:hAnsiTheme="majorBidi" w:cstheme="majorBidi"/>
          <w:spacing w:val="-4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preosjetljivost,</w:t>
      </w:r>
      <w:r w:rsidRPr="0071319B">
        <w:rPr>
          <w:rFonts w:asciiTheme="majorBidi" w:hAnsiTheme="majorBidi" w:cstheme="majorBidi"/>
          <w:spacing w:val="-4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zapaljenje,</w:t>
      </w:r>
      <w:r w:rsidRPr="0071319B">
        <w:rPr>
          <w:rFonts w:asciiTheme="majorBidi" w:hAnsiTheme="majorBidi" w:cstheme="majorBidi"/>
          <w:spacing w:val="1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pojava</w:t>
      </w:r>
      <w:r w:rsidRPr="0071319B">
        <w:rPr>
          <w:rFonts w:asciiTheme="majorBidi" w:hAnsiTheme="majorBidi" w:cstheme="majorBidi"/>
          <w:spacing w:val="-4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mase,</w:t>
      </w:r>
      <w:r w:rsidRPr="0071319B">
        <w:rPr>
          <w:rFonts w:asciiTheme="majorBidi" w:hAnsiTheme="majorBidi" w:cstheme="majorBidi"/>
          <w:spacing w:val="-4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bol</w:t>
      </w:r>
      <w:r w:rsidRPr="0071319B">
        <w:rPr>
          <w:rFonts w:asciiTheme="majorBidi" w:hAnsiTheme="majorBidi" w:cstheme="majorBidi"/>
          <w:spacing w:val="-4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il</w:t>
      </w:r>
      <w:r w:rsidR="0052128C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i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reakcija)</w:t>
      </w:r>
    </w:p>
    <w:p w14:paraId="10261B7C" w14:textId="77777777" w:rsidR="000635CE" w:rsidRPr="0071319B" w:rsidRDefault="000635CE" w:rsidP="0071319B">
      <w:pPr>
        <w:widowControl w:val="0"/>
        <w:numPr>
          <w:ilvl w:val="0"/>
          <w:numId w:val="13"/>
        </w:numPr>
        <w:tabs>
          <w:tab w:val="left" w:pos="516"/>
        </w:tabs>
        <w:autoSpaceDE w:val="0"/>
        <w:autoSpaceDN w:val="0"/>
        <w:spacing w:before="1"/>
        <w:ind w:left="0" w:firstLine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Povremen</w:t>
      </w:r>
      <w:r w:rsidR="00D63029" w:rsidRPr="0071319B">
        <w:rPr>
          <w:rFonts w:asciiTheme="majorBidi" w:hAnsiTheme="majorBidi" w:cstheme="majorBidi"/>
          <w:i/>
          <w:sz w:val="22"/>
          <w:szCs w:val="22"/>
          <w:lang w:val="sr-Latn-ME"/>
        </w:rPr>
        <w:t>o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: Lokalna iritacija,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nekroza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kože na mjestu primjene</w:t>
      </w:r>
      <w:r w:rsidRPr="0071319B">
        <w:rPr>
          <w:rFonts w:asciiTheme="majorBidi" w:hAnsiTheme="majorBidi" w:cstheme="majorBidi"/>
          <w:spacing w:val="-12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injekcije</w:t>
      </w:r>
    </w:p>
    <w:p w14:paraId="20F915CD" w14:textId="77777777" w:rsidR="000635CE" w:rsidRPr="0071319B" w:rsidRDefault="000635CE" w:rsidP="0071319B">
      <w:pPr>
        <w:widowControl w:val="0"/>
        <w:autoSpaceDE w:val="0"/>
        <w:autoSpaceDN w:val="0"/>
        <w:spacing w:before="121"/>
        <w:jc w:val="both"/>
        <w:rPr>
          <w:rFonts w:asciiTheme="majorBidi" w:hAnsiTheme="majorBidi" w:cstheme="majorBidi"/>
          <w:sz w:val="22"/>
          <w:szCs w:val="22"/>
          <w:u w:val="single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Ispitivanja</w:t>
      </w:r>
    </w:p>
    <w:p w14:paraId="0EC62454" w14:textId="255FC1D4" w:rsidR="000635CE" w:rsidRPr="0071319B" w:rsidRDefault="000635CE" w:rsidP="0071319B">
      <w:pPr>
        <w:widowControl w:val="0"/>
        <w:numPr>
          <w:ilvl w:val="0"/>
          <w:numId w:val="13"/>
        </w:numPr>
        <w:tabs>
          <w:tab w:val="left" w:pos="516"/>
        </w:tabs>
        <w:autoSpaceDE w:val="0"/>
        <w:autoSpaceDN w:val="0"/>
        <w:ind w:left="0" w:firstLine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Rijetk</w:t>
      </w:r>
      <w:r w:rsidR="00D63029" w:rsidRPr="0071319B">
        <w:rPr>
          <w:rFonts w:asciiTheme="majorBidi" w:hAnsiTheme="majorBidi" w:cstheme="majorBidi"/>
          <w:i/>
          <w:sz w:val="22"/>
          <w:szCs w:val="22"/>
          <w:lang w:val="sr-Latn-ME"/>
        </w:rPr>
        <w:t>o</w:t>
      </w:r>
      <w:r w:rsidR="0052128C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: </w:t>
      </w:r>
      <w:proofErr w:type="spellStart"/>
      <w:r w:rsidR="0052128C" w:rsidRPr="0071319B">
        <w:rPr>
          <w:rFonts w:asciiTheme="majorBidi" w:hAnsiTheme="majorBidi" w:cstheme="majorBidi"/>
          <w:sz w:val="22"/>
          <w:szCs w:val="22"/>
          <w:lang w:val="sr-Latn-ME"/>
        </w:rPr>
        <w:t>hiperkal</w:t>
      </w:r>
      <w:r w:rsidR="00190890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emija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* (vidjeti </w:t>
      </w:r>
      <w:r w:rsidR="00DF4A3D">
        <w:rPr>
          <w:rFonts w:asciiTheme="majorBidi" w:hAnsiTheme="majorBidi" w:cstheme="majorBidi"/>
          <w:sz w:val="22"/>
          <w:szCs w:val="22"/>
          <w:lang w:val="sr-Latn-ME"/>
        </w:rPr>
        <w:t>djelov</w:t>
      </w:r>
      <w:r w:rsidR="00DF4A3D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e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4.4 i</w:t>
      </w:r>
      <w:r w:rsidRPr="0071319B">
        <w:rPr>
          <w:rFonts w:asciiTheme="majorBidi" w:hAnsiTheme="majorBidi" w:cstheme="majorBidi"/>
          <w:spacing w:val="-8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4.5)</w:t>
      </w:r>
    </w:p>
    <w:p w14:paraId="626C6F99" w14:textId="77777777" w:rsidR="000635CE" w:rsidRPr="0071319B" w:rsidRDefault="000635CE" w:rsidP="0071319B">
      <w:pPr>
        <w:widowControl w:val="0"/>
        <w:autoSpaceDE w:val="0"/>
        <w:autoSpaceDN w:val="0"/>
        <w:spacing w:before="8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75022C8D" w14:textId="77777777" w:rsidR="000635CE" w:rsidRPr="0071319B" w:rsidRDefault="000635CE" w:rsidP="0071319B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Opis odabranih neželjenih dejstava</w:t>
      </w:r>
    </w:p>
    <w:p w14:paraId="6F74139B" w14:textId="77777777" w:rsidR="000635CE" w:rsidRPr="0071319B" w:rsidRDefault="000635CE" w:rsidP="0071319B">
      <w:pPr>
        <w:widowControl w:val="0"/>
        <w:autoSpaceDE w:val="0"/>
        <w:autoSpaceDN w:val="0"/>
        <w:spacing w:before="122"/>
        <w:jc w:val="both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Hemoragij</w:t>
      </w:r>
      <w:r w:rsidR="0052128C" w:rsidRPr="0071319B">
        <w:rPr>
          <w:rFonts w:asciiTheme="majorBidi" w:hAnsiTheme="majorBidi" w:cstheme="majorBidi"/>
          <w:i/>
          <w:sz w:val="22"/>
          <w:szCs w:val="22"/>
          <w:lang w:val="sr-Latn-ME"/>
        </w:rPr>
        <w:t>a</w:t>
      </w:r>
    </w:p>
    <w:p w14:paraId="53212136" w14:textId="1B47FBC3" w:rsidR="000635CE" w:rsidRPr="0071319B" w:rsidRDefault="000635CE" w:rsidP="0071319B">
      <w:pPr>
        <w:widowControl w:val="0"/>
        <w:autoSpaceDE w:val="0"/>
        <w:autoSpaceDN w:val="0"/>
        <w:spacing w:before="121"/>
        <w:ind w:right="331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Uključuju ozbiljne hemoragije prijavljene kod najviše 4,2% pacijenata (hirurških pacijenata). Neki od ovih slučajeva imali su fatalan ishod. Kod hirurških pacijenata,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hemoragijske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komplikacije koje su smatrane ozbiljnim: (1) ako je hemoragija izazvala značajan klinički događaj</w:t>
      </w:r>
      <w:r w:rsidR="00190890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ili (2) ako je praćena smanjenjem </w:t>
      </w:r>
      <w:r w:rsidR="00190890">
        <w:rPr>
          <w:rFonts w:asciiTheme="majorBidi" w:hAnsiTheme="majorBidi" w:cstheme="majorBidi"/>
          <w:sz w:val="22"/>
          <w:szCs w:val="22"/>
          <w:lang w:val="sr-Latn-ME"/>
        </w:rPr>
        <w:t xml:space="preserve">vrijednosti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hemoglobina </w:t>
      </w:r>
      <w:r w:rsidR="00DF4A3D">
        <w:rPr>
          <w:rFonts w:asciiTheme="majorBidi" w:hAnsiTheme="majorBidi" w:cstheme="majorBidi"/>
          <w:sz w:val="22"/>
          <w:szCs w:val="22"/>
          <w:lang w:val="sr-Latn-ME"/>
        </w:rPr>
        <w:t>≥</w:t>
      </w:r>
      <w:r w:rsidR="00190890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2 g/d</w:t>
      </w:r>
      <w:r w:rsidR="00DF4A3D">
        <w:rPr>
          <w:rFonts w:asciiTheme="majorBidi" w:hAnsiTheme="majorBidi" w:cstheme="majorBidi"/>
          <w:sz w:val="22"/>
          <w:szCs w:val="22"/>
          <w:lang w:val="sr-Latn-ME"/>
        </w:rPr>
        <w:t>l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ili transfuzijom 2 ili više jedinica derivata krvi.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Retroperitonealne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intrakranijalne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hemoragije se uv</w:t>
      </w:r>
      <w:r w:rsidR="00190890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ek smatraju ozbiljnim.</w:t>
      </w:r>
    </w:p>
    <w:p w14:paraId="3903F0DB" w14:textId="71FDCC78" w:rsidR="000635CE" w:rsidRPr="0071319B" w:rsidRDefault="000635CE" w:rsidP="0071319B">
      <w:pPr>
        <w:widowControl w:val="0"/>
        <w:autoSpaceDE w:val="0"/>
        <w:autoSpaceDN w:val="0"/>
        <w:spacing w:before="120"/>
        <w:ind w:right="333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Kao i kod ostalih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antikoagulanasa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, do hemoragije može doći u prisustvu udruženih faktora rizika kao što su: organske lezije sklone krvarenju,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invazivne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procedure ili istovremena primjena ljekova koji utiču na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hemostazu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(vidjeti </w:t>
      </w:r>
      <w:r w:rsidR="00DF4A3D">
        <w:rPr>
          <w:rFonts w:asciiTheme="majorBidi" w:hAnsiTheme="majorBidi" w:cstheme="majorBidi"/>
          <w:sz w:val="22"/>
          <w:szCs w:val="22"/>
          <w:lang w:val="sr-Latn-ME"/>
        </w:rPr>
        <w:t>djelov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e 4.4 i 4.5).</w:t>
      </w:r>
    </w:p>
    <w:p w14:paraId="673BCC09" w14:textId="77777777" w:rsidR="0046269B" w:rsidRPr="0071319B" w:rsidRDefault="0046269B" w:rsidP="000635CE">
      <w:pPr>
        <w:widowControl w:val="0"/>
        <w:autoSpaceDE w:val="0"/>
        <w:autoSpaceDN w:val="0"/>
        <w:spacing w:before="120"/>
        <w:ind w:left="232" w:right="333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tbl>
      <w:tblPr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4"/>
        <w:gridCol w:w="1306"/>
        <w:gridCol w:w="1706"/>
        <w:gridCol w:w="1701"/>
        <w:gridCol w:w="1701"/>
        <w:gridCol w:w="1559"/>
        <w:gridCol w:w="1418"/>
      </w:tblGrid>
      <w:tr w:rsidR="00357F8F" w:rsidRPr="003207FF" w14:paraId="00838243" w14:textId="77777777" w:rsidTr="00357F8F">
        <w:trPr>
          <w:trHeight w:val="1636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F643C" w14:textId="77777777" w:rsidR="00DF4A3D" w:rsidRPr="0071319B" w:rsidRDefault="00DF4A3D" w:rsidP="003207FF">
            <w:pPr>
              <w:widowControl w:val="0"/>
              <w:autoSpaceDE w:val="0"/>
              <w:autoSpaceDN w:val="0"/>
              <w:spacing w:before="109"/>
              <w:ind w:left="416" w:hanging="132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Klasa sistema organa po </w:t>
            </w:r>
            <w:proofErr w:type="spellStart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MedDRA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5525F" w14:textId="77777777" w:rsidR="00DF4A3D" w:rsidRPr="0071319B" w:rsidRDefault="00DF4A3D" w:rsidP="003207FF">
            <w:pPr>
              <w:widowControl w:val="0"/>
              <w:autoSpaceDE w:val="0"/>
              <w:autoSpaceDN w:val="0"/>
              <w:spacing w:before="109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Profilaksa kod hirurških pacijenata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5FB07" w14:textId="77777777" w:rsidR="00DF4A3D" w:rsidRPr="0071319B" w:rsidRDefault="00DF4A3D" w:rsidP="003207FF">
            <w:pPr>
              <w:widowControl w:val="0"/>
              <w:autoSpaceDE w:val="0"/>
              <w:autoSpaceDN w:val="0"/>
              <w:spacing w:before="109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Profilaksa kod internističkih pacijenata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C0067" w14:textId="77777777" w:rsidR="00DF4A3D" w:rsidRPr="0071319B" w:rsidRDefault="00DF4A3D" w:rsidP="003207FF">
            <w:pPr>
              <w:widowControl w:val="0"/>
              <w:autoSpaceDE w:val="0"/>
              <w:autoSpaceDN w:val="0"/>
              <w:spacing w:before="109"/>
              <w:ind w:right="232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Terapija kod pacijenata sa DVT sa ili bez PE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03B3" w14:textId="151CC8CD" w:rsidR="00DF4A3D" w:rsidRDefault="00EA33AC" w:rsidP="003207FF">
            <w:pPr>
              <w:widowControl w:val="0"/>
              <w:autoSpaceDE w:val="0"/>
              <w:autoSpaceDN w:val="0"/>
              <w:spacing w:before="109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Produžena terapija</w:t>
            </w:r>
          </w:p>
          <w:p w14:paraId="76BF4401" w14:textId="2AAC2579" w:rsidR="00EA33AC" w:rsidRPr="0071319B" w:rsidRDefault="00EA33AC" w:rsidP="003207FF">
            <w:pPr>
              <w:widowControl w:val="0"/>
              <w:autoSpaceDE w:val="0"/>
              <w:autoSpaceDN w:val="0"/>
              <w:spacing w:before="109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DVT ili PE </w:t>
            </w: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kod pacijenata </w:t>
            </w:r>
            <w:r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aktivnom malignom bolešću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8467B" w14:textId="56D64FC6" w:rsidR="00DF4A3D" w:rsidRPr="0071319B" w:rsidRDefault="00DF4A3D" w:rsidP="003207FF">
            <w:pPr>
              <w:widowControl w:val="0"/>
              <w:autoSpaceDE w:val="0"/>
              <w:autoSpaceDN w:val="0"/>
              <w:spacing w:before="109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Terapija kod pacijenata sa nestabilnom anginom i IM bez</w:t>
            </w:r>
          </w:p>
          <w:p w14:paraId="0594DF70" w14:textId="77777777" w:rsidR="00DF4A3D" w:rsidRPr="0071319B" w:rsidRDefault="00DF4A3D" w:rsidP="003207FF">
            <w:pPr>
              <w:widowControl w:val="0"/>
              <w:autoSpaceDE w:val="0"/>
              <w:autoSpaceDN w:val="0"/>
              <w:spacing w:before="2"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Q-talasa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C7DD1" w14:textId="77777777" w:rsidR="00DF4A3D" w:rsidRPr="0071319B" w:rsidRDefault="00DF4A3D" w:rsidP="003207FF">
            <w:pPr>
              <w:widowControl w:val="0"/>
              <w:autoSpaceDE w:val="0"/>
              <w:autoSpaceDN w:val="0"/>
              <w:spacing w:before="109"/>
              <w:ind w:right="85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Terapija kod pacijenata sa akutnim STEMI</w:t>
            </w:r>
          </w:p>
        </w:tc>
      </w:tr>
      <w:tr w:rsidR="00357F8F" w:rsidRPr="0071319B" w14:paraId="460037D9" w14:textId="77777777" w:rsidTr="00357F8F">
        <w:trPr>
          <w:trHeight w:val="225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8F4D1" w14:textId="77777777" w:rsidR="00DF4A3D" w:rsidRPr="0071319B" w:rsidRDefault="00DF4A3D" w:rsidP="003207FF">
            <w:pPr>
              <w:widowControl w:val="0"/>
              <w:tabs>
                <w:tab w:val="left" w:pos="882"/>
              </w:tabs>
              <w:autoSpaceDE w:val="0"/>
              <w:autoSpaceDN w:val="0"/>
              <w:spacing w:before="109"/>
              <w:ind w:left="416" w:right="93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  <w:lastRenderedPageBreak/>
              <w:t xml:space="preserve">Poremećaji </w:t>
            </w:r>
            <w:r w:rsidRPr="0071319B">
              <w:rPr>
                <w:rFonts w:asciiTheme="majorBidi" w:hAnsiTheme="majorBidi" w:cstheme="majorBidi"/>
                <w:i/>
                <w:spacing w:val="-3"/>
                <w:sz w:val="22"/>
                <w:szCs w:val="22"/>
                <w:lang w:val="sr-Latn-ME"/>
              </w:rPr>
              <w:t xml:space="preserve">krvi </w:t>
            </w:r>
            <w:r w:rsidRPr="0071319B"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  <w:t xml:space="preserve">i </w:t>
            </w:r>
            <w:r w:rsidRPr="0071319B">
              <w:rPr>
                <w:rFonts w:asciiTheme="majorBidi" w:hAnsiTheme="majorBidi" w:cstheme="majorBidi"/>
                <w:i/>
                <w:spacing w:val="-3"/>
                <w:sz w:val="22"/>
                <w:szCs w:val="22"/>
                <w:lang w:val="sr-Latn-ME"/>
              </w:rPr>
              <w:t xml:space="preserve">limfnog </w:t>
            </w:r>
            <w:r w:rsidRPr="0071319B"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  <w:t>sistema</w:t>
            </w: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E3C5" w14:textId="77777777" w:rsidR="00DF4A3D" w:rsidRPr="0071319B" w:rsidRDefault="00DF4A3D" w:rsidP="0046269B">
            <w:pPr>
              <w:widowControl w:val="0"/>
              <w:autoSpaceDE w:val="0"/>
              <w:autoSpaceDN w:val="0"/>
              <w:spacing w:before="109"/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  <w:t>Veoma često:</w:t>
            </w:r>
          </w:p>
          <w:p w14:paraId="43E2ECCF" w14:textId="77777777" w:rsidR="00DF4A3D" w:rsidRPr="0071319B" w:rsidRDefault="00DF4A3D" w:rsidP="0046269B">
            <w:pPr>
              <w:widowControl w:val="0"/>
              <w:autoSpaceDE w:val="0"/>
              <w:autoSpaceDN w:val="0"/>
              <w:spacing w:before="1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proofErr w:type="spellStart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Hemoragija</w:t>
            </w:r>
            <w:r w:rsidRPr="0071319B">
              <w:rPr>
                <w:rFonts w:asciiTheme="majorBidi" w:hAnsiTheme="majorBidi" w:cstheme="majorBidi"/>
                <w:b/>
                <w:sz w:val="22"/>
                <w:szCs w:val="22"/>
                <w:vertAlign w:val="superscript"/>
                <w:lang w:val="sr-Latn-ME"/>
              </w:rPr>
              <w:t>a</w:t>
            </w:r>
            <w:proofErr w:type="spellEnd"/>
          </w:p>
          <w:p w14:paraId="0840FE1F" w14:textId="77777777" w:rsidR="00190890" w:rsidRDefault="00190890" w:rsidP="0052128C">
            <w:pPr>
              <w:widowControl w:val="0"/>
              <w:autoSpaceDE w:val="0"/>
              <w:autoSpaceDN w:val="0"/>
              <w:spacing w:before="1"/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</w:pPr>
          </w:p>
          <w:p w14:paraId="73A39EC8" w14:textId="1D420185" w:rsidR="00DF4A3D" w:rsidRPr="0071319B" w:rsidRDefault="00DF4A3D" w:rsidP="0052128C">
            <w:pPr>
              <w:widowControl w:val="0"/>
              <w:autoSpaceDE w:val="0"/>
              <w:autoSpaceDN w:val="0"/>
              <w:spacing w:before="1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  <w:t xml:space="preserve">Rijetko: </w:t>
            </w:r>
            <w:proofErr w:type="spellStart"/>
            <w:r w:rsidRPr="0071319B">
              <w:rPr>
                <w:rFonts w:asciiTheme="majorBidi" w:hAnsiTheme="majorBidi" w:cstheme="majorBidi"/>
                <w:b/>
                <w:spacing w:val="-1"/>
                <w:sz w:val="22"/>
                <w:szCs w:val="22"/>
                <w:lang w:val="sr-Latn-ME"/>
              </w:rPr>
              <w:t>Retroperitoneal</w:t>
            </w:r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na</w:t>
            </w:r>
            <w:proofErr w:type="spellEnd"/>
            <w:r w:rsidRPr="0071319B">
              <w:rPr>
                <w:rFonts w:asciiTheme="majorBidi" w:hAnsiTheme="majorBidi" w:cstheme="majorBidi"/>
                <w:b/>
                <w:spacing w:val="-4"/>
                <w:sz w:val="22"/>
                <w:szCs w:val="22"/>
                <w:lang w:val="sr-Latn-ME"/>
              </w:rPr>
              <w:t xml:space="preserve"> </w:t>
            </w:r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hemoragija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F59D6" w14:textId="77777777" w:rsidR="00DF4A3D" w:rsidRPr="0071319B" w:rsidRDefault="00DF4A3D" w:rsidP="0046269B">
            <w:pPr>
              <w:widowControl w:val="0"/>
              <w:autoSpaceDE w:val="0"/>
              <w:autoSpaceDN w:val="0"/>
              <w:spacing w:before="109"/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  <w:t>Često:</w:t>
            </w:r>
          </w:p>
          <w:p w14:paraId="52F65842" w14:textId="77777777" w:rsidR="00DF4A3D" w:rsidRPr="0071319B" w:rsidRDefault="00DF4A3D" w:rsidP="0046269B">
            <w:pPr>
              <w:widowControl w:val="0"/>
              <w:autoSpaceDE w:val="0"/>
              <w:autoSpaceDN w:val="0"/>
              <w:spacing w:before="1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proofErr w:type="spellStart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Hemoragija</w:t>
            </w:r>
            <w:r w:rsidRPr="0071319B">
              <w:rPr>
                <w:rFonts w:asciiTheme="majorBidi" w:hAnsiTheme="majorBidi" w:cstheme="majorBidi"/>
                <w:b/>
                <w:sz w:val="22"/>
                <w:szCs w:val="22"/>
                <w:vertAlign w:val="superscript"/>
                <w:lang w:val="sr-Latn-ME"/>
              </w:rPr>
              <w:t>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BCEF" w14:textId="77777777" w:rsidR="00DF4A3D" w:rsidRPr="0071319B" w:rsidRDefault="00DF4A3D" w:rsidP="00ED4E48">
            <w:pPr>
              <w:widowControl w:val="0"/>
              <w:autoSpaceDE w:val="0"/>
              <w:autoSpaceDN w:val="0"/>
              <w:spacing w:before="109"/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  <w:t>Veoma često:</w:t>
            </w:r>
          </w:p>
          <w:p w14:paraId="7DF0F84F" w14:textId="77777777" w:rsidR="00DF4A3D" w:rsidRPr="0071319B" w:rsidRDefault="00DF4A3D" w:rsidP="0046269B">
            <w:pPr>
              <w:widowControl w:val="0"/>
              <w:autoSpaceDE w:val="0"/>
              <w:autoSpaceDN w:val="0"/>
              <w:spacing w:before="1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proofErr w:type="spellStart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Hemoragija</w:t>
            </w:r>
            <w:r w:rsidRPr="0071319B">
              <w:rPr>
                <w:rFonts w:asciiTheme="majorBidi" w:hAnsiTheme="majorBidi" w:cstheme="majorBidi"/>
                <w:b/>
                <w:sz w:val="22"/>
                <w:szCs w:val="22"/>
                <w:vertAlign w:val="superscript"/>
                <w:lang w:val="sr-Latn-ME"/>
              </w:rPr>
              <w:t>a</w:t>
            </w:r>
            <w:proofErr w:type="spellEnd"/>
          </w:p>
          <w:p w14:paraId="56739861" w14:textId="77777777" w:rsidR="00190890" w:rsidRDefault="00190890" w:rsidP="0052128C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</w:pPr>
          </w:p>
          <w:p w14:paraId="2072E696" w14:textId="339222E2" w:rsidR="00DF4A3D" w:rsidRPr="0071319B" w:rsidRDefault="00DF4A3D" w:rsidP="0052128C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  <w:t xml:space="preserve">Povremeno: </w:t>
            </w:r>
            <w:proofErr w:type="spellStart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Intrakranijalna</w:t>
            </w:r>
            <w:proofErr w:type="spellEnd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 hemoragija, </w:t>
            </w:r>
            <w:proofErr w:type="spellStart"/>
            <w:r w:rsidR="00190890">
              <w:rPr>
                <w:rFonts w:asciiTheme="majorBidi" w:hAnsiTheme="majorBidi" w:cstheme="majorBidi"/>
                <w:b/>
                <w:spacing w:val="-1"/>
                <w:sz w:val="22"/>
                <w:szCs w:val="22"/>
                <w:lang w:val="sr-Latn-ME"/>
              </w:rPr>
              <w:t>r</w:t>
            </w:r>
            <w:r w:rsidRPr="0071319B">
              <w:rPr>
                <w:rFonts w:asciiTheme="majorBidi" w:hAnsiTheme="majorBidi" w:cstheme="majorBidi"/>
                <w:b/>
                <w:spacing w:val="-1"/>
                <w:sz w:val="22"/>
                <w:szCs w:val="22"/>
                <w:lang w:val="sr-Latn-ME"/>
              </w:rPr>
              <w:t>etroperitoneal</w:t>
            </w:r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na</w:t>
            </w:r>
            <w:proofErr w:type="spellEnd"/>
            <w:r w:rsidRPr="0071319B">
              <w:rPr>
                <w:rFonts w:asciiTheme="majorBidi" w:hAnsiTheme="majorBidi" w:cstheme="majorBidi"/>
                <w:b/>
                <w:spacing w:val="-4"/>
                <w:sz w:val="22"/>
                <w:szCs w:val="22"/>
                <w:lang w:val="sr-Latn-ME"/>
              </w:rPr>
              <w:t xml:space="preserve"> </w:t>
            </w:r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hemoragija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234B" w14:textId="77777777" w:rsidR="00EA33AC" w:rsidRPr="0071319B" w:rsidRDefault="00EA33AC" w:rsidP="00EA33AC">
            <w:pPr>
              <w:widowControl w:val="0"/>
              <w:autoSpaceDE w:val="0"/>
              <w:autoSpaceDN w:val="0"/>
              <w:spacing w:before="109"/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</w:pPr>
            <w:proofErr w:type="spellStart"/>
            <w:r w:rsidRPr="0071319B"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  <w:t>Često</w:t>
            </w:r>
            <w:r w:rsidRPr="0071319B">
              <w:rPr>
                <w:rFonts w:asciiTheme="majorBidi" w:hAnsiTheme="majorBidi" w:cstheme="majorBidi"/>
                <w:i/>
                <w:sz w:val="22"/>
                <w:szCs w:val="22"/>
                <w:vertAlign w:val="superscript"/>
                <w:lang w:val="sr-Latn-ME"/>
              </w:rPr>
              <w:t>b</w:t>
            </w:r>
            <w:proofErr w:type="spellEnd"/>
            <w:r w:rsidRPr="0071319B"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  <w:t>:</w:t>
            </w:r>
          </w:p>
          <w:p w14:paraId="660ABBBA" w14:textId="44D0CA5A" w:rsidR="00EA33AC" w:rsidRPr="0071319B" w:rsidRDefault="00EA33AC" w:rsidP="00EA33AC">
            <w:pPr>
              <w:widowControl w:val="0"/>
              <w:autoSpaceDE w:val="0"/>
              <w:autoSpaceDN w:val="0"/>
              <w:spacing w:before="1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Hemoragija</w:t>
            </w:r>
          </w:p>
          <w:p w14:paraId="101E9C27" w14:textId="01FE7110" w:rsidR="00DF4A3D" w:rsidRPr="0071319B" w:rsidRDefault="00DF4A3D" w:rsidP="0046269B">
            <w:pPr>
              <w:widowControl w:val="0"/>
              <w:autoSpaceDE w:val="0"/>
              <w:autoSpaceDN w:val="0"/>
              <w:spacing w:before="109"/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D3F1" w14:textId="309A0D02" w:rsidR="00DF4A3D" w:rsidRPr="0071319B" w:rsidRDefault="00DF4A3D" w:rsidP="0046269B">
            <w:pPr>
              <w:widowControl w:val="0"/>
              <w:autoSpaceDE w:val="0"/>
              <w:autoSpaceDN w:val="0"/>
              <w:spacing w:before="109"/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  <w:t>Često:</w:t>
            </w:r>
          </w:p>
          <w:p w14:paraId="1B43C162" w14:textId="0851170A" w:rsidR="00DF4A3D" w:rsidRPr="0071319B" w:rsidRDefault="00DF4A3D" w:rsidP="0046269B">
            <w:pPr>
              <w:widowControl w:val="0"/>
              <w:autoSpaceDE w:val="0"/>
              <w:autoSpaceDN w:val="0"/>
              <w:spacing w:before="1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proofErr w:type="spellStart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Hemoragija</w:t>
            </w:r>
            <w:r w:rsidR="00071E9C" w:rsidRPr="003207FF">
              <w:rPr>
                <w:rFonts w:asciiTheme="majorBidi" w:hAnsiTheme="majorBidi" w:cstheme="majorBidi"/>
                <w:b/>
                <w:sz w:val="22"/>
                <w:szCs w:val="22"/>
                <w:vertAlign w:val="superscript"/>
                <w:lang w:val="sr-Latn-ME"/>
              </w:rPr>
              <w:t>a</w:t>
            </w:r>
            <w:proofErr w:type="spellEnd"/>
          </w:p>
          <w:p w14:paraId="115E97C2" w14:textId="77777777" w:rsidR="00DF4A3D" w:rsidRPr="0071319B" w:rsidRDefault="00DF4A3D" w:rsidP="0046269B">
            <w:pPr>
              <w:widowControl w:val="0"/>
              <w:autoSpaceDE w:val="0"/>
              <w:autoSpaceDN w:val="0"/>
              <w:spacing w:before="1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</w:p>
          <w:p w14:paraId="74F0A811" w14:textId="77777777" w:rsidR="00DF4A3D" w:rsidRPr="0071319B" w:rsidRDefault="00DF4A3D" w:rsidP="0052128C">
            <w:pPr>
              <w:widowControl w:val="0"/>
              <w:autoSpaceDE w:val="0"/>
              <w:autoSpaceDN w:val="0"/>
              <w:spacing w:before="1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  <w:t xml:space="preserve">Rijetko: </w:t>
            </w:r>
            <w:proofErr w:type="spellStart"/>
            <w:r w:rsidRPr="0071319B">
              <w:rPr>
                <w:rFonts w:asciiTheme="majorBidi" w:hAnsiTheme="majorBidi" w:cstheme="majorBidi"/>
                <w:b/>
                <w:spacing w:val="-1"/>
                <w:sz w:val="22"/>
                <w:szCs w:val="22"/>
                <w:lang w:val="sr-Latn-ME"/>
              </w:rPr>
              <w:t>Retroperitoneal</w:t>
            </w:r>
            <w:r w:rsidRPr="0071319B">
              <w:rPr>
                <w:rFonts w:asciiTheme="majorBidi" w:hAnsiTheme="majorBidi" w:cstheme="majorBidi"/>
                <w:b/>
                <w:spacing w:val="-3"/>
                <w:sz w:val="22"/>
                <w:szCs w:val="22"/>
                <w:lang w:val="sr-Latn-ME"/>
              </w:rPr>
              <w:t>na</w:t>
            </w:r>
            <w:proofErr w:type="spellEnd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 hemoragija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9607" w14:textId="77777777" w:rsidR="00DF4A3D" w:rsidRPr="0071319B" w:rsidRDefault="00DF4A3D" w:rsidP="0046269B">
            <w:pPr>
              <w:widowControl w:val="0"/>
              <w:autoSpaceDE w:val="0"/>
              <w:autoSpaceDN w:val="0"/>
              <w:spacing w:before="109"/>
              <w:ind w:left="109"/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  <w:t>Često:</w:t>
            </w:r>
          </w:p>
          <w:p w14:paraId="13C45C25" w14:textId="77777777" w:rsidR="00DF4A3D" w:rsidRPr="0071319B" w:rsidRDefault="00DF4A3D" w:rsidP="00ED4E48">
            <w:pPr>
              <w:widowControl w:val="0"/>
              <w:autoSpaceDE w:val="0"/>
              <w:autoSpaceDN w:val="0"/>
              <w:spacing w:before="1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proofErr w:type="spellStart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Hemoragija</w:t>
            </w:r>
            <w:r w:rsidRPr="0071319B">
              <w:rPr>
                <w:rFonts w:asciiTheme="majorBidi" w:hAnsiTheme="majorBidi" w:cstheme="majorBidi"/>
                <w:b/>
                <w:sz w:val="22"/>
                <w:szCs w:val="22"/>
                <w:vertAlign w:val="superscript"/>
                <w:lang w:val="sr-Latn-ME"/>
              </w:rPr>
              <w:t>a</w:t>
            </w:r>
            <w:proofErr w:type="spellEnd"/>
          </w:p>
          <w:p w14:paraId="1167647A" w14:textId="77777777" w:rsidR="00071E9C" w:rsidRDefault="00071E9C" w:rsidP="0052128C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</w:pPr>
          </w:p>
          <w:p w14:paraId="6F0FA37F" w14:textId="3EB3C3B2" w:rsidR="00DF4A3D" w:rsidRPr="0071319B" w:rsidRDefault="00DF4A3D" w:rsidP="0052128C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  <w:t xml:space="preserve">Povremeno: </w:t>
            </w:r>
            <w:proofErr w:type="spellStart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Intrakranijalna</w:t>
            </w:r>
            <w:proofErr w:type="spellEnd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 hemoragija, </w:t>
            </w:r>
            <w:proofErr w:type="spellStart"/>
            <w:r w:rsidRPr="0071319B">
              <w:rPr>
                <w:rFonts w:asciiTheme="majorBidi" w:hAnsiTheme="majorBidi" w:cstheme="majorBidi"/>
                <w:b/>
                <w:spacing w:val="-1"/>
                <w:sz w:val="22"/>
                <w:szCs w:val="22"/>
                <w:lang w:val="sr-Latn-ME"/>
              </w:rPr>
              <w:t>Retroperitoneal</w:t>
            </w:r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na</w:t>
            </w:r>
            <w:proofErr w:type="spellEnd"/>
            <w:r w:rsidRPr="0071319B">
              <w:rPr>
                <w:rFonts w:asciiTheme="majorBidi" w:hAnsiTheme="majorBidi" w:cstheme="majorBidi"/>
                <w:b/>
                <w:spacing w:val="-4"/>
                <w:sz w:val="22"/>
                <w:szCs w:val="22"/>
                <w:lang w:val="sr-Latn-ME"/>
              </w:rPr>
              <w:t xml:space="preserve"> </w:t>
            </w:r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hemoragija</w:t>
            </w:r>
          </w:p>
        </w:tc>
      </w:tr>
    </w:tbl>
    <w:p w14:paraId="116B4B4A" w14:textId="29ED936E" w:rsidR="000635CE" w:rsidRPr="0071319B" w:rsidRDefault="0096643E" w:rsidP="003207FF">
      <w:pPr>
        <w:widowControl w:val="0"/>
        <w:autoSpaceDE w:val="0"/>
        <w:autoSpaceDN w:val="0"/>
        <w:ind w:left="-709" w:right="-708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vertAlign w:val="superscript"/>
          <w:lang w:val="sr-Latn-ME"/>
        </w:rPr>
        <w:t>a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: kao što su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hematomi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,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ekhimoze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osim na mjestu uboda injekcije,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hematomi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oko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povreda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/rane,</w:t>
      </w:r>
      <w:r w:rsidR="00071E9C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hematurija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,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epistaksa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 gastrointestinalne hemoragije.</w:t>
      </w:r>
    </w:p>
    <w:p w14:paraId="5C3405FC" w14:textId="20F1D17B" w:rsidR="0096643E" w:rsidRPr="0071319B" w:rsidRDefault="0096643E" w:rsidP="003207FF">
      <w:pPr>
        <w:widowControl w:val="0"/>
        <w:autoSpaceDE w:val="0"/>
        <w:autoSpaceDN w:val="0"/>
        <w:ind w:left="232" w:right="-283" w:hanging="941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vertAlign w:val="superscript"/>
          <w:lang w:val="sr-Latn-ME"/>
        </w:rPr>
        <w:t>b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:učestalost se temelji na retrospektivnom ispitivanju iz registra koje uključuje 3526 pacijenata (vidjeti </w:t>
      </w:r>
      <w:r w:rsidR="00EA33AC">
        <w:rPr>
          <w:rFonts w:asciiTheme="majorBidi" w:hAnsiTheme="majorBidi" w:cstheme="majorBidi"/>
          <w:sz w:val="22"/>
          <w:szCs w:val="22"/>
          <w:lang w:val="sr-Latn-ME"/>
        </w:rPr>
        <w:t>di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o 5.1)</w:t>
      </w:r>
    </w:p>
    <w:p w14:paraId="52D685EA" w14:textId="77777777" w:rsidR="000635CE" w:rsidRPr="0071319B" w:rsidRDefault="000635CE" w:rsidP="003207FF">
      <w:pPr>
        <w:widowControl w:val="0"/>
        <w:autoSpaceDE w:val="0"/>
        <w:autoSpaceDN w:val="0"/>
        <w:spacing w:before="8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0ADC3508" w14:textId="77FE27A8" w:rsidR="000635CE" w:rsidRPr="0071319B" w:rsidRDefault="000635CE" w:rsidP="000635CE">
      <w:pPr>
        <w:widowControl w:val="0"/>
        <w:autoSpaceDE w:val="0"/>
        <w:autoSpaceDN w:val="0"/>
        <w:ind w:left="232"/>
        <w:rPr>
          <w:rFonts w:asciiTheme="majorBidi" w:hAnsiTheme="majorBidi" w:cstheme="majorBidi"/>
          <w:sz w:val="22"/>
          <w:szCs w:val="22"/>
          <w:lang w:val="sr-Latn-ME"/>
        </w:rPr>
      </w:pPr>
      <w:proofErr w:type="spellStart"/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Trombocitopenija</w:t>
      </w:r>
      <w:proofErr w:type="spellEnd"/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 xml:space="preserve"> i </w:t>
      </w:r>
      <w:proofErr w:type="spellStart"/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trombocitoza</w:t>
      </w:r>
      <w:proofErr w:type="spellEnd"/>
      <w:r w:rsidR="000B28FF"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 xml:space="preserve"> </w:t>
      </w:r>
      <w:r w:rsidR="000B28FF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(vidjeti </w:t>
      </w:r>
      <w:r w:rsidR="00EA33AC">
        <w:rPr>
          <w:rFonts w:asciiTheme="majorBidi" w:hAnsiTheme="majorBidi" w:cstheme="majorBidi"/>
          <w:sz w:val="22"/>
          <w:szCs w:val="22"/>
          <w:lang w:val="sr-Latn-ME"/>
        </w:rPr>
        <w:t>di</w:t>
      </w:r>
      <w:r w:rsidR="000B28FF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o 4.4 </w:t>
      </w:r>
      <w:r w:rsidR="000B28FF" w:rsidRPr="0071319B">
        <w:rPr>
          <w:rFonts w:asciiTheme="majorBidi" w:hAnsiTheme="majorBidi" w:cstheme="majorBidi"/>
          <w:i/>
          <w:sz w:val="22"/>
          <w:szCs w:val="22"/>
          <w:lang w:val="sr-Latn-ME"/>
        </w:rPr>
        <w:t>Praćenje broja trombocita</w:t>
      </w:r>
      <w:r w:rsidR="000B28FF" w:rsidRPr="0071319B">
        <w:rPr>
          <w:rFonts w:asciiTheme="majorBidi" w:hAnsiTheme="majorBidi" w:cstheme="majorBidi"/>
          <w:sz w:val="22"/>
          <w:szCs w:val="22"/>
          <w:lang w:val="sr-Latn-ME"/>
        </w:rPr>
        <w:t>)</w:t>
      </w:r>
    </w:p>
    <w:p w14:paraId="3CEB3146" w14:textId="77777777" w:rsidR="000635CE" w:rsidRPr="0071319B" w:rsidRDefault="000635CE" w:rsidP="000635CE">
      <w:pPr>
        <w:widowControl w:val="0"/>
        <w:autoSpaceDE w:val="0"/>
        <w:autoSpaceDN w:val="0"/>
        <w:spacing w:before="10"/>
        <w:rPr>
          <w:rFonts w:asciiTheme="majorBidi" w:hAnsiTheme="majorBidi" w:cstheme="majorBidi"/>
          <w:sz w:val="22"/>
          <w:szCs w:val="22"/>
          <w:lang w:val="sr-Latn-ME"/>
        </w:rPr>
      </w:pP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1308"/>
        <w:gridCol w:w="1701"/>
        <w:gridCol w:w="1417"/>
        <w:gridCol w:w="1843"/>
        <w:gridCol w:w="1418"/>
        <w:gridCol w:w="1701"/>
      </w:tblGrid>
      <w:tr w:rsidR="00F3778F" w:rsidRPr="003207FF" w14:paraId="798BD994" w14:textId="77777777" w:rsidTr="0071319B">
        <w:trPr>
          <w:trHeight w:val="1641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E1B34" w14:textId="77777777" w:rsidR="00F3778F" w:rsidRPr="0071319B" w:rsidRDefault="00F3778F" w:rsidP="003207FF">
            <w:pPr>
              <w:widowControl w:val="0"/>
              <w:autoSpaceDE w:val="0"/>
              <w:autoSpaceDN w:val="0"/>
              <w:spacing w:before="116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Klasa sistema organa po </w:t>
            </w:r>
            <w:proofErr w:type="spellStart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MedDRA</w:t>
            </w:r>
            <w:proofErr w:type="spell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66C62" w14:textId="77777777" w:rsidR="00F3778F" w:rsidRPr="0071319B" w:rsidRDefault="00F3778F" w:rsidP="003207FF">
            <w:pPr>
              <w:widowControl w:val="0"/>
              <w:autoSpaceDE w:val="0"/>
              <w:autoSpaceDN w:val="0"/>
              <w:spacing w:before="116"/>
              <w:ind w:left="11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Profilaksa kod hirurških pacijenata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8EB47" w14:textId="77777777" w:rsidR="00F3778F" w:rsidRPr="0071319B" w:rsidRDefault="00F3778F" w:rsidP="003207FF">
            <w:pPr>
              <w:widowControl w:val="0"/>
              <w:autoSpaceDE w:val="0"/>
              <w:autoSpaceDN w:val="0"/>
              <w:spacing w:before="116"/>
              <w:ind w:left="104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Profilaksa kod internističkih pacijenata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6F06A" w14:textId="77777777" w:rsidR="00F3778F" w:rsidRPr="0071319B" w:rsidRDefault="00F3778F" w:rsidP="003207FF">
            <w:pPr>
              <w:widowControl w:val="0"/>
              <w:autoSpaceDE w:val="0"/>
              <w:autoSpaceDN w:val="0"/>
              <w:spacing w:before="116"/>
              <w:ind w:left="109" w:right="232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Terapija kod pacijenata sa DVT sa ili bez PE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E274" w14:textId="2BE6801F" w:rsidR="00F3778F" w:rsidRPr="0071319B" w:rsidRDefault="00F3778F" w:rsidP="003207FF">
            <w:pPr>
              <w:widowControl w:val="0"/>
              <w:autoSpaceDE w:val="0"/>
              <w:autoSpaceDN w:val="0"/>
              <w:spacing w:before="116"/>
              <w:ind w:left="109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Produžena terapija DVT-a i PE kod pacijenata </w:t>
            </w:r>
            <w:r w:rsidR="00EA33AC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sa aktivnom malignom bolešću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97513" w14:textId="77777777" w:rsidR="00F3778F" w:rsidRPr="0071319B" w:rsidRDefault="00F3778F" w:rsidP="003207FF">
            <w:pPr>
              <w:widowControl w:val="0"/>
              <w:autoSpaceDE w:val="0"/>
              <w:autoSpaceDN w:val="0"/>
              <w:spacing w:before="116"/>
              <w:ind w:left="109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Terapija kod pacijenata sa nestabilnom anginom  IM bez</w:t>
            </w:r>
          </w:p>
          <w:p w14:paraId="6FBD3A55" w14:textId="77777777" w:rsidR="00F3778F" w:rsidRPr="0071319B" w:rsidRDefault="00F3778F" w:rsidP="003207FF">
            <w:pPr>
              <w:widowControl w:val="0"/>
              <w:autoSpaceDE w:val="0"/>
              <w:autoSpaceDN w:val="0"/>
              <w:spacing w:line="240" w:lineRule="exact"/>
              <w:ind w:left="109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Q-talasa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3C650" w14:textId="77777777" w:rsidR="00F3778F" w:rsidRPr="0071319B" w:rsidRDefault="00F3778F" w:rsidP="003207FF">
            <w:pPr>
              <w:widowControl w:val="0"/>
              <w:autoSpaceDE w:val="0"/>
              <w:autoSpaceDN w:val="0"/>
              <w:spacing w:before="116"/>
              <w:ind w:left="109" w:right="109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Terapija kod pacijenata sa akutnim STEMI</w:t>
            </w:r>
          </w:p>
        </w:tc>
      </w:tr>
      <w:tr w:rsidR="00F3778F" w:rsidRPr="003207FF" w14:paraId="307E328C" w14:textId="77777777" w:rsidTr="0071319B">
        <w:trPr>
          <w:trHeight w:val="2524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6FFE6" w14:textId="77777777" w:rsidR="00F3778F" w:rsidRPr="0071319B" w:rsidRDefault="00F3778F" w:rsidP="0046269B">
            <w:pPr>
              <w:widowControl w:val="0"/>
              <w:autoSpaceDE w:val="0"/>
              <w:autoSpaceDN w:val="0"/>
              <w:spacing w:before="111"/>
              <w:ind w:left="110" w:right="109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  <w:t>Poremećaji krvi i limfnog sistema</w:t>
            </w: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: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DB38" w14:textId="77777777" w:rsidR="00F3778F" w:rsidRPr="0071319B" w:rsidRDefault="00F3778F" w:rsidP="00ED4E48">
            <w:pPr>
              <w:widowControl w:val="0"/>
              <w:autoSpaceDE w:val="0"/>
              <w:autoSpaceDN w:val="0"/>
              <w:spacing w:before="111"/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  <w:t>Veoma često:</w:t>
            </w:r>
          </w:p>
          <w:p w14:paraId="146DC3D2" w14:textId="77777777" w:rsidR="00F3778F" w:rsidRPr="0071319B" w:rsidRDefault="00F3778F" w:rsidP="00ED4E48">
            <w:pPr>
              <w:widowControl w:val="0"/>
              <w:autoSpaceDE w:val="0"/>
              <w:autoSpaceDN w:val="0"/>
              <w:spacing w:before="1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proofErr w:type="spellStart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Trombocitoza</w:t>
            </w:r>
            <w:r w:rsidR="0096643E" w:rsidRPr="0071319B">
              <w:rPr>
                <w:rFonts w:asciiTheme="majorBidi" w:hAnsiTheme="majorBidi" w:cstheme="majorBidi"/>
                <w:b/>
                <w:sz w:val="22"/>
                <w:szCs w:val="22"/>
                <w:vertAlign w:val="superscript"/>
                <w:lang w:val="sr-Latn-ME"/>
              </w:rPr>
              <w:t>c</w:t>
            </w:r>
            <w:proofErr w:type="spellEnd"/>
          </w:p>
          <w:p w14:paraId="51FE05E9" w14:textId="77777777" w:rsidR="00F3778F" w:rsidRPr="0071319B" w:rsidRDefault="00F3778F" w:rsidP="0046269B">
            <w:pPr>
              <w:widowControl w:val="0"/>
              <w:autoSpaceDE w:val="0"/>
              <w:autoSpaceDN w:val="0"/>
              <w:spacing w:before="7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1935A572" w14:textId="77777777" w:rsidR="00F3778F" w:rsidRPr="0071319B" w:rsidRDefault="00F3778F" w:rsidP="0046269B">
            <w:pPr>
              <w:widowControl w:val="0"/>
              <w:autoSpaceDE w:val="0"/>
              <w:autoSpaceDN w:val="0"/>
              <w:spacing w:before="7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  <w:t xml:space="preserve">Često: </w:t>
            </w:r>
            <w:proofErr w:type="spellStart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Trombocitopenija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8CC2C" w14:textId="77777777" w:rsidR="00F3778F" w:rsidRPr="0071319B" w:rsidRDefault="00F3778F" w:rsidP="0052128C">
            <w:pPr>
              <w:widowControl w:val="0"/>
              <w:autoSpaceDE w:val="0"/>
              <w:autoSpaceDN w:val="0"/>
              <w:spacing w:before="111"/>
              <w:ind w:left="104" w:right="104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  <w:t xml:space="preserve">Povremeno: </w:t>
            </w:r>
            <w:proofErr w:type="spellStart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Trombocitopeni</w:t>
            </w:r>
            <w:proofErr w:type="spellEnd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 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91F1" w14:textId="77777777" w:rsidR="00F3778F" w:rsidRPr="0071319B" w:rsidRDefault="00F3778F" w:rsidP="0046269B">
            <w:pPr>
              <w:widowControl w:val="0"/>
              <w:autoSpaceDE w:val="0"/>
              <w:autoSpaceDN w:val="0"/>
              <w:spacing w:before="111"/>
              <w:ind w:left="109"/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  <w:t>Veoma često:</w:t>
            </w:r>
          </w:p>
          <w:p w14:paraId="74B4C235" w14:textId="77777777" w:rsidR="00F3778F" w:rsidRPr="0071319B" w:rsidRDefault="00F3778F" w:rsidP="0046269B">
            <w:pPr>
              <w:widowControl w:val="0"/>
              <w:autoSpaceDE w:val="0"/>
              <w:autoSpaceDN w:val="0"/>
              <w:spacing w:before="1"/>
              <w:ind w:left="109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proofErr w:type="spellStart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Trombocitoza</w:t>
            </w:r>
            <w:r w:rsidR="0096643E" w:rsidRPr="0071319B">
              <w:rPr>
                <w:rFonts w:asciiTheme="majorBidi" w:hAnsiTheme="majorBidi" w:cstheme="majorBidi"/>
                <w:b/>
                <w:sz w:val="22"/>
                <w:szCs w:val="22"/>
                <w:vertAlign w:val="superscript"/>
                <w:lang w:val="sr-Latn-ME"/>
              </w:rPr>
              <w:t>c</w:t>
            </w:r>
            <w:proofErr w:type="spellEnd"/>
          </w:p>
          <w:p w14:paraId="558B6E87" w14:textId="77777777" w:rsidR="00F3778F" w:rsidRPr="0071319B" w:rsidRDefault="00F3778F" w:rsidP="0052128C">
            <w:pPr>
              <w:widowControl w:val="0"/>
              <w:autoSpaceDE w:val="0"/>
              <w:autoSpaceDN w:val="0"/>
              <w:ind w:left="109" w:right="104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  <w:t xml:space="preserve">Često: </w:t>
            </w:r>
            <w:proofErr w:type="spellStart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Trombocitopenija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13DF" w14:textId="77777777" w:rsidR="00F3778F" w:rsidRPr="0071319B" w:rsidRDefault="00F3778F" w:rsidP="0052128C">
            <w:pPr>
              <w:widowControl w:val="0"/>
              <w:autoSpaceDE w:val="0"/>
              <w:autoSpaceDN w:val="0"/>
              <w:spacing w:before="111"/>
              <w:ind w:left="109" w:right="80"/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  <w:t xml:space="preserve">Nepoznato: </w:t>
            </w:r>
          </w:p>
          <w:p w14:paraId="0D334242" w14:textId="77777777" w:rsidR="00F3778F" w:rsidRPr="0071319B" w:rsidRDefault="00F3778F" w:rsidP="0052128C">
            <w:pPr>
              <w:widowControl w:val="0"/>
              <w:autoSpaceDE w:val="0"/>
              <w:autoSpaceDN w:val="0"/>
              <w:spacing w:before="111"/>
              <w:ind w:left="109" w:right="80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proofErr w:type="spellStart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Trombocitopenija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19534" w14:textId="77777777" w:rsidR="00F3778F" w:rsidRPr="0071319B" w:rsidRDefault="00F3778F" w:rsidP="0052128C">
            <w:pPr>
              <w:widowControl w:val="0"/>
              <w:autoSpaceDE w:val="0"/>
              <w:autoSpaceDN w:val="0"/>
              <w:spacing w:before="111"/>
              <w:ind w:left="109" w:right="8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  <w:t xml:space="preserve">Povremeno: </w:t>
            </w:r>
            <w:proofErr w:type="spellStart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Trombocitopenija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9A59" w14:textId="77777777" w:rsidR="00F3778F" w:rsidRPr="0071319B" w:rsidRDefault="00F3778F" w:rsidP="0046269B">
            <w:pPr>
              <w:widowControl w:val="0"/>
              <w:autoSpaceDE w:val="0"/>
              <w:autoSpaceDN w:val="0"/>
              <w:spacing w:before="111"/>
              <w:ind w:left="109"/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  <w:t>Često:</w:t>
            </w:r>
          </w:p>
          <w:p w14:paraId="493F137D" w14:textId="77777777" w:rsidR="00F3778F" w:rsidRPr="0071319B" w:rsidRDefault="00F3778F" w:rsidP="0046269B">
            <w:pPr>
              <w:widowControl w:val="0"/>
              <w:autoSpaceDE w:val="0"/>
              <w:autoSpaceDN w:val="0"/>
              <w:spacing w:before="1"/>
              <w:ind w:left="109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proofErr w:type="spellStart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Trombocitoza</w:t>
            </w:r>
            <w:r w:rsidR="0096643E" w:rsidRPr="0071319B">
              <w:rPr>
                <w:rFonts w:asciiTheme="majorBidi" w:hAnsiTheme="majorBidi" w:cstheme="majorBidi"/>
                <w:b/>
                <w:sz w:val="22"/>
                <w:szCs w:val="22"/>
                <w:vertAlign w:val="superscript"/>
                <w:lang w:val="sr-Latn-ME"/>
              </w:rPr>
              <w:t>c</w:t>
            </w:r>
            <w:proofErr w:type="spellEnd"/>
            <w:r w:rsidR="0096643E"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,</w:t>
            </w:r>
          </w:p>
          <w:p w14:paraId="13DB7403" w14:textId="77777777" w:rsidR="00F3778F" w:rsidRPr="0071319B" w:rsidRDefault="00F3778F" w:rsidP="0046269B">
            <w:pPr>
              <w:widowControl w:val="0"/>
              <w:autoSpaceDE w:val="0"/>
              <w:autoSpaceDN w:val="0"/>
              <w:spacing w:before="1"/>
              <w:ind w:left="109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proofErr w:type="spellStart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Trombocitopeni</w:t>
            </w:r>
            <w:proofErr w:type="spellEnd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 ja</w:t>
            </w:r>
          </w:p>
          <w:p w14:paraId="64FE4325" w14:textId="77777777" w:rsidR="00F3778F" w:rsidRPr="0071319B" w:rsidRDefault="00F3778F" w:rsidP="0046269B">
            <w:pPr>
              <w:widowControl w:val="0"/>
              <w:autoSpaceDE w:val="0"/>
              <w:autoSpaceDN w:val="0"/>
              <w:spacing w:before="1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0962DB28" w14:textId="77777777" w:rsidR="00F3778F" w:rsidRPr="0071319B" w:rsidRDefault="00F3778F" w:rsidP="0052128C">
            <w:pPr>
              <w:widowControl w:val="0"/>
              <w:autoSpaceDE w:val="0"/>
              <w:autoSpaceDN w:val="0"/>
              <w:spacing w:before="1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i/>
                <w:sz w:val="22"/>
                <w:szCs w:val="22"/>
                <w:lang w:val="sr-Latn-ME"/>
              </w:rPr>
              <w:t xml:space="preserve">Veoma rijetko: </w:t>
            </w:r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Imuno- alergijska </w:t>
            </w:r>
            <w:proofErr w:type="spellStart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trombocitopenija</w:t>
            </w:r>
            <w:proofErr w:type="spellEnd"/>
          </w:p>
        </w:tc>
      </w:tr>
    </w:tbl>
    <w:p w14:paraId="7465F45B" w14:textId="4BAF2B18" w:rsidR="005E2B85" w:rsidRPr="0071319B" w:rsidRDefault="0096643E" w:rsidP="003207FF">
      <w:pPr>
        <w:widowControl w:val="0"/>
        <w:autoSpaceDE w:val="0"/>
        <w:autoSpaceDN w:val="0"/>
        <w:spacing w:before="111" w:line="352" w:lineRule="auto"/>
        <w:ind w:right="567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vertAlign w:val="superscript"/>
          <w:lang w:val="sr-Latn-ME"/>
        </w:rPr>
        <w:t>c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: Povećanje broja trombocita</w:t>
      </w:r>
      <w:r w:rsidR="00071E9C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&gt;</w:t>
      </w:r>
      <w:r w:rsidR="00071E9C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400 </w:t>
      </w:r>
      <w:r w:rsidR="00071E9C">
        <w:rPr>
          <w:rFonts w:asciiTheme="majorBidi" w:hAnsiTheme="majorBidi" w:cstheme="majorBidi"/>
          <w:sz w:val="22"/>
          <w:szCs w:val="22"/>
          <w:lang w:val="sr-Latn-ME"/>
        </w:rPr>
        <w:t>G/l</w:t>
      </w:r>
      <w:r w:rsidR="00071E9C" w:rsidRPr="0071319B" w:rsidDel="00071E9C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14:paraId="065C3C8D" w14:textId="77777777" w:rsidR="000635CE" w:rsidRPr="0071319B" w:rsidRDefault="000635CE" w:rsidP="00ED4E48">
      <w:pPr>
        <w:widowControl w:val="0"/>
        <w:autoSpaceDE w:val="0"/>
        <w:autoSpaceDN w:val="0"/>
        <w:spacing w:before="111" w:line="352" w:lineRule="auto"/>
        <w:ind w:right="6394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Pedijatrijska populacija</w:t>
      </w:r>
    </w:p>
    <w:p w14:paraId="1B8B9982" w14:textId="1A15208C" w:rsidR="000635CE" w:rsidRPr="0071319B" w:rsidRDefault="00071E9C" w:rsidP="00ED4E48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>
        <w:rPr>
          <w:rFonts w:asciiTheme="majorBidi" w:hAnsiTheme="majorBidi" w:cstheme="majorBidi"/>
          <w:sz w:val="22"/>
          <w:szCs w:val="22"/>
          <w:lang w:val="sr-Latn-ME"/>
        </w:rPr>
        <w:t>Bezbjednost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i efikasnost primjene </w:t>
      </w:r>
      <w:proofErr w:type="spellStart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kod djece nije utvrđena (vidjeti </w:t>
      </w:r>
      <w:r w:rsidR="00F30D6A">
        <w:rPr>
          <w:rFonts w:asciiTheme="majorBidi" w:hAnsiTheme="majorBidi" w:cstheme="majorBidi"/>
          <w:sz w:val="22"/>
          <w:szCs w:val="22"/>
          <w:lang w:val="sr-Latn-ME"/>
        </w:rPr>
        <w:t xml:space="preserve">dio </w:t>
      </w:r>
      <w:r w:rsidR="000635C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4.2)</w:t>
      </w:r>
    </w:p>
    <w:p w14:paraId="558CD11D" w14:textId="77777777" w:rsidR="000635CE" w:rsidRPr="0071319B" w:rsidRDefault="000635CE" w:rsidP="000635CE">
      <w:pPr>
        <w:widowControl w:val="0"/>
        <w:autoSpaceDE w:val="0"/>
        <w:autoSpaceDN w:val="0"/>
        <w:ind w:left="232"/>
        <w:rPr>
          <w:rFonts w:asciiTheme="majorBidi" w:hAnsiTheme="majorBidi" w:cstheme="majorBidi"/>
          <w:sz w:val="22"/>
          <w:szCs w:val="22"/>
          <w:lang w:val="sr-Latn-ME"/>
        </w:rPr>
      </w:pPr>
    </w:p>
    <w:p w14:paraId="163F2AEA" w14:textId="77777777" w:rsidR="005A23D2" w:rsidRPr="0071319B" w:rsidRDefault="005A23D2" w:rsidP="00A46C9A">
      <w:pPr>
        <w:spacing w:after="200" w:line="276" w:lineRule="auto"/>
        <w:rPr>
          <w:rFonts w:asciiTheme="majorBidi" w:eastAsia="Calibri" w:hAnsiTheme="majorBidi" w:cstheme="majorBidi"/>
          <w:sz w:val="22"/>
          <w:szCs w:val="22"/>
          <w:u w:val="single"/>
          <w:lang w:val="sr-Latn-ME"/>
        </w:rPr>
      </w:pPr>
      <w:r w:rsidRPr="0071319B">
        <w:rPr>
          <w:rFonts w:asciiTheme="majorBidi" w:eastAsia="Calibri" w:hAnsiTheme="majorBidi" w:cstheme="majorBidi"/>
          <w:sz w:val="22"/>
          <w:szCs w:val="22"/>
          <w:u w:val="single"/>
          <w:lang w:val="sr-Latn-ME"/>
        </w:rPr>
        <w:t>Prijavljivanje sumnji na neželjena dejstva</w:t>
      </w:r>
    </w:p>
    <w:p w14:paraId="105E23A2" w14:textId="77777777" w:rsidR="005A23D2" w:rsidRPr="0071319B" w:rsidRDefault="005A23D2" w:rsidP="00A46C9A">
      <w:pPr>
        <w:spacing w:after="200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71319B">
        <w:rPr>
          <w:rFonts w:asciiTheme="majorBidi" w:eastAsia="Calibri" w:hAnsiTheme="majorBidi" w:cstheme="majorBid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71319B">
        <w:rPr>
          <w:rFonts w:asciiTheme="majorBidi" w:eastAsia="Calibri" w:hAnsiTheme="majorBidi" w:cstheme="majorBidi"/>
          <w:sz w:val="22"/>
          <w:szCs w:val="22"/>
          <w:lang w:val="sr-Latn-ME"/>
        </w:rPr>
        <w:t>inuirano praćenje odnosa korist</w:t>
      </w:r>
      <w:r w:rsidRPr="0071319B">
        <w:rPr>
          <w:rFonts w:asciiTheme="majorBidi" w:eastAsia="Calibri" w:hAnsiTheme="majorBidi" w:cstheme="majorBid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71319B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dejstvo ovog lijeka </w:t>
      </w:r>
      <w:r w:rsidR="004E70AD" w:rsidRPr="0071319B">
        <w:rPr>
          <w:rFonts w:asciiTheme="majorBidi" w:eastAsia="Calibri" w:hAnsiTheme="majorBidi" w:cstheme="majorBidi"/>
          <w:sz w:val="22"/>
          <w:szCs w:val="22"/>
          <w:lang w:val="sr-Latn-ME"/>
        </w:rPr>
        <w:t>Institutu</w:t>
      </w:r>
      <w:r w:rsidRPr="0071319B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za ljekove i medicinska sredstva</w:t>
      </w:r>
      <w:r w:rsidR="004E70AD" w:rsidRPr="0071319B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eastAsia="Calibri" w:hAnsiTheme="majorBidi" w:cstheme="majorBidi"/>
          <w:sz w:val="22"/>
          <w:szCs w:val="22"/>
          <w:lang w:val="sr-Latn-ME"/>
        </w:rPr>
        <w:t>(</w:t>
      </w:r>
      <w:proofErr w:type="spellStart"/>
      <w:r w:rsidR="004E70AD" w:rsidRPr="0071319B">
        <w:rPr>
          <w:rFonts w:asciiTheme="majorBidi" w:eastAsia="Calibri" w:hAnsiTheme="majorBidi" w:cstheme="majorBidi"/>
          <w:sz w:val="22"/>
          <w:szCs w:val="22"/>
          <w:lang w:val="sr-Latn-ME"/>
        </w:rPr>
        <w:t>CInMED</w:t>
      </w:r>
      <w:proofErr w:type="spellEnd"/>
      <w:r w:rsidRPr="0071319B">
        <w:rPr>
          <w:rFonts w:asciiTheme="majorBidi" w:eastAsia="Calibri" w:hAnsiTheme="majorBidi" w:cstheme="majorBidi"/>
          <w:sz w:val="22"/>
          <w:szCs w:val="22"/>
          <w:lang w:val="sr-Latn-ME"/>
        </w:rPr>
        <w:t>):</w:t>
      </w:r>
    </w:p>
    <w:p w14:paraId="0689C26A" w14:textId="77777777" w:rsidR="005A23D2" w:rsidRPr="0071319B" w:rsidRDefault="004E70AD" w:rsidP="00A46C9A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71319B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Institut </w:t>
      </w:r>
      <w:r w:rsidR="005A23D2" w:rsidRPr="0071319B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za ljekove i medicinska sredstva </w:t>
      </w:r>
    </w:p>
    <w:p w14:paraId="6DF417B3" w14:textId="77777777" w:rsidR="005A23D2" w:rsidRPr="0071319B" w:rsidRDefault="005A23D2" w:rsidP="00A46C9A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71319B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Odjeljenje za </w:t>
      </w:r>
      <w:proofErr w:type="spellStart"/>
      <w:r w:rsidRPr="0071319B">
        <w:rPr>
          <w:rFonts w:asciiTheme="majorBidi" w:eastAsia="Calibri" w:hAnsiTheme="majorBidi" w:cstheme="majorBidi"/>
          <w:sz w:val="22"/>
          <w:szCs w:val="22"/>
          <w:lang w:val="sr-Latn-ME"/>
        </w:rPr>
        <w:t>farmakovigilancu</w:t>
      </w:r>
      <w:proofErr w:type="spellEnd"/>
    </w:p>
    <w:p w14:paraId="483E1AE6" w14:textId="77777777" w:rsidR="00EA5765" w:rsidRPr="0071319B" w:rsidRDefault="005A23D2" w:rsidP="00A46C9A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71319B">
        <w:rPr>
          <w:rFonts w:asciiTheme="majorBidi" w:eastAsia="Calibri" w:hAnsiTheme="majorBidi" w:cstheme="majorBidi"/>
          <w:sz w:val="22"/>
          <w:szCs w:val="22"/>
          <w:lang w:val="sr-Latn-ME"/>
        </w:rPr>
        <w:t>Bulevar Ivana Crnojevića 64a, 81000 Podgorica</w:t>
      </w:r>
    </w:p>
    <w:p w14:paraId="119AC08D" w14:textId="77777777" w:rsidR="00EA5765" w:rsidRPr="0071319B" w:rsidRDefault="00EA5765" w:rsidP="00A46C9A">
      <w:pPr>
        <w:pStyle w:val="NoSpacing"/>
        <w:rPr>
          <w:rFonts w:asciiTheme="majorBidi" w:eastAsia="Calibri" w:hAnsiTheme="majorBidi" w:cstheme="majorBidi"/>
          <w:sz w:val="22"/>
          <w:szCs w:val="22"/>
          <w:lang w:val="sr-Latn-ME"/>
        </w:rPr>
      </w:pPr>
    </w:p>
    <w:p w14:paraId="78D99046" w14:textId="77777777" w:rsidR="005A23D2" w:rsidRPr="0071319B" w:rsidRDefault="005A23D2" w:rsidP="00A46C9A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71319B">
        <w:rPr>
          <w:rFonts w:asciiTheme="majorBidi" w:eastAsia="Calibri" w:hAnsiTheme="majorBidi" w:cstheme="majorBidi"/>
          <w:sz w:val="22"/>
          <w:szCs w:val="22"/>
          <w:lang w:val="sr-Latn-ME"/>
        </w:rPr>
        <w:t>tel: +382 (0) 20 310 280</w:t>
      </w:r>
    </w:p>
    <w:p w14:paraId="4D80D054" w14:textId="77777777" w:rsidR="00EA5765" w:rsidRPr="0071319B" w:rsidRDefault="005A23D2" w:rsidP="00A46C9A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proofErr w:type="spellStart"/>
      <w:r w:rsidRPr="0071319B">
        <w:rPr>
          <w:rFonts w:asciiTheme="majorBidi" w:eastAsia="Calibri" w:hAnsiTheme="majorBidi" w:cstheme="majorBidi"/>
          <w:sz w:val="22"/>
          <w:szCs w:val="22"/>
          <w:lang w:val="sr-Latn-ME"/>
        </w:rPr>
        <w:t>fax</w:t>
      </w:r>
      <w:proofErr w:type="spellEnd"/>
      <w:r w:rsidRPr="0071319B">
        <w:rPr>
          <w:rFonts w:asciiTheme="majorBidi" w:eastAsia="Calibri" w:hAnsiTheme="majorBidi" w:cstheme="majorBidi"/>
          <w:sz w:val="22"/>
          <w:szCs w:val="22"/>
          <w:lang w:val="sr-Latn-ME"/>
        </w:rPr>
        <w:t>:</w:t>
      </w:r>
      <w:r w:rsidR="00EA5765" w:rsidRPr="0071319B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eastAsia="Calibri" w:hAnsiTheme="majorBidi" w:cstheme="majorBidi"/>
          <w:sz w:val="22"/>
          <w:szCs w:val="22"/>
          <w:lang w:val="sr-Latn-ME"/>
        </w:rPr>
        <w:t>+382 (0) 20 310 581</w:t>
      </w:r>
    </w:p>
    <w:p w14:paraId="61C50CF1" w14:textId="77777777" w:rsidR="005A23D2" w:rsidRPr="0071319B" w:rsidRDefault="003207FF" w:rsidP="00A46C9A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hyperlink r:id="rId8" w:history="1">
        <w:r w:rsidR="004E70AD" w:rsidRPr="0071319B">
          <w:rPr>
            <w:rStyle w:val="Hyperlink"/>
            <w:rFonts w:asciiTheme="majorBidi" w:eastAsia="Calibri" w:hAnsiTheme="majorBidi" w:cstheme="majorBidi"/>
            <w:sz w:val="22"/>
            <w:szCs w:val="22"/>
            <w:lang w:val="sr-Latn-ME"/>
          </w:rPr>
          <w:t>www.cinmed.me</w:t>
        </w:r>
      </w:hyperlink>
    </w:p>
    <w:p w14:paraId="5F8E5F01" w14:textId="77777777" w:rsidR="00EA5765" w:rsidRPr="0071319B" w:rsidRDefault="003207FF" w:rsidP="00A46C9A">
      <w:pPr>
        <w:pStyle w:val="NoSpacing"/>
        <w:jc w:val="both"/>
        <w:rPr>
          <w:rFonts w:asciiTheme="majorBidi" w:eastAsia="Calibri" w:hAnsiTheme="majorBidi" w:cstheme="majorBid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71319B">
          <w:rPr>
            <w:rStyle w:val="Hyperlink"/>
            <w:rFonts w:asciiTheme="majorBidi" w:eastAsia="Calibri" w:hAnsiTheme="majorBidi" w:cstheme="majorBidi"/>
            <w:sz w:val="22"/>
            <w:szCs w:val="22"/>
            <w:lang w:val="sr-Latn-ME"/>
          </w:rPr>
          <w:t>nezeljenadejstva@cinmed.me</w:t>
        </w:r>
      </w:hyperlink>
    </w:p>
    <w:p w14:paraId="73DF80F4" w14:textId="77777777" w:rsidR="005A23D2" w:rsidRDefault="005A23D2" w:rsidP="00A46C9A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71319B">
        <w:rPr>
          <w:rFonts w:asciiTheme="majorBidi" w:eastAsia="Calibri" w:hAnsiTheme="majorBidi" w:cstheme="majorBidi"/>
          <w:sz w:val="22"/>
          <w:szCs w:val="22"/>
          <w:lang w:val="sr-Latn-ME"/>
        </w:rPr>
        <w:t>putem IS zdravstvene zaštite</w:t>
      </w:r>
    </w:p>
    <w:p w14:paraId="6062F771" w14:textId="77777777" w:rsidR="00204A0F" w:rsidRDefault="00204A0F" w:rsidP="00204A0F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 xml:space="preserve">QR kod za </w:t>
      </w:r>
      <w:proofErr w:type="spellStart"/>
      <w:r>
        <w:rPr>
          <w:rFonts w:eastAsia="Calibri"/>
          <w:sz w:val="22"/>
          <w:szCs w:val="22"/>
          <w:lang w:val="sr-Latn-RS"/>
        </w:rPr>
        <w:t>online</w:t>
      </w:r>
      <w:proofErr w:type="spellEnd"/>
      <w:r>
        <w:rPr>
          <w:rFonts w:eastAsia="Calibri"/>
          <w:sz w:val="22"/>
          <w:szCs w:val="22"/>
          <w:lang w:val="sr-Latn-RS"/>
        </w:rPr>
        <w:t xml:space="preserve"> prijavu sumnje na neželjeno dejstvo </w:t>
      </w:r>
      <w:proofErr w:type="spellStart"/>
      <w:r>
        <w:rPr>
          <w:rFonts w:eastAsia="Calibri"/>
          <w:sz w:val="22"/>
          <w:szCs w:val="22"/>
          <w:lang w:val="sr-Latn-RS"/>
        </w:rPr>
        <w:t>lijeka</w:t>
      </w:r>
      <w:proofErr w:type="spellEnd"/>
      <w:r>
        <w:rPr>
          <w:rFonts w:eastAsia="Calibri"/>
          <w:sz w:val="22"/>
          <w:szCs w:val="22"/>
          <w:lang w:val="sr-Latn-RS"/>
        </w:rPr>
        <w:t>:</w:t>
      </w:r>
    </w:p>
    <w:p w14:paraId="4FBB8BFB" w14:textId="77777777" w:rsidR="00204A0F" w:rsidRDefault="00204A0F" w:rsidP="00204A0F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68F60588" w14:textId="77777777" w:rsidR="00204A0F" w:rsidRPr="00786071" w:rsidRDefault="00204A0F" w:rsidP="00204A0F">
      <w:pPr>
        <w:pStyle w:val="NoSpacing"/>
        <w:rPr>
          <w:rFonts w:eastAsia="Calibri"/>
          <w:sz w:val="22"/>
          <w:szCs w:val="22"/>
          <w:lang w:val="sr-Latn-RS"/>
        </w:rPr>
      </w:pPr>
      <w:r>
        <w:rPr>
          <w:noProof/>
        </w:rPr>
        <w:lastRenderedPageBreak/>
        <w:drawing>
          <wp:inline distT="0" distB="0" distL="0" distR="0" wp14:anchorId="4D89E8D2" wp14:editId="3EB59EC6">
            <wp:extent cx="971550" cy="971550"/>
            <wp:effectExtent l="0" t="0" r="0" b="0"/>
            <wp:docPr id="3" name="Picture 3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CF240" w14:textId="77777777" w:rsidR="00071E9C" w:rsidRDefault="00071E9C" w:rsidP="00ED4E48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413F1B15" w14:textId="5DA7B8E4" w:rsidR="00CD6F02" w:rsidRPr="0071319B" w:rsidRDefault="0072020E" w:rsidP="00071E9C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4.9. </w:t>
      </w:r>
      <w:r w:rsidR="00480FB1"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>Predoziranje</w:t>
      </w:r>
      <w:r w:rsidR="002846DB"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</w:p>
    <w:p w14:paraId="2CFEC4F4" w14:textId="77777777" w:rsidR="00462CF9" w:rsidRDefault="00462CF9">
      <w:pPr>
        <w:spacing w:line="276" w:lineRule="auto"/>
        <w:rPr>
          <w:rFonts w:asciiTheme="majorBidi" w:eastAsia="Calibri" w:hAnsiTheme="majorBidi" w:cstheme="majorBidi"/>
          <w:sz w:val="22"/>
          <w:szCs w:val="22"/>
          <w:u w:val="single"/>
          <w:lang w:val="sr-Latn-ME"/>
        </w:rPr>
      </w:pPr>
    </w:p>
    <w:p w14:paraId="44D693B1" w14:textId="77777777" w:rsidR="000635CE" w:rsidRPr="00462CF9" w:rsidRDefault="000635CE">
      <w:pPr>
        <w:spacing w:line="276" w:lineRule="auto"/>
        <w:rPr>
          <w:rFonts w:asciiTheme="majorBidi" w:eastAsia="Calibri" w:hAnsiTheme="majorBidi" w:cstheme="majorBidi"/>
          <w:sz w:val="22"/>
          <w:szCs w:val="22"/>
          <w:u w:val="single"/>
          <w:lang w:val="sr-Latn-ME"/>
        </w:rPr>
      </w:pPr>
      <w:r w:rsidRPr="00462CF9">
        <w:rPr>
          <w:rFonts w:asciiTheme="majorBidi" w:eastAsia="Calibri" w:hAnsiTheme="majorBidi" w:cstheme="majorBidi"/>
          <w:sz w:val="22"/>
          <w:szCs w:val="22"/>
          <w:u w:val="single"/>
          <w:lang w:val="sr-Latn-ME"/>
        </w:rPr>
        <w:t>Znaci i simptomi</w:t>
      </w:r>
    </w:p>
    <w:p w14:paraId="76ECB8FA" w14:textId="45F025EA" w:rsidR="000635CE" w:rsidRDefault="000635CE" w:rsidP="003207FF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Akcidentalno predoziranje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natrijumom nakon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s.c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.,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ekstrakorporalne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ili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i.v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 primjene može dovesti do pojave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hemoragijskih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komplikacija. Oralno primijenjen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 se slabo resorbuje i čak i velike oralne doze ne bi trebale da dovedu do bilo kakvih ozbiljnih posljedica.</w:t>
      </w:r>
    </w:p>
    <w:p w14:paraId="28EB6298" w14:textId="77777777" w:rsidR="00071E9C" w:rsidRPr="00462CF9" w:rsidRDefault="00071E9C" w:rsidP="003207FF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</w:p>
    <w:p w14:paraId="72813A31" w14:textId="77777777" w:rsidR="000635CE" w:rsidRPr="00462CF9" w:rsidRDefault="000635CE" w:rsidP="00071E9C">
      <w:pPr>
        <w:spacing w:line="276" w:lineRule="auto"/>
        <w:rPr>
          <w:rFonts w:asciiTheme="majorBidi" w:eastAsia="Calibri" w:hAnsiTheme="majorBidi" w:cstheme="majorBidi"/>
          <w:sz w:val="22"/>
          <w:szCs w:val="22"/>
          <w:u w:val="single"/>
          <w:lang w:val="sr-Latn-ME"/>
        </w:rPr>
      </w:pPr>
      <w:r w:rsidRPr="00462CF9">
        <w:rPr>
          <w:rFonts w:asciiTheme="majorBidi" w:eastAsia="Calibri" w:hAnsiTheme="majorBidi" w:cstheme="majorBidi"/>
          <w:sz w:val="22"/>
          <w:szCs w:val="22"/>
          <w:u w:val="single"/>
          <w:lang w:val="sr-Latn-ME"/>
        </w:rPr>
        <w:t>Terapija</w:t>
      </w:r>
    </w:p>
    <w:p w14:paraId="62A24EE1" w14:textId="77777777" w:rsidR="000635CE" w:rsidRPr="00462CF9" w:rsidRDefault="000635CE" w:rsidP="003207FF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Antikoagulantna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dejstva mogu se uglavnom neutralisati sporom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intravenskom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injekcijom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protamina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 Doza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protamina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zavisi od doze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natrijuma koja je ubrizgana:</w:t>
      </w:r>
    </w:p>
    <w:p w14:paraId="07B8E8EE" w14:textId="77777777" w:rsidR="00CD6F02" w:rsidRDefault="000635CE" w:rsidP="00071E9C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1mg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protamina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neutrališe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antikoagulantno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dejstvo 100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i.j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.</w:t>
      </w:r>
      <w:r w:rsidR="00645C86"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(1mg)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natrijuma, ukoliko je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 primijenjen u prethodnih 8 sati. Infuzija 0,5 mg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protamina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 100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i.j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.(1 mg)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natrijuma može se dati, ako je od primjene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natrijuma prošlo više od 8 sati ili ako je neophodna primjena druge doze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protamina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; ako je od primjene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natrijuma prošlo više od 12 sati, nema potrebe za davanjem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protamina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 Međutim, čak i uz visoke doze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protamina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, anti-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Xa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aktivnost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natrijuma nije moguće u potpunosti neutralisati (maksimalno približno 60%). (Vidi informacije o propisivanju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protaminskih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soli).</w:t>
      </w:r>
    </w:p>
    <w:p w14:paraId="5BCCA81C" w14:textId="77777777" w:rsidR="00462CF9" w:rsidRPr="00462CF9" w:rsidRDefault="00462CF9" w:rsidP="00462CF9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</w:p>
    <w:p w14:paraId="555A161C" w14:textId="77777777" w:rsidR="00227BDB" w:rsidRPr="0071319B" w:rsidRDefault="00227BDB" w:rsidP="00480FB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7C0F0523" w14:textId="77777777" w:rsidR="0072020E" w:rsidRPr="0071319B" w:rsidRDefault="0072020E" w:rsidP="00ED4E48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5. </w:t>
      </w:r>
      <w:r w:rsidR="00480FB1"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>FARMAKOLOŠK</w:t>
      </w:r>
      <w:r w:rsidR="000D425A"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>I</w:t>
      </w: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PODACI</w:t>
      </w:r>
    </w:p>
    <w:p w14:paraId="67450F2A" w14:textId="77777777" w:rsidR="0072020E" w:rsidRPr="0071319B" w:rsidRDefault="0072020E" w:rsidP="00ED4E48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5F63BD69" w14:textId="77777777" w:rsidR="00462CF9" w:rsidRDefault="0072020E" w:rsidP="00462CF9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5.1. </w:t>
      </w:r>
      <w:r w:rsidR="00480FB1"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proofErr w:type="spellStart"/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>Farmakodinamski</w:t>
      </w:r>
      <w:proofErr w:type="spellEnd"/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podaci</w:t>
      </w:r>
      <w:r w:rsidR="003A7059"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</w:p>
    <w:p w14:paraId="1066485A" w14:textId="77777777" w:rsidR="0076638E" w:rsidRDefault="0076638E" w:rsidP="00462CF9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3EF26B0E" w14:textId="6A09A348" w:rsidR="00CF0938" w:rsidRPr="00462CF9" w:rsidRDefault="000635CE" w:rsidP="00462CF9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proofErr w:type="spellStart"/>
      <w:r w:rsidRPr="0071319B">
        <w:rPr>
          <w:rFonts w:asciiTheme="majorBidi" w:hAnsiTheme="majorBidi" w:cstheme="majorBidi"/>
          <w:b/>
          <w:sz w:val="22"/>
          <w:szCs w:val="22"/>
          <w:lang w:val="sr-Latn-ME"/>
        </w:rPr>
        <w:t>Farmakoterapijska</w:t>
      </w:r>
      <w:proofErr w:type="spellEnd"/>
      <w:r w:rsidRPr="0071319B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 grupa: </w:t>
      </w:r>
      <w:proofErr w:type="spellStart"/>
      <w:r w:rsidR="000E294E" w:rsidRPr="0071319B">
        <w:rPr>
          <w:rFonts w:asciiTheme="majorBidi" w:hAnsiTheme="majorBidi" w:cstheme="majorBidi"/>
          <w:sz w:val="22"/>
          <w:szCs w:val="22"/>
          <w:lang w:val="sr-Latn-ME"/>
        </w:rPr>
        <w:t>Antitromboti</w:t>
      </w:r>
      <w:r w:rsidR="00E56B0B">
        <w:rPr>
          <w:rFonts w:asciiTheme="majorBidi" w:hAnsiTheme="majorBidi" w:cstheme="majorBidi"/>
          <w:sz w:val="22"/>
          <w:szCs w:val="22"/>
          <w:lang w:val="sr-Latn-ME"/>
        </w:rPr>
        <w:t>ci</w:t>
      </w:r>
      <w:proofErr w:type="spellEnd"/>
      <w:r w:rsidR="000E294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, </w:t>
      </w:r>
      <w:proofErr w:type="spellStart"/>
      <w:r w:rsidR="000E294E" w:rsidRPr="0071319B">
        <w:rPr>
          <w:rFonts w:asciiTheme="majorBidi" w:hAnsiTheme="majorBidi" w:cstheme="majorBidi"/>
          <w:sz w:val="22"/>
          <w:szCs w:val="22"/>
          <w:lang w:val="sr-Latn-ME"/>
        </w:rPr>
        <w:t>heparinska</w:t>
      </w:r>
      <w:proofErr w:type="spellEnd"/>
      <w:r w:rsidR="000E294E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grupa</w:t>
      </w:r>
      <w:r w:rsidR="00CF0938" w:rsidRPr="0071319B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 </w:t>
      </w:r>
    </w:p>
    <w:p w14:paraId="7501C110" w14:textId="77777777" w:rsidR="00CF0938" w:rsidRPr="0071319B" w:rsidRDefault="00CF0938" w:rsidP="00ED4E48">
      <w:pPr>
        <w:widowControl w:val="0"/>
        <w:autoSpaceDE w:val="0"/>
        <w:autoSpaceDN w:val="0"/>
        <w:ind w:left="232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5F587FDE" w14:textId="77777777" w:rsidR="00CF0938" w:rsidRPr="0071319B" w:rsidRDefault="000635CE" w:rsidP="00462CF9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ATC šifra: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B01AB05</w:t>
      </w:r>
    </w:p>
    <w:p w14:paraId="612E47A1" w14:textId="77777777" w:rsidR="00CF0938" w:rsidRPr="0071319B" w:rsidRDefault="00CF0938" w:rsidP="00ED4E48">
      <w:pPr>
        <w:widowControl w:val="0"/>
        <w:autoSpaceDE w:val="0"/>
        <w:autoSpaceDN w:val="0"/>
        <w:ind w:left="232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477EDF7A" w14:textId="77777777" w:rsidR="000635CE" w:rsidRPr="00462CF9" w:rsidRDefault="000E294E" w:rsidP="00462CF9">
      <w:pPr>
        <w:spacing w:line="276" w:lineRule="auto"/>
        <w:rPr>
          <w:rFonts w:asciiTheme="majorBidi" w:eastAsia="Calibri" w:hAnsiTheme="majorBidi" w:cstheme="majorBidi"/>
          <w:sz w:val="22"/>
          <w:szCs w:val="22"/>
          <w:u w:val="single"/>
          <w:lang w:val="sr-Latn-ME"/>
        </w:rPr>
      </w:pP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u w:val="single"/>
          <w:lang w:val="sr-Latn-ME"/>
        </w:rPr>
        <w:t>Farmakodinamska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u w:val="single"/>
          <w:lang w:val="sr-Latn-ME"/>
        </w:rPr>
        <w:t xml:space="preserve"> </w:t>
      </w:r>
      <w:r w:rsidR="000635CE" w:rsidRPr="00462CF9">
        <w:rPr>
          <w:rFonts w:asciiTheme="majorBidi" w:eastAsia="Calibri" w:hAnsiTheme="majorBidi" w:cstheme="majorBidi"/>
          <w:sz w:val="22"/>
          <w:szCs w:val="22"/>
          <w:u w:val="single"/>
          <w:lang w:val="sr-Latn-ME"/>
        </w:rPr>
        <w:t>dejstva</w:t>
      </w:r>
    </w:p>
    <w:p w14:paraId="69502C0D" w14:textId="77777777" w:rsidR="00CF0938" w:rsidRPr="0071319B" w:rsidRDefault="00CF0938" w:rsidP="00ED4E48">
      <w:pPr>
        <w:widowControl w:val="0"/>
        <w:autoSpaceDE w:val="0"/>
        <w:autoSpaceDN w:val="0"/>
        <w:ind w:left="232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43B6DBAB" w14:textId="74A06F3D" w:rsidR="000635CE" w:rsidRDefault="006665CB" w:rsidP="00462CF9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r w:rsidR="000635CE"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je </w:t>
      </w:r>
      <w:proofErr w:type="spellStart"/>
      <w:r w:rsidR="000635CE"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niskomolekul</w:t>
      </w:r>
      <w:r w:rsidR="006136FF">
        <w:rPr>
          <w:rFonts w:asciiTheme="majorBidi" w:eastAsia="Calibri" w:hAnsiTheme="majorBidi" w:cstheme="majorBidi"/>
          <w:sz w:val="22"/>
          <w:szCs w:val="22"/>
          <w:lang w:val="sr-Latn-ME"/>
        </w:rPr>
        <w:t>ski</w:t>
      </w:r>
      <w:proofErr w:type="spellEnd"/>
      <w:r w:rsidR="000635CE"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="000635CE"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heparin</w:t>
      </w:r>
      <w:proofErr w:type="spellEnd"/>
      <w:r w:rsidR="000635CE"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sa srednjom molekulskom masom od oko 4</w:t>
      </w:r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,</w:t>
      </w:r>
      <w:r w:rsidR="000635CE"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500 </w:t>
      </w:r>
      <w:proofErr w:type="spellStart"/>
      <w:r w:rsidR="000635CE"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daltona</w:t>
      </w:r>
      <w:proofErr w:type="spellEnd"/>
      <w:r w:rsidR="000635CE"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, kod koga su </w:t>
      </w:r>
      <w:proofErr w:type="spellStart"/>
      <w:r w:rsidR="000635CE"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antitrombotička</w:t>
      </w:r>
      <w:proofErr w:type="spellEnd"/>
      <w:r w:rsidR="000635CE"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i </w:t>
      </w:r>
      <w:proofErr w:type="spellStart"/>
      <w:r w:rsidR="000635CE"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antikoagulantna</w:t>
      </w:r>
      <w:proofErr w:type="spellEnd"/>
      <w:r w:rsidR="000635CE"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aktivnost standardnog </w:t>
      </w:r>
      <w:proofErr w:type="spellStart"/>
      <w:r w:rsidR="000635CE"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heparina</w:t>
      </w:r>
      <w:proofErr w:type="spellEnd"/>
      <w:r w:rsidR="000635CE"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razdvojene. Aktivna supstanca je natrijum</w:t>
      </w:r>
      <w:r w:rsidR="00E56B0B">
        <w:rPr>
          <w:rFonts w:asciiTheme="majorBidi" w:eastAsia="Calibri" w:hAnsiTheme="majorBidi" w:cstheme="majorBidi"/>
          <w:sz w:val="22"/>
          <w:szCs w:val="22"/>
          <w:lang w:val="sr-Latn-ME"/>
        </w:rPr>
        <w:t>ska</w:t>
      </w:r>
      <w:r w:rsidR="000635CE"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so.</w:t>
      </w:r>
    </w:p>
    <w:p w14:paraId="0899BDA0" w14:textId="77777777" w:rsidR="00E56B0B" w:rsidRPr="00462CF9" w:rsidRDefault="00E56B0B" w:rsidP="00462CF9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</w:p>
    <w:p w14:paraId="59160D01" w14:textId="11A70E41" w:rsidR="000635CE" w:rsidRDefault="000635CE" w:rsidP="00462CF9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Kod </w:t>
      </w:r>
      <w:r w:rsidRPr="00AA7F8E">
        <w:rPr>
          <w:rFonts w:asciiTheme="majorBidi" w:eastAsia="Calibri" w:hAnsiTheme="majorBidi" w:cstheme="majorBidi"/>
          <w:i/>
          <w:iCs/>
          <w:sz w:val="22"/>
          <w:szCs w:val="22"/>
          <w:lang w:val="sr-Latn-ME"/>
        </w:rPr>
        <w:t xml:space="preserve">in </w:t>
      </w:r>
      <w:proofErr w:type="spellStart"/>
      <w:r w:rsidRPr="00AA7F8E">
        <w:rPr>
          <w:rFonts w:asciiTheme="majorBidi" w:eastAsia="Calibri" w:hAnsiTheme="majorBidi" w:cstheme="majorBidi"/>
          <w:i/>
          <w:iCs/>
          <w:sz w:val="22"/>
          <w:szCs w:val="22"/>
          <w:lang w:val="sr-Latn-ME"/>
        </w:rPr>
        <w:t>vitro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prečišćenih sistema,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ima </w:t>
      </w:r>
      <w:r w:rsidR="00E56B0B">
        <w:rPr>
          <w:rFonts w:asciiTheme="majorBidi" w:eastAsia="Calibri" w:hAnsiTheme="majorBidi" w:cstheme="majorBidi"/>
          <w:sz w:val="22"/>
          <w:szCs w:val="22"/>
          <w:lang w:val="sr-Latn-ME"/>
        </w:rPr>
        <w:t>snažnu</w:t>
      </w:r>
      <w:r w:rsidR="00E56B0B"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anti-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Xa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aktivnost (oko 100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i.j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./mg) i </w:t>
      </w:r>
      <w:r w:rsidR="00E56B0B">
        <w:rPr>
          <w:rFonts w:asciiTheme="majorBidi" w:eastAsia="Calibri" w:hAnsiTheme="majorBidi" w:cstheme="majorBidi"/>
          <w:sz w:val="22"/>
          <w:szCs w:val="22"/>
          <w:lang w:val="sr-Latn-ME"/>
        </w:rPr>
        <w:t>slabu</w:t>
      </w:r>
      <w:r w:rsidR="00E56B0B"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anti-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IIa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ili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antitrombinsku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aktivnost (približno 28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i.j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./mg), sa odnosom 3,6. Ova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antikoagulantna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dejstva su potpomognuta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preko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anti-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trombina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III (ATIII) što dovodi do anti-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trombotičke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aktivnosti kod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ljudi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.</w:t>
      </w:r>
    </w:p>
    <w:p w14:paraId="69C48293" w14:textId="77777777" w:rsidR="00722CE1" w:rsidRPr="00462CF9" w:rsidRDefault="00722CE1" w:rsidP="00462CF9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</w:p>
    <w:p w14:paraId="65262182" w14:textId="77777777" w:rsidR="00E56B0B" w:rsidRDefault="000635CE" w:rsidP="00462CF9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Pored anti-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Xa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aktivnosti, ustanovljena su dodatna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antitrombotička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i antiinflamatorna svojstva </w:t>
      </w:r>
      <w:r w:rsidR="00645C86"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enoksaparina</w:t>
      </w:r>
      <w:proofErr w:type="spellEnd"/>
      <w:r w:rsidR="006C1B50"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kako kod zdravih ispitanika i pacijenata tako i na </w:t>
      </w:r>
      <w:proofErr w:type="spellStart"/>
      <w:r w:rsidR="00CF0938"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pret</w:t>
      </w:r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kliničkim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modelima.</w:t>
      </w:r>
    </w:p>
    <w:p w14:paraId="4D238A1E" w14:textId="510F1749" w:rsidR="00B661A9" w:rsidRPr="00462CF9" w:rsidRDefault="000635CE" w:rsidP="00462CF9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O</w:t>
      </w:r>
      <w:r w:rsidR="00722CE1">
        <w:rPr>
          <w:rFonts w:asciiTheme="majorBidi" w:eastAsia="Calibri" w:hAnsiTheme="majorBidi" w:cstheme="majorBidi"/>
          <w:sz w:val="22"/>
          <w:szCs w:val="22"/>
          <w:lang w:val="sr-Latn-ME"/>
        </w:rPr>
        <w:t>na</w:t>
      </w:r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uključuj</w:t>
      </w:r>
      <w:r w:rsidR="00722CE1">
        <w:rPr>
          <w:rFonts w:asciiTheme="majorBidi" w:eastAsia="Calibri" w:hAnsiTheme="majorBidi" w:cstheme="majorBidi"/>
          <w:sz w:val="22"/>
          <w:szCs w:val="22"/>
          <w:lang w:val="sr-Latn-ME"/>
        </w:rPr>
        <w:t>u</w:t>
      </w:r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ATIII zavisnu inhibiciju </w:t>
      </w:r>
      <w:r w:rsidR="004C1266"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drugih </w:t>
      </w:r>
      <w:proofErr w:type="spellStart"/>
      <w:r w:rsidR="004C1266"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koagulacionih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faktora, poput fakt</w:t>
      </w:r>
      <w:r w:rsidR="006C1B50"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ora </w:t>
      </w:r>
      <w:proofErr w:type="spellStart"/>
      <w:r w:rsidR="006C1B50"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VIIa</w:t>
      </w:r>
      <w:proofErr w:type="spellEnd"/>
      <w:r w:rsidR="006C1B50"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, indukciju oslobađanja </w:t>
      </w:r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endogenog inhibitora aktivatora spoljašnjeg puta koagulacije (TFPI) kao i smanjeno oslobađanje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von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Willebrand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faktora (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vWF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) iz vaskularnog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endotijela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r w:rsidR="004C1266"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u cirkulaciju</w:t>
      </w:r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 Poznato je da ovi faktori doprinose ukupnom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antitrombotičnom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dejstvu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enoksaparina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.</w:t>
      </w:r>
    </w:p>
    <w:p w14:paraId="6776835A" w14:textId="77777777" w:rsidR="000635CE" w:rsidRPr="00462CF9" w:rsidRDefault="000635CE" w:rsidP="00462CF9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Kada se koristi u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profilaktičkim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dozama,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ne utiče značajno na </w:t>
      </w:r>
      <w:proofErr w:type="spellStart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aPTT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 Kada se upotrebljava kao </w:t>
      </w:r>
      <w:r w:rsidR="004C1266"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terapija, </w:t>
      </w:r>
      <w:proofErr w:type="spellStart"/>
      <w:r w:rsidR="004C1266"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>aPTT</w:t>
      </w:r>
      <w:proofErr w:type="spellEnd"/>
      <w:r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može biti produženo</w:t>
      </w:r>
      <w:r w:rsidR="006C1B50"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1,5 do 2,2 puta u odnosu na kontrolne vrijednosti pri maksimalnoj aktivnosti.</w:t>
      </w:r>
      <w:r w:rsidR="006C1B50" w:rsidRPr="00462CF9">
        <w:rPr>
          <w:rFonts w:asciiTheme="majorBidi" w:eastAsia="Calibri" w:hAnsiTheme="majorBidi" w:cstheme="majorBidi"/>
          <w:sz w:val="22"/>
          <w:szCs w:val="22"/>
          <w:lang w:val="sr-Latn-ME"/>
        </w:rPr>
        <w:cr/>
      </w:r>
    </w:p>
    <w:p w14:paraId="489A0776" w14:textId="77777777" w:rsidR="000635CE" w:rsidRPr="0071319B" w:rsidRDefault="00B661A9" w:rsidP="00853A1E">
      <w:pPr>
        <w:widowControl w:val="0"/>
        <w:autoSpaceDE w:val="0"/>
        <w:autoSpaceDN w:val="0"/>
        <w:jc w:val="both"/>
        <w:outlineLvl w:val="2"/>
        <w:rPr>
          <w:rFonts w:asciiTheme="majorBidi" w:hAnsiTheme="majorBidi" w:cstheme="majorBidi"/>
          <w:bCs/>
          <w:i/>
          <w:sz w:val="22"/>
          <w:szCs w:val="22"/>
          <w:u w:val="single"/>
          <w:lang w:val="sr-Latn-ME"/>
        </w:rPr>
      </w:pPr>
      <w:r w:rsidRPr="0071319B">
        <w:rPr>
          <w:rFonts w:asciiTheme="majorBidi" w:hAnsiTheme="majorBidi" w:cstheme="majorBidi"/>
          <w:bCs/>
          <w:i/>
          <w:sz w:val="22"/>
          <w:szCs w:val="22"/>
          <w:u w:val="single"/>
          <w:lang w:val="sr-Latn-ME"/>
        </w:rPr>
        <w:t>Klinička efikasnost i bezbjednost</w:t>
      </w:r>
    </w:p>
    <w:p w14:paraId="581D05B2" w14:textId="77777777" w:rsidR="000635CE" w:rsidRPr="0071319B" w:rsidRDefault="000635CE" w:rsidP="00853A1E">
      <w:pPr>
        <w:widowControl w:val="0"/>
        <w:autoSpaceDE w:val="0"/>
        <w:autoSpaceDN w:val="0"/>
        <w:spacing w:before="117" w:line="251" w:lineRule="exact"/>
        <w:jc w:val="both"/>
        <w:rPr>
          <w:rFonts w:asciiTheme="majorBidi" w:hAnsiTheme="majorBidi" w:cstheme="majorBidi"/>
          <w:sz w:val="22"/>
          <w:szCs w:val="22"/>
          <w:u w:val="single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lastRenderedPageBreak/>
        <w:t xml:space="preserve">Prevencija venske </w:t>
      </w:r>
      <w:proofErr w:type="spellStart"/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tromboembolije</w:t>
      </w:r>
      <w:proofErr w:type="spellEnd"/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 xml:space="preserve"> u vezi sa operacijama</w:t>
      </w:r>
    </w:p>
    <w:p w14:paraId="6C70509B" w14:textId="77777777" w:rsidR="000635CE" w:rsidRPr="0071319B" w:rsidRDefault="000635CE" w:rsidP="006103F9">
      <w:pPr>
        <w:widowControl w:val="0"/>
        <w:numPr>
          <w:ilvl w:val="2"/>
          <w:numId w:val="12"/>
        </w:numPr>
        <w:tabs>
          <w:tab w:val="left" w:pos="819"/>
        </w:tabs>
        <w:autoSpaceDE w:val="0"/>
        <w:autoSpaceDN w:val="0"/>
        <w:spacing w:line="267" w:lineRule="exact"/>
        <w:ind w:hanging="361"/>
        <w:jc w:val="both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 xml:space="preserve">Produžena profilaksa venske </w:t>
      </w:r>
      <w:proofErr w:type="spellStart"/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tromboembolije</w:t>
      </w:r>
      <w:proofErr w:type="spellEnd"/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 xml:space="preserve"> nakon ortopedskih</w:t>
      </w:r>
      <w:r w:rsidRPr="0071319B">
        <w:rPr>
          <w:rFonts w:asciiTheme="majorBidi" w:hAnsiTheme="majorBidi" w:cstheme="majorBidi"/>
          <w:i/>
          <w:spacing w:val="-10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i/>
          <w:sz w:val="22"/>
          <w:szCs w:val="22"/>
          <w:lang w:val="sr-Latn-ME"/>
        </w:rPr>
        <w:t>operacija</w:t>
      </w:r>
    </w:p>
    <w:p w14:paraId="2BD14D6F" w14:textId="77777777" w:rsidR="000C4393" w:rsidRPr="0071319B" w:rsidRDefault="000C4393" w:rsidP="0063021A">
      <w:pPr>
        <w:widowControl w:val="0"/>
        <w:autoSpaceDE w:val="0"/>
        <w:autoSpaceDN w:val="0"/>
        <w:spacing w:before="1"/>
        <w:ind w:left="232" w:right="331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1794705F" w14:textId="77777777" w:rsidR="00853A1E" w:rsidRDefault="000635CE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U dvostruko slijepom ispitivanju produžene profilakse kod pacijenata koji su se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podvrgli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operativnoj zamjeni zgloba kuka 179 pacijenata bez VTE je inicijalno tretirano sa 4000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i.j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 (40mg)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s.c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 za vrijeme trajanja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hospitalizacije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 Nakon otpusta su randomizovani u dva režima primjene – grupa koja je dobijala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 4000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i.j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 (40 mg)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s.c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 jednom dnevno (n=90) i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placebo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grupa (n=89), u trajanju</w:t>
      </w:r>
      <w:r w:rsidR="000C4393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od 3 ned</w:t>
      </w:r>
      <w:r w:rsidR="002917BD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j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elje. Incidenca pojave DVT bila je značajno niža u grupi koja je primala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 u odnosu na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placebo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grupu. Nije bilo prijavljenih PE, niti pojave ozbiljnih krvarenja.</w:t>
      </w:r>
    </w:p>
    <w:p w14:paraId="34A7A635" w14:textId="77777777" w:rsidR="00853A1E" w:rsidRDefault="00853A1E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</w:p>
    <w:p w14:paraId="1EA013DA" w14:textId="77777777" w:rsidR="000635CE" w:rsidRPr="00853A1E" w:rsidRDefault="000635CE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Podaci o efikasnosti navedeni su u tabeli u nastavku.</w:t>
      </w:r>
    </w:p>
    <w:p w14:paraId="7E264871" w14:textId="77777777" w:rsidR="00B661A9" w:rsidRPr="0071319B" w:rsidRDefault="00B661A9" w:rsidP="00B661A9">
      <w:pPr>
        <w:widowControl w:val="0"/>
        <w:autoSpaceDE w:val="0"/>
        <w:autoSpaceDN w:val="0"/>
        <w:spacing w:before="121" w:after="10"/>
        <w:ind w:left="232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6"/>
        <w:gridCol w:w="2698"/>
        <w:gridCol w:w="2323"/>
      </w:tblGrid>
      <w:tr w:rsidR="000635CE" w:rsidRPr="0071319B" w14:paraId="05B506E9" w14:textId="77777777" w:rsidTr="00ED4E48">
        <w:trPr>
          <w:trHeight w:val="1036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0460" w14:textId="77777777" w:rsidR="000635CE" w:rsidRPr="0071319B" w:rsidRDefault="000635CE" w:rsidP="000635CE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28AF3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59" w:line="235" w:lineRule="auto"/>
              <w:ind w:left="316" w:right="305" w:hanging="1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proofErr w:type="spellStart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Enoksaparin</w:t>
            </w:r>
            <w:proofErr w:type="spellEnd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 natrijum 4000 </w:t>
            </w:r>
            <w:proofErr w:type="spellStart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i.j</w:t>
            </w:r>
            <w:proofErr w:type="spellEnd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. (40 mg) jednom dnevno SC</w:t>
            </w:r>
          </w:p>
          <w:p w14:paraId="2A296F56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2"/>
              <w:ind w:left="988" w:right="970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n (%)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680B9" w14:textId="5C764973" w:rsidR="000635CE" w:rsidRPr="0071319B" w:rsidRDefault="000635CE" w:rsidP="003207FF">
            <w:pPr>
              <w:widowControl w:val="0"/>
              <w:autoSpaceDE w:val="0"/>
              <w:autoSpaceDN w:val="0"/>
              <w:spacing w:before="177" w:line="232" w:lineRule="auto"/>
              <w:ind w:left="344" w:right="194" w:firstLine="475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proofErr w:type="spellStart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Placebo</w:t>
            </w:r>
            <w:proofErr w:type="spellEnd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 jednom dnevno SC</w:t>
            </w:r>
            <w:r w:rsidR="00722CE1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 </w:t>
            </w:r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n (%)</w:t>
            </w:r>
          </w:p>
        </w:tc>
      </w:tr>
      <w:tr w:rsidR="000635CE" w:rsidRPr="0071319B" w14:paraId="798A65B7" w14:textId="77777777" w:rsidTr="00ED4E48">
        <w:trPr>
          <w:trHeight w:val="570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6D9FC" w14:textId="4675A125" w:rsidR="000635CE" w:rsidRPr="003207FF" w:rsidRDefault="000635CE" w:rsidP="002155B6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r w:rsidRPr="003207FF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Svi pacijenti </w:t>
            </w:r>
            <w:r w:rsidR="00722CE1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koji su bili </w:t>
            </w:r>
            <w:r w:rsidRPr="003207FF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na produženoj profilaksi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55B03" w14:textId="77777777" w:rsidR="000635CE" w:rsidRPr="0071319B" w:rsidRDefault="000635CE" w:rsidP="002155B6">
            <w:pPr>
              <w:widowControl w:val="0"/>
              <w:autoSpaceDE w:val="0"/>
              <w:autoSpaceDN w:val="0"/>
              <w:ind w:right="975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90 (100)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139FD" w14:textId="77777777" w:rsidR="000635CE" w:rsidRPr="0071319B" w:rsidRDefault="000635CE" w:rsidP="002155B6">
            <w:pPr>
              <w:widowControl w:val="0"/>
              <w:autoSpaceDE w:val="0"/>
              <w:autoSpaceDN w:val="0"/>
              <w:ind w:right="800"/>
              <w:jc w:val="right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89 (100)</w:t>
            </w:r>
          </w:p>
        </w:tc>
      </w:tr>
      <w:tr w:rsidR="000635CE" w:rsidRPr="0071319B" w14:paraId="756073DF" w14:textId="77777777" w:rsidTr="00ED4E48">
        <w:trPr>
          <w:trHeight w:val="38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D1045" w14:textId="77777777" w:rsidR="000635CE" w:rsidRPr="003207FF" w:rsidRDefault="000635CE" w:rsidP="002155B6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r w:rsidRPr="003207FF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Ukupni VTE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60B65" w14:textId="77777777" w:rsidR="000635CE" w:rsidRPr="0071319B" w:rsidRDefault="000635CE" w:rsidP="002155B6">
            <w:pPr>
              <w:widowControl w:val="0"/>
              <w:autoSpaceDE w:val="0"/>
              <w:autoSpaceDN w:val="0"/>
              <w:ind w:right="97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6 (6,6)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003D9" w14:textId="77777777" w:rsidR="000635CE" w:rsidRPr="0071319B" w:rsidRDefault="000635CE" w:rsidP="002155B6">
            <w:pPr>
              <w:widowControl w:val="0"/>
              <w:autoSpaceDE w:val="0"/>
              <w:autoSpaceDN w:val="0"/>
              <w:ind w:right="776"/>
              <w:jc w:val="right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18 (20,2)</w:t>
            </w:r>
          </w:p>
        </w:tc>
      </w:tr>
      <w:tr w:rsidR="000635CE" w:rsidRPr="0071319B" w14:paraId="2C65370C" w14:textId="77777777" w:rsidTr="00ED4E48">
        <w:trPr>
          <w:trHeight w:val="407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A1C43" w14:textId="77777777" w:rsidR="000635CE" w:rsidRPr="003207FF" w:rsidRDefault="000635CE" w:rsidP="003207FF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3207FF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Ukupna DVT (%)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AFFB3" w14:textId="77777777" w:rsidR="000635CE" w:rsidRPr="0071319B" w:rsidRDefault="000635CE" w:rsidP="002155B6">
            <w:pPr>
              <w:widowControl w:val="0"/>
              <w:autoSpaceDE w:val="0"/>
              <w:autoSpaceDN w:val="0"/>
              <w:ind w:right="975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6 (6,</w:t>
            </w:r>
            <w:hyperlink r:id="rId12" w:history="1">
              <w:r w:rsidRPr="0071319B">
                <w:rPr>
                  <w:rFonts w:asciiTheme="majorBidi" w:hAnsiTheme="majorBidi" w:cstheme="majorBidi"/>
                  <w:sz w:val="22"/>
                  <w:szCs w:val="22"/>
                  <w:lang w:val="sr-Latn-ME"/>
                </w:rPr>
                <w:t>6)*</w:t>
              </w:r>
            </w:hyperlink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022D6" w14:textId="77777777" w:rsidR="000635CE" w:rsidRPr="0071319B" w:rsidRDefault="000635CE" w:rsidP="002155B6">
            <w:pPr>
              <w:widowControl w:val="0"/>
              <w:autoSpaceDE w:val="0"/>
              <w:autoSpaceDN w:val="0"/>
              <w:ind w:right="776"/>
              <w:jc w:val="right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18 (20,2)</w:t>
            </w:r>
          </w:p>
        </w:tc>
      </w:tr>
      <w:tr w:rsidR="000635CE" w:rsidRPr="0071319B" w14:paraId="0D3DDAC3" w14:textId="77777777" w:rsidTr="00ED4E48">
        <w:trPr>
          <w:trHeight w:val="417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D8FE4" w14:textId="77777777" w:rsidR="000635CE" w:rsidRPr="003207FF" w:rsidRDefault="000635CE" w:rsidP="003207FF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3207FF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Proksimalna</w:t>
            </w:r>
            <w:proofErr w:type="spellEnd"/>
            <w:r w:rsidRPr="003207FF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DVT (%)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5F113" w14:textId="77777777" w:rsidR="000635CE" w:rsidRPr="0071319B" w:rsidRDefault="000635CE" w:rsidP="002155B6">
            <w:pPr>
              <w:widowControl w:val="0"/>
              <w:autoSpaceDE w:val="0"/>
              <w:autoSpaceDN w:val="0"/>
              <w:ind w:right="972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5 (5,6)#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E382D" w14:textId="77777777" w:rsidR="000635CE" w:rsidRPr="0071319B" w:rsidRDefault="000635CE" w:rsidP="002155B6">
            <w:pPr>
              <w:widowControl w:val="0"/>
              <w:autoSpaceDE w:val="0"/>
              <w:autoSpaceDN w:val="0"/>
              <w:ind w:right="877"/>
              <w:jc w:val="right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7 (8,8)</w:t>
            </w:r>
          </w:p>
        </w:tc>
      </w:tr>
      <w:tr w:rsidR="000635CE" w:rsidRPr="0071319B" w14:paraId="0456D28D" w14:textId="77777777" w:rsidTr="00ED4E48">
        <w:trPr>
          <w:trHeight w:val="460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E1819" w14:textId="77777777" w:rsidR="000635CE" w:rsidRPr="0071319B" w:rsidRDefault="000635CE" w:rsidP="003207FF">
            <w:pPr>
              <w:widowControl w:val="0"/>
              <w:autoSpaceDE w:val="0"/>
              <w:autoSpaceDN w:val="0"/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*p vr</w:t>
            </w:r>
            <w:r w:rsidR="000C4393"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ij</w:t>
            </w: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ednost u odnosu na </w:t>
            </w:r>
            <w:proofErr w:type="spellStart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placebo</w:t>
            </w:r>
            <w:proofErr w:type="spellEnd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=0,008</w:t>
            </w:r>
          </w:p>
          <w:p w14:paraId="66EF45D4" w14:textId="77777777" w:rsidR="000635CE" w:rsidRPr="0071319B" w:rsidRDefault="000635CE" w:rsidP="003207FF">
            <w:pPr>
              <w:widowControl w:val="0"/>
              <w:autoSpaceDE w:val="0"/>
              <w:autoSpaceDN w:val="0"/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#p vr</w:t>
            </w:r>
            <w:r w:rsidR="000C4393"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ij</w:t>
            </w: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ednost u odnosu na </w:t>
            </w:r>
            <w:proofErr w:type="spellStart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placebo</w:t>
            </w:r>
            <w:proofErr w:type="spellEnd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=0,537</w:t>
            </w:r>
          </w:p>
        </w:tc>
      </w:tr>
    </w:tbl>
    <w:p w14:paraId="11D81A5B" w14:textId="77777777" w:rsidR="00B661A9" w:rsidRPr="0071319B" w:rsidRDefault="00B661A9" w:rsidP="00B661A9">
      <w:pPr>
        <w:widowControl w:val="0"/>
        <w:autoSpaceDE w:val="0"/>
        <w:autoSpaceDN w:val="0"/>
        <w:spacing w:before="4"/>
        <w:ind w:left="142"/>
        <w:rPr>
          <w:rFonts w:asciiTheme="majorBidi" w:hAnsiTheme="majorBidi" w:cstheme="majorBidi"/>
          <w:sz w:val="22"/>
          <w:szCs w:val="22"/>
          <w:lang w:val="sr-Latn-ME"/>
        </w:rPr>
      </w:pPr>
    </w:p>
    <w:p w14:paraId="2A77D234" w14:textId="77777777" w:rsidR="000635CE" w:rsidRPr="00853A1E" w:rsidRDefault="000635CE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U drugom dvostruko slijepom ispitivanju produžene profilakse kod pacijenata koji su se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podvrgli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operativnoj zamjeni zgloba kuka 262 pacijenta bez VTE je inicijalno tretirano sa 4000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i.j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. (40 mg)</w:t>
      </w:r>
      <w:r w:rsidR="002D081E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natrijuma</w:t>
      </w:r>
      <w:r w:rsidR="002D081E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s.c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 za vrijeme trajanja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hospitalizacije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. Nakon otpusta su randomizovani u dva režima primjene – grupa koja</w:t>
      </w:r>
      <w:r w:rsidR="002917BD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je dobijala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 4000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i.j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 (40 mg)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s.c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 jednom dnevno (n=131) i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placebo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grupa (n=131), u trajanju od 3 ned</w:t>
      </w:r>
      <w:r w:rsidR="000E3023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j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elje. Slično prvom ispitivanju, incidenca pojave VTE tokom produžene profilakse bila je značajno niža u grupi koja je primala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 u odnosu na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placebo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grupu i to kako za ukupni VTE (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 21 (16%) u odnosu na</w:t>
      </w:r>
      <w:r w:rsidR="002D081E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placebo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45 (34,4%); p=0,001) tako i za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proksimalnu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DVT (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 8 (6,1%) u odnosu na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placebo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28 (21,4%); p=˂0,001). Nije bilo razlike u pojavi ozbiljnih krvarenja između grupe na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natrijumu i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placebo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grupe.</w:t>
      </w:r>
    </w:p>
    <w:p w14:paraId="51C7D0C2" w14:textId="77777777" w:rsidR="000635CE" w:rsidRPr="0071319B" w:rsidRDefault="000635CE" w:rsidP="00853A1E">
      <w:pPr>
        <w:widowControl w:val="0"/>
        <w:numPr>
          <w:ilvl w:val="1"/>
          <w:numId w:val="37"/>
        </w:numPr>
        <w:tabs>
          <w:tab w:val="left" w:pos="819"/>
        </w:tabs>
        <w:autoSpaceDE w:val="0"/>
        <w:autoSpaceDN w:val="0"/>
        <w:spacing w:before="117"/>
        <w:jc w:val="both"/>
        <w:rPr>
          <w:rFonts w:asciiTheme="majorBidi" w:hAnsiTheme="majorBidi" w:cstheme="majorBidi"/>
          <w:sz w:val="22"/>
          <w:szCs w:val="22"/>
          <w:u w:val="single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Produžena profilaksa duboke venske tromboze nakon operacije</w:t>
      </w:r>
      <w:r w:rsidRPr="0071319B">
        <w:rPr>
          <w:rFonts w:asciiTheme="majorBidi" w:hAnsiTheme="majorBidi" w:cstheme="majorBidi"/>
          <w:spacing w:val="-12"/>
          <w:sz w:val="22"/>
          <w:szCs w:val="22"/>
          <w:u w:val="single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maligniteta</w:t>
      </w:r>
      <w:proofErr w:type="spellEnd"/>
    </w:p>
    <w:p w14:paraId="79A08155" w14:textId="77777777" w:rsidR="000635CE" w:rsidRPr="00853A1E" w:rsidRDefault="000635CE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Dvostruko slijepa,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multicentrična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studija poredila je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četvoroned</w:t>
      </w:r>
      <w:r w:rsidR="002A77BD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j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eljni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naspram jednoned</w:t>
      </w:r>
      <w:r w:rsidR="002A77BD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j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eljnog režima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profilaktičke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primjene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natrijuma u smislu bezbjednosti i efikasnosti kod 332 pacijenta podvrgnuta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elektivnoj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operaciji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maligniteta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u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pelvisu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ili abdomenu. Pacijenti su dobijali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 (4000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i.j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 (40 mg)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s.c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.) dnevno 6 do 10 dana, a potom randomizovani na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 i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placebo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grupu na još 21 dan. Između 25. i 31. dana je sprovedene bilateralna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venografija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ili ranije, ukoliko je došlo do pojave simptoma venske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tromboembolije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 Pacijenti su praćeni tri mjeseca. Profilaksa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natrijumom u trajanju od 4 ned</w:t>
      </w:r>
      <w:r w:rsidR="002A77BD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j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elje nakon operacije abdominalnih ili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pelvičkih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maligniteta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, značajno je smanjila incidencu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venografski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demonstriranih tromboza u poređenju sa profilaksom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primijenjivanom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tokom jedne ned</w:t>
      </w:r>
      <w:r w:rsidR="002A77BD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j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elje. Stope venskog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tromboembolizma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 kraju dvostruko slijepe faze bile su 12,0% (n=20) u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placebo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grupi i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4,8% (n=8) u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 grupi; p=0,02. Razlika se održala i nakon tri mjeseca (13,8%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vs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5,5% (no23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vs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9), p=0,01). Nije bilo razlika u stopi krvarenja ili drugih komplikacija tokom dvostruko slijepog i perioda praćenja.</w:t>
      </w:r>
    </w:p>
    <w:p w14:paraId="1D8E986F" w14:textId="77777777" w:rsidR="000635CE" w:rsidRPr="0071319B" w:rsidRDefault="000635CE" w:rsidP="00853A1E">
      <w:pPr>
        <w:widowControl w:val="0"/>
        <w:tabs>
          <w:tab w:val="left" w:pos="819"/>
          <w:tab w:val="left" w:pos="9356"/>
        </w:tabs>
        <w:autoSpaceDE w:val="0"/>
        <w:autoSpaceDN w:val="0"/>
        <w:spacing w:before="127" w:line="235" w:lineRule="auto"/>
        <w:ind w:right="53"/>
        <w:jc w:val="both"/>
        <w:outlineLvl w:val="0"/>
        <w:rPr>
          <w:rFonts w:asciiTheme="majorBidi" w:hAnsiTheme="majorBidi" w:cstheme="majorBidi"/>
          <w:sz w:val="22"/>
          <w:szCs w:val="22"/>
          <w:u w:val="single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 xml:space="preserve">Profilaksa venske </w:t>
      </w:r>
      <w:proofErr w:type="spellStart"/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tromboembolijske</w:t>
      </w:r>
      <w:proofErr w:type="spellEnd"/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 xml:space="preserve"> bolesti kod akutno </w:t>
      </w:r>
      <w:proofErr w:type="spellStart"/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oboljelih</w:t>
      </w:r>
      <w:proofErr w:type="spellEnd"/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 xml:space="preserve"> internističkih pacijenata kod kojih se očekivala smanjena</w:t>
      </w:r>
      <w:r w:rsidRPr="0071319B">
        <w:rPr>
          <w:rFonts w:asciiTheme="majorBidi" w:hAnsiTheme="majorBidi" w:cstheme="majorBidi"/>
          <w:spacing w:val="-7"/>
          <w:sz w:val="22"/>
          <w:szCs w:val="22"/>
          <w:u w:val="single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pokretljivost</w:t>
      </w:r>
    </w:p>
    <w:p w14:paraId="027AAC3A" w14:textId="4FC4CF81" w:rsidR="000635CE" w:rsidRPr="00853A1E" w:rsidRDefault="000635CE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U dvostruko slijepom,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multicentričnom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ispitivanju paralelnih grupa,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 u dozi 2000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i.j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 (20 mg) ili 4000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i.j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 (40 mg) jednom dnevno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s.c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 je poređen sa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placebom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u profilaksi DVT kod internističkih pacijenata sa značajno smanjenom pokretljivošću tokom akutne bolesti definisano kao distanca hoda ˂ 10 m u toku ≤</w:t>
      </w:r>
      <w:r w:rsidR="00896225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3 dana.</w:t>
      </w:r>
      <w:r w:rsidR="00E87BB0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Ovo ispitivanje je uključivalo pacijente sa srčanom insuficijencijom (NYHA klasa III ili 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lastRenderedPageBreak/>
        <w:t xml:space="preserve">IV); akutnom respiratornom insuficijencijom ili komplikovanom hroničnom respiratornom insuficijencijom i akutnom infekcijom ili akutnim reumatizmom; pod uslovom da su povezani sa najmanje jednim faktorom rizika za VTE (≥ 75 godina starosti,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malignitet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, prethodna VTE, gojaznost,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varikozne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vene, hormonska terapija i hronična srčana ili respiratorna insuficijencija).</w:t>
      </w:r>
    </w:p>
    <w:p w14:paraId="372DCEA4" w14:textId="77777777" w:rsidR="0076638E" w:rsidRDefault="000635CE" w:rsidP="001254DD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Ukupno 1102 pacijenta bilo je uključeno u ispitivanje, a 1073 pacijenta je liječeno. Terapija je trajala 6 do 14 dana (srednja dužina trajanja 7 dana). Kada je primijenjen u dozi od 4000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i.j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 (40 mg)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s.c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 jednom dnevno,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 je značajno smanjio incidence VTE u poređenju sa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placebom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 </w:t>
      </w:r>
    </w:p>
    <w:p w14:paraId="735D2B71" w14:textId="77777777" w:rsidR="0076638E" w:rsidRDefault="0076638E" w:rsidP="001254DD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</w:p>
    <w:p w14:paraId="585871EE" w14:textId="77777777" w:rsidR="000635CE" w:rsidRPr="001254DD" w:rsidRDefault="000635CE" w:rsidP="001254DD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Podaci o efikasnosti navedeni su u tabeli u nastavku.</w:t>
      </w:r>
    </w:p>
    <w:p w14:paraId="5417963F" w14:textId="77777777" w:rsidR="000635CE" w:rsidRPr="0071319B" w:rsidRDefault="000635CE" w:rsidP="002155B6">
      <w:pPr>
        <w:widowControl w:val="0"/>
        <w:autoSpaceDE w:val="0"/>
        <w:autoSpaceDN w:val="0"/>
        <w:spacing w:before="3"/>
        <w:rPr>
          <w:rFonts w:asciiTheme="majorBidi" w:hAnsiTheme="majorBidi" w:cstheme="majorBidi"/>
          <w:sz w:val="22"/>
          <w:szCs w:val="22"/>
          <w:lang w:val="sr-Latn-ME"/>
        </w:rPr>
      </w:pPr>
    </w:p>
    <w:tbl>
      <w:tblPr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026"/>
        <w:gridCol w:w="2069"/>
        <w:gridCol w:w="2606"/>
      </w:tblGrid>
      <w:tr w:rsidR="000635CE" w:rsidRPr="0071319B" w14:paraId="24637C41" w14:textId="77777777" w:rsidTr="00ED4E48">
        <w:trPr>
          <w:trHeight w:val="126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C01C" w14:textId="77777777" w:rsidR="000635CE" w:rsidRPr="0071319B" w:rsidRDefault="000635CE" w:rsidP="000635CE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5C81E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61" w:line="232" w:lineRule="auto"/>
              <w:ind w:left="175" w:right="174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proofErr w:type="spellStart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Enoksaparin</w:t>
            </w:r>
            <w:proofErr w:type="spellEnd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 natrijum</w:t>
            </w:r>
          </w:p>
          <w:p w14:paraId="1C4AE77D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2"/>
              <w:ind w:left="175" w:right="175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2000 </w:t>
            </w:r>
            <w:proofErr w:type="spellStart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i.j</w:t>
            </w:r>
            <w:proofErr w:type="spellEnd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. (20 mg)</w:t>
            </w:r>
          </w:p>
          <w:p w14:paraId="009F6FEB" w14:textId="40ECB7B0" w:rsidR="000635CE" w:rsidRPr="0071319B" w:rsidRDefault="000635CE" w:rsidP="000635CE">
            <w:pPr>
              <w:widowControl w:val="0"/>
              <w:autoSpaceDE w:val="0"/>
              <w:autoSpaceDN w:val="0"/>
              <w:ind w:left="175" w:right="178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jednom dnevno </w:t>
            </w:r>
            <w:proofErr w:type="spellStart"/>
            <w:r w:rsidR="00896225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sc</w:t>
            </w:r>
            <w:proofErr w:type="spellEnd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 n (%)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5451C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61" w:line="232" w:lineRule="auto"/>
              <w:ind w:left="198" w:right="192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proofErr w:type="spellStart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Enoksaparin</w:t>
            </w:r>
            <w:proofErr w:type="spellEnd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 natrijum</w:t>
            </w:r>
          </w:p>
          <w:p w14:paraId="1C8952F7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2"/>
              <w:ind w:left="198" w:right="195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4000 </w:t>
            </w:r>
            <w:proofErr w:type="spellStart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i.j</w:t>
            </w:r>
            <w:proofErr w:type="spellEnd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. (40 mg)</w:t>
            </w:r>
          </w:p>
          <w:p w14:paraId="5B407C42" w14:textId="544FBEE4" w:rsidR="000635CE" w:rsidRPr="0071319B" w:rsidRDefault="000635CE" w:rsidP="00896225">
            <w:pPr>
              <w:widowControl w:val="0"/>
              <w:autoSpaceDE w:val="0"/>
              <w:autoSpaceDN w:val="0"/>
              <w:ind w:left="198" w:right="198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jednom dnevno </w:t>
            </w:r>
            <w:proofErr w:type="spellStart"/>
            <w:r w:rsidR="00896225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sc</w:t>
            </w:r>
            <w:proofErr w:type="spellEnd"/>
            <w:r w:rsidR="00896225"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 </w:t>
            </w:r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n (%)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E876" w14:textId="77777777" w:rsidR="000635CE" w:rsidRPr="0071319B" w:rsidRDefault="000635CE" w:rsidP="000635CE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1C41D3B5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1" w:line="472" w:lineRule="auto"/>
              <w:ind w:left="555" w:right="453" w:hanging="87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proofErr w:type="spellStart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Placebo</w:t>
            </w:r>
            <w:proofErr w:type="spellEnd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 n (%)</w:t>
            </w:r>
          </w:p>
        </w:tc>
      </w:tr>
      <w:tr w:rsidR="000635CE" w:rsidRPr="0071319B" w14:paraId="4D1A8019" w14:textId="77777777" w:rsidTr="00ED4E48">
        <w:trPr>
          <w:trHeight w:val="5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2979E" w14:textId="125B1682" w:rsidR="000635CE" w:rsidRPr="0071319B" w:rsidRDefault="000635CE" w:rsidP="00896225">
            <w:pPr>
              <w:widowControl w:val="0"/>
              <w:tabs>
                <w:tab w:val="left" w:pos="585"/>
                <w:tab w:val="left" w:pos="1842"/>
              </w:tabs>
              <w:autoSpaceDE w:val="0"/>
              <w:autoSpaceDN w:val="0"/>
              <w:spacing w:before="58"/>
              <w:ind w:left="105" w:right="99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Svi</w:t>
            </w:r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ab/>
              <w:t>internistički</w:t>
            </w:r>
            <w:r w:rsidR="00896225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 </w:t>
            </w:r>
            <w:r w:rsidRPr="0071319B">
              <w:rPr>
                <w:rFonts w:asciiTheme="majorBidi" w:hAnsiTheme="majorBidi" w:cstheme="majorBidi"/>
                <w:b/>
                <w:spacing w:val="-4"/>
                <w:sz w:val="22"/>
                <w:szCs w:val="22"/>
                <w:lang w:val="sr-Latn-ME"/>
              </w:rPr>
              <w:t xml:space="preserve">pacijenti </w:t>
            </w:r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liječeni tokom akutne</w:t>
            </w:r>
            <w:r w:rsidRPr="0071319B">
              <w:rPr>
                <w:rFonts w:asciiTheme="majorBidi" w:hAnsiTheme="majorBidi" w:cstheme="majorBidi"/>
                <w:b/>
                <w:spacing w:val="-5"/>
                <w:sz w:val="22"/>
                <w:szCs w:val="22"/>
                <w:lang w:val="sr-Latn-ME"/>
              </w:rPr>
              <w:t xml:space="preserve"> </w:t>
            </w:r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bolesti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F3F3F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163"/>
              <w:ind w:right="608"/>
              <w:jc w:val="right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287 (100)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A2C3B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163"/>
              <w:ind w:left="198" w:right="195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291(100)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F8CD3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163"/>
              <w:ind w:left="411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288 (100)</w:t>
            </w:r>
          </w:p>
        </w:tc>
      </w:tr>
      <w:tr w:rsidR="000635CE" w:rsidRPr="0071319B" w14:paraId="1F89A893" w14:textId="77777777" w:rsidTr="00ED4E48">
        <w:trPr>
          <w:trHeight w:val="40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12C42" w14:textId="77777777" w:rsidR="000635CE" w:rsidRPr="0071319B" w:rsidRDefault="000635CE" w:rsidP="00896225">
            <w:pPr>
              <w:widowControl w:val="0"/>
              <w:autoSpaceDE w:val="0"/>
              <w:autoSpaceDN w:val="0"/>
              <w:spacing w:before="82"/>
              <w:ind w:left="105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Ukupni VTE (%)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B860B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77"/>
              <w:ind w:right="632"/>
              <w:jc w:val="right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43 (15,0)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211F6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77"/>
              <w:ind w:left="198" w:right="195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16 (5,5)*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7EC86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77"/>
              <w:ind w:left="435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43 (14,9)</w:t>
            </w:r>
          </w:p>
        </w:tc>
      </w:tr>
      <w:tr w:rsidR="000635CE" w:rsidRPr="0071319B" w14:paraId="68521C9B" w14:textId="77777777" w:rsidTr="00ED4E48">
        <w:trPr>
          <w:trHeight w:val="41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4C559" w14:textId="77777777" w:rsidR="000635CE" w:rsidRPr="0071319B" w:rsidRDefault="000635CE" w:rsidP="000635CE">
            <w:pPr>
              <w:widowControl w:val="0"/>
              <w:numPr>
                <w:ilvl w:val="0"/>
                <w:numId w:val="20"/>
              </w:numPr>
              <w:tabs>
                <w:tab w:val="left" w:pos="466"/>
              </w:tabs>
              <w:autoSpaceDE w:val="0"/>
              <w:autoSpaceDN w:val="0"/>
              <w:spacing w:before="77"/>
              <w:ind w:hanging="361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Ukupna DVT</w:t>
            </w:r>
            <w:r w:rsidRPr="0071319B">
              <w:rPr>
                <w:rFonts w:asciiTheme="majorBidi" w:hAnsiTheme="majorBidi" w:cstheme="majorBidi"/>
                <w:spacing w:val="-2"/>
                <w:sz w:val="22"/>
                <w:szCs w:val="22"/>
                <w:lang w:val="sr-Latn-ME"/>
              </w:rPr>
              <w:t xml:space="preserve"> </w:t>
            </w: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(%)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3DF24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82"/>
              <w:ind w:right="632"/>
              <w:jc w:val="right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43 (15,0)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452FF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82"/>
              <w:ind w:left="198" w:right="19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16 (5,5)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1088F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82"/>
              <w:ind w:left="435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40 (13,9)</w:t>
            </w:r>
          </w:p>
        </w:tc>
      </w:tr>
      <w:tr w:rsidR="000635CE" w:rsidRPr="0071319B" w14:paraId="2B93A2F7" w14:textId="77777777" w:rsidTr="00ED4E48">
        <w:trPr>
          <w:trHeight w:val="40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04B2A" w14:textId="77777777" w:rsidR="000635CE" w:rsidRPr="0071319B" w:rsidRDefault="000635CE" w:rsidP="000635CE">
            <w:pPr>
              <w:widowControl w:val="0"/>
              <w:numPr>
                <w:ilvl w:val="0"/>
                <w:numId w:val="21"/>
              </w:numPr>
              <w:tabs>
                <w:tab w:val="left" w:pos="466"/>
              </w:tabs>
              <w:autoSpaceDE w:val="0"/>
              <w:autoSpaceDN w:val="0"/>
              <w:spacing w:before="72"/>
              <w:ind w:hanging="361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Proksimalna</w:t>
            </w:r>
            <w:proofErr w:type="spellEnd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DVT</w:t>
            </w:r>
            <w:r w:rsidRPr="0071319B">
              <w:rPr>
                <w:rFonts w:asciiTheme="majorBidi" w:hAnsiTheme="majorBidi" w:cstheme="majorBidi"/>
                <w:spacing w:val="-3"/>
                <w:sz w:val="22"/>
                <w:szCs w:val="22"/>
                <w:lang w:val="sr-Latn-ME"/>
              </w:rPr>
              <w:t xml:space="preserve"> </w:t>
            </w: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(%)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05077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77"/>
              <w:ind w:left="175" w:right="172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13 (4,5)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BC6A4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77"/>
              <w:ind w:left="198" w:right="195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5 (1,7)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03A27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77"/>
              <w:ind w:left="488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14 (4,9)</w:t>
            </w:r>
          </w:p>
        </w:tc>
      </w:tr>
      <w:tr w:rsidR="000635CE" w:rsidRPr="0071319B" w14:paraId="18617639" w14:textId="77777777" w:rsidTr="00ED4E48">
        <w:trPr>
          <w:trHeight w:val="839"/>
        </w:trPr>
        <w:tc>
          <w:tcPr>
            <w:tcW w:w="9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FAB6E" w14:textId="2A5488FB" w:rsidR="000635CE" w:rsidRPr="0071319B" w:rsidRDefault="000635CE" w:rsidP="00ED4E48">
            <w:pPr>
              <w:widowControl w:val="0"/>
              <w:autoSpaceDE w:val="0"/>
              <w:autoSpaceDN w:val="0"/>
              <w:spacing w:before="67"/>
              <w:ind w:left="105" w:right="124"/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VTE = Venski </w:t>
            </w:r>
            <w:proofErr w:type="spellStart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tromboembolijski</w:t>
            </w:r>
            <w:proofErr w:type="spellEnd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događaji uključujući DVT, PE i smrtn</w:t>
            </w:r>
            <w:r w:rsidR="00896225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e</w:t>
            </w: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ishod</w:t>
            </w:r>
            <w:r w:rsidR="00896225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e</w:t>
            </w: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za čiji se uzrok smatra</w:t>
            </w:r>
            <w:r w:rsidRPr="0071319B">
              <w:rPr>
                <w:rFonts w:asciiTheme="majorBidi" w:hAnsiTheme="majorBidi" w:cstheme="majorBidi"/>
                <w:spacing w:val="-3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tromboembolija</w:t>
            </w:r>
            <w:proofErr w:type="spellEnd"/>
          </w:p>
          <w:p w14:paraId="74C082A9" w14:textId="77777777" w:rsidR="000635CE" w:rsidRPr="0071319B" w:rsidRDefault="000635CE" w:rsidP="00ED4E48">
            <w:pPr>
              <w:widowControl w:val="0"/>
              <w:autoSpaceDE w:val="0"/>
              <w:autoSpaceDN w:val="0"/>
              <w:spacing w:before="1"/>
              <w:ind w:left="105"/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* p vr</w:t>
            </w:r>
            <w:r w:rsidR="000C4393"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ij</w:t>
            </w: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ednost u odnosu na </w:t>
            </w:r>
            <w:proofErr w:type="spellStart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placebo</w:t>
            </w:r>
            <w:proofErr w:type="spellEnd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=0,0002</w:t>
            </w:r>
          </w:p>
        </w:tc>
      </w:tr>
    </w:tbl>
    <w:p w14:paraId="6E0120AD" w14:textId="77777777" w:rsidR="002155B6" w:rsidRPr="0071319B" w:rsidRDefault="002155B6" w:rsidP="002155B6">
      <w:pPr>
        <w:widowControl w:val="0"/>
        <w:autoSpaceDE w:val="0"/>
        <w:autoSpaceDN w:val="0"/>
        <w:spacing w:before="4"/>
        <w:rPr>
          <w:rFonts w:asciiTheme="majorBidi" w:hAnsiTheme="majorBidi" w:cstheme="majorBidi"/>
          <w:sz w:val="22"/>
          <w:szCs w:val="22"/>
          <w:lang w:val="sr-Latn-ME"/>
        </w:rPr>
      </w:pPr>
    </w:p>
    <w:p w14:paraId="3C4F80FD" w14:textId="77777777" w:rsidR="000635CE" w:rsidRDefault="000635CE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Približno 3 mjeseca nakon uključenja u ispitivanje, incidenca VTE ostala je značajno niža u grupi na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natrijumu 4000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i.j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 (40 mg) u odnosu na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placebo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grupu. Ukupna pojava i pojava velikih krvarenja bila je 8,6% i 1,1% u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placebo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grupi, odnosno 11,7% i 0,3% u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 2000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i.j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 (20mg) grupi i 12,6% i 1,7% u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 4000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i.j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. (40 mg) grupi.</w:t>
      </w:r>
    </w:p>
    <w:p w14:paraId="5114325D" w14:textId="77777777" w:rsidR="00853A1E" w:rsidRPr="00853A1E" w:rsidRDefault="00853A1E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</w:p>
    <w:p w14:paraId="0EDD0C6E" w14:textId="77777777" w:rsidR="000635CE" w:rsidRPr="00853A1E" w:rsidRDefault="000635CE" w:rsidP="00853A1E">
      <w:pPr>
        <w:jc w:val="both"/>
        <w:rPr>
          <w:rFonts w:asciiTheme="majorBidi" w:eastAsia="Calibri" w:hAnsiTheme="majorBidi" w:cstheme="majorBidi"/>
          <w:sz w:val="22"/>
          <w:szCs w:val="22"/>
          <w:u w:val="single"/>
          <w:lang w:val="sr-Latn-ME"/>
        </w:rPr>
      </w:pPr>
      <w:r w:rsidRPr="00853A1E">
        <w:rPr>
          <w:rFonts w:asciiTheme="majorBidi" w:eastAsia="Calibri" w:hAnsiTheme="majorBidi" w:cstheme="majorBidi"/>
          <w:sz w:val="22"/>
          <w:szCs w:val="22"/>
          <w:u w:val="single"/>
          <w:lang w:val="sr-Latn-ME"/>
        </w:rPr>
        <w:t>Terapija duboke venske tromboze sa ili bez plućne embolije</w:t>
      </w:r>
    </w:p>
    <w:p w14:paraId="513287FD" w14:textId="11D1B489" w:rsidR="002155B6" w:rsidRPr="00853A1E" w:rsidRDefault="000635CE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U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multicentričnom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ispitivanju paralelnih grupa, 900 pacijenata sa akutnom DVT donjih ekstremiteta sa ili bez PE je randomizovano na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hospitalnu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terapiju ili sa 150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i.j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./kg (1,5 mg/kg)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s.c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jednom dnevno, ili sa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natrijumom 100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i.j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./kg (1 mg/kg)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s.c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 svakih 12 sati, ili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i.v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bolus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(5000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i.j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.) praćen kontinuiranom infuzijom (primijenjeno </w:t>
      </w:r>
      <w:r w:rsidR="00896225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radi 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posti</w:t>
      </w:r>
      <w:r w:rsidR="00896225">
        <w:rPr>
          <w:rFonts w:asciiTheme="majorBidi" w:eastAsia="Calibri" w:hAnsiTheme="majorBidi" w:cstheme="majorBidi"/>
          <w:sz w:val="22"/>
          <w:szCs w:val="22"/>
          <w:lang w:val="sr-Latn-ME"/>
        </w:rPr>
        <w:t>zanja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aPTT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od 55 do 85s). Ukupno 900 pacijenata je randomizovano u ispitivanje i svi pacijenti su primili terapiju. Svi pacijenti su takođe primili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varfarin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 (doza prilagođena prema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protrombinskom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vremenu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da bi se postigao INR od 2 do 3), započet 72 sata od inicijalne primjene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natrijuma ili standardne terapije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heparinom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i nastavljen tokom 90 dana.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 ili standardna terapija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heparinom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je primjenjivana najmanje 5 dana ili do postizanja ciljnog INR za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varfarin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natrijum. Oba režima sa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natrijumom bila su ekvivalentna standardnoj terapiji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heparinom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u redukciji rizika od rekurentne venske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tromboembolije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(DVT i/ili PE). Podaci o efikasnosti navedeni su u tabeli u nastavku.</w:t>
      </w:r>
    </w:p>
    <w:p w14:paraId="1A97DF50" w14:textId="77777777" w:rsidR="002155B6" w:rsidRPr="0071319B" w:rsidRDefault="002155B6" w:rsidP="002155B6">
      <w:pPr>
        <w:widowControl w:val="0"/>
        <w:autoSpaceDE w:val="0"/>
        <w:autoSpaceDN w:val="0"/>
        <w:spacing w:before="5"/>
        <w:rPr>
          <w:rFonts w:asciiTheme="majorBidi" w:hAnsiTheme="majorBidi" w:cstheme="majorBidi"/>
          <w:sz w:val="22"/>
          <w:szCs w:val="22"/>
          <w:lang w:val="sr-Latn-M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078"/>
        <w:gridCol w:w="2078"/>
        <w:gridCol w:w="3115"/>
      </w:tblGrid>
      <w:tr w:rsidR="000635CE" w:rsidRPr="0071319B" w14:paraId="3C661066" w14:textId="77777777" w:rsidTr="001254DD">
        <w:trPr>
          <w:trHeight w:val="1271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B0D7" w14:textId="77777777" w:rsidR="000635CE" w:rsidRPr="0071319B" w:rsidRDefault="000635CE" w:rsidP="000635CE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30B75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58"/>
              <w:ind w:left="488" w:right="471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proofErr w:type="spellStart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Enoksaparin</w:t>
            </w:r>
            <w:proofErr w:type="spellEnd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 natrijum</w:t>
            </w:r>
          </w:p>
          <w:p w14:paraId="35CB822A" w14:textId="35079B5A" w:rsidR="000635CE" w:rsidRPr="0071319B" w:rsidRDefault="000635CE" w:rsidP="000635CE">
            <w:pPr>
              <w:widowControl w:val="0"/>
              <w:autoSpaceDE w:val="0"/>
              <w:autoSpaceDN w:val="0"/>
              <w:spacing w:before="4" w:line="232" w:lineRule="auto"/>
              <w:ind w:left="110" w:right="97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150 </w:t>
            </w:r>
            <w:proofErr w:type="spellStart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i.j</w:t>
            </w:r>
            <w:proofErr w:type="spellEnd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./kg (1,5 mg/kg) jednom dnevno </w:t>
            </w:r>
            <w:proofErr w:type="spellStart"/>
            <w:r w:rsidR="00896225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sc</w:t>
            </w:r>
            <w:proofErr w:type="spellEnd"/>
          </w:p>
          <w:p w14:paraId="5B4D4612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2"/>
              <w:ind w:left="486" w:right="471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n (%)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5FEF3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58"/>
              <w:ind w:left="489" w:right="470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proofErr w:type="spellStart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Enoksaparin</w:t>
            </w:r>
            <w:proofErr w:type="spellEnd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 natrijum</w:t>
            </w:r>
          </w:p>
          <w:p w14:paraId="35928506" w14:textId="7FDF8C48" w:rsidR="000635CE" w:rsidRPr="0071319B" w:rsidRDefault="000635CE" w:rsidP="000635CE">
            <w:pPr>
              <w:widowControl w:val="0"/>
              <w:autoSpaceDE w:val="0"/>
              <w:autoSpaceDN w:val="0"/>
              <w:spacing w:before="2" w:line="235" w:lineRule="auto"/>
              <w:ind w:left="178" w:right="164" w:firstLine="4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100 </w:t>
            </w:r>
            <w:proofErr w:type="spellStart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i.j</w:t>
            </w:r>
            <w:proofErr w:type="spellEnd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./kg (1 mg/kg) dva puta dnevno</w:t>
            </w:r>
            <w:r w:rsidRPr="0071319B">
              <w:rPr>
                <w:rFonts w:asciiTheme="majorBidi" w:hAnsiTheme="majorBidi" w:cstheme="majorBidi"/>
                <w:b/>
                <w:spacing w:val="-17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896225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sc</w:t>
            </w:r>
            <w:proofErr w:type="spellEnd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 n (%)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5FB5D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173"/>
              <w:ind w:left="125" w:right="107" w:firstLine="504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proofErr w:type="spellStart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Heparinu</w:t>
            </w:r>
            <w:proofErr w:type="spellEnd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aPTT</w:t>
            </w:r>
            <w:proofErr w:type="spellEnd"/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 </w:t>
            </w:r>
            <w:r w:rsidR="00364039"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 </w:t>
            </w:r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prilagođena</w:t>
            </w:r>
            <w:r w:rsidRPr="0071319B">
              <w:rPr>
                <w:rFonts w:asciiTheme="majorBidi" w:hAnsiTheme="majorBidi" w:cstheme="majorBidi"/>
                <w:b/>
                <w:spacing w:val="-3"/>
                <w:sz w:val="22"/>
                <w:szCs w:val="22"/>
                <w:lang w:val="sr-Latn-ME"/>
              </w:rPr>
              <w:t xml:space="preserve"> </w:t>
            </w:r>
            <w:r w:rsidRPr="0071319B">
              <w:rPr>
                <w:rFonts w:asciiTheme="majorBidi" w:hAnsiTheme="majorBidi" w:cstheme="majorBidi"/>
                <w:b/>
                <w:spacing w:val="-8"/>
                <w:sz w:val="22"/>
                <w:szCs w:val="22"/>
                <w:lang w:val="sr-Latn-ME"/>
              </w:rPr>
              <w:t>IV</w:t>
            </w:r>
          </w:p>
          <w:p w14:paraId="6D8903DC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4" w:line="232" w:lineRule="auto"/>
              <w:ind w:left="793" w:right="669" w:hanging="92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terapija n (%)</w:t>
            </w:r>
          </w:p>
        </w:tc>
      </w:tr>
      <w:tr w:rsidR="000635CE" w:rsidRPr="0071319B" w14:paraId="717DE709" w14:textId="77777777" w:rsidTr="001254DD">
        <w:trPr>
          <w:trHeight w:val="580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FEE19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61" w:line="232" w:lineRule="auto"/>
              <w:ind w:left="110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Svi liječeni pacijenti sa DVT sa ili bez PE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1524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163"/>
              <w:ind w:left="486" w:right="471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298 (100)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DDAAB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163"/>
              <w:ind w:left="487" w:right="471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312 (100)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AD518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163"/>
              <w:ind w:left="487" w:right="471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290 (100)</w:t>
            </w:r>
          </w:p>
        </w:tc>
      </w:tr>
      <w:tr w:rsidR="000635CE" w:rsidRPr="0071319B" w14:paraId="7EE22836" w14:textId="77777777" w:rsidTr="001254DD">
        <w:trPr>
          <w:trHeight w:val="450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54500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106"/>
              <w:ind w:left="110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Ukupni VTE (%)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4C6DF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101"/>
              <w:ind w:left="486" w:right="471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13 (4,4)*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E49DB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101"/>
              <w:ind w:left="489" w:right="468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9 (2,</w:t>
            </w:r>
            <w:hyperlink r:id="rId13" w:history="1">
              <w:r w:rsidRPr="0071319B">
                <w:rPr>
                  <w:rFonts w:asciiTheme="majorBidi" w:hAnsiTheme="majorBidi" w:cstheme="majorBidi"/>
                  <w:color w:val="0000FF"/>
                  <w:sz w:val="22"/>
                  <w:szCs w:val="22"/>
                  <w:u w:val="single"/>
                  <w:lang w:val="sr-Latn-ME"/>
                </w:rPr>
                <w:t>9)*</w:t>
              </w:r>
            </w:hyperlink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41F51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101"/>
              <w:ind w:left="489" w:right="468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12 (4,1)</w:t>
            </w:r>
          </w:p>
        </w:tc>
      </w:tr>
      <w:tr w:rsidR="000635CE" w:rsidRPr="0071319B" w14:paraId="294DCF32" w14:textId="77777777" w:rsidTr="001254DD">
        <w:trPr>
          <w:trHeight w:val="407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D8BE3" w14:textId="77777777" w:rsidR="000635CE" w:rsidRPr="0071319B" w:rsidRDefault="000635CE" w:rsidP="000635CE">
            <w:pPr>
              <w:widowControl w:val="0"/>
              <w:numPr>
                <w:ilvl w:val="0"/>
                <w:numId w:val="22"/>
              </w:numPr>
              <w:tabs>
                <w:tab w:val="left" w:pos="471"/>
              </w:tabs>
              <w:autoSpaceDE w:val="0"/>
              <w:autoSpaceDN w:val="0"/>
              <w:spacing w:before="72"/>
              <w:ind w:hanging="361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lastRenderedPageBreak/>
              <w:t>Samo DVT</w:t>
            </w:r>
            <w:r w:rsidRPr="0071319B">
              <w:rPr>
                <w:rFonts w:asciiTheme="majorBidi" w:hAnsiTheme="majorBidi" w:cstheme="majorBidi"/>
                <w:spacing w:val="-2"/>
                <w:sz w:val="22"/>
                <w:szCs w:val="22"/>
                <w:lang w:val="sr-Latn-ME"/>
              </w:rPr>
              <w:t xml:space="preserve"> </w:t>
            </w: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(%)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C6F6F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77"/>
              <w:ind w:left="489" w:right="469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11 (3,7)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BEBB7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77"/>
              <w:ind w:left="487" w:right="471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7 (2,2)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E7EA8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77"/>
              <w:ind w:left="488" w:right="471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8 (2,8)</w:t>
            </w:r>
          </w:p>
        </w:tc>
      </w:tr>
      <w:tr w:rsidR="000635CE" w:rsidRPr="0071319B" w14:paraId="5FCA7D8D" w14:textId="77777777" w:rsidTr="001254DD">
        <w:trPr>
          <w:trHeight w:val="474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274AD" w14:textId="77777777" w:rsidR="000635CE" w:rsidRPr="0071319B" w:rsidRDefault="000635CE" w:rsidP="000635CE">
            <w:pPr>
              <w:widowControl w:val="0"/>
              <w:numPr>
                <w:ilvl w:val="0"/>
                <w:numId w:val="23"/>
              </w:numPr>
              <w:tabs>
                <w:tab w:val="left" w:pos="471"/>
              </w:tabs>
              <w:autoSpaceDE w:val="0"/>
              <w:autoSpaceDN w:val="0"/>
              <w:spacing w:before="7" w:line="230" w:lineRule="exact"/>
              <w:ind w:right="18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Proksimalna</w:t>
            </w:r>
            <w:proofErr w:type="spellEnd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</w:t>
            </w:r>
            <w:r w:rsidRPr="0071319B">
              <w:rPr>
                <w:rFonts w:asciiTheme="majorBidi" w:hAnsiTheme="majorBidi" w:cstheme="majorBidi"/>
                <w:spacing w:val="-6"/>
                <w:sz w:val="22"/>
                <w:szCs w:val="22"/>
                <w:lang w:val="sr-Latn-ME"/>
              </w:rPr>
              <w:t xml:space="preserve">DVT </w:t>
            </w: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(%)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2DD93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110"/>
              <w:ind w:left="486" w:right="471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9 (3,0)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B2A3E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110"/>
              <w:ind w:left="487" w:right="471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6 (1,9)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05E31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110"/>
              <w:ind w:left="488" w:right="471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7 (2,4)</w:t>
            </w:r>
          </w:p>
        </w:tc>
      </w:tr>
      <w:tr w:rsidR="000635CE" w:rsidRPr="0071319B" w14:paraId="61ED1040" w14:textId="77777777" w:rsidTr="001254DD">
        <w:trPr>
          <w:trHeight w:val="359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F7ECF" w14:textId="77777777" w:rsidR="000635CE" w:rsidRPr="0071319B" w:rsidRDefault="000635CE" w:rsidP="000635CE">
            <w:pPr>
              <w:widowControl w:val="0"/>
              <w:numPr>
                <w:ilvl w:val="0"/>
                <w:numId w:val="24"/>
              </w:numPr>
              <w:tabs>
                <w:tab w:val="left" w:pos="471"/>
              </w:tabs>
              <w:autoSpaceDE w:val="0"/>
              <w:autoSpaceDN w:val="0"/>
              <w:spacing w:before="48"/>
              <w:ind w:hanging="361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PE</w:t>
            </w:r>
            <w:r w:rsidRPr="0071319B">
              <w:rPr>
                <w:rFonts w:asciiTheme="majorBidi" w:hAnsiTheme="majorBidi" w:cstheme="majorBidi"/>
                <w:spacing w:val="-1"/>
                <w:sz w:val="22"/>
                <w:szCs w:val="22"/>
                <w:lang w:val="sr-Latn-ME"/>
              </w:rPr>
              <w:t xml:space="preserve"> </w:t>
            </w: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(%)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0BD50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53"/>
              <w:ind w:left="486" w:right="471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2 (0,7)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B987B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53"/>
              <w:ind w:left="487" w:right="471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2 (0,6)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5683E" w14:textId="77777777" w:rsidR="000635CE" w:rsidRPr="0071319B" w:rsidRDefault="000635CE" w:rsidP="000635CE">
            <w:pPr>
              <w:widowControl w:val="0"/>
              <w:autoSpaceDE w:val="0"/>
              <w:autoSpaceDN w:val="0"/>
              <w:spacing w:before="53"/>
              <w:ind w:left="488" w:right="471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4 (1,4)</w:t>
            </w:r>
          </w:p>
        </w:tc>
      </w:tr>
      <w:tr w:rsidR="002155B6" w:rsidRPr="0071319B" w14:paraId="4C15F206" w14:textId="77777777" w:rsidTr="001254DD">
        <w:trPr>
          <w:trHeight w:val="359"/>
          <w:jc w:val="center"/>
        </w:trPr>
        <w:tc>
          <w:tcPr>
            <w:tcW w:w="9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5FA9" w14:textId="77777777" w:rsidR="002155B6" w:rsidRPr="0071319B" w:rsidRDefault="002155B6" w:rsidP="00ED4E48">
            <w:pPr>
              <w:spacing w:before="39"/>
              <w:ind w:left="105"/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VTE = venski </w:t>
            </w:r>
            <w:proofErr w:type="spellStart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tromboembolijski</w:t>
            </w:r>
            <w:proofErr w:type="spellEnd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događaj (DVT i/ili PE)</w:t>
            </w:r>
          </w:p>
          <w:p w14:paraId="2383AC44" w14:textId="77777777" w:rsidR="002155B6" w:rsidRPr="0071319B" w:rsidRDefault="002155B6" w:rsidP="00ED4E48">
            <w:pPr>
              <w:spacing w:before="120"/>
              <w:ind w:left="105"/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* 95% interval povjerenja za terapijske razlike za total VTE su bile:</w:t>
            </w:r>
          </w:p>
          <w:p w14:paraId="0D746654" w14:textId="4787750B" w:rsidR="002155B6" w:rsidRPr="0071319B" w:rsidRDefault="00896225" w:rsidP="00ED4E48">
            <w:pPr>
              <w:widowControl w:val="0"/>
              <w:numPr>
                <w:ilvl w:val="0"/>
                <w:numId w:val="25"/>
              </w:numPr>
              <w:tabs>
                <w:tab w:val="num" w:pos="360"/>
                <w:tab w:val="left" w:pos="466"/>
              </w:tabs>
              <w:autoSpaceDE w:val="0"/>
              <w:autoSpaceDN w:val="0"/>
              <w:spacing w:before="120" w:line="245" w:lineRule="exact"/>
              <w:ind w:left="0" w:hanging="361"/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- </w:t>
            </w:r>
            <w:proofErr w:type="spellStart"/>
            <w:r w:rsidR="002155B6"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enoksaparin</w:t>
            </w:r>
            <w:proofErr w:type="spellEnd"/>
            <w:r w:rsidR="002155B6"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natrijum jednom dnevno u odnosu na </w:t>
            </w:r>
            <w:proofErr w:type="spellStart"/>
            <w:r w:rsidR="002155B6"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heparin</w:t>
            </w:r>
            <w:proofErr w:type="spellEnd"/>
            <w:r w:rsidR="002155B6"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(-3.0 to</w:t>
            </w:r>
            <w:r w:rsidR="002155B6" w:rsidRPr="0071319B">
              <w:rPr>
                <w:rFonts w:asciiTheme="majorBidi" w:hAnsiTheme="majorBidi" w:cstheme="majorBidi"/>
                <w:spacing w:val="-12"/>
                <w:sz w:val="22"/>
                <w:szCs w:val="22"/>
                <w:lang w:val="sr-Latn-ME"/>
              </w:rPr>
              <w:t xml:space="preserve"> </w:t>
            </w:r>
            <w:r w:rsidR="002155B6"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3.5)</w:t>
            </w:r>
          </w:p>
          <w:p w14:paraId="45864BC7" w14:textId="1A5E55B6" w:rsidR="002155B6" w:rsidRPr="0071319B" w:rsidRDefault="00896225" w:rsidP="00ED4E48">
            <w:pPr>
              <w:widowControl w:val="0"/>
              <w:numPr>
                <w:ilvl w:val="0"/>
                <w:numId w:val="25"/>
              </w:numPr>
              <w:tabs>
                <w:tab w:val="num" w:pos="360"/>
                <w:tab w:val="left" w:pos="466"/>
              </w:tabs>
              <w:autoSpaceDE w:val="0"/>
              <w:autoSpaceDN w:val="0"/>
              <w:ind w:left="0" w:hanging="361"/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- </w:t>
            </w:r>
            <w:proofErr w:type="spellStart"/>
            <w:r w:rsidR="002155B6"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enoksaparin</w:t>
            </w:r>
            <w:proofErr w:type="spellEnd"/>
            <w:r w:rsidR="002155B6"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natrijum svakih 12 sati u odnosu na </w:t>
            </w:r>
            <w:proofErr w:type="spellStart"/>
            <w:r w:rsidR="002155B6"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heparin</w:t>
            </w:r>
            <w:proofErr w:type="spellEnd"/>
            <w:r w:rsidR="002155B6"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(-4.2 to</w:t>
            </w:r>
            <w:r w:rsidR="002155B6" w:rsidRPr="0071319B">
              <w:rPr>
                <w:rFonts w:asciiTheme="majorBidi" w:hAnsiTheme="majorBidi" w:cstheme="majorBidi"/>
                <w:spacing w:val="-21"/>
                <w:sz w:val="22"/>
                <w:szCs w:val="22"/>
                <w:lang w:val="sr-Latn-ME"/>
              </w:rPr>
              <w:t xml:space="preserve"> </w:t>
            </w:r>
            <w:r w:rsidR="002155B6"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1.7).</w:t>
            </w:r>
          </w:p>
        </w:tc>
      </w:tr>
    </w:tbl>
    <w:p w14:paraId="00F2BD21" w14:textId="77777777" w:rsidR="002155B6" w:rsidRPr="0071319B" w:rsidRDefault="002155B6" w:rsidP="002155B6">
      <w:pPr>
        <w:widowControl w:val="0"/>
        <w:autoSpaceDE w:val="0"/>
        <w:autoSpaceDN w:val="0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   </w:t>
      </w:r>
    </w:p>
    <w:p w14:paraId="06C035EC" w14:textId="19CB95BE" w:rsidR="002155B6" w:rsidRPr="0071319B" w:rsidRDefault="002155B6" w:rsidP="003207FF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Velika krvarenja su se pojavila u 1,7% slučajeva u grupi 150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./kg (1,5 mg/kg) jednom dnevno, 1,3%   </w:t>
      </w:r>
      <w:r w:rsidR="00896225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slučajeva u grupi 100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./kg (1 mg/kg)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s.c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 dva puta na dan i 2,1 % slučajeva u grupi na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heparinu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16E164F2" w14:textId="77777777" w:rsidR="001C7246" w:rsidRPr="0071319B" w:rsidRDefault="001C7246" w:rsidP="002155B6">
      <w:pPr>
        <w:widowControl w:val="0"/>
        <w:autoSpaceDE w:val="0"/>
        <w:autoSpaceDN w:val="0"/>
        <w:rPr>
          <w:rFonts w:asciiTheme="majorBidi" w:hAnsiTheme="majorBidi" w:cstheme="majorBidi"/>
          <w:sz w:val="22"/>
          <w:szCs w:val="22"/>
          <w:lang w:val="sr-Latn-ME"/>
        </w:rPr>
      </w:pPr>
    </w:p>
    <w:p w14:paraId="5FEA52F5" w14:textId="77777777" w:rsidR="001C7246" w:rsidRPr="00853A1E" w:rsidRDefault="001C7246" w:rsidP="00853A1E">
      <w:pPr>
        <w:jc w:val="both"/>
        <w:rPr>
          <w:rFonts w:asciiTheme="majorBidi" w:eastAsia="Calibri" w:hAnsiTheme="majorBidi" w:cstheme="majorBidi"/>
          <w:sz w:val="22"/>
          <w:szCs w:val="22"/>
          <w:u w:val="single"/>
          <w:lang w:val="sr-Latn-ME"/>
        </w:rPr>
      </w:pPr>
      <w:r w:rsidRPr="00853A1E">
        <w:rPr>
          <w:rFonts w:asciiTheme="majorBidi" w:eastAsia="Calibri" w:hAnsiTheme="majorBidi" w:cstheme="majorBidi"/>
          <w:sz w:val="22"/>
          <w:szCs w:val="22"/>
          <w:u w:val="single"/>
          <w:lang w:val="sr-Latn-ME"/>
        </w:rPr>
        <w:t xml:space="preserve">Produženo liječenje duboke venske tromboze (DVT) i plućne embolije (PE) i sprječavanje njihovog ponavljanja kod pacijenata koji boluju od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u w:val="single"/>
          <w:lang w:val="sr-Latn-ME"/>
        </w:rPr>
        <w:t>karcinoma</w:t>
      </w:r>
      <w:proofErr w:type="spellEnd"/>
    </w:p>
    <w:p w14:paraId="5A133591" w14:textId="33D0B314" w:rsidR="005B0617" w:rsidRDefault="001C7246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U kliničkim ispitivanjima s</w:t>
      </w:r>
      <w:r w:rsidR="00FA39D1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a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ograničenim brojem </w:t>
      </w:r>
      <w:r w:rsidR="00FA39D1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pacijenata, prijavljene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stope ponovljenih VTE-a </w:t>
      </w:r>
      <w:r w:rsidR="00FA39D1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kod pacijenata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liječenih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enoksaparinom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koji se primjenjuje j</w:t>
      </w:r>
      <w:r w:rsidR="00FA39D1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ed</w:t>
      </w:r>
      <w:r w:rsidR="004624E2">
        <w:rPr>
          <w:rFonts w:asciiTheme="majorBidi" w:eastAsia="Calibri" w:hAnsiTheme="majorBidi" w:cstheme="majorBidi"/>
          <w:sz w:val="22"/>
          <w:szCs w:val="22"/>
          <w:lang w:val="sr-Latn-ME"/>
        </w:rPr>
        <w:t>nom</w:t>
      </w:r>
      <w:r w:rsidR="00FA39D1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ili dva puta dnevno to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kom 3 do 6 mjeseci izgledaju u</w:t>
      </w:r>
      <w:r w:rsidR="00FA39D1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poredivo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s</w:t>
      </w:r>
      <w:r w:rsidR="00FA39D1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a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onima liječenih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varfarinom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 </w:t>
      </w:r>
    </w:p>
    <w:p w14:paraId="7DD8BB3B" w14:textId="77777777" w:rsidR="00896225" w:rsidRDefault="00896225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</w:p>
    <w:p w14:paraId="53D65958" w14:textId="3A47D6E9" w:rsidR="001C7246" w:rsidRPr="00853A1E" w:rsidRDefault="00FA39D1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Efikasnost </w:t>
      </w:r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u stvarnom okruženju pro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cijenjena je u kohorti od 4451 pacijenata</w:t>
      </w:r>
      <w:r w:rsidR="006103F9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sa simptomatskom VTE-om koji boluju od </w:t>
      </w:r>
      <w:proofErr w:type="spellStart"/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karcinoma</w:t>
      </w:r>
      <w:proofErr w:type="spellEnd"/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iz internacionalnog registra 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pacijenata </w:t>
      </w:r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koji imaju VTE i druga </w:t>
      </w:r>
      <w:proofErr w:type="spellStart"/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trombotska</w:t>
      </w:r>
      <w:proofErr w:type="spellEnd"/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stanja (RIETE). 3526 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pacijenata primalo je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sub</w:t>
      </w:r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kutano</w:t>
      </w:r>
      <w:proofErr w:type="spellEnd"/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u 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perio</w:t>
      </w:r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d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u</w:t>
      </w:r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6 mjeseci, a 925 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pacijenata</w:t>
      </w:r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subkutano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je</w:t>
      </w:r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primalo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tinzaparin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ili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dalteparin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. Međ</w:t>
      </w:r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u 3526 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pacijenata</w:t>
      </w:r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koji su liječeni </w:t>
      </w:r>
      <w:proofErr w:type="spellStart"/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enoksaparinom</w:t>
      </w:r>
      <w:proofErr w:type="spellEnd"/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, 891 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pacijent</w:t>
      </w:r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liječen je s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a</w:t>
      </w:r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1,5 mg/kg </w:t>
      </w:r>
      <w:r w:rsidR="004624E2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jed</w:t>
      </w:r>
      <w:r w:rsidR="004624E2">
        <w:rPr>
          <w:rFonts w:asciiTheme="majorBidi" w:eastAsia="Calibri" w:hAnsiTheme="majorBidi" w:cstheme="majorBidi"/>
          <w:sz w:val="22"/>
          <w:szCs w:val="22"/>
          <w:lang w:val="sr-Latn-ME"/>
        </w:rPr>
        <w:t>nom</w:t>
      </w:r>
      <w:r w:rsidR="004624E2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dnevno kao početno liječenje i produ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ženo</w:t>
      </w:r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liječenje u 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periodu </w:t>
      </w:r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do 6 mjeseci (samo </w:t>
      </w:r>
      <w:r w:rsidR="004624E2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jed</w:t>
      </w:r>
      <w:r w:rsidR="004624E2">
        <w:rPr>
          <w:rFonts w:asciiTheme="majorBidi" w:eastAsia="Calibri" w:hAnsiTheme="majorBidi" w:cstheme="majorBidi"/>
          <w:sz w:val="22"/>
          <w:szCs w:val="22"/>
          <w:lang w:val="sr-Latn-ME"/>
        </w:rPr>
        <w:t>nom</w:t>
      </w:r>
      <w:r w:rsidR="004624E2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dnevno), 1854 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pacijenata</w:t>
      </w:r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primali su početni režim doziranja od 1,0 mg/kg dva puta dnevno i 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produženo </w:t>
      </w:r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liječenje t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o</w:t>
      </w:r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kom do 6 mjeseci (samo dva puta dnevno), a 687 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pacijenata</w:t>
      </w:r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primalo je 1,0 mg/kg dva puta dnevno kao početno liječenje nakon čega je slijedilo 1,5 mg/kg jed</w:t>
      </w:r>
      <w:r w:rsidR="004624E2">
        <w:rPr>
          <w:rFonts w:asciiTheme="majorBidi" w:eastAsia="Calibri" w:hAnsiTheme="majorBidi" w:cstheme="majorBidi"/>
          <w:sz w:val="22"/>
          <w:szCs w:val="22"/>
          <w:lang w:val="sr-Latn-ME"/>
        </w:rPr>
        <w:t>nom</w:t>
      </w:r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dnevno (prvo dva puta dnevno, a za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tim jed</w:t>
      </w:r>
      <w:r w:rsidR="004624E2">
        <w:rPr>
          <w:rFonts w:asciiTheme="majorBidi" w:eastAsia="Calibri" w:hAnsiTheme="majorBidi" w:cstheme="majorBidi"/>
          <w:sz w:val="22"/>
          <w:szCs w:val="22"/>
          <w:lang w:val="sr-Latn-ME"/>
        </w:rPr>
        <w:t>nom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dnevno) kao produženo liječenje u periodu </w:t>
      </w:r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do 6 mjeseci. Srednje trajanje liječenja do promjene režima doziranja iznosilo je 17 dana, a medijan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a</w:t>
      </w:r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trajanja liječenja do promjene režima doziranja iznosi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la</w:t>
      </w:r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je 8 dana. Nije bilo značajne razlike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u stopi ponavljanja VTE-a izmeđ</w:t>
      </w:r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u 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dvije grupe</w:t>
      </w:r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liječenja (vidjeti tab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</w:t>
      </w:r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lu), pri čemu je </w:t>
      </w:r>
      <w:proofErr w:type="spellStart"/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zadovoljavao unaprijed određ</w:t>
      </w:r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eni kriterij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um</w:t>
      </w:r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nei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nferiornosti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od 1,5 (HR prilagođ</w:t>
      </w:r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en relevantnim </w:t>
      </w:r>
      <w:proofErr w:type="spellStart"/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kovarijatama</w:t>
      </w:r>
      <w:proofErr w:type="spellEnd"/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0,817; 95% CI: 0,499-1,336). Nije bilo stat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istički značajne razlike izmeđ</w:t>
      </w:r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u dvij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e grupe liječenih </w:t>
      </w:r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s obzirom na relativne rizike od velikog (smrtonosnog ili </w:t>
      </w:r>
      <w:proofErr w:type="spellStart"/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nesmrtonosnog</w:t>
      </w:r>
      <w:proofErr w:type="spellEnd"/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) krvarenja i smrti zbog bilo kojeg uzroka (vidjeti tab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elu</w:t>
      </w:r>
      <w:r w:rsidR="001C724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)</w:t>
      </w:r>
      <w:r w:rsidR="006103F9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.</w:t>
      </w:r>
    </w:p>
    <w:p w14:paraId="612E7908" w14:textId="77777777" w:rsidR="0076638E" w:rsidRDefault="0076638E" w:rsidP="00D4787C">
      <w:pPr>
        <w:pStyle w:val="NormalWeb"/>
        <w:shd w:val="clear" w:color="auto" w:fill="FFFFFF"/>
        <w:spacing w:before="0" w:beforeAutospacing="0" w:after="143" w:afterAutospacing="0"/>
        <w:rPr>
          <w:rFonts w:asciiTheme="majorBidi" w:hAnsiTheme="majorBidi" w:cstheme="majorBidi"/>
          <w:sz w:val="22"/>
          <w:szCs w:val="22"/>
          <w:lang w:val="sr-Latn-ME"/>
        </w:rPr>
      </w:pPr>
    </w:p>
    <w:p w14:paraId="4EE60F9B" w14:textId="77777777" w:rsidR="00D4787C" w:rsidRPr="003207FF" w:rsidRDefault="00D4787C" w:rsidP="00D4787C">
      <w:pPr>
        <w:pStyle w:val="NormalWeb"/>
        <w:shd w:val="clear" w:color="auto" w:fill="FFFFFF"/>
        <w:spacing w:before="0" w:beforeAutospacing="0" w:after="143" w:afterAutospacing="0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3207FF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Tabela: </w:t>
      </w:r>
      <w:r w:rsidR="003A7DB6" w:rsidRPr="003207FF">
        <w:rPr>
          <w:rFonts w:asciiTheme="majorBidi" w:hAnsiTheme="majorBidi" w:cstheme="majorBidi"/>
          <w:b/>
          <w:sz w:val="22"/>
          <w:szCs w:val="22"/>
          <w:lang w:val="sr-Latn-ME"/>
        </w:rPr>
        <w:t>Ishodi e</w:t>
      </w:r>
      <w:r w:rsidRPr="003207FF">
        <w:rPr>
          <w:rFonts w:asciiTheme="majorBidi" w:hAnsiTheme="majorBidi" w:cstheme="majorBidi"/>
          <w:b/>
          <w:sz w:val="22"/>
          <w:szCs w:val="22"/>
          <w:lang w:val="sr-Latn-ME"/>
        </w:rPr>
        <w:t>fikasnost</w:t>
      </w:r>
      <w:r w:rsidR="003A7DB6" w:rsidRPr="003207FF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i i </w:t>
      </w:r>
      <w:proofErr w:type="spellStart"/>
      <w:r w:rsidR="00BB653C" w:rsidRPr="003207FF">
        <w:rPr>
          <w:rFonts w:asciiTheme="majorBidi" w:hAnsiTheme="majorBidi" w:cstheme="majorBidi"/>
          <w:b/>
          <w:sz w:val="22"/>
          <w:szCs w:val="22"/>
          <w:lang w:val="sr-Latn-ME"/>
        </w:rPr>
        <w:t>bezbijednosti</w:t>
      </w:r>
      <w:proofErr w:type="spellEnd"/>
      <w:r w:rsidR="00BB653C" w:rsidRPr="003207FF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 u</w:t>
      </w:r>
      <w:r w:rsidR="003A7DB6" w:rsidRPr="003207FF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 </w:t>
      </w:r>
      <w:r w:rsidRPr="003207FF">
        <w:rPr>
          <w:rFonts w:asciiTheme="majorBidi" w:hAnsiTheme="majorBidi" w:cstheme="majorBidi"/>
          <w:b/>
          <w:sz w:val="22"/>
          <w:szCs w:val="22"/>
          <w:lang w:val="sr-Latn-ME"/>
        </w:rPr>
        <w:t>RIETECAT stud</w:t>
      </w:r>
      <w:r w:rsidR="003A7DB6" w:rsidRPr="003207FF">
        <w:rPr>
          <w:rFonts w:asciiTheme="majorBidi" w:hAnsiTheme="majorBidi" w:cstheme="majorBidi"/>
          <w:b/>
          <w:sz w:val="22"/>
          <w:szCs w:val="22"/>
          <w:lang w:val="sr-Latn-ME"/>
        </w:rPr>
        <w:t>iji</w:t>
      </w:r>
    </w:p>
    <w:tbl>
      <w:tblPr>
        <w:tblW w:w="9490" w:type="dxa"/>
        <w:tblBorders>
          <w:top w:val="outset" w:sz="6" w:space="0" w:color="7B7B7B"/>
          <w:left w:val="outset" w:sz="6" w:space="0" w:color="7B7B7B"/>
          <w:bottom w:val="outset" w:sz="6" w:space="0" w:color="7B7B7B"/>
          <w:right w:val="outset" w:sz="6" w:space="0" w:color="7B7B7B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62"/>
        <w:gridCol w:w="1969"/>
        <w:gridCol w:w="2384"/>
        <w:gridCol w:w="3375"/>
      </w:tblGrid>
      <w:tr w:rsidR="00D4787C" w:rsidRPr="0071319B" w14:paraId="06809BF6" w14:textId="77777777" w:rsidTr="00ED4E48">
        <w:tc>
          <w:tcPr>
            <w:tcW w:w="92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6AF19622" w14:textId="77777777" w:rsidR="00D4787C" w:rsidRPr="0071319B" w:rsidRDefault="003A7DB6" w:rsidP="003207FF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Ishod</w:t>
            </w:r>
          </w:p>
        </w:tc>
        <w:tc>
          <w:tcPr>
            <w:tcW w:w="103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5119749C" w14:textId="77777777" w:rsidR="00D4787C" w:rsidRPr="0071319B" w:rsidRDefault="00D4787C" w:rsidP="003207FF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E</w:t>
            </w:r>
            <w:r w:rsidR="003A7DB6"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noks</w:t>
            </w:r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aparin</w:t>
            </w:r>
            <w:proofErr w:type="spellEnd"/>
          </w:p>
          <w:p w14:paraId="589B71FE" w14:textId="77777777" w:rsidR="00D4787C" w:rsidRPr="0071319B" w:rsidRDefault="00D4787C" w:rsidP="003207FF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n=3526</w:t>
            </w:r>
          </w:p>
        </w:tc>
        <w:tc>
          <w:tcPr>
            <w:tcW w:w="125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5E70F7A3" w14:textId="77777777" w:rsidR="00D4787C" w:rsidRPr="0071319B" w:rsidRDefault="003A7DB6" w:rsidP="003207FF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Drugi </w:t>
            </w:r>
            <w:proofErr w:type="spellStart"/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heparini</w:t>
            </w:r>
            <w:proofErr w:type="spellEnd"/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 niske molekulske mase</w:t>
            </w:r>
          </w:p>
          <w:p w14:paraId="2ED9044E" w14:textId="77777777" w:rsidR="00D4787C" w:rsidRPr="0071319B" w:rsidRDefault="00D4787C" w:rsidP="003207FF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n=925</w:t>
            </w:r>
          </w:p>
        </w:tc>
        <w:tc>
          <w:tcPr>
            <w:tcW w:w="177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5686E0E0" w14:textId="088EF9DE" w:rsidR="006103F9" w:rsidRPr="0071319B" w:rsidRDefault="003A7DB6" w:rsidP="003207FF">
            <w:pPr>
              <w:pStyle w:val="NormalWeb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Prilagođeni odnos hazarda </w:t>
            </w:r>
            <w:proofErr w:type="spellStart"/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enoksaparin</w:t>
            </w:r>
            <w:proofErr w:type="spellEnd"/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/drugi </w:t>
            </w:r>
            <w:proofErr w:type="spellStart"/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heparini</w:t>
            </w:r>
            <w:proofErr w:type="spellEnd"/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 niske molekulske mase</w:t>
            </w:r>
            <w:r w:rsidR="006103F9"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 (LMWH)</w:t>
            </w:r>
          </w:p>
          <w:p w14:paraId="0F6DE897" w14:textId="505586AD" w:rsidR="00D4787C" w:rsidRPr="0071319B" w:rsidRDefault="003A7DB6" w:rsidP="003207FF">
            <w:pPr>
              <w:pStyle w:val="NormalWeb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[95% interval pouzdanosti]</w:t>
            </w:r>
          </w:p>
        </w:tc>
      </w:tr>
      <w:tr w:rsidR="00D4787C" w:rsidRPr="0071319B" w14:paraId="4201CD2A" w14:textId="77777777" w:rsidTr="00ED4E48">
        <w:tc>
          <w:tcPr>
            <w:tcW w:w="92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0EEBDB33" w14:textId="77777777" w:rsidR="00D4787C" w:rsidRPr="0071319B" w:rsidRDefault="003A7DB6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Ponavljanje </w:t>
            </w:r>
            <w:proofErr w:type="spellStart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VTEa</w:t>
            </w:r>
            <w:proofErr w:type="spellEnd"/>
          </w:p>
        </w:tc>
        <w:tc>
          <w:tcPr>
            <w:tcW w:w="103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0944FB2A" w14:textId="77777777" w:rsidR="00D4787C" w:rsidRPr="0071319B" w:rsidRDefault="00D478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70 (2.0%)</w:t>
            </w:r>
          </w:p>
        </w:tc>
        <w:tc>
          <w:tcPr>
            <w:tcW w:w="125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3664203F" w14:textId="77777777" w:rsidR="00D4787C" w:rsidRPr="0071319B" w:rsidRDefault="00D478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23 (2.5%)</w:t>
            </w:r>
          </w:p>
        </w:tc>
        <w:tc>
          <w:tcPr>
            <w:tcW w:w="177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3A35EE40" w14:textId="77777777" w:rsidR="00D4787C" w:rsidRPr="0071319B" w:rsidRDefault="00D478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0.817, [ 0.499-1.336]</w:t>
            </w:r>
          </w:p>
        </w:tc>
      </w:tr>
      <w:tr w:rsidR="00D4787C" w:rsidRPr="0071319B" w14:paraId="6D3F5BAB" w14:textId="77777777" w:rsidTr="00ED4E48">
        <w:tc>
          <w:tcPr>
            <w:tcW w:w="92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5A289BC6" w14:textId="77777777" w:rsidR="00D4787C" w:rsidRPr="0071319B" w:rsidRDefault="003A7DB6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Velika krvarenja</w:t>
            </w:r>
          </w:p>
        </w:tc>
        <w:tc>
          <w:tcPr>
            <w:tcW w:w="103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62ECDAC3" w14:textId="77777777" w:rsidR="00D4787C" w:rsidRPr="0071319B" w:rsidRDefault="00D478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111 (3.1%)</w:t>
            </w:r>
          </w:p>
        </w:tc>
        <w:tc>
          <w:tcPr>
            <w:tcW w:w="125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339150E5" w14:textId="77777777" w:rsidR="00D4787C" w:rsidRPr="0071319B" w:rsidRDefault="00D478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18 (1.9%)</w:t>
            </w:r>
          </w:p>
        </w:tc>
        <w:tc>
          <w:tcPr>
            <w:tcW w:w="177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68D923CD" w14:textId="77777777" w:rsidR="00D4787C" w:rsidRPr="0071319B" w:rsidRDefault="00D478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1.522, [ 0.899-2.577]</w:t>
            </w:r>
          </w:p>
        </w:tc>
      </w:tr>
      <w:tr w:rsidR="00D4787C" w:rsidRPr="0071319B" w14:paraId="6C53EC58" w14:textId="77777777" w:rsidTr="00ED4E48">
        <w:tc>
          <w:tcPr>
            <w:tcW w:w="92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32AC940D" w14:textId="77777777" w:rsidR="00D4787C" w:rsidRPr="0071319B" w:rsidRDefault="003A7DB6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Manja krvarenja</w:t>
            </w:r>
          </w:p>
        </w:tc>
        <w:tc>
          <w:tcPr>
            <w:tcW w:w="103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21B883FA" w14:textId="77777777" w:rsidR="00D4787C" w:rsidRPr="0071319B" w:rsidRDefault="00D478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87 (2.5%)</w:t>
            </w:r>
          </w:p>
        </w:tc>
        <w:tc>
          <w:tcPr>
            <w:tcW w:w="125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3EABCBB6" w14:textId="77777777" w:rsidR="00D4787C" w:rsidRPr="0071319B" w:rsidRDefault="00D478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24 (2.6%)</w:t>
            </w:r>
          </w:p>
        </w:tc>
        <w:tc>
          <w:tcPr>
            <w:tcW w:w="177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5FB2E04E" w14:textId="77777777" w:rsidR="00D4787C" w:rsidRPr="0071319B" w:rsidRDefault="00D478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0.881, [0.550-1.410]</w:t>
            </w:r>
          </w:p>
        </w:tc>
      </w:tr>
      <w:tr w:rsidR="00D4787C" w:rsidRPr="0071319B" w14:paraId="158270E6" w14:textId="77777777" w:rsidTr="00ED4E48">
        <w:tc>
          <w:tcPr>
            <w:tcW w:w="92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6A9EEE44" w14:textId="77777777" w:rsidR="00D4787C" w:rsidRPr="0071319B" w:rsidRDefault="003A7DB6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Ukupna smrtnost </w:t>
            </w:r>
          </w:p>
        </w:tc>
        <w:tc>
          <w:tcPr>
            <w:tcW w:w="103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6E27A21C" w14:textId="77777777" w:rsidR="00D4787C" w:rsidRPr="0071319B" w:rsidRDefault="00D478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666 (18.9%)</w:t>
            </w:r>
          </w:p>
        </w:tc>
        <w:tc>
          <w:tcPr>
            <w:tcW w:w="125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0182EC3C" w14:textId="77777777" w:rsidR="00D4787C" w:rsidRPr="0071319B" w:rsidRDefault="00D478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157 (17.0%)</w:t>
            </w:r>
          </w:p>
        </w:tc>
        <w:tc>
          <w:tcPr>
            <w:tcW w:w="177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16AD682E" w14:textId="77777777" w:rsidR="00D4787C" w:rsidRPr="0071319B" w:rsidRDefault="00D478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0.974, [ 0.813-1.165]</w:t>
            </w:r>
          </w:p>
        </w:tc>
      </w:tr>
    </w:tbl>
    <w:p w14:paraId="4831F1C5" w14:textId="77777777" w:rsidR="001C7246" w:rsidRPr="0071319B" w:rsidRDefault="001C7246" w:rsidP="002155B6">
      <w:pPr>
        <w:widowControl w:val="0"/>
        <w:autoSpaceDE w:val="0"/>
        <w:autoSpaceDN w:val="0"/>
        <w:rPr>
          <w:rFonts w:asciiTheme="majorBidi" w:hAnsiTheme="majorBidi" w:cstheme="majorBidi"/>
          <w:sz w:val="22"/>
          <w:szCs w:val="22"/>
          <w:lang w:val="sr-Latn-ME"/>
        </w:rPr>
      </w:pPr>
    </w:p>
    <w:p w14:paraId="3F14FC54" w14:textId="77777777" w:rsidR="003A7DB6" w:rsidRPr="0071319B" w:rsidRDefault="003A7DB6" w:rsidP="00ED4E48">
      <w:pPr>
        <w:pStyle w:val="NormalWeb"/>
        <w:shd w:val="clear" w:color="auto" w:fill="FFFFFF"/>
        <w:spacing w:before="0" w:beforeAutospacing="0" w:after="143" w:afterAutospacing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U nastavku je </w:t>
      </w:r>
      <w:r w:rsidR="00BB653C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prikazan </w:t>
      </w:r>
      <w:proofErr w:type="spellStart"/>
      <w:r w:rsidR="00BB653C" w:rsidRPr="0071319B">
        <w:rPr>
          <w:rFonts w:asciiTheme="majorBidi" w:hAnsiTheme="majorBidi" w:cstheme="majorBidi"/>
          <w:sz w:val="22"/>
          <w:szCs w:val="22"/>
          <w:lang w:val="sr-Latn-ME"/>
        </w:rPr>
        <w:t>pregled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ishoda prema režimu liječenja koji je korišćen u ispitivanju RIETECAT među ispitanicima koji su 6 mjeseci učestvovali u ispitivanju: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cr/>
      </w:r>
    </w:p>
    <w:p w14:paraId="2320F7F0" w14:textId="611C8A5D" w:rsidR="003A7DB6" w:rsidRPr="003207FF" w:rsidRDefault="003A7DB6" w:rsidP="003207FF">
      <w:pPr>
        <w:pStyle w:val="NormalWeb"/>
        <w:shd w:val="clear" w:color="auto" w:fill="FFFFFF"/>
        <w:spacing w:before="0" w:beforeAutospacing="0" w:after="143" w:afterAutospacing="0"/>
        <w:jc w:val="center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3207FF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Tabela: Ishodi nakon 6 mjeseci kod pacijenata koji su završili liječenje od 6 mjeseci, prema </w:t>
      </w:r>
      <w:proofErr w:type="spellStart"/>
      <w:r w:rsidRPr="003207FF">
        <w:rPr>
          <w:rFonts w:asciiTheme="majorBidi" w:hAnsiTheme="majorBidi" w:cstheme="majorBidi"/>
          <w:b/>
          <w:sz w:val="22"/>
          <w:szCs w:val="22"/>
          <w:lang w:val="sr-Latn-ME"/>
        </w:rPr>
        <w:t>rezličitim</w:t>
      </w:r>
      <w:proofErr w:type="spellEnd"/>
      <w:r w:rsidRPr="003207FF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 režimima doziranja</w:t>
      </w:r>
    </w:p>
    <w:tbl>
      <w:tblPr>
        <w:tblW w:w="10482" w:type="dxa"/>
        <w:tblBorders>
          <w:top w:val="outset" w:sz="6" w:space="0" w:color="7B7B7B"/>
          <w:left w:val="outset" w:sz="6" w:space="0" w:color="7B7B7B"/>
          <w:bottom w:val="outset" w:sz="6" w:space="0" w:color="7B7B7B"/>
          <w:right w:val="outset" w:sz="6" w:space="0" w:color="7B7B7B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56"/>
        <w:gridCol w:w="1271"/>
        <w:gridCol w:w="1276"/>
        <w:gridCol w:w="1564"/>
        <w:gridCol w:w="1271"/>
        <w:gridCol w:w="1281"/>
        <w:gridCol w:w="1281"/>
        <w:gridCol w:w="1182"/>
      </w:tblGrid>
      <w:tr w:rsidR="003A7DB6" w:rsidRPr="003207FF" w14:paraId="0F015C63" w14:textId="77777777" w:rsidTr="005B0617">
        <w:tc>
          <w:tcPr>
            <w:tcW w:w="647" w:type="pct"/>
            <w:vMerge w:val="restar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42D4685C" w14:textId="77777777" w:rsidR="003A7DB6" w:rsidRPr="0071319B" w:rsidRDefault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lastRenderedPageBreak/>
              <w:t>Ishod</w:t>
            </w:r>
          </w:p>
          <w:p w14:paraId="69B477C6" w14:textId="77777777" w:rsidR="003A7DB6" w:rsidRPr="0071319B" w:rsidRDefault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N (%)</w:t>
            </w:r>
          </w:p>
          <w:p w14:paraId="4B63C56A" w14:textId="77777777" w:rsidR="003A7DB6" w:rsidRPr="0071319B" w:rsidRDefault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(95% CI)</w:t>
            </w:r>
          </w:p>
        </w:tc>
        <w:tc>
          <w:tcPr>
            <w:tcW w:w="606" w:type="pct"/>
            <w:vMerge w:val="restar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4D994F38" w14:textId="77777777" w:rsidR="003A7DB6" w:rsidRPr="0071319B" w:rsidRDefault="003A7DB6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 </w:t>
            </w: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br/>
            </w:r>
            <w:r w:rsidRPr="0071319B">
              <w:rPr>
                <w:rFonts w:asciiTheme="majorBidi" w:hAnsiTheme="majorBidi" w:cstheme="majorBidi"/>
                <w:sz w:val="22"/>
                <w:szCs w:val="22"/>
                <w:vertAlign w:val="subscript"/>
                <w:lang w:val="sr-Latn-ME"/>
              </w:rPr>
              <w:t> </w:t>
            </w:r>
          </w:p>
          <w:p w14:paraId="0D80FDC6" w14:textId="77777777" w:rsidR="003A7DB6" w:rsidRPr="0071319B" w:rsidRDefault="003A7DB6" w:rsidP="004624E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Enoksaparin</w:t>
            </w:r>
            <w:proofErr w:type="spellEnd"/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 svi režimi doziranja</w:t>
            </w:r>
          </w:p>
          <w:p w14:paraId="28945405" w14:textId="19A224C6" w:rsidR="003A7DB6" w:rsidRPr="0071319B" w:rsidRDefault="003A7DB6" w:rsidP="003207FF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br/>
            </w:r>
          </w:p>
          <w:p w14:paraId="5D681B68" w14:textId="668E1B72" w:rsidR="003A7DB6" w:rsidRPr="0071319B" w:rsidRDefault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</w:tc>
        <w:tc>
          <w:tcPr>
            <w:tcW w:w="60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7DF04B94" w14:textId="77777777" w:rsidR="003A7DB6" w:rsidRPr="0071319B" w:rsidRDefault="003A7DB6" w:rsidP="003207F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  <w:proofErr w:type="spellStart"/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Enoksaparin</w:t>
            </w:r>
            <w:proofErr w:type="spellEnd"/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 svi režimi doziranja</w:t>
            </w:r>
          </w:p>
          <w:p w14:paraId="06907510" w14:textId="77777777" w:rsidR="003A7DB6" w:rsidRPr="0071319B" w:rsidRDefault="003A7DB6" w:rsidP="004624E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</w:tc>
        <w:tc>
          <w:tcPr>
            <w:tcW w:w="74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6EE7A9DF" w14:textId="77777777" w:rsidR="003A7DB6" w:rsidRPr="0071319B" w:rsidRDefault="00BB653C" w:rsidP="003207FF">
            <w:pPr>
              <w:pStyle w:val="NormalWeb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Drugi </w:t>
            </w:r>
            <w:proofErr w:type="spellStart"/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heparini</w:t>
            </w:r>
            <w:proofErr w:type="spellEnd"/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 niske molekulske mase – odobreni u EU</w:t>
            </w:r>
          </w:p>
        </w:tc>
        <w:tc>
          <w:tcPr>
            <w:tcW w:w="2393" w:type="pct"/>
            <w:gridSpan w:val="4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486CBFA8" w14:textId="77777777" w:rsidR="003A7DB6" w:rsidRPr="0071319B" w:rsidRDefault="003A7DB6" w:rsidP="00ED4E48">
            <w:pPr>
              <w:ind w:right="679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</w:tc>
      </w:tr>
      <w:tr w:rsidR="003A7DB6" w:rsidRPr="003207FF" w14:paraId="5DE57ECB" w14:textId="77777777" w:rsidTr="005B0617">
        <w:tc>
          <w:tcPr>
            <w:tcW w:w="647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4241F8F6" w14:textId="77777777" w:rsidR="003A7DB6" w:rsidRPr="0071319B" w:rsidRDefault="003A7DB6">
            <w:pPr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</w:tc>
        <w:tc>
          <w:tcPr>
            <w:tcW w:w="606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77F8DBA4" w14:textId="77777777" w:rsidR="003A7DB6" w:rsidRPr="0071319B" w:rsidRDefault="003A7DB6">
            <w:pPr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</w:tc>
        <w:tc>
          <w:tcPr>
            <w:tcW w:w="60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210F2076" w14:textId="70147883" w:rsidR="003A7DB6" w:rsidRPr="0071319B" w:rsidRDefault="003A7DB6" w:rsidP="003207FF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Enoksaparin</w:t>
            </w:r>
            <w:proofErr w:type="spellEnd"/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 jed</w:t>
            </w:r>
            <w:r w:rsidR="004624E2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nom</w:t>
            </w:r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 dnevno</w:t>
            </w:r>
          </w:p>
          <w:p w14:paraId="5C5D0856" w14:textId="390CC5C2" w:rsidR="003A7DB6" w:rsidRPr="0071319B" w:rsidRDefault="003A7DB6" w:rsidP="004624E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</w:tc>
        <w:tc>
          <w:tcPr>
            <w:tcW w:w="74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7815B14B" w14:textId="5E564DFF" w:rsidR="003A7DB6" w:rsidRPr="0071319B" w:rsidRDefault="003A7DB6" w:rsidP="004624E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Enoksaparin</w:t>
            </w:r>
            <w:proofErr w:type="spellEnd"/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 dva</w:t>
            </w:r>
            <w:r w:rsidR="004624E2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put</w:t>
            </w:r>
            <w:r w:rsidR="004624E2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a</w:t>
            </w:r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 dnevno</w:t>
            </w: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br/>
            </w:r>
          </w:p>
          <w:p w14:paraId="733F7338" w14:textId="3A0B7107" w:rsidR="003A7DB6" w:rsidRPr="0071319B" w:rsidRDefault="003A7DB6" w:rsidP="003207FF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</w:tc>
        <w:tc>
          <w:tcPr>
            <w:tcW w:w="60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3D7ACE02" w14:textId="5C6022A3" w:rsidR="003A7DB6" w:rsidRPr="0071319B" w:rsidRDefault="003A7DB6" w:rsidP="004624E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Enoksaparin</w:t>
            </w:r>
            <w:proofErr w:type="spellEnd"/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 dva</w:t>
            </w:r>
            <w:r w:rsidR="004624E2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put</w:t>
            </w:r>
            <w:r w:rsidR="004624E2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a</w:t>
            </w:r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 dnevno do jed</w:t>
            </w:r>
            <w:r w:rsidR="004624E2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nom</w:t>
            </w:r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 dnevno</w:t>
            </w: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br/>
            </w:r>
          </w:p>
        </w:tc>
        <w:tc>
          <w:tcPr>
            <w:tcW w:w="61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0296894B" w14:textId="6F1DBA87" w:rsidR="003A7DB6" w:rsidRPr="0071319B" w:rsidRDefault="003A7DB6" w:rsidP="004624E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Enoksaparin</w:t>
            </w:r>
            <w:proofErr w:type="spellEnd"/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 jed</w:t>
            </w:r>
            <w:r w:rsidR="004624E2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nom</w:t>
            </w:r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 dnevno do dva</w:t>
            </w:r>
            <w:r w:rsidR="004624E2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put</w:t>
            </w:r>
            <w:r w:rsidR="004624E2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a</w:t>
            </w:r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 dnevno</w:t>
            </w: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br/>
            </w:r>
          </w:p>
        </w:tc>
        <w:tc>
          <w:tcPr>
            <w:tcW w:w="61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632A67DF" w14:textId="68F305CC" w:rsidR="003A7DB6" w:rsidRPr="0071319B" w:rsidRDefault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proofErr w:type="spellStart"/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Enoksaparin</w:t>
            </w:r>
            <w:proofErr w:type="spellEnd"/>
            <w:r w:rsidRPr="0071319B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 više od jedne promjene režima</w:t>
            </w:r>
          </w:p>
        </w:tc>
        <w:tc>
          <w:tcPr>
            <w:tcW w:w="56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6CDFB9BD" w14:textId="4E325680" w:rsidR="003A7DB6" w:rsidRPr="0071319B" w:rsidRDefault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</w:tc>
      </w:tr>
      <w:tr w:rsidR="005B0617" w:rsidRPr="0071319B" w14:paraId="2E386B0C" w14:textId="77777777" w:rsidTr="00357F8F">
        <w:tc>
          <w:tcPr>
            <w:tcW w:w="64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</w:tcPr>
          <w:p w14:paraId="00B694B3" w14:textId="77777777" w:rsidR="005B0617" w:rsidRPr="0071319B" w:rsidRDefault="005B0617" w:rsidP="005B0617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</w:tc>
        <w:tc>
          <w:tcPr>
            <w:tcW w:w="60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</w:tcPr>
          <w:p w14:paraId="77734DF2" w14:textId="33E48B2F" w:rsidR="005B0617" w:rsidRPr="0071319B" w:rsidRDefault="005B0617" w:rsidP="005B0617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29C5">
              <w:t>N=1432</w:t>
            </w:r>
          </w:p>
        </w:tc>
        <w:tc>
          <w:tcPr>
            <w:tcW w:w="60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</w:tcPr>
          <w:p w14:paraId="1D824297" w14:textId="61BC4938" w:rsidR="005B0617" w:rsidRPr="0071319B" w:rsidRDefault="005B0617" w:rsidP="005B0617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29C5">
              <w:t>N=444</w:t>
            </w:r>
          </w:p>
        </w:tc>
        <w:tc>
          <w:tcPr>
            <w:tcW w:w="74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</w:tcPr>
          <w:p w14:paraId="29415BAC" w14:textId="0F51CFC6" w:rsidR="005B0617" w:rsidRPr="0071319B" w:rsidRDefault="005B0617" w:rsidP="005B0617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29C5">
              <w:t>N=529</w:t>
            </w:r>
          </w:p>
        </w:tc>
        <w:tc>
          <w:tcPr>
            <w:tcW w:w="60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</w:tcPr>
          <w:p w14:paraId="4B668D88" w14:textId="509C9E05" w:rsidR="005B0617" w:rsidRPr="0071319B" w:rsidRDefault="005B0617" w:rsidP="005B0617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29C5">
              <w:t>N=406</w:t>
            </w:r>
          </w:p>
        </w:tc>
        <w:tc>
          <w:tcPr>
            <w:tcW w:w="61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</w:tcPr>
          <w:p w14:paraId="38506F27" w14:textId="2366FD69" w:rsidR="005B0617" w:rsidRPr="0071319B" w:rsidRDefault="005B0617" w:rsidP="005B0617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29C5">
              <w:t>N=14</w:t>
            </w:r>
          </w:p>
        </w:tc>
        <w:tc>
          <w:tcPr>
            <w:tcW w:w="61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</w:tcPr>
          <w:p w14:paraId="00C4EF5B" w14:textId="41146595" w:rsidR="005B0617" w:rsidRPr="0071319B" w:rsidRDefault="005B0617" w:rsidP="005B0617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29C5">
              <w:t>N=39</w:t>
            </w:r>
          </w:p>
        </w:tc>
        <w:tc>
          <w:tcPr>
            <w:tcW w:w="56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</w:tcPr>
          <w:p w14:paraId="1E1F34C7" w14:textId="4689E70F" w:rsidR="005B0617" w:rsidRPr="0071319B" w:rsidRDefault="005B0617" w:rsidP="005B0617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29C5">
              <w:t>N=428</w:t>
            </w:r>
          </w:p>
        </w:tc>
      </w:tr>
      <w:tr w:rsidR="003A7DB6" w:rsidRPr="0071319B" w14:paraId="280581AD" w14:textId="77777777" w:rsidTr="005B0617">
        <w:tc>
          <w:tcPr>
            <w:tcW w:w="64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483E2AC1" w14:textId="77777777" w:rsidR="003A7DB6" w:rsidRPr="0071319B" w:rsidRDefault="003A7DB6" w:rsidP="003A7DB6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Ponavljanje </w:t>
            </w:r>
            <w:proofErr w:type="spellStart"/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VTEa</w:t>
            </w:r>
            <w:proofErr w:type="spellEnd"/>
          </w:p>
        </w:tc>
        <w:tc>
          <w:tcPr>
            <w:tcW w:w="60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13FB155E" w14:textId="77777777" w:rsidR="003A7DB6" w:rsidRPr="0071319B" w:rsidRDefault="003A7DB6" w:rsidP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70 (4.9%)</w:t>
            </w:r>
          </w:p>
          <w:p w14:paraId="226F762A" w14:textId="77777777" w:rsidR="003A7DB6" w:rsidRPr="0071319B" w:rsidRDefault="003A7DB6" w:rsidP="00ED4E48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(3.8% </w:t>
            </w:r>
            <w:r w:rsidR="0063021A"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-</w:t>
            </w: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6.0%)</w:t>
            </w:r>
          </w:p>
        </w:tc>
        <w:tc>
          <w:tcPr>
            <w:tcW w:w="60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2914F9E2" w14:textId="77777777" w:rsidR="003A7DB6" w:rsidRPr="0071319B" w:rsidRDefault="003A7DB6" w:rsidP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33 (7.4%)</w:t>
            </w:r>
          </w:p>
          <w:p w14:paraId="24C317AA" w14:textId="77777777" w:rsidR="003A7DB6" w:rsidRPr="0071319B" w:rsidRDefault="003A7DB6" w:rsidP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(5.0% – 9.9%)</w:t>
            </w:r>
          </w:p>
        </w:tc>
        <w:tc>
          <w:tcPr>
            <w:tcW w:w="74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6B6F8FF3" w14:textId="77777777" w:rsidR="003A7DB6" w:rsidRPr="0071319B" w:rsidRDefault="003A7DB6" w:rsidP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22 (4.2%)</w:t>
            </w:r>
          </w:p>
          <w:p w14:paraId="31F24A26" w14:textId="77777777" w:rsidR="003A7DB6" w:rsidRPr="0071319B" w:rsidRDefault="003A7DB6" w:rsidP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(2.5% – 5.9%)</w:t>
            </w:r>
          </w:p>
        </w:tc>
        <w:tc>
          <w:tcPr>
            <w:tcW w:w="60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37136ACC" w14:textId="77777777" w:rsidR="003A7DB6" w:rsidRPr="0071319B" w:rsidRDefault="003A7DB6" w:rsidP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10 (2.5%)</w:t>
            </w:r>
          </w:p>
          <w:p w14:paraId="7EF4E986" w14:textId="77777777" w:rsidR="003A7DB6" w:rsidRPr="0071319B" w:rsidRDefault="003A7DB6" w:rsidP="00ED4E48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(0.9% </w:t>
            </w:r>
            <w:r w:rsidR="0063021A"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-</w:t>
            </w: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4.0%)</w:t>
            </w:r>
          </w:p>
        </w:tc>
        <w:tc>
          <w:tcPr>
            <w:tcW w:w="61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14AFBC95" w14:textId="77777777" w:rsidR="003A7DB6" w:rsidRPr="0071319B" w:rsidRDefault="003A7DB6" w:rsidP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 (7.1%)</w:t>
            </w:r>
          </w:p>
          <w:p w14:paraId="34E26032" w14:textId="77777777" w:rsidR="003A7DB6" w:rsidRPr="0071319B" w:rsidRDefault="003A7DB6" w:rsidP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(0% – 22.6%)</w:t>
            </w:r>
          </w:p>
        </w:tc>
        <w:tc>
          <w:tcPr>
            <w:tcW w:w="61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6B911D40" w14:textId="77777777" w:rsidR="003A7DB6" w:rsidRPr="0071319B" w:rsidRDefault="003A7DB6" w:rsidP="004624E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4 (10.3%)</w:t>
            </w:r>
          </w:p>
          <w:p w14:paraId="391C1E35" w14:textId="77777777" w:rsidR="003A7DB6" w:rsidRPr="0071319B" w:rsidRDefault="003A7DB6" w:rsidP="003207FF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(0.3% –20.2%)</w:t>
            </w:r>
          </w:p>
        </w:tc>
        <w:tc>
          <w:tcPr>
            <w:tcW w:w="56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06BF97C5" w14:textId="77777777" w:rsidR="003A7DB6" w:rsidRPr="0071319B" w:rsidRDefault="003A7DB6" w:rsidP="004624E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23 (5.4%)</w:t>
            </w:r>
          </w:p>
          <w:p w14:paraId="7F2E2319" w14:textId="77777777" w:rsidR="003A7DB6" w:rsidRPr="0071319B" w:rsidRDefault="003A7DB6" w:rsidP="003207FF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(3.2%</w:t>
            </w:r>
            <w:r w:rsidR="0063021A"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-</w:t>
            </w: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7.5%)</w:t>
            </w:r>
          </w:p>
        </w:tc>
      </w:tr>
      <w:tr w:rsidR="003A7DB6" w:rsidRPr="0071319B" w14:paraId="70515978" w14:textId="77777777" w:rsidTr="005B0617">
        <w:tc>
          <w:tcPr>
            <w:tcW w:w="64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764C8C9B" w14:textId="77777777" w:rsidR="003A7DB6" w:rsidRPr="0071319B" w:rsidRDefault="003A7DB6" w:rsidP="003A7DB6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Velika krvarenja</w:t>
            </w:r>
            <w:r w:rsidR="00BB653C"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(smrtonosna ili </w:t>
            </w:r>
            <w:proofErr w:type="spellStart"/>
            <w:r w:rsidR="00BB653C"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nesmrtonosna</w:t>
            </w:r>
            <w:proofErr w:type="spellEnd"/>
            <w:r w:rsidR="00BB653C"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60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71BB1070" w14:textId="77777777" w:rsidR="003A7DB6" w:rsidRPr="0071319B" w:rsidRDefault="003A7DB6" w:rsidP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111 (7.8%)</w:t>
            </w:r>
          </w:p>
          <w:p w14:paraId="30729BE3" w14:textId="77777777" w:rsidR="003A7DB6" w:rsidRPr="0071319B" w:rsidRDefault="003A7DB6" w:rsidP="00ED4E48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(6.4% </w:t>
            </w:r>
            <w:r w:rsidR="0063021A"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-</w:t>
            </w: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9.1%)</w:t>
            </w:r>
          </w:p>
        </w:tc>
        <w:tc>
          <w:tcPr>
            <w:tcW w:w="60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37D32F67" w14:textId="77777777" w:rsidR="003A7DB6" w:rsidRPr="0071319B" w:rsidRDefault="003A7DB6" w:rsidP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31 (7.0%)</w:t>
            </w:r>
          </w:p>
          <w:p w14:paraId="3BCE5763" w14:textId="77777777" w:rsidR="003A7DB6" w:rsidRPr="0071319B" w:rsidRDefault="003A7DB6" w:rsidP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(4.6% – 9.4%)</w:t>
            </w:r>
          </w:p>
        </w:tc>
        <w:tc>
          <w:tcPr>
            <w:tcW w:w="74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75FB4A0D" w14:textId="77777777" w:rsidR="003A7DB6" w:rsidRPr="0071319B" w:rsidRDefault="003A7DB6" w:rsidP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52 (9.8%)</w:t>
            </w:r>
          </w:p>
          <w:p w14:paraId="4454D3CD" w14:textId="77777777" w:rsidR="003A7DB6" w:rsidRPr="0071319B" w:rsidRDefault="003A7DB6" w:rsidP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(7.3% – 12.4%)</w:t>
            </w:r>
          </w:p>
        </w:tc>
        <w:tc>
          <w:tcPr>
            <w:tcW w:w="60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054E3BB7" w14:textId="77777777" w:rsidR="003A7DB6" w:rsidRPr="0071319B" w:rsidRDefault="003A7DB6" w:rsidP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21 (5.2%)</w:t>
            </w:r>
          </w:p>
          <w:p w14:paraId="25557F99" w14:textId="77777777" w:rsidR="003A7DB6" w:rsidRPr="0071319B" w:rsidRDefault="003A7DB6" w:rsidP="00ED4E48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(3.0% </w:t>
            </w:r>
            <w:r w:rsidR="0063021A"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-</w:t>
            </w: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7.3%)</w:t>
            </w:r>
          </w:p>
        </w:tc>
        <w:tc>
          <w:tcPr>
            <w:tcW w:w="61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5C0CD930" w14:textId="77777777" w:rsidR="003A7DB6" w:rsidRPr="0071319B" w:rsidRDefault="003A7DB6" w:rsidP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 (7.1%)</w:t>
            </w:r>
          </w:p>
          <w:p w14:paraId="73F4E0A6" w14:textId="77777777" w:rsidR="003A7DB6" w:rsidRPr="0071319B" w:rsidRDefault="003A7DB6" w:rsidP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(0% – 22.6%)</w:t>
            </w:r>
          </w:p>
        </w:tc>
        <w:tc>
          <w:tcPr>
            <w:tcW w:w="61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145B34D2" w14:textId="77777777" w:rsidR="003A7DB6" w:rsidRPr="0071319B" w:rsidRDefault="003A7DB6" w:rsidP="004624E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6 (15.4%)</w:t>
            </w:r>
          </w:p>
          <w:p w14:paraId="0A062127" w14:textId="77777777" w:rsidR="003A7DB6" w:rsidRPr="0071319B" w:rsidRDefault="003A7DB6" w:rsidP="003207FF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(3.5% –27.2%)</w:t>
            </w:r>
          </w:p>
        </w:tc>
        <w:tc>
          <w:tcPr>
            <w:tcW w:w="56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283285E0" w14:textId="77777777" w:rsidR="003A7DB6" w:rsidRPr="0071319B" w:rsidRDefault="003A7DB6" w:rsidP="004624E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18 (4.2%)</w:t>
            </w:r>
          </w:p>
          <w:p w14:paraId="35469866" w14:textId="77777777" w:rsidR="003A7DB6" w:rsidRPr="0071319B" w:rsidRDefault="003A7DB6" w:rsidP="003207FF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(2.3% –6.1%)</w:t>
            </w:r>
          </w:p>
        </w:tc>
      </w:tr>
      <w:tr w:rsidR="003A7DB6" w:rsidRPr="0071319B" w14:paraId="6CAE9D89" w14:textId="77777777" w:rsidTr="005B0617">
        <w:tc>
          <w:tcPr>
            <w:tcW w:w="64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7BE23751" w14:textId="77777777" w:rsidR="003A7DB6" w:rsidRPr="0071319B" w:rsidRDefault="00BB653C" w:rsidP="00BB653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Klinički značajna m</w:t>
            </w:r>
            <w:r w:rsidR="003A7DB6"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anja krvarenja</w:t>
            </w:r>
          </w:p>
        </w:tc>
        <w:tc>
          <w:tcPr>
            <w:tcW w:w="60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30711FD4" w14:textId="77777777" w:rsidR="003A7DB6" w:rsidRPr="0071319B" w:rsidRDefault="003A7DB6" w:rsidP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87 (6.1%)</w:t>
            </w:r>
          </w:p>
          <w:p w14:paraId="7EDED62A" w14:textId="77777777" w:rsidR="003A7DB6" w:rsidRPr="0071319B" w:rsidRDefault="003A7DB6" w:rsidP="00ED4E48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(4.8% </w:t>
            </w:r>
            <w:r w:rsidR="0063021A"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-</w:t>
            </w: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7.3%)</w:t>
            </w:r>
          </w:p>
        </w:tc>
        <w:tc>
          <w:tcPr>
            <w:tcW w:w="60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45CAF468" w14:textId="77777777" w:rsidR="003A7DB6" w:rsidRPr="0071319B" w:rsidRDefault="003A7DB6" w:rsidP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26 (5.9%)</w:t>
            </w:r>
          </w:p>
          <w:p w14:paraId="160F0A08" w14:textId="77777777" w:rsidR="003A7DB6" w:rsidRPr="0071319B" w:rsidRDefault="003A7DB6" w:rsidP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(3.7% – 8.0%)</w:t>
            </w:r>
          </w:p>
        </w:tc>
        <w:tc>
          <w:tcPr>
            <w:tcW w:w="74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5A009CFC" w14:textId="77777777" w:rsidR="003A7DB6" w:rsidRPr="0071319B" w:rsidRDefault="003A7DB6" w:rsidP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33 (6.2%)</w:t>
            </w:r>
          </w:p>
          <w:p w14:paraId="649365B5" w14:textId="77777777" w:rsidR="003A7DB6" w:rsidRPr="0071319B" w:rsidRDefault="003A7DB6" w:rsidP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(4.2% – 8.3%)</w:t>
            </w:r>
          </w:p>
        </w:tc>
        <w:tc>
          <w:tcPr>
            <w:tcW w:w="60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05B1BBC1" w14:textId="77777777" w:rsidR="003A7DB6" w:rsidRPr="0071319B" w:rsidRDefault="003A7DB6" w:rsidP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23 (5.7%)</w:t>
            </w:r>
          </w:p>
          <w:p w14:paraId="0E7C9D47" w14:textId="77777777" w:rsidR="003A7DB6" w:rsidRPr="0071319B" w:rsidRDefault="003A7DB6" w:rsidP="00ED4E48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(3.4% </w:t>
            </w:r>
            <w:r w:rsidR="0063021A"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-</w:t>
            </w: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7.9%)</w:t>
            </w:r>
          </w:p>
        </w:tc>
        <w:tc>
          <w:tcPr>
            <w:tcW w:w="61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5DAA6F2E" w14:textId="77777777" w:rsidR="003A7DB6" w:rsidRPr="0071319B" w:rsidRDefault="003A7DB6" w:rsidP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 (7.1%)</w:t>
            </w:r>
          </w:p>
          <w:p w14:paraId="6E780F00" w14:textId="77777777" w:rsidR="003A7DB6" w:rsidRPr="0071319B" w:rsidRDefault="003A7DB6" w:rsidP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(0% – 22.6%)</w:t>
            </w:r>
          </w:p>
        </w:tc>
        <w:tc>
          <w:tcPr>
            <w:tcW w:w="61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0EE4644B" w14:textId="77777777" w:rsidR="003A7DB6" w:rsidRPr="0071319B" w:rsidRDefault="003A7DB6" w:rsidP="004624E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4 (10.3%)</w:t>
            </w:r>
          </w:p>
          <w:p w14:paraId="6AE85D4C" w14:textId="77777777" w:rsidR="003A7DB6" w:rsidRPr="0071319B" w:rsidRDefault="003A7DB6" w:rsidP="003207FF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(0.3% –20.2%)</w:t>
            </w:r>
          </w:p>
        </w:tc>
        <w:tc>
          <w:tcPr>
            <w:tcW w:w="56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6F501475" w14:textId="77777777" w:rsidR="003A7DB6" w:rsidRPr="0071319B" w:rsidRDefault="003A7DB6" w:rsidP="004624E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24 (5.6%)</w:t>
            </w:r>
          </w:p>
          <w:p w14:paraId="6E2DC36A" w14:textId="77777777" w:rsidR="003A7DB6" w:rsidRPr="0071319B" w:rsidRDefault="003A7DB6" w:rsidP="003207FF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(3.4% –7.8%)</w:t>
            </w:r>
          </w:p>
        </w:tc>
      </w:tr>
      <w:tr w:rsidR="003A7DB6" w:rsidRPr="0071319B" w14:paraId="28A31BA5" w14:textId="77777777" w:rsidTr="005B0617">
        <w:tc>
          <w:tcPr>
            <w:tcW w:w="64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01DE7D7F" w14:textId="77777777" w:rsidR="003A7DB6" w:rsidRPr="0071319B" w:rsidRDefault="00BB653C" w:rsidP="003A7DB6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Smrt zbog bilo kog uzroka</w:t>
            </w:r>
            <w:r w:rsidR="003A7DB6"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60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4F8113D4" w14:textId="77777777" w:rsidR="003A7DB6" w:rsidRPr="0071319B" w:rsidRDefault="003A7DB6" w:rsidP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666 (46.5%)</w:t>
            </w:r>
          </w:p>
          <w:p w14:paraId="25E289AE" w14:textId="77777777" w:rsidR="003A7DB6" w:rsidRPr="0071319B" w:rsidRDefault="003A7DB6" w:rsidP="00ED4E48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(43.9%</w:t>
            </w:r>
            <w:r w:rsidR="0063021A"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-</w:t>
            </w: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49.1%)</w:t>
            </w:r>
          </w:p>
        </w:tc>
        <w:tc>
          <w:tcPr>
            <w:tcW w:w="60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7EC8A4A2" w14:textId="77777777" w:rsidR="003A7DB6" w:rsidRPr="0071319B" w:rsidRDefault="003A7DB6" w:rsidP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175 (39.4%)</w:t>
            </w:r>
          </w:p>
          <w:p w14:paraId="7260E58B" w14:textId="77777777" w:rsidR="003A7DB6" w:rsidRPr="0071319B" w:rsidRDefault="003A7DB6" w:rsidP="00ED4E48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(34.9% </w:t>
            </w:r>
            <w:r w:rsidR="0063021A"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-</w:t>
            </w: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44.0%)</w:t>
            </w:r>
          </w:p>
        </w:tc>
        <w:tc>
          <w:tcPr>
            <w:tcW w:w="74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0A52E7BB" w14:textId="77777777" w:rsidR="003A7DB6" w:rsidRPr="0071319B" w:rsidRDefault="003A7DB6" w:rsidP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323 (61.1%)</w:t>
            </w:r>
          </w:p>
          <w:p w14:paraId="2990A982" w14:textId="77777777" w:rsidR="003A7DB6" w:rsidRPr="0071319B" w:rsidRDefault="003A7DB6" w:rsidP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(56.9% – 65.2%)</w:t>
            </w:r>
          </w:p>
        </w:tc>
        <w:tc>
          <w:tcPr>
            <w:tcW w:w="60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2DC39906" w14:textId="77777777" w:rsidR="003A7DB6" w:rsidRPr="0071319B" w:rsidRDefault="003A7DB6" w:rsidP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146 (36.0%)</w:t>
            </w:r>
          </w:p>
          <w:p w14:paraId="43D248E1" w14:textId="77777777" w:rsidR="003A7DB6" w:rsidRPr="0071319B" w:rsidRDefault="003A7DB6" w:rsidP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(31.3% – 40.6%)</w:t>
            </w:r>
          </w:p>
        </w:tc>
        <w:tc>
          <w:tcPr>
            <w:tcW w:w="61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7542C770" w14:textId="77777777" w:rsidR="003A7DB6" w:rsidRPr="0071319B" w:rsidRDefault="003A7DB6" w:rsidP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6 (42.9%)</w:t>
            </w:r>
          </w:p>
          <w:p w14:paraId="1DE9FC84" w14:textId="77777777" w:rsidR="003A7DB6" w:rsidRPr="0071319B" w:rsidRDefault="003A7DB6" w:rsidP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(13.2% – 72.5%)</w:t>
            </w:r>
          </w:p>
        </w:tc>
        <w:tc>
          <w:tcPr>
            <w:tcW w:w="61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34890BED" w14:textId="77777777" w:rsidR="003A7DB6" w:rsidRPr="0071319B" w:rsidRDefault="003A7DB6" w:rsidP="004624E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16 (41.0%)</w:t>
            </w:r>
          </w:p>
          <w:p w14:paraId="089B50E0" w14:textId="77777777" w:rsidR="003A7DB6" w:rsidRPr="0071319B" w:rsidRDefault="003A7DB6" w:rsidP="004624E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(24.9% – 57.2%)</w:t>
            </w:r>
          </w:p>
        </w:tc>
        <w:tc>
          <w:tcPr>
            <w:tcW w:w="56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497A69AE" w14:textId="77777777" w:rsidR="003A7DB6" w:rsidRPr="0071319B" w:rsidRDefault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157 (36.7%)</w:t>
            </w:r>
          </w:p>
          <w:p w14:paraId="78351CE9" w14:textId="77777777" w:rsidR="003A7DB6" w:rsidRPr="0071319B" w:rsidRDefault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(32.1% – 41.3%)</w:t>
            </w:r>
          </w:p>
        </w:tc>
      </w:tr>
      <w:tr w:rsidR="003A7DB6" w:rsidRPr="0071319B" w14:paraId="09DABBA0" w14:textId="77777777" w:rsidTr="005B0617">
        <w:tc>
          <w:tcPr>
            <w:tcW w:w="64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14684C4E" w14:textId="77777777" w:rsidR="003A7DB6" w:rsidRPr="0071319B" w:rsidRDefault="00BB653C" w:rsidP="00BB653C">
            <w:pPr>
              <w:pStyle w:val="NormalWeb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Smrt povezana sa smrtonosnom plućnom embolijom ili smrtonosnim krvarenjem</w:t>
            </w:r>
          </w:p>
        </w:tc>
        <w:tc>
          <w:tcPr>
            <w:tcW w:w="60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00440B21" w14:textId="77777777" w:rsidR="003A7DB6" w:rsidRPr="0071319B" w:rsidRDefault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48 (3.4%)</w:t>
            </w:r>
          </w:p>
          <w:p w14:paraId="4D6BACB5" w14:textId="77777777" w:rsidR="003A7DB6" w:rsidRPr="0071319B" w:rsidRDefault="003A7DB6" w:rsidP="00ED4E48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(2.4% </w:t>
            </w:r>
            <w:r w:rsidR="0063021A"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-</w:t>
            </w: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4.3%)</w:t>
            </w:r>
          </w:p>
        </w:tc>
        <w:tc>
          <w:tcPr>
            <w:tcW w:w="60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36CD6CAE" w14:textId="77777777" w:rsidR="003A7DB6" w:rsidRPr="0071319B" w:rsidRDefault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7 (1.6%)</w:t>
            </w:r>
          </w:p>
          <w:p w14:paraId="01CF17AC" w14:textId="77777777" w:rsidR="003A7DB6" w:rsidRPr="0071319B" w:rsidRDefault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(0.4% – 2.7%)</w:t>
            </w:r>
          </w:p>
        </w:tc>
        <w:tc>
          <w:tcPr>
            <w:tcW w:w="74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00CBC767" w14:textId="77777777" w:rsidR="003A7DB6" w:rsidRPr="0071319B" w:rsidRDefault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35 (6.6%)</w:t>
            </w:r>
          </w:p>
          <w:p w14:paraId="24AD6A74" w14:textId="77777777" w:rsidR="003A7DB6" w:rsidRPr="0071319B" w:rsidRDefault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(4.5% – 8.7%)</w:t>
            </w:r>
          </w:p>
        </w:tc>
        <w:tc>
          <w:tcPr>
            <w:tcW w:w="60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2BD998D0" w14:textId="77777777" w:rsidR="003A7DB6" w:rsidRPr="0071319B" w:rsidRDefault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5 (1.2%)</w:t>
            </w:r>
          </w:p>
          <w:p w14:paraId="55C81E7E" w14:textId="77777777" w:rsidR="003A7DB6" w:rsidRPr="0071319B" w:rsidRDefault="003A7DB6" w:rsidP="00ED4E48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(0.2% </w:t>
            </w:r>
            <w:r w:rsidR="0063021A"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-</w:t>
            </w: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2.3%)</w:t>
            </w:r>
          </w:p>
        </w:tc>
        <w:tc>
          <w:tcPr>
            <w:tcW w:w="61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7946AF6F" w14:textId="77777777" w:rsidR="003A7DB6" w:rsidRPr="0071319B" w:rsidRDefault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0 (0%)</w:t>
            </w:r>
          </w:p>
          <w:p w14:paraId="27C52DD0" w14:textId="77777777" w:rsidR="003A7DB6" w:rsidRPr="0071319B" w:rsidRDefault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-</w:t>
            </w:r>
          </w:p>
        </w:tc>
        <w:tc>
          <w:tcPr>
            <w:tcW w:w="61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527B3B09" w14:textId="77777777" w:rsidR="003A7DB6" w:rsidRPr="0071319B" w:rsidRDefault="003A7DB6" w:rsidP="004624E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 (2.6%)</w:t>
            </w:r>
          </w:p>
          <w:p w14:paraId="5C94A421" w14:textId="77777777" w:rsidR="003A7DB6" w:rsidRPr="0071319B" w:rsidRDefault="003A7DB6" w:rsidP="004624E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(0% – 7.8%)</w:t>
            </w:r>
          </w:p>
        </w:tc>
        <w:tc>
          <w:tcPr>
            <w:tcW w:w="56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4D697A5A" w14:textId="77777777" w:rsidR="003A7DB6" w:rsidRPr="0071319B" w:rsidRDefault="003A7DB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11 (2.6%)</w:t>
            </w:r>
          </w:p>
          <w:p w14:paraId="6287ABE8" w14:textId="77777777" w:rsidR="003A7DB6" w:rsidRPr="0071319B" w:rsidRDefault="003A7DB6" w:rsidP="003207FF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71319B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(1.1% –4.1%)</w:t>
            </w:r>
          </w:p>
        </w:tc>
      </w:tr>
    </w:tbl>
    <w:p w14:paraId="27D3A767" w14:textId="6F7E958E" w:rsidR="003A7DB6" w:rsidRPr="0071319B" w:rsidRDefault="003A7DB6" w:rsidP="003207FF">
      <w:pPr>
        <w:pStyle w:val="NormalWeb"/>
        <w:shd w:val="clear" w:color="auto" w:fill="FFFFFF"/>
        <w:spacing w:before="0" w:beforeAutospacing="0" w:after="143" w:afterAutospacing="0"/>
        <w:rPr>
          <w:lang w:val="sr-Latn-ME"/>
        </w:rPr>
      </w:pPr>
      <w:r w:rsidRPr="0071319B">
        <w:rPr>
          <w:rFonts w:asciiTheme="majorBidi" w:hAnsiTheme="majorBidi" w:cstheme="majorBidi"/>
          <w:color w:val="000000"/>
          <w:sz w:val="22"/>
          <w:szCs w:val="22"/>
          <w:lang w:val="sr-Latn-ME"/>
        </w:rPr>
        <w:t>*</w:t>
      </w:r>
      <w:r w:rsidR="00BB653C" w:rsidRPr="0071319B">
        <w:rPr>
          <w:rFonts w:asciiTheme="majorBidi" w:hAnsiTheme="majorBidi" w:cstheme="majorBidi"/>
          <w:color w:val="000000"/>
          <w:sz w:val="22"/>
          <w:szCs w:val="22"/>
          <w:lang w:val="sr-Latn-ME"/>
        </w:rPr>
        <w:t>svi su podaci s intervalom pouzdanosti od 95%</w:t>
      </w:r>
    </w:p>
    <w:p w14:paraId="7DC9E126" w14:textId="77777777" w:rsidR="002155B6" w:rsidRPr="0071319B" w:rsidRDefault="002155B6" w:rsidP="00ED4E48">
      <w:pPr>
        <w:widowControl w:val="0"/>
        <w:autoSpaceDE w:val="0"/>
        <w:autoSpaceDN w:val="0"/>
        <w:ind w:right="332"/>
        <w:jc w:val="both"/>
        <w:rPr>
          <w:rFonts w:asciiTheme="majorBidi" w:hAnsiTheme="majorBidi" w:cstheme="majorBidi"/>
          <w:sz w:val="22"/>
          <w:szCs w:val="22"/>
          <w:u w:val="single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Terapija nestabilne angine i infarkta miokarda bez elevacije ST segmenta</w:t>
      </w:r>
    </w:p>
    <w:p w14:paraId="44CF5AA0" w14:textId="77777777" w:rsidR="002155B6" w:rsidRPr="0071319B" w:rsidRDefault="002155B6" w:rsidP="00853A1E">
      <w:pPr>
        <w:pStyle w:val="NormalWeb"/>
        <w:shd w:val="clear" w:color="auto" w:fill="FFFFFF"/>
        <w:spacing w:before="0" w:beforeAutospacing="0" w:after="143" w:afterAutospacing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U veliku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multicentričnu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studiju uključeno je 3171 pacijent u akutnoj fazi nestabilne angine ili infarkta miokarda bez Q talasa, </w:t>
      </w:r>
      <w:r w:rsidRPr="00853A1E">
        <w:rPr>
          <w:rFonts w:asciiTheme="majorBidi" w:hAnsiTheme="majorBidi" w:cstheme="majorBidi"/>
          <w:sz w:val="22"/>
          <w:szCs w:val="22"/>
          <w:lang w:val="sr-Latn-ME"/>
        </w:rPr>
        <w:t xml:space="preserve">koji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su randomizovani da dobijaju u kombinaciji sa aspirinom (100 do 325 mg jednom dnevno) ili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 100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./kg (1mg/kg) </w:t>
      </w:r>
      <w:proofErr w:type="spellStart"/>
      <w:r w:rsidR="003601E4" w:rsidRPr="0071319B">
        <w:rPr>
          <w:rFonts w:asciiTheme="majorBidi" w:hAnsiTheme="majorBidi" w:cstheme="majorBidi"/>
          <w:sz w:val="22"/>
          <w:szCs w:val="22"/>
          <w:lang w:val="sr-Latn-ME"/>
        </w:rPr>
        <w:t>subk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utano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 svakih 12 sati ili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nefrakcionisani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intravenski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prilagođen na osnovu aktiviranog parcijalnog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tromboplastinskog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vremena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(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aPTT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). Pacijente je bilo neophodno hospitalizovati u trajanju od najmanje 2 dana, a maksimalno 8 dana, do kliničke stabilizacije,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revaskularizacione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procedure ili otpusta iz bolnice. Pacijente je bilo neophodno pratiti do 30 dana.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 je u poređenju sa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heparinom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značajno smanjio incidencu rekurentne angine, infarkta miokarda i smrti, sa smanjenjem rizika od 19,8% do 16,6%, (uz smanjenje relativnog rizika od 16,2%) 14. dana, što je održano u toku perioda od 30 dana (od 23,3% do 19,8%; smanjenje relativnog rizika 15%).</w:t>
      </w:r>
    </w:p>
    <w:p w14:paraId="61D494A6" w14:textId="77777777" w:rsidR="002155B6" w:rsidRPr="0071319B" w:rsidRDefault="002155B6" w:rsidP="00853A1E">
      <w:pPr>
        <w:pStyle w:val="NormalWeb"/>
        <w:shd w:val="clear" w:color="auto" w:fill="FFFFFF"/>
        <w:spacing w:before="0" w:beforeAutospacing="0" w:after="143" w:afterAutospacing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Nije bilo značajnih razlika u velikim hemoragijama iako su krvarenja na m</w:t>
      </w:r>
      <w:r w:rsidR="0063021A" w:rsidRPr="0071319B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estu prim</w:t>
      </w:r>
      <w:r w:rsidR="0063021A" w:rsidRPr="0071319B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ene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s.c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. injekcije bila učestalija.</w:t>
      </w:r>
    </w:p>
    <w:p w14:paraId="33578D0E" w14:textId="77777777" w:rsidR="002155B6" w:rsidRPr="0071319B" w:rsidRDefault="002155B6" w:rsidP="00ED4E48">
      <w:pPr>
        <w:widowControl w:val="0"/>
        <w:autoSpaceDE w:val="0"/>
        <w:autoSpaceDN w:val="0"/>
        <w:spacing w:before="124" w:line="249" w:lineRule="exact"/>
        <w:jc w:val="both"/>
        <w:outlineLvl w:val="2"/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</w:pPr>
      <w:r w:rsidRPr="0071319B"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  <w:t>Terapija akutnog infarkta miokarda sa elevacijom ST segmenta (STEMI)</w:t>
      </w:r>
    </w:p>
    <w:p w14:paraId="40CB2961" w14:textId="77777777" w:rsidR="002155B6" w:rsidRDefault="002155B6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U velikoj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multicentričnoj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studiji 20479 pacijenata sa akutnim infarktom miokarda sa elevacijom ST- segmenta, koji su primali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fibrinolitičku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terapiju, randomizovano je tako da primaju ili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kao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i.v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bolus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injekciju u dozi od 3000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i.j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.(30 mg) plus 100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i.j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./kg (1mg/kg) </w:t>
      </w:r>
      <w:proofErr w:type="spellStart"/>
      <w:r w:rsidR="003601E4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subk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utano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, nakon čega je na svakih 12 sati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s.c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 primjenjivana doza od 100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i.j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./kg (1,0 mg/kg) ili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nefrakcionisani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heparin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intravenski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, prilagođen na osnovu aktiviranog parcijalnog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tromboplastinskog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vremena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(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aPTT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) u periodu od 48 sati. Svi pacijenti su, 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lastRenderedPageBreak/>
        <w:t xml:space="preserve">osim toga, primali i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acetilsalicilnu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kiselinu tokom najmanje 30 dana. Doziranja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enoksaparina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bilo je prilagođeno za pacijente sa teškim oštećenjem funkcije bubrega i za osobe starije od 75 godina. SC injekcije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enoksaparina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su primjenjivane sve do otpusta iz bolnice ili maksimalno u toku osam dana (u zavisnosti koje od ta dva nastupi prvo).</w:t>
      </w:r>
    </w:p>
    <w:p w14:paraId="7640F2AC" w14:textId="77777777" w:rsidR="00595851" w:rsidRDefault="00595851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Tokom studije, 4716 pacijenata je podvrgnuto proceduri koronarne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angioplastike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pod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antitrombotičkom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terapijom korišćenjem studijskih ljekova („slijepa </w:t>
      </w:r>
      <w:r w:rsidR="004C126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proba “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). Stoga, za pacijente na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enoksaparinu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, PCI je trebalo sprovesti na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enoksaparinu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(bez promjene) koristeći režim doziranja ustanovljen u prethodnim studijama, odnosno bez dodatnih doza, ako je poslijednja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s.c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 doza primijenjena manje od 8 sati prije balon dilatacije, tj. uz dodatni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i.v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bolus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od 0,3 mg/kg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enoksaparina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, ako je posljednja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s.c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 doza primijenjena prije više od 8 sati u odnosu na balon dilataciju. </w:t>
      </w:r>
    </w:p>
    <w:p w14:paraId="0FA2EBCB" w14:textId="17FEEB3D" w:rsidR="00A97DB0" w:rsidRDefault="00595851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 je u poređenju sa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nefrakcionisanim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heparinom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značajno redukovao učestalost primarnog </w:t>
      </w:r>
      <w:r w:rsidR="00C7038B">
        <w:rPr>
          <w:rFonts w:asciiTheme="majorBidi" w:eastAsia="Calibri" w:hAnsiTheme="majorBidi" w:cstheme="majorBidi"/>
          <w:sz w:val="22"/>
          <w:szCs w:val="22"/>
          <w:lang w:val="sr-Latn-ME"/>
        </w:rPr>
        <w:t>cilja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, kao kombinovanog </w:t>
      </w:r>
      <w:r w:rsidR="00C7038B">
        <w:rPr>
          <w:rFonts w:asciiTheme="majorBidi" w:eastAsia="Calibri" w:hAnsiTheme="majorBidi" w:cstheme="majorBidi"/>
          <w:sz w:val="22"/>
          <w:szCs w:val="22"/>
          <w:lang w:val="sr-Latn-ME"/>
        </w:rPr>
        <w:t>cilja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koji se sastoji od smrti od bilo kog uzroka ili ponovnog javljanja infarkta miokarda u prvih 30 dana nakon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randomizacije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(9,9 % u grupi na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enoksaparinu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, u poređenju sa 12,0 % u grupi na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nefrakcionisanom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heparinu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) </w:t>
      </w:r>
      <w:r w:rsidR="00BB653C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uz smanjenje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relativnog rizika od 17% (p&lt;0,001).</w:t>
      </w:r>
    </w:p>
    <w:p w14:paraId="454730EB" w14:textId="7B7A37E7" w:rsidR="00595851" w:rsidRDefault="00BB653C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Terapijska </w:t>
      </w:r>
      <w:r w:rsidR="004C126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koristi </w:t>
      </w:r>
      <w:proofErr w:type="spellStart"/>
      <w:r w:rsidR="004C126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natrijuma</w:t>
      </w:r>
      <w:r w:rsidR="00595851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, 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koja je prim</w:t>
      </w:r>
      <w:r w:rsidR="0063021A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ij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ećena na osnovu primarnog parametra praćenja,</w:t>
      </w:r>
      <w:r w:rsidR="0063021A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nastupila je nakon 48 sati, kada je zabilježeno smanjenje relativnog rizika od ponovnog infarkta miokarda za 35%, u poređenju sa terapijom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nefrakcionisanim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heparinom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(p&lt;</w:t>
      </w:r>
      <w:r w:rsidR="004624E2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0,001).</w:t>
      </w:r>
    </w:p>
    <w:p w14:paraId="572C93F1" w14:textId="77777777" w:rsidR="00853A1E" w:rsidRPr="00853A1E" w:rsidRDefault="00853A1E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</w:p>
    <w:p w14:paraId="643465F5" w14:textId="345367D3" w:rsidR="00595851" w:rsidRDefault="00BB653C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Povoljno dejstvo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natrijuma </w:t>
      </w:r>
      <w:r w:rsidR="00595851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na primaran </w:t>
      </w:r>
      <w:r w:rsidR="00C7038B">
        <w:rPr>
          <w:rFonts w:asciiTheme="majorBidi" w:eastAsia="Calibri" w:hAnsiTheme="majorBidi" w:cstheme="majorBidi"/>
          <w:sz w:val="22"/>
          <w:szCs w:val="22"/>
          <w:lang w:val="sr-Latn-ME"/>
        </w:rPr>
        <w:t>cilj</w:t>
      </w:r>
      <w:r w:rsidR="00595851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bio je dosl</w:t>
      </w:r>
      <w:r w:rsidR="0063021A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j</w:t>
      </w:r>
      <w:r w:rsidR="00595851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edan u svim ključnim</w:t>
      </w:r>
      <w:r w:rsidR="00221D21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="00595851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subgrupama</w:t>
      </w:r>
      <w:proofErr w:type="spellEnd"/>
      <w:r w:rsidR="00595851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, uključujući godine, pol, lokalizaciju infarkta, dijabetes u anamnezi, prethodni infarkt miokarda u anamnezi, tip primijenjenog </w:t>
      </w:r>
      <w:proofErr w:type="spellStart"/>
      <w:r w:rsidR="00595851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fibrinolitika</w:t>
      </w:r>
      <w:proofErr w:type="spellEnd"/>
      <w:r w:rsidR="00595851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i vrijeme do početka terapije lijekom iz studije. Postojala je značajna terapijska korist od </w:t>
      </w:r>
      <w:proofErr w:type="spellStart"/>
      <w:r w:rsidR="00595851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enoksaparina</w:t>
      </w:r>
      <w:proofErr w:type="spellEnd"/>
      <w:r w:rsidR="00595851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, u poređenju sa </w:t>
      </w:r>
      <w:proofErr w:type="spellStart"/>
      <w:r w:rsidR="00595851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nefraksionisanim</w:t>
      </w:r>
      <w:proofErr w:type="spellEnd"/>
      <w:r w:rsidR="00595851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="00595851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heparinom</w:t>
      </w:r>
      <w:proofErr w:type="spellEnd"/>
      <w:r w:rsidR="00595851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, kod pacijenta koji su podvrgnuti </w:t>
      </w:r>
      <w:proofErr w:type="spellStart"/>
      <w:r w:rsidR="00595851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perkutanoj</w:t>
      </w:r>
      <w:proofErr w:type="spellEnd"/>
      <w:r w:rsidR="00595851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koronarnoj intervenciji u roku od 30 dana nakon </w:t>
      </w:r>
      <w:proofErr w:type="spellStart"/>
      <w:r w:rsidR="00595851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randomizacije</w:t>
      </w:r>
      <w:proofErr w:type="spellEnd"/>
      <w:r w:rsidR="00595851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(23 % smanjenja relativnog rizika) ili koji su liječeni internistički (15 % smanjenja relativnog rizika, P=0,27 za interakciju).</w:t>
      </w:r>
    </w:p>
    <w:p w14:paraId="0F06445A" w14:textId="5A3812D0" w:rsidR="00595851" w:rsidRDefault="00595851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Stopa na nivou 30 dana kompozitnog </w:t>
      </w:r>
      <w:r w:rsidR="00C7038B">
        <w:rPr>
          <w:rFonts w:asciiTheme="majorBidi" w:eastAsia="Calibri" w:hAnsiTheme="majorBidi" w:cstheme="majorBidi"/>
          <w:sz w:val="22"/>
          <w:szCs w:val="22"/>
          <w:lang w:val="sr-Latn-ME"/>
        </w:rPr>
        <w:t>cilja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koji se sastoji od smrti, ponovnog infarkta miokarda ili ICH (mjere neto kliničke koristi) je bila značajno niža (p&lt;</w:t>
      </w:r>
      <w:r w:rsidR="00C7038B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0,0001) u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grupi (10,1%) u </w:t>
      </w:r>
      <w:r w:rsidR="004C126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poređenju sa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heparin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grupom (12,2%), što predstavlja 17% smanjenja relativnog rizika u korist liječenja lijekom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Enoxaparin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Ledraxen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. Incidenca velikih krvarenja bila je značajno veća (p˂</w:t>
      </w:r>
      <w:r w:rsidR="00C7038B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0,0001) u grupi na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natrijumu (2,1%) u odnosu na grupu na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heparinu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(1,4%). Pojavila se veća incidenca gastrointestinalnih krvarenja (0,5%) u grupi na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enoksaparinu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u odnosu na (0,1%) na grupu na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heparinu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, dok je incidenca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intrakranijalne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hemoragije bila slična u obje grupe (0,8 % u grupi na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natrijumu u odnosu na 0,7% u grupi na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heparinu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).</w:t>
      </w:r>
    </w:p>
    <w:p w14:paraId="7E78D807" w14:textId="77777777" w:rsidR="00853A1E" w:rsidRPr="00853A1E" w:rsidRDefault="00853A1E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</w:p>
    <w:p w14:paraId="7D04929B" w14:textId="34368A4F" w:rsidR="00595851" w:rsidRPr="00853A1E" w:rsidRDefault="00595851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Korisno dejstvo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enoksaparina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 primarni </w:t>
      </w:r>
      <w:r w:rsidR="00C7038B">
        <w:rPr>
          <w:rFonts w:asciiTheme="majorBidi" w:eastAsia="Calibri" w:hAnsiTheme="majorBidi" w:cstheme="majorBidi"/>
          <w:sz w:val="22"/>
          <w:szCs w:val="22"/>
          <w:lang w:val="sr-Latn-ME"/>
        </w:rPr>
        <w:t>cilj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je uočen tokom prvih 30 dana i održao se tokom 12- mjesečnog perioda praćenja.</w:t>
      </w:r>
    </w:p>
    <w:p w14:paraId="33792D22" w14:textId="77777777" w:rsidR="004C1266" w:rsidRPr="0071319B" w:rsidRDefault="00A97DB0" w:rsidP="00A97DB0">
      <w:pPr>
        <w:widowControl w:val="0"/>
        <w:autoSpaceDE w:val="0"/>
        <w:autoSpaceDN w:val="0"/>
        <w:spacing w:before="1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 xml:space="preserve">    </w:t>
      </w:r>
    </w:p>
    <w:p w14:paraId="4AC54FB0" w14:textId="77777777" w:rsidR="00A97DB0" w:rsidRPr="0071319B" w:rsidRDefault="00BB653C" w:rsidP="00A97DB0">
      <w:pPr>
        <w:widowControl w:val="0"/>
        <w:autoSpaceDE w:val="0"/>
        <w:autoSpaceDN w:val="0"/>
        <w:spacing w:before="1"/>
        <w:rPr>
          <w:rFonts w:asciiTheme="majorBidi" w:hAnsiTheme="majorBidi" w:cstheme="majorBidi"/>
          <w:sz w:val="22"/>
          <w:szCs w:val="22"/>
          <w:u w:val="single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Oštećenje funkcije jetre</w:t>
      </w:r>
    </w:p>
    <w:p w14:paraId="0E8EE0B7" w14:textId="52AF0F2E" w:rsidR="00A97DB0" w:rsidRPr="00853A1E" w:rsidRDefault="00A97DB0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Zasnovano na podacima iz literature upotreba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natrijuma 4000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i.j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. (40 mg) kod pacijenata sa cirozom jetre (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Child-Pough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klasa B-C) izgleda da je bezbjedna i efikasna u prevenciji tromboze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portne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vene. Treba naglasiti da literaturne studije mogu imati ograničenja. Treba postupati oprezno kod pacijenata sa oslabljenom funkcijom jetre, s obzirom na to da ovi pacijenti imaju povećan potencijal za pojavu krvarenja (vidjeti </w:t>
      </w:r>
      <w:r w:rsidR="00F30D6A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dio 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4.4) i da ni jedno formalno ispitivanje u cilju utvrđivanja doziranja nije sprovedeno kod pacijenata sa cirozom jetre (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Child-Pough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klasa A, B niti C).</w:t>
      </w:r>
    </w:p>
    <w:p w14:paraId="1A4F94CA" w14:textId="77777777" w:rsidR="00595851" w:rsidRPr="0071319B" w:rsidRDefault="00595851" w:rsidP="000635CE">
      <w:pPr>
        <w:rPr>
          <w:rFonts w:asciiTheme="majorBidi" w:hAnsiTheme="majorBidi" w:cstheme="majorBidi"/>
          <w:sz w:val="22"/>
          <w:szCs w:val="22"/>
          <w:lang w:val="sr-Latn-ME"/>
        </w:rPr>
      </w:pPr>
    </w:p>
    <w:p w14:paraId="7A0BC7B8" w14:textId="77777777" w:rsidR="00A97DB0" w:rsidRPr="0071319B" w:rsidRDefault="00A97DB0" w:rsidP="00ED4E48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5.2. </w:t>
      </w: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proofErr w:type="spellStart"/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>Farmakokinetički</w:t>
      </w:r>
      <w:proofErr w:type="spellEnd"/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podaci </w:t>
      </w:r>
    </w:p>
    <w:p w14:paraId="30F9E2D8" w14:textId="77777777" w:rsidR="00A97DB0" w:rsidRPr="0071319B" w:rsidRDefault="00A97DB0" w:rsidP="00ED4E48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7D803BD3" w14:textId="77777777" w:rsidR="00335AD4" w:rsidRPr="00853A1E" w:rsidRDefault="00A97DB0" w:rsidP="00853A1E">
      <w:pPr>
        <w:widowControl w:val="0"/>
        <w:autoSpaceDE w:val="0"/>
        <w:autoSpaceDN w:val="0"/>
        <w:spacing w:before="1"/>
        <w:rPr>
          <w:rFonts w:asciiTheme="majorBidi" w:hAnsiTheme="majorBidi" w:cstheme="majorBidi"/>
          <w:sz w:val="22"/>
          <w:szCs w:val="22"/>
          <w:u w:val="single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Opšte karakteristike</w:t>
      </w:r>
      <w:r w:rsidR="00335AD4" w:rsidRPr="00853A1E">
        <w:rPr>
          <w:rFonts w:asciiTheme="majorBidi" w:hAnsiTheme="majorBidi" w:cstheme="majorBidi"/>
          <w:sz w:val="22"/>
          <w:szCs w:val="22"/>
          <w:u w:val="single"/>
          <w:lang w:val="sr-Latn-ME"/>
        </w:rPr>
        <w:t xml:space="preserve"> </w:t>
      </w:r>
    </w:p>
    <w:p w14:paraId="3B84192B" w14:textId="290695B9" w:rsidR="00A97DB0" w:rsidRPr="00853A1E" w:rsidRDefault="00A97DB0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Farmakokinetički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parametri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enoksaparina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proučavani su uglavnom na osnovu vremenskog toka anti–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Xa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aktivnosti i anti-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IIa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aktivnosti u plazmi pri primjeni preporučenih doza poslije </w:t>
      </w:r>
      <w:r w:rsidR="00C24A20">
        <w:rPr>
          <w:rFonts w:asciiTheme="majorBidi" w:eastAsia="Calibri" w:hAnsiTheme="majorBidi" w:cstheme="majorBidi"/>
          <w:sz w:val="22"/>
          <w:szCs w:val="22"/>
          <w:lang w:val="sr-Latn-ME"/>
        </w:rPr>
        <w:t>pojedinačne</w:t>
      </w:r>
      <w:r w:rsidR="00C24A20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i ponovljene </w:t>
      </w:r>
      <w:proofErr w:type="spellStart"/>
      <w:r w:rsidR="003601E4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subk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utane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primjene, kao i poslije </w:t>
      </w:r>
      <w:r w:rsidR="00C24A20">
        <w:rPr>
          <w:rFonts w:asciiTheme="majorBidi" w:eastAsia="Calibri" w:hAnsiTheme="majorBidi" w:cstheme="majorBidi"/>
          <w:sz w:val="22"/>
          <w:szCs w:val="22"/>
          <w:lang w:val="sr-Latn-ME"/>
        </w:rPr>
        <w:t>pojedinačne</w:t>
      </w:r>
      <w:r w:rsidR="00C24A20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intravenske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primjene.</w:t>
      </w:r>
    </w:p>
    <w:p w14:paraId="55C668DA" w14:textId="77777777" w:rsidR="00A97DB0" w:rsidRDefault="00A97DB0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Kvantitativno određivanje anti-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Xa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i anti-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IIa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farmakokinetičke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aktivnosti je izvršeno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validiranim</w:t>
      </w:r>
      <w:proofErr w:type="spellEnd"/>
      <w:r w:rsidR="003818FE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amidolitičkim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metodama.</w:t>
      </w:r>
    </w:p>
    <w:p w14:paraId="37B1520E" w14:textId="77777777" w:rsidR="00853A1E" w:rsidRPr="00853A1E" w:rsidRDefault="00853A1E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</w:p>
    <w:p w14:paraId="28A5BB47" w14:textId="77777777" w:rsidR="00A97DB0" w:rsidRPr="00853A1E" w:rsidRDefault="00A97DB0" w:rsidP="00853A1E">
      <w:pPr>
        <w:widowControl w:val="0"/>
        <w:autoSpaceDE w:val="0"/>
        <w:autoSpaceDN w:val="0"/>
        <w:spacing w:before="1"/>
        <w:rPr>
          <w:rFonts w:asciiTheme="majorBidi" w:hAnsiTheme="majorBidi" w:cstheme="majorBidi"/>
          <w:sz w:val="22"/>
          <w:szCs w:val="22"/>
          <w:u w:val="single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Resorpcija</w:t>
      </w:r>
    </w:p>
    <w:p w14:paraId="0B78773D" w14:textId="77777777" w:rsidR="00C7038B" w:rsidRDefault="00A97DB0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Nakon primjene </w:t>
      </w:r>
      <w:proofErr w:type="spellStart"/>
      <w:r w:rsidR="003601E4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subk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utane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injekcije, apsolutna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bioraspoloživost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natrijuma, utvrđena na osnovu anti-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Xa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aktivnosti, je približno 100%. </w:t>
      </w:r>
    </w:p>
    <w:p w14:paraId="60C74FD9" w14:textId="77777777" w:rsidR="00C7038B" w:rsidRDefault="00C7038B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</w:p>
    <w:p w14:paraId="790E649D" w14:textId="7FE72019" w:rsidR="00A97DB0" w:rsidRPr="00853A1E" w:rsidRDefault="00A97DB0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lastRenderedPageBreak/>
        <w:t>Mogu se koristiti različite doze i formulacije.</w:t>
      </w:r>
    </w:p>
    <w:p w14:paraId="3836C25D" w14:textId="3B00CB16" w:rsidR="00A97DB0" w:rsidRDefault="00A97DB0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Prosječna maksimalna anti-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Xa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aktivnosti u plazmi je uočena 3 do 5 sati nakon </w:t>
      </w:r>
      <w:proofErr w:type="spellStart"/>
      <w:r w:rsidR="003601E4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subk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utane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injekcije i dostiže približno 0,2, 0,4 i 1,0 i 1,3 anti-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Xa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i.j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./</w:t>
      </w:r>
      <w:r w:rsidR="00444F6E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ml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nakon </w:t>
      </w:r>
      <w:r w:rsidR="00C7038B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primjene </w:t>
      </w:r>
      <w:r w:rsidR="00C24A20">
        <w:rPr>
          <w:rFonts w:asciiTheme="majorBidi" w:eastAsia="Calibri" w:hAnsiTheme="majorBidi" w:cstheme="majorBidi"/>
          <w:sz w:val="22"/>
          <w:szCs w:val="22"/>
          <w:lang w:val="sr-Latn-ME"/>
        </w:rPr>
        <w:t>pojedinačne</w:t>
      </w:r>
      <w:r w:rsidR="00C24A20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="003601E4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subk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utane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doza od 2000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i.j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., 4000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i.j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.,</w:t>
      </w:r>
      <w:r w:rsidR="00626512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100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i.j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./kg i 150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i.j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./kg (20 mg,40 mg, 1 mg/kg i 1,5 mg/kg), redom.</w:t>
      </w:r>
    </w:p>
    <w:p w14:paraId="27CB2FD8" w14:textId="77777777" w:rsidR="00853A1E" w:rsidRPr="00853A1E" w:rsidRDefault="00853A1E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</w:p>
    <w:p w14:paraId="38F744F1" w14:textId="313231A4" w:rsidR="00A97DB0" w:rsidRDefault="00A97DB0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IV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bolus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r w:rsidR="00C7038B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doza 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od 3000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i.j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. (30 mg)</w:t>
      </w:r>
      <w:r w:rsidR="00C7038B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i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neposredno </w:t>
      </w:r>
      <w:r w:rsidR="00C7038B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zatim </w:t>
      </w:r>
      <w:proofErr w:type="spellStart"/>
      <w:r w:rsidR="00C7038B">
        <w:rPr>
          <w:rFonts w:asciiTheme="majorBidi" w:eastAsia="Calibri" w:hAnsiTheme="majorBidi" w:cstheme="majorBidi"/>
          <w:sz w:val="22"/>
          <w:szCs w:val="22"/>
          <w:lang w:val="sr-Latn-ME"/>
        </w:rPr>
        <w:t>sc</w:t>
      </w:r>
      <w:proofErr w:type="spellEnd"/>
      <w:r w:rsidR="00C7038B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doze od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100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i.j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/kg (1 mg) svakih 12 sati obezbjeđuje inicijalni maksimum nivoa anti-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Xa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aktivnosti od 1,16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i.j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./</w:t>
      </w:r>
      <w:r w:rsidR="00444F6E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ml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(n=16) i srednja izloženost odgovara 88% nivoa u stanju dinamičk</w:t>
      </w:r>
      <w:r w:rsidR="00626512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ravnoteže. Stanje dinamičke ravnoteže postiže se drugog dana liječenja.</w:t>
      </w:r>
    </w:p>
    <w:p w14:paraId="765AE077" w14:textId="77777777" w:rsidR="00C7038B" w:rsidRDefault="00C7038B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</w:p>
    <w:p w14:paraId="4027D832" w14:textId="2D375DC6" w:rsidR="009D250B" w:rsidRDefault="00A97DB0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Nakon ponovljene </w:t>
      </w:r>
      <w:proofErr w:type="spellStart"/>
      <w:r w:rsidR="003601E4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subk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utane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primjene </w:t>
      </w:r>
      <w:r w:rsidR="00C7038B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doze od </w:t>
      </w:r>
      <w:r w:rsidR="00127D1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4,000 </w:t>
      </w:r>
      <w:proofErr w:type="spellStart"/>
      <w:r w:rsidR="00127D1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i.j</w:t>
      </w:r>
      <w:proofErr w:type="spellEnd"/>
      <w:r w:rsidR="00127D1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. (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40 mg</w:t>
      </w:r>
      <w:r w:rsidR="00127D1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)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jednom dnevno i </w:t>
      </w:r>
      <w:r w:rsidR="00127D1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150 </w:t>
      </w:r>
      <w:proofErr w:type="spellStart"/>
      <w:r w:rsidR="00127D1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i.j</w:t>
      </w:r>
      <w:proofErr w:type="spellEnd"/>
      <w:r w:rsidR="00127D1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/kg (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1,5 mg/kg</w:t>
      </w:r>
      <w:r w:rsidR="00127D16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)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jednom dnevno, kod zdravih dobrovoljaca, ravnotežna koncentracija se dostiže drugog dana, uz srednji stepen izloženosti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enoksaparinu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koji je za približno 15% veći nego nakon </w:t>
      </w:r>
      <w:r w:rsidR="00C7038B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primjene </w:t>
      </w:r>
      <w:r w:rsidR="00C24A20">
        <w:rPr>
          <w:rFonts w:asciiTheme="majorBidi" w:eastAsia="Calibri" w:hAnsiTheme="majorBidi" w:cstheme="majorBidi"/>
          <w:sz w:val="22"/>
          <w:szCs w:val="22"/>
          <w:lang w:val="sr-Latn-ME"/>
        </w:rPr>
        <w:t>pojedinačne</w:t>
      </w:r>
      <w:r w:rsidR="00C24A20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r w:rsidR="00C7038B">
        <w:rPr>
          <w:rFonts w:asciiTheme="majorBidi" w:eastAsia="Calibri" w:hAnsiTheme="majorBidi" w:cstheme="majorBidi"/>
          <w:sz w:val="22"/>
          <w:szCs w:val="22"/>
          <w:lang w:val="sr-Latn-ME"/>
        </w:rPr>
        <w:t>doze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 </w:t>
      </w:r>
    </w:p>
    <w:p w14:paraId="677E1C4B" w14:textId="29D86664" w:rsidR="009D250B" w:rsidRDefault="00A97DB0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Nakon ponovljene </w:t>
      </w:r>
      <w:proofErr w:type="spellStart"/>
      <w:r w:rsidR="003601E4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subk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utane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primjene </w:t>
      </w:r>
      <w:r w:rsidR="00C7038B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doze od </w:t>
      </w:r>
      <w:r w:rsidR="009D250B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100 </w:t>
      </w:r>
      <w:proofErr w:type="spellStart"/>
      <w:r w:rsidR="009D250B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i.j</w:t>
      </w:r>
      <w:proofErr w:type="spellEnd"/>
      <w:r w:rsidR="009D250B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/kg (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1 mg/kg</w:t>
      </w:r>
      <w:r w:rsidR="009D250B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)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dva puta dnevno, </w:t>
      </w:r>
      <w:r w:rsidR="00722071">
        <w:rPr>
          <w:rFonts w:asciiTheme="majorBidi" w:eastAsia="Calibri" w:hAnsiTheme="majorBidi" w:cstheme="majorBidi"/>
          <w:sz w:val="22"/>
          <w:szCs w:val="22"/>
          <w:lang w:val="sr-Latn-ME"/>
        </w:rPr>
        <w:t>stanje dinamičke ravnoteže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se dostiže između 3. i 4. dana, uz srednju izloženost koja je za približno 65% veća nego poslije </w:t>
      </w:r>
      <w:r w:rsidR="00C7038B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primjene </w:t>
      </w:r>
      <w:r w:rsidR="00C24A20">
        <w:rPr>
          <w:rFonts w:asciiTheme="majorBidi" w:eastAsia="Calibri" w:hAnsiTheme="majorBidi" w:cstheme="majorBidi"/>
          <w:sz w:val="22"/>
          <w:szCs w:val="22"/>
          <w:lang w:val="sr-Latn-ME"/>
        </w:rPr>
        <w:t>pojedinačne</w:t>
      </w:r>
      <w:r w:rsidR="00C24A20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doze i sa maksimalnom i minimalnom anti-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Xa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aktivnošću od </w:t>
      </w:r>
      <w:r w:rsidR="00C7038B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približno 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1,2, odnosno 0,52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i.j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anti-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Xa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 </w:t>
      </w:r>
    </w:p>
    <w:p w14:paraId="6C10464E" w14:textId="77777777" w:rsidR="00853A1E" w:rsidRPr="00853A1E" w:rsidRDefault="00853A1E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</w:p>
    <w:p w14:paraId="47660F1A" w14:textId="77777777" w:rsidR="007B0D30" w:rsidRDefault="005A1049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Volumen injekcije</w:t>
      </w:r>
      <w:r w:rsidR="009D250B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i koncentracija doze u ra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sponu od 100 do 200 mg/</w:t>
      </w:r>
      <w:r w:rsidR="00444F6E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ml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ne uti</w:t>
      </w:r>
      <w:r w:rsidR="009D250B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ču na </w:t>
      </w:r>
      <w:proofErr w:type="spellStart"/>
      <w:r w:rsidR="009D250B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farmakokinetičke</w:t>
      </w:r>
      <w:proofErr w:type="spellEnd"/>
      <w:r w:rsidR="009D250B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parametre 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kod zdravih dobrovoljaca</w:t>
      </w:r>
      <w:r w:rsidR="009D250B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 </w:t>
      </w:r>
    </w:p>
    <w:p w14:paraId="07DE13A0" w14:textId="77777777" w:rsidR="009D2661" w:rsidRPr="00853A1E" w:rsidRDefault="009D250B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Čini se da je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farmakokinetika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="009D2661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natrij</w:t>
      </w:r>
      <w:r w:rsidR="009D2661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um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a linearna u svim preporučenim rasponima doza.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Intraindividualna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i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interindividualna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varijabilnost je niska.</w:t>
      </w:r>
    </w:p>
    <w:p w14:paraId="6DA3846A" w14:textId="06D1E742" w:rsidR="009D250B" w:rsidRDefault="009D250B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Nakon ponovljene </w:t>
      </w:r>
      <w:proofErr w:type="spellStart"/>
      <w:r w:rsidR="003601E4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subk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utane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primjene ne dolazi do </w:t>
      </w:r>
      <w:r w:rsidR="00334978">
        <w:rPr>
          <w:rFonts w:asciiTheme="majorBidi" w:eastAsia="Calibri" w:hAnsiTheme="majorBidi" w:cstheme="majorBidi"/>
          <w:sz w:val="22"/>
          <w:szCs w:val="22"/>
          <w:lang w:val="sr-Latn-ME"/>
        </w:rPr>
        <w:t>akumulacije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.</w:t>
      </w:r>
    </w:p>
    <w:p w14:paraId="0950A395" w14:textId="77777777" w:rsidR="00334978" w:rsidRPr="00853A1E" w:rsidRDefault="00334978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</w:p>
    <w:p w14:paraId="351BC58D" w14:textId="6BEA75F6" w:rsidR="00A97DB0" w:rsidRDefault="00334978" w:rsidP="00853A1E">
      <w:pPr>
        <w:jc w:val="both"/>
        <w:rPr>
          <w:rFonts w:asciiTheme="majorBidi" w:hAnsiTheme="majorBidi" w:cstheme="majorBidi"/>
          <w:spacing w:val="-2"/>
          <w:sz w:val="22"/>
          <w:szCs w:val="22"/>
          <w:lang w:val="sr-Latn-ME"/>
        </w:rPr>
      </w:pPr>
      <w:r>
        <w:rPr>
          <w:rFonts w:asciiTheme="majorBidi" w:eastAsia="Calibri" w:hAnsiTheme="majorBidi" w:cstheme="majorBidi"/>
          <w:sz w:val="22"/>
          <w:szCs w:val="22"/>
          <w:lang w:val="sr-Latn-ME"/>
        </w:rPr>
        <w:t>Nakon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="003601E4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subk</w:t>
      </w:r>
      <w:r w:rsidR="00A97DB0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utane</w:t>
      </w:r>
      <w:proofErr w:type="spellEnd"/>
      <w:r w:rsidR="00A97DB0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primjene, anti-</w:t>
      </w:r>
      <w:proofErr w:type="spellStart"/>
      <w:r w:rsidR="00A97DB0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IIa</w:t>
      </w:r>
      <w:proofErr w:type="spellEnd"/>
      <w:r w:rsidR="00A97DB0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aktivnost u plazmi je približno 10 puta </w:t>
      </w:r>
      <w:r>
        <w:rPr>
          <w:rFonts w:asciiTheme="majorBidi" w:eastAsia="Calibri" w:hAnsiTheme="majorBidi" w:cstheme="majorBidi"/>
          <w:sz w:val="22"/>
          <w:szCs w:val="22"/>
          <w:lang w:val="sr-Latn-ME"/>
        </w:rPr>
        <w:t>niža nego</w:t>
      </w:r>
      <w:r w:rsidR="00A97DB0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anti-</w:t>
      </w:r>
      <w:proofErr w:type="spellStart"/>
      <w:r w:rsidR="00A97DB0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Xa</w:t>
      </w:r>
      <w:proofErr w:type="spellEnd"/>
      <w:r w:rsidR="00A97DB0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aktivnosti. Srednja maksimalna anti-</w:t>
      </w:r>
      <w:proofErr w:type="spellStart"/>
      <w:r w:rsidR="00A97DB0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IIa</w:t>
      </w:r>
      <w:proofErr w:type="spellEnd"/>
      <w:r w:rsidR="00A97DB0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aktivnost se registruje približno 3-4 sata </w:t>
      </w:r>
      <w:r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nakon </w:t>
      </w:r>
      <w:proofErr w:type="spellStart"/>
      <w:r w:rsidR="003601E4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subk</w:t>
      </w:r>
      <w:r w:rsidR="00A97DB0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utane</w:t>
      </w:r>
      <w:proofErr w:type="spellEnd"/>
      <w:r w:rsidR="00A97DB0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injekcije </w:t>
      </w:r>
      <w:r>
        <w:rPr>
          <w:rFonts w:asciiTheme="majorBidi" w:eastAsia="Calibri" w:hAnsiTheme="majorBidi" w:cstheme="majorBidi"/>
          <w:sz w:val="22"/>
          <w:szCs w:val="22"/>
          <w:lang w:val="sr-Latn-ME"/>
        </w:rPr>
        <w:t>i</w:t>
      </w:r>
      <w:r w:rsidR="00A97DB0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dostiže </w:t>
      </w:r>
      <w:r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vrijednosti od </w:t>
      </w:r>
      <w:r w:rsidR="00A97DB0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0,13 </w:t>
      </w:r>
      <w:proofErr w:type="spellStart"/>
      <w:r w:rsidR="00A97DB0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i.j</w:t>
      </w:r>
      <w:proofErr w:type="spellEnd"/>
      <w:r w:rsidR="00A97DB0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./</w:t>
      </w:r>
      <w:r w:rsidR="00444F6E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ml</w:t>
      </w:r>
      <w:r w:rsidR="00A97DB0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i 0,19 </w:t>
      </w:r>
      <w:proofErr w:type="spellStart"/>
      <w:r w:rsidR="00A97DB0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i.j</w:t>
      </w:r>
      <w:proofErr w:type="spellEnd"/>
      <w:r w:rsidR="00A97DB0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/</w:t>
      </w:r>
      <w:r w:rsidR="00444F6E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ml</w:t>
      </w:r>
      <w:r w:rsidR="00A97DB0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r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nakon </w:t>
      </w:r>
      <w:r w:rsidR="00A97DB0" w:rsidRPr="0071319B">
        <w:rPr>
          <w:rFonts w:asciiTheme="majorBidi" w:hAnsiTheme="majorBidi" w:cstheme="majorBidi"/>
          <w:sz w:val="22"/>
          <w:szCs w:val="22"/>
          <w:lang w:val="sr-Latn-ME"/>
        </w:rPr>
        <w:t>ponovljene primjene doze od</w:t>
      </w:r>
      <w:r>
        <w:rPr>
          <w:rFonts w:asciiTheme="majorBidi" w:hAnsiTheme="majorBidi" w:cstheme="majorBidi"/>
          <w:sz w:val="22"/>
          <w:szCs w:val="22"/>
          <w:lang w:val="sr-Latn-ME"/>
        </w:rPr>
        <w:t xml:space="preserve"> 100 </w:t>
      </w:r>
      <w:proofErr w:type="spellStart"/>
      <w:r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>
        <w:rPr>
          <w:rFonts w:asciiTheme="majorBidi" w:hAnsiTheme="majorBidi" w:cstheme="majorBidi"/>
          <w:sz w:val="22"/>
          <w:szCs w:val="22"/>
          <w:lang w:val="sr-Latn-ME"/>
        </w:rPr>
        <w:t>/kg</w:t>
      </w:r>
      <w:r w:rsidR="00A97DB0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>
        <w:rPr>
          <w:rFonts w:asciiTheme="majorBidi" w:hAnsiTheme="majorBidi" w:cstheme="majorBidi"/>
          <w:sz w:val="22"/>
          <w:szCs w:val="22"/>
          <w:lang w:val="sr-Latn-ME"/>
        </w:rPr>
        <w:t>(</w:t>
      </w:r>
      <w:r w:rsidR="00A97DB0" w:rsidRPr="0071319B">
        <w:rPr>
          <w:rFonts w:asciiTheme="majorBidi" w:hAnsiTheme="majorBidi" w:cstheme="majorBidi"/>
          <w:sz w:val="22"/>
          <w:szCs w:val="22"/>
          <w:lang w:val="sr-Latn-ME"/>
        </w:rPr>
        <w:t>1mg/kg</w:t>
      </w:r>
      <w:r>
        <w:rPr>
          <w:rFonts w:asciiTheme="majorBidi" w:hAnsiTheme="majorBidi" w:cstheme="majorBidi"/>
          <w:sz w:val="22"/>
          <w:szCs w:val="22"/>
          <w:lang w:val="sr-Latn-ME"/>
        </w:rPr>
        <w:t>)</w:t>
      </w:r>
      <w:r w:rsidR="00A97DB0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dva puta dnevno </w:t>
      </w:r>
      <w:r>
        <w:rPr>
          <w:rFonts w:asciiTheme="majorBidi" w:hAnsiTheme="majorBidi" w:cstheme="majorBidi"/>
          <w:sz w:val="22"/>
          <w:szCs w:val="22"/>
          <w:lang w:val="sr-Latn-ME"/>
        </w:rPr>
        <w:t xml:space="preserve">odnosno 150 </w:t>
      </w:r>
      <w:proofErr w:type="spellStart"/>
      <w:r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>
        <w:rPr>
          <w:rFonts w:asciiTheme="majorBidi" w:hAnsiTheme="majorBidi" w:cstheme="majorBidi"/>
          <w:sz w:val="22"/>
          <w:szCs w:val="22"/>
          <w:lang w:val="sr-Latn-ME"/>
        </w:rPr>
        <w:t>./kg (</w:t>
      </w:r>
      <w:r w:rsidR="00A97DB0" w:rsidRPr="0071319B">
        <w:rPr>
          <w:rFonts w:asciiTheme="majorBidi" w:hAnsiTheme="majorBidi" w:cstheme="majorBidi"/>
          <w:sz w:val="22"/>
          <w:szCs w:val="22"/>
          <w:lang w:val="sr-Latn-ME"/>
        </w:rPr>
        <w:t>1,5mg/k</w:t>
      </w:r>
      <w:r>
        <w:rPr>
          <w:rFonts w:asciiTheme="majorBidi" w:hAnsiTheme="majorBidi" w:cstheme="majorBidi"/>
          <w:sz w:val="22"/>
          <w:szCs w:val="22"/>
          <w:lang w:val="sr-Latn-ME"/>
        </w:rPr>
        <w:t xml:space="preserve">g) </w:t>
      </w:r>
      <w:r w:rsidR="00A97DB0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jednom dnevno, </w:t>
      </w:r>
      <w:r w:rsidR="00A97DB0" w:rsidRPr="0071319B">
        <w:rPr>
          <w:rFonts w:asciiTheme="majorBidi" w:hAnsiTheme="majorBidi" w:cstheme="majorBidi"/>
          <w:spacing w:val="-2"/>
          <w:sz w:val="22"/>
          <w:szCs w:val="22"/>
          <w:lang w:val="sr-Latn-ME"/>
        </w:rPr>
        <w:t>redom.</w:t>
      </w:r>
    </w:p>
    <w:p w14:paraId="0576938F" w14:textId="77777777" w:rsidR="00853A1E" w:rsidRPr="0071319B" w:rsidRDefault="00853A1E" w:rsidP="00853A1E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3107868E" w14:textId="77777777" w:rsidR="00853A1E" w:rsidRDefault="009D2661" w:rsidP="003207FF">
      <w:pPr>
        <w:widowControl w:val="0"/>
        <w:autoSpaceDE w:val="0"/>
        <w:autoSpaceDN w:val="0"/>
        <w:spacing w:before="1"/>
        <w:jc w:val="both"/>
        <w:rPr>
          <w:rFonts w:asciiTheme="majorBidi" w:hAnsiTheme="majorBidi" w:cstheme="majorBidi"/>
          <w:sz w:val="22"/>
          <w:szCs w:val="22"/>
          <w:u w:val="single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Distribucija</w:t>
      </w:r>
      <w:r w:rsidRPr="00853A1E">
        <w:rPr>
          <w:rFonts w:asciiTheme="majorBidi" w:hAnsiTheme="majorBidi" w:cstheme="majorBidi"/>
          <w:sz w:val="22"/>
          <w:szCs w:val="22"/>
          <w:u w:val="single"/>
          <w:lang w:val="sr-Latn-ME"/>
        </w:rPr>
        <w:t>:</w:t>
      </w:r>
    </w:p>
    <w:p w14:paraId="08C1B282" w14:textId="77777777" w:rsidR="00853A1E" w:rsidRDefault="009D2661" w:rsidP="003207FF">
      <w:pPr>
        <w:widowControl w:val="0"/>
        <w:autoSpaceDE w:val="0"/>
        <w:autoSpaceDN w:val="0"/>
        <w:spacing w:before="1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Volumen distribucije anti-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Xa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aktivnosti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iznosi približno 4,3 litara i približan je volumenu krvi. </w:t>
      </w:r>
    </w:p>
    <w:p w14:paraId="09E9CC31" w14:textId="77777777" w:rsidR="0076638E" w:rsidRDefault="0076638E" w:rsidP="00853A1E">
      <w:pPr>
        <w:widowControl w:val="0"/>
        <w:autoSpaceDE w:val="0"/>
        <w:autoSpaceDN w:val="0"/>
        <w:spacing w:before="1"/>
        <w:rPr>
          <w:rFonts w:asciiTheme="majorBidi" w:hAnsiTheme="majorBidi" w:cstheme="majorBidi"/>
          <w:sz w:val="22"/>
          <w:szCs w:val="22"/>
          <w:u w:val="single"/>
          <w:lang w:val="sr-Latn-ME"/>
        </w:rPr>
      </w:pPr>
    </w:p>
    <w:p w14:paraId="694B38A8" w14:textId="77777777" w:rsidR="00853A1E" w:rsidRDefault="009D2661" w:rsidP="003207FF">
      <w:pPr>
        <w:widowControl w:val="0"/>
        <w:autoSpaceDE w:val="0"/>
        <w:autoSpaceDN w:val="0"/>
        <w:spacing w:before="1"/>
        <w:jc w:val="both"/>
        <w:rPr>
          <w:rFonts w:asciiTheme="majorBidi" w:hAnsiTheme="majorBidi" w:cstheme="majorBidi"/>
          <w:sz w:val="22"/>
          <w:szCs w:val="22"/>
          <w:u w:val="single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Metabolizam</w:t>
      </w:r>
      <w:r w:rsidR="002710E7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14:paraId="05C98277" w14:textId="77777777" w:rsidR="00853A1E" w:rsidRDefault="009D2661" w:rsidP="003207FF">
      <w:pPr>
        <w:widowControl w:val="0"/>
        <w:autoSpaceDE w:val="0"/>
        <w:autoSpaceDN w:val="0"/>
        <w:spacing w:before="1"/>
        <w:jc w:val="both"/>
        <w:rPr>
          <w:rFonts w:asciiTheme="majorBidi" w:hAnsiTheme="majorBidi" w:cstheme="majorBidi"/>
          <w:sz w:val="22"/>
          <w:szCs w:val="22"/>
          <w:u w:val="single"/>
          <w:lang w:val="sr-Latn-ME"/>
        </w:rPr>
      </w:pP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se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metaboliše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uglavnom u jetri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desulfacijom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i/ili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depolimerizacijom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 fragmente niže molekulske mase sa znatno redukovanim biološkim potencijalom.</w:t>
      </w:r>
    </w:p>
    <w:p w14:paraId="1E9EC542" w14:textId="77777777" w:rsidR="00853A1E" w:rsidRDefault="00853A1E" w:rsidP="003207FF">
      <w:pPr>
        <w:widowControl w:val="0"/>
        <w:autoSpaceDE w:val="0"/>
        <w:autoSpaceDN w:val="0"/>
        <w:spacing w:before="1"/>
        <w:jc w:val="both"/>
        <w:rPr>
          <w:rFonts w:asciiTheme="majorBidi" w:hAnsiTheme="majorBidi" w:cstheme="majorBidi"/>
          <w:sz w:val="22"/>
          <w:szCs w:val="22"/>
          <w:u w:val="single"/>
          <w:lang w:val="sr-Latn-ME"/>
        </w:rPr>
      </w:pPr>
    </w:p>
    <w:p w14:paraId="4C022707" w14:textId="77777777" w:rsidR="009D2661" w:rsidRPr="00853A1E" w:rsidRDefault="009D2661" w:rsidP="003207FF">
      <w:pPr>
        <w:widowControl w:val="0"/>
        <w:autoSpaceDE w:val="0"/>
        <w:autoSpaceDN w:val="0"/>
        <w:spacing w:before="1"/>
        <w:jc w:val="both"/>
        <w:rPr>
          <w:rFonts w:asciiTheme="majorBidi" w:hAnsiTheme="majorBidi" w:cstheme="majorBidi"/>
          <w:sz w:val="22"/>
          <w:szCs w:val="22"/>
          <w:u w:val="single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Eliminacija:</w:t>
      </w:r>
    </w:p>
    <w:p w14:paraId="09A01E46" w14:textId="77777777" w:rsidR="009D2661" w:rsidRPr="00853A1E" w:rsidRDefault="009D2661" w:rsidP="00334978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natrijum je lijek niskog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klirensa</w:t>
      </w:r>
      <w:proofErr w:type="spellEnd"/>
      <w:r w:rsidR="00C71C32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: srednja vrijednost 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="00C71C32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klirensa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anti-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Xa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r w:rsidR="00C71C32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aktivnosti 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u plazmi </w:t>
      </w:r>
      <w:r w:rsidR="00C71C32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nakon 6-satne </w:t>
      </w:r>
      <w:proofErr w:type="spellStart"/>
      <w:r w:rsidR="00C71C32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i.v</w:t>
      </w:r>
      <w:proofErr w:type="spellEnd"/>
      <w:r w:rsidR="00C71C32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. infuzije doze od 1,5 mg/kg iznosi 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0,74 </w:t>
      </w:r>
      <w:r w:rsidR="002710E7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l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/h</w:t>
      </w:r>
      <w:r w:rsidR="00C71C32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.</w:t>
      </w:r>
    </w:p>
    <w:p w14:paraId="5EB61807" w14:textId="77777777" w:rsidR="009D2661" w:rsidRPr="00853A1E" w:rsidRDefault="00CC04A7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Čini se da je e</w:t>
      </w:r>
      <w:r w:rsidR="009D2661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liminacija </w:t>
      </w:r>
      <w:proofErr w:type="spellStart"/>
      <w:r w:rsidR="009D2661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enoksaparina</w:t>
      </w:r>
      <w:proofErr w:type="spellEnd"/>
      <w:r w:rsidR="009D2661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je </w:t>
      </w:r>
      <w:r w:rsidR="009C4878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jednof</w:t>
      </w:r>
      <w:r w:rsidR="009D2661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azna. Poluvrijeme eliminacije poslije pojedinačne </w:t>
      </w:r>
      <w:proofErr w:type="spellStart"/>
      <w:r w:rsidR="003601E4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subk</w:t>
      </w:r>
      <w:r w:rsidR="009D2661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utane</w:t>
      </w:r>
      <w:proofErr w:type="spellEnd"/>
      <w:r w:rsidR="009D2661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doze je približno 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5</w:t>
      </w:r>
      <w:r w:rsidR="009D2661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sata, a poslije ponovljenog doziranja ono iznosi približno 7 sati. </w:t>
      </w:r>
    </w:p>
    <w:p w14:paraId="0AC4B204" w14:textId="1CBC458C" w:rsidR="00853A1E" w:rsidRDefault="009D2661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Renalni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klirens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fragmenata sa anti-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Xa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aktivnošću iznosi približno 10% pri</w:t>
      </w:r>
      <w:r w:rsidR="00444F6E"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ml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jene doze, a </w:t>
      </w:r>
      <w:proofErr w:type="spellStart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>preko</w:t>
      </w:r>
      <w:proofErr w:type="spellEnd"/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bubrega se ukupno izluči, u obliku aktivnih ili neaktivnih produkata</w:t>
      </w:r>
      <w:r w:rsidR="00334978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približno</w:t>
      </w:r>
      <w:r w:rsidRPr="00853A1E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40% doze.</w:t>
      </w:r>
    </w:p>
    <w:p w14:paraId="36EE0564" w14:textId="77777777" w:rsidR="00853A1E" w:rsidRDefault="00853A1E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</w:p>
    <w:p w14:paraId="6451A12C" w14:textId="77777777" w:rsidR="00853A1E" w:rsidRDefault="0007560A" w:rsidP="00334978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Posebne populacij</w:t>
      </w:r>
      <w:r w:rsidR="003473B3"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e</w:t>
      </w:r>
    </w:p>
    <w:p w14:paraId="2AA0F8A4" w14:textId="77777777" w:rsidR="00853A1E" w:rsidRDefault="003473B3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>Starije osob</w:t>
      </w:r>
      <w:r w:rsidR="00853A1E">
        <w:rPr>
          <w:rFonts w:asciiTheme="majorBidi" w:hAnsiTheme="majorBidi" w:cstheme="majorBidi"/>
          <w:i/>
          <w:sz w:val="22"/>
          <w:szCs w:val="22"/>
          <w:u w:val="single"/>
          <w:lang w:val="sr-Latn-ME"/>
        </w:rPr>
        <w:t>e</w:t>
      </w:r>
    </w:p>
    <w:p w14:paraId="7C6F7561" w14:textId="7C2D3BD9" w:rsidR="00853A1E" w:rsidRDefault="0007560A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Na osnovu rezultata analize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farmakokinetike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populacije, kinetički profil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nije drugačiji kod starijih lica u poređenju sa </w:t>
      </w:r>
      <w:r w:rsidR="00444F6E" w:rsidRPr="0071319B">
        <w:rPr>
          <w:rFonts w:asciiTheme="majorBidi" w:hAnsiTheme="majorBidi" w:cstheme="majorBidi"/>
          <w:sz w:val="22"/>
          <w:szCs w:val="22"/>
          <w:lang w:val="sr-Latn-ME"/>
        </w:rPr>
        <w:t>ml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ađim ispitanicima kada je funkcija bubrega normalna. Međutim, kako je poznato da funkcija bubrega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postepeno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opada u starosti, stariji pacijenti mogu pokazivati smanjenu eliminaciju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(vidjeti </w:t>
      </w:r>
      <w:r w:rsidR="00A50782">
        <w:rPr>
          <w:rFonts w:asciiTheme="majorBidi" w:hAnsiTheme="majorBidi" w:cstheme="majorBidi"/>
          <w:sz w:val="22"/>
          <w:szCs w:val="22"/>
          <w:lang w:val="sr-Latn-ME"/>
        </w:rPr>
        <w:t>djelov</w:t>
      </w:r>
      <w:r w:rsidR="00A50782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e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4.2 i 4.4).</w:t>
      </w:r>
    </w:p>
    <w:p w14:paraId="5AF70738" w14:textId="77777777" w:rsidR="00853A1E" w:rsidRDefault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</w:p>
    <w:p w14:paraId="51DCC848" w14:textId="77777777" w:rsidR="00853A1E" w:rsidRDefault="0027714D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 xml:space="preserve">Oštećenje funkcije jetre </w:t>
      </w:r>
    </w:p>
    <w:p w14:paraId="1DFC634D" w14:textId="77777777" w:rsidR="00853A1E" w:rsidRDefault="0007560A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U ispitivanju sprovedenom kod pacijenata sa uznapredovalom cirozom jetre liječenih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enoksaparinom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4000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(40 </w:t>
      </w:r>
      <w:r w:rsidRPr="0071319B">
        <w:rPr>
          <w:rFonts w:asciiTheme="majorBidi" w:hAnsiTheme="majorBidi" w:cstheme="majorBidi"/>
          <w:spacing w:val="-3"/>
          <w:sz w:val="22"/>
          <w:szCs w:val="22"/>
          <w:lang w:val="sr-Latn-ME"/>
        </w:rPr>
        <w:t xml:space="preserve">mg)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jednom dnevno, smanjenje u maksimalnoj anti-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Xa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aktivnosti bilo je u vezi sa </w:t>
      </w:r>
      <w:r w:rsidR="003473B3" w:rsidRPr="0071319B">
        <w:rPr>
          <w:rFonts w:asciiTheme="majorBidi" w:hAnsiTheme="majorBidi" w:cstheme="majorBidi"/>
          <w:sz w:val="22"/>
          <w:szCs w:val="22"/>
          <w:lang w:val="sr-Latn-ME"/>
        </w:rPr>
        <w:t>povećanjem ozbiljnosti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hepatičke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insuficijencije (procijenjeno na osnovu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Child-Pugh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kategorija). Ovo smanjenje je uglavnom pripisano smanjenju nivoa ATIII sekundarno u odnosu na redukovanu sintezu ATIII kod pacijenata sa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hepatičkom</w:t>
      </w:r>
      <w:proofErr w:type="spellEnd"/>
      <w:r w:rsidRPr="0071319B">
        <w:rPr>
          <w:rFonts w:asciiTheme="majorBidi" w:hAnsiTheme="majorBidi" w:cstheme="majorBidi"/>
          <w:spacing w:val="-4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insuficijencijom.</w:t>
      </w:r>
    </w:p>
    <w:p w14:paraId="767A3F16" w14:textId="77777777" w:rsidR="00853A1E" w:rsidRDefault="00853A1E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</w:p>
    <w:p w14:paraId="4AD31F16" w14:textId="77777777" w:rsidR="00853A1E" w:rsidRDefault="0027714D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lastRenderedPageBreak/>
        <w:t xml:space="preserve">Oštećenje funkcije </w:t>
      </w:r>
      <w:r w:rsidR="0007560A"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bubrega</w:t>
      </w:r>
    </w:p>
    <w:p w14:paraId="205C5EA5" w14:textId="35F71FE8" w:rsidR="00853A1E" w:rsidRDefault="0007560A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Uočeno je da postoji lineran odnos između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klirensa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anti-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Xa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u plazmi 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klirensa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kreatinina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pri ravnotežnoj koncentraciji, što ukazuje na smanjen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klirens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kod pacijenata sa smanjenom funkcijom bubrega. Anti-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Xa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izloženost predstavljena putem PIK</w:t>
      </w:r>
      <w:r w:rsidR="0070267C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70267C">
        <w:rPr>
          <w:rFonts w:asciiTheme="majorBidi" w:hAnsiTheme="majorBidi" w:cstheme="majorBidi"/>
          <w:sz w:val="22"/>
          <w:szCs w:val="22"/>
          <w:lang w:val="sr-Latn-ME"/>
        </w:rPr>
        <w:t>u stanju dinamičke ravnoteže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je blago povećana </w:t>
      </w:r>
      <w:r w:rsidRPr="0071319B">
        <w:rPr>
          <w:rFonts w:asciiTheme="majorBidi" w:hAnsiTheme="majorBidi" w:cstheme="majorBidi"/>
          <w:spacing w:val="-2"/>
          <w:sz w:val="22"/>
          <w:szCs w:val="22"/>
          <w:lang w:val="sr-Latn-ME"/>
        </w:rPr>
        <w:t xml:space="preserve">kod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blage (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klirens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kreatinina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50-80 </w:t>
      </w:r>
      <w:r w:rsidR="00444F6E" w:rsidRPr="0071319B">
        <w:rPr>
          <w:rFonts w:asciiTheme="majorBidi" w:hAnsiTheme="majorBidi" w:cstheme="majorBidi"/>
          <w:sz w:val="22"/>
          <w:szCs w:val="22"/>
          <w:lang w:val="sr-Latn-ME"/>
        </w:rPr>
        <w:t>ml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/min) i umjerene (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klirens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kreatinina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30-50 </w:t>
      </w:r>
      <w:r w:rsidR="00444F6E" w:rsidRPr="0071319B">
        <w:rPr>
          <w:rFonts w:asciiTheme="majorBidi" w:hAnsiTheme="majorBidi" w:cstheme="majorBidi"/>
          <w:sz w:val="22"/>
          <w:szCs w:val="22"/>
          <w:lang w:val="sr-Latn-ME"/>
        </w:rPr>
        <w:t>ml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/min) bubrežne insuficijencije nakon primjene ponovljene </w:t>
      </w:r>
      <w:proofErr w:type="spellStart"/>
      <w:r w:rsidR="003601E4" w:rsidRPr="0071319B">
        <w:rPr>
          <w:rFonts w:asciiTheme="majorBidi" w:hAnsiTheme="majorBidi" w:cstheme="majorBidi"/>
          <w:sz w:val="22"/>
          <w:szCs w:val="22"/>
          <w:lang w:val="sr-Latn-ME"/>
        </w:rPr>
        <w:t>subk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utane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doze od 40 mg jednom dnevno. Kod pacijenata sa težim oblikom bubrežne insuficijencije (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klirens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kreatinina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&lt;</w:t>
      </w:r>
      <w:r w:rsidR="006609A1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30 </w:t>
      </w:r>
      <w:r w:rsidR="00444F6E" w:rsidRPr="0071319B">
        <w:rPr>
          <w:rFonts w:asciiTheme="majorBidi" w:hAnsiTheme="majorBidi" w:cstheme="majorBidi"/>
          <w:sz w:val="22"/>
          <w:szCs w:val="22"/>
          <w:lang w:val="sr-Latn-ME"/>
        </w:rPr>
        <w:t>ml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/min), vrijednost PIK </w:t>
      </w:r>
      <w:r w:rsidR="0070267C">
        <w:rPr>
          <w:rFonts w:asciiTheme="majorBidi" w:hAnsiTheme="majorBidi" w:cstheme="majorBidi"/>
          <w:sz w:val="22"/>
          <w:szCs w:val="22"/>
          <w:lang w:val="sr-Latn-ME"/>
        </w:rPr>
        <w:t>u stanju dinamičke ravnoteže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je značajno povećana u pros</w:t>
      </w:r>
      <w:r w:rsidR="003B7029" w:rsidRPr="0071319B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eku za 65% nakon ponovljenih </w:t>
      </w:r>
      <w:proofErr w:type="spellStart"/>
      <w:r w:rsidR="003601E4" w:rsidRPr="0071319B">
        <w:rPr>
          <w:rFonts w:asciiTheme="majorBidi" w:hAnsiTheme="majorBidi" w:cstheme="majorBidi"/>
          <w:sz w:val="22"/>
          <w:szCs w:val="22"/>
          <w:lang w:val="sr-Latn-ME"/>
        </w:rPr>
        <w:t>subk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utanih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doza od 4000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 (40 mg) jednom dnevno (vidjeti </w:t>
      </w:r>
      <w:r w:rsidR="004A3252">
        <w:rPr>
          <w:rFonts w:asciiTheme="majorBidi" w:hAnsiTheme="majorBidi" w:cstheme="majorBidi"/>
          <w:sz w:val="22"/>
          <w:szCs w:val="22"/>
          <w:lang w:val="sr-Latn-ME"/>
        </w:rPr>
        <w:t>djelov</w:t>
      </w:r>
      <w:r w:rsidR="004A3252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e </w:t>
      </w:r>
      <w:r w:rsidR="0027714D" w:rsidRPr="0071319B">
        <w:rPr>
          <w:rFonts w:asciiTheme="majorBidi" w:hAnsiTheme="majorBidi" w:cstheme="majorBidi"/>
          <w:sz w:val="22"/>
          <w:szCs w:val="22"/>
          <w:lang w:val="sr-Latn-ME"/>
        </w:rPr>
        <w:t>4.4 i 4.2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).</w:t>
      </w:r>
      <w:r w:rsidR="003B7029"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 xml:space="preserve"> </w:t>
      </w:r>
    </w:p>
    <w:p w14:paraId="12A796A4" w14:textId="77777777" w:rsidR="00853A1E" w:rsidRDefault="00853A1E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</w:p>
    <w:p w14:paraId="424ADBFB" w14:textId="77777777" w:rsidR="00853A1E" w:rsidRDefault="0007560A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proofErr w:type="spellStart"/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Hemodijaliza</w:t>
      </w:r>
      <w:proofErr w:type="spellEnd"/>
    </w:p>
    <w:p w14:paraId="4CE6142F" w14:textId="648FD461" w:rsidR="00853A1E" w:rsidRDefault="0007560A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Nakon </w:t>
      </w:r>
      <w:r w:rsidR="00C24A20">
        <w:rPr>
          <w:rFonts w:asciiTheme="majorBidi" w:hAnsiTheme="majorBidi" w:cstheme="majorBidi"/>
          <w:sz w:val="22"/>
          <w:szCs w:val="22"/>
          <w:lang w:val="sr-Latn-ME"/>
        </w:rPr>
        <w:t>pojedinačne</w:t>
      </w:r>
      <w:r w:rsidR="00C24A20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intravenske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doze od 25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./kg (0,25 mg/kg), 50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./kg (0,50 mg/kg) ili 100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./kg (1 mg/kg),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farmakokinetika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činila se sličnom onoj u kontrolnoj grupi, ali je vrijednost PIK bio dva puta veći nego u kontrolnoj grupi.</w:t>
      </w:r>
    </w:p>
    <w:p w14:paraId="31A12D69" w14:textId="77777777" w:rsidR="00853A1E" w:rsidRDefault="00853A1E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</w:p>
    <w:p w14:paraId="0F57E2EC" w14:textId="77777777" w:rsidR="00853A1E" w:rsidRDefault="003473B3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Tjelesna masa</w:t>
      </w:r>
    </w:p>
    <w:p w14:paraId="39A9400A" w14:textId="7CD389EA" w:rsidR="00853A1E" w:rsidRDefault="003473B3" w:rsidP="00853A1E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Nakon ponovljene </w:t>
      </w:r>
      <w:proofErr w:type="spellStart"/>
      <w:r w:rsidR="003601E4" w:rsidRPr="0071319B">
        <w:rPr>
          <w:rFonts w:asciiTheme="majorBidi" w:hAnsiTheme="majorBidi" w:cstheme="majorBidi"/>
          <w:sz w:val="22"/>
          <w:szCs w:val="22"/>
          <w:lang w:val="sr-Latn-ME"/>
        </w:rPr>
        <w:t>subk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utane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doze 150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./kg (1,5 mg/kg) jednom dnevno, prosječna vrijednost PIK anti-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Xa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aktivnosti je blago uvećana </w:t>
      </w:r>
      <w:r w:rsidR="00D31718">
        <w:rPr>
          <w:rFonts w:asciiTheme="majorBidi" w:hAnsiTheme="majorBidi" w:cstheme="majorBidi"/>
          <w:sz w:val="22"/>
          <w:szCs w:val="22"/>
          <w:lang w:val="sr-Latn-ME"/>
        </w:rPr>
        <w:t>u stanju dinamičke r</w:t>
      </w:r>
      <w:r w:rsidR="006609A1">
        <w:rPr>
          <w:rFonts w:asciiTheme="majorBidi" w:hAnsiTheme="majorBidi" w:cstheme="majorBidi"/>
          <w:sz w:val="22"/>
          <w:szCs w:val="22"/>
          <w:lang w:val="sr-Latn-ME"/>
        </w:rPr>
        <w:t>avnoteže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kod gojaznih zdravih dobrovoljaca (BMI 30-48 kg/m</w:t>
      </w:r>
      <w:r w:rsidRPr="0071319B">
        <w:rPr>
          <w:rFonts w:asciiTheme="majorBidi" w:hAnsiTheme="majorBidi" w:cstheme="majorBidi"/>
          <w:sz w:val="22"/>
          <w:szCs w:val="22"/>
          <w:vertAlign w:val="superscript"/>
          <w:lang w:val="sr-Latn-ME"/>
        </w:rPr>
        <w:t>2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) u poređenju sa kontrolnom grupom ispitanika koji ni</w:t>
      </w:r>
      <w:r w:rsidR="003B7029" w:rsidRPr="0071319B">
        <w:rPr>
          <w:rFonts w:asciiTheme="majorBidi" w:hAnsiTheme="majorBidi" w:cstheme="majorBidi"/>
          <w:sz w:val="22"/>
          <w:szCs w:val="22"/>
          <w:lang w:val="sr-Latn-ME"/>
        </w:rPr>
        <w:t>je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su gojazni, dok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plazmatska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anti-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Xa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aktivnost nije bila povećana.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Klirens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prilagođen prema tjelesnoj masi kod gojaznih ispitanika manji je pri </w:t>
      </w:r>
      <w:proofErr w:type="spellStart"/>
      <w:r w:rsidR="003601E4" w:rsidRPr="0071319B">
        <w:rPr>
          <w:rFonts w:asciiTheme="majorBidi" w:hAnsiTheme="majorBidi" w:cstheme="majorBidi"/>
          <w:sz w:val="22"/>
          <w:szCs w:val="22"/>
          <w:lang w:val="sr-Latn-ME"/>
        </w:rPr>
        <w:t>subk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utanoj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primjeni.</w:t>
      </w:r>
    </w:p>
    <w:p w14:paraId="3971F0F7" w14:textId="77777777" w:rsidR="006609A1" w:rsidRDefault="006609A1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</w:p>
    <w:p w14:paraId="2D0AA457" w14:textId="5A5EDFCD" w:rsidR="00853A1E" w:rsidRDefault="003473B3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Kada se primjenjuje doziranje koje nije podešeno spram tjelesne mase, ustanovljeno je da nakon </w:t>
      </w:r>
      <w:r w:rsidR="00C24A20">
        <w:rPr>
          <w:rFonts w:asciiTheme="majorBidi" w:hAnsiTheme="majorBidi" w:cstheme="majorBidi"/>
          <w:sz w:val="22"/>
          <w:szCs w:val="22"/>
          <w:lang w:val="sr-Latn-ME"/>
        </w:rPr>
        <w:t>pojedinačne</w:t>
      </w:r>
      <w:r w:rsidR="00C24A20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="003601E4" w:rsidRPr="0071319B">
        <w:rPr>
          <w:rFonts w:asciiTheme="majorBidi" w:hAnsiTheme="majorBidi" w:cstheme="majorBidi"/>
          <w:sz w:val="22"/>
          <w:szCs w:val="22"/>
          <w:lang w:val="sr-Latn-ME"/>
        </w:rPr>
        <w:t>subk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utane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doze od 4000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. (40 mg), izloženost anti-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Xa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aktivnosti je 50% veća kod žena sa malom tjelesnom masom (&lt;</w:t>
      </w:r>
      <w:r w:rsidR="006609A1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45kg) i 27% veća kod muškaraca sa malom tjelesnom masom (&lt;</w:t>
      </w:r>
      <w:r w:rsidR="006609A1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57 kg) u poređenju sa kontrolnom grupom ispitanika normalne tjelesne mase (vidjeti </w:t>
      </w:r>
      <w:r w:rsidR="00F112ED">
        <w:rPr>
          <w:rFonts w:asciiTheme="majorBidi" w:hAnsiTheme="majorBidi" w:cstheme="majorBidi"/>
          <w:sz w:val="22"/>
          <w:szCs w:val="22"/>
          <w:lang w:val="sr-Latn-ME"/>
        </w:rPr>
        <w:t>dio</w:t>
      </w:r>
      <w:r w:rsidR="00F112ED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4.4).</w:t>
      </w:r>
      <w:r w:rsidR="003B7029"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 xml:space="preserve"> </w:t>
      </w:r>
    </w:p>
    <w:p w14:paraId="0C4F55E1" w14:textId="77777777" w:rsidR="00853A1E" w:rsidRDefault="00853A1E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</w:p>
    <w:p w14:paraId="5A9E5C06" w14:textId="77777777" w:rsidR="00853A1E" w:rsidRDefault="003473B3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proofErr w:type="spellStart"/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Farmakokinetičke</w:t>
      </w:r>
      <w:proofErr w:type="spellEnd"/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 xml:space="preserve"> interakcije</w:t>
      </w:r>
    </w:p>
    <w:p w14:paraId="281FA117" w14:textId="5C521E80" w:rsidR="006609A1" w:rsidRPr="00853A1E" w:rsidRDefault="003473B3" w:rsidP="00853A1E">
      <w:pPr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Ni</w:t>
      </w:r>
      <w:r w:rsidR="003B7029" w:rsidRPr="0071319B">
        <w:rPr>
          <w:rFonts w:asciiTheme="majorBidi" w:hAnsiTheme="majorBidi" w:cstheme="majorBidi"/>
          <w:sz w:val="22"/>
          <w:szCs w:val="22"/>
          <w:lang w:val="sr-Latn-ME"/>
        </w:rPr>
        <w:t>je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su primijećene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farmakokinetičke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interakcije pri istovremenoj primjeni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trombolitika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640ACB75" w14:textId="77777777" w:rsidR="001254DD" w:rsidRPr="0071319B" w:rsidRDefault="001254DD" w:rsidP="003207FF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0D2C2B76" w14:textId="77777777" w:rsidR="00B7781E" w:rsidRPr="0071319B" w:rsidRDefault="00B7781E" w:rsidP="00ED4E48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5.3. </w:t>
      </w: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proofErr w:type="spellStart"/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>Pretklinički</w:t>
      </w:r>
      <w:proofErr w:type="spellEnd"/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podaci o bezbjednosti </w:t>
      </w:r>
    </w:p>
    <w:p w14:paraId="728C0D2E" w14:textId="77777777" w:rsidR="00B7781E" w:rsidRPr="0071319B" w:rsidRDefault="00B7781E" w:rsidP="00ED4E48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01E28A36" w14:textId="48A10815" w:rsidR="00B7781E" w:rsidRDefault="00B7781E" w:rsidP="00853A1E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Pored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antikoagulantnih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dejstava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natrijuma, nije bilo dokaza neželjenih dejstava pri primjeni 15 mg/kg/dan u 13-ned</w:t>
      </w:r>
      <w:r w:rsidR="006609A1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eljnoj studiji toksičnosti kod pacova i pasa i pri primjeni 10 mg/kg/dan u 26-ned</w:t>
      </w:r>
      <w:r w:rsidR="003B7029" w:rsidRPr="0071319B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eljnoj</w:t>
      </w:r>
      <w:r w:rsidR="003B7029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s.c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 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i.v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. studiji toksičnosti kod pacova i majmuna.</w:t>
      </w:r>
    </w:p>
    <w:p w14:paraId="64BFD688" w14:textId="77777777" w:rsidR="006609A1" w:rsidRPr="0071319B" w:rsidRDefault="006609A1" w:rsidP="00853A1E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6ADCEDB1" w14:textId="77777777" w:rsidR="00B7781E" w:rsidRPr="0071319B" w:rsidRDefault="00B7781E" w:rsidP="00853A1E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 nije pokazao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mutagenu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aktivnost zasnovano na </w:t>
      </w:r>
      <w:r w:rsidRPr="00357F8F">
        <w:rPr>
          <w:rFonts w:asciiTheme="majorBidi" w:hAnsiTheme="majorBidi" w:cstheme="majorBidi"/>
          <w:i/>
          <w:iCs/>
          <w:sz w:val="22"/>
          <w:szCs w:val="22"/>
          <w:lang w:val="sr-Latn-ME"/>
        </w:rPr>
        <w:t xml:space="preserve">in </w:t>
      </w:r>
      <w:proofErr w:type="spellStart"/>
      <w:r w:rsidRPr="00357F8F">
        <w:rPr>
          <w:rFonts w:asciiTheme="majorBidi" w:hAnsiTheme="majorBidi" w:cstheme="majorBidi"/>
          <w:i/>
          <w:iCs/>
          <w:sz w:val="22"/>
          <w:szCs w:val="22"/>
          <w:lang w:val="sr-Latn-ME"/>
        </w:rPr>
        <w:t>vitro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ispitivanjima, uključujući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Ames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test, test mutacije mišijeg limfoma i nema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klastogenu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aktivnost, zasnovano na humanom </w:t>
      </w:r>
      <w:r w:rsidRPr="00357F8F">
        <w:rPr>
          <w:rFonts w:asciiTheme="majorBidi" w:hAnsiTheme="majorBidi" w:cstheme="majorBidi"/>
          <w:i/>
          <w:iCs/>
          <w:sz w:val="22"/>
          <w:szCs w:val="22"/>
          <w:lang w:val="sr-Latn-ME"/>
        </w:rPr>
        <w:t xml:space="preserve">in </w:t>
      </w:r>
      <w:proofErr w:type="spellStart"/>
      <w:r w:rsidRPr="00357F8F">
        <w:rPr>
          <w:rFonts w:asciiTheme="majorBidi" w:hAnsiTheme="majorBidi" w:cstheme="majorBidi"/>
          <w:i/>
          <w:iCs/>
          <w:sz w:val="22"/>
          <w:szCs w:val="22"/>
          <w:lang w:val="sr-Latn-ME"/>
        </w:rPr>
        <w:t>vitro</w:t>
      </w:r>
      <w:proofErr w:type="spellEnd"/>
      <w:r w:rsidRPr="00853A1E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testu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hromozomalne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aberacije limfocita i </w:t>
      </w:r>
      <w:r w:rsidRPr="003207FF">
        <w:rPr>
          <w:rFonts w:asciiTheme="majorBidi" w:hAnsiTheme="majorBidi" w:cstheme="majorBidi"/>
          <w:i/>
          <w:sz w:val="22"/>
          <w:szCs w:val="22"/>
          <w:lang w:val="sr-Latn-ME"/>
        </w:rPr>
        <w:t xml:space="preserve">in </w:t>
      </w:r>
      <w:proofErr w:type="spellStart"/>
      <w:r w:rsidRPr="003207FF">
        <w:rPr>
          <w:rFonts w:asciiTheme="majorBidi" w:hAnsiTheme="majorBidi" w:cstheme="majorBidi"/>
          <w:i/>
          <w:sz w:val="22"/>
          <w:szCs w:val="22"/>
          <w:lang w:val="sr-Latn-ME"/>
        </w:rPr>
        <w:t>vivo</w:t>
      </w:r>
      <w:proofErr w:type="spellEnd"/>
      <w:r w:rsidRPr="00853A1E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testu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hromozomske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aberacije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ko</w:t>
      </w:r>
      <w:r w:rsidR="003B7029" w:rsidRPr="0071319B">
        <w:rPr>
          <w:rFonts w:asciiTheme="majorBidi" w:hAnsiTheme="majorBidi" w:cstheme="majorBidi"/>
          <w:sz w:val="22"/>
          <w:szCs w:val="22"/>
          <w:lang w:val="sr-Latn-ME"/>
        </w:rPr>
        <w:t>st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ne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srži kod</w:t>
      </w:r>
      <w:r w:rsidRPr="00853A1E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>pacova.</w:t>
      </w:r>
    </w:p>
    <w:p w14:paraId="3897825C" w14:textId="77777777" w:rsidR="00B7781E" w:rsidRDefault="00B7781E" w:rsidP="00853A1E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Ispitivanja kod gravidnih ženki pacova i kunića pri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s.c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 dozama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natrijuma do 30 mg/kg/dan ni</w:t>
      </w:r>
      <w:r w:rsidR="003B7029" w:rsidRPr="0071319B">
        <w:rPr>
          <w:rFonts w:asciiTheme="majorBidi" w:hAnsiTheme="majorBidi" w:cstheme="majorBidi"/>
          <w:sz w:val="22"/>
          <w:szCs w:val="22"/>
          <w:lang w:val="sr-Latn-ME"/>
        </w:rPr>
        <w:t>je</w:t>
      </w: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su ukazala na to da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heparin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male molekulske težine posjeduje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teratogeni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potencijal ili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fetotoksičnost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. Utvrđeno je da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natrijum nema uticaja na plodnost ili reproduktivnu sposobnost mužjaka i ženki pacova pri primjeni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s.c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. doza do 20 mg/kg/dan.</w:t>
      </w:r>
    </w:p>
    <w:p w14:paraId="2770D2EC" w14:textId="77777777" w:rsidR="00853A1E" w:rsidRPr="0071319B" w:rsidRDefault="00853A1E" w:rsidP="00853A1E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E5876DC" w14:textId="77777777" w:rsidR="00B7781E" w:rsidRPr="0071319B" w:rsidRDefault="00B7781E" w:rsidP="00B7781E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12D4A892" w14:textId="77777777" w:rsidR="00B7781E" w:rsidRPr="0071319B" w:rsidRDefault="00B7781E" w:rsidP="00B7781E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6. </w:t>
      </w: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  <w:t>FARMACEUTSKI PODACI</w:t>
      </w:r>
    </w:p>
    <w:p w14:paraId="0353A9EE" w14:textId="77777777" w:rsidR="00B7781E" w:rsidRPr="0071319B" w:rsidRDefault="00B7781E" w:rsidP="00B7781E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3BAACE7A" w14:textId="77777777" w:rsidR="00853A1E" w:rsidRDefault="00B7781E" w:rsidP="00853A1E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6.1. </w:t>
      </w: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  <w:t>Lista pomoćnih supstanci (</w:t>
      </w:r>
      <w:proofErr w:type="spellStart"/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>ekscipijenasa</w:t>
      </w:r>
      <w:proofErr w:type="spellEnd"/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>)</w:t>
      </w:r>
    </w:p>
    <w:p w14:paraId="22BFEEF3" w14:textId="77777777" w:rsidR="00853A1E" w:rsidRDefault="00853A1E" w:rsidP="00853A1E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383E957A" w14:textId="77777777" w:rsidR="00B7781E" w:rsidRPr="00853A1E" w:rsidRDefault="00B7781E" w:rsidP="00853A1E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Voda za injekcije.</w:t>
      </w:r>
    </w:p>
    <w:p w14:paraId="53F941CF" w14:textId="77777777" w:rsidR="00B7781E" w:rsidRPr="0071319B" w:rsidRDefault="00B7781E" w:rsidP="00B7781E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1C5E8FE6" w14:textId="77777777" w:rsidR="00B7781E" w:rsidRPr="0071319B" w:rsidRDefault="00B7781E" w:rsidP="00B7781E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6.2. </w:t>
      </w: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  <w:t>Inkompatibilnosti</w:t>
      </w:r>
    </w:p>
    <w:p w14:paraId="72C31B08" w14:textId="77777777" w:rsidR="00B7781E" w:rsidRPr="0071319B" w:rsidRDefault="00B7781E" w:rsidP="00B7781E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41F0EFC0" w14:textId="77777777" w:rsidR="00B7781E" w:rsidRPr="0071319B" w:rsidRDefault="00B7781E" w:rsidP="003207FF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U nedostatku studija kompatibilnosti, ovaj se lijek ne smije miješati sa drugim ljekovima.</w:t>
      </w:r>
    </w:p>
    <w:p w14:paraId="532A7DAD" w14:textId="77777777" w:rsidR="00B7781E" w:rsidRPr="0071319B" w:rsidRDefault="00B7781E" w:rsidP="003207FF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20244964" w14:textId="77777777" w:rsidR="00B7781E" w:rsidRPr="0071319B" w:rsidRDefault="003601E4" w:rsidP="003207FF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</w:pPr>
      <w:proofErr w:type="spellStart"/>
      <w:r w:rsidRPr="0071319B"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  <w:t>Subk</w:t>
      </w:r>
      <w:r w:rsidR="00B7781E" w:rsidRPr="0071319B"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  <w:t>utana</w:t>
      </w:r>
      <w:proofErr w:type="spellEnd"/>
      <w:r w:rsidR="00B7781E" w:rsidRPr="0071319B"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  <w:t xml:space="preserve"> injekcija:</w:t>
      </w:r>
    </w:p>
    <w:p w14:paraId="2B203841" w14:textId="77777777" w:rsidR="00B7781E" w:rsidRPr="0071319B" w:rsidRDefault="00342E03" w:rsidP="003207FF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lastRenderedPageBreak/>
        <w:t xml:space="preserve">Ne smije se </w:t>
      </w:r>
      <w:r w:rsidR="00B7781E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miješati sa drugim </w:t>
      </w:r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ljekovima.</w:t>
      </w:r>
    </w:p>
    <w:p w14:paraId="0E1ACE90" w14:textId="77777777" w:rsidR="00342E03" w:rsidRPr="0071319B" w:rsidRDefault="00342E03" w:rsidP="003207FF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35731F96" w14:textId="77777777" w:rsidR="00B7781E" w:rsidRPr="0071319B" w:rsidRDefault="00B7781E" w:rsidP="003207FF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</w:pPr>
      <w:proofErr w:type="spellStart"/>
      <w:r w:rsidRPr="0071319B"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  <w:t>Intravenska</w:t>
      </w:r>
      <w:proofErr w:type="spellEnd"/>
      <w:r w:rsidRPr="0071319B"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  <w:t xml:space="preserve"> (</w:t>
      </w:r>
      <w:proofErr w:type="spellStart"/>
      <w:r w:rsidRPr="0071319B"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  <w:t>bolus</w:t>
      </w:r>
      <w:proofErr w:type="spellEnd"/>
      <w:r w:rsidRPr="0071319B"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  <w:t>) injekcija (samo kod indikacije akutnog STEMI):</w:t>
      </w:r>
    </w:p>
    <w:p w14:paraId="1C8F9CF4" w14:textId="3207133D" w:rsidR="00B7781E" w:rsidRPr="0071319B" w:rsidRDefault="00342E03" w:rsidP="003207FF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proofErr w:type="spellStart"/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Enoksaparin</w:t>
      </w:r>
      <w:proofErr w:type="spellEnd"/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natrijum se može</w:t>
      </w:r>
      <w:r w:rsidR="00B7781E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bezbjedno primijeniti sa fiziološkim rastvorom (0,9% natrijum</w:t>
      </w:r>
      <w:r w:rsidR="00F83A2F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="00B7781E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hlorid) ili 5% rastvorom </w:t>
      </w:r>
      <w:proofErr w:type="spellStart"/>
      <w:r w:rsidR="00B7781E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dekstroze</w:t>
      </w:r>
      <w:proofErr w:type="spellEnd"/>
      <w:r w:rsidR="00B7781E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u vodi</w:t>
      </w:r>
      <w:r w:rsidR="00987D69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(vidjeti dio 4.2)</w:t>
      </w:r>
      <w:r w:rsidR="00B7781E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</w:p>
    <w:p w14:paraId="4C84FFDA" w14:textId="77777777" w:rsidR="00B7781E" w:rsidRPr="0071319B" w:rsidRDefault="00B7781E" w:rsidP="00B7781E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2558256A" w14:textId="77777777" w:rsidR="00580321" w:rsidRDefault="00B7781E" w:rsidP="0058032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6.3. </w:t>
      </w: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  <w:t>Rok upotrebe</w:t>
      </w:r>
    </w:p>
    <w:p w14:paraId="41A01778" w14:textId="77777777" w:rsidR="00580321" w:rsidRDefault="00580321" w:rsidP="0058032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35B126C5" w14:textId="77777777" w:rsidR="00580321" w:rsidRDefault="00B7781E" w:rsidP="003207FF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3 godine.</w:t>
      </w:r>
    </w:p>
    <w:p w14:paraId="682914AD" w14:textId="77777777" w:rsidR="00580321" w:rsidRDefault="00580321" w:rsidP="0058032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0B0B2B22" w14:textId="77777777" w:rsidR="00580321" w:rsidRDefault="00AB1DA9" w:rsidP="0058032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/>
          <w:sz w:val="22"/>
          <w:szCs w:val="22"/>
          <w:u w:val="single"/>
          <w:lang w:val="sr-Latn-ME"/>
        </w:rPr>
        <w:t>Razblažen rastvor</w:t>
      </w:r>
    </w:p>
    <w:p w14:paraId="46827B9C" w14:textId="77777777" w:rsidR="00AB1DA9" w:rsidRPr="00580321" w:rsidRDefault="00AB1DA9" w:rsidP="003207FF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Razblažen rastvor treba primijeniti odmah.</w:t>
      </w:r>
    </w:p>
    <w:p w14:paraId="16CCFBB9" w14:textId="77777777" w:rsidR="00AB1DA9" w:rsidRPr="0071319B" w:rsidRDefault="00AB1DA9" w:rsidP="00580321">
      <w:pPr>
        <w:widowControl w:val="0"/>
        <w:autoSpaceDE w:val="0"/>
        <w:autoSpaceDN w:val="0"/>
        <w:ind w:left="232"/>
        <w:rPr>
          <w:rFonts w:asciiTheme="majorBidi" w:hAnsiTheme="majorBidi" w:cstheme="majorBidi"/>
          <w:sz w:val="22"/>
          <w:szCs w:val="22"/>
          <w:lang w:val="sr-Latn-ME"/>
        </w:rPr>
      </w:pPr>
    </w:p>
    <w:p w14:paraId="50E198D6" w14:textId="77777777" w:rsidR="00342E03" w:rsidRPr="0071319B" w:rsidRDefault="00342E03" w:rsidP="00342E03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6.4. </w:t>
      </w: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  <w:t>Posebne mjere upozorenja pri čuvanju lijeka</w:t>
      </w:r>
    </w:p>
    <w:p w14:paraId="79B11F28" w14:textId="77777777" w:rsidR="00580321" w:rsidRDefault="00580321" w:rsidP="00342E03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341F1664" w14:textId="620276BA" w:rsidR="00342E03" w:rsidRPr="0071319B" w:rsidRDefault="00342E03" w:rsidP="003207FF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Čuvati na temperaturi do 25˚C.</w:t>
      </w:r>
      <w:r w:rsidR="0025122C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Ne zamrzavati.</w:t>
      </w:r>
    </w:p>
    <w:p w14:paraId="3458A464" w14:textId="77777777" w:rsidR="001A3C59" w:rsidRDefault="00342E03" w:rsidP="003207FF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Ovaj lijek je samo za jednokratnu upotrebu. Odbacite bilo koji neiskorišteni proizvod</w:t>
      </w:r>
      <w:r w:rsidR="00F83A2F" w:rsidRPr="0071319B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</w:p>
    <w:p w14:paraId="7D477DCA" w14:textId="77777777" w:rsidR="001A3C59" w:rsidRDefault="001A3C59" w:rsidP="000B1741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27AAB96B" w14:textId="5F0CF413" w:rsidR="000B1741" w:rsidRPr="0071319B" w:rsidRDefault="000B1741" w:rsidP="000B174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6.5. </w:t>
      </w: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  <w:t xml:space="preserve">Vrsta i sadržaj pakovanja </w:t>
      </w:r>
    </w:p>
    <w:p w14:paraId="5B981576" w14:textId="77777777" w:rsidR="000B1741" w:rsidRPr="0071319B" w:rsidRDefault="000B1741" w:rsidP="000B1741">
      <w:pPr>
        <w:rPr>
          <w:rFonts w:asciiTheme="majorBidi" w:hAnsiTheme="majorBidi" w:cstheme="majorBidi"/>
          <w:sz w:val="22"/>
          <w:szCs w:val="22"/>
          <w:lang w:val="sr-Latn-ME"/>
        </w:rPr>
      </w:pPr>
    </w:p>
    <w:p w14:paraId="747C36AA" w14:textId="77777777" w:rsidR="000B1741" w:rsidRPr="0071319B" w:rsidRDefault="000B1741"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  <w:u w:val="single"/>
          <w:lang w:val="sr-Latn-ME"/>
        </w:rPr>
      </w:pPr>
      <w:r w:rsidRPr="0071319B">
        <w:rPr>
          <w:rFonts w:asciiTheme="majorBidi" w:hAnsiTheme="majorBidi" w:cstheme="majorBidi"/>
          <w:color w:val="000000" w:themeColor="text1"/>
          <w:sz w:val="22"/>
          <w:szCs w:val="22"/>
          <w:u w:val="single"/>
          <w:lang w:val="sr-Latn-ME"/>
        </w:rPr>
        <w:t>2,000</w:t>
      </w:r>
      <w:r w:rsidR="00AB1DA9" w:rsidRPr="0071319B">
        <w:rPr>
          <w:rFonts w:asciiTheme="majorBidi" w:hAnsiTheme="majorBidi" w:cstheme="majorBidi"/>
          <w:color w:val="000000" w:themeColor="text1"/>
          <w:sz w:val="22"/>
          <w:szCs w:val="22"/>
          <w:u w:val="single"/>
          <w:lang w:val="sr-Latn-ME"/>
        </w:rPr>
        <w:t xml:space="preserve"> </w:t>
      </w:r>
      <w:proofErr w:type="spellStart"/>
      <w:r w:rsidR="00AB1DA9" w:rsidRPr="0071319B">
        <w:rPr>
          <w:rFonts w:asciiTheme="majorBidi" w:hAnsiTheme="majorBidi" w:cstheme="majorBidi"/>
          <w:color w:val="000000" w:themeColor="text1"/>
          <w:sz w:val="22"/>
          <w:szCs w:val="22"/>
          <w:u w:val="single"/>
          <w:lang w:val="sr-Latn-ME"/>
        </w:rPr>
        <w:t>i.j</w:t>
      </w:r>
      <w:proofErr w:type="spellEnd"/>
      <w:r w:rsidR="00AB1DA9" w:rsidRPr="0071319B">
        <w:rPr>
          <w:rFonts w:asciiTheme="majorBidi" w:hAnsiTheme="majorBidi" w:cstheme="majorBidi"/>
          <w:color w:val="000000" w:themeColor="text1"/>
          <w:sz w:val="22"/>
          <w:szCs w:val="22"/>
          <w:u w:val="single"/>
          <w:lang w:val="sr-Latn-ME"/>
        </w:rPr>
        <w:t>.</w:t>
      </w:r>
      <w:r w:rsidRPr="0071319B">
        <w:rPr>
          <w:rFonts w:asciiTheme="majorBidi" w:hAnsiTheme="majorBidi" w:cstheme="majorBidi"/>
          <w:color w:val="000000" w:themeColor="text1"/>
          <w:sz w:val="22"/>
          <w:szCs w:val="22"/>
          <w:u w:val="single"/>
          <w:lang w:val="sr-Latn-ME"/>
        </w:rPr>
        <w:t xml:space="preserve">/0.2 </w:t>
      </w:r>
      <w:r w:rsidR="00444F6E" w:rsidRPr="0071319B">
        <w:rPr>
          <w:rFonts w:asciiTheme="majorBidi" w:hAnsiTheme="majorBidi" w:cstheme="majorBidi"/>
          <w:color w:val="000000" w:themeColor="text1"/>
          <w:sz w:val="22"/>
          <w:szCs w:val="22"/>
          <w:u w:val="single"/>
          <w:lang w:val="sr-Latn-ME"/>
        </w:rPr>
        <w:t>ml</w:t>
      </w:r>
      <w:r w:rsidRPr="0071319B">
        <w:rPr>
          <w:rFonts w:asciiTheme="majorBidi" w:hAnsiTheme="majorBidi" w:cstheme="majorBidi"/>
          <w:color w:val="000000" w:themeColor="text1"/>
          <w:sz w:val="22"/>
          <w:szCs w:val="22"/>
          <w:u w:val="single"/>
          <w:lang w:val="sr-Latn-ME"/>
        </w:rPr>
        <w:t xml:space="preserve"> injekcionog rastvora:</w:t>
      </w:r>
    </w:p>
    <w:p w14:paraId="5C4A200D" w14:textId="1391A8B9" w:rsidR="000B1741" w:rsidRPr="0071319B" w:rsidRDefault="000B1741"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 xml:space="preserve">0.2 </w:t>
      </w:r>
      <w:r w:rsidR="00444F6E"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>ml</w:t>
      </w:r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 xml:space="preserve"> rastvora u tijelu šprica od bezbojnog stakla tip I, sa fiksiranom iglom i zaštitnim poklopcem igle,  a koje je zatvoreno </w:t>
      </w:r>
      <w:proofErr w:type="spellStart"/>
      <w:r w:rsidR="00A3621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>hlor</w:t>
      </w:r>
      <w:r w:rsidR="00A3621B"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>obutilnim</w:t>
      </w:r>
      <w:proofErr w:type="spellEnd"/>
      <w:r w:rsidR="00A3621B"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 xml:space="preserve">gumenim čepom i ljubičastim </w:t>
      </w:r>
      <w:proofErr w:type="spellStart"/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>potisnim</w:t>
      </w:r>
      <w:proofErr w:type="spellEnd"/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 xml:space="preserve"> klipom od </w:t>
      </w:r>
      <w:proofErr w:type="spellStart"/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>polistirena</w:t>
      </w:r>
      <w:proofErr w:type="spellEnd"/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 xml:space="preserve"> (sa ili bez sigurnosnog sistema). </w:t>
      </w:r>
    </w:p>
    <w:p w14:paraId="22BC7C26" w14:textId="77777777" w:rsidR="00580321" w:rsidRDefault="000B1741"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>Pakovanje od 10 napunjenih injekcionih špriceva.</w:t>
      </w:r>
    </w:p>
    <w:p w14:paraId="33F38716" w14:textId="77777777" w:rsidR="00580321" w:rsidRDefault="00580321"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</w:pPr>
    </w:p>
    <w:p w14:paraId="20922332" w14:textId="77777777" w:rsidR="00580321" w:rsidRDefault="00AB1DA9"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 xml:space="preserve">4,000 </w:t>
      </w:r>
      <w:proofErr w:type="spellStart"/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.</w:t>
      </w:r>
      <w:r w:rsidR="000B1741"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 xml:space="preserve">/0.4 </w:t>
      </w:r>
      <w:r w:rsidR="00444F6E"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ml</w:t>
      </w:r>
      <w:r w:rsidR="000B1741"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 xml:space="preserve"> rastvora za injekciju</w:t>
      </w:r>
    </w:p>
    <w:p w14:paraId="215D0497" w14:textId="56026AF1" w:rsidR="000B1741" w:rsidRPr="00580321" w:rsidRDefault="000B1741"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 xml:space="preserve">0.4 </w:t>
      </w:r>
      <w:r w:rsidR="00444F6E"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>ml</w:t>
      </w:r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 xml:space="preserve"> rastvora u tijelu šprica od bezbojnog stakla tip I, sa fiksiranom iglom i zaštitnim poklopcem igle,  a koje je zatvoreno </w:t>
      </w:r>
      <w:proofErr w:type="spellStart"/>
      <w:r w:rsidR="00A3621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>hlor</w:t>
      </w:r>
      <w:r w:rsidR="00A3621B"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>obutilnim</w:t>
      </w:r>
      <w:proofErr w:type="spellEnd"/>
      <w:r w:rsidR="00A3621B"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 xml:space="preserve">gumenim čepom i žutim  </w:t>
      </w:r>
      <w:proofErr w:type="spellStart"/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>potisnim</w:t>
      </w:r>
      <w:proofErr w:type="spellEnd"/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 xml:space="preserve"> klipom od </w:t>
      </w:r>
      <w:proofErr w:type="spellStart"/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>polistirena</w:t>
      </w:r>
      <w:proofErr w:type="spellEnd"/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 xml:space="preserve"> (sa ili bez sigurnosnog sistema). </w:t>
      </w:r>
    </w:p>
    <w:p w14:paraId="0885DD04" w14:textId="77777777" w:rsidR="000B1741" w:rsidRPr="0071319B" w:rsidRDefault="000B1741"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>Pakovanje od 10 napunjenih injekcionih špriceva.</w:t>
      </w:r>
    </w:p>
    <w:p w14:paraId="127C92DC" w14:textId="77777777" w:rsidR="00F94D24" w:rsidRDefault="00F94D24" w:rsidP="003207FF">
      <w:pPr>
        <w:jc w:val="both"/>
        <w:rPr>
          <w:rFonts w:asciiTheme="majorBidi" w:hAnsiTheme="majorBidi" w:cstheme="majorBidi"/>
          <w:sz w:val="22"/>
          <w:szCs w:val="22"/>
          <w:u w:val="single"/>
          <w:lang w:val="sr-Latn-ME"/>
        </w:rPr>
      </w:pPr>
    </w:p>
    <w:p w14:paraId="501AC26F" w14:textId="77777777" w:rsidR="000B1741" w:rsidRPr="0071319B" w:rsidRDefault="00AB1DA9" w:rsidP="003207FF">
      <w:pPr>
        <w:jc w:val="both"/>
        <w:rPr>
          <w:rFonts w:asciiTheme="majorBidi" w:hAnsiTheme="majorBidi" w:cstheme="majorBidi"/>
          <w:sz w:val="22"/>
          <w:szCs w:val="22"/>
          <w:u w:val="single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 xml:space="preserve">6,000 </w:t>
      </w:r>
      <w:proofErr w:type="spellStart"/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./</w:t>
      </w:r>
      <w:r w:rsidR="000B1741"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0.6</w:t>
      </w:r>
      <w:r w:rsidR="00444F6E"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ml</w:t>
      </w:r>
      <w:r w:rsidR="000B1741"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 xml:space="preserve"> rastvora za injekciju</w:t>
      </w:r>
    </w:p>
    <w:p w14:paraId="2DA2053A" w14:textId="35CD800F" w:rsidR="000B1741" w:rsidRPr="0071319B" w:rsidRDefault="000B1741"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 xml:space="preserve">0.6 </w:t>
      </w:r>
      <w:r w:rsidR="00444F6E"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>ml</w:t>
      </w:r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 xml:space="preserve"> rastvora u tijelu šprica od bezbojnog stakla tip I, sa fiksiranom iglom i zaštitnim poklopcem igle,  a koje je zatvoreno </w:t>
      </w:r>
      <w:proofErr w:type="spellStart"/>
      <w:r w:rsidR="00A3621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>hlor</w:t>
      </w:r>
      <w:r w:rsidR="00A3621B"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>obutilnim</w:t>
      </w:r>
      <w:proofErr w:type="spellEnd"/>
      <w:r w:rsidR="00A3621B"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 xml:space="preserve">gumenim čepom i narandžastim  </w:t>
      </w:r>
      <w:proofErr w:type="spellStart"/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>potisnim</w:t>
      </w:r>
      <w:proofErr w:type="spellEnd"/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 xml:space="preserve"> klipom od </w:t>
      </w:r>
      <w:proofErr w:type="spellStart"/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>polistirena</w:t>
      </w:r>
      <w:proofErr w:type="spellEnd"/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 xml:space="preserve"> (sa ili bez sigurnosnog sistema). </w:t>
      </w:r>
    </w:p>
    <w:p w14:paraId="3BAF40F0" w14:textId="77777777" w:rsidR="000B1741" w:rsidRPr="0071319B" w:rsidRDefault="000B1741"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>Pakovanje od 10 napunjenih injekcionih špriceva.</w:t>
      </w:r>
    </w:p>
    <w:p w14:paraId="4D5AF9E0" w14:textId="77777777" w:rsidR="000B1741" w:rsidRPr="0071319B" w:rsidRDefault="000B1741" w:rsidP="003207FF">
      <w:pPr>
        <w:spacing w:before="11" w:after="120"/>
        <w:jc w:val="both"/>
        <w:rPr>
          <w:rFonts w:asciiTheme="majorBidi" w:hAnsiTheme="majorBidi" w:cstheme="majorBidi"/>
          <w:sz w:val="22"/>
          <w:szCs w:val="22"/>
          <w:u w:val="single"/>
          <w:lang w:val="sr-Latn-ME"/>
        </w:rPr>
      </w:pPr>
    </w:p>
    <w:p w14:paraId="3630D32D" w14:textId="77777777" w:rsidR="000B1741" w:rsidRPr="0071319B" w:rsidRDefault="000B1741">
      <w:pPr>
        <w:jc w:val="both"/>
        <w:rPr>
          <w:rFonts w:asciiTheme="majorBidi" w:hAnsiTheme="majorBidi" w:cstheme="majorBidi"/>
          <w:sz w:val="22"/>
          <w:szCs w:val="22"/>
          <w:u w:val="single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 xml:space="preserve">8,000 </w:t>
      </w:r>
      <w:proofErr w:type="spellStart"/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./0.8</w:t>
      </w:r>
      <w:r w:rsidR="00444F6E"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>ml</w:t>
      </w:r>
      <w:r w:rsidRPr="0071319B">
        <w:rPr>
          <w:rFonts w:asciiTheme="majorBidi" w:hAnsiTheme="majorBidi" w:cstheme="majorBidi"/>
          <w:sz w:val="22"/>
          <w:szCs w:val="22"/>
          <w:u w:val="single"/>
          <w:lang w:val="sr-Latn-ME"/>
        </w:rPr>
        <w:t xml:space="preserve"> rastvora za injekciju</w:t>
      </w:r>
    </w:p>
    <w:p w14:paraId="0A224629" w14:textId="27B6977E" w:rsidR="000B1741" w:rsidRPr="0071319B" w:rsidRDefault="000B1741"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 xml:space="preserve">0.8 </w:t>
      </w:r>
      <w:r w:rsidR="00444F6E"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>ml</w:t>
      </w:r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 xml:space="preserve"> rastvora u tijelu šprica od bezbojnog stakla tip I, sa fiksiranom iglom i zaštitnim poklopcem igle,  a koje je zatvoreno </w:t>
      </w:r>
      <w:proofErr w:type="spellStart"/>
      <w:r w:rsidR="00A3621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>hlor</w:t>
      </w:r>
      <w:r w:rsidR="00A3621B"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>obutilnim</w:t>
      </w:r>
      <w:proofErr w:type="spellEnd"/>
      <w:r w:rsidR="00A3621B"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 xml:space="preserve"> </w:t>
      </w:r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 xml:space="preserve">gumenim čepom i braon </w:t>
      </w:r>
      <w:proofErr w:type="spellStart"/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>potisnim</w:t>
      </w:r>
      <w:proofErr w:type="spellEnd"/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 xml:space="preserve"> klipom od </w:t>
      </w:r>
      <w:proofErr w:type="spellStart"/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>polistirena</w:t>
      </w:r>
      <w:proofErr w:type="spellEnd"/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 xml:space="preserve"> (sa ili bez sigurnosnog sistema). </w:t>
      </w:r>
    </w:p>
    <w:p w14:paraId="5FEA3A15" w14:textId="77777777" w:rsidR="000B1741" w:rsidRPr="0071319B" w:rsidRDefault="000B1741">
      <w:pPr>
        <w:jc w:val="both"/>
        <w:rPr>
          <w:rFonts w:asciiTheme="majorBidi" w:hAnsiTheme="majorBidi" w:cstheme="majorBidi"/>
          <w:color w:val="FF0000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>Pakovanje od 10 napunjenih injekcionih špriceva</w:t>
      </w:r>
    </w:p>
    <w:p w14:paraId="37C31165" w14:textId="77777777" w:rsidR="000B1741" w:rsidRPr="0071319B" w:rsidRDefault="000B1741">
      <w:pPr>
        <w:jc w:val="both"/>
        <w:rPr>
          <w:rFonts w:asciiTheme="majorBidi" w:hAnsiTheme="majorBidi" w:cstheme="majorBidi"/>
          <w:color w:val="FF0000"/>
          <w:sz w:val="22"/>
          <w:szCs w:val="22"/>
          <w:lang w:val="sr-Latn-ME"/>
        </w:rPr>
      </w:pPr>
    </w:p>
    <w:p w14:paraId="517F1A65" w14:textId="77777777" w:rsidR="000B1741" w:rsidRPr="0071319B" w:rsidRDefault="000B1741"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 xml:space="preserve">Špricevi od 0.2 </w:t>
      </w:r>
      <w:r w:rsidR="00444F6E"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>ml</w:t>
      </w:r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 xml:space="preserve"> i 0.4</w:t>
      </w:r>
      <w:r w:rsidR="00444F6E"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>ml</w:t>
      </w:r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 xml:space="preserve"> nisu graduisani.</w:t>
      </w:r>
    </w:p>
    <w:p w14:paraId="14247234" w14:textId="77777777" w:rsidR="000B1741" w:rsidRPr="0071319B" w:rsidRDefault="000B1741"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 xml:space="preserve">Špricevi od 0.6 </w:t>
      </w:r>
      <w:r w:rsidR="00444F6E"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>ml</w:t>
      </w:r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 xml:space="preserve"> i 0.8</w:t>
      </w:r>
      <w:r w:rsidR="00444F6E"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>ml</w:t>
      </w:r>
      <w:r w:rsidRPr="0071319B"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  <w:t xml:space="preserve">  su graduisani.</w:t>
      </w:r>
    </w:p>
    <w:p w14:paraId="553E02BD" w14:textId="77777777" w:rsidR="000B1741" w:rsidRPr="0071319B" w:rsidRDefault="000B1741" w:rsidP="0058032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46FC024C" w14:textId="191AAA11" w:rsidR="00F55988" w:rsidRDefault="00F55988" w:rsidP="00580321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6.6. </w:t>
      </w: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71319B">
        <w:rPr>
          <w:rFonts w:asciiTheme="majorBidi" w:hAnsiTheme="majorBidi" w:cstheme="majorBidi"/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(i druga uputstva za rukovanje lijekom) </w:t>
      </w:r>
    </w:p>
    <w:p w14:paraId="2EFB1CA1" w14:textId="77777777" w:rsidR="002D74B9" w:rsidRDefault="002D74B9" w:rsidP="00580321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21F13AEA" w14:textId="77777777" w:rsidR="002D74B9" w:rsidRPr="003207FF" w:rsidRDefault="002D74B9" w:rsidP="002D74B9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3207FF">
        <w:rPr>
          <w:rFonts w:asciiTheme="majorBidi" w:hAnsiTheme="majorBidi" w:cstheme="majorBidi"/>
          <w:bCs/>
          <w:sz w:val="22"/>
          <w:szCs w:val="22"/>
          <w:lang w:val="sr-Latn-ME"/>
        </w:rPr>
        <w:t>Napunjeni špricevi su spremni za neposrednu upotrebu. Za način primjene vidjeti dio 4.2.</w:t>
      </w:r>
    </w:p>
    <w:p w14:paraId="3E6DF834" w14:textId="77777777" w:rsidR="002D74B9" w:rsidRPr="003207FF" w:rsidRDefault="002D74B9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3207FF">
        <w:rPr>
          <w:rFonts w:asciiTheme="majorBidi" w:hAnsiTheme="majorBidi" w:cstheme="majorBidi"/>
          <w:bCs/>
          <w:sz w:val="22"/>
          <w:szCs w:val="22"/>
          <w:lang w:val="sr-Latn-ME"/>
        </w:rPr>
        <w:t>Upotrijebiti samo ukoliko je rastvor bistar, bezbojan do blijedo žut.</w:t>
      </w:r>
    </w:p>
    <w:p w14:paraId="3BB5A308" w14:textId="54AF0ED3" w:rsidR="002D74B9" w:rsidRDefault="002D74B9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2D74B9">
        <w:rPr>
          <w:rFonts w:asciiTheme="majorBidi" w:hAnsiTheme="majorBidi" w:cstheme="majorBidi"/>
          <w:bCs/>
          <w:sz w:val="22"/>
          <w:szCs w:val="22"/>
          <w:lang w:val="sr-Latn-ME"/>
        </w:rPr>
        <w:t>Napunjeni  špricevi</w:t>
      </w:r>
      <w:r w:rsidRPr="003207FF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su dostupni sa ili bez automatskog s</w:t>
      </w:r>
      <w:r w:rsidRPr="002D74B9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igurnosnog sistema. </w:t>
      </w:r>
    </w:p>
    <w:p w14:paraId="5AD88EF1" w14:textId="77777777" w:rsidR="002D74B9" w:rsidRPr="003207FF" w:rsidRDefault="002D74B9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60F15FC7" w14:textId="423C4744" w:rsidR="002D74B9" w:rsidRPr="003207FF" w:rsidRDefault="002D74B9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3207FF">
        <w:rPr>
          <w:rFonts w:asciiTheme="majorBidi" w:hAnsiTheme="majorBidi" w:cstheme="majorBidi"/>
          <w:bCs/>
          <w:sz w:val="22"/>
          <w:szCs w:val="22"/>
          <w:lang w:val="sr-Latn-ME"/>
        </w:rPr>
        <w:t>Napunjeni špricevi su samo za jednokratnu primjenu. Svu neiskorišćenu količinu lijeka ili otpadnog materijala nakon njegove upotrebe treba ukloniti, u skladu sa lokalnim zahtjevima.</w:t>
      </w:r>
    </w:p>
    <w:p w14:paraId="4CF0FE31" w14:textId="77777777" w:rsidR="00B7781E" w:rsidRPr="0071319B" w:rsidRDefault="00B7781E" w:rsidP="0058032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4E9AA7C1" w14:textId="135A96B0" w:rsidR="004B374C" w:rsidRPr="00357F8F" w:rsidRDefault="004B374C" w:rsidP="003207FF">
      <w:pPr>
        <w:widowControl w:val="0"/>
        <w:autoSpaceDE w:val="0"/>
        <w:autoSpaceDN w:val="0"/>
        <w:jc w:val="both"/>
        <w:outlineLvl w:val="0"/>
        <w:rPr>
          <w:b/>
          <w:bCs/>
          <w:color w:val="000000" w:themeColor="text1"/>
          <w:sz w:val="22"/>
          <w:szCs w:val="22"/>
          <w:lang w:val="es-ES"/>
        </w:rPr>
      </w:pPr>
      <w:bookmarkStart w:id="0" w:name="_Hlk147409404"/>
      <w:proofErr w:type="spellStart"/>
      <w:r w:rsidRPr="00F55988">
        <w:rPr>
          <w:b/>
          <w:bCs/>
          <w:color w:val="000000" w:themeColor="text1"/>
          <w:sz w:val="22"/>
          <w:szCs w:val="22"/>
          <w:lang w:val="es-ES"/>
        </w:rPr>
        <w:t>Uputstvo</w:t>
      </w:r>
      <w:proofErr w:type="spellEnd"/>
      <w:r w:rsidRPr="00F55988">
        <w:rPr>
          <w:b/>
          <w:bCs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b/>
          <w:bCs/>
          <w:color w:val="000000" w:themeColor="text1"/>
          <w:sz w:val="22"/>
          <w:szCs w:val="22"/>
          <w:lang w:val="es-ES"/>
        </w:rPr>
        <w:t>za</w:t>
      </w:r>
      <w:proofErr w:type="spellEnd"/>
      <w:r w:rsidRPr="00F55988">
        <w:rPr>
          <w:b/>
          <w:bCs/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b/>
          <w:bCs/>
          <w:color w:val="000000" w:themeColor="text1"/>
          <w:sz w:val="22"/>
          <w:szCs w:val="22"/>
          <w:lang w:val="es-ES"/>
        </w:rPr>
        <w:t>upotrebu</w:t>
      </w:r>
      <w:proofErr w:type="spellEnd"/>
      <w:r>
        <w:rPr>
          <w:b/>
          <w:bCs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b/>
          <w:bCs/>
          <w:color w:val="000000" w:themeColor="text1"/>
          <w:sz w:val="22"/>
          <w:szCs w:val="22"/>
          <w:lang w:val="es-ES"/>
        </w:rPr>
        <w:t>špric</w:t>
      </w:r>
      <w:r>
        <w:rPr>
          <w:b/>
          <w:bCs/>
          <w:color w:val="000000" w:themeColor="text1"/>
          <w:sz w:val="22"/>
          <w:szCs w:val="22"/>
          <w:lang w:val="es-ES"/>
        </w:rPr>
        <w:t>a</w:t>
      </w:r>
      <w:proofErr w:type="spellEnd"/>
    </w:p>
    <w:p w14:paraId="6AF1E334" w14:textId="31F62A32" w:rsidR="00177414" w:rsidRPr="00F55988" w:rsidRDefault="00177414" w:rsidP="009B3514">
      <w:pPr>
        <w:widowControl w:val="0"/>
        <w:autoSpaceDE w:val="0"/>
        <w:autoSpaceDN w:val="0"/>
        <w:spacing w:before="126" w:line="251" w:lineRule="exact"/>
        <w:jc w:val="both"/>
        <w:outlineLvl w:val="0"/>
        <w:rPr>
          <w:sz w:val="22"/>
          <w:szCs w:val="22"/>
          <w:lang w:val="es-ES"/>
        </w:rPr>
      </w:pPr>
      <w:proofErr w:type="spellStart"/>
      <w:r w:rsidRPr="00F55988">
        <w:rPr>
          <w:sz w:val="22"/>
          <w:szCs w:val="22"/>
          <w:lang w:val="es-ES"/>
        </w:rPr>
        <w:t>Pravilna</w:t>
      </w:r>
      <w:proofErr w:type="spellEnd"/>
      <w:r w:rsidRPr="00F55988">
        <w:rPr>
          <w:sz w:val="22"/>
          <w:szCs w:val="22"/>
          <w:lang w:val="es-ES"/>
        </w:rPr>
        <w:t xml:space="preserve"> </w:t>
      </w:r>
      <w:proofErr w:type="spellStart"/>
      <w:r w:rsidRPr="00F55988">
        <w:rPr>
          <w:sz w:val="22"/>
          <w:szCs w:val="22"/>
          <w:lang w:val="es-ES"/>
        </w:rPr>
        <w:t>primjena</w:t>
      </w:r>
      <w:proofErr w:type="spellEnd"/>
      <w:r w:rsidRPr="00F55988">
        <w:rPr>
          <w:sz w:val="22"/>
          <w:szCs w:val="22"/>
          <w:lang w:val="es-ES"/>
        </w:rPr>
        <w:t xml:space="preserve"> </w:t>
      </w:r>
      <w:proofErr w:type="spellStart"/>
      <w:r w:rsidRPr="00F55988">
        <w:rPr>
          <w:sz w:val="22"/>
          <w:szCs w:val="22"/>
          <w:lang w:val="es-ES"/>
        </w:rPr>
        <w:t>špriceva</w:t>
      </w:r>
      <w:proofErr w:type="spellEnd"/>
      <w:r w:rsidRPr="00F55988">
        <w:rPr>
          <w:sz w:val="22"/>
          <w:szCs w:val="22"/>
          <w:lang w:val="es-ES"/>
        </w:rPr>
        <w:t xml:space="preserve"> je </w:t>
      </w:r>
      <w:proofErr w:type="spellStart"/>
      <w:r w:rsidRPr="00F55988">
        <w:rPr>
          <w:sz w:val="22"/>
          <w:szCs w:val="22"/>
          <w:lang w:val="es-ES"/>
        </w:rPr>
        <w:t>neophodna</w:t>
      </w:r>
      <w:proofErr w:type="spellEnd"/>
      <w:r w:rsidRPr="00F55988">
        <w:rPr>
          <w:sz w:val="22"/>
          <w:szCs w:val="22"/>
          <w:lang w:val="es-ES"/>
        </w:rPr>
        <w:t xml:space="preserve"> a </w:t>
      </w:r>
      <w:proofErr w:type="spellStart"/>
      <w:r w:rsidRPr="00F55988">
        <w:rPr>
          <w:sz w:val="22"/>
          <w:szCs w:val="22"/>
          <w:lang w:val="es-ES"/>
        </w:rPr>
        <w:t>kako</w:t>
      </w:r>
      <w:proofErr w:type="spellEnd"/>
      <w:r w:rsidRPr="00F55988">
        <w:rPr>
          <w:sz w:val="22"/>
          <w:szCs w:val="22"/>
          <w:lang w:val="es-ES"/>
        </w:rPr>
        <w:t xml:space="preserve"> </w:t>
      </w:r>
      <w:proofErr w:type="spellStart"/>
      <w:proofErr w:type="gramStart"/>
      <w:r w:rsidRPr="00F55988">
        <w:rPr>
          <w:sz w:val="22"/>
          <w:szCs w:val="22"/>
          <w:lang w:val="es-ES"/>
        </w:rPr>
        <w:t>bi</w:t>
      </w:r>
      <w:proofErr w:type="spellEnd"/>
      <w:r w:rsidRPr="00F55988">
        <w:rPr>
          <w:sz w:val="22"/>
          <w:szCs w:val="22"/>
          <w:lang w:val="es-ES"/>
        </w:rPr>
        <w:t xml:space="preserve"> se</w:t>
      </w:r>
      <w:proofErr w:type="gramEnd"/>
      <w:r w:rsidRPr="00F55988">
        <w:rPr>
          <w:sz w:val="22"/>
          <w:szCs w:val="22"/>
          <w:lang w:val="es-ES"/>
        </w:rPr>
        <w:t xml:space="preserve"> </w:t>
      </w:r>
      <w:proofErr w:type="spellStart"/>
      <w:r w:rsidRPr="00F55988">
        <w:rPr>
          <w:sz w:val="22"/>
          <w:szCs w:val="22"/>
          <w:lang w:val="es-ES"/>
        </w:rPr>
        <w:t>smanjio</w:t>
      </w:r>
      <w:proofErr w:type="spellEnd"/>
      <w:r w:rsidRPr="00F55988">
        <w:rPr>
          <w:sz w:val="22"/>
          <w:szCs w:val="22"/>
          <w:lang w:val="es-ES"/>
        </w:rPr>
        <w:t xml:space="preserve"> </w:t>
      </w:r>
      <w:proofErr w:type="spellStart"/>
      <w:r w:rsidRPr="00F55988">
        <w:rPr>
          <w:sz w:val="22"/>
          <w:szCs w:val="22"/>
          <w:lang w:val="es-ES"/>
        </w:rPr>
        <w:t>rizik</w:t>
      </w:r>
      <w:proofErr w:type="spellEnd"/>
      <w:r w:rsidRPr="00F55988">
        <w:rPr>
          <w:sz w:val="22"/>
          <w:szCs w:val="22"/>
          <w:lang w:val="es-ES"/>
        </w:rPr>
        <w:t xml:space="preserve"> </w:t>
      </w:r>
      <w:proofErr w:type="spellStart"/>
      <w:r w:rsidRPr="00F55988">
        <w:rPr>
          <w:sz w:val="22"/>
          <w:szCs w:val="22"/>
          <w:lang w:val="es-ES"/>
        </w:rPr>
        <w:t>od</w:t>
      </w:r>
      <w:proofErr w:type="spellEnd"/>
      <w:r w:rsidRPr="00F55988">
        <w:rPr>
          <w:sz w:val="22"/>
          <w:szCs w:val="22"/>
          <w:lang w:val="es-ES"/>
        </w:rPr>
        <w:t xml:space="preserve"> bola i </w:t>
      </w:r>
      <w:proofErr w:type="spellStart"/>
      <w:r w:rsidRPr="00F55988">
        <w:rPr>
          <w:sz w:val="22"/>
          <w:szCs w:val="22"/>
          <w:lang w:val="es-ES"/>
        </w:rPr>
        <w:t>pojave</w:t>
      </w:r>
      <w:proofErr w:type="spellEnd"/>
      <w:r w:rsidRPr="00F55988">
        <w:rPr>
          <w:sz w:val="22"/>
          <w:szCs w:val="22"/>
          <w:lang w:val="es-ES"/>
        </w:rPr>
        <w:t xml:space="preserve"> </w:t>
      </w:r>
      <w:proofErr w:type="spellStart"/>
      <w:r w:rsidRPr="00F55988">
        <w:rPr>
          <w:sz w:val="22"/>
          <w:szCs w:val="22"/>
          <w:lang w:val="es-ES"/>
        </w:rPr>
        <w:t>modrica</w:t>
      </w:r>
      <w:proofErr w:type="spellEnd"/>
      <w:r w:rsidRPr="00F55988">
        <w:rPr>
          <w:sz w:val="22"/>
          <w:szCs w:val="22"/>
          <w:lang w:val="es-ES"/>
        </w:rPr>
        <w:t xml:space="preserve"> </w:t>
      </w:r>
      <w:proofErr w:type="spellStart"/>
      <w:r w:rsidRPr="00F55988">
        <w:rPr>
          <w:sz w:val="22"/>
          <w:szCs w:val="22"/>
          <w:lang w:val="es-ES"/>
        </w:rPr>
        <w:t>na</w:t>
      </w:r>
      <w:proofErr w:type="spellEnd"/>
      <w:r w:rsidRPr="00F55988">
        <w:rPr>
          <w:sz w:val="22"/>
          <w:szCs w:val="22"/>
          <w:lang w:val="es-ES"/>
        </w:rPr>
        <w:t xml:space="preserve"> </w:t>
      </w:r>
      <w:proofErr w:type="spellStart"/>
      <w:r w:rsidRPr="00F55988">
        <w:rPr>
          <w:sz w:val="22"/>
          <w:szCs w:val="22"/>
          <w:lang w:val="es-ES"/>
        </w:rPr>
        <w:t>mjestu</w:t>
      </w:r>
      <w:proofErr w:type="spellEnd"/>
      <w:r w:rsidRPr="00F55988">
        <w:rPr>
          <w:sz w:val="22"/>
          <w:szCs w:val="22"/>
          <w:lang w:val="es-ES"/>
        </w:rPr>
        <w:t xml:space="preserve"> </w:t>
      </w:r>
      <w:proofErr w:type="spellStart"/>
      <w:r w:rsidRPr="00F55988">
        <w:rPr>
          <w:sz w:val="22"/>
          <w:szCs w:val="22"/>
          <w:lang w:val="es-ES"/>
        </w:rPr>
        <w:t>injiciranja</w:t>
      </w:r>
      <w:proofErr w:type="spellEnd"/>
      <w:r w:rsidRPr="00F55988">
        <w:rPr>
          <w:sz w:val="22"/>
          <w:szCs w:val="22"/>
          <w:lang w:val="es-ES"/>
        </w:rPr>
        <w:t xml:space="preserve">. </w:t>
      </w:r>
      <w:proofErr w:type="spellStart"/>
      <w:r w:rsidRPr="00F55988">
        <w:rPr>
          <w:sz w:val="22"/>
          <w:szCs w:val="22"/>
          <w:lang w:val="es-ES"/>
        </w:rPr>
        <w:t>Pažljivo</w:t>
      </w:r>
      <w:proofErr w:type="spellEnd"/>
      <w:r w:rsidRPr="00F55988">
        <w:rPr>
          <w:sz w:val="22"/>
          <w:szCs w:val="22"/>
          <w:lang w:val="es-ES"/>
        </w:rPr>
        <w:t xml:space="preserve"> </w:t>
      </w:r>
      <w:proofErr w:type="spellStart"/>
      <w:r w:rsidRPr="00F55988">
        <w:rPr>
          <w:sz w:val="22"/>
          <w:szCs w:val="22"/>
          <w:lang w:val="es-ES"/>
        </w:rPr>
        <w:t>slijedite</w:t>
      </w:r>
      <w:proofErr w:type="spellEnd"/>
      <w:r w:rsidRPr="00F55988">
        <w:rPr>
          <w:sz w:val="22"/>
          <w:szCs w:val="22"/>
          <w:lang w:val="es-ES"/>
        </w:rPr>
        <w:t xml:space="preserve"> </w:t>
      </w:r>
      <w:proofErr w:type="spellStart"/>
      <w:r w:rsidRPr="00F55988">
        <w:rPr>
          <w:sz w:val="22"/>
          <w:szCs w:val="22"/>
          <w:lang w:val="es-ES"/>
        </w:rPr>
        <w:t>uputstvo</w:t>
      </w:r>
      <w:proofErr w:type="spellEnd"/>
      <w:r w:rsidRPr="00F55988">
        <w:rPr>
          <w:sz w:val="22"/>
          <w:szCs w:val="22"/>
          <w:lang w:val="es-ES"/>
        </w:rPr>
        <w:t>.</w:t>
      </w:r>
    </w:p>
    <w:bookmarkEnd w:id="0"/>
    <w:p w14:paraId="4FEDA579" w14:textId="23AD977D" w:rsidR="00177414" w:rsidRDefault="00177414" w:rsidP="0076791E">
      <w:pPr>
        <w:widowControl w:val="0"/>
        <w:autoSpaceDE w:val="0"/>
        <w:autoSpaceDN w:val="0"/>
        <w:spacing w:line="251" w:lineRule="exact"/>
        <w:jc w:val="both"/>
        <w:outlineLvl w:val="0"/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</w:pPr>
    </w:p>
    <w:p w14:paraId="7A0C9D93" w14:textId="77777777" w:rsidR="00177414" w:rsidRPr="00F55988" w:rsidRDefault="00177414" w:rsidP="003207FF">
      <w:pPr>
        <w:widowControl w:val="0"/>
        <w:autoSpaceDE w:val="0"/>
        <w:autoSpaceDN w:val="0"/>
        <w:jc w:val="both"/>
        <w:outlineLvl w:val="0"/>
        <w:rPr>
          <w:b/>
          <w:bCs/>
          <w:color w:val="000000" w:themeColor="text1"/>
          <w:sz w:val="22"/>
          <w:szCs w:val="22"/>
          <w:lang w:val="es-ES"/>
        </w:rPr>
      </w:pPr>
      <w:bookmarkStart w:id="1" w:name="_Hlk147409425"/>
      <w:proofErr w:type="spellStart"/>
      <w:r w:rsidRPr="00F55988">
        <w:rPr>
          <w:b/>
          <w:bCs/>
          <w:color w:val="000000" w:themeColor="text1"/>
          <w:sz w:val="22"/>
          <w:szCs w:val="22"/>
          <w:lang w:val="es-ES"/>
        </w:rPr>
        <w:t>Uputstvo</w:t>
      </w:r>
      <w:proofErr w:type="spellEnd"/>
      <w:r w:rsidRPr="00F55988">
        <w:rPr>
          <w:b/>
          <w:bCs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b/>
          <w:bCs/>
          <w:color w:val="000000" w:themeColor="text1"/>
          <w:sz w:val="22"/>
          <w:szCs w:val="22"/>
          <w:lang w:val="es-ES"/>
        </w:rPr>
        <w:t>za</w:t>
      </w:r>
      <w:proofErr w:type="spellEnd"/>
      <w:r w:rsidRPr="00F55988">
        <w:rPr>
          <w:b/>
          <w:bCs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b/>
          <w:bCs/>
          <w:color w:val="000000" w:themeColor="text1"/>
          <w:sz w:val="22"/>
          <w:szCs w:val="22"/>
          <w:lang w:val="es-ES"/>
        </w:rPr>
        <w:t>špriceve</w:t>
      </w:r>
      <w:proofErr w:type="spellEnd"/>
      <w:r w:rsidRPr="00F55988">
        <w:rPr>
          <w:b/>
          <w:bCs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b/>
          <w:bCs/>
          <w:color w:val="000000" w:themeColor="text1"/>
          <w:sz w:val="22"/>
          <w:szCs w:val="22"/>
          <w:lang w:val="es-ES"/>
        </w:rPr>
        <w:t>bez</w:t>
      </w:r>
      <w:proofErr w:type="spellEnd"/>
      <w:r w:rsidRPr="00F55988">
        <w:rPr>
          <w:b/>
          <w:bCs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b/>
          <w:bCs/>
          <w:color w:val="000000" w:themeColor="text1"/>
          <w:sz w:val="22"/>
          <w:szCs w:val="22"/>
          <w:lang w:val="es-ES"/>
        </w:rPr>
        <w:t>sigurnosnog</w:t>
      </w:r>
      <w:proofErr w:type="spellEnd"/>
      <w:r w:rsidRPr="00F55988">
        <w:rPr>
          <w:b/>
          <w:bCs/>
          <w:color w:val="000000" w:themeColor="text1"/>
          <w:sz w:val="22"/>
          <w:szCs w:val="22"/>
          <w:lang w:val="es-ES"/>
        </w:rPr>
        <w:t xml:space="preserve"> sistema</w:t>
      </w:r>
    </w:p>
    <w:p w14:paraId="51060B0F" w14:textId="77777777" w:rsidR="00177414" w:rsidRPr="00F55988" w:rsidRDefault="00177414" w:rsidP="003207FF">
      <w:pPr>
        <w:widowControl w:val="0"/>
        <w:autoSpaceDE w:val="0"/>
        <w:autoSpaceDN w:val="0"/>
        <w:spacing w:before="8"/>
        <w:ind w:left="232"/>
        <w:jc w:val="both"/>
        <w:rPr>
          <w:b/>
          <w:color w:val="000000" w:themeColor="text1"/>
          <w:sz w:val="21"/>
          <w:szCs w:val="22"/>
          <w:lang w:val="es-ES"/>
        </w:rPr>
      </w:pPr>
    </w:p>
    <w:p w14:paraId="6FE3259F" w14:textId="77777777" w:rsidR="00177414" w:rsidRPr="00F55988" w:rsidRDefault="00177414" w:rsidP="003207FF">
      <w:pPr>
        <w:widowControl w:val="0"/>
        <w:numPr>
          <w:ilvl w:val="0"/>
          <w:numId w:val="26"/>
        </w:numPr>
        <w:tabs>
          <w:tab w:val="left" w:pos="833"/>
          <w:tab w:val="left" w:pos="834"/>
        </w:tabs>
        <w:autoSpaceDE w:val="0"/>
        <w:autoSpaceDN w:val="0"/>
        <w:ind w:left="834" w:hanging="567"/>
        <w:jc w:val="both"/>
        <w:rPr>
          <w:color w:val="000000" w:themeColor="text1"/>
          <w:sz w:val="22"/>
          <w:szCs w:val="22"/>
        </w:rPr>
      </w:pPr>
      <w:proofErr w:type="spellStart"/>
      <w:r w:rsidRPr="00F55988">
        <w:rPr>
          <w:color w:val="000000" w:themeColor="text1"/>
          <w:sz w:val="22"/>
          <w:szCs w:val="22"/>
        </w:rPr>
        <w:t>Priprema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mjesta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injiciranja</w:t>
      </w:r>
      <w:proofErr w:type="spellEnd"/>
      <w:r w:rsidRPr="00F55988">
        <w:rPr>
          <w:color w:val="000000" w:themeColor="text1"/>
          <w:sz w:val="22"/>
          <w:szCs w:val="22"/>
        </w:rPr>
        <w:t>:</w:t>
      </w:r>
    </w:p>
    <w:p w14:paraId="78274988" w14:textId="77777777" w:rsidR="00177414" w:rsidRPr="00F55988" w:rsidRDefault="00177414" w:rsidP="003207FF">
      <w:pPr>
        <w:widowControl w:val="0"/>
        <w:autoSpaceDE w:val="0"/>
        <w:autoSpaceDN w:val="0"/>
        <w:spacing w:before="6"/>
        <w:ind w:left="267"/>
        <w:jc w:val="both"/>
        <w:rPr>
          <w:color w:val="000000" w:themeColor="text1"/>
          <w:sz w:val="22"/>
          <w:szCs w:val="22"/>
        </w:rPr>
      </w:pPr>
    </w:p>
    <w:p w14:paraId="163CE184" w14:textId="7A76B63E" w:rsidR="00177414" w:rsidRPr="00F55988" w:rsidRDefault="00177414" w:rsidP="003207FF">
      <w:pPr>
        <w:widowControl w:val="0"/>
        <w:autoSpaceDE w:val="0"/>
        <w:autoSpaceDN w:val="0"/>
        <w:spacing w:before="6"/>
        <w:ind w:left="267"/>
        <w:jc w:val="both"/>
        <w:rPr>
          <w:color w:val="000000" w:themeColor="text1"/>
          <w:sz w:val="22"/>
          <w:szCs w:val="22"/>
        </w:rPr>
      </w:pPr>
      <w:proofErr w:type="spellStart"/>
      <w:r w:rsidRPr="00F55988">
        <w:rPr>
          <w:color w:val="000000" w:themeColor="text1"/>
          <w:sz w:val="22"/>
          <w:szCs w:val="22"/>
        </w:rPr>
        <w:t>Prije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nego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što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primijenite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injekciju</w:t>
      </w:r>
      <w:proofErr w:type="spellEnd"/>
      <w:r w:rsidRPr="00F55988">
        <w:rPr>
          <w:color w:val="000000" w:themeColor="text1"/>
          <w:sz w:val="22"/>
          <w:szCs w:val="22"/>
        </w:rPr>
        <w:t xml:space="preserve">, </w:t>
      </w:r>
      <w:proofErr w:type="spellStart"/>
      <w:r w:rsidRPr="00F55988">
        <w:rPr>
          <w:color w:val="000000" w:themeColor="text1"/>
          <w:sz w:val="22"/>
          <w:szCs w:val="22"/>
        </w:rPr>
        <w:t>operite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ruke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i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osušite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ih</w:t>
      </w:r>
      <w:proofErr w:type="spellEnd"/>
      <w:r w:rsidRPr="00F55988">
        <w:rPr>
          <w:color w:val="000000" w:themeColor="text1"/>
          <w:sz w:val="22"/>
          <w:szCs w:val="22"/>
        </w:rPr>
        <w:t xml:space="preserve">. </w:t>
      </w:r>
      <w:proofErr w:type="spellStart"/>
      <w:r w:rsidRPr="00F55988">
        <w:rPr>
          <w:color w:val="000000" w:themeColor="text1"/>
          <w:sz w:val="22"/>
          <w:szCs w:val="22"/>
        </w:rPr>
        <w:t>Pomoću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tupfera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očistite</w:t>
      </w:r>
      <w:proofErr w:type="spellEnd"/>
      <w:r w:rsidRPr="00F55988">
        <w:rPr>
          <w:color w:val="000000" w:themeColor="text1"/>
          <w:sz w:val="22"/>
          <w:szCs w:val="22"/>
        </w:rPr>
        <w:t xml:space="preserve"> (bez </w:t>
      </w:r>
      <w:proofErr w:type="spellStart"/>
      <w:r w:rsidRPr="00F55988">
        <w:rPr>
          <w:color w:val="000000" w:themeColor="text1"/>
          <w:sz w:val="22"/>
          <w:szCs w:val="22"/>
        </w:rPr>
        <w:t>trljanja</w:t>
      </w:r>
      <w:proofErr w:type="spellEnd"/>
      <w:r w:rsidRPr="00F55988">
        <w:rPr>
          <w:color w:val="000000" w:themeColor="text1"/>
          <w:sz w:val="22"/>
          <w:szCs w:val="22"/>
        </w:rPr>
        <w:t xml:space="preserve">) </w:t>
      </w:r>
      <w:proofErr w:type="spellStart"/>
      <w:r w:rsidRPr="00F55988">
        <w:rPr>
          <w:color w:val="000000" w:themeColor="text1"/>
          <w:sz w:val="22"/>
          <w:szCs w:val="22"/>
        </w:rPr>
        <w:t>mjesto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izabrano</w:t>
      </w:r>
      <w:proofErr w:type="spellEnd"/>
      <w:r w:rsidRPr="00F55988">
        <w:rPr>
          <w:color w:val="000000" w:themeColor="text1"/>
          <w:sz w:val="22"/>
          <w:szCs w:val="22"/>
        </w:rPr>
        <w:t xml:space="preserve"> za </w:t>
      </w:r>
      <w:proofErr w:type="spellStart"/>
      <w:r w:rsidRPr="00F55988">
        <w:rPr>
          <w:color w:val="000000" w:themeColor="text1"/>
          <w:sz w:val="22"/>
          <w:szCs w:val="22"/>
        </w:rPr>
        <w:t>injekciju</w:t>
      </w:r>
      <w:proofErr w:type="spellEnd"/>
      <w:r w:rsidRPr="00F55988">
        <w:rPr>
          <w:color w:val="000000" w:themeColor="text1"/>
          <w:sz w:val="22"/>
          <w:szCs w:val="22"/>
        </w:rPr>
        <w:t>.</w:t>
      </w:r>
    </w:p>
    <w:p w14:paraId="38A44937" w14:textId="77777777" w:rsidR="00177414" w:rsidRPr="00F55988" w:rsidRDefault="00177414" w:rsidP="003207FF">
      <w:pPr>
        <w:widowControl w:val="0"/>
        <w:autoSpaceDE w:val="0"/>
        <w:autoSpaceDN w:val="0"/>
        <w:spacing w:before="6"/>
        <w:ind w:left="267"/>
        <w:jc w:val="both"/>
        <w:rPr>
          <w:color w:val="000000" w:themeColor="text1"/>
          <w:sz w:val="20"/>
          <w:szCs w:val="22"/>
          <w:highlight w:val="yellow"/>
          <w:lang w:val="es-ES"/>
        </w:rPr>
      </w:pPr>
      <w:proofErr w:type="spellStart"/>
      <w:r w:rsidRPr="00F55988">
        <w:rPr>
          <w:color w:val="000000" w:themeColor="text1"/>
          <w:sz w:val="22"/>
          <w:szCs w:val="22"/>
          <w:lang w:val="es-ES"/>
        </w:rPr>
        <w:t>Izaberite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različito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područje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stomaka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za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svaku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injekciju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>.</w:t>
      </w:r>
    </w:p>
    <w:bookmarkEnd w:id="1"/>
    <w:p w14:paraId="119988AB" w14:textId="77777777" w:rsidR="00177414" w:rsidRPr="00F55988" w:rsidRDefault="00177414" w:rsidP="003207FF">
      <w:pPr>
        <w:widowControl w:val="0"/>
        <w:autoSpaceDE w:val="0"/>
        <w:autoSpaceDN w:val="0"/>
        <w:spacing w:before="3"/>
        <w:ind w:left="232"/>
        <w:jc w:val="both"/>
        <w:rPr>
          <w:sz w:val="20"/>
          <w:szCs w:val="22"/>
          <w:highlight w:val="yellow"/>
          <w:lang w:val="es-ES"/>
        </w:rPr>
      </w:pPr>
    </w:p>
    <w:p w14:paraId="4A1CB8C0" w14:textId="77777777" w:rsidR="00177414" w:rsidRPr="00F55988" w:rsidRDefault="00177414" w:rsidP="003207FF">
      <w:pPr>
        <w:widowControl w:val="0"/>
        <w:autoSpaceDE w:val="0"/>
        <w:autoSpaceDN w:val="0"/>
        <w:spacing w:before="3"/>
        <w:jc w:val="both"/>
        <w:rPr>
          <w:sz w:val="20"/>
          <w:szCs w:val="22"/>
          <w:highlight w:val="yellow"/>
          <w:lang w:val="es-ES"/>
        </w:rPr>
      </w:pPr>
      <w:bookmarkStart w:id="2" w:name="_Hlk147409527"/>
    </w:p>
    <w:p w14:paraId="4AE8732B" w14:textId="77777777" w:rsidR="00177414" w:rsidRPr="0048212E" w:rsidRDefault="00177414" w:rsidP="003207FF">
      <w:pPr>
        <w:widowControl w:val="0"/>
        <w:numPr>
          <w:ilvl w:val="0"/>
          <w:numId w:val="26"/>
        </w:numPr>
        <w:tabs>
          <w:tab w:val="left" w:pos="833"/>
          <w:tab w:val="left" w:pos="834"/>
        </w:tabs>
        <w:autoSpaceDE w:val="0"/>
        <w:autoSpaceDN w:val="0"/>
        <w:ind w:left="834" w:hanging="567"/>
        <w:jc w:val="both"/>
        <w:rPr>
          <w:color w:val="000000" w:themeColor="text1"/>
          <w:sz w:val="22"/>
          <w:szCs w:val="22"/>
        </w:rPr>
      </w:pPr>
      <w:proofErr w:type="spellStart"/>
      <w:r w:rsidRPr="00F55988">
        <w:rPr>
          <w:color w:val="000000" w:themeColor="text1"/>
          <w:sz w:val="22"/>
          <w:szCs w:val="22"/>
        </w:rPr>
        <w:t>Skinite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zaštitni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poklopac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sa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igle</w:t>
      </w:r>
      <w:proofErr w:type="spellEnd"/>
    </w:p>
    <w:p w14:paraId="52971528" w14:textId="77777777" w:rsidR="00177414" w:rsidRPr="0048212E" w:rsidRDefault="00177414" w:rsidP="003207FF">
      <w:pPr>
        <w:widowControl w:val="0"/>
        <w:autoSpaceDE w:val="0"/>
        <w:autoSpaceDN w:val="0"/>
        <w:spacing w:before="6"/>
        <w:ind w:left="267"/>
        <w:jc w:val="both"/>
        <w:rPr>
          <w:color w:val="C00000"/>
          <w:sz w:val="22"/>
          <w:szCs w:val="22"/>
          <w:highlight w:val="yellow"/>
        </w:rPr>
      </w:pPr>
    </w:p>
    <w:p w14:paraId="091385E3" w14:textId="35CFEC13" w:rsidR="00177414" w:rsidRDefault="00177414" w:rsidP="003207FF">
      <w:pPr>
        <w:widowControl w:val="0"/>
        <w:autoSpaceDE w:val="0"/>
        <w:autoSpaceDN w:val="0"/>
        <w:spacing w:before="6"/>
        <w:ind w:left="267"/>
        <w:jc w:val="both"/>
        <w:rPr>
          <w:color w:val="000000" w:themeColor="text1"/>
          <w:sz w:val="22"/>
          <w:szCs w:val="22"/>
          <w:lang w:val="es-ES"/>
        </w:rPr>
      </w:pPr>
      <w:proofErr w:type="spellStart"/>
      <w:r w:rsidRPr="00F55988">
        <w:rPr>
          <w:color w:val="000000" w:themeColor="text1"/>
          <w:sz w:val="22"/>
          <w:szCs w:val="22"/>
          <w:lang w:val="es-ES"/>
        </w:rPr>
        <w:t>Postoji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mogu</w:t>
      </w:r>
      <w:r w:rsidRPr="00F55988">
        <w:rPr>
          <w:color w:val="000000" w:themeColor="text1"/>
          <w:sz w:val="22"/>
          <w:szCs w:val="22"/>
          <w:lang w:val="sr-Latn-ME"/>
        </w:rPr>
        <w:t>ćnost</w:t>
      </w:r>
      <w:proofErr w:type="spellEnd"/>
      <w:r w:rsidRPr="00F55988">
        <w:rPr>
          <w:color w:val="000000" w:themeColor="text1"/>
          <w:sz w:val="22"/>
          <w:szCs w:val="22"/>
          <w:lang w:val="sr-Latn-ME"/>
        </w:rPr>
        <w:t xml:space="preserve"> da se na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vrhu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igle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pojaviti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kapljica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. U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ovom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proofErr w:type="gramStart"/>
      <w:r w:rsidRPr="00F55988">
        <w:rPr>
          <w:color w:val="000000" w:themeColor="text1"/>
          <w:sz w:val="22"/>
          <w:szCs w:val="22"/>
          <w:lang w:val="es-ES"/>
        </w:rPr>
        <w:t>slučaju</w:t>
      </w:r>
      <w:proofErr w:type="spellEnd"/>
      <w:r w:rsidR="009B3514">
        <w:rPr>
          <w:color w:val="000000" w:themeColor="text1"/>
          <w:sz w:val="22"/>
          <w:szCs w:val="22"/>
          <w:lang w:val="es-ES"/>
        </w:rPr>
        <w:t xml:space="preserve"> </w:t>
      </w:r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uklonite</w:t>
      </w:r>
      <w:proofErr w:type="spellEnd"/>
      <w:proofErr w:type="gram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kapljicu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prije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injiciranja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tako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što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ćete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lagano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tapkati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tijelo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šprica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(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sa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iglom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okrenutom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prema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dolje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). </w:t>
      </w:r>
    </w:p>
    <w:p w14:paraId="00A622F7" w14:textId="2EDE7EF9" w:rsidR="00177414" w:rsidRDefault="00177414" w:rsidP="003207FF">
      <w:pPr>
        <w:widowControl w:val="0"/>
        <w:autoSpaceDE w:val="0"/>
        <w:autoSpaceDN w:val="0"/>
        <w:spacing w:before="6"/>
        <w:ind w:left="267"/>
        <w:jc w:val="both"/>
        <w:rPr>
          <w:color w:val="000000" w:themeColor="text1"/>
          <w:sz w:val="22"/>
          <w:szCs w:val="22"/>
          <w:lang w:val="es-ES"/>
        </w:rPr>
      </w:pPr>
    </w:p>
    <w:p w14:paraId="4995F955" w14:textId="5AE46B8A" w:rsidR="00177414" w:rsidRPr="00F55988" w:rsidRDefault="00177414" w:rsidP="00177414">
      <w:pPr>
        <w:widowControl w:val="0"/>
        <w:autoSpaceDE w:val="0"/>
        <w:autoSpaceDN w:val="0"/>
        <w:spacing w:before="6"/>
        <w:ind w:left="267"/>
        <w:rPr>
          <w:sz w:val="20"/>
          <w:szCs w:val="20"/>
          <w:lang w:val="es-ES"/>
        </w:rPr>
      </w:pPr>
      <w:r w:rsidRPr="00F55988">
        <w:rPr>
          <w:noProof/>
          <w:color w:val="C00000"/>
          <w:sz w:val="22"/>
          <w:szCs w:val="22"/>
          <w:highlight w:val="yellow"/>
        </w:rPr>
        <w:drawing>
          <wp:anchor distT="0" distB="0" distL="0" distR="0" simplePos="0" relativeHeight="251661312" behindDoc="0" locked="0" layoutInCell="1" allowOverlap="1" wp14:anchorId="20712A12" wp14:editId="16F8695C">
            <wp:simplePos x="0" y="0"/>
            <wp:positionH relativeFrom="page">
              <wp:posOffset>3059430</wp:posOffset>
            </wp:positionH>
            <wp:positionV relativeFrom="paragraph">
              <wp:posOffset>187325</wp:posOffset>
            </wp:positionV>
            <wp:extent cx="981508" cy="911351"/>
            <wp:effectExtent l="0" t="0" r="0" b="0"/>
            <wp:wrapTopAndBottom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508" cy="911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996D8D" w14:textId="14FA2183" w:rsidR="00177414" w:rsidRPr="00177414" w:rsidRDefault="00177414" w:rsidP="00990044">
      <w:pPr>
        <w:widowControl w:val="0"/>
        <w:autoSpaceDE w:val="0"/>
        <w:autoSpaceDN w:val="0"/>
        <w:spacing w:line="251" w:lineRule="exact"/>
        <w:jc w:val="both"/>
        <w:outlineLvl w:val="0"/>
        <w:rPr>
          <w:rFonts w:asciiTheme="majorBidi" w:hAnsiTheme="majorBidi" w:cstheme="majorBidi"/>
          <w:color w:val="000000" w:themeColor="text1"/>
          <w:sz w:val="22"/>
          <w:szCs w:val="22"/>
          <w:lang w:val="es-ES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  <w:lang w:val="es-ES"/>
        </w:rPr>
        <w:t xml:space="preserve">                                                                       </w:t>
      </w:r>
    </w:p>
    <w:p w14:paraId="7A318492" w14:textId="77777777" w:rsidR="00177414" w:rsidRDefault="00177414" w:rsidP="00990044">
      <w:pPr>
        <w:widowControl w:val="0"/>
        <w:autoSpaceDE w:val="0"/>
        <w:autoSpaceDN w:val="0"/>
        <w:spacing w:line="251" w:lineRule="exact"/>
        <w:jc w:val="both"/>
        <w:outlineLvl w:val="0"/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</w:pPr>
    </w:p>
    <w:p w14:paraId="5A91A9BC" w14:textId="77777777" w:rsidR="00177414" w:rsidRPr="00F55988" w:rsidRDefault="00177414" w:rsidP="003207FF">
      <w:pPr>
        <w:widowControl w:val="0"/>
        <w:numPr>
          <w:ilvl w:val="0"/>
          <w:numId w:val="26"/>
        </w:numPr>
        <w:tabs>
          <w:tab w:val="left" w:pos="833"/>
          <w:tab w:val="left" w:pos="834"/>
        </w:tabs>
        <w:autoSpaceDE w:val="0"/>
        <w:autoSpaceDN w:val="0"/>
        <w:ind w:left="834" w:hanging="567"/>
        <w:jc w:val="both"/>
        <w:rPr>
          <w:color w:val="000000" w:themeColor="text1"/>
          <w:sz w:val="22"/>
          <w:szCs w:val="22"/>
        </w:rPr>
      </w:pPr>
      <w:proofErr w:type="spellStart"/>
      <w:r w:rsidRPr="00F55988">
        <w:rPr>
          <w:color w:val="000000" w:themeColor="text1"/>
          <w:sz w:val="22"/>
          <w:szCs w:val="22"/>
        </w:rPr>
        <w:t>Davanje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injekcije</w:t>
      </w:r>
      <w:proofErr w:type="spellEnd"/>
      <w:r w:rsidRPr="00F55988">
        <w:rPr>
          <w:color w:val="000000" w:themeColor="text1"/>
          <w:sz w:val="22"/>
          <w:szCs w:val="22"/>
        </w:rPr>
        <w:t>:</w:t>
      </w:r>
    </w:p>
    <w:p w14:paraId="21297D45" w14:textId="77777777" w:rsidR="00177414" w:rsidRPr="00F55988" w:rsidRDefault="00177414" w:rsidP="003207FF">
      <w:pPr>
        <w:widowControl w:val="0"/>
        <w:autoSpaceDE w:val="0"/>
        <w:autoSpaceDN w:val="0"/>
        <w:spacing w:before="5" w:line="244" w:lineRule="auto"/>
        <w:ind w:left="266" w:right="713"/>
        <w:jc w:val="both"/>
        <w:rPr>
          <w:color w:val="000000" w:themeColor="text1"/>
          <w:sz w:val="22"/>
          <w:szCs w:val="22"/>
          <w:highlight w:val="yellow"/>
        </w:rPr>
      </w:pPr>
    </w:p>
    <w:p w14:paraId="4FB79017" w14:textId="04A062AF" w:rsidR="00177414" w:rsidRDefault="00177414" w:rsidP="009B3514">
      <w:pPr>
        <w:widowControl w:val="0"/>
        <w:tabs>
          <w:tab w:val="left" w:pos="6237"/>
          <w:tab w:val="left" w:pos="7088"/>
        </w:tabs>
        <w:autoSpaceDE w:val="0"/>
        <w:autoSpaceDN w:val="0"/>
        <w:spacing w:before="5" w:line="244" w:lineRule="auto"/>
        <w:ind w:left="266"/>
        <w:jc w:val="both"/>
        <w:rPr>
          <w:color w:val="000000" w:themeColor="text1"/>
          <w:sz w:val="22"/>
          <w:szCs w:val="22"/>
        </w:rPr>
      </w:pPr>
      <w:proofErr w:type="spellStart"/>
      <w:r w:rsidRPr="00357F8F">
        <w:rPr>
          <w:color w:val="000000" w:themeColor="text1"/>
          <w:sz w:val="22"/>
          <w:szCs w:val="22"/>
        </w:rPr>
        <w:t>Napunjeni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injekcioni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špric</w:t>
      </w:r>
      <w:proofErr w:type="spellEnd"/>
      <w:r w:rsidRPr="00357F8F">
        <w:rPr>
          <w:color w:val="000000" w:themeColor="text1"/>
          <w:sz w:val="22"/>
          <w:szCs w:val="22"/>
        </w:rPr>
        <w:t xml:space="preserve"> je </w:t>
      </w:r>
      <w:proofErr w:type="spellStart"/>
      <w:r w:rsidRPr="00357F8F">
        <w:rPr>
          <w:color w:val="000000" w:themeColor="text1"/>
          <w:sz w:val="22"/>
          <w:szCs w:val="22"/>
        </w:rPr>
        <w:t>spreman</w:t>
      </w:r>
      <w:proofErr w:type="spellEnd"/>
      <w:r w:rsidRPr="00357F8F">
        <w:rPr>
          <w:color w:val="000000" w:themeColor="text1"/>
          <w:sz w:val="22"/>
          <w:szCs w:val="22"/>
        </w:rPr>
        <w:t xml:space="preserve"> za </w:t>
      </w:r>
      <w:proofErr w:type="spellStart"/>
      <w:r w:rsidRPr="00357F8F">
        <w:rPr>
          <w:color w:val="000000" w:themeColor="text1"/>
          <w:sz w:val="22"/>
          <w:szCs w:val="22"/>
        </w:rPr>
        <w:t>neposrednu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upotrebu</w:t>
      </w:r>
      <w:proofErr w:type="spellEnd"/>
      <w:r w:rsidRPr="00357F8F">
        <w:rPr>
          <w:color w:val="000000" w:themeColor="text1"/>
          <w:sz w:val="22"/>
          <w:szCs w:val="22"/>
        </w:rPr>
        <w:t xml:space="preserve">. </w:t>
      </w:r>
      <w:proofErr w:type="spellStart"/>
      <w:r>
        <w:rPr>
          <w:color w:val="000000" w:themeColor="text1"/>
          <w:sz w:val="22"/>
          <w:szCs w:val="22"/>
        </w:rPr>
        <w:t>Izaberite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mjesto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na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desnoj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ili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lijevoj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stran</w:t>
      </w:r>
      <w:r w:rsidR="004B374C">
        <w:rPr>
          <w:color w:val="000000" w:themeColor="text1"/>
          <w:sz w:val="22"/>
          <w:szCs w:val="22"/>
        </w:rPr>
        <w:t>i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stomaka</w:t>
      </w:r>
      <w:proofErr w:type="spellEnd"/>
      <w:r>
        <w:rPr>
          <w:color w:val="000000" w:themeColor="text1"/>
          <w:sz w:val="22"/>
          <w:szCs w:val="22"/>
        </w:rPr>
        <w:t xml:space="preserve">. </w:t>
      </w:r>
      <w:proofErr w:type="spellStart"/>
      <w:r>
        <w:rPr>
          <w:color w:val="000000" w:themeColor="text1"/>
          <w:sz w:val="22"/>
          <w:szCs w:val="22"/>
        </w:rPr>
        <w:t>Mjesto</w:t>
      </w:r>
      <w:proofErr w:type="spellEnd"/>
      <w:r>
        <w:rPr>
          <w:color w:val="000000" w:themeColor="text1"/>
          <w:sz w:val="22"/>
          <w:szCs w:val="22"/>
        </w:rPr>
        <w:t xml:space="preserve"> mora </w:t>
      </w:r>
      <w:proofErr w:type="spellStart"/>
      <w:r>
        <w:rPr>
          <w:color w:val="000000" w:themeColor="text1"/>
          <w:sz w:val="22"/>
          <w:szCs w:val="22"/>
        </w:rPr>
        <w:t>biti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najmanje</w:t>
      </w:r>
      <w:proofErr w:type="spellEnd"/>
      <w:r>
        <w:rPr>
          <w:color w:val="000000" w:themeColor="text1"/>
          <w:sz w:val="22"/>
          <w:szCs w:val="22"/>
        </w:rPr>
        <w:t xml:space="preserve"> 5 cm </w:t>
      </w:r>
      <w:proofErr w:type="spellStart"/>
      <w:r>
        <w:rPr>
          <w:color w:val="000000" w:themeColor="text1"/>
          <w:sz w:val="22"/>
          <w:szCs w:val="22"/>
        </w:rPr>
        <w:t>udaljeno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od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pupka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i</w:t>
      </w:r>
      <w:proofErr w:type="spellEnd"/>
      <w:r>
        <w:rPr>
          <w:color w:val="000000" w:themeColor="text1"/>
          <w:sz w:val="22"/>
          <w:szCs w:val="22"/>
        </w:rPr>
        <w:t xml:space="preserve"> u </w:t>
      </w:r>
      <w:proofErr w:type="spellStart"/>
      <w:r>
        <w:rPr>
          <w:color w:val="000000" w:themeColor="text1"/>
          <w:sz w:val="22"/>
          <w:szCs w:val="22"/>
        </w:rPr>
        <w:t>smjeru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boka</w:t>
      </w:r>
      <w:proofErr w:type="spellEnd"/>
      <w:r>
        <w:rPr>
          <w:color w:val="000000" w:themeColor="text1"/>
          <w:sz w:val="22"/>
          <w:szCs w:val="22"/>
        </w:rPr>
        <w:t>.</w:t>
      </w:r>
      <w:r w:rsidR="003F32CB">
        <w:rPr>
          <w:color w:val="000000" w:themeColor="text1"/>
          <w:sz w:val="22"/>
          <w:szCs w:val="22"/>
        </w:rPr>
        <w:t xml:space="preserve"> </w:t>
      </w:r>
      <w:proofErr w:type="spellStart"/>
      <w:r w:rsidR="003F32CB" w:rsidRPr="003F32CB">
        <w:rPr>
          <w:color w:val="000000" w:themeColor="text1"/>
          <w:sz w:val="22"/>
          <w:szCs w:val="22"/>
        </w:rPr>
        <w:t>Špric</w:t>
      </w:r>
      <w:proofErr w:type="spellEnd"/>
      <w:r w:rsidR="003F32CB" w:rsidRPr="003F32CB">
        <w:rPr>
          <w:color w:val="000000" w:themeColor="text1"/>
          <w:sz w:val="22"/>
          <w:szCs w:val="22"/>
        </w:rPr>
        <w:t xml:space="preserve"> </w:t>
      </w:r>
      <w:proofErr w:type="spellStart"/>
      <w:r w:rsidR="003F32CB" w:rsidRPr="003F32CB">
        <w:rPr>
          <w:color w:val="000000" w:themeColor="text1"/>
          <w:sz w:val="22"/>
          <w:szCs w:val="22"/>
        </w:rPr>
        <w:t>držite</w:t>
      </w:r>
      <w:proofErr w:type="spellEnd"/>
      <w:r w:rsidR="003F32CB" w:rsidRPr="003F32CB">
        <w:rPr>
          <w:color w:val="000000" w:themeColor="text1"/>
          <w:sz w:val="22"/>
          <w:szCs w:val="22"/>
        </w:rPr>
        <w:t xml:space="preserve"> </w:t>
      </w:r>
      <w:proofErr w:type="spellStart"/>
      <w:r w:rsidR="003F32CB" w:rsidRPr="003F32CB">
        <w:rPr>
          <w:color w:val="000000" w:themeColor="text1"/>
          <w:sz w:val="22"/>
          <w:szCs w:val="22"/>
        </w:rPr>
        <w:t>tako</w:t>
      </w:r>
      <w:proofErr w:type="spellEnd"/>
      <w:r w:rsidR="003F32CB" w:rsidRPr="003F32CB">
        <w:rPr>
          <w:color w:val="000000" w:themeColor="text1"/>
          <w:sz w:val="22"/>
          <w:szCs w:val="22"/>
        </w:rPr>
        <w:t xml:space="preserve"> da </w:t>
      </w:r>
      <w:proofErr w:type="spellStart"/>
      <w:r w:rsidR="003F32CB" w:rsidRPr="003F32CB">
        <w:rPr>
          <w:color w:val="000000" w:themeColor="text1"/>
          <w:sz w:val="22"/>
          <w:szCs w:val="22"/>
        </w:rPr>
        <w:t>igla</w:t>
      </w:r>
      <w:proofErr w:type="spellEnd"/>
      <w:r w:rsidR="003F32CB" w:rsidRPr="003F32CB">
        <w:rPr>
          <w:color w:val="000000" w:themeColor="text1"/>
          <w:sz w:val="22"/>
          <w:szCs w:val="22"/>
        </w:rPr>
        <w:t xml:space="preserve"> </w:t>
      </w:r>
      <w:proofErr w:type="spellStart"/>
      <w:r w:rsidR="003F32CB" w:rsidRPr="003F32CB">
        <w:rPr>
          <w:color w:val="000000" w:themeColor="text1"/>
          <w:sz w:val="22"/>
          <w:szCs w:val="22"/>
        </w:rPr>
        <w:t>bude</w:t>
      </w:r>
      <w:proofErr w:type="spellEnd"/>
      <w:r w:rsidR="003F32CB" w:rsidRPr="003F32CB">
        <w:rPr>
          <w:color w:val="000000" w:themeColor="text1"/>
          <w:sz w:val="22"/>
          <w:szCs w:val="22"/>
        </w:rPr>
        <w:t xml:space="preserve"> </w:t>
      </w:r>
      <w:proofErr w:type="spellStart"/>
      <w:r w:rsidR="003F32CB" w:rsidRPr="003F32CB">
        <w:rPr>
          <w:color w:val="000000" w:themeColor="text1"/>
          <w:sz w:val="22"/>
          <w:szCs w:val="22"/>
        </w:rPr>
        <w:t>usmjerena</w:t>
      </w:r>
      <w:proofErr w:type="spellEnd"/>
      <w:r w:rsidR="003F32CB" w:rsidRPr="003F32CB">
        <w:rPr>
          <w:color w:val="000000" w:themeColor="text1"/>
          <w:sz w:val="22"/>
          <w:szCs w:val="22"/>
        </w:rPr>
        <w:t xml:space="preserve"> </w:t>
      </w:r>
      <w:proofErr w:type="spellStart"/>
      <w:r w:rsidR="003F32CB" w:rsidRPr="003F32CB">
        <w:rPr>
          <w:color w:val="000000" w:themeColor="text1"/>
          <w:sz w:val="22"/>
          <w:szCs w:val="22"/>
        </w:rPr>
        <w:t>prema</w:t>
      </w:r>
      <w:proofErr w:type="spellEnd"/>
      <w:r w:rsidR="003F32CB" w:rsidRPr="003F32CB">
        <w:rPr>
          <w:color w:val="000000" w:themeColor="text1"/>
          <w:sz w:val="22"/>
          <w:szCs w:val="22"/>
        </w:rPr>
        <w:t xml:space="preserve"> </w:t>
      </w:r>
      <w:proofErr w:type="spellStart"/>
      <w:r w:rsidR="003F32CB" w:rsidRPr="003F32CB">
        <w:rPr>
          <w:color w:val="000000" w:themeColor="text1"/>
          <w:sz w:val="22"/>
          <w:szCs w:val="22"/>
        </w:rPr>
        <w:t>dolje</w:t>
      </w:r>
      <w:proofErr w:type="spellEnd"/>
      <w:r w:rsidR="003F32CB" w:rsidRPr="003F32CB">
        <w:rPr>
          <w:color w:val="000000" w:themeColor="text1"/>
          <w:sz w:val="22"/>
          <w:szCs w:val="22"/>
        </w:rPr>
        <w:t xml:space="preserve"> (</w:t>
      </w:r>
      <w:proofErr w:type="spellStart"/>
      <w:r w:rsidR="003F32CB" w:rsidRPr="003F32CB">
        <w:rPr>
          <w:color w:val="000000" w:themeColor="text1"/>
          <w:sz w:val="22"/>
          <w:szCs w:val="22"/>
        </w:rPr>
        <w:t>ver</w:t>
      </w:r>
      <w:r w:rsidR="003F32CB" w:rsidRPr="00357F8F">
        <w:rPr>
          <w:color w:val="000000" w:themeColor="text1"/>
          <w:sz w:val="22"/>
          <w:szCs w:val="22"/>
        </w:rPr>
        <w:t>tikalno</w:t>
      </w:r>
      <w:proofErr w:type="spellEnd"/>
      <w:r w:rsidR="003F32CB" w:rsidRPr="00357F8F">
        <w:rPr>
          <w:color w:val="000000" w:themeColor="text1"/>
          <w:sz w:val="22"/>
          <w:szCs w:val="22"/>
        </w:rPr>
        <w:t xml:space="preserve"> pod </w:t>
      </w:r>
      <w:proofErr w:type="spellStart"/>
      <w:r w:rsidR="003F32CB" w:rsidRPr="00357F8F">
        <w:rPr>
          <w:color w:val="000000" w:themeColor="text1"/>
          <w:sz w:val="22"/>
          <w:szCs w:val="22"/>
        </w:rPr>
        <w:t>uglom</w:t>
      </w:r>
      <w:proofErr w:type="spellEnd"/>
      <w:r w:rsidR="003F32CB" w:rsidRPr="00357F8F">
        <w:rPr>
          <w:color w:val="000000" w:themeColor="text1"/>
          <w:sz w:val="22"/>
          <w:szCs w:val="22"/>
        </w:rPr>
        <w:t xml:space="preserve"> o</w:t>
      </w:r>
      <w:r w:rsidR="003F32CB" w:rsidRPr="003F32CB">
        <w:rPr>
          <w:color w:val="000000" w:themeColor="text1"/>
          <w:sz w:val="22"/>
          <w:szCs w:val="22"/>
        </w:rPr>
        <w:t>d</w:t>
      </w:r>
      <w:r w:rsidR="003F32CB" w:rsidRPr="00357F8F">
        <w:rPr>
          <w:color w:val="000000" w:themeColor="text1"/>
          <w:sz w:val="22"/>
          <w:szCs w:val="22"/>
        </w:rPr>
        <w:t xml:space="preserve"> 90</w:t>
      </w:r>
      <w:r w:rsidR="00523780">
        <w:rPr>
          <w:color w:val="000000" w:themeColor="text1"/>
          <w:sz w:val="22"/>
          <w:szCs w:val="22"/>
          <w:vertAlign w:val="superscript"/>
        </w:rPr>
        <w:t xml:space="preserve"> </w:t>
      </w:r>
      <w:r w:rsidR="009B3514">
        <w:rPr>
          <w:color w:val="000000" w:themeColor="text1"/>
          <w:sz w:val="22"/>
          <w:szCs w:val="22"/>
        </w:rPr>
        <w:t>°</w:t>
      </w:r>
      <w:r w:rsidR="003F32CB" w:rsidRPr="00357F8F">
        <w:rPr>
          <w:color w:val="000000" w:themeColor="text1"/>
          <w:sz w:val="22"/>
          <w:szCs w:val="22"/>
        </w:rPr>
        <w:t>)</w:t>
      </w:r>
      <w:r w:rsidR="003F32CB">
        <w:rPr>
          <w:color w:val="000000" w:themeColor="text1"/>
          <w:sz w:val="22"/>
          <w:szCs w:val="22"/>
        </w:rPr>
        <w:t xml:space="preserve"> </w:t>
      </w:r>
      <w:r w:rsidRPr="00357F8F">
        <w:rPr>
          <w:color w:val="000000" w:themeColor="text1"/>
          <w:sz w:val="22"/>
          <w:szCs w:val="22"/>
        </w:rPr>
        <w:t xml:space="preserve">u </w:t>
      </w:r>
      <w:proofErr w:type="spellStart"/>
      <w:r w:rsidRPr="00357F8F">
        <w:rPr>
          <w:color w:val="000000" w:themeColor="text1"/>
          <w:sz w:val="22"/>
          <w:szCs w:val="22"/>
        </w:rPr>
        <w:t>kožn</w:t>
      </w:r>
      <w:r w:rsidR="002D486A">
        <w:rPr>
          <w:color w:val="000000" w:themeColor="text1"/>
          <w:sz w:val="22"/>
          <w:szCs w:val="22"/>
        </w:rPr>
        <w:t>i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nabor</w:t>
      </w:r>
      <w:proofErr w:type="spellEnd"/>
      <w:r w:rsidRPr="00357F8F">
        <w:rPr>
          <w:color w:val="000000" w:themeColor="text1"/>
          <w:sz w:val="22"/>
          <w:szCs w:val="22"/>
        </w:rPr>
        <w:t xml:space="preserve"> koji se </w:t>
      </w:r>
      <w:proofErr w:type="spellStart"/>
      <w:r w:rsidRPr="00357F8F">
        <w:rPr>
          <w:color w:val="000000" w:themeColor="text1"/>
          <w:sz w:val="22"/>
          <w:szCs w:val="22"/>
        </w:rPr>
        <w:t>drži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između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palca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i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kažiprsta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osobe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koja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daje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injekciju</w:t>
      </w:r>
      <w:proofErr w:type="spellEnd"/>
      <w:r w:rsidRPr="00357F8F">
        <w:rPr>
          <w:color w:val="000000" w:themeColor="text1"/>
          <w:sz w:val="22"/>
          <w:szCs w:val="22"/>
        </w:rPr>
        <w:t xml:space="preserve"> (</w:t>
      </w:r>
      <w:proofErr w:type="spellStart"/>
      <w:r w:rsidRPr="00357F8F">
        <w:rPr>
          <w:color w:val="000000" w:themeColor="text1"/>
          <w:sz w:val="22"/>
          <w:szCs w:val="22"/>
        </w:rPr>
        <w:t>operatera</w:t>
      </w:r>
      <w:proofErr w:type="spellEnd"/>
      <w:r w:rsidRPr="00357F8F">
        <w:rPr>
          <w:color w:val="000000" w:themeColor="text1"/>
          <w:sz w:val="22"/>
          <w:szCs w:val="22"/>
        </w:rPr>
        <w:t xml:space="preserve">). </w:t>
      </w:r>
      <w:proofErr w:type="spellStart"/>
      <w:r w:rsidRPr="00357F8F">
        <w:rPr>
          <w:color w:val="000000" w:themeColor="text1"/>
          <w:sz w:val="22"/>
          <w:szCs w:val="22"/>
        </w:rPr>
        <w:t>Nabor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kože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treba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držati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sv</w:t>
      </w:r>
      <w:r w:rsidR="003F32CB" w:rsidRPr="00357F8F">
        <w:rPr>
          <w:color w:val="000000" w:themeColor="text1"/>
          <w:sz w:val="22"/>
          <w:szCs w:val="22"/>
        </w:rPr>
        <w:t>e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vrijeme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dok</w:t>
      </w:r>
      <w:proofErr w:type="spellEnd"/>
      <w:r w:rsidRPr="00357F8F">
        <w:rPr>
          <w:color w:val="000000" w:themeColor="text1"/>
          <w:sz w:val="22"/>
          <w:szCs w:val="22"/>
        </w:rPr>
        <w:t xml:space="preserve"> se ne </w:t>
      </w:r>
      <w:proofErr w:type="spellStart"/>
      <w:r w:rsidRPr="00357F8F">
        <w:rPr>
          <w:color w:val="000000" w:themeColor="text1"/>
          <w:sz w:val="22"/>
          <w:szCs w:val="22"/>
        </w:rPr>
        <w:t>završi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davanje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injekcije</w:t>
      </w:r>
      <w:proofErr w:type="spellEnd"/>
      <w:r w:rsidR="003F32CB">
        <w:rPr>
          <w:color w:val="000000" w:themeColor="text1"/>
          <w:sz w:val="22"/>
          <w:szCs w:val="22"/>
        </w:rPr>
        <w:t>.</w:t>
      </w:r>
      <w:r w:rsidRPr="00357F8F">
        <w:rPr>
          <w:color w:val="000000" w:themeColor="text1"/>
          <w:sz w:val="22"/>
          <w:szCs w:val="22"/>
        </w:rPr>
        <w:t xml:space="preserve"> </w:t>
      </w:r>
    </w:p>
    <w:p w14:paraId="6EA058F8" w14:textId="188206F3" w:rsidR="00003015" w:rsidRDefault="00003015" w:rsidP="009B3514">
      <w:pPr>
        <w:widowControl w:val="0"/>
        <w:autoSpaceDE w:val="0"/>
        <w:autoSpaceDN w:val="0"/>
        <w:spacing w:before="5" w:line="244" w:lineRule="auto"/>
        <w:ind w:left="266" w:right="713"/>
        <w:jc w:val="both"/>
        <w:rPr>
          <w:color w:val="000000" w:themeColor="text1"/>
          <w:sz w:val="22"/>
          <w:szCs w:val="22"/>
        </w:rPr>
      </w:pPr>
    </w:p>
    <w:p w14:paraId="4F515EA2" w14:textId="7FA85C31" w:rsidR="00003015" w:rsidRDefault="00003015" w:rsidP="003F32CB">
      <w:pPr>
        <w:widowControl w:val="0"/>
        <w:autoSpaceDE w:val="0"/>
        <w:autoSpaceDN w:val="0"/>
        <w:spacing w:before="5" w:line="244" w:lineRule="auto"/>
        <w:ind w:left="266" w:right="713"/>
        <w:jc w:val="both"/>
        <w:rPr>
          <w:color w:val="000000" w:themeColor="text1"/>
          <w:sz w:val="22"/>
          <w:szCs w:val="22"/>
        </w:rPr>
      </w:pPr>
    </w:p>
    <w:p w14:paraId="78E5C0DA" w14:textId="2124718B" w:rsidR="00003015" w:rsidRDefault="00003015" w:rsidP="003F32CB">
      <w:pPr>
        <w:widowControl w:val="0"/>
        <w:autoSpaceDE w:val="0"/>
        <w:autoSpaceDN w:val="0"/>
        <w:spacing w:before="5" w:line="244" w:lineRule="auto"/>
        <w:ind w:left="266" w:right="713"/>
        <w:jc w:val="both"/>
        <w:rPr>
          <w:color w:val="000000" w:themeColor="text1"/>
          <w:sz w:val="22"/>
          <w:szCs w:val="22"/>
        </w:rPr>
      </w:pPr>
    </w:p>
    <w:p w14:paraId="0E24AF33" w14:textId="407F0158" w:rsidR="00003015" w:rsidRDefault="00003015" w:rsidP="003F32CB">
      <w:pPr>
        <w:widowControl w:val="0"/>
        <w:autoSpaceDE w:val="0"/>
        <w:autoSpaceDN w:val="0"/>
        <w:spacing w:before="5" w:line="244" w:lineRule="auto"/>
        <w:ind w:left="266" w:right="713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</w:t>
      </w:r>
      <w:r w:rsidRPr="00F55988">
        <w:rPr>
          <w:noProof/>
          <w:position w:val="27"/>
          <w:sz w:val="20"/>
          <w:szCs w:val="22"/>
        </w:rPr>
        <w:drawing>
          <wp:inline distT="0" distB="0" distL="0" distR="0" wp14:anchorId="7151BA42" wp14:editId="676378A6">
            <wp:extent cx="1644224" cy="1298733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224" cy="129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2"/>
          <w:szCs w:val="22"/>
        </w:rPr>
        <w:t xml:space="preserve">    </w:t>
      </w:r>
      <w:r>
        <w:rPr>
          <w:noProof/>
          <w:color w:val="000000" w:themeColor="text1"/>
          <w:sz w:val="22"/>
          <w:szCs w:val="22"/>
        </w:rPr>
        <w:t xml:space="preserve">                                </w:t>
      </w:r>
      <w:r>
        <w:rPr>
          <w:noProof/>
          <w:color w:val="000000" w:themeColor="text1"/>
          <w:sz w:val="22"/>
          <w:szCs w:val="22"/>
        </w:rPr>
        <w:drawing>
          <wp:inline distT="0" distB="0" distL="0" distR="0" wp14:anchorId="7A1F8801" wp14:editId="4AE92696">
            <wp:extent cx="1487805" cy="157924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951F1C" w14:textId="77777777" w:rsidR="00003015" w:rsidRPr="00B3172C" w:rsidRDefault="00003015" w:rsidP="003F32CB">
      <w:pPr>
        <w:widowControl w:val="0"/>
        <w:autoSpaceDE w:val="0"/>
        <w:autoSpaceDN w:val="0"/>
        <w:spacing w:before="5" w:line="244" w:lineRule="auto"/>
        <w:ind w:left="266" w:right="713"/>
        <w:jc w:val="both"/>
        <w:rPr>
          <w:color w:val="000000" w:themeColor="text1"/>
          <w:sz w:val="22"/>
          <w:szCs w:val="22"/>
        </w:rPr>
      </w:pPr>
    </w:p>
    <w:p w14:paraId="1F59FED3" w14:textId="469C733B" w:rsidR="00177414" w:rsidRDefault="00177414" w:rsidP="00990044">
      <w:pPr>
        <w:widowControl w:val="0"/>
        <w:autoSpaceDE w:val="0"/>
        <w:autoSpaceDN w:val="0"/>
        <w:spacing w:line="251" w:lineRule="exact"/>
        <w:jc w:val="both"/>
        <w:outlineLvl w:val="0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7AFD89CE" w14:textId="6B9C9FD7" w:rsidR="00003015" w:rsidRDefault="00003015" w:rsidP="00990044">
      <w:pPr>
        <w:widowControl w:val="0"/>
        <w:autoSpaceDE w:val="0"/>
        <w:autoSpaceDN w:val="0"/>
        <w:spacing w:line="251" w:lineRule="exact"/>
        <w:jc w:val="both"/>
        <w:outlineLvl w:val="0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72ACEC9E" w14:textId="6EFE70CB" w:rsidR="00003015" w:rsidRPr="00B3172C" w:rsidRDefault="00003015" w:rsidP="00990044">
      <w:pPr>
        <w:widowControl w:val="0"/>
        <w:autoSpaceDE w:val="0"/>
        <w:autoSpaceDN w:val="0"/>
        <w:spacing w:line="251" w:lineRule="exact"/>
        <w:jc w:val="both"/>
        <w:outlineLvl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F55988">
        <w:rPr>
          <w:noProof/>
          <w:position w:val="27"/>
          <w:sz w:val="20"/>
          <w:szCs w:val="22"/>
        </w:rPr>
        <w:drawing>
          <wp:inline distT="0" distB="0" distL="0" distR="0" wp14:anchorId="3239FE47" wp14:editId="75DCBE3C">
            <wp:extent cx="1644224" cy="1298733"/>
            <wp:effectExtent l="0" t="0" r="0" b="0"/>
            <wp:docPr id="1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224" cy="129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CF8C5" w14:textId="77777777" w:rsidR="00B3172C" w:rsidRPr="00F55988" w:rsidRDefault="00B3172C" w:rsidP="009B3514">
      <w:pPr>
        <w:widowControl w:val="0"/>
        <w:numPr>
          <w:ilvl w:val="0"/>
          <w:numId w:val="26"/>
        </w:numPr>
        <w:tabs>
          <w:tab w:val="left" w:pos="833"/>
          <w:tab w:val="left" w:pos="835"/>
        </w:tabs>
        <w:autoSpaceDE w:val="0"/>
        <w:autoSpaceDN w:val="0"/>
        <w:spacing w:before="101"/>
        <w:ind w:left="834" w:hanging="568"/>
        <w:jc w:val="both"/>
        <w:rPr>
          <w:color w:val="000000" w:themeColor="text1"/>
          <w:sz w:val="22"/>
          <w:szCs w:val="22"/>
        </w:rPr>
      </w:pPr>
      <w:proofErr w:type="spellStart"/>
      <w:r w:rsidRPr="00F55988">
        <w:rPr>
          <w:color w:val="000000" w:themeColor="text1"/>
          <w:sz w:val="22"/>
          <w:szCs w:val="22"/>
        </w:rPr>
        <w:t>Špric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odmah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bacite</w:t>
      </w:r>
      <w:proofErr w:type="spellEnd"/>
      <w:r w:rsidRPr="00F55988">
        <w:rPr>
          <w:color w:val="000000" w:themeColor="text1"/>
          <w:sz w:val="22"/>
          <w:szCs w:val="22"/>
        </w:rPr>
        <w:t xml:space="preserve"> u </w:t>
      </w:r>
      <w:proofErr w:type="spellStart"/>
      <w:r w:rsidRPr="00F55988">
        <w:rPr>
          <w:color w:val="000000" w:themeColor="text1"/>
          <w:sz w:val="22"/>
          <w:szCs w:val="22"/>
        </w:rPr>
        <w:t>odgovarajući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kontejner</w:t>
      </w:r>
      <w:proofErr w:type="spellEnd"/>
      <w:r w:rsidRPr="00F55988">
        <w:rPr>
          <w:color w:val="000000" w:themeColor="text1"/>
          <w:sz w:val="22"/>
          <w:szCs w:val="22"/>
        </w:rPr>
        <w:t>.</w:t>
      </w:r>
    </w:p>
    <w:p w14:paraId="3F904B7F" w14:textId="77777777" w:rsidR="00B3172C" w:rsidRPr="00F55988" w:rsidRDefault="00B3172C" w:rsidP="009B3514">
      <w:pPr>
        <w:widowControl w:val="0"/>
        <w:autoSpaceDE w:val="0"/>
        <w:autoSpaceDN w:val="0"/>
        <w:spacing w:before="7"/>
        <w:ind w:left="232"/>
        <w:jc w:val="both"/>
        <w:rPr>
          <w:color w:val="000000" w:themeColor="text1"/>
          <w:sz w:val="22"/>
          <w:szCs w:val="22"/>
        </w:rPr>
      </w:pPr>
    </w:p>
    <w:p w14:paraId="1DAD2E3E" w14:textId="17F67585" w:rsidR="00B3172C" w:rsidRPr="00F55988" w:rsidRDefault="00B3172C" w:rsidP="003207FF">
      <w:pPr>
        <w:widowControl w:val="0"/>
        <w:tabs>
          <w:tab w:val="left" w:pos="7797"/>
        </w:tabs>
        <w:autoSpaceDE w:val="0"/>
        <w:autoSpaceDN w:val="0"/>
        <w:spacing w:before="6"/>
        <w:ind w:left="267"/>
        <w:jc w:val="both"/>
        <w:rPr>
          <w:color w:val="000000" w:themeColor="text1"/>
          <w:sz w:val="22"/>
          <w:szCs w:val="22"/>
        </w:rPr>
      </w:pPr>
      <w:proofErr w:type="spellStart"/>
      <w:r w:rsidRPr="00F55988">
        <w:rPr>
          <w:color w:val="000000" w:themeColor="text1"/>
          <w:sz w:val="22"/>
          <w:szCs w:val="22"/>
        </w:rPr>
        <w:t>Svu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neiskorišćenu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količinu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lijeka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ili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otpadnog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materijala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nakon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njegove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upotrebe</w:t>
      </w:r>
      <w:proofErr w:type="spellEnd"/>
      <w:r w:rsidR="009B3514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treba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ukloniti</w:t>
      </w:r>
      <w:proofErr w:type="spellEnd"/>
      <w:r w:rsidRPr="00F55988">
        <w:rPr>
          <w:color w:val="000000" w:themeColor="text1"/>
          <w:sz w:val="22"/>
          <w:szCs w:val="22"/>
        </w:rPr>
        <w:t xml:space="preserve">, u </w:t>
      </w:r>
      <w:proofErr w:type="spellStart"/>
      <w:r w:rsidRPr="00F55988">
        <w:rPr>
          <w:color w:val="000000" w:themeColor="text1"/>
          <w:sz w:val="22"/>
          <w:szCs w:val="22"/>
        </w:rPr>
        <w:t>skladu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lastRenderedPageBreak/>
        <w:t>sa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lokalnim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zahtjevima</w:t>
      </w:r>
      <w:proofErr w:type="spellEnd"/>
      <w:r w:rsidRPr="00F55988">
        <w:rPr>
          <w:color w:val="000000" w:themeColor="text1"/>
          <w:sz w:val="22"/>
          <w:szCs w:val="22"/>
        </w:rPr>
        <w:t>.</w:t>
      </w:r>
    </w:p>
    <w:p w14:paraId="23B9227E" w14:textId="08CF1B8E" w:rsidR="00B3172C" w:rsidRDefault="00B3172C" w:rsidP="009B3514">
      <w:pPr>
        <w:widowControl w:val="0"/>
        <w:autoSpaceDE w:val="0"/>
        <w:autoSpaceDN w:val="0"/>
        <w:spacing w:line="251" w:lineRule="exact"/>
        <w:jc w:val="both"/>
        <w:outlineLvl w:val="0"/>
        <w:rPr>
          <w:rFonts w:asciiTheme="majorBidi" w:hAnsiTheme="majorBidi" w:cstheme="majorBidi"/>
          <w:color w:val="000000" w:themeColor="text1"/>
          <w:sz w:val="22"/>
          <w:szCs w:val="22"/>
          <w:lang w:val="sr-Latn-ME"/>
        </w:rPr>
      </w:pPr>
    </w:p>
    <w:p w14:paraId="760F922F" w14:textId="77777777" w:rsidR="006D537F" w:rsidRPr="00F55988" w:rsidRDefault="006D537F" w:rsidP="003207FF">
      <w:pPr>
        <w:widowControl w:val="0"/>
        <w:autoSpaceDE w:val="0"/>
        <w:autoSpaceDN w:val="0"/>
        <w:ind w:left="267"/>
        <w:jc w:val="both"/>
        <w:outlineLvl w:val="0"/>
        <w:rPr>
          <w:b/>
          <w:bCs/>
          <w:color w:val="000000" w:themeColor="text1"/>
          <w:sz w:val="22"/>
          <w:szCs w:val="22"/>
        </w:rPr>
      </w:pPr>
      <w:proofErr w:type="spellStart"/>
      <w:r w:rsidRPr="00F55988">
        <w:rPr>
          <w:b/>
          <w:bCs/>
          <w:color w:val="000000" w:themeColor="text1"/>
          <w:sz w:val="22"/>
          <w:szCs w:val="22"/>
        </w:rPr>
        <w:t>Uputstvo</w:t>
      </w:r>
      <w:proofErr w:type="spellEnd"/>
      <w:r w:rsidRPr="00F55988">
        <w:rPr>
          <w:b/>
          <w:bCs/>
          <w:color w:val="000000" w:themeColor="text1"/>
          <w:sz w:val="22"/>
          <w:szCs w:val="22"/>
        </w:rPr>
        <w:t xml:space="preserve"> za </w:t>
      </w:r>
      <w:proofErr w:type="spellStart"/>
      <w:r w:rsidRPr="00F55988">
        <w:rPr>
          <w:b/>
          <w:bCs/>
          <w:color w:val="000000" w:themeColor="text1"/>
          <w:sz w:val="22"/>
          <w:szCs w:val="22"/>
        </w:rPr>
        <w:t>špriceve</w:t>
      </w:r>
      <w:proofErr w:type="spellEnd"/>
      <w:r w:rsidRPr="00F55988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b/>
          <w:bCs/>
          <w:color w:val="000000" w:themeColor="text1"/>
          <w:sz w:val="22"/>
          <w:szCs w:val="22"/>
        </w:rPr>
        <w:t>sa</w:t>
      </w:r>
      <w:proofErr w:type="spellEnd"/>
      <w:r w:rsidRPr="00F55988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b/>
          <w:bCs/>
          <w:color w:val="000000" w:themeColor="text1"/>
          <w:sz w:val="22"/>
          <w:szCs w:val="22"/>
        </w:rPr>
        <w:t>sigurnosnim</w:t>
      </w:r>
      <w:proofErr w:type="spellEnd"/>
      <w:r w:rsidRPr="00F55988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b/>
          <w:bCs/>
          <w:color w:val="000000" w:themeColor="text1"/>
          <w:sz w:val="22"/>
          <w:szCs w:val="22"/>
        </w:rPr>
        <w:t>sistemom</w:t>
      </w:r>
      <w:proofErr w:type="spellEnd"/>
    </w:p>
    <w:p w14:paraId="4E680252" w14:textId="77777777" w:rsidR="006D537F" w:rsidRPr="00F55988" w:rsidRDefault="006D537F" w:rsidP="003207FF">
      <w:pPr>
        <w:widowControl w:val="0"/>
        <w:autoSpaceDE w:val="0"/>
        <w:autoSpaceDN w:val="0"/>
        <w:spacing w:before="6"/>
        <w:ind w:left="232"/>
        <w:jc w:val="both"/>
        <w:rPr>
          <w:b/>
          <w:sz w:val="22"/>
          <w:szCs w:val="22"/>
          <w:highlight w:val="yellow"/>
        </w:rPr>
      </w:pPr>
    </w:p>
    <w:p w14:paraId="072DD757" w14:textId="77777777" w:rsidR="006D537F" w:rsidRPr="00F55988" w:rsidRDefault="006D537F" w:rsidP="003207FF">
      <w:pPr>
        <w:widowControl w:val="0"/>
        <w:numPr>
          <w:ilvl w:val="0"/>
          <w:numId w:val="26"/>
        </w:numPr>
        <w:tabs>
          <w:tab w:val="left" w:pos="833"/>
          <w:tab w:val="left" w:pos="835"/>
        </w:tabs>
        <w:autoSpaceDE w:val="0"/>
        <w:autoSpaceDN w:val="0"/>
        <w:ind w:left="834" w:hanging="568"/>
        <w:jc w:val="both"/>
        <w:rPr>
          <w:color w:val="000000" w:themeColor="text1"/>
          <w:sz w:val="22"/>
          <w:szCs w:val="22"/>
        </w:rPr>
      </w:pPr>
      <w:proofErr w:type="spellStart"/>
      <w:r w:rsidRPr="00F55988">
        <w:rPr>
          <w:color w:val="000000" w:themeColor="text1"/>
          <w:sz w:val="22"/>
          <w:szCs w:val="22"/>
        </w:rPr>
        <w:t>Priprema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mjesta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injiciranja</w:t>
      </w:r>
      <w:proofErr w:type="spellEnd"/>
      <w:r w:rsidRPr="00F55988">
        <w:rPr>
          <w:color w:val="000000" w:themeColor="text1"/>
          <w:sz w:val="22"/>
          <w:szCs w:val="22"/>
        </w:rPr>
        <w:t>:</w:t>
      </w:r>
    </w:p>
    <w:p w14:paraId="04AAC607" w14:textId="77777777" w:rsidR="006D537F" w:rsidRPr="00F55988" w:rsidRDefault="006D537F" w:rsidP="003207FF">
      <w:pPr>
        <w:widowControl w:val="0"/>
        <w:tabs>
          <w:tab w:val="left" w:pos="833"/>
          <w:tab w:val="left" w:pos="835"/>
        </w:tabs>
        <w:autoSpaceDE w:val="0"/>
        <w:autoSpaceDN w:val="0"/>
        <w:ind w:left="266"/>
        <w:jc w:val="both"/>
        <w:rPr>
          <w:color w:val="000000" w:themeColor="text1"/>
          <w:sz w:val="22"/>
          <w:szCs w:val="22"/>
          <w:highlight w:val="yellow"/>
        </w:rPr>
      </w:pPr>
    </w:p>
    <w:p w14:paraId="267BAE78" w14:textId="77777777" w:rsidR="006D537F" w:rsidRPr="00F55988" w:rsidRDefault="006D537F" w:rsidP="003207FF">
      <w:pPr>
        <w:widowControl w:val="0"/>
        <w:tabs>
          <w:tab w:val="left" w:pos="833"/>
          <w:tab w:val="left" w:pos="835"/>
        </w:tabs>
        <w:autoSpaceDE w:val="0"/>
        <w:autoSpaceDN w:val="0"/>
        <w:ind w:left="266"/>
        <w:jc w:val="both"/>
        <w:rPr>
          <w:color w:val="000000" w:themeColor="text1"/>
          <w:sz w:val="22"/>
          <w:szCs w:val="22"/>
        </w:rPr>
      </w:pPr>
      <w:proofErr w:type="spellStart"/>
      <w:r w:rsidRPr="00F55988">
        <w:rPr>
          <w:color w:val="000000" w:themeColor="text1"/>
          <w:sz w:val="22"/>
          <w:szCs w:val="22"/>
        </w:rPr>
        <w:t>Prije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nego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što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primijenite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injekciju</w:t>
      </w:r>
      <w:proofErr w:type="spellEnd"/>
      <w:r w:rsidRPr="00F55988">
        <w:rPr>
          <w:color w:val="000000" w:themeColor="text1"/>
          <w:sz w:val="22"/>
          <w:szCs w:val="22"/>
        </w:rPr>
        <w:t xml:space="preserve">, </w:t>
      </w:r>
      <w:proofErr w:type="spellStart"/>
      <w:r w:rsidRPr="00F55988">
        <w:rPr>
          <w:color w:val="000000" w:themeColor="text1"/>
          <w:sz w:val="22"/>
          <w:szCs w:val="22"/>
        </w:rPr>
        <w:t>operite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ruke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i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osušite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ih</w:t>
      </w:r>
      <w:proofErr w:type="spellEnd"/>
      <w:r w:rsidRPr="00F55988">
        <w:rPr>
          <w:color w:val="000000" w:themeColor="text1"/>
          <w:sz w:val="22"/>
          <w:szCs w:val="22"/>
        </w:rPr>
        <w:t xml:space="preserve">. </w:t>
      </w:r>
      <w:proofErr w:type="spellStart"/>
      <w:r w:rsidRPr="00F55988">
        <w:rPr>
          <w:color w:val="000000" w:themeColor="text1"/>
          <w:sz w:val="22"/>
          <w:szCs w:val="22"/>
        </w:rPr>
        <w:t>Pomoću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tupfera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očistite</w:t>
      </w:r>
      <w:proofErr w:type="spellEnd"/>
      <w:r w:rsidRPr="00F55988">
        <w:rPr>
          <w:color w:val="000000" w:themeColor="text1"/>
          <w:sz w:val="22"/>
          <w:szCs w:val="22"/>
        </w:rPr>
        <w:t xml:space="preserve"> (bez </w:t>
      </w:r>
      <w:proofErr w:type="spellStart"/>
      <w:r w:rsidRPr="00F55988">
        <w:rPr>
          <w:color w:val="000000" w:themeColor="text1"/>
          <w:sz w:val="22"/>
          <w:szCs w:val="22"/>
        </w:rPr>
        <w:t>trljanja</w:t>
      </w:r>
      <w:proofErr w:type="spellEnd"/>
      <w:r w:rsidRPr="00F55988">
        <w:rPr>
          <w:color w:val="000000" w:themeColor="text1"/>
          <w:sz w:val="22"/>
          <w:szCs w:val="22"/>
        </w:rPr>
        <w:t xml:space="preserve">) </w:t>
      </w:r>
      <w:proofErr w:type="spellStart"/>
      <w:r w:rsidRPr="00F55988">
        <w:rPr>
          <w:color w:val="000000" w:themeColor="text1"/>
          <w:sz w:val="22"/>
          <w:szCs w:val="22"/>
        </w:rPr>
        <w:t>mjesto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izabrano</w:t>
      </w:r>
      <w:proofErr w:type="spellEnd"/>
      <w:r w:rsidRPr="00F55988">
        <w:rPr>
          <w:color w:val="000000" w:themeColor="text1"/>
          <w:sz w:val="22"/>
          <w:szCs w:val="22"/>
        </w:rPr>
        <w:t xml:space="preserve"> za </w:t>
      </w:r>
      <w:proofErr w:type="spellStart"/>
      <w:r w:rsidRPr="00F55988">
        <w:rPr>
          <w:color w:val="000000" w:themeColor="text1"/>
          <w:sz w:val="22"/>
          <w:szCs w:val="22"/>
        </w:rPr>
        <w:t>injekciju</w:t>
      </w:r>
      <w:proofErr w:type="spellEnd"/>
      <w:r w:rsidRPr="00F55988">
        <w:rPr>
          <w:color w:val="000000" w:themeColor="text1"/>
          <w:sz w:val="22"/>
          <w:szCs w:val="22"/>
        </w:rPr>
        <w:t>.</w:t>
      </w:r>
    </w:p>
    <w:p w14:paraId="71E106B6" w14:textId="77777777" w:rsidR="006D537F" w:rsidRPr="00F55988" w:rsidRDefault="006D537F" w:rsidP="003207FF">
      <w:pPr>
        <w:widowControl w:val="0"/>
        <w:tabs>
          <w:tab w:val="left" w:pos="833"/>
          <w:tab w:val="left" w:pos="835"/>
        </w:tabs>
        <w:autoSpaceDE w:val="0"/>
        <w:autoSpaceDN w:val="0"/>
        <w:ind w:left="266"/>
        <w:jc w:val="both"/>
        <w:rPr>
          <w:color w:val="000000" w:themeColor="text1"/>
          <w:sz w:val="22"/>
          <w:szCs w:val="22"/>
          <w:lang w:val="es-ES"/>
        </w:rPr>
      </w:pPr>
      <w:proofErr w:type="spellStart"/>
      <w:r w:rsidRPr="00F55988">
        <w:rPr>
          <w:color w:val="000000" w:themeColor="text1"/>
          <w:sz w:val="22"/>
          <w:szCs w:val="22"/>
          <w:lang w:val="es-ES"/>
        </w:rPr>
        <w:t>Izaberite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različito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područje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stomaka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za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svaku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injekciju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>.</w:t>
      </w:r>
    </w:p>
    <w:p w14:paraId="60CB5B24" w14:textId="77777777" w:rsidR="006D537F" w:rsidRPr="00F55988" w:rsidRDefault="006D537F" w:rsidP="003207FF">
      <w:pPr>
        <w:widowControl w:val="0"/>
        <w:autoSpaceDE w:val="0"/>
        <w:autoSpaceDN w:val="0"/>
        <w:spacing w:before="6"/>
        <w:ind w:left="232"/>
        <w:jc w:val="both"/>
        <w:rPr>
          <w:sz w:val="22"/>
          <w:szCs w:val="22"/>
          <w:highlight w:val="yellow"/>
          <w:lang w:val="es-ES"/>
        </w:rPr>
      </w:pPr>
    </w:p>
    <w:p w14:paraId="74746AFD" w14:textId="4F75B768" w:rsidR="006D537F" w:rsidRPr="00F55988" w:rsidRDefault="006D537F" w:rsidP="003207FF">
      <w:pPr>
        <w:widowControl w:val="0"/>
        <w:numPr>
          <w:ilvl w:val="0"/>
          <w:numId w:val="26"/>
        </w:numPr>
        <w:tabs>
          <w:tab w:val="left" w:pos="833"/>
          <w:tab w:val="left" w:pos="834"/>
        </w:tabs>
        <w:autoSpaceDE w:val="0"/>
        <w:autoSpaceDN w:val="0"/>
        <w:spacing w:before="1"/>
        <w:ind w:left="851" w:hanging="585"/>
        <w:jc w:val="both"/>
        <w:rPr>
          <w:sz w:val="22"/>
          <w:szCs w:val="22"/>
          <w:lang w:val="es-ES"/>
        </w:rPr>
      </w:pPr>
      <w:proofErr w:type="spellStart"/>
      <w:r w:rsidRPr="00F55988">
        <w:rPr>
          <w:sz w:val="22"/>
          <w:szCs w:val="22"/>
          <w:lang w:val="es-ES"/>
        </w:rPr>
        <w:t>Prvo</w:t>
      </w:r>
      <w:proofErr w:type="spellEnd"/>
      <w:r w:rsidRPr="00F55988">
        <w:rPr>
          <w:sz w:val="22"/>
          <w:szCs w:val="22"/>
          <w:lang w:val="es-ES"/>
        </w:rPr>
        <w:t xml:space="preserve">, </w:t>
      </w:r>
      <w:proofErr w:type="spellStart"/>
      <w:r w:rsidRPr="00F55988">
        <w:rPr>
          <w:sz w:val="22"/>
          <w:szCs w:val="22"/>
          <w:lang w:val="es-ES"/>
        </w:rPr>
        <w:t>savijte</w:t>
      </w:r>
      <w:proofErr w:type="spellEnd"/>
      <w:r w:rsidRPr="00F55988">
        <w:rPr>
          <w:sz w:val="22"/>
          <w:szCs w:val="22"/>
          <w:lang w:val="es-ES"/>
        </w:rPr>
        <w:t xml:space="preserve"> </w:t>
      </w:r>
      <w:proofErr w:type="spellStart"/>
      <w:r w:rsidRPr="00F55988">
        <w:rPr>
          <w:sz w:val="22"/>
          <w:szCs w:val="22"/>
          <w:lang w:val="es-ES"/>
        </w:rPr>
        <w:t>hvataljku</w:t>
      </w:r>
      <w:proofErr w:type="spellEnd"/>
      <w:r w:rsidRPr="00F55988">
        <w:rPr>
          <w:sz w:val="22"/>
          <w:szCs w:val="22"/>
          <w:lang w:val="es-ES"/>
        </w:rPr>
        <w:t xml:space="preserve"> </w:t>
      </w:r>
      <w:proofErr w:type="spellStart"/>
      <w:r w:rsidRPr="00F55988">
        <w:rPr>
          <w:sz w:val="22"/>
          <w:szCs w:val="22"/>
          <w:lang w:val="es-ES"/>
        </w:rPr>
        <w:t>za</w:t>
      </w:r>
      <w:proofErr w:type="spellEnd"/>
      <w:r w:rsidRPr="00F55988">
        <w:rPr>
          <w:sz w:val="22"/>
          <w:szCs w:val="22"/>
          <w:lang w:val="es-ES"/>
        </w:rPr>
        <w:t xml:space="preserve"> </w:t>
      </w:r>
      <w:proofErr w:type="spellStart"/>
      <w:r w:rsidRPr="00F55988">
        <w:rPr>
          <w:sz w:val="22"/>
          <w:szCs w:val="22"/>
          <w:lang w:val="es-ES"/>
        </w:rPr>
        <w:t>iglu</w:t>
      </w:r>
      <w:proofErr w:type="spellEnd"/>
      <w:r w:rsidRPr="00F55988">
        <w:rPr>
          <w:sz w:val="22"/>
          <w:szCs w:val="22"/>
          <w:lang w:val="es-ES"/>
        </w:rPr>
        <w:t xml:space="preserve"> u </w:t>
      </w:r>
      <w:proofErr w:type="spellStart"/>
      <w:r w:rsidRPr="00F55988">
        <w:rPr>
          <w:sz w:val="22"/>
          <w:szCs w:val="22"/>
          <w:lang w:val="es-ES"/>
        </w:rPr>
        <w:t>stranu</w:t>
      </w:r>
      <w:proofErr w:type="spellEnd"/>
      <w:r>
        <w:rPr>
          <w:sz w:val="22"/>
          <w:szCs w:val="22"/>
          <w:lang w:val="es-ES"/>
        </w:rPr>
        <w:t>,</w:t>
      </w:r>
      <w:r w:rsidRPr="00F55988">
        <w:rPr>
          <w:sz w:val="22"/>
          <w:szCs w:val="22"/>
          <w:lang w:val="es-ES"/>
        </w:rPr>
        <w:t xml:space="preserve"> </w:t>
      </w:r>
      <w:proofErr w:type="spellStart"/>
      <w:r w:rsidRPr="00F55988">
        <w:rPr>
          <w:sz w:val="22"/>
          <w:szCs w:val="22"/>
          <w:lang w:val="es-ES"/>
        </w:rPr>
        <w:t>za</w:t>
      </w:r>
      <w:proofErr w:type="spellEnd"/>
      <w:r w:rsidRPr="00F55988">
        <w:rPr>
          <w:sz w:val="22"/>
          <w:szCs w:val="22"/>
          <w:lang w:val="es-ES"/>
        </w:rPr>
        <w:t xml:space="preserve"> </w:t>
      </w:r>
      <w:proofErr w:type="spellStart"/>
      <w:r w:rsidRPr="00F55988">
        <w:rPr>
          <w:sz w:val="22"/>
          <w:szCs w:val="22"/>
          <w:lang w:val="es-ES"/>
        </w:rPr>
        <w:t>približno</w:t>
      </w:r>
      <w:proofErr w:type="spellEnd"/>
      <w:r w:rsidRPr="00F55988">
        <w:rPr>
          <w:sz w:val="22"/>
          <w:szCs w:val="22"/>
          <w:lang w:val="es-ES"/>
        </w:rPr>
        <w:t xml:space="preserve"> 90</w:t>
      </w:r>
      <w:r w:rsidR="009B3514">
        <w:rPr>
          <w:sz w:val="22"/>
          <w:szCs w:val="22"/>
          <w:lang w:val="es-ES"/>
        </w:rPr>
        <w:t>°</w:t>
      </w:r>
      <w:r w:rsidRPr="00F55988">
        <w:rPr>
          <w:sz w:val="22"/>
          <w:szCs w:val="22"/>
          <w:lang w:val="es-ES"/>
        </w:rPr>
        <w:t xml:space="preserve">. </w:t>
      </w:r>
      <w:proofErr w:type="spellStart"/>
      <w:r w:rsidRPr="00F55988">
        <w:rPr>
          <w:sz w:val="22"/>
          <w:szCs w:val="22"/>
          <w:lang w:val="es-ES"/>
        </w:rPr>
        <w:t>Važno</w:t>
      </w:r>
      <w:proofErr w:type="spellEnd"/>
      <w:r w:rsidRPr="00F55988">
        <w:rPr>
          <w:sz w:val="22"/>
          <w:szCs w:val="22"/>
          <w:lang w:val="es-ES"/>
        </w:rPr>
        <w:t xml:space="preserve">: </w:t>
      </w:r>
      <w:proofErr w:type="spellStart"/>
      <w:r w:rsidRPr="00F55988">
        <w:rPr>
          <w:sz w:val="22"/>
          <w:szCs w:val="22"/>
          <w:lang w:val="es-ES"/>
        </w:rPr>
        <w:t>ne</w:t>
      </w:r>
      <w:proofErr w:type="spellEnd"/>
      <w:r w:rsidRPr="00F55988">
        <w:rPr>
          <w:sz w:val="22"/>
          <w:szCs w:val="22"/>
          <w:lang w:val="es-ES"/>
        </w:rPr>
        <w:t xml:space="preserve"> </w:t>
      </w:r>
      <w:proofErr w:type="spellStart"/>
      <w:r w:rsidRPr="00F55988">
        <w:rPr>
          <w:sz w:val="22"/>
          <w:szCs w:val="22"/>
          <w:lang w:val="es-ES"/>
        </w:rPr>
        <w:t>uklanjajte</w:t>
      </w:r>
      <w:proofErr w:type="spellEnd"/>
      <w:r w:rsidRPr="00F55988">
        <w:rPr>
          <w:sz w:val="22"/>
          <w:szCs w:val="22"/>
          <w:lang w:val="es-ES"/>
        </w:rPr>
        <w:t xml:space="preserve"> </w:t>
      </w:r>
      <w:proofErr w:type="spellStart"/>
      <w:r w:rsidRPr="00F55988">
        <w:rPr>
          <w:sz w:val="22"/>
          <w:szCs w:val="22"/>
          <w:lang w:val="es-ES"/>
        </w:rPr>
        <w:t>poklopac</w:t>
      </w:r>
      <w:proofErr w:type="spellEnd"/>
      <w:r w:rsidRPr="00F55988">
        <w:rPr>
          <w:sz w:val="22"/>
          <w:szCs w:val="22"/>
          <w:lang w:val="es-ES"/>
        </w:rPr>
        <w:t xml:space="preserve"> </w:t>
      </w:r>
      <w:proofErr w:type="spellStart"/>
      <w:r w:rsidRPr="00F55988">
        <w:rPr>
          <w:sz w:val="22"/>
          <w:szCs w:val="22"/>
          <w:lang w:val="es-ES"/>
        </w:rPr>
        <w:t>prije</w:t>
      </w:r>
      <w:proofErr w:type="spellEnd"/>
      <w:r w:rsidRPr="00F55988">
        <w:rPr>
          <w:sz w:val="22"/>
          <w:szCs w:val="22"/>
          <w:lang w:val="es-ES"/>
        </w:rPr>
        <w:t xml:space="preserve"> </w:t>
      </w:r>
      <w:proofErr w:type="spellStart"/>
      <w:r w:rsidRPr="00F55988">
        <w:rPr>
          <w:sz w:val="22"/>
          <w:szCs w:val="22"/>
          <w:lang w:val="es-ES"/>
        </w:rPr>
        <w:t>savijanja</w:t>
      </w:r>
      <w:proofErr w:type="spellEnd"/>
      <w:r w:rsidRPr="00F55988">
        <w:rPr>
          <w:sz w:val="22"/>
          <w:szCs w:val="22"/>
          <w:lang w:val="es-ES"/>
        </w:rPr>
        <w:t xml:space="preserve"> </w:t>
      </w:r>
      <w:proofErr w:type="spellStart"/>
      <w:r w:rsidRPr="00F55988">
        <w:rPr>
          <w:sz w:val="22"/>
          <w:szCs w:val="22"/>
          <w:lang w:val="es-ES"/>
        </w:rPr>
        <w:t>hvataljke</w:t>
      </w:r>
      <w:proofErr w:type="spellEnd"/>
      <w:r w:rsidRPr="00F55988">
        <w:rPr>
          <w:sz w:val="22"/>
          <w:szCs w:val="22"/>
          <w:lang w:val="es-ES"/>
        </w:rPr>
        <w:t>.</w:t>
      </w:r>
    </w:p>
    <w:p w14:paraId="31394FDE" w14:textId="77777777" w:rsidR="006D537F" w:rsidRPr="00F55988" w:rsidRDefault="006D537F" w:rsidP="003207FF">
      <w:pPr>
        <w:widowControl w:val="0"/>
        <w:autoSpaceDE w:val="0"/>
        <w:autoSpaceDN w:val="0"/>
        <w:ind w:left="232"/>
        <w:jc w:val="both"/>
        <w:rPr>
          <w:sz w:val="20"/>
          <w:szCs w:val="22"/>
          <w:highlight w:val="yellow"/>
          <w:lang w:val="es-ES"/>
        </w:rPr>
      </w:pPr>
    </w:p>
    <w:p w14:paraId="7EB9B71C" w14:textId="77777777" w:rsidR="006D537F" w:rsidRPr="00F55988" w:rsidRDefault="006D537F" w:rsidP="006D537F">
      <w:pPr>
        <w:widowControl w:val="0"/>
        <w:autoSpaceDE w:val="0"/>
        <w:autoSpaceDN w:val="0"/>
        <w:spacing w:before="1"/>
        <w:ind w:left="232"/>
        <w:rPr>
          <w:szCs w:val="22"/>
          <w:highlight w:val="yellow"/>
          <w:lang w:val="es-ES"/>
        </w:rPr>
      </w:pPr>
      <w:r w:rsidRPr="00F55988">
        <w:rPr>
          <w:noProof/>
          <w:sz w:val="22"/>
          <w:szCs w:val="22"/>
          <w:highlight w:val="yellow"/>
        </w:rPr>
        <w:drawing>
          <wp:anchor distT="0" distB="0" distL="0" distR="0" simplePos="0" relativeHeight="251663360" behindDoc="0" locked="0" layoutInCell="1" allowOverlap="1" wp14:anchorId="65AE86C9" wp14:editId="7375ACA1">
            <wp:simplePos x="0" y="0"/>
            <wp:positionH relativeFrom="page">
              <wp:posOffset>1629295</wp:posOffset>
            </wp:positionH>
            <wp:positionV relativeFrom="paragraph">
              <wp:posOffset>201146</wp:posOffset>
            </wp:positionV>
            <wp:extent cx="1154032" cy="643889"/>
            <wp:effectExtent l="0" t="0" r="0" b="0"/>
            <wp:wrapTopAndBottom/>
            <wp:docPr id="16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032" cy="643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B2A79B" w14:textId="77777777" w:rsidR="006D537F" w:rsidRPr="00F55988" w:rsidRDefault="006D537F" w:rsidP="006D537F">
      <w:pPr>
        <w:widowControl w:val="0"/>
        <w:tabs>
          <w:tab w:val="left" w:pos="833"/>
          <w:tab w:val="left" w:pos="834"/>
        </w:tabs>
        <w:autoSpaceDE w:val="0"/>
        <w:autoSpaceDN w:val="0"/>
        <w:ind w:left="834"/>
        <w:rPr>
          <w:color w:val="C00000"/>
          <w:sz w:val="22"/>
          <w:szCs w:val="22"/>
          <w:highlight w:val="yellow"/>
          <w:lang w:val="es-ES"/>
        </w:rPr>
      </w:pPr>
    </w:p>
    <w:p w14:paraId="21D4B7A8" w14:textId="77777777" w:rsidR="006D537F" w:rsidRPr="00F55988" w:rsidRDefault="006D537F" w:rsidP="003207FF">
      <w:pPr>
        <w:widowControl w:val="0"/>
        <w:numPr>
          <w:ilvl w:val="0"/>
          <w:numId w:val="26"/>
        </w:numPr>
        <w:tabs>
          <w:tab w:val="left" w:pos="833"/>
          <w:tab w:val="left" w:pos="834"/>
        </w:tabs>
        <w:autoSpaceDE w:val="0"/>
        <w:autoSpaceDN w:val="0"/>
        <w:ind w:left="834" w:hanging="567"/>
        <w:jc w:val="both"/>
        <w:rPr>
          <w:color w:val="000000" w:themeColor="text1"/>
          <w:sz w:val="22"/>
          <w:szCs w:val="22"/>
        </w:rPr>
      </w:pPr>
      <w:proofErr w:type="spellStart"/>
      <w:r w:rsidRPr="00F55988">
        <w:rPr>
          <w:color w:val="000000" w:themeColor="text1"/>
          <w:sz w:val="22"/>
          <w:szCs w:val="22"/>
        </w:rPr>
        <w:t>Skinite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zaštitni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poklopac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sa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igle</w:t>
      </w:r>
      <w:proofErr w:type="spellEnd"/>
    </w:p>
    <w:p w14:paraId="78967368" w14:textId="02215FF0" w:rsidR="006D537F" w:rsidRPr="00F55988" w:rsidRDefault="006D537F" w:rsidP="003207FF">
      <w:pPr>
        <w:widowControl w:val="0"/>
        <w:tabs>
          <w:tab w:val="left" w:pos="833"/>
          <w:tab w:val="left" w:pos="834"/>
        </w:tabs>
        <w:autoSpaceDE w:val="0"/>
        <w:autoSpaceDN w:val="0"/>
        <w:ind w:left="267"/>
        <w:jc w:val="both"/>
        <w:rPr>
          <w:color w:val="000000" w:themeColor="text1"/>
          <w:sz w:val="22"/>
          <w:szCs w:val="22"/>
          <w:lang w:val="es-ES"/>
        </w:rPr>
      </w:pPr>
      <w:proofErr w:type="spellStart"/>
      <w:r w:rsidRPr="00F55988">
        <w:rPr>
          <w:color w:val="000000" w:themeColor="text1"/>
          <w:sz w:val="22"/>
          <w:szCs w:val="22"/>
          <w:lang w:val="es-ES"/>
        </w:rPr>
        <w:t>Postoji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mogućnost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da se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na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vrhu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igle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pojaviti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kapljica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. U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ovom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slučaju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,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uklonite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kapljicu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prije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injiciranja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tako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što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ćete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lagano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tapkati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tijelo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šprica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(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sa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iglom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okrenutom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prema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  <w:lang w:val="es-ES"/>
        </w:rPr>
        <w:t>dolje</w:t>
      </w:r>
      <w:proofErr w:type="spellEnd"/>
      <w:r w:rsidRPr="00F55988">
        <w:rPr>
          <w:color w:val="000000" w:themeColor="text1"/>
          <w:sz w:val="22"/>
          <w:szCs w:val="22"/>
          <w:lang w:val="es-ES"/>
        </w:rPr>
        <w:t>).</w:t>
      </w:r>
    </w:p>
    <w:p w14:paraId="3ED652A5" w14:textId="77777777" w:rsidR="006D537F" w:rsidRPr="00F55988" w:rsidRDefault="006D537F" w:rsidP="006D537F">
      <w:pPr>
        <w:widowControl w:val="0"/>
        <w:autoSpaceDE w:val="0"/>
        <w:autoSpaceDN w:val="0"/>
        <w:spacing w:before="1"/>
        <w:rPr>
          <w:sz w:val="27"/>
          <w:szCs w:val="22"/>
          <w:highlight w:val="yellow"/>
          <w:lang w:val="es-ES"/>
        </w:rPr>
      </w:pPr>
      <w:r w:rsidRPr="00F55988">
        <w:rPr>
          <w:noProof/>
          <w:color w:val="C00000"/>
          <w:sz w:val="22"/>
          <w:szCs w:val="22"/>
          <w:highlight w:val="yellow"/>
        </w:rPr>
        <w:drawing>
          <wp:anchor distT="0" distB="0" distL="0" distR="0" simplePos="0" relativeHeight="251665408" behindDoc="0" locked="0" layoutInCell="1" allowOverlap="1" wp14:anchorId="046C84A5" wp14:editId="52294DA3">
            <wp:simplePos x="0" y="0"/>
            <wp:positionH relativeFrom="page">
              <wp:posOffset>1528445</wp:posOffset>
            </wp:positionH>
            <wp:positionV relativeFrom="paragraph">
              <wp:posOffset>191770</wp:posOffset>
            </wp:positionV>
            <wp:extent cx="1206751" cy="808863"/>
            <wp:effectExtent l="0" t="0" r="0" b="0"/>
            <wp:wrapTopAndBottom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751" cy="808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2D5324" w14:textId="77777777" w:rsidR="006D537F" w:rsidRPr="00F55988" w:rsidRDefault="006D537F" w:rsidP="006D537F">
      <w:pPr>
        <w:widowControl w:val="0"/>
        <w:numPr>
          <w:ilvl w:val="0"/>
          <w:numId w:val="26"/>
        </w:numPr>
        <w:tabs>
          <w:tab w:val="left" w:pos="833"/>
          <w:tab w:val="left" w:pos="834"/>
        </w:tabs>
        <w:autoSpaceDE w:val="0"/>
        <w:autoSpaceDN w:val="0"/>
        <w:ind w:left="834" w:hanging="567"/>
        <w:jc w:val="both"/>
        <w:rPr>
          <w:color w:val="000000" w:themeColor="text1"/>
          <w:sz w:val="22"/>
          <w:szCs w:val="22"/>
        </w:rPr>
      </w:pPr>
      <w:proofErr w:type="spellStart"/>
      <w:r w:rsidRPr="00F55988">
        <w:rPr>
          <w:color w:val="000000" w:themeColor="text1"/>
          <w:sz w:val="22"/>
          <w:szCs w:val="22"/>
        </w:rPr>
        <w:t>Davanje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injekcije</w:t>
      </w:r>
      <w:proofErr w:type="spellEnd"/>
      <w:r w:rsidRPr="00F55988">
        <w:rPr>
          <w:color w:val="000000" w:themeColor="text1"/>
          <w:sz w:val="22"/>
          <w:szCs w:val="22"/>
        </w:rPr>
        <w:t>:</w:t>
      </w:r>
    </w:p>
    <w:p w14:paraId="34AF4343" w14:textId="556A245F" w:rsidR="006D537F" w:rsidRPr="00357F8F" w:rsidRDefault="006D537F" w:rsidP="00357F8F">
      <w:pPr>
        <w:widowControl w:val="0"/>
        <w:autoSpaceDE w:val="0"/>
        <w:autoSpaceDN w:val="0"/>
        <w:spacing w:before="5" w:line="244" w:lineRule="auto"/>
        <w:ind w:left="227" w:right="713"/>
        <w:jc w:val="both"/>
        <w:rPr>
          <w:color w:val="000000" w:themeColor="text1"/>
          <w:sz w:val="22"/>
          <w:szCs w:val="22"/>
        </w:rPr>
      </w:pPr>
      <w:proofErr w:type="spellStart"/>
      <w:r w:rsidRPr="00357F8F">
        <w:rPr>
          <w:color w:val="000000" w:themeColor="text1"/>
          <w:sz w:val="22"/>
          <w:szCs w:val="22"/>
        </w:rPr>
        <w:t>Napunjeni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injekcioni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špric</w:t>
      </w:r>
      <w:proofErr w:type="spellEnd"/>
      <w:r w:rsidRPr="00357F8F">
        <w:rPr>
          <w:color w:val="000000" w:themeColor="text1"/>
          <w:sz w:val="22"/>
          <w:szCs w:val="22"/>
        </w:rPr>
        <w:t xml:space="preserve"> je </w:t>
      </w:r>
      <w:proofErr w:type="spellStart"/>
      <w:r w:rsidRPr="00357F8F">
        <w:rPr>
          <w:color w:val="000000" w:themeColor="text1"/>
          <w:sz w:val="22"/>
          <w:szCs w:val="22"/>
        </w:rPr>
        <w:t>spreman</w:t>
      </w:r>
      <w:proofErr w:type="spellEnd"/>
      <w:r w:rsidRPr="00357F8F">
        <w:rPr>
          <w:color w:val="000000" w:themeColor="text1"/>
          <w:sz w:val="22"/>
          <w:szCs w:val="22"/>
        </w:rPr>
        <w:t xml:space="preserve"> za </w:t>
      </w:r>
      <w:proofErr w:type="spellStart"/>
      <w:r w:rsidRPr="00357F8F">
        <w:rPr>
          <w:color w:val="000000" w:themeColor="text1"/>
          <w:sz w:val="22"/>
          <w:szCs w:val="22"/>
        </w:rPr>
        <w:t>neposrednu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upotrebu</w:t>
      </w:r>
      <w:proofErr w:type="spellEnd"/>
      <w:r w:rsidRPr="00357F8F">
        <w:rPr>
          <w:color w:val="000000" w:themeColor="text1"/>
          <w:sz w:val="22"/>
          <w:szCs w:val="22"/>
        </w:rPr>
        <w:t xml:space="preserve">. </w:t>
      </w:r>
      <w:proofErr w:type="spellStart"/>
      <w:r w:rsidRPr="00357F8F">
        <w:rPr>
          <w:color w:val="000000" w:themeColor="text1"/>
          <w:sz w:val="22"/>
          <w:szCs w:val="22"/>
        </w:rPr>
        <w:t>Izaberite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mjesto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na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desnoj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ili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lijevoj</w:t>
      </w:r>
      <w:proofErr w:type="spellEnd"/>
      <w:r w:rsidRPr="00357F8F">
        <w:rPr>
          <w:color w:val="000000" w:themeColor="text1"/>
          <w:sz w:val="22"/>
          <w:szCs w:val="22"/>
        </w:rPr>
        <w:t xml:space="preserve"> strain </w:t>
      </w:r>
      <w:proofErr w:type="spellStart"/>
      <w:r w:rsidRPr="00357F8F">
        <w:rPr>
          <w:color w:val="000000" w:themeColor="text1"/>
          <w:sz w:val="22"/>
          <w:szCs w:val="22"/>
        </w:rPr>
        <w:t>stomaka</w:t>
      </w:r>
      <w:proofErr w:type="spellEnd"/>
      <w:r w:rsidRPr="00357F8F">
        <w:rPr>
          <w:color w:val="000000" w:themeColor="text1"/>
          <w:sz w:val="22"/>
          <w:szCs w:val="22"/>
        </w:rPr>
        <w:t xml:space="preserve">. </w:t>
      </w:r>
      <w:proofErr w:type="spellStart"/>
      <w:r w:rsidRPr="00357F8F">
        <w:rPr>
          <w:color w:val="000000" w:themeColor="text1"/>
          <w:sz w:val="22"/>
          <w:szCs w:val="22"/>
        </w:rPr>
        <w:t>Mjesto</w:t>
      </w:r>
      <w:proofErr w:type="spellEnd"/>
      <w:r w:rsidRPr="00357F8F">
        <w:rPr>
          <w:color w:val="000000" w:themeColor="text1"/>
          <w:sz w:val="22"/>
          <w:szCs w:val="22"/>
        </w:rPr>
        <w:t xml:space="preserve"> mora </w:t>
      </w:r>
      <w:proofErr w:type="spellStart"/>
      <w:r w:rsidRPr="00357F8F">
        <w:rPr>
          <w:color w:val="000000" w:themeColor="text1"/>
          <w:sz w:val="22"/>
          <w:szCs w:val="22"/>
        </w:rPr>
        <w:t>biti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najmanje</w:t>
      </w:r>
      <w:proofErr w:type="spellEnd"/>
      <w:r w:rsidRPr="00357F8F">
        <w:rPr>
          <w:color w:val="000000" w:themeColor="text1"/>
          <w:sz w:val="22"/>
          <w:szCs w:val="22"/>
        </w:rPr>
        <w:t xml:space="preserve"> 5 cm </w:t>
      </w:r>
      <w:proofErr w:type="spellStart"/>
      <w:r w:rsidRPr="00357F8F">
        <w:rPr>
          <w:color w:val="000000" w:themeColor="text1"/>
          <w:sz w:val="22"/>
          <w:szCs w:val="22"/>
        </w:rPr>
        <w:t>udaljeno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od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pupka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i</w:t>
      </w:r>
      <w:proofErr w:type="spellEnd"/>
      <w:r w:rsidRPr="00357F8F">
        <w:rPr>
          <w:color w:val="000000" w:themeColor="text1"/>
          <w:sz w:val="22"/>
          <w:szCs w:val="22"/>
        </w:rPr>
        <w:t xml:space="preserve"> u </w:t>
      </w:r>
      <w:proofErr w:type="spellStart"/>
      <w:r w:rsidRPr="00357F8F">
        <w:rPr>
          <w:color w:val="000000" w:themeColor="text1"/>
          <w:sz w:val="22"/>
          <w:szCs w:val="22"/>
        </w:rPr>
        <w:t>smjeru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boka</w:t>
      </w:r>
      <w:proofErr w:type="spellEnd"/>
      <w:r w:rsidRPr="00357F8F">
        <w:rPr>
          <w:color w:val="000000" w:themeColor="text1"/>
          <w:sz w:val="22"/>
          <w:szCs w:val="22"/>
        </w:rPr>
        <w:t xml:space="preserve">. </w:t>
      </w:r>
      <w:proofErr w:type="spellStart"/>
      <w:r w:rsidRPr="00357F8F">
        <w:rPr>
          <w:color w:val="000000" w:themeColor="text1"/>
          <w:sz w:val="22"/>
          <w:szCs w:val="22"/>
        </w:rPr>
        <w:t>Špric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držite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tako</w:t>
      </w:r>
      <w:proofErr w:type="spellEnd"/>
      <w:r w:rsidRPr="00357F8F">
        <w:rPr>
          <w:color w:val="000000" w:themeColor="text1"/>
          <w:sz w:val="22"/>
          <w:szCs w:val="22"/>
        </w:rPr>
        <w:t xml:space="preserve"> da </w:t>
      </w:r>
      <w:proofErr w:type="spellStart"/>
      <w:r w:rsidRPr="00357F8F">
        <w:rPr>
          <w:color w:val="000000" w:themeColor="text1"/>
          <w:sz w:val="22"/>
          <w:szCs w:val="22"/>
        </w:rPr>
        <w:t>igla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bude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usmjerena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prema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dolje</w:t>
      </w:r>
      <w:proofErr w:type="spellEnd"/>
      <w:r w:rsidRPr="00357F8F">
        <w:rPr>
          <w:color w:val="000000" w:themeColor="text1"/>
          <w:sz w:val="22"/>
          <w:szCs w:val="22"/>
        </w:rPr>
        <w:t xml:space="preserve"> (</w:t>
      </w:r>
      <w:proofErr w:type="spellStart"/>
      <w:r w:rsidRPr="00357F8F">
        <w:rPr>
          <w:color w:val="000000" w:themeColor="text1"/>
          <w:sz w:val="22"/>
          <w:szCs w:val="22"/>
        </w:rPr>
        <w:t>vertikalno</w:t>
      </w:r>
      <w:proofErr w:type="spellEnd"/>
      <w:r w:rsidRPr="00357F8F">
        <w:rPr>
          <w:color w:val="000000" w:themeColor="text1"/>
          <w:sz w:val="22"/>
          <w:szCs w:val="22"/>
        </w:rPr>
        <w:t xml:space="preserve"> pod </w:t>
      </w:r>
      <w:proofErr w:type="spellStart"/>
      <w:r w:rsidRPr="00357F8F">
        <w:rPr>
          <w:color w:val="000000" w:themeColor="text1"/>
          <w:sz w:val="22"/>
          <w:szCs w:val="22"/>
        </w:rPr>
        <w:t>uglom</w:t>
      </w:r>
      <w:proofErr w:type="spellEnd"/>
      <w:r w:rsidRPr="00357F8F">
        <w:rPr>
          <w:color w:val="000000" w:themeColor="text1"/>
          <w:sz w:val="22"/>
          <w:szCs w:val="22"/>
        </w:rPr>
        <w:t xml:space="preserve"> od 90</w:t>
      </w:r>
      <w:r w:rsidR="000D6AED">
        <w:rPr>
          <w:color w:val="000000" w:themeColor="text1"/>
          <w:sz w:val="22"/>
          <w:szCs w:val="22"/>
        </w:rPr>
        <w:t xml:space="preserve"> </w:t>
      </w:r>
      <w:r w:rsidR="009B3514">
        <w:rPr>
          <w:color w:val="000000" w:themeColor="text1"/>
          <w:sz w:val="22"/>
          <w:szCs w:val="22"/>
        </w:rPr>
        <w:t>°</w:t>
      </w:r>
      <w:r w:rsidRPr="00357F8F">
        <w:rPr>
          <w:color w:val="000000" w:themeColor="text1"/>
          <w:sz w:val="22"/>
          <w:szCs w:val="22"/>
        </w:rPr>
        <w:t xml:space="preserve">) u </w:t>
      </w:r>
      <w:proofErr w:type="spellStart"/>
      <w:r w:rsidRPr="00357F8F">
        <w:rPr>
          <w:color w:val="000000" w:themeColor="text1"/>
          <w:sz w:val="22"/>
          <w:szCs w:val="22"/>
        </w:rPr>
        <w:t>kožn</w:t>
      </w:r>
      <w:r w:rsidR="002D486A">
        <w:rPr>
          <w:color w:val="000000" w:themeColor="text1"/>
          <w:sz w:val="22"/>
          <w:szCs w:val="22"/>
        </w:rPr>
        <w:t>i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nabor</w:t>
      </w:r>
      <w:proofErr w:type="spellEnd"/>
      <w:r w:rsidRPr="00357F8F">
        <w:rPr>
          <w:color w:val="000000" w:themeColor="text1"/>
          <w:sz w:val="22"/>
          <w:szCs w:val="22"/>
        </w:rPr>
        <w:t xml:space="preserve"> koji se </w:t>
      </w:r>
      <w:proofErr w:type="spellStart"/>
      <w:r w:rsidRPr="00357F8F">
        <w:rPr>
          <w:color w:val="000000" w:themeColor="text1"/>
          <w:sz w:val="22"/>
          <w:szCs w:val="22"/>
        </w:rPr>
        <w:t>drži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između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palca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i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kažiprsta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osobe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koja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daje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injekciju</w:t>
      </w:r>
      <w:proofErr w:type="spellEnd"/>
      <w:r w:rsidRPr="00357F8F">
        <w:rPr>
          <w:color w:val="000000" w:themeColor="text1"/>
          <w:sz w:val="22"/>
          <w:szCs w:val="22"/>
        </w:rPr>
        <w:t xml:space="preserve"> (</w:t>
      </w:r>
      <w:proofErr w:type="spellStart"/>
      <w:r w:rsidRPr="00357F8F">
        <w:rPr>
          <w:color w:val="000000" w:themeColor="text1"/>
          <w:sz w:val="22"/>
          <w:szCs w:val="22"/>
        </w:rPr>
        <w:t>operatera</w:t>
      </w:r>
      <w:proofErr w:type="spellEnd"/>
      <w:r w:rsidRPr="00357F8F">
        <w:rPr>
          <w:color w:val="000000" w:themeColor="text1"/>
          <w:sz w:val="22"/>
          <w:szCs w:val="22"/>
        </w:rPr>
        <w:t xml:space="preserve">). </w:t>
      </w:r>
      <w:proofErr w:type="spellStart"/>
      <w:r w:rsidRPr="00357F8F">
        <w:rPr>
          <w:color w:val="000000" w:themeColor="text1"/>
          <w:sz w:val="22"/>
          <w:szCs w:val="22"/>
        </w:rPr>
        <w:t>Nabor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kože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treba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držati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sve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vrijeme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dok</w:t>
      </w:r>
      <w:proofErr w:type="spellEnd"/>
      <w:r w:rsidRPr="00357F8F">
        <w:rPr>
          <w:color w:val="000000" w:themeColor="text1"/>
          <w:sz w:val="22"/>
          <w:szCs w:val="22"/>
        </w:rPr>
        <w:t xml:space="preserve"> se ne </w:t>
      </w:r>
      <w:proofErr w:type="spellStart"/>
      <w:r w:rsidRPr="00357F8F">
        <w:rPr>
          <w:color w:val="000000" w:themeColor="text1"/>
          <w:sz w:val="22"/>
          <w:szCs w:val="22"/>
        </w:rPr>
        <w:t>završi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davanje</w:t>
      </w:r>
      <w:proofErr w:type="spellEnd"/>
      <w:r w:rsidRPr="00357F8F">
        <w:rPr>
          <w:color w:val="000000" w:themeColor="text1"/>
          <w:sz w:val="22"/>
          <w:szCs w:val="22"/>
        </w:rPr>
        <w:t xml:space="preserve"> </w:t>
      </w:r>
      <w:proofErr w:type="spellStart"/>
      <w:r w:rsidRPr="00357F8F">
        <w:rPr>
          <w:color w:val="000000" w:themeColor="text1"/>
          <w:sz w:val="22"/>
          <w:szCs w:val="22"/>
        </w:rPr>
        <w:t>injekcije</w:t>
      </w:r>
      <w:proofErr w:type="spellEnd"/>
      <w:r w:rsidRPr="00357F8F">
        <w:rPr>
          <w:color w:val="000000" w:themeColor="text1"/>
          <w:sz w:val="22"/>
          <w:szCs w:val="22"/>
        </w:rPr>
        <w:t xml:space="preserve">. </w:t>
      </w:r>
    </w:p>
    <w:p w14:paraId="23D91A6F" w14:textId="77777777" w:rsidR="006D537F" w:rsidRPr="00357F8F" w:rsidRDefault="006D537F" w:rsidP="006D537F">
      <w:pPr>
        <w:widowControl w:val="0"/>
        <w:autoSpaceDE w:val="0"/>
        <w:autoSpaceDN w:val="0"/>
        <w:ind w:left="232"/>
        <w:rPr>
          <w:sz w:val="20"/>
          <w:szCs w:val="22"/>
        </w:rPr>
      </w:pPr>
    </w:p>
    <w:p w14:paraId="5AD7D3B6" w14:textId="3657D52C" w:rsidR="006D537F" w:rsidRPr="00357F8F" w:rsidRDefault="009A778A" w:rsidP="006D537F">
      <w:pPr>
        <w:widowControl w:val="0"/>
        <w:autoSpaceDE w:val="0"/>
        <w:autoSpaceDN w:val="0"/>
        <w:spacing w:before="1"/>
        <w:ind w:left="232"/>
        <w:rPr>
          <w:sz w:val="23"/>
          <w:szCs w:val="22"/>
        </w:rPr>
      </w:pPr>
      <w:r>
        <w:rPr>
          <w:sz w:val="23"/>
          <w:szCs w:val="22"/>
        </w:rPr>
        <w:t xml:space="preserve">                                                                  </w:t>
      </w:r>
      <w:r w:rsidRPr="00357F8F">
        <w:rPr>
          <w:sz w:val="23"/>
          <w:szCs w:val="22"/>
        </w:rPr>
        <w:t xml:space="preserve">  </w:t>
      </w:r>
      <w:r w:rsidRPr="009A778A">
        <w:rPr>
          <w:noProof/>
        </w:rPr>
        <w:drawing>
          <wp:inline distT="0" distB="0" distL="0" distR="0" wp14:anchorId="6FB02EB4" wp14:editId="54FC94C5">
            <wp:extent cx="946498" cy="885825"/>
            <wp:effectExtent l="0" t="0" r="6350" b="0"/>
            <wp:docPr id="54" name="Image 54" descr="Une image contenant dessin au tra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dessin au trait&#10;&#10;Description générée automatiquement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50731" cy="889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1E095" w14:textId="4A28933A" w:rsidR="006D537F" w:rsidRPr="00357F8F" w:rsidRDefault="006D537F" w:rsidP="006D537F">
      <w:pPr>
        <w:widowControl w:val="0"/>
        <w:autoSpaceDE w:val="0"/>
        <w:autoSpaceDN w:val="0"/>
        <w:ind w:left="232"/>
        <w:rPr>
          <w:szCs w:val="22"/>
          <w:highlight w:val="yellow"/>
        </w:rPr>
      </w:pPr>
    </w:p>
    <w:p w14:paraId="08718A73" w14:textId="09C68684" w:rsidR="006D537F" w:rsidRPr="009A778A" w:rsidRDefault="006D537F" w:rsidP="006D537F">
      <w:pPr>
        <w:widowControl w:val="0"/>
        <w:autoSpaceDE w:val="0"/>
        <w:autoSpaceDN w:val="0"/>
        <w:spacing w:before="5"/>
        <w:ind w:left="232"/>
        <w:rPr>
          <w:sz w:val="23"/>
          <w:szCs w:val="22"/>
          <w:highlight w:val="yellow"/>
        </w:rPr>
      </w:pPr>
    </w:p>
    <w:p w14:paraId="06D91AD9" w14:textId="77777777" w:rsidR="006D537F" w:rsidRPr="00F55988" w:rsidRDefault="006D537F" w:rsidP="003207FF">
      <w:pPr>
        <w:widowControl w:val="0"/>
        <w:numPr>
          <w:ilvl w:val="0"/>
          <w:numId w:val="26"/>
        </w:numPr>
        <w:tabs>
          <w:tab w:val="left" w:pos="833"/>
          <w:tab w:val="left" w:pos="834"/>
        </w:tabs>
        <w:autoSpaceDE w:val="0"/>
        <w:autoSpaceDN w:val="0"/>
        <w:spacing w:before="176"/>
        <w:jc w:val="both"/>
        <w:rPr>
          <w:sz w:val="22"/>
          <w:szCs w:val="22"/>
        </w:rPr>
      </w:pPr>
      <w:proofErr w:type="spellStart"/>
      <w:r w:rsidRPr="00F55988">
        <w:rPr>
          <w:sz w:val="22"/>
          <w:szCs w:val="22"/>
        </w:rPr>
        <w:t>Osigurajte</w:t>
      </w:r>
      <w:proofErr w:type="spellEnd"/>
      <w:r w:rsidRPr="00F55988">
        <w:rPr>
          <w:sz w:val="22"/>
          <w:szCs w:val="22"/>
        </w:rPr>
        <w:t xml:space="preserve"> </w:t>
      </w:r>
      <w:proofErr w:type="spellStart"/>
      <w:r w:rsidRPr="00F55988">
        <w:rPr>
          <w:sz w:val="22"/>
          <w:szCs w:val="22"/>
        </w:rPr>
        <w:t>hvataljku</w:t>
      </w:r>
      <w:proofErr w:type="spellEnd"/>
      <w:r w:rsidRPr="00F55988">
        <w:rPr>
          <w:sz w:val="22"/>
          <w:szCs w:val="22"/>
        </w:rPr>
        <w:t xml:space="preserve"> za iglu</w:t>
      </w:r>
      <w:r w:rsidRPr="00F55988">
        <w:rPr>
          <w:sz w:val="20"/>
          <w:szCs w:val="20"/>
        </w:rPr>
        <w:t xml:space="preserve"> </w:t>
      </w:r>
    </w:p>
    <w:p w14:paraId="51E7ABBB" w14:textId="64023477" w:rsidR="006D537F" w:rsidRPr="003207FF" w:rsidRDefault="006D537F" w:rsidP="003207FF">
      <w:pPr>
        <w:widowControl w:val="0"/>
        <w:tabs>
          <w:tab w:val="left" w:pos="833"/>
          <w:tab w:val="left" w:pos="834"/>
        </w:tabs>
        <w:autoSpaceDE w:val="0"/>
        <w:autoSpaceDN w:val="0"/>
        <w:spacing w:before="176"/>
        <w:ind w:left="265"/>
        <w:jc w:val="both"/>
        <w:rPr>
          <w:sz w:val="22"/>
          <w:szCs w:val="22"/>
          <w:lang w:val="de-DE"/>
        </w:rPr>
      </w:pPr>
      <w:proofErr w:type="spellStart"/>
      <w:r w:rsidRPr="00F55988">
        <w:rPr>
          <w:sz w:val="22"/>
          <w:szCs w:val="22"/>
        </w:rPr>
        <w:t>Jednom</w:t>
      </w:r>
      <w:proofErr w:type="spellEnd"/>
      <w:r w:rsidRPr="00F55988">
        <w:rPr>
          <w:sz w:val="22"/>
          <w:szCs w:val="22"/>
        </w:rPr>
        <w:t xml:space="preserve"> </w:t>
      </w:r>
      <w:proofErr w:type="spellStart"/>
      <w:r w:rsidRPr="00F55988">
        <w:rPr>
          <w:sz w:val="22"/>
          <w:szCs w:val="22"/>
        </w:rPr>
        <w:t>rukom</w:t>
      </w:r>
      <w:proofErr w:type="spellEnd"/>
      <w:r w:rsidRPr="00F55988">
        <w:rPr>
          <w:sz w:val="22"/>
          <w:szCs w:val="22"/>
        </w:rPr>
        <w:t xml:space="preserve"> </w:t>
      </w:r>
      <w:proofErr w:type="spellStart"/>
      <w:r w:rsidRPr="00F55988">
        <w:rPr>
          <w:sz w:val="22"/>
          <w:szCs w:val="22"/>
        </w:rPr>
        <w:t>postavite</w:t>
      </w:r>
      <w:proofErr w:type="spellEnd"/>
      <w:r w:rsidRPr="00F55988">
        <w:rPr>
          <w:sz w:val="22"/>
          <w:szCs w:val="22"/>
        </w:rPr>
        <w:t xml:space="preserve"> </w:t>
      </w:r>
      <w:proofErr w:type="spellStart"/>
      <w:r w:rsidRPr="00F55988">
        <w:rPr>
          <w:sz w:val="22"/>
          <w:szCs w:val="22"/>
        </w:rPr>
        <w:t>hvataljku</w:t>
      </w:r>
      <w:proofErr w:type="spellEnd"/>
      <w:r w:rsidRPr="00F55988">
        <w:rPr>
          <w:sz w:val="22"/>
          <w:szCs w:val="22"/>
        </w:rPr>
        <w:t xml:space="preserve"> za iglu </w:t>
      </w:r>
      <w:proofErr w:type="spellStart"/>
      <w:r w:rsidRPr="00F55988">
        <w:rPr>
          <w:sz w:val="22"/>
          <w:szCs w:val="22"/>
        </w:rPr>
        <w:t>na</w:t>
      </w:r>
      <w:proofErr w:type="spellEnd"/>
      <w:r w:rsidRPr="00F55988">
        <w:rPr>
          <w:sz w:val="22"/>
          <w:szCs w:val="22"/>
        </w:rPr>
        <w:t xml:space="preserve"> </w:t>
      </w:r>
      <w:proofErr w:type="spellStart"/>
      <w:r w:rsidRPr="00F55988">
        <w:rPr>
          <w:sz w:val="22"/>
          <w:szCs w:val="22"/>
        </w:rPr>
        <w:t>tvrdu</w:t>
      </w:r>
      <w:proofErr w:type="spellEnd"/>
      <w:r w:rsidRPr="00F55988">
        <w:rPr>
          <w:sz w:val="22"/>
          <w:szCs w:val="22"/>
        </w:rPr>
        <w:t xml:space="preserve">, </w:t>
      </w:r>
      <w:proofErr w:type="spellStart"/>
      <w:r w:rsidRPr="00F55988">
        <w:rPr>
          <w:sz w:val="22"/>
          <w:szCs w:val="22"/>
        </w:rPr>
        <w:t>stabilnu</w:t>
      </w:r>
      <w:proofErr w:type="spellEnd"/>
      <w:r w:rsidRPr="00F55988">
        <w:rPr>
          <w:sz w:val="22"/>
          <w:szCs w:val="22"/>
        </w:rPr>
        <w:t xml:space="preserve"> </w:t>
      </w:r>
      <w:proofErr w:type="spellStart"/>
      <w:r w:rsidRPr="00F55988">
        <w:rPr>
          <w:sz w:val="22"/>
          <w:szCs w:val="22"/>
        </w:rPr>
        <w:t>površinu</w:t>
      </w:r>
      <w:proofErr w:type="spellEnd"/>
      <w:r w:rsidRPr="00F55988">
        <w:rPr>
          <w:sz w:val="22"/>
          <w:szCs w:val="22"/>
        </w:rPr>
        <w:t>.</w:t>
      </w:r>
      <w:r w:rsidR="0076791E">
        <w:rPr>
          <w:sz w:val="22"/>
          <w:szCs w:val="22"/>
        </w:rPr>
        <w:t xml:space="preserve"> </w:t>
      </w:r>
      <w:r w:rsidRPr="003207FF">
        <w:rPr>
          <w:sz w:val="22"/>
          <w:szCs w:val="22"/>
          <w:lang w:val="de-DE"/>
        </w:rPr>
        <w:t>Važno: Ne koristite prst da biste uvukli iglu u hvataljku. Zatim pritisnite hvataljku ka dolje. Savijajte hvataljku dok igla zvučno ne klikne u plastični dio.</w:t>
      </w:r>
    </w:p>
    <w:p w14:paraId="3FB407EA" w14:textId="77777777" w:rsidR="006D537F" w:rsidRPr="003207FF" w:rsidRDefault="006D537F" w:rsidP="006D537F">
      <w:pPr>
        <w:widowControl w:val="0"/>
        <w:tabs>
          <w:tab w:val="left" w:pos="833"/>
          <w:tab w:val="left" w:pos="834"/>
        </w:tabs>
        <w:autoSpaceDE w:val="0"/>
        <w:autoSpaceDN w:val="0"/>
        <w:spacing w:before="176"/>
        <w:ind w:left="265"/>
        <w:rPr>
          <w:color w:val="C00000"/>
          <w:sz w:val="22"/>
          <w:szCs w:val="22"/>
          <w:highlight w:val="yellow"/>
          <w:lang w:val="de-DE"/>
        </w:rPr>
      </w:pPr>
    </w:p>
    <w:p w14:paraId="78A073D2" w14:textId="77777777" w:rsidR="006D537F" w:rsidRPr="003207FF" w:rsidRDefault="006D537F" w:rsidP="006D537F">
      <w:pPr>
        <w:widowControl w:val="0"/>
        <w:autoSpaceDE w:val="0"/>
        <w:autoSpaceDN w:val="0"/>
        <w:spacing w:before="9"/>
        <w:ind w:left="232"/>
        <w:rPr>
          <w:sz w:val="18"/>
          <w:szCs w:val="22"/>
          <w:highlight w:val="yellow"/>
          <w:lang w:val="de-DE"/>
        </w:rPr>
      </w:pPr>
      <w:r w:rsidRPr="00F55988">
        <w:rPr>
          <w:noProof/>
          <w:sz w:val="22"/>
          <w:szCs w:val="22"/>
          <w:highlight w:val="yellow"/>
        </w:rPr>
        <w:drawing>
          <wp:anchor distT="0" distB="0" distL="0" distR="0" simplePos="0" relativeHeight="251666432" behindDoc="0" locked="0" layoutInCell="1" allowOverlap="1" wp14:anchorId="2D960529" wp14:editId="6F50CAA3">
            <wp:simplePos x="0" y="0"/>
            <wp:positionH relativeFrom="page">
              <wp:posOffset>1280353</wp:posOffset>
            </wp:positionH>
            <wp:positionV relativeFrom="paragraph">
              <wp:posOffset>162129</wp:posOffset>
            </wp:positionV>
            <wp:extent cx="1196118" cy="614362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118" cy="614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5988">
        <w:rPr>
          <w:noProof/>
          <w:sz w:val="22"/>
          <w:szCs w:val="22"/>
          <w:highlight w:val="yellow"/>
        </w:rPr>
        <w:drawing>
          <wp:anchor distT="0" distB="0" distL="0" distR="0" simplePos="0" relativeHeight="251667456" behindDoc="0" locked="0" layoutInCell="1" allowOverlap="1" wp14:anchorId="097AB9C4" wp14:editId="44355311">
            <wp:simplePos x="0" y="0"/>
            <wp:positionH relativeFrom="page">
              <wp:posOffset>3618667</wp:posOffset>
            </wp:positionH>
            <wp:positionV relativeFrom="paragraph">
              <wp:posOffset>162129</wp:posOffset>
            </wp:positionV>
            <wp:extent cx="1215389" cy="607695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389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883AFF" w14:textId="77777777" w:rsidR="006D537F" w:rsidRPr="00F55988" w:rsidRDefault="006D537F" w:rsidP="003207FF">
      <w:pPr>
        <w:widowControl w:val="0"/>
        <w:numPr>
          <w:ilvl w:val="0"/>
          <w:numId w:val="26"/>
        </w:numPr>
        <w:tabs>
          <w:tab w:val="left" w:pos="833"/>
          <w:tab w:val="left" w:pos="834"/>
        </w:tabs>
        <w:autoSpaceDE w:val="0"/>
        <w:autoSpaceDN w:val="0"/>
        <w:spacing w:before="176"/>
        <w:jc w:val="both"/>
        <w:rPr>
          <w:color w:val="000000" w:themeColor="text1"/>
          <w:sz w:val="22"/>
          <w:szCs w:val="22"/>
        </w:rPr>
      </w:pPr>
      <w:proofErr w:type="spellStart"/>
      <w:r w:rsidRPr="00F55988">
        <w:rPr>
          <w:color w:val="000000" w:themeColor="text1"/>
          <w:sz w:val="22"/>
          <w:szCs w:val="22"/>
        </w:rPr>
        <w:lastRenderedPageBreak/>
        <w:t>Špric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sa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zaštićenom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iglom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odložite</w:t>
      </w:r>
      <w:proofErr w:type="spellEnd"/>
      <w:r w:rsidRPr="00F55988">
        <w:rPr>
          <w:color w:val="000000" w:themeColor="text1"/>
          <w:sz w:val="22"/>
          <w:szCs w:val="22"/>
        </w:rPr>
        <w:t xml:space="preserve"> u </w:t>
      </w:r>
      <w:proofErr w:type="spellStart"/>
      <w:r w:rsidRPr="00F55988">
        <w:rPr>
          <w:color w:val="000000" w:themeColor="text1"/>
          <w:sz w:val="22"/>
          <w:szCs w:val="22"/>
        </w:rPr>
        <w:t>najbliži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kontejner</w:t>
      </w:r>
      <w:proofErr w:type="spellEnd"/>
      <w:r w:rsidRPr="00F55988">
        <w:rPr>
          <w:color w:val="000000" w:themeColor="text1"/>
          <w:sz w:val="22"/>
          <w:szCs w:val="22"/>
        </w:rPr>
        <w:t xml:space="preserve"> za </w:t>
      </w:r>
      <w:proofErr w:type="spellStart"/>
      <w:r w:rsidRPr="00F55988">
        <w:rPr>
          <w:color w:val="000000" w:themeColor="text1"/>
          <w:sz w:val="22"/>
          <w:szCs w:val="22"/>
        </w:rPr>
        <w:t>oštre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predmete</w:t>
      </w:r>
      <w:proofErr w:type="spellEnd"/>
      <w:r w:rsidRPr="00F55988">
        <w:rPr>
          <w:color w:val="000000" w:themeColor="text1"/>
          <w:sz w:val="22"/>
          <w:szCs w:val="22"/>
        </w:rPr>
        <w:t>.</w:t>
      </w:r>
    </w:p>
    <w:p w14:paraId="0B4C1E49" w14:textId="77777777" w:rsidR="006D537F" w:rsidRPr="00F55988" w:rsidRDefault="006D537F" w:rsidP="003207FF">
      <w:pPr>
        <w:widowControl w:val="0"/>
        <w:autoSpaceDE w:val="0"/>
        <w:autoSpaceDN w:val="0"/>
        <w:spacing w:line="237" w:lineRule="auto"/>
        <w:ind w:left="232" w:right="494"/>
        <w:jc w:val="both"/>
        <w:rPr>
          <w:color w:val="C00000"/>
          <w:sz w:val="22"/>
          <w:szCs w:val="22"/>
        </w:rPr>
      </w:pPr>
    </w:p>
    <w:p w14:paraId="02327B3D" w14:textId="77777777" w:rsidR="006D537F" w:rsidRDefault="006D537F" w:rsidP="003207FF">
      <w:pPr>
        <w:widowControl w:val="0"/>
        <w:autoSpaceDE w:val="0"/>
        <w:autoSpaceDN w:val="0"/>
        <w:spacing w:line="237" w:lineRule="auto"/>
        <w:ind w:left="232" w:right="494"/>
        <w:jc w:val="both"/>
        <w:rPr>
          <w:color w:val="000000" w:themeColor="text1"/>
          <w:sz w:val="22"/>
          <w:szCs w:val="22"/>
        </w:rPr>
      </w:pPr>
      <w:proofErr w:type="spellStart"/>
      <w:r w:rsidRPr="00F55988">
        <w:rPr>
          <w:color w:val="000000" w:themeColor="text1"/>
          <w:sz w:val="22"/>
          <w:szCs w:val="22"/>
        </w:rPr>
        <w:t>Svu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neiskorišćenu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količinu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lijeka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ili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otpadnog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materijala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nakon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njegove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upotrebe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treba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ukloniti</w:t>
      </w:r>
      <w:proofErr w:type="spellEnd"/>
      <w:r w:rsidRPr="00F55988">
        <w:rPr>
          <w:color w:val="000000" w:themeColor="text1"/>
          <w:sz w:val="22"/>
          <w:szCs w:val="22"/>
        </w:rPr>
        <w:t xml:space="preserve">, u </w:t>
      </w:r>
      <w:proofErr w:type="spellStart"/>
      <w:r w:rsidRPr="00F55988">
        <w:rPr>
          <w:color w:val="000000" w:themeColor="text1"/>
          <w:sz w:val="22"/>
          <w:szCs w:val="22"/>
        </w:rPr>
        <w:t>skladu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sa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lokalnim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zahtjevima</w:t>
      </w:r>
      <w:proofErr w:type="spellEnd"/>
      <w:r w:rsidRPr="00F55988">
        <w:rPr>
          <w:color w:val="000000" w:themeColor="text1"/>
          <w:sz w:val="22"/>
          <w:szCs w:val="22"/>
        </w:rPr>
        <w:t>.</w:t>
      </w:r>
    </w:p>
    <w:p w14:paraId="0C60BBC1" w14:textId="77777777" w:rsidR="006D537F" w:rsidRPr="00357F8F" w:rsidRDefault="006D537F" w:rsidP="009B3514">
      <w:pPr>
        <w:widowControl w:val="0"/>
        <w:autoSpaceDE w:val="0"/>
        <w:autoSpaceDN w:val="0"/>
        <w:spacing w:line="251" w:lineRule="exact"/>
        <w:jc w:val="both"/>
        <w:outlineLvl w:val="0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272E5EAF" w14:textId="77777777" w:rsidR="009A778A" w:rsidRDefault="009A778A" w:rsidP="0076791E">
      <w:pPr>
        <w:widowControl w:val="0"/>
        <w:autoSpaceDE w:val="0"/>
        <w:autoSpaceDN w:val="0"/>
        <w:spacing w:line="251" w:lineRule="exact"/>
        <w:jc w:val="both"/>
        <w:outlineLvl w:val="0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62A42F12" w14:textId="77777777" w:rsidR="009A778A" w:rsidRPr="00F55988" w:rsidRDefault="009A778A" w:rsidP="0076791E">
      <w:pPr>
        <w:widowControl w:val="0"/>
        <w:numPr>
          <w:ilvl w:val="0"/>
          <w:numId w:val="26"/>
        </w:numPr>
        <w:tabs>
          <w:tab w:val="left" w:pos="833"/>
          <w:tab w:val="left" w:pos="835"/>
        </w:tabs>
        <w:autoSpaceDE w:val="0"/>
        <w:autoSpaceDN w:val="0"/>
        <w:spacing w:before="101"/>
        <w:ind w:left="834" w:hanging="568"/>
        <w:jc w:val="both"/>
        <w:rPr>
          <w:color w:val="000000" w:themeColor="text1"/>
          <w:sz w:val="22"/>
          <w:szCs w:val="22"/>
        </w:rPr>
      </w:pPr>
      <w:proofErr w:type="spellStart"/>
      <w:r w:rsidRPr="00F55988">
        <w:rPr>
          <w:color w:val="000000" w:themeColor="text1"/>
          <w:sz w:val="22"/>
          <w:szCs w:val="22"/>
        </w:rPr>
        <w:t>Špric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odmah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bacite</w:t>
      </w:r>
      <w:proofErr w:type="spellEnd"/>
      <w:r w:rsidRPr="00F55988">
        <w:rPr>
          <w:color w:val="000000" w:themeColor="text1"/>
          <w:sz w:val="22"/>
          <w:szCs w:val="22"/>
        </w:rPr>
        <w:t xml:space="preserve"> u </w:t>
      </w:r>
      <w:proofErr w:type="spellStart"/>
      <w:r w:rsidRPr="00F55988">
        <w:rPr>
          <w:color w:val="000000" w:themeColor="text1"/>
          <w:sz w:val="22"/>
          <w:szCs w:val="22"/>
        </w:rPr>
        <w:t>odgovarajući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kontejner</w:t>
      </w:r>
      <w:proofErr w:type="spellEnd"/>
      <w:r w:rsidRPr="00F55988">
        <w:rPr>
          <w:color w:val="000000" w:themeColor="text1"/>
          <w:sz w:val="22"/>
          <w:szCs w:val="22"/>
        </w:rPr>
        <w:t>.</w:t>
      </w:r>
    </w:p>
    <w:p w14:paraId="4FAEB123" w14:textId="77777777" w:rsidR="009A778A" w:rsidRPr="00F55988" w:rsidRDefault="009A778A">
      <w:pPr>
        <w:widowControl w:val="0"/>
        <w:autoSpaceDE w:val="0"/>
        <w:autoSpaceDN w:val="0"/>
        <w:spacing w:before="7"/>
        <w:ind w:left="232"/>
        <w:jc w:val="both"/>
        <w:rPr>
          <w:color w:val="000000" w:themeColor="text1"/>
          <w:sz w:val="22"/>
          <w:szCs w:val="22"/>
        </w:rPr>
      </w:pPr>
    </w:p>
    <w:p w14:paraId="7BCE5F42" w14:textId="00B8D964" w:rsidR="009A778A" w:rsidRPr="00F55988" w:rsidRDefault="009A778A" w:rsidP="003207FF">
      <w:pPr>
        <w:widowControl w:val="0"/>
        <w:tabs>
          <w:tab w:val="left" w:pos="7797"/>
        </w:tabs>
        <w:autoSpaceDE w:val="0"/>
        <w:autoSpaceDN w:val="0"/>
        <w:spacing w:before="6"/>
        <w:ind w:left="267" w:right="426"/>
        <w:jc w:val="both"/>
        <w:rPr>
          <w:color w:val="000000" w:themeColor="text1"/>
          <w:sz w:val="22"/>
          <w:szCs w:val="22"/>
        </w:rPr>
      </w:pPr>
      <w:proofErr w:type="spellStart"/>
      <w:r w:rsidRPr="00F55988">
        <w:rPr>
          <w:color w:val="000000" w:themeColor="text1"/>
          <w:sz w:val="22"/>
          <w:szCs w:val="22"/>
        </w:rPr>
        <w:t>Svu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neiskorišćenu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količinu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lijeka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ili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otpadnog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materijala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nakon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njegove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upotrebe</w:t>
      </w:r>
      <w:proofErr w:type="spellEnd"/>
      <w:r w:rsidR="0076791E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treba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ukloniti</w:t>
      </w:r>
      <w:proofErr w:type="spellEnd"/>
      <w:r w:rsidRPr="00F55988">
        <w:rPr>
          <w:color w:val="000000" w:themeColor="text1"/>
          <w:sz w:val="22"/>
          <w:szCs w:val="22"/>
        </w:rPr>
        <w:t xml:space="preserve">, u </w:t>
      </w:r>
      <w:proofErr w:type="spellStart"/>
      <w:r w:rsidRPr="00F55988">
        <w:rPr>
          <w:color w:val="000000" w:themeColor="text1"/>
          <w:sz w:val="22"/>
          <w:szCs w:val="22"/>
        </w:rPr>
        <w:t>skladu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sa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lokalnim</w:t>
      </w:r>
      <w:proofErr w:type="spellEnd"/>
      <w:r w:rsidRPr="00F55988">
        <w:rPr>
          <w:color w:val="000000" w:themeColor="text1"/>
          <w:sz w:val="22"/>
          <w:szCs w:val="22"/>
        </w:rPr>
        <w:t xml:space="preserve"> </w:t>
      </w:r>
      <w:proofErr w:type="spellStart"/>
      <w:r w:rsidRPr="00F55988">
        <w:rPr>
          <w:color w:val="000000" w:themeColor="text1"/>
          <w:sz w:val="22"/>
          <w:szCs w:val="22"/>
        </w:rPr>
        <w:t>zahtjevima</w:t>
      </w:r>
      <w:proofErr w:type="spellEnd"/>
      <w:r w:rsidRPr="00F55988">
        <w:rPr>
          <w:color w:val="000000" w:themeColor="text1"/>
          <w:sz w:val="22"/>
          <w:szCs w:val="22"/>
        </w:rPr>
        <w:t>.</w:t>
      </w:r>
    </w:p>
    <w:bookmarkEnd w:id="2"/>
    <w:p w14:paraId="3729551F" w14:textId="77777777" w:rsidR="009A778A" w:rsidRPr="00B3172C" w:rsidRDefault="009A778A" w:rsidP="0076791E">
      <w:pPr>
        <w:widowControl w:val="0"/>
        <w:autoSpaceDE w:val="0"/>
        <w:autoSpaceDN w:val="0"/>
        <w:spacing w:line="251" w:lineRule="exact"/>
        <w:jc w:val="both"/>
        <w:outlineLvl w:val="0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0E13C1EC" w14:textId="77777777" w:rsidR="00580321" w:rsidRDefault="00580321" w:rsidP="00472069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270335B4" w14:textId="77777777" w:rsidR="00580321" w:rsidRDefault="00472069" w:rsidP="0058032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7. </w:t>
      </w: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  <w:t xml:space="preserve">NOSILAC DOZVOLE </w:t>
      </w:r>
    </w:p>
    <w:p w14:paraId="4130125B" w14:textId="77777777" w:rsidR="00580321" w:rsidRDefault="00580321" w:rsidP="0058032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6C3D1056" w14:textId="77777777" w:rsidR="00580321" w:rsidRDefault="00472069" w:rsidP="00580321">
      <w:pPr>
        <w:tabs>
          <w:tab w:val="left" w:pos="540"/>
          <w:tab w:val="left" w:pos="569"/>
        </w:tabs>
        <w:rPr>
          <w:rFonts w:asciiTheme="majorBidi" w:hAnsiTheme="majorBidi" w:cstheme="majorBidi"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Evropa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Lek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Pharma </w:t>
      </w:r>
      <w:proofErr w:type="spellStart"/>
      <w:r w:rsidRPr="0071319B">
        <w:rPr>
          <w:rFonts w:asciiTheme="majorBidi" w:hAnsiTheme="majorBidi" w:cstheme="majorBidi"/>
          <w:sz w:val="22"/>
          <w:szCs w:val="22"/>
          <w:lang w:val="sr-Latn-ME"/>
        </w:rPr>
        <w:t>d.o.o</w:t>
      </w:r>
      <w:proofErr w:type="spellEnd"/>
      <w:r w:rsidRPr="0071319B">
        <w:rPr>
          <w:rFonts w:asciiTheme="majorBidi" w:hAnsiTheme="majorBidi" w:cstheme="majorBidi"/>
          <w:sz w:val="22"/>
          <w:szCs w:val="22"/>
          <w:lang w:val="sr-Latn-ME"/>
        </w:rPr>
        <w:t>.</w:t>
      </w:r>
      <w:r w:rsidR="00854C86" w:rsidRPr="0071319B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580321">
        <w:rPr>
          <w:rFonts w:asciiTheme="majorBidi" w:hAnsiTheme="majorBidi" w:cstheme="majorBidi"/>
          <w:sz w:val="22"/>
          <w:szCs w:val="22"/>
          <w:lang w:val="sr-Latn-ME"/>
        </w:rPr>
        <w:t>Podgorica</w:t>
      </w:r>
    </w:p>
    <w:p w14:paraId="7DA8A6EE" w14:textId="77777777" w:rsidR="00472069" w:rsidRPr="00580321" w:rsidRDefault="00472069" w:rsidP="00580321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sz w:val="22"/>
          <w:szCs w:val="22"/>
          <w:lang w:val="sr-Latn-ME"/>
        </w:rPr>
        <w:t>Kritskog odreda 4/1, Podgorica, Crna Gora</w:t>
      </w:r>
    </w:p>
    <w:p w14:paraId="4A18E3AF" w14:textId="77777777" w:rsidR="00472069" w:rsidRPr="0071319B" w:rsidRDefault="00472069" w:rsidP="00472069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37E387B7" w14:textId="77777777" w:rsidR="00580321" w:rsidRDefault="00580321" w:rsidP="00472069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2EDA5AD6" w14:textId="77777777" w:rsidR="00472069" w:rsidRPr="0071319B" w:rsidRDefault="00472069" w:rsidP="00472069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8. </w:t>
      </w: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  <w:t>BROJ DOZVOLE ZA STAVLJANJE LIJEKA U PROMET</w:t>
      </w:r>
    </w:p>
    <w:p w14:paraId="09DB980A" w14:textId="77777777" w:rsidR="00472069" w:rsidRPr="0071319B" w:rsidRDefault="00472069" w:rsidP="00472069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4864785F" w14:textId="77777777" w:rsidR="00854C86" w:rsidRPr="00597256" w:rsidRDefault="00854C86" w:rsidP="00ED4E48">
      <w:pPr>
        <w:autoSpaceDE w:val="0"/>
        <w:autoSpaceDN w:val="0"/>
        <w:adjustRightInd w:val="0"/>
        <w:rPr>
          <w:rFonts w:asciiTheme="majorBidi" w:hAnsiTheme="majorBidi" w:cstheme="majorBidi"/>
          <w:bCs/>
          <w:color w:val="000000" w:themeColor="text1"/>
          <w:sz w:val="22"/>
          <w:szCs w:val="22"/>
          <w:lang w:val="sr-Latn-ME"/>
        </w:rPr>
      </w:pPr>
      <w:proofErr w:type="spellStart"/>
      <w:r w:rsidRPr="0071319B">
        <w:rPr>
          <w:rFonts w:asciiTheme="majorBidi" w:hAnsiTheme="majorBidi" w:cstheme="majorBidi"/>
          <w:bCs/>
          <w:color w:val="000000" w:themeColor="text1"/>
          <w:sz w:val="22"/>
          <w:szCs w:val="22"/>
          <w:lang w:val="sr-Latn-ME"/>
        </w:rPr>
        <w:t>Enoxaparin</w:t>
      </w:r>
      <w:proofErr w:type="spellEnd"/>
      <w:r w:rsidRPr="0071319B">
        <w:rPr>
          <w:rFonts w:asciiTheme="majorBidi" w:hAnsiTheme="majorBidi" w:cstheme="majorBidi"/>
          <w:bCs/>
          <w:color w:val="000000" w:themeColor="text1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bCs/>
          <w:color w:val="000000" w:themeColor="text1"/>
          <w:sz w:val="22"/>
          <w:szCs w:val="22"/>
          <w:lang w:val="sr-Latn-ME"/>
        </w:rPr>
        <w:t>Ledraxen</w:t>
      </w:r>
      <w:proofErr w:type="spellEnd"/>
      <w:r w:rsidRPr="0071319B">
        <w:rPr>
          <w:rFonts w:asciiTheme="majorBidi" w:hAnsiTheme="majorBidi" w:cstheme="majorBidi"/>
          <w:bCs/>
          <w:color w:val="000000" w:themeColor="text1"/>
          <w:sz w:val="22"/>
          <w:szCs w:val="22"/>
          <w:lang w:val="sr-Latn-ME"/>
        </w:rPr>
        <w:t xml:space="preserve">, rastvor za injekciju u napunjenom injekcionom špricu, 2000 </w:t>
      </w:r>
      <w:proofErr w:type="spellStart"/>
      <w:r w:rsidRPr="0071319B">
        <w:rPr>
          <w:rFonts w:asciiTheme="majorBidi" w:hAnsiTheme="majorBidi" w:cstheme="majorBidi"/>
          <w:bCs/>
          <w:color w:val="000000" w:themeColor="text1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bCs/>
          <w:color w:val="000000" w:themeColor="text1"/>
          <w:sz w:val="22"/>
          <w:szCs w:val="22"/>
          <w:lang w:val="sr-Latn-ME"/>
        </w:rPr>
        <w:t>./0.2 ml, napunjeni injekcioni špric, 10 x 0.2 ml</w:t>
      </w:r>
      <w:r w:rsidR="001254DD">
        <w:rPr>
          <w:rFonts w:asciiTheme="majorBidi" w:hAnsiTheme="majorBidi" w:cstheme="majorBidi"/>
          <w:bCs/>
          <w:color w:val="000000" w:themeColor="text1"/>
          <w:sz w:val="22"/>
          <w:szCs w:val="22"/>
          <w:lang w:val="sr-Latn-ME"/>
        </w:rPr>
        <w:t>:</w:t>
      </w:r>
      <w:r w:rsidR="00597256" w:rsidRPr="00597256">
        <w:rPr>
          <w:lang w:val="sr-Latn-ME"/>
        </w:rPr>
        <w:t xml:space="preserve"> </w:t>
      </w:r>
      <w:r w:rsidR="00597256" w:rsidRPr="00597256">
        <w:rPr>
          <w:rFonts w:asciiTheme="majorBidi" w:hAnsiTheme="majorBidi" w:cstheme="majorBidi"/>
          <w:bCs/>
          <w:color w:val="000000" w:themeColor="text1"/>
          <w:sz w:val="22"/>
          <w:szCs w:val="22"/>
          <w:lang w:val="sr-Latn-ME"/>
        </w:rPr>
        <w:t>2030/22/1523 - 3077</w:t>
      </w:r>
    </w:p>
    <w:p w14:paraId="516AABF4" w14:textId="77777777" w:rsidR="00854C86" w:rsidRPr="00597256" w:rsidRDefault="00854C86" w:rsidP="00ED4E48">
      <w:pPr>
        <w:autoSpaceDE w:val="0"/>
        <w:autoSpaceDN w:val="0"/>
        <w:adjustRightInd w:val="0"/>
        <w:rPr>
          <w:rFonts w:asciiTheme="majorBidi" w:hAnsiTheme="majorBidi" w:cstheme="majorBidi"/>
          <w:bCs/>
          <w:color w:val="000000" w:themeColor="text1"/>
          <w:sz w:val="22"/>
          <w:szCs w:val="22"/>
          <w:lang w:val="sr-Latn-ME"/>
        </w:rPr>
      </w:pPr>
      <w:proofErr w:type="spellStart"/>
      <w:r w:rsidRPr="0071319B">
        <w:rPr>
          <w:rFonts w:asciiTheme="majorBidi" w:hAnsiTheme="majorBidi" w:cstheme="majorBidi"/>
          <w:bCs/>
          <w:color w:val="000000" w:themeColor="text1"/>
          <w:sz w:val="22"/>
          <w:szCs w:val="22"/>
          <w:lang w:val="sr-Latn-ME"/>
        </w:rPr>
        <w:t>Enoxaparin</w:t>
      </w:r>
      <w:proofErr w:type="spellEnd"/>
      <w:r w:rsidRPr="0071319B">
        <w:rPr>
          <w:rFonts w:asciiTheme="majorBidi" w:hAnsiTheme="majorBidi" w:cstheme="majorBidi"/>
          <w:bCs/>
          <w:color w:val="000000" w:themeColor="text1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bCs/>
          <w:color w:val="000000" w:themeColor="text1"/>
          <w:sz w:val="22"/>
          <w:szCs w:val="22"/>
          <w:lang w:val="sr-Latn-ME"/>
        </w:rPr>
        <w:t>Ledraxen</w:t>
      </w:r>
      <w:proofErr w:type="spellEnd"/>
      <w:r w:rsidRPr="0071319B">
        <w:rPr>
          <w:rFonts w:asciiTheme="majorBidi" w:hAnsiTheme="majorBidi" w:cstheme="majorBidi"/>
          <w:bCs/>
          <w:color w:val="000000" w:themeColor="text1"/>
          <w:sz w:val="22"/>
          <w:szCs w:val="22"/>
          <w:lang w:val="sr-Latn-ME"/>
        </w:rPr>
        <w:t xml:space="preserve">, rastvor za injekciju u napunjenom injekcionom špricu, 4000 </w:t>
      </w:r>
      <w:proofErr w:type="spellStart"/>
      <w:r w:rsidRPr="0071319B">
        <w:rPr>
          <w:rFonts w:asciiTheme="majorBidi" w:hAnsiTheme="majorBidi" w:cstheme="majorBidi"/>
          <w:bCs/>
          <w:color w:val="000000" w:themeColor="text1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bCs/>
          <w:color w:val="000000" w:themeColor="text1"/>
          <w:sz w:val="22"/>
          <w:szCs w:val="22"/>
          <w:lang w:val="sr-Latn-ME"/>
        </w:rPr>
        <w:t>./0.4 ml, napunjeni injekcioni špric, 10 x 0.4 ml</w:t>
      </w:r>
      <w:r w:rsidR="00597256">
        <w:rPr>
          <w:rFonts w:asciiTheme="majorBidi" w:hAnsiTheme="majorBidi" w:cstheme="majorBidi"/>
          <w:bCs/>
          <w:color w:val="000000" w:themeColor="text1"/>
          <w:sz w:val="22"/>
          <w:szCs w:val="22"/>
          <w:lang w:val="sr-Latn-ME"/>
        </w:rPr>
        <w:t>:</w:t>
      </w:r>
      <w:r w:rsidR="00597256" w:rsidRPr="00597256">
        <w:rPr>
          <w:lang w:val="sr-Latn-ME"/>
        </w:rPr>
        <w:t xml:space="preserve"> </w:t>
      </w:r>
      <w:r w:rsidR="00597256" w:rsidRPr="00597256">
        <w:rPr>
          <w:rFonts w:asciiTheme="majorBidi" w:hAnsiTheme="majorBidi" w:cstheme="majorBidi"/>
          <w:bCs/>
          <w:color w:val="000000" w:themeColor="text1"/>
          <w:sz w:val="22"/>
          <w:szCs w:val="22"/>
          <w:lang w:val="sr-Latn-ME"/>
        </w:rPr>
        <w:t>2030/22/1524 - 3078</w:t>
      </w:r>
    </w:p>
    <w:p w14:paraId="04538882" w14:textId="77777777" w:rsidR="00854C86" w:rsidRPr="00597256" w:rsidRDefault="00854C86" w:rsidP="00ED4E48">
      <w:pPr>
        <w:autoSpaceDE w:val="0"/>
        <w:autoSpaceDN w:val="0"/>
        <w:adjustRightInd w:val="0"/>
        <w:rPr>
          <w:rFonts w:asciiTheme="majorBidi" w:hAnsiTheme="majorBidi" w:cstheme="majorBidi"/>
          <w:bCs/>
          <w:color w:val="000000" w:themeColor="text1"/>
          <w:sz w:val="22"/>
          <w:szCs w:val="22"/>
          <w:lang w:val="sr-Latn-ME"/>
        </w:rPr>
      </w:pPr>
      <w:proofErr w:type="spellStart"/>
      <w:r w:rsidRPr="0071319B">
        <w:rPr>
          <w:rFonts w:asciiTheme="majorBidi" w:hAnsiTheme="majorBidi" w:cstheme="majorBidi"/>
          <w:bCs/>
          <w:color w:val="000000" w:themeColor="text1"/>
          <w:sz w:val="22"/>
          <w:szCs w:val="22"/>
          <w:lang w:val="sr-Latn-ME"/>
        </w:rPr>
        <w:t>Enoxaparin</w:t>
      </w:r>
      <w:proofErr w:type="spellEnd"/>
      <w:r w:rsidRPr="0071319B">
        <w:rPr>
          <w:rFonts w:asciiTheme="majorBidi" w:hAnsiTheme="majorBidi" w:cstheme="majorBidi"/>
          <w:bCs/>
          <w:color w:val="000000" w:themeColor="text1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bCs/>
          <w:color w:val="000000" w:themeColor="text1"/>
          <w:sz w:val="22"/>
          <w:szCs w:val="22"/>
          <w:lang w:val="sr-Latn-ME"/>
        </w:rPr>
        <w:t>Ledraxen</w:t>
      </w:r>
      <w:proofErr w:type="spellEnd"/>
      <w:r w:rsidRPr="0071319B">
        <w:rPr>
          <w:rFonts w:asciiTheme="majorBidi" w:hAnsiTheme="majorBidi" w:cstheme="majorBidi"/>
          <w:bCs/>
          <w:color w:val="000000" w:themeColor="text1"/>
          <w:sz w:val="22"/>
          <w:szCs w:val="22"/>
          <w:lang w:val="sr-Latn-ME"/>
        </w:rPr>
        <w:t xml:space="preserve">, rastvor za injekciju u napunjenom injekcionom špricu, 6000 </w:t>
      </w:r>
      <w:proofErr w:type="spellStart"/>
      <w:r w:rsidRPr="0071319B">
        <w:rPr>
          <w:rFonts w:asciiTheme="majorBidi" w:hAnsiTheme="majorBidi" w:cstheme="majorBidi"/>
          <w:bCs/>
          <w:color w:val="000000" w:themeColor="text1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bCs/>
          <w:color w:val="000000" w:themeColor="text1"/>
          <w:sz w:val="22"/>
          <w:szCs w:val="22"/>
          <w:lang w:val="sr-Latn-ME"/>
        </w:rPr>
        <w:t>./0.6 ml, napunjeni injekcioni špric, 10 x 0.6 ml</w:t>
      </w:r>
      <w:r w:rsidR="00597256">
        <w:rPr>
          <w:rFonts w:asciiTheme="majorBidi" w:hAnsiTheme="majorBidi" w:cstheme="majorBidi"/>
          <w:bCs/>
          <w:color w:val="000000" w:themeColor="text1"/>
          <w:sz w:val="22"/>
          <w:szCs w:val="22"/>
          <w:lang w:val="sr-Latn-ME"/>
        </w:rPr>
        <w:t>:</w:t>
      </w:r>
      <w:r w:rsidR="00597256" w:rsidRPr="00597256">
        <w:rPr>
          <w:lang w:val="sr-Latn-ME"/>
        </w:rPr>
        <w:t xml:space="preserve"> </w:t>
      </w:r>
      <w:r w:rsidR="00597256" w:rsidRPr="00597256">
        <w:rPr>
          <w:rFonts w:asciiTheme="majorBidi" w:hAnsiTheme="majorBidi" w:cstheme="majorBidi"/>
          <w:bCs/>
          <w:color w:val="000000" w:themeColor="text1"/>
          <w:sz w:val="22"/>
          <w:szCs w:val="22"/>
          <w:lang w:val="sr-Latn-ME"/>
        </w:rPr>
        <w:t>2030/22/1525 - 3079</w:t>
      </w:r>
    </w:p>
    <w:p w14:paraId="13A8A70A" w14:textId="77777777" w:rsidR="00854C86" w:rsidRPr="00597256" w:rsidRDefault="00854C86" w:rsidP="00ED4E48">
      <w:pPr>
        <w:autoSpaceDE w:val="0"/>
        <w:autoSpaceDN w:val="0"/>
        <w:adjustRightInd w:val="0"/>
        <w:rPr>
          <w:rFonts w:asciiTheme="majorBidi" w:hAnsiTheme="majorBidi" w:cstheme="majorBidi"/>
          <w:bCs/>
          <w:color w:val="000000" w:themeColor="text1"/>
          <w:sz w:val="22"/>
          <w:szCs w:val="22"/>
          <w:lang w:val="sr-Latn-ME"/>
        </w:rPr>
      </w:pPr>
      <w:proofErr w:type="spellStart"/>
      <w:r w:rsidRPr="0071319B">
        <w:rPr>
          <w:rFonts w:asciiTheme="majorBidi" w:hAnsiTheme="majorBidi" w:cstheme="majorBidi"/>
          <w:bCs/>
          <w:color w:val="000000" w:themeColor="text1"/>
          <w:sz w:val="22"/>
          <w:szCs w:val="22"/>
          <w:lang w:val="sr-Latn-ME"/>
        </w:rPr>
        <w:t>Enoxaparin</w:t>
      </w:r>
      <w:proofErr w:type="spellEnd"/>
      <w:r w:rsidRPr="0071319B">
        <w:rPr>
          <w:rFonts w:asciiTheme="majorBidi" w:hAnsiTheme="majorBidi" w:cstheme="majorBidi"/>
          <w:bCs/>
          <w:color w:val="000000" w:themeColor="text1"/>
          <w:sz w:val="22"/>
          <w:szCs w:val="22"/>
          <w:lang w:val="sr-Latn-ME"/>
        </w:rPr>
        <w:t xml:space="preserve"> </w:t>
      </w:r>
      <w:proofErr w:type="spellStart"/>
      <w:r w:rsidRPr="0071319B">
        <w:rPr>
          <w:rFonts w:asciiTheme="majorBidi" w:hAnsiTheme="majorBidi" w:cstheme="majorBidi"/>
          <w:bCs/>
          <w:color w:val="000000" w:themeColor="text1"/>
          <w:sz w:val="22"/>
          <w:szCs w:val="22"/>
          <w:lang w:val="sr-Latn-ME"/>
        </w:rPr>
        <w:t>Ledraxen</w:t>
      </w:r>
      <w:proofErr w:type="spellEnd"/>
      <w:r w:rsidRPr="0071319B">
        <w:rPr>
          <w:rFonts w:asciiTheme="majorBidi" w:hAnsiTheme="majorBidi" w:cstheme="majorBidi"/>
          <w:bCs/>
          <w:color w:val="000000" w:themeColor="text1"/>
          <w:sz w:val="22"/>
          <w:szCs w:val="22"/>
          <w:lang w:val="sr-Latn-ME"/>
        </w:rPr>
        <w:t xml:space="preserve">, rastvor za injekciju u napunjenom injekcionom špricu, 8000 </w:t>
      </w:r>
      <w:proofErr w:type="spellStart"/>
      <w:r w:rsidRPr="0071319B">
        <w:rPr>
          <w:rFonts w:asciiTheme="majorBidi" w:hAnsiTheme="majorBidi" w:cstheme="majorBidi"/>
          <w:bCs/>
          <w:color w:val="000000" w:themeColor="text1"/>
          <w:sz w:val="22"/>
          <w:szCs w:val="22"/>
          <w:lang w:val="sr-Latn-ME"/>
        </w:rPr>
        <w:t>i.j</w:t>
      </w:r>
      <w:proofErr w:type="spellEnd"/>
      <w:r w:rsidRPr="0071319B">
        <w:rPr>
          <w:rFonts w:asciiTheme="majorBidi" w:hAnsiTheme="majorBidi" w:cstheme="majorBidi"/>
          <w:bCs/>
          <w:color w:val="000000" w:themeColor="text1"/>
          <w:sz w:val="22"/>
          <w:szCs w:val="22"/>
          <w:lang w:val="sr-Latn-ME"/>
        </w:rPr>
        <w:t>./0.8 ml, napunjeni injekcioni špric, 10 x 0.8 ml</w:t>
      </w:r>
      <w:r w:rsidR="00597256">
        <w:rPr>
          <w:rFonts w:asciiTheme="majorBidi" w:hAnsiTheme="majorBidi" w:cstheme="majorBidi"/>
          <w:bCs/>
          <w:color w:val="000000" w:themeColor="text1"/>
          <w:sz w:val="22"/>
          <w:szCs w:val="22"/>
          <w:lang w:val="sr-Latn-ME"/>
        </w:rPr>
        <w:t>:</w:t>
      </w:r>
      <w:r w:rsidR="00597256" w:rsidRPr="00597256">
        <w:rPr>
          <w:lang w:val="sr-Latn-ME"/>
        </w:rPr>
        <w:t xml:space="preserve"> </w:t>
      </w:r>
      <w:r w:rsidR="00597256" w:rsidRPr="00597256">
        <w:rPr>
          <w:rFonts w:asciiTheme="majorBidi" w:hAnsiTheme="majorBidi" w:cstheme="majorBidi"/>
          <w:bCs/>
          <w:color w:val="000000" w:themeColor="text1"/>
          <w:sz w:val="22"/>
          <w:szCs w:val="22"/>
          <w:lang w:val="sr-Latn-ME"/>
        </w:rPr>
        <w:t>2030/22/1526 - 3080</w:t>
      </w:r>
    </w:p>
    <w:p w14:paraId="481CECDF" w14:textId="77777777" w:rsidR="00472069" w:rsidRPr="0071319B" w:rsidRDefault="00472069" w:rsidP="00472069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18B7F05F" w14:textId="77777777" w:rsidR="00580321" w:rsidRDefault="00580321" w:rsidP="00472069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638D1951" w14:textId="77777777" w:rsidR="00472069" w:rsidRPr="0071319B" w:rsidRDefault="00472069" w:rsidP="00472069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9. </w:t>
      </w: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  <w:t>DATUM PRVE DOZVOLE/OBNOVE DOZVOLE ZA STAVLJANJE LIJEKA U PROMET</w:t>
      </w:r>
    </w:p>
    <w:p w14:paraId="37112A18" w14:textId="77777777" w:rsidR="00472069" w:rsidRPr="0071319B" w:rsidRDefault="00472069" w:rsidP="00472069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2888A340" w14:textId="77777777" w:rsidR="00472069" w:rsidRDefault="001254DD" w:rsidP="00472069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  <w:r>
        <w:rPr>
          <w:rFonts w:asciiTheme="majorBidi" w:hAnsiTheme="majorBidi" w:cstheme="majorBidi"/>
          <w:bCs/>
          <w:sz w:val="22"/>
          <w:szCs w:val="22"/>
          <w:lang w:val="sr-Latn-ME"/>
        </w:rPr>
        <w:t>12.07.2022. godine</w:t>
      </w:r>
    </w:p>
    <w:p w14:paraId="1CEBA17F" w14:textId="77777777" w:rsidR="001254DD" w:rsidRDefault="001254DD" w:rsidP="00472069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169F5769" w14:textId="77777777" w:rsidR="001254DD" w:rsidRPr="0071319B" w:rsidRDefault="001254DD" w:rsidP="00472069">
      <w:pPr>
        <w:tabs>
          <w:tab w:val="left" w:pos="540"/>
          <w:tab w:val="left" w:pos="569"/>
        </w:tabs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79E91B8D" w14:textId="77777777" w:rsidR="003F6A59" w:rsidRDefault="00472069" w:rsidP="00472069">
      <w:pPr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10. </w:t>
      </w:r>
      <w:r w:rsidRPr="0071319B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  <w:t>DATUM REVIZIJE TEKSTA</w:t>
      </w:r>
    </w:p>
    <w:p w14:paraId="7ED2EA34" w14:textId="77777777" w:rsidR="001254DD" w:rsidRDefault="001254DD" w:rsidP="00472069">
      <w:pPr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7C6FC200" w14:textId="2E59C0C5" w:rsidR="001254DD" w:rsidRPr="001254DD" w:rsidRDefault="00D93573" w:rsidP="00472069">
      <w:pPr>
        <w:rPr>
          <w:rFonts w:asciiTheme="majorBidi" w:hAnsiTheme="majorBidi" w:cstheme="majorBidi"/>
          <w:sz w:val="22"/>
          <w:szCs w:val="22"/>
          <w:lang w:val="sr-Latn-ME"/>
        </w:rPr>
      </w:pPr>
      <w:r>
        <w:rPr>
          <w:rFonts w:asciiTheme="majorBidi" w:hAnsiTheme="majorBidi" w:cstheme="majorBidi"/>
          <w:sz w:val="22"/>
          <w:szCs w:val="22"/>
          <w:lang w:val="sr-Latn-ME"/>
        </w:rPr>
        <w:t>Februar, 2024. godine</w:t>
      </w:r>
    </w:p>
    <w:sectPr w:rsidR="001254DD" w:rsidRPr="001254DD" w:rsidSect="00E17387">
      <w:footerReference w:type="default" r:id="rId22"/>
      <w:pgSz w:w="11909" w:h="16834" w:code="9"/>
      <w:pgMar w:top="1134" w:right="1418" w:bottom="1134" w:left="993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5048F" w14:textId="77777777" w:rsidR="00ED781D" w:rsidRDefault="00ED781D">
      <w:r>
        <w:separator/>
      </w:r>
    </w:p>
  </w:endnote>
  <w:endnote w:type="continuationSeparator" w:id="0">
    <w:p w14:paraId="7AAD1AEE" w14:textId="77777777" w:rsidR="00ED781D" w:rsidRDefault="00ED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0445F" w14:textId="44A56B11" w:rsidR="009B3514" w:rsidRPr="00B23F69" w:rsidRDefault="009B3514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76791E">
      <w:rPr>
        <w:noProof/>
        <w:sz w:val="22"/>
        <w:szCs w:val="22"/>
      </w:rPr>
      <w:t>26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76791E">
      <w:rPr>
        <w:noProof/>
        <w:sz w:val="22"/>
        <w:szCs w:val="22"/>
      </w:rPr>
      <w:t>26</w:t>
    </w:r>
    <w:r w:rsidRPr="00B23F69">
      <w:rPr>
        <w:sz w:val="22"/>
        <w:szCs w:val="22"/>
      </w:rPr>
      <w:fldChar w:fldCharType="end"/>
    </w:r>
  </w:p>
  <w:p w14:paraId="162BE314" w14:textId="77777777" w:rsidR="009B3514" w:rsidRDefault="009B35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847E9" w14:textId="77777777" w:rsidR="00ED781D" w:rsidRDefault="00ED781D">
      <w:r>
        <w:separator/>
      </w:r>
    </w:p>
  </w:footnote>
  <w:footnote w:type="continuationSeparator" w:id="0">
    <w:p w14:paraId="160D1C91" w14:textId="77777777" w:rsidR="00ED781D" w:rsidRDefault="00ED7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5AC5302"/>
    <w:multiLevelType w:val="hybridMultilevel"/>
    <w:tmpl w:val="CE484080"/>
    <w:lvl w:ilvl="0" w:tplc="369EABC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769F1"/>
    <w:multiLevelType w:val="hybridMultilevel"/>
    <w:tmpl w:val="4BEE7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654"/>
    <w:multiLevelType w:val="hybridMultilevel"/>
    <w:tmpl w:val="CFB4EC1A"/>
    <w:lvl w:ilvl="0" w:tplc="51E64C86">
      <w:numFmt w:val="bullet"/>
      <w:lvlText w:val=""/>
      <w:lvlJc w:val="left"/>
      <w:pPr>
        <w:ind w:left="650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5BC778C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D08E6D06">
      <w:numFmt w:val="bullet"/>
      <w:lvlText w:val="•"/>
      <w:lvlJc w:val="left"/>
      <w:pPr>
        <w:ind w:left="1987" w:hanging="360"/>
      </w:pPr>
    </w:lvl>
    <w:lvl w:ilvl="3" w:tplc="03541658">
      <w:numFmt w:val="bullet"/>
      <w:lvlText w:val="•"/>
      <w:lvlJc w:val="left"/>
      <w:pPr>
        <w:ind w:left="3014" w:hanging="360"/>
      </w:pPr>
    </w:lvl>
    <w:lvl w:ilvl="4" w:tplc="B2F84984">
      <w:numFmt w:val="bullet"/>
      <w:lvlText w:val="•"/>
      <w:lvlJc w:val="left"/>
      <w:pPr>
        <w:ind w:left="4041" w:hanging="360"/>
      </w:pPr>
    </w:lvl>
    <w:lvl w:ilvl="5" w:tplc="A5B0FC94">
      <w:numFmt w:val="bullet"/>
      <w:lvlText w:val="•"/>
      <w:lvlJc w:val="left"/>
      <w:pPr>
        <w:ind w:left="5069" w:hanging="360"/>
      </w:pPr>
    </w:lvl>
    <w:lvl w:ilvl="6" w:tplc="3D1499EC">
      <w:numFmt w:val="bullet"/>
      <w:lvlText w:val="•"/>
      <w:lvlJc w:val="left"/>
      <w:pPr>
        <w:ind w:left="6096" w:hanging="360"/>
      </w:pPr>
    </w:lvl>
    <w:lvl w:ilvl="7" w:tplc="933CE450">
      <w:numFmt w:val="bullet"/>
      <w:lvlText w:val="•"/>
      <w:lvlJc w:val="left"/>
      <w:pPr>
        <w:ind w:left="7123" w:hanging="360"/>
      </w:pPr>
    </w:lvl>
    <w:lvl w:ilvl="8" w:tplc="678603D0">
      <w:numFmt w:val="bullet"/>
      <w:lvlText w:val="•"/>
      <w:lvlJc w:val="left"/>
      <w:pPr>
        <w:ind w:left="8150" w:hanging="360"/>
      </w:pPr>
    </w:lvl>
  </w:abstractNum>
  <w:abstractNum w:abstractNumId="3" w15:restartNumberingAfterBreak="0">
    <w:nsid w:val="07C23B41"/>
    <w:multiLevelType w:val="hybridMultilevel"/>
    <w:tmpl w:val="F5C2AE5E"/>
    <w:lvl w:ilvl="0" w:tplc="DDFEDAD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F0EC1DAA">
      <w:numFmt w:val="bullet"/>
      <w:lvlText w:val="•"/>
      <w:lvlJc w:val="left"/>
      <w:pPr>
        <w:ind w:left="643" w:hanging="360"/>
      </w:pPr>
    </w:lvl>
    <w:lvl w:ilvl="2" w:tplc="5D0C2F90">
      <w:numFmt w:val="bullet"/>
      <w:lvlText w:val="•"/>
      <w:lvlJc w:val="left"/>
      <w:pPr>
        <w:ind w:left="807" w:hanging="360"/>
      </w:pPr>
    </w:lvl>
    <w:lvl w:ilvl="3" w:tplc="2E04BED4">
      <w:numFmt w:val="bullet"/>
      <w:lvlText w:val="•"/>
      <w:lvlJc w:val="left"/>
      <w:pPr>
        <w:ind w:left="970" w:hanging="360"/>
      </w:pPr>
    </w:lvl>
    <w:lvl w:ilvl="4" w:tplc="72B618EA">
      <w:numFmt w:val="bullet"/>
      <w:lvlText w:val="•"/>
      <w:lvlJc w:val="left"/>
      <w:pPr>
        <w:ind w:left="1134" w:hanging="360"/>
      </w:pPr>
    </w:lvl>
    <w:lvl w:ilvl="5" w:tplc="25824048">
      <w:numFmt w:val="bullet"/>
      <w:lvlText w:val="•"/>
      <w:lvlJc w:val="left"/>
      <w:pPr>
        <w:ind w:left="1298" w:hanging="360"/>
      </w:pPr>
    </w:lvl>
    <w:lvl w:ilvl="6" w:tplc="60A299D2">
      <w:numFmt w:val="bullet"/>
      <w:lvlText w:val="•"/>
      <w:lvlJc w:val="left"/>
      <w:pPr>
        <w:ind w:left="1461" w:hanging="360"/>
      </w:pPr>
    </w:lvl>
    <w:lvl w:ilvl="7" w:tplc="A0E6396C">
      <w:numFmt w:val="bullet"/>
      <w:lvlText w:val="•"/>
      <w:lvlJc w:val="left"/>
      <w:pPr>
        <w:ind w:left="1625" w:hanging="360"/>
      </w:pPr>
    </w:lvl>
    <w:lvl w:ilvl="8" w:tplc="6718A3D0">
      <w:numFmt w:val="bullet"/>
      <w:lvlText w:val="•"/>
      <w:lvlJc w:val="left"/>
      <w:pPr>
        <w:ind w:left="1788" w:hanging="360"/>
      </w:pPr>
    </w:lvl>
  </w:abstractNum>
  <w:abstractNum w:abstractNumId="4" w15:restartNumberingAfterBreak="0">
    <w:nsid w:val="085605BF"/>
    <w:multiLevelType w:val="hybridMultilevel"/>
    <w:tmpl w:val="35401EDE"/>
    <w:lvl w:ilvl="0" w:tplc="6FD262C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7D300DA2">
      <w:numFmt w:val="bullet"/>
      <w:lvlText w:val="•"/>
      <w:lvlJc w:val="left"/>
      <w:pPr>
        <w:ind w:left="1249" w:hanging="360"/>
      </w:pPr>
    </w:lvl>
    <w:lvl w:ilvl="2" w:tplc="5C70A18A">
      <w:numFmt w:val="bullet"/>
      <w:lvlText w:val="•"/>
      <w:lvlJc w:val="left"/>
      <w:pPr>
        <w:ind w:left="2038" w:hanging="360"/>
      </w:pPr>
    </w:lvl>
    <w:lvl w:ilvl="3" w:tplc="AE323F24">
      <w:numFmt w:val="bullet"/>
      <w:lvlText w:val="•"/>
      <w:lvlJc w:val="left"/>
      <w:pPr>
        <w:ind w:left="2827" w:hanging="360"/>
      </w:pPr>
    </w:lvl>
    <w:lvl w:ilvl="4" w:tplc="A844CB16">
      <w:numFmt w:val="bullet"/>
      <w:lvlText w:val="•"/>
      <w:lvlJc w:val="left"/>
      <w:pPr>
        <w:ind w:left="3616" w:hanging="360"/>
      </w:pPr>
    </w:lvl>
    <w:lvl w:ilvl="5" w:tplc="8BE67754">
      <w:numFmt w:val="bullet"/>
      <w:lvlText w:val="•"/>
      <w:lvlJc w:val="left"/>
      <w:pPr>
        <w:ind w:left="4406" w:hanging="360"/>
      </w:pPr>
    </w:lvl>
    <w:lvl w:ilvl="6" w:tplc="39B4181C">
      <w:numFmt w:val="bullet"/>
      <w:lvlText w:val="•"/>
      <w:lvlJc w:val="left"/>
      <w:pPr>
        <w:ind w:left="5195" w:hanging="360"/>
      </w:pPr>
    </w:lvl>
    <w:lvl w:ilvl="7" w:tplc="6ABC471C">
      <w:numFmt w:val="bullet"/>
      <w:lvlText w:val="•"/>
      <w:lvlJc w:val="left"/>
      <w:pPr>
        <w:ind w:left="5984" w:hanging="360"/>
      </w:pPr>
    </w:lvl>
    <w:lvl w:ilvl="8" w:tplc="5DEC7F8E">
      <w:numFmt w:val="bullet"/>
      <w:lvlText w:val="•"/>
      <w:lvlJc w:val="left"/>
      <w:pPr>
        <w:ind w:left="6773" w:hanging="360"/>
      </w:pPr>
    </w:lvl>
  </w:abstractNum>
  <w:abstractNum w:abstractNumId="5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165BB"/>
    <w:multiLevelType w:val="hybridMultilevel"/>
    <w:tmpl w:val="EE84EB46"/>
    <w:lvl w:ilvl="0" w:tplc="67940948">
      <w:numFmt w:val="bullet"/>
      <w:lvlText w:val="-"/>
      <w:lvlJc w:val="left"/>
      <w:pPr>
        <w:ind w:left="59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130C866">
      <w:numFmt w:val="bullet"/>
      <w:lvlText w:val="•"/>
      <w:lvlJc w:val="left"/>
      <w:pPr>
        <w:ind w:left="1560" w:hanging="360"/>
      </w:pPr>
    </w:lvl>
    <w:lvl w:ilvl="2" w:tplc="AD3E954E">
      <w:numFmt w:val="bullet"/>
      <w:lvlText w:val="•"/>
      <w:lvlJc w:val="left"/>
      <w:pPr>
        <w:ind w:left="2521" w:hanging="360"/>
      </w:pPr>
    </w:lvl>
    <w:lvl w:ilvl="3" w:tplc="5EB6F090">
      <w:numFmt w:val="bullet"/>
      <w:lvlText w:val="•"/>
      <w:lvlJc w:val="left"/>
      <w:pPr>
        <w:ind w:left="3481" w:hanging="360"/>
      </w:pPr>
    </w:lvl>
    <w:lvl w:ilvl="4" w:tplc="77985FE4">
      <w:numFmt w:val="bullet"/>
      <w:lvlText w:val="•"/>
      <w:lvlJc w:val="left"/>
      <w:pPr>
        <w:ind w:left="4442" w:hanging="360"/>
      </w:pPr>
    </w:lvl>
    <w:lvl w:ilvl="5" w:tplc="1B921B72">
      <w:numFmt w:val="bullet"/>
      <w:lvlText w:val="•"/>
      <w:lvlJc w:val="left"/>
      <w:pPr>
        <w:ind w:left="5402" w:hanging="360"/>
      </w:pPr>
    </w:lvl>
    <w:lvl w:ilvl="6" w:tplc="673CD25E">
      <w:numFmt w:val="bullet"/>
      <w:lvlText w:val="•"/>
      <w:lvlJc w:val="left"/>
      <w:pPr>
        <w:ind w:left="6363" w:hanging="360"/>
      </w:pPr>
    </w:lvl>
    <w:lvl w:ilvl="7" w:tplc="E7424CAE">
      <w:numFmt w:val="bullet"/>
      <w:lvlText w:val="•"/>
      <w:lvlJc w:val="left"/>
      <w:pPr>
        <w:ind w:left="7323" w:hanging="360"/>
      </w:pPr>
    </w:lvl>
    <w:lvl w:ilvl="8" w:tplc="214811BE">
      <w:numFmt w:val="bullet"/>
      <w:lvlText w:val="•"/>
      <w:lvlJc w:val="left"/>
      <w:pPr>
        <w:ind w:left="8284" w:hanging="360"/>
      </w:pPr>
    </w:lvl>
  </w:abstractNum>
  <w:abstractNum w:abstractNumId="7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55924CB"/>
    <w:multiLevelType w:val="hybridMultilevel"/>
    <w:tmpl w:val="5B46111C"/>
    <w:lvl w:ilvl="0" w:tplc="B1A2400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29F06AC0">
      <w:numFmt w:val="bullet"/>
      <w:lvlText w:val="•"/>
      <w:lvlJc w:val="left"/>
      <w:pPr>
        <w:ind w:left="741" w:hanging="360"/>
      </w:pPr>
    </w:lvl>
    <w:lvl w:ilvl="2" w:tplc="9F589F2A">
      <w:numFmt w:val="bullet"/>
      <w:lvlText w:val="•"/>
      <w:lvlJc w:val="left"/>
      <w:pPr>
        <w:ind w:left="1002" w:hanging="360"/>
      </w:pPr>
    </w:lvl>
    <w:lvl w:ilvl="3" w:tplc="86AA9F26">
      <w:numFmt w:val="bullet"/>
      <w:lvlText w:val="•"/>
      <w:lvlJc w:val="left"/>
      <w:pPr>
        <w:ind w:left="1263" w:hanging="360"/>
      </w:pPr>
    </w:lvl>
    <w:lvl w:ilvl="4" w:tplc="DA9C172A">
      <w:numFmt w:val="bullet"/>
      <w:lvlText w:val="•"/>
      <w:lvlJc w:val="left"/>
      <w:pPr>
        <w:ind w:left="1524" w:hanging="360"/>
      </w:pPr>
    </w:lvl>
    <w:lvl w:ilvl="5" w:tplc="0FEAC8C4">
      <w:numFmt w:val="bullet"/>
      <w:lvlText w:val="•"/>
      <w:lvlJc w:val="left"/>
      <w:pPr>
        <w:ind w:left="1785" w:hanging="360"/>
      </w:pPr>
    </w:lvl>
    <w:lvl w:ilvl="6" w:tplc="856AC1B6">
      <w:numFmt w:val="bullet"/>
      <w:lvlText w:val="•"/>
      <w:lvlJc w:val="left"/>
      <w:pPr>
        <w:ind w:left="2046" w:hanging="360"/>
      </w:pPr>
    </w:lvl>
    <w:lvl w:ilvl="7" w:tplc="E1A4117E">
      <w:numFmt w:val="bullet"/>
      <w:lvlText w:val="•"/>
      <w:lvlJc w:val="left"/>
      <w:pPr>
        <w:ind w:left="2307" w:hanging="360"/>
      </w:pPr>
    </w:lvl>
    <w:lvl w:ilvl="8" w:tplc="6C463212">
      <w:numFmt w:val="bullet"/>
      <w:lvlText w:val="•"/>
      <w:lvlJc w:val="left"/>
      <w:pPr>
        <w:ind w:left="2568" w:hanging="360"/>
      </w:pPr>
    </w:lvl>
  </w:abstractNum>
  <w:abstractNum w:abstractNumId="10" w15:restartNumberingAfterBreak="0">
    <w:nsid w:val="1585345E"/>
    <w:multiLevelType w:val="hybridMultilevel"/>
    <w:tmpl w:val="7764B6E8"/>
    <w:lvl w:ilvl="0" w:tplc="04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11" w15:restartNumberingAfterBreak="0">
    <w:nsid w:val="197E2CFC"/>
    <w:multiLevelType w:val="hybridMultilevel"/>
    <w:tmpl w:val="03763F9C"/>
    <w:lvl w:ilvl="0" w:tplc="CBDC714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95F2E1C0">
      <w:numFmt w:val="bullet"/>
      <w:lvlText w:val="•"/>
      <w:lvlJc w:val="left"/>
      <w:pPr>
        <w:ind w:left="741" w:hanging="360"/>
      </w:pPr>
    </w:lvl>
    <w:lvl w:ilvl="2" w:tplc="092E7E0E">
      <w:numFmt w:val="bullet"/>
      <w:lvlText w:val="•"/>
      <w:lvlJc w:val="left"/>
      <w:pPr>
        <w:ind w:left="1002" w:hanging="360"/>
      </w:pPr>
    </w:lvl>
    <w:lvl w:ilvl="3" w:tplc="4508B05E">
      <w:numFmt w:val="bullet"/>
      <w:lvlText w:val="•"/>
      <w:lvlJc w:val="left"/>
      <w:pPr>
        <w:ind w:left="1263" w:hanging="360"/>
      </w:pPr>
    </w:lvl>
    <w:lvl w:ilvl="4" w:tplc="B0D425CC">
      <w:numFmt w:val="bullet"/>
      <w:lvlText w:val="•"/>
      <w:lvlJc w:val="left"/>
      <w:pPr>
        <w:ind w:left="1524" w:hanging="360"/>
      </w:pPr>
    </w:lvl>
    <w:lvl w:ilvl="5" w:tplc="7B9EEC1C">
      <w:numFmt w:val="bullet"/>
      <w:lvlText w:val="•"/>
      <w:lvlJc w:val="left"/>
      <w:pPr>
        <w:ind w:left="1785" w:hanging="360"/>
      </w:pPr>
    </w:lvl>
    <w:lvl w:ilvl="6" w:tplc="851287D0">
      <w:numFmt w:val="bullet"/>
      <w:lvlText w:val="•"/>
      <w:lvlJc w:val="left"/>
      <w:pPr>
        <w:ind w:left="2046" w:hanging="360"/>
      </w:pPr>
    </w:lvl>
    <w:lvl w:ilvl="7" w:tplc="C4AEBC80">
      <w:numFmt w:val="bullet"/>
      <w:lvlText w:val="•"/>
      <w:lvlJc w:val="left"/>
      <w:pPr>
        <w:ind w:left="2307" w:hanging="360"/>
      </w:pPr>
    </w:lvl>
    <w:lvl w:ilvl="8" w:tplc="10BC739E">
      <w:numFmt w:val="bullet"/>
      <w:lvlText w:val="•"/>
      <w:lvlJc w:val="left"/>
      <w:pPr>
        <w:ind w:left="2568" w:hanging="360"/>
      </w:pPr>
    </w:lvl>
  </w:abstractNum>
  <w:abstractNum w:abstractNumId="12" w15:restartNumberingAfterBreak="0">
    <w:nsid w:val="1C994D9F"/>
    <w:multiLevelType w:val="hybridMultilevel"/>
    <w:tmpl w:val="3D3CAFC0"/>
    <w:lvl w:ilvl="0" w:tplc="04090003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13" w15:restartNumberingAfterBreak="0">
    <w:nsid w:val="1EF565F3"/>
    <w:multiLevelType w:val="hybridMultilevel"/>
    <w:tmpl w:val="E500AE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E470A5"/>
    <w:multiLevelType w:val="hybridMultilevel"/>
    <w:tmpl w:val="B3CE6928"/>
    <w:lvl w:ilvl="0" w:tplc="040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5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4616A2"/>
    <w:multiLevelType w:val="hybridMultilevel"/>
    <w:tmpl w:val="10F265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E74419A"/>
    <w:multiLevelType w:val="hybridMultilevel"/>
    <w:tmpl w:val="0744F4B6"/>
    <w:lvl w:ilvl="0" w:tplc="8F286E5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39B0A2C8">
      <w:numFmt w:val="bullet"/>
      <w:lvlText w:val="•"/>
      <w:lvlJc w:val="left"/>
      <w:pPr>
        <w:ind w:left="682" w:hanging="360"/>
      </w:pPr>
    </w:lvl>
    <w:lvl w:ilvl="2" w:tplc="785E19DA">
      <w:numFmt w:val="bullet"/>
      <w:lvlText w:val="•"/>
      <w:lvlJc w:val="left"/>
      <w:pPr>
        <w:ind w:left="904" w:hanging="360"/>
      </w:pPr>
    </w:lvl>
    <w:lvl w:ilvl="3" w:tplc="2CFE5B94">
      <w:numFmt w:val="bullet"/>
      <w:lvlText w:val="•"/>
      <w:lvlJc w:val="left"/>
      <w:pPr>
        <w:ind w:left="1126" w:hanging="360"/>
      </w:pPr>
    </w:lvl>
    <w:lvl w:ilvl="4" w:tplc="BDDC52EA">
      <w:numFmt w:val="bullet"/>
      <w:lvlText w:val="•"/>
      <w:lvlJc w:val="left"/>
      <w:pPr>
        <w:ind w:left="1349" w:hanging="360"/>
      </w:pPr>
    </w:lvl>
    <w:lvl w:ilvl="5" w:tplc="2DA206DC">
      <w:numFmt w:val="bullet"/>
      <w:lvlText w:val="•"/>
      <w:lvlJc w:val="left"/>
      <w:pPr>
        <w:ind w:left="1571" w:hanging="360"/>
      </w:pPr>
    </w:lvl>
    <w:lvl w:ilvl="6" w:tplc="5E3A6038">
      <w:numFmt w:val="bullet"/>
      <w:lvlText w:val="•"/>
      <w:lvlJc w:val="left"/>
      <w:pPr>
        <w:ind w:left="1793" w:hanging="360"/>
      </w:pPr>
    </w:lvl>
    <w:lvl w:ilvl="7" w:tplc="BEA4091A">
      <w:numFmt w:val="bullet"/>
      <w:lvlText w:val="•"/>
      <w:lvlJc w:val="left"/>
      <w:pPr>
        <w:ind w:left="2016" w:hanging="360"/>
      </w:pPr>
    </w:lvl>
    <w:lvl w:ilvl="8" w:tplc="98C6693A">
      <w:numFmt w:val="bullet"/>
      <w:lvlText w:val="•"/>
      <w:lvlJc w:val="left"/>
      <w:pPr>
        <w:ind w:left="2238" w:hanging="360"/>
      </w:pPr>
    </w:lvl>
  </w:abstractNum>
  <w:abstractNum w:abstractNumId="22" w15:restartNumberingAfterBreak="0">
    <w:nsid w:val="31D15E84"/>
    <w:multiLevelType w:val="hybridMultilevel"/>
    <w:tmpl w:val="85D6C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E74C2"/>
    <w:multiLevelType w:val="hybridMultilevel"/>
    <w:tmpl w:val="2D825A8C"/>
    <w:lvl w:ilvl="0" w:tplc="108E52D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BBA2C14A">
      <w:numFmt w:val="bullet"/>
      <w:lvlText w:val="•"/>
      <w:lvlJc w:val="left"/>
      <w:pPr>
        <w:ind w:left="682" w:hanging="360"/>
      </w:pPr>
    </w:lvl>
    <w:lvl w:ilvl="2" w:tplc="B79C7704">
      <w:numFmt w:val="bullet"/>
      <w:lvlText w:val="•"/>
      <w:lvlJc w:val="left"/>
      <w:pPr>
        <w:ind w:left="904" w:hanging="360"/>
      </w:pPr>
    </w:lvl>
    <w:lvl w:ilvl="3" w:tplc="550897CE">
      <w:numFmt w:val="bullet"/>
      <w:lvlText w:val="•"/>
      <w:lvlJc w:val="left"/>
      <w:pPr>
        <w:ind w:left="1126" w:hanging="360"/>
      </w:pPr>
    </w:lvl>
    <w:lvl w:ilvl="4" w:tplc="2F2E65B8">
      <w:numFmt w:val="bullet"/>
      <w:lvlText w:val="•"/>
      <w:lvlJc w:val="left"/>
      <w:pPr>
        <w:ind w:left="1349" w:hanging="360"/>
      </w:pPr>
    </w:lvl>
    <w:lvl w:ilvl="5" w:tplc="CA582E3C">
      <w:numFmt w:val="bullet"/>
      <w:lvlText w:val="•"/>
      <w:lvlJc w:val="left"/>
      <w:pPr>
        <w:ind w:left="1571" w:hanging="360"/>
      </w:pPr>
    </w:lvl>
    <w:lvl w:ilvl="6" w:tplc="0E1807F2">
      <w:numFmt w:val="bullet"/>
      <w:lvlText w:val="•"/>
      <w:lvlJc w:val="left"/>
      <w:pPr>
        <w:ind w:left="1793" w:hanging="360"/>
      </w:pPr>
    </w:lvl>
    <w:lvl w:ilvl="7" w:tplc="24927DD6">
      <w:numFmt w:val="bullet"/>
      <w:lvlText w:val="•"/>
      <w:lvlJc w:val="left"/>
      <w:pPr>
        <w:ind w:left="2016" w:hanging="360"/>
      </w:pPr>
    </w:lvl>
    <w:lvl w:ilvl="8" w:tplc="17102902">
      <w:numFmt w:val="bullet"/>
      <w:lvlText w:val="•"/>
      <w:lvlJc w:val="left"/>
      <w:pPr>
        <w:ind w:left="2238" w:hanging="360"/>
      </w:pPr>
    </w:lvl>
  </w:abstractNum>
  <w:abstractNum w:abstractNumId="24" w15:restartNumberingAfterBreak="0">
    <w:nsid w:val="35D60194"/>
    <w:multiLevelType w:val="hybridMultilevel"/>
    <w:tmpl w:val="5EB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157CFE"/>
    <w:multiLevelType w:val="hybridMultilevel"/>
    <w:tmpl w:val="EDE068CE"/>
    <w:lvl w:ilvl="0" w:tplc="3F1A259E">
      <w:start w:val="4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A958BE"/>
    <w:multiLevelType w:val="hybridMultilevel"/>
    <w:tmpl w:val="5BAEA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224713"/>
    <w:multiLevelType w:val="hybridMultilevel"/>
    <w:tmpl w:val="B37E7FCA"/>
    <w:lvl w:ilvl="0" w:tplc="E7CE5F2E">
      <w:start w:val="19"/>
      <w:numFmt w:val="lowerLetter"/>
      <w:lvlText w:val="%1"/>
      <w:lvlJc w:val="left"/>
      <w:pPr>
        <w:ind w:left="232" w:hanging="354"/>
      </w:pPr>
    </w:lvl>
    <w:lvl w:ilvl="1" w:tplc="E1424926">
      <w:numFmt w:val="bullet"/>
      <w:lvlText w:val=""/>
      <w:lvlJc w:val="left"/>
      <w:pPr>
        <w:ind w:left="818" w:hanging="360"/>
      </w:pPr>
      <w:rPr>
        <w:w w:val="100"/>
      </w:rPr>
    </w:lvl>
    <w:lvl w:ilvl="2" w:tplc="BBDA5316">
      <w:numFmt w:val="bullet"/>
      <w:lvlText w:val="•"/>
      <w:lvlJc w:val="left"/>
      <w:pPr>
        <w:ind w:left="1862" w:hanging="360"/>
      </w:pPr>
    </w:lvl>
    <w:lvl w:ilvl="3" w:tplc="CE86947A">
      <w:numFmt w:val="bullet"/>
      <w:lvlText w:val="•"/>
      <w:lvlJc w:val="left"/>
      <w:pPr>
        <w:ind w:left="2905" w:hanging="360"/>
      </w:pPr>
    </w:lvl>
    <w:lvl w:ilvl="4" w:tplc="B6C40826">
      <w:numFmt w:val="bullet"/>
      <w:lvlText w:val="•"/>
      <w:lvlJc w:val="left"/>
      <w:pPr>
        <w:ind w:left="3948" w:hanging="360"/>
      </w:pPr>
    </w:lvl>
    <w:lvl w:ilvl="5" w:tplc="043A6E7C">
      <w:numFmt w:val="bullet"/>
      <w:lvlText w:val="•"/>
      <w:lvlJc w:val="left"/>
      <w:pPr>
        <w:ind w:left="4991" w:hanging="360"/>
      </w:pPr>
    </w:lvl>
    <w:lvl w:ilvl="6" w:tplc="E2BA81EA">
      <w:numFmt w:val="bullet"/>
      <w:lvlText w:val="•"/>
      <w:lvlJc w:val="left"/>
      <w:pPr>
        <w:ind w:left="6034" w:hanging="360"/>
      </w:pPr>
    </w:lvl>
    <w:lvl w:ilvl="7" w:tplc="4C5E074E">
      <w:numFmt w:val="bullet"/>
      <w:lvlText w:val="•"/>
      <w:lvlJc w:val="left"/>
      <w:pPr>
        <w:ind w:left="7076" w:hanging="360"/>
      </w:pPr>
    </w:lvl>
    <w:lvl w:ilvl="8" w:tplc="A0428EB4">
      <w:numFmt w:val="bullet"/>
      <w:lvlText w:val="•"/>
      <w:lvlJc w:val="left"/>
      <w:pPr>
        <w:ind w:left="8119" w:hanging="360"/>
      </w:pPr>
    </w:lvl>
  </w:abstractNum>
  <w:abstractNum w:abstractNumId="28" w15:restartNumberingAfterBreak="0">
    <w:nsid w:val="3D17571A"/>
    <w:multiLevelType w:val="hybridMultilevel"/>
    <w:tmpl w:val="9B5CB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054C8E"/>
    <w:multiLevelType w:val="hybridMultilevel"/>
    <w:tmpl w:val="309643C4"/>
    <w:lvl w:ilvl="0" w:tplc="E7CE5F2E">
      <w:start w:val="19"/>
      <w:numFmt w:val="lowerLetter"/>
      <w:lvlText w:val="%1"/>
      <w:lvlJc w:val="left"/>
      <w:pPr>
        <w:ind w:left="232" w:hanging="354"/>
      </w:pPr>
    </w:lvl>
    <w:lvl w:ilvl="1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  <w:w w:val="100"/>
      </w:rPr>
    </w:lvl>
    <w:lvl w:ilvl="2" w:tplc="BBDA5316">
      <w:numFmt w:val="bullet"/>
      <w:lvlText w:val="•"/>
      <w:lvlJc w:val="left"/>
      <w:pPr>
        <w:ind w:left="1862" w:hanging="360"/>
      </w:pPr>
    </w:lvl>
    <w:lvl w:ilvl="3" w:tplc="CE86947A">
      <w:numFmt w:val="bullet"/>
      <w:lvlText w:val="•"/>
      <w:lvlJc w:val="left"/>
      <w:pPr>
        <w:ind w:left="2905" w:hanging="360"/>
      </w:pPr>
    </w:lvl>
    <w:lvl w:ilvl="4" w:tplc="B6C40826">
      <w:numFmt w:val="bullet"/>
      <w:lvlText w:val="•"/>
      <w:lvlJc w:val="left"/>
      <w:pPr>
        <w:ind w:left="3948" w:hanging="360"/>
      </w:pPr>
    </w:lvl>
    <w:lvl w:ilvl="5" w:tplc="043A6E7C">
      <w:numFmt w:val="bullet"/>
      <w:lvlText w:val="•"/>
      <w:lvlJc w:val="left"/>
      <w:pPr>
        <w:ind w:left="4991" w:hanging="360"/>
      </w:pPr>
    </w:lvl>
    <w:lvl w:ilvl="6" w:tplc="E2BA81EA">
      <w:numFmt w:val="bullet"/>
      <w:lvlText w:val="•"/>
      <w:lvlJc w:val="left"/>
      <w:pPr>
        <w:ind w:left="6034" w:hanging="360"/>
      </w:pPr>
    </w:lvl>
    <w:lvl w:ilvl="7" w:tplc="4C5E074E">
      <w:numFmt w:val="bullet"/>
      <w:lvlText w:val="•"/>
      <w:lvlJc w:val="left"/>
      <w:pPr>
        <w:ind w:left="7076" w:hanging="360"/>
      </w:pPr>
    </w:lvl>
    <w:lvl w:ilvl="8" w:tplc="A0428EB4">
      <w:numFmt w:val="bullet"/>
      <w:lvlText w:val="•"/>
      <w:lvlJc w:val="left"/>
      <w:pPr>
        <w:ind w:left="8119" w:hanging="360"/>
      </w:pPr>
    </w:lvl>
  </w:abstractNum>
  <w:abstractNum w:abstractNumId="30" w15:restartNumberingAfterBreak="0">
    <w:nsid w:val="45255596"/>
    <w:multiLevelType w:val="hybridMultilevel"/>
    <w:tmpl w:val="23C20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2" w15:restartNumberingAfterBreak="0">
    <w:nsid w:val="54C96179"/>
    <w:multiLevelType w:val="hybridMultilevel"/>
    <w:tmpl w:val="46D48076"/>
    <w:lvl w:ilvl="0" w:tplc="D1506554">
      <w:numFmt w:val="bullet"/>
      <w:lvlText w:val=""/>
      <w:lvlJc w:val="left"/>
      <w:pPr>
        <w:ind w:left="987" w:hanging="71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A0634C4">
      <w:numFmt w:val="bullet"/>
      <w:lvlText w:val=""/>
      <w:lvlJc w:val="left"/>
      <w:pPr>
        <w:ind w:left="833" w:hanging="207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E803E48">
      <w:numFmt w:val="bullet"/>
      <w:lvlText w:val="•"/>
      <w:lvlJc w:val="left"/>
      <w:pPr>
        <w:ind w:left="2040" w:hanging="207"/>
      </w:pPr>
    </w:lvl>
    <w:lvl w:ilvl="3" w:tplc="B9CC418C">
      <w:numFmt w:val="bullet"/>
      <w:lvlText w:val="•"/>
      <w:lvlJc w:val="left"/>
      <w:pPr>
        <w:ind w:left="3101" w:hanging="207"/>
      </w:pPr>
    </w:lvl>
    <w:lvl w:ilvl="4" w:tplc="F8E0484C">
      <w:numFmt w:val="bullet"/>
      <w:lvlText w:val="•"/>
      <w:lvlJc w:val="left"/>
      <w:pPr>
        <w:ind w:left="4161" w:hanging="207"/>
      </w:pPr>
    </w:lvl>
    <w:lvl w:ilvl="5" w:tplc="0D7835DA">
      <w:numFmt w:val="bullet"/>
      <w:lvlText w:val="•"/>
      <w:lvlJc w:val="left"/>
      <w:pPr>
        <w:ind w:left="5222" w:hanging="207"/>
      </w:pPr>
    </w:lvl>
    <w:lvl w:ilvl="6" w:tplc="7E02B060">
      <w:numFmt w:val="bullet"/>
      <w:lvlText w:val="•"/>
      <w:lvlJc w:val="left"/>
      <w:pPr>
        <w:ind w:left="6283" w:hanging="207"/>
      </w:pPr>
    </w:lvl>
    <w:lvl w:ilvl="7" w:tplc="C838B376">
      <w:numFmt w:val="bullet"/>
      <w:lvlText w:val="•"/>
      <w:lvlJc w:val="left"/>
      <w:pPr>
        <w:ind w:left="7343" w:hanging="207"/>
      </w:pPr>
    </w:lvl>
    <w:lvl w:ilvl="8" w:tplc="3020818E">
      <w:numFmt w:val="bullet"/>
      <w:lvlText w:val="•"/>
      <w:lvlJc w:val="left"/>
      <w:pPr>
        <w:ind w:left="8404" w:hanging="207"/>
      </w:pPr>
    </w:lvl>
  </w:abstractNum>
  <w:abstractNum w:abstractNumId="33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5B412072"/>
    <w:multiLevelType w:val="multilevel"/>
    <w:tmpl w:val="DE146564"/>
    <w:lvl w:ilvl="0">
      <w:start w:val="1"/>
      <w:numFmt w:val="decimal"/>
      <w:lvlText w:val="%1."/>
      <w:lvlJc w:val="left"/>
      <w:pPr>
        <w:ind w:left="454" w:hanging="22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616" w:hanging="38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o"/>
      <w:lvlJc w:val="left"/>
      <w:pPr>
        <w:ind w:left="1672" w:hanging="360"/>
      </w:pPr>
      <w:rPr>
        <w:w w:val="100"/>
      </w:rPr>
    </w:lvl>
    <w:lvl w:ilvl="4">
      <w:numFmt w:val="bullet"/>
      <w:lvlText w:val="•"/>
      <w:lvlJc w:val="left"/>
      <w:pPr>
        <w:ind w:left="960" w:hanging="360"/>
      </w:pPr>
    </w:lvl>
    <w:lvl w:ilvl="5">
      <w:numFmt w:val="bullet"/>
      <w:lvlText w:val="•"/>
      <w:lvlJc w:val="left"/>
      <w:pPr>
        <w:ind w:left="1680" w:hanging="360"/>
      </w:pPr>
    </w:lvl>
    <w:lvl w:ilvl="6">
      <w:numFmt w:val="bullet"/>
      <w:lvlText w:val="•"/>
      <w:lvlJc w:val="left"/>
      <w:pPr>
        <w:ind w:left="3385" w:hanging="360"/>
      </w:pPr>
    </w:lvl>
    <w:lvl w:ilvl="7">
      <w:numFmt w:val="bullet"/>
      <w:lvlText w:val="•"/>
      <w:lvlJc w:val="left"/>
      <w:pPr>
        <w:ind w:left="5090" w:hanging="360"/>
      </w:pPr>
    </w:lvl>
    <w:lvl w:ilvl="8">
      <w:numFmt w:val="bullet"/>
      <w:lvlText w:val="•"/>
      <w:lvlJc w:val="left"/>
      <w:pPr>
        <w:ind w:left="6795" w:hanging="360"/>
      </w:pPr>
    </w:lvl>
  </w:abstractNum>
  <w:abstractNum w:abstractNumId="35" w15:restartNumberingAfterBreak="0">
    <w:nsid w:val="611F3F12"/>
    <w:multiLevelType w:val="hybridMultilevel"/>
    <w:tmpl w:val="959E5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CA4EBA"/>
    <w:multiLevelType w:val="hybridMultilevel"/>
    <w:tmpl w:val="07AA4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1E31E6"/>
    <w:multiLevelType w:val="hybridMultilevel"/>
    <w:tmpl w:val="0DC83232"/>
    <w:lvl w:ilvl="0" w:tplc="1FBCDD86">
      <w:numFmt w:val="bullet"/>
      <w:lvlText w:val="–"/>
      <w:lvlJc w:val="left"/>
      <w:pPr>
        <w:ind w:left="952" w:hanging="360"/>
      </w:pPr>
      <w:rPr>
        <w:spacing w:val="-21"/>
        <w:w w:val="100"/>
      </w:rPr>
    </w:lvl>
    <w:lvl w:ilvl="1" w:tplc="079641EA">
      <w:numFmt w:val="bullet"/>
      <w:lvlText w:val="•"/>
      <w:lvlJc w:val="left"/>
      <w:pPr>
        <w:ind w:left="1884" w:hanging="360"/>
      </w:pPr>
    </w:lvl>
    <w:lvl w:ilvl="2" w:tplc="20E65A52">
      <w:numFmt w:val="bullet"/>
      <w:lvlText w:val="•"/>
      <w:lvlJc w:val="left"/>
      <w:pPr>
        <w:ind w:left="2809" w:hanging="360"/>
      </w:pPr>
    </w:lvl>
    <w:lvl w:ilvl="3" w:tplc="908232E2">
      <w:numFmt w:val="bullet"/>
      <w:lvlText w:val="•"/>
      <w:lvlJc w:val="left"/>
      <w:pPr>
        <w:ind w:left="3733" w:hanging="360"/>
      </w:pPr>
    </w:lvl>
    <w:lvl w:ilvl="4" w:tplc="6BC04268">
      <w:numFmt w:val="bullet"/>
      <w:lvlText w:val="•"/>
      <w:lvlJc w:val="left"/>
      <w:pPr>
        <w:ind w:left="4658" w:hanging="360"/>
      </w:pPr>
    </w:lvl>
    <w:lvl w:ilvl="5" w:tplc="1AB4ABFC">
      <w:numFmt w:val="bullet"/>
      <w:lvlText w:val="•"/>
      <w:lvlJc w:val="left"/>
      <w:pPr>
        <w:ind w:left="5582" w:hanging="360"/>
      </w:pPr>
    </w:lvl>
    <w:lvl w:ilvl="6" w:tplc="81CACA78">
      <w:numFmt w:val="bullet"/>
      <w:lvlText w:val="•"/>
      <w:lvlJc w:val="left"/>
      <w:pPr>
        <w:ind w:left="6507" w:hanging="360"/>
      </w:pPr>
    </w:lvl>
    <w:lvl w:ilvl="7" w:tplc="05225C02">
      <w:numFmt w:val="bullet"/>
      <w:lvlText w:val="•"/>
      <w:lvlJc w:val="left"/>
      <w:pPr>
        <w:ind w:left="7431" w:hanging="360"/>
      </w:pPr>
    </w:lvl>
    <w:lvl w:ilvl="8" w:tplc="0F546186">
      <w:numFmt w:val="bullet"/>
      <w:lvlText w:val="•"/>
      <w:lvlJc w:val="left"/>
      <w:pPr>
        <w:ind w:left="8356" w:hanging="360"/>
      </w:pPr>
    </w:lvl>
  </w:abstractNum>
  <w:abstractNum w:abstractNumId="39" w15:restartNumberingAfterBreak="0">
    <w:nsid w:val="70762512"/>
    <w:multiLevelType w:val="hybridMultilevel"/>
    <w:tmpl w:val="A68CF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F0646E"/>
    <w:multiLevelType w:val="hybridMultilevel"/>
    <w:tmpl w:val="2DFA48D6"/>
    <w:lvl w:ilvl="0" w:tplc="B1386384">
      <w:numFmt w:val="bullet"/>
      <w:lvlText w:val="–"/>
      <w:lvlJc w:val="left"/>
      <w:pPr>
        <w:ind w:left="1312" w:hanging="360"/>
      </w:pPr>
      <w:rPr>
        <w:rFonts w:ascii="Arial" w:eastAsia="Arial" w:hAnsi="Arial" w:cs="Arial" w:hint="default"/>
        <w:spacing w:val="-7"/>
        <w:w w:val="100"/>
        <w:sz w:val="24"/>
        <w:szCs w:val="24"/>
      </w:rPr>
    </w:lvl>
    <w:lvl w:ilvl="1" w:tplc="170A45CC">
      <w:numFmt w:val="bullet"/>
      <w:lvlText w:val="•"/>
      <w:lvlJc w:val="left"/>
      <w:pPr>
        <w:ind w:left="2208" w:hanging="360"/>
      </w:pPr>
    </w:lvl>
    <w:lvl w:ilvl="2" w:tplc="199E11BA">
      <w:numFmt w:val="bullet"/>
      <w:lvlText w:val="•"/>
      <w:lvlJc w:val="left"/>
      <w:pPr>
        <w:ind w:left="3097" w:hanging="360"/>
      </w:pPr>
    </w:lvl>
    <w:lvl w:ilvl="3" w:tplc="513E344A">
      <w:numFmt w:val="bullet"/>
      <w:lvlText w:val="•"/>
      <w:lvlJc w:val="left"/>
      <w:pPr>
        <w:ind w:left="3985" w:hanging="360"/>
      </w:pPr>
    </w:lvl>
    <w:lvl w:ilvl="4" w:tplc="80EA056A">
      <w:numFmt w:val="bullet"/>
      <w:lvlText w:val="•"/>
      <w:lvlJc w:val="left"/>
      <w:pPr>
        <w:ind w:left="4874" w:hanging="360"/>
      </w:pPr>
    </w:lvl>
    <w:lvl w:ilvl="5" w:tplc="00DEACC4">
      <w:numFmt w:val="bullet"/>
      <w:lvlText w:val="•"/>
      <w:lvlJc w:val="left"/>
      <w:pPr>
        <w:ind w:left="5762" w:hanging="360"/>
      </w:pPr>
    </w:lvl>
    <w:lvl w:ilvl="6" w:tplc="46FA5828">
      <w:numFmt w:val="bullet"/>
      <w:lvlText w:val="•"/>
      <w:lvlJc w:val="left"/>
      <w:pPr>
        <w:ind w:left="6651" w:hanging="360"/>
      </w:pPr>
    </w:lvl>
    <w:lvl w:ilvl="7" w:tplc="903495C6">
      <w:numFmt w:val="bullet"/>
      <w:lvlText w:val="•"/>
      <w:lvlJc w:val="left"/>
      <w:pPr>
        <w:ind w:left="7539" w:hanging="360"/>
      </w:pPr>
    </w:lvl>
    <w:lvl w:ilvl="8" w:tplc="6354E2FA">
      <w:numFmt w:val="bullet"/>
      <w:lvlText w:val="•"/>
      <w:lvlJc w:val="left"/>
      <w:pPr>
        <w:ind w:left="8428" w:hanging="360"/>
      </w:pPr>
    </w:lvl>
  </w:abstractNum>
  <w:abstractNum w:abstractNumId="41" w15:restartNumberingAfterBreak="0">
    <w:nsid w:val="72185F4D"/>
    <w:multiLevelType w:val="hybridMultilevel"/>
    <w:tmpl w:val="B6A0B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A30F2F"/>
    <w:multiLevelType w:val="hybridMultilevel"/>
    <w:tmpl w:val="7C429146"/>
    <w:lvl w:ilvl="0" w:tplc="8E64F47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312E0D0E">
      <w:numFmt w:val="bullet"/>
      <w:lvlText w:val="•"/>
      <w:lvlJc w:val="left"/>
      <w:pPr>
        <w:ind w:left="643" w:hanging="360"/>
      </w:pPr>
    </w:lvl>
    <w:lvl w:ilvl="2" w:tplc="17F8C9A0">
      <w:numFmt w:val="bullet"/>
      <w:lvlText w:val="•"/>
      <w:lvlJc w:val="left"/>
      <w:pPr>
        <w:ind w:left="807" w:hanging="360"/>
      </w:pPr>
    </w:lvl>
    <w:lvl w:ilvl="3" w:tplc="8DA6AC42">
      <w:numFmt w:val="bullet"/>
      <w:lvlText w:val="•"/>
      <w:lvlJc w:val="left"/>
      <w:pPr>
        <w:ind w:left="970" w:hanging="360"/>
      </w:pPr>
    </w:lvl>
    <w:lvl w:ilvl="4" w:tplc="D610A442">
      <w:numFmt w:val="bullet"/>
      <w:lvlText w:val="•"/>
      <w:lvlJc w:val="left"/>
      <w:pPr>
        <w:ind w:left="1134" w:hanging="360"/>
      </w:pPr>
    </w:lvl>
    <w:lvl w:ilvl="5" w:tplc="F42CE276">
      <w:numFmt w:val="bullet"/>
      <w:lvlText w:val="•"/>
      <w:lvlJc w:val="left"/>
      <w:pPr>
        <w:ind w:left="1298" w:hanging="360"/>
      </w:pPr>
    </w:lvl>
    <w:lvl w:ilvl="6" w:tplc="483A2BDA">
      <w:numFmt w:val="bullet"/>
      <w:lvlText w:val="•"/>
      <w:lvlJc w:val="left"/>
      <w:pPr>
        <w:ind w:left="1461" w:hanging="360"/>
      </w:pPr>
    </w:lvl>
    <w:lvl w:ilvl="7" w:tplc="9810431A">
      <w:numFmt w:val="bullet"/>
      <w:lvlText w:val="•"/>
      <w:lvlJc w:val="left"/>
      <w:pPr>
        <w:ind w:left="1625" w:hanging="360"/>
      </w:pPr>
    </w:lvl>
    <w:lvl w:ilvl="8" w:tplc="ACC21FB6">
      <w:numFmt w:val="bullet"/>
      <w:lvlText w:val="•"/>
      <w:lvlJc w:val="left"/>
      <w:pPr>
        <w:ind w:left="1788" w:hanging="360"/>
      </w:pPr>
    </w:lvl>
  </w:abstractNum>
  <w:abstractNum w:abstractNumId="44" w15:restartNumberingAfterBreak="0">
    <w:nsid w:val="7A9F0953"/>
    <w:multiLevelType w:val="hybridMultilevel"/>
    <w:tmpl w:val="1F0EC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220B19"/>
    <w:multiLevelType w:val="hybridMultilevel"/>
    <w:tmpl w:val="D2B4F2CC"/>
    <w:lvl w:ilvl="0" w:tplc="02E09FB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816B6E4">
      <w:numFmt w:val="bullet"/>
      <w:lvlText w:val="•"/>
      <w:lvlJc w:val="left"/>
      <w:pPr>
        <w:ind w:left="643" w:hanging="360"/>
      </w:pPr>
    </w:lvl>
    <w:lvl w:ilvl="2" w:tplc="FDCE78A8">
      <w:numFmt w:val="bullet"/>
      <w:lvlText w:val="•"/>
      <w:lvlJc w:val="left"/>
      <w:pPr>
        <w:ind w:left="807" w:hanging="360"/>
      </w:pPr>
    </w:lvl>
    <w:lvl w:ilvl="3" w:tplc="564AC4C6">
      <w:numFmt w:val="bullet"/>
      <w:lvlText w:val="•"/>
      <w:lvlJc w:val="left"/>
      <w:pPr>
        <w:ind w:left="970" w:hanging="360"/>
      </w:pPr>
    </w:lvl>
    <w:lvl w:ilvl="4" w:tplc="8164402C">
      <w:numFmt w:val="bullet"/>
      <w:lvlText w:val="•"/>
      <w:lvlJc w:val="left"/>
      <w:pPr>
        <w:ind w:left="1134" w:hanging="360"/>
      </w:pPr>
    </w:lvl>
    <w:lvl w:ilvl="5" w:tplc="3F1683D6">
      <w:numFmt w:val="bullet"/>
      <w:lvlText w:val="•"/>
      <w:lvlJc w:val="left"/>
      <w:pPr>
        <w:ind w:left="1298" w:hanging="360"/>
      </w:pPr>
    </w:lvl>
    <w:lvl w:ilvl="6" w:tplc="29EC8C94">
      <w:numFmt w:val="bullet"/>
      <w:lvlText w:val="•"/>
      <w:lvlJc w:val="left"/>
      <w:pPr>
        <w:ind w:left="1461" w:hanging="360"/>
      </w:pPr>
    </w:lvl>
    <w:lvl w:ilvl="7" w:tplc="6E2E5278">
      <w:numFmt w:val="bullet"/>
      <w:lvlText w:val="•"/>
      <w:lvlJc w:val="left"/>
      <w:pPr>
        <w:ind w:left="1625" w:hanging="360"/>
      </w:pPr>
    </w:lvl>
    <w:lvl w:ilvl="8" w:tplc="1D1E4EFA">
      <w:numFmt w:val="bullet"/>
      <w:lvlText w:val="•"/>
      <w:lvlJc w:val="left"/>
      <w:pPr>
        <w:ind w:left="1788" w:hanging="360"/>
      </w:pPr>
    </w:lvl>
  </w:abstractNum>
  <w:num w:numId="1" w16cid:durableId="454912270">
    <w:abstractNumId w:val="15"/>
  </w:num>
  <w:num w:numId="2" w16cid:durableId="1299871853">
    <w:abstractNumId w:val="37"/>
  </w:num>
  <w:num w:numId="3" w16cid:durableId="1839536497">
    <w:abstractNumId w:val="7"/>
  </w:num>
  <w:num w:numId="4" w16cid:durableId="1069111877">
    <w:abstractNumId w:val="33"/>
  </w:num>
  <w:num w:numId="5" w16cid:durableId="1473210323">
    <w:abstractNumId w:val="17"/>
  </w:num>
  <w:num w:numId="6" w16cid:durableId="16547211">
    <w:abstractNumId w:val="8"/>
  </w:num>
  <w:num w:numId="7" w16cid:durableId="197087828">
    <w:abstractNumId w:val="31"/>
  </w:num>
  <w:num w:numId="8" w16cid:durableId="99448025">
    <w:abstractNumId w:val="16"/>
  </w:num>
  <w:num w:numId="9" w16cid:durableId="917594875">
    <w:abstractNumId w:val="20"/>
  </w:num>
  <w:num w:numId="10" w16cid:durableId="684399640">
    <w:abstractNumId w:val="42"/>
  </w:num>
  <w:num w:numId="11" w16cid:durableId="2137989375">
    <w:abstractNumId w:val="19"/>
  </w:num>
  <w:num w:numId="12" w16cid:durableId="1968507733">
    <w:abstractNumId w:val="34"/>
  </w:num>
  <w:num w:numId="13" w16cid:durableId="572854925">
    <w:abstractNumId w:val="2"/>
  </w:num>
  <w:num w:numId="14" w16cid:durableId="1878616357">
    <w:abstractNumId w:val="6"/>
  </w:num>
  <w:num w:numId="15" w16cid:durableId="1363826845">
    <w:abstractNumId w:val="40"/>
  </w:num>
  <w:num w:numId="16" w16cid:durableId="279149961">
    <w:abstractNumId w:val="38"/>
  </w:num>
  <w:num w:numId="17" w16cid:durableId="1198280788">
    <w:abstractNumId w:val="11"/>
  </w:num>
  <w:num w:numId="18" w16cid:durableId="439642327">
    <w:abstractNumId w:val="9"/>
  </w:num>
  <w:num w:numId="19" w16cid:durableId="906038533">
    <w:abstractNumId w:val="27"/>
    <w:lvlOverride w:ilvl="0">
      <w:startOverride w:val="1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6973940">
    <w:abstractNumId w:val="23"/>
  </w:num>
  <w:num w:numId="21" w16cid:durableId="301739093">
    <w:abstractNumId w:val="21"/>
  </w:num>
  <w:num w:numId="22" w16cid:durableId="1288731782">
    <w:abstractNumId w:val="45"/>
  </w:num>
  <w:num w:numId="23" w16cid:durableId="1196045232">
    <w:abstractNumId w:val="3"/>
  </w:num>
  <w:num w:numId="24" w16cid:durableId="33383391">
    <w:abstractNumId w:val="43"/>
  </w:num>
  <w:num w:numId="25" w16cid:durableId="240409539">
    <w:abstractNumId w:val="4"/>
  </w:num>
  <w:num w:numId="26" w16cid:durableId="1206598407">
    <w:abstractNumId w:val="32"/>
  </w:num>
  <w:num w:numId="27" w16cid:durableId="744835687">
    <w:abstractNumId w:val="41"/>
  </w:num>
  <w:num w:numId="28" w16cid:durableId="1654991070">
    <w:abstractNumId w:val="24"/>
  </w:num>
  <w:num w:numId="29" w16cid:durableId="1234973078">
    <w:abstractNumId w:val="25"/>
  </w:num>
  <w:num w:numId="30" w16cid:durableId="566039581">
    <w:abstractNumId w:val="44"/>
  </w:num>
  <w:num w:numId="31" w16cid:durableId="359824838">
    <w:abstractNumId w:val="14"/>
  </w:num>
  <w:num w:numId="32" w16cid:durableId="145974020">
    <w:abstractNumId w:val="32"/>
  </w:num>
  <w:num w:numId="33" w16cid:durableId="1499270112">
    <w:abstractNumId w:val="10"/>
  </w:num>
  <w:num w:numId="34" w16cid:durableId="1324579974">
    <w:abstractNumId w:val="1"/>
  </w:num>
  <w:num w:numId="35" w16cid:durableId="521751530">
    <w:abstractNumId w:val="0"/>
  </w:num>
  <w:num w:numId="36" w16cid:durableId="1099907412">
    <w:abstractNumId w:val="27"/>
  </w:num>
  <w:num w:numId="37" w16cid:durableId="533690590">
    <w:abstractNumId w:val="29"/>
  </w:num>
  <w:num w:numId="38" w16cid:durableId="976882558">
    <w:abstractNumId w:val="5"/>
  </w:num>
  <w:num w:numId="39" w16cid:durableId="1457481811">
    <w:abstractNumId w:val="13"/>
  </w:num>
  <w:num w:numId="40" w16cid:durableId="1080175693">
    <w:abstractNumId w:val="18"/>
  </w:num>
  <w:num w:numId="41" w16cid:durableId="367796360">
    <w:abstractNumId w:val="30"/>
  </w:num>
  <w:num w:numId="42" w16cid:durableId="477260346">
    <w:abstractNumId w:val="22"/>
  </w:num>
  <w:num w:numId="43" w16cid:durableId="699940937">
    <w:abstractNumId w:val="12"/>
  </w:num>
  <w:num w:numId="44" w16cid:durableId="1577544594">
    <w:abstractNumId w:val="26"/>
  </w:num>
  <w:num w:numId="45" w16cid:durableId="1628002517">
    <w:abstractNumId w:val="28"/>
  </w:num>
  <w:num w:numId="46" w16cid:durableId="1376470422">
    <w:abstractNumId w:val="39"/>
  </w:num>
  <w:num w:numId="47" w16cid:durableId="669412689">
    <w:abstractNumId w:val="36"/>
  </w:num>
  <w:num w:numId="48" w16cid:durableId="26885597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6"/>
    <w:rsid w:val="00000528"/>
    <w:rsid w:val="00002C97"/>
    <w:rsid w:val="00003015"/>
    <w:rsid w:val="000109AE"/>
    <w:rsid w:val="000176CA"/>
    <w:rsid w:val="00021D80"/>
    <w:rsid w:val="0002675C"/>
    <w:rsid w:val="00034063"/>
    <w:rsid w:val="00036FA0"/>
    <w:rsid w:val="0003793F"/>
    <w:rsid w:val="00044CA6"/>
    <w:rsid w:val="00057E35"/>
    <w:rsid w:val="000635CE"/>
    <w:rsid w:val="00064BDC"/>
    <w:rsid w:val="00071E9C"/>
    <w:rsid w:val="0007560A"/>
    <w:rsid w:val="00076726"/>
    <w:rsid w:val="00080303"/>
    <w:rsid w:val="000902A2"/>
    <w:rsid w:val="000A3F58"/>
    <w:rsid w:val="000B1741"/>
    <w:rsid w:val="000B28FF"/>
    <w:rsid w:val="000C4393"/>
    <w:rsid w:val="000D2343"/>
    <w:rsid w:val="000D3449"/>
    <w:rsid w:val="000D425A"/>
    <w:rsid w:val="000D60CC"/>
    <w:rsid w:val="000D6AED"/>
    <w:rsid w:val="000E12CB"/>
    <w:rsid w:val="000E2084"/>
    <w:rsid w:val="000E294E"/>
    <w:rsid w:val="000E3023"/>
    <w:rsid w:val="000E36A4"/>
    <w:rsid w:val="000E6F55"/>
    <w:rsid w:val="000F77FA"/>
    <w:rsid w:val="00107BF7"/>
    <w:rsid w:val="001254DD"/>
    <w:rsid w:val="00126F53"/>
    <w:rsid w:val="00127D16"/>
    <w:rsid w:val="0014766D"/>
    <w:rsid w:val="001536CC"/>
    <w:rsid w:val="0016112A"/>
    <w:rsid w:val="001740F2"/>
    <w:rsid w:val="00177414"/>
    <w:rsid w:val="001850A7"/>
    <w:rsid w:val="00190890"/>
    <w:rsid w:val="001920CE"/>
    <w:rsid w:val="00192933"/>
    <w:rsid w:val="00195F4F"/>
    <w:rsid w:val="001974F7"/>
    <w:rsid w:val="001A3C59"/>
    <w:rsid w:val="001A3FBA"/>
    <w:rsid w:val="001A5518"/>
    <w:rsid w:val="001A68D8"/>
    <w:rsid w:val="001B1C6A"/>
    <w:rsid w:val="001C1263"/>
    <w:rsid w:val="001C1417"/>
    <w:rsid w:val="001C7246"/>
    <w:rsid w:val="001E390B"/>
    <w:rsid w:val="001F42FB"/>
    <w:rsid w:val="001F719A"/>
    <w:rsid w:val="002014DC"/>
    <w:rsid w:val="002031B3"/>
    <w:rsid w:val="00204A0F"/>
    <w:rsid w:val="002155B6"/>
    <w:rsid w:val="00215931"/>
    <w:rsid w:val="00221D21"/>
    <w:rsid w:val="00224C91"/>
    <w:rsid w:val="00227BDB"/>
    <w:rsid w:val="00234CB1"/>
    <w:rsid w:val="002352F8"/>
    <w:rsid w:val="002510A5"/>
    <w:rsid w:val="0025122C"/>
    <w:rsid w:val="00254A0A"/>
    <w:rsid w:val="002656AB"/>
    <w:rsid w:val="00266046"/>
    <w:rsid w:val="002669E7"/>
    <w:rsid w:val="002710E7"/>
    <w:rsid w:val="00274F0E"/>
    <w:rsid w:val="0027714D"/>
    <w:rsid w:val="0028256F"/>
    <w:rsid w:val="002846DB"/>
    <w:rsid w:val="00284A46"/>
    <w:rsid w:val="00284CCD"/>
    <w:rsid w:val="00290AF9"/>
    <w:rsid w:val="002917BD"/>
    <w:rsid w:val="002A77BD"/>
    <w:rsid w:val="002C4BC6"/>
    <w:rsid w:val="002C6637"/>
    <w:rsid w:val="002D081E"/>
    <w:rsid w:val="002D486A"/>
    <w:rsid w:val="002D74B9"/>
    <w:rsid w:val="002E0135"/>
    <w:rsid w:val="002E093B"/>
    <w:rsid w:val="002E37A5"/>
    <w:rsid w:val="002E6A41"/>
    <w:rsid w:val="002F625D"/>
    <w:rsid w:val="00310F03"/>
    <w:rsid w:val="003207FF"/>
    <w:rsid w:val="003247D2"/>
    <w:rsid w:val="00334978"/>
    <w:rsid w:val="00335AD4"/>
    <w:rsid w:val="00342E03"/>
    <w:rsid w:val="003445C1"/>
    <w:rsid w:val="00347210"/>
    <w:rsid w:val="003473B3"/>
    <w:rsid w:val="00351CF2"/>
    <w:rsid w:val="00355B61"/>
    <w:rsid w:val="003575A2"/>
    <w:rsid w:val="00357F8F"/>
    <w:rsid w:val="003601E4"/>
    <w:rsid w:val="00362686"/>
    <w:rsid w:val="00364039"/>
    <w:rsid w:val="00371510"/>
    <w:rsid w:val="003818FE"/>
    <w:rsid w:val="00396DFD"/>
    <w:rsid w:val="003A06B5"/>
    <w:rsid w:val="003A7059"/>
    <w:rsid w:val="003A7DB6"/>
    <w:rsid w:val="003B26CA"/>
    <w:rsid w:val="003B4A9E"/>
    <w:rsid w:val="003B7029"/>
    <w:rsid w:val="003B7A36"/>
    <w:rsid w:val="003C174A"/>
    <w:rsid w:val="003C17AB"/>
    <w:rsid w:val="003C7823"/>
    <w:rsid w:val="003E1DCC"/>
    <w:rsid w:val="003F11A1"/>
    <w:rsid w:val="003F32CB"/>
    <w:rsid w:val="003F6A59"/>
    <w:rsid w:val="004065C8"/>
    <w:rsid w:val="004109FA"/>
    <w:rsid w:val="00411B4B"/>
    <w:rsid w:val="00414B12"/>
    <w:rsid w:val="00415BEE"/>
    <w:rsid w:val="004208E2"/>
    <w:rsid w:val="00427F85"/>
    <w:rsid w:val="00436F42"/>
    <w:rsid w:val="004378B4"/>
    <w:rsid w:val="00444F6E"/>
    <w:rsid w:val="00451314"/>
    <w:rsid w:val="00452E9D"/>
    <w:rsid w:val="004534C7"/>
    <w:rsid w:val="004624E2"/>
    <w:rsid w:val="0046269B"/>
    <w:rsid w:val="00462CF9"/>
    <w:rsid w:val="004671AA"/>
    <w:rsid w:val="00472069"/>
    <w:rsid w:val="00475EB2"/>
    <w:rsid w:val="00480FB1"/>
    <w:rsid w:val="00482041"/>
    <w:rsid w:val="0048212E"/>
    <w:rsid w:val="00483928"/>
    <w:rsid w:val="004A3252"/>
    <w:rsid w:val="004B374C"/>
    <w:rsid w:val="004C1266"/>
    <w:rsid w:val="004C3228"/>
    <w:rsid w:val="004C331F"/>
    <w:rsid w:val="004C33AD"/>
    <w:rsid w:val="004C77A0"/>
    <w:rsid w:val="004D3314"/>
    <w:rsid w:val="004D515D"/>
    <w:rsid w:val="004D6103"/>
    <w:rsid w:val="004E14E7"/>
    <w:rsid w:val="004E3BCE"/>
    <w:rsid w:val="004E70AD"/>
    <w:rsid w:val="004F0E97"/>
    <w:rsid w:val="00501DD1"/>
    <w:rsid w:val="00515C21"/>
    <w:rsid w:val="0052128C"/>
    <w:rsid w:val="00522ADA"/>
    <w:rsid w:val="00523780"/>
    <w:rsid w:val="00530BD7"/>
    <w:rsid w:val="00542F9B"/>
    <w:rsid w:val="00545CD2"/>
    <w:rsid w:val="005476F3"/>
    <w:rsid w:val="00554222"/>
    <w:rsid w:val="005604CC"/>
    <w:rsid w:val="00572527"/>
    <w:rsid w:val="00573E40"/>
    <w:rsid w:val="00576348"/>
    <w:rsid w:val="005777D2"/>
    <w:rsid w:val="00580321"/>
    <w:rsid w:val="005855FC"/>
    <w:rsid w:val="00594DFF"/>
    <w:rsid w:val="00595851"/>
    <w:rsid w:val="00597256"/>
    <w:rsid w:val="00597A63"/>
    <w:rsid w:val="005A0B2E"/>
    <w:rsid w:val="005A1049"/>
    <w:rsid w:val="005A23D2"/>
    <w:rsid w:val="005A36CB"/>
    <w:rsid w:val="005B0617"/>
    <w:rsid w:val="005B42E6"/>
    <w:rsid w:val="005B49B8"/>
    <w:rsid w:val="005C0741"/>
    <w:rsid w:val="005C5EF4"/>
    <w:rsid w:val="005E2B85"/>
    <w:rsid w:val="005E2E0B"/>
    <w:rsid w:val="005E7A7D"/>
    <w:rsid w:val="005F77B2"/>
    <w:rsid w:val="00602457"/>
    <w:rsid w:val="0060641B"/>
    <w:rsid w:val="006103F9"/>
    <w:rsid w:val="006136FF"/>
    <w:rsid w:val="00626512"/>
    <w:rsid w:val="0063021A"/>
    <w:rsid w:val="00644FC3"/>
    <w:rsid w:val="00645C86"/>
    <w:rsid w:val="00646BD1"/>
    <w:rsid w:val="00655770"/>
    <w:rsid w:val="006561C2"/>
    <w:rsid w:val="006568C9"/>
    <w:rsid w:val="0065709D"/>
    <w:rsid w:val="006609A1"/>
    <w:rsid w:val="006665CB"/>
    <w:rsid w:val="00671CB3"/>
    <w:rsid w:val="00674BAF"/>
    <w:rsid w:val="00675401"/>
    <w:rsid w:val="00682200"/>
    <w:rsid w:val="00683ABA"/>
    <w:rsid w:val="00692BF6"/>
    <w:rsid w:val="0069316C"/>
    <w:rsid w:val="006A1497"/>
    <w:rsid w:val="006A249D"/>
    <w:rsid w:val="006B0BD1"/>
    <w:rsid w:val="006B5404"/>
    <w:rsid w:val="006C1B50"/>
    <w:rsid w:val="006C63D3"/>
    <w:rsid w:val="006D20A5"/>
    <w:rsid w:val="006D37BF"/>
    <w:rsid w:val="006D537F"/>
    <w:rsid w:val="006E0000"/>
    <w:rsid w:val="006F4026"/>
    <w:rsid w:val="0070267C"/>
    <w:rsid w:val="00702E22"/>
    <w:rsid w:val="0071319B"/>
    <w:rsid w:val="0072020E"/>
    <w:rsid w:val="00722071"/>
    <w:rsid w:val="00722CE1"/>
    <w:rsid w:val="00723A74"/>
    <w:rsid w:val="00743062"/>
    <w:rsid w:val="00751EB6"/>
    <w:rsid w:val="0076638E"/>
    <w:rsid w:val="0076791E"/>
    <w:rsid w:val="007770C8"/>
    <w:rsid w:val="00786071"/>
    <w:rsid w:val="0078654D"/>
    <w:rsid w:val="007A36FA"/>
    <w:rsid w:val="007A3ECB"/>
    <w:rsid w:val="007B0D30"/>
    <w:rsid w:val="007C460C"/>
    <w:rsid w:val="007D7BB3"/>
    <w:rsid w:val="0080768D"/>
    <w:rsid w:val="00821032"/>
    <w:rsid w:val="00824AB9"/>
    <w:rsid w:val="00824CE0"/>
    <w:rsid w:val="00833E38"/>
    <w:rsid w:val="00836B35"/>
    <w:rsid w:val="00842C0E"/>
    <w:rsid w:val="00842EC8"/>
    <w:rsid w:val="00843BDE"/>
    <w:rsid w:val="008441CF"/>
    <w:rsid w:val="00851B2F"/>
    <w:rsid w:val="00853A1E"/>
    <w:rsid w:val="00854C86"/>
    <w:rsid w:val="00856E26"/>
    <w:rsid w:val="0085742A"/>
    <w:rsid w:val="0087588C"/>
    <w:rsid w:val="0087601E"/>
    <w:rsid w:val="008828A9"/>
    <w:rsid w:val="00885116"/>
    <w:rsid w:val="00896225"/>
    <w:rsid w:val="0089705C"/>
    <w:rsid w:val="00897A4D"/>
    <w:rsid w:val="008A23CE"/>
    <w:rsid w:val="008A2E1C"/>
    <w:rsid w:val="008A6D43"/>
    <w:rsid w:val="008A7714"/>
    <w:rsid w:val="008B491E"/>
    <w:rsid w:val="008C1A28"/>
    <w:rsid w:val="008C2E98"/>
    <w:rsid w:val="008C4CA6"/>
    <w:rsid w:val="008C6220"/>
    <w:rsid w:val="008D0F83"/>
    <w:rsid w:val="008E4906"/>
    <w:rsid w:val="008E49BD"/>
    <w:rsid w:val="008E53E9"/>
    <w:rsid w:val="008E5771"/>
    <w:rsid w:val="008F4ACF"/>
    <w:rsid w:val="00922CCB"/>
    <w:rsid w:val="00924166"/>
    <w:rsid w:val="00940B9B"/>
    <w:rsid w:val="009502FD"/>
    <w:rsid w:val="00951CAE"/>
    <w:rsid w:val="009524DD"/>
    <w:rsid w:val="0095676E"/>
    <w:rsid w:val="00956983"/>
    <w:rsid w:val="009578A4"/>
    <w:rsid w:val="00963CF0"/>
    <w:rsid w:val="00964BB1"/>
    <w:rsid w:val="0096643E"/>
    <w:rsid w:val="009775D9"/>
    <w:rsid w:val="00987D69"/>
    <w:rsid w:val="00990044"/>
    <w:rsid w:val="00997175"/>
    <w:rsid w:val="009A1847"/>
    <w:rsid w:val="009A778A"/>
    <w:rsid w:val="009B062A"/>
    <w:rsid w:val="009B3514"/>
    <w:rsid w:val="009C4878"/>
    <w:rsid w:val="009C65A1"/>
    <w:rsid w:val="009D250B"/>
    <w:rsid w:val="009D2661"/>
    <w:rsid w:val="009E7C6F"/>
    <w:rsid w:val="009F1793"/>
    <w:rsid w:val="009F2D23"/>
    <w:rsid w:val="00A01D69"/>
    <w:rsid w:val="00A02335"/>
    <w:rsid w:val="00A03F10"/>
    <w:rsid w:val="00A04E4C"/>
    <w:rsid w:val="00A313D8"/>
    <w:rsid w:val="00A3621B"/>
    <w:rsid w:val="00A46C9A"/>
    <w:rsid w:val="00A50782"/>
    <w:rsid w:val="00A51151"/>
    <w:rsid w:val="00A57D9B"/>
    <w:rsid w:val="00A619F3"/>
    <w:rsid w:val="00A62A73"/>
    <w:rsid w:val="00A67D3A"/>
    <w:rsid w:val="00A80D5C"/>
    <w:rsid w:val="00A83107"/>
    <w:rsid w:val="00A87FF6"/>
    <w:rsid w:val="00A919F3"/>
    <w:rsid w:val="00A922CC"/>
    <w:rsid w:val="00A950BC"/>
    <w:rsid w:val="00A97DB0"/>
    <w:rsid w:val="00AA0A3B"/>
    <w:rsid w:val="00AA2763"/>
    <w:rsid w:val="00AA33B6"/>
    <w:rsid w:val="00AA7F8E"/>
    <w:rsid w:val="00AB1DA9"/>
    <w:rsid w:val="00AB403E"/>
    <w:rsid w:val="00AB50CA"/>
    <w:rsid w:val="00AB6D64"/>
    <w:rsid w:val="00AB7A0A"/>
    <w:rsid w:val="00AC53CE"/>
    <w:rsid w:val="00AD2193"/>
    <w:rsid w:val="00AF2AC7"/>
    <w:rsid w:val="00AF74CE"/>
    <w:rsid w:val="00B05080"/>
    <w:rsid w:val="00B11B1B"/>
    <w:rsid w:val="00B1335F"/>
    <w:rsid w:val="00B1576D"/>
    <w:rsid w:val="00B208DB"/>
    <w:rsid w:val="00B23F69"/>
    <w:rsid w:val="00B27A10"/>
    <w:rsid w:val="00B3172C"/>
    <w:rsid w:val="00B43501"/>
    <w:rsid w:val="00B60619"/>
    <w:rsid w:val="00B6245C"/>
    <w:rsid w:val="00B661A9"/>
    <w:rsid w:val="00B66A70"/>
    <w:rsid w:val="00B67366"/>
    <w:rsid w:val="00B7781E"/>
    <w:rsid w:val="00B77C26"/>
    <w:rsid w:val="00B80EE1"/>
    <w:rsid w:val="00B84135"/>
    <w:rsid w:val="00B8589D"/>
    <w:rsid w:val="00BB653C"/>
    <w:rsid w:val="00BC3BFA"/>
    <w:rsid w:val="00BC6407"/>
    <w:rsid w:val="00BC694F"/>
    <w:rsid w:val="00BD6D2E"/>
    <w:rsid w:val="00BE2D94"/>
    <w:rsid w:val="00C04D34"/>
    <w:rsid w:val="00C05DF8"/>
    <w:rsid w:val="00C06864"/>
    <w:rsid w:val="00C10F54"/>
    <w:rsid w:val="00C21BAC"/>
    <w:rsid w:val="00C23D8D"/>
    <w:rsid w:val="00C24A20"/>
    <w:rsid w:val="00C26DF5"/>
    <w:rsid w:val="00C27C30"/>
    <w:rsid w:val="00C3670A"/>
    <w:rsid w:val="00C37AA3"/>
    <w:rsid w:val="00C37FD7"/>
    <w:rsid w:val="00C43419"/>
    <w:rsid w:val="00C44CF3"/>
    <w:rsid w:val="00C46B60"/>
    <w:rsid w:val="00C60338"/>
    <w:rsid w:val="00C61BE0"/>
    <w:rsid w:val="00C6707E"/>
    <w:rsid w:val="00C7038B"/>
    <w:rsid w:val="00C70B0E"/>
    <w:rsid w:val="00C70EE6"/>
    <w:rsid w:val="00C71C32"/>
    <w:rsid w:val="00C773CA"/>
    <w:rsid w:val="00C83785"/>
    <w:rsid w:val="00C850E8"/>
    <w:rsid w:val="00C94C0D"/>
    <w:rsid w:val="00CA1FEB"/>
    <w:rsid w:val="00CC04A7"/>
    <w:rsid w:val="00CD4F85"/>
    <w:rsid w:val="00CD52AA"/>
    <w:rsid w:val="00CD6F02"/>
    <w:rsid w:val="00CE246D"/>
    <w:rsid w:val="00CE3F74"/>
    <w:rsid w:val="00CF07A0"/>
    <w:rsid w:val="00CF0938"/>
    <w:rsid w:val="00CF3E03"/>
    <w:rsid w:val="00D0082A"/>
    <w:rsid w:val="00D02763"/>
    <w:rsid w:val="00D21455"/>
    <w:rsid w:val="00D31718"/>
    <w:rsid w:val="00D47634"/>
    <w:rsid w:val="00D4787C"/>
    <w:rsid w:val="00D54533"/>
    <w:rsid w:val="00D5548F"/>
    <w:rsid w:val="00D63029"/>
    <w:rsid w:val="00D709B3"/>
    <w:rsid w:val="00D75D3B"/>
    <w:rsid w:val="00D87D65"/>
    <w:rsid w:val="00D93573"/>
    <w:rsid w:val="00D93E45"/>
    <w:rsid w:val="00D95CF0"/>
    <w:rsid w:val="00DA2ED6"/>
    <w:rsid w:val="00DB76B8"/>
    <w:rsid w:val="00DC2EA1"/>
    <w:rsid w:val="00DC6955"/>
    <w:rsid w:val="00DD6AAF"/>
    <w:rsid w:val="00DE3F5C"/>
    <w:rsid w:val="00DF1D20"/>
    <w:rsid w:val="00DF3911"/>
    <w:rsid w:val="00DF4A3D"/>
    <w:rsid w:val="00E110B2"/>
    <w:rsid w:val="00E17387"/>
    <w:rsid w:val="00E21324"/>
    <w:rsid w:val="00E246B9"/>
    <w:rsid w:val="00E31FEA"/>
    <w:rsid w:val="00E45169"/>
    <w:rsid w:val="00E454C0"/>
    <w:rsid w:val="00E47787"/>
    <w:rsid w:val="00E51C30"/>
    <w:rsid w:val="00E56B0B"/>
    <w:rsid w:val="00E64180"/>
    <w:rsid w:val="00E74AEE"/>
    <w:rsid w:val="00E868E5"/>
    <w:rsid w:val="00E87BB0"/>
    <w:rsid w:val="00E9237A"/>
    <w:rsid w:val="00E939FA"/>
    <w:rsid w:val="00E97E8A"/>
    <w:rsid w:val="00EA33AC"/>
    <w:rsid w:val="00EA5765"/>
    <w:rsid w:val="00EC2532"/>
    <w:rsid w:val="00ED4E48"/>
    <w:rsid w:val="00ED7812"/>
    <w:rsid w:val="00ED781D"/>
    <w:rsid w:val="00EF3B86"/>
    <w:rsid w:val="00F1097F"/>
    <w:rsid w:val="00F112ED"/>
    <w:rsid w:val="00F30D6A"/>
    <w:rsid w:val="00F317E9"/>
    <w:rsid w:val="00F34554"/>
    <w:rsid w:val="00F3778F"/>
    <w:rsid w:val="00F45F77"/>
    <w:rsid w:val="00F5167F"/>
    <w:rsid w:val="00F52258"/>
    <w:rsid w:val="00F5441C"/>
    <w:rsid w:val="00F55988"/>
    <w:rsid w:val="00F71376"/>
    <w:rsid w:val="00F83A2F"/>
    <w:rsid w:val="00F8570A"/>
    <w:rsid w:val="00F91C7B"/>
    <w:rsid w:val="00F94D24"/>
    <w:rsid w:val="00FA39D1"/>
    <w:rsid w:val="00FB0E7F"/>
    <w:rsid w:val="00FB6655"/>
    <w:rsid w:val="00FD0ED0"/>
    <w:rsid w:val="00FD1FA1"/>
    <w:rsid w:val="00FD7E24"/>
    <w:rsid w:val="00FE5C36"/>
    <w:rsid w:val="00FF1DFC"/>
    <w:rsid w:val="00FF3DF0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145818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33E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33E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833E38"/>
    <w:pPr>
      <w:widowControl w:val="0"/>
      <w:autoSpaceDE w:val="0"/>
      <w:autoSpaceDN w:val="0"/>
      <w:ind w:left="232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33E38"/>
    <w:rPr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833E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833E3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61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787C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94D2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hyperlink" Target="http://dailymed.nlm.nih.gov/dailymed/drugInfo.cfm?setid=de6fb917-a94a-41ea-9d7d-937d4080ffcd&amp;audience=consumer&amp;footnote-40" TargetMode="External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hyperlink" Target="http://dailymed.nlm.nih.gov/dailymed/drugInfo.cfm?setid=de6fb917-a94a-41ea-9d7d-937d4080ffcd&amp;audience=consumer&amp;footnote-32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yperlink" Target="https://primaryreporting.who-umc.org/ME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image" Target="media/image3.jpeg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D4AE1-FD84-4B2D-9D70-333BD4A4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26</Pages>
  <Words>11042</Words>
  <Characters>68885</Characters>
  <Application>Microsoft Office Word</Application>
  <DocSecurity>0</DocSecurity>
  <Lines>574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79768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JANKOVIC Andjela</cp:lastModifiedBy>
  <cp:revision>21</cp:revision>
  <dcterms:created xsi:type="dcterms:W3CDTF">2024-02-06T07:18:00Z</dcterms:created>
  <dcterms:modified xsi:type="dcterms:W3CDTF">2024-02-13T12:21:00Z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