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0177FB" w:rsidRDefault="001A5518" w:rsidP="001B4E43">
      <w:pPr>
        <w:jc w:val="both"/>
        <w:rPr>
          <w:bCs/>
          <w:iCs/>
          <w:sz w:val="22"/>
          <w:szCs w:val="22"/>
          <w:lang w:val="sr-Latn-ME"/>
        </w:rPr>
      </w:pPr>
    </w:p>
    <w:p w:rsidR="00F91C7B" w:rsidRPr="000177FB" w:rsidRDefault="00F91C7B" w:rsidP="001B4E43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2510A5" w:rsidRPr="000177FB" w:rsidRDefault="002510A5" w:rsidP="00564EAA">
      <w:pPr>
        <w:jc w:val="center"/>
        <w:rPr>
          <w:b/>
          <w:bCs/>
          <w:iCs/>
          <w:sz w:val="22"/>
          <w:szCs w:val="22"/>
          <w:lang w:val="sr-Latn-ME"/>
        </w:rPr>
      </w:pPr>
      <w:r w:rsidRPr="000177FB">
        <w:rPr>
          <w:b/>
          <w:bCs/>
          <w:iCs/>
          <w:sz w:val="22"/>
          <w:szCs w:val="22"/>
          <w:lang w:val="sr-Latn-ME"/>
        </w:rPr>
        <w:t>SAŽETAK KARAKTERISTIKA LIJEKA</w:t>
      </w:r>
    </w:p>
    <w:p w:rsidR="002510A5" w:rsidRPr="000177FB" w:rsidRDefault="002510A5" w:rsidP="001B4E43">
      <w:pPr>
        <w:jc w:val="both"/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C37FD7" w:rsidRPr="000177FB" w:rsidRDefault="00C37FD7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0177FB" w:rsidRDefault="00411B4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>1.</w:t>
      </w:r>
      <w:r w:rsidR="00F5167F" w:rsidRPr="000177FB">
        <w:rPr>
          <w:b/>
          <w:bCs/>
          <w:sz w:val="22"/>
          <w:szCs w:val="22"/>
          <w:lang w:val="sr-Latn-ME"/>
        </w:rPr>
        <w:tab/>
      </w:r>
      <w:r w:rsidR="002846DB" w:rsidRPr="000177FB">
        <w:rPr>
          <w:b/>
          <w:bCs/>
          <w:sz w:val="22"/>
          <w:szCs w:val="22"/>
          <w:lang w:val="sr-Latn-ME"/>
        </w:rPr>
        <w:t xml:space="preserve">NAZIV </w:t>
      </w:r>
      <w:r w:rsidRPr="000177FB">
        <w:rPr>
          <w:b/>
          <w:bCs/>
          <w:sz w:val="22"/>
          <w:szCs w:val="22"/>
          <w:lang w:val="sr-Latn-ME"/>
        </w:rPr>
        <w:t>LIJEKA</w:t>
      </w:r>
    </w:p>
    <w:p w:rsidR="00EC2532" w:rsidRPr="000177FB" w:rsidRDefault="00EC2532" w:rsidP="001B4E43">
      <w:pPr>
        <w:jc w:val="both"/>
        <w:rPr>
          <w:sz w:val="22"/>
          <w:szCs w:val="22"/>
          <w:lang w:val="sr-Latn-ME"/>
        </w:rPr>
      </w:pPr>
    </w:p>
    <w:p w:rsidR="00580283" w:rsidRPr="000177FB" w:rsidRDefault="00D30EFF" w:rsidP="001B4E43">
      <w:p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LODIX 40 mg tablet</w:t>
      </w:r>
      <w:r w:rsidR="00E07E54" w:rsidRPr="000177FB">
        <w:rPr>
          <w:sz w:val="22"/>
          <w:szCs w:val="22"/>
          <w:lang w:val="sr-Latn-ME"/>
        </w:rPr>
        <w:t>a</w:t>
      </w:r>
    </w:p>
    <w:p w:rsidR="00580283" w:rsidRPr="000177FB" w:rsidRDefault="00580283" w:rsidP="001B4E43">
      <w:pPr>
        <w:jc w:val="both"/>
        <w:rPr>
          <w:sz w:val="22"/>
          <w:szCs w:val="22"/>
          <w:lang w:val="sr-Latn-ME"/>
        </w:rPr>
      </w:pPr>
    </w:p>
    <w:p w:rsidR="006D20A5" w:rsidRPr="000177FB" w:rsidRDefault="006D20A5" w:rsidP="001B4E43">
      <w:p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INN:</w:t>
      </w:r>
      <w:r w:rsidR="00580283" w:rsidRPr="000177FB">
        <w:rPr>
          <w:sz w:val="22"/>
          <w:szCs w:val="22"/>
          <w:lang w:val="sr-Latn-ME"/>
        </w:rPr>
        <w:t xml:space="preserve"> </w:t>
      </w:r>
      <w:proofErr w:type="spellStart"/>
      <w:r w:rsidR="00D30EFF" w:rsidRPr="000177FB">
        <w:rPr>
          <w:sz w:val="22"/>
          <w:szCs w:val="22"/>
          <w:lang w:val="sr-Latn-ME"/>
        </w:rPr>
        <w:t>furosemid</w:t>
      </w:r>
      <w:proofErr w:type="spellEnd"/>
    </w:p>
    <w:p w:rsidR="00530BD7" w:rsidRPr="000177FB" w:rsidRDefault="00530BD7" w:rsidP="001B4E43">
      <w:pPr>
        <w:jc w:val="both"/>
        <w:rPr>
          <w:bCs/>
          <w:sz w:val="22"/>
          <w:szCs w:val="22"/>
          <w:lang w:val="sr-Latn-ME"/>
        </w:rPr>
      </w:pPr>
    </w:p>
    <w:p w:rsidR="00E07E54" w:rsidRPr="000177FB" w:rsidRDefault="00E07E54" w:rsidP="001B4E43">
      <w:pPr>
        <w:jc w:val="both"/>
        <w:rPr>
          <w:bCs/>
          <w:sz w:val="22"/>
          <w:szCs w:val="22"/>
          <w:lang w:val="sr-Latn-ME"/>
        </w:rPr>
      </w:pPr>
    </w:p>
    <w:p w:rsidR="00411B4B" w:rsidRPr="000177FB" w:rsidRDefault="00411B4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2. </w:t>
      </w:r>
      <w:r w:rsidR="00F5167F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KVALITATIVNI I KVANTITATIVNI SASTAV</w:t>
      </w:r>
    </w:p>
    <w:p w:rsidR="005A0B2E" w:rsidRPr="000177FB" w:rsidRDefault="005A0B2E" w:rsidP="001B4E43">
      <w:pPr>
        <w:jc w:val="both"/>
        <w:rPr>
          <w:sz w:val="22"/>
          <w:szCs w:val="22"/>
          <w:lang w:val="sr-Latn-ME"/>
        </w:rPr>
      </w:pPr>
    </w:p>
    <w:p w:rsidR="00580283" w:rsidRPr="000177FB" w:rsidRDefault="00D30EFF" w:rsidP="001B4E43">
      <w:pPr>
        <w:ind w:right="-74"/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Jedna tableta sadrži </w:t>
      </w:r>
      <w:r w:rsidR="00E07E54" w:rsidRPr="000177FB">
        <w:rPr>
          <w:sz w:val="22"/>
          <w:szCs w:val="22"/>
          <w:lang w:val="sr-Latn-ME"/>
        </w:rPr>
        <w:t xml:space="preserve">40 mg </w:t>
      </w:r>
      <w:proofErr w:type="spellStart"/>
      <w:r w:rsidRPr="000177FB">
        <w:rPr>
          <w:sz w:val="22"/>
          <w:szCs w:val="22"/>
          <w:lang w:val="sr-Latn-ME"/>
        </w:rPr>
        <w:t>furosemida</w:t>
      </w:r>
      <w:proofErr w:type="spellEnd"/>
      <w:r w:rsidRPr="000177FB">
        <w:rPr>
          <w:sz w:val="22"/>
          <w:szCs w:val="22"/>
          <w:lang w:val="sr-Latn-ME"/>
        </w:rPr>
        <w:t>.</w:t>
      </w:r>
    </w:p>
    <w:p w:rsidR="00E07E54" w:rsidRPr="000177FB" w:rsidRDefault="00E07E54" w:rsidP="001B4E43">
      <w:pPr>
        <w:jc w:val="both"/>
        <w:rPr>
          <w:sz w:val="22"/>
          <w:szCs w:val="22"/>
          <w:lang w:val="sr-Latn-ME"/>
        </w:rPr>
      </w:pPr>
    </w:p>
    <w:p w:rsidR="00580283" w:rsidRPr="000177FB" w:rsidRDefault="00580283" w:rsidP="001B4E43">
      <w:p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Pomoćn</w:t>
      </w:r>
      <w:r w:rsidR="00E07E54" w:rsidRPr="000177FB">
        <w:rPr>
          <w:sz w:val="22"/>
          <w:szCs w:val="22"/>
          <w:lang w:val="sr-Latn-ME"/>
        </w:rPr>
        <w:t>a</w:t>
      </w:r>
      <w:r w:rsidRPr="000177FB">
        <w:rPr>
          <w:sz w:val="22"/>
          <w:szCs w:val="22"/>
          <w:lang w:val="sr-Latn-ME"/>
        </w:rPr>
        <w:t xml:space="preserve"> supstanc</w:t>
      </w:r>
      <w:r w:rsidR="00E07E54" w:rsidRPr="000177FB">
        <w:rPr>
          <w:sz w:val="22"/>
          <w:szCs w:val="22"/>
          <w:lang w:val="sr-Latn-ME"/>
        </w:rPr>
        <w:t>a</w:t>
      </w:r>
      <w:r w:rsidRPr="000177FB">
        <w:rPr>
          <w:sz w:val="22"/>
          <w:szCs w:val="22"/>
          <w:lang w:val="sr-Latn-ME"/>
        </w:rPr>
        <w:t xml:space="preserve"> </w:t>
      </w:r>
      <w:r w:rsidR="00D30EFF" w:rsidRPr="000177FB">
        <w:rPr>
          <w:sz w:val="22"/>
          <w:szCs w:val="22"/>
          <w:lang w:val="sr-Latn-ME"/>
        </w:rPr>
        <w:t>s</w:t>
      </w:r>
      <w:r w:rsidR="00E07E54" w:rsidRPr="000177FB">
        <w:rPr>
          <w:sz w:val="22"/>
          <w:szCs w:val="22"/>
          <w:lang w:val="sr-Latn-ME"/>
        </w:rPr>
        <w:t>a</w:t>
      </w:r>
      <w:r w:rsidR="00D30EFF" w:rsidRPr="000177FB">
        <w:rPr>
          <w:sz w:val="22"/>
          <w:szCs w:val="22"/>
          <w:lang w:val="sr-Latn-ME"/>
        </w:rPr>
        <w:t xml:space="preserve"> </w:t>
      </w:r>
      <w:r w:rsidR="00E07E54" w:rsidRPr="000177FB">
        <w:rPr>
          <w:sz w:val="22"/>
          <w:szCs w:val="22"/>
          <w:lang w:val="sr-Latn-ME"/>
        </w:rPr>
        <w:t>potvrđenim dejstvom</w:t>
      </w:r>
      <w:r w:rsidR="00D30EFF" w:rsidRPr="000177FB">
        <w:rPr>
          <w:sz w:val="22"/>
          <w:szCs w:val="22"/>
          <w:lang w:val="sr-Latn-ME"/>
        </w:rPr>
        <w:t xml:space="preserve">: laktoza, </w:t>
      </w:r>
      <w:proofErr w:type="spellStart"/>
      <w:r w:rsidR="00D30EFF" w:rsidRPr="000177FB">
        <w:rPr>
          <w:sz w:val="22"/>
          <w:szCs w:val="22"/>
          <w:lang w:val="sr-Latn-ME"/>
        </w:rPr>
        <w:t>monohidrat</w:t>
      </w:r>
      <w:proofErr w:type="spellEnd"/>
      <w:r w:rsidR="00D30EFF" w:rsidRPr="000177FB">
        <w:rPr>
          <w:sz w:val="22"/>
          <w:szCs w:val="22"/>
          <w:lang w:val="sr-Latn-ME"/>
        </w:rPr>
        <w:t>.</w:t>
      </w:r>
    </w:p>
    <w:p w:rsidR="00E07E54" w:rsidRPr="000177FB" w:rsidRDefault="00E07E54" w:rsidP="001B4E43">
      <w:pPr>
        <w:jc w:val="both"/>
        <w:rPr>
          <w:sz w:val="22"/>
          <w:szCs w:val="22"/>
          <w:lang w:val="sr-Latn-ME"/>
        </w:rPr>
      </w:pPr>
    </w:p>
    <w:p w:rsidR="0003793F" w:rsidRPr="000177FB" w:rsidRDefault="0003793F" w:rsidP="001B4E43">
      <w:p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Za spisak svih </w:t>
      </w:r>
      <w:proofErr w:type="spellStart"/>
      <w:r w:rsidRPr="000177FB">
        <w:rPr>
          <w:sz w:val="22"/>
          <w:szCs w:val="22"/>
          <w:lang w:val="sr-Latn-ME"/>
        </w:rPr>
        <w:t>ekscipijenasa</w:t>
      </w:r>
      <w:proofErr w:type="spellEnd"/>
      <w:r w:rsidRPr="000177FB">
        <w:rPr>
          <w:sz w:val="22"/>
          <w:szCs w:val="22"/>
          <w:lang w:val="sr-Latn-ME"/>
        </w:rPr>
        <w:t>, pogledati dio 6.1.</w:t>
      </w:r>
    </w:p>
    <w:p w:rsidR="00C37FD7" w:rsidRPr="000177FB" w:rsidRDefault="00C37FD7" w:rsidP="001B4E43">
      <w:pPr>
        <w:jc w:val="both"/>
        <w:rPr>
          <w:sz w:val="22"/>
          <w:szCs w:val="22"/>
          <w:lang w:val="sr-Latn-ME"/>
        </w:rPr>
      </w:pPr>
    </w:p>
    <w:p w:rsidR="00E07E54" w:rsidRPr="000177FB" w:rsidRDefault="00E07E54" w:rsidP="001B4E43">
      <w:pPr>
        <w:jc w:val="both"/>
        <w:rPr>
          <w:sz w:val="22"/>
          <w:szCs w:val="22"/>
          <w:lang w:val="sr-Latn-ME"/>
        </w:rPr>
      </w:pPr>
    </w:p>
    <w:p w:rsidR="00411B4B" w:rsidRPr="000177FB" w:rsidRDefault="00411B4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3. </w:t>
      </w:r>
      <w:r w:rsidR="00F5167F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FARMACEUTSKI OBLIK</w:t>
      </w:r>
      <w:r w:rsidR="009F2D23" w:rsidRPr="000177FB">
        <w:rPr>
          <w:b/>
          <w:bCs/>
          <w:sz w:val="22"/>
          <w:szCs w:val="22"/>
          <w:lang w:val="sr-Latn-ME"/>
        </w:rPr>
        <w:t xml:space="preserve"> </w:t>
      </w:r>
    </w:p>
    <w:p w:rsidR="00411B4B" w:rsidRPr="000177FB" w:rsidRDefault="00411B4B" w:rsidP="001B4E43">
      <w:pPr>
        <w:jc w:val="both"/>
        <w:rPr>
          <w:bCs/>
          <w:sz w:val="22"/>
          <w:szCs w:val="22"/>
          <w:lang w:val="sr-Latn-ME"/>
        </w:rPr>
      </w:pPr>
    </w:p>
    <w:p w:rsidR="00D30EFF" w:rsidRPr="000177FB" w:rsidRDefault="00D30EFF" w:rsidP="001B4E43">
      <w:p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Tableta.</w:t>
      </w:r>
    </w:p>
    <w:p w:rsidR="00E07E54" w:rsidRPr="000177FB" w:rsidRDefault="00E07E54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7D2308" w:rsidRPr="000177FB" w:rsidRDefault="00E07E54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Tableta je b</w:t>
      </w:r>
      <w:r w:rsidR="007D2308" w:rsidRPr="000177FB">
        <w:rPr>
          <w:sz w:val="22"/>
          <w:szCs w:val="22"/>
          <w:lang w:val="sr-Latn-ME"/>
        </w:rPr>
        <w:t xml:space="preserve">ijele boje, okruglog oblika, ravnih površina, s utisnutom </w:t>
      </w:r>
      <w:proofErr w:type="spellStart"/>
      <w:r w:rsidR="007D2308" w:rsidRPr="000177FB">
        <w:rPr>
          <w:sz w:val="22"/>
          <w:szCs w:val="22"/>
          <w:lang w:val="sr-Latn-ME"/>
        </w:rPr>
        <w:t>pod</w:t>
      </w:r>
      <w:r w:rsidR="00AA3A69" w:rsidRPr="000177FB">
        <w:rPr>
          <w:sz w:val="22"/>
          <w:szCs w:val="22"/>
          <w:lang w:val="sr-Latn-ME"/>
        </w:rPr>
        <w:t>i</w:t>
      </w:r>
      <w:r w:rsidR="007D2308" w:rsidRPr="000177FB">
        <w:rPr>
          <w:sz w:val="22"/>
          <w:szCs w:val="22"/>
          <w:lang w:val="sr-Latn-ME"/>
        </w:rPr>
        <w:t>onom</w:t>
      </w:r>
      <w:proofErr w:type="spellEnd"/>
      <w:r w:rsidR="007D2308" w:rsidRPr="000177FB">
        <w:rPr>
          <w:sz w:val="22"/>
          <w:szCs w:val="22"/>
          <w:lang w:val="sr-Latn-ME"/>
        </w:rPr>
        <w:t xml:space="preserve"> crtom </w:t>
      </w:r>
      <w:r w:rsidRPr="000177FB">
        <w:rPr>
          <w:sz w:val="22"/>
          <w:szCs w:val="22"/>
          <w:lang w:val="sr-Latn-ME"/>
        </w:rPr>
        <w:t>na sredini tablete</w:t>
      </w:r>
      <w:r w:rsidR="007D2308" w:rsidRPr="000177FB">
        <w:rPr>
          <w:sz w:val="22"/>
          <w:szCs w:val="22"/>
          <w:lang w:val="sr-Latn-ME"/>
        </w:rPr>
        <w:t>.</w:t>
      </w:r>
    </w:p>
    <w:p w:rsidR="00E07E54" w:rsidRPr="000177FB" w:rsidRDefault="00E07E54" w:rsidP="001B4E43">
      <w:pPr>
        <w:jc w:val="both"/>
        <w:rPr>
          <w:sz w:val="22"/>
          <w:szCs w:val="22"/>
          <w:lang w:val="sr-Latn-ME"/>
        </w:rPr>
      </w:pPr>
    </w:p>
    <w:p w:rsidR="00D30EFF" w:rsidRPr="000177FB" w:rsidRDefault="00D30EFF" w:rsidP="001B4E43">
      <w:p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Tableta se može podijeliti na jednake doze.</w:t>
      </w:r>
    </w:p>
    <w:p w:rsidR="0046558D" w:rsidRPr="000177FB" w:rsidRDefault="0046558D" w:rsidP="001B4E43">
      <w:pPr>
        <w:jc w:val="both"/>
        <w:rPr>
          <w:sz w:val="22"/>
          <w:szCs w:val="22"/>
          <w:lang w:val="sr-Latn-ME"/>
        </w:rPr>
      </w:pPr>
    </w:p>
    <w:p w:rsidR="00EC2532" w:rsidRPr="000177FB" w:rsidRDefault="00EC2532" w:rsidP="001B4E43">
      <w:pPr>
        <w:jc w:val="both"/>
        <w:rPr>
          <w:bCs/>
          <w:sz w:val="22"/>
          <w:szCs w:val="22"/>
          <w:lang w:val="sr-Latn-ME"/>
        </w:rPr>
      </w:pPr>
    </w:p>
    <w:p w:rsidR="00411B4B" w:rsidRPr="000177FB" w:rsidRDefault="00411B4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4.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KLINIČKI PODACI</w:t>
      </w:r>
    </w:p>
    <w:p w:rsidR="00CD6F02" w:rsidRPr="000177FB" w:rsidRDefault="00CD6F02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0177FB" w:rsidRDefault="00411B4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4.1.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Terapijske indikacije</w:t>
      </w:r>
    </w:p>
    <w:p w:rsidR="0046558D" w:rsidRPr="000177FB" w:rsidRDefault="0046558D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4E33F7" w:rsidRPr="000177FB" w:rsidRDefault="004E33F7" w:rsidP="001B4E43">
      <w:pPr>
        <w:tabs>
          <w:tab w:val="left" w:pos="540"/>
          <w:tab w:val="left" w:pos="569"/>
        </w:tabs>
        <w:ind w:left="426"/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 xml:space="preserve">- </w:t>
      </w:r>
      <w:proofErr w:type="spellStart"/>
      <w:r w:rsidRPr="000177FB">
        <w:rPr>
          <w:bCs/>
          <w:sz w:val="22"/>
          <w:szCs w:val="22"/>
          <w:lang w:val="sr-Latn-ME"/>
        </w:rPr>
        <w:t>Edem</w:t>
      </w:r>
      <w:proofErr w:type="spellEnd"/>
      <w:r w:rsidRPr="000177FB">
        <w:rPr>
          <w:bCs/>
          <w:sz w:val="22"/>
          <w:szCs w:val="22"/>
          <w:lang w:val="sr-Latn-ME"/>
        </w:rPr>
        <w:t xml:space="preserve"> zbog bolesti srca ili jetre.</w:t>
      </w:r>
    </w:p>
    <w:p w:rsidR="004E33F7" w:rsidRPr="000177FB" w:rsidRDefault="004E33F7" w:rsidP="001B4E43">
      <w:pPr>
        <w:tabs>
          <w:tab w:val="left" w:pos="540"/>
          <w:tab w:val="left" w:pos="569"/>
        </w:tabs>
        <w:ind w:left="426"/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 xml:space="preserve">- </w:t>
      </w:r>
      <w:proofErr w:type="spellStart"/>
      <w:r w:rsidRPr="000177FB">
        <w:rPr>
          <w:bCs/>
          <w:sz w:val="22"/>
          <w:szCs w:val="22"/>
          <w:lang w:val="sr-Latn-ME"/>
        </w:rPr>
        <w:t>Edem</w:t>
      </w:r>
      <w:proofErr w:type="spellEnd"/>
      <w:r w:rsidRPr="000177FB">
        <w:rPr>
          <w:bCs/>
          <w:sz w:val="22"/>
          <w:szCs w:val="22"/>
          <w:lang w:val="sr-Latn-ME"/>
        </w:rPr>
        <w:t xml:space="preserve"> zbog bolesti bubrega (liječenje osnovne bolesti mora biti prioritet u slučaju </w:t>
      </w:r>
      <w:proofErr w:type="spellStart"/>
      <w:r w:rsidRPr="000177FB">
        <w:rPr>
          <w:bCs/>
          <w:sz w:val="22"/>
          <w:szCs w:val="22"/>
          <w:lang w:val="sr-Latn-ME"/>
        </w:rPr>
        <w:t>nefrotskog</w:t>
      </w:r>
      <w:proofErr w:type="spellEnd"/>
      <w:r w:rsidRPr="000177FB">
        <w:rPr>
          <w:bCs/>
          <w:sz w:val="22"/>
          <w:szCs w:val="22"/>
          <w:lang w:val="sr-Latn-ME"/>
        </w:rPr>
        <w:t xml:space="preserve"> sindroma).</w:t>
      </w:r>
    </w:p>
    <w:p w:rsidR="00D30EFF" w:rsidRPr="000177FB" w:rsidRDefault="004E33F7" w:rsidP="001B4E43">
      <w:pPr>
        <w:tabs>
          <w:tab w:val="left" w:pos="540"/>
          <w:tab w:val="left" w:pos="569"/>
        </w:tabs>
        <w:ind w:left="360"/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>- Arterijska hipertenzija.</w:t>
      </w:r>
    </w:p>
    <w:p w:rsidR="0028467B" w:rsidRPr="000177FB" w:rsidRDefault="0028467B" w:rsidP="001B4E43">
      <w:pPr>
        <w:tabs>
          <w:tab w:val="left" w:pos="540"/>
          <w:tab w:val="left" w:pos="569"/>
        </w:tabs>
        <w:ind w:left="360"/>
        <w:jc w:val="both"/>
        <w:rPr>
          <w:bCs/>
          <w:sz w:val="22"/>
          <w:szCs w:val="22"/>
          <w:lang w:val="sr-Latn-ME"/>
        </w:rPr>
      </w:pPr>
    </w:p>
    <w:p w:rsidR="00411B4B" w:rsidRPr="000177FB" w:rsidRDefault="00411B4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4.2.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Doziranje i način primjene</w:t>
      </w:r>
    </w:p>
    <w:p w:rsidR="0046558D" w:rsidRPr="000177FB" w:rsidRDefault="0046558D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 xml:space="preserve">Dozu treba odrediti za svakog pojedinog </w:t>
      </w:r>
      <w:r w:rsidR="00217F9F" w:rsidRPr="000177FB">
        <w:rPr>
          <w:bCs/>
          <w:sz w:val="22"/>
          <w:szCs w:val="22"/>
          <w:lang w:val="sr-Latn-ME"/>
        </w:rPr>
        <w:t>pacijenta</w:t>
      </w:r>
      <w:r w:rsidRPr="000177FB">
        <w:rPr>
          <w:bCs/>
          <w:sz w:val="22"/>
          <w:szCs w:val="22"/>
          <w:lang w:val="sr-Latn-ME"/>
        </w:rPr>
        <w:t xml:space="preserve">, </w:t>
      </w:r>
      <w:r w:rsidR="00217F9F" w:rsidRPr="000177FB">
        <w:rPr>
          <w:bCs/>
          <w:sz w:val="22"/>
          <w:szCs w:val="22"/>
          <w:lang w:val="sr-Latn-ME"/>
        </w:rPr>
        <w:t>naročito</w:t>
      </w:r>
      <w:r w:rsidRPr="000177FB">
        <w:rPr>
          <w:bCs/>
          <w:sz w:val="22"/>
          <w:szCs w:val="22"/>
          <w:lang w:val="sr-Latn-ME"/>
        </w:rPr>
        <w:t xml:space="preserve"> s</w:t>
      </w:r>
      <w:r w:rsidR="00217F9F" w:rsidRPr="000177FB">
        <w:rPr>
          <w:bCs/>
          <w:sz w:val="22"/>
          <w:szCs w:val="22"/>
          <w:lang w:val="sr-Latn-ME"/>
        </w:rPr>
        <w:t>a</w:t>
      </w:r>
      <w:r w:rsidRPr="000177FB">
        <w:rPr>
          <w:bCs/>
          <w:sz w:val="22"/>
          <w:szCs w:val="22"/>
          <w:lang w:val="sr-Latn-ME"/>
        </w:rPr>
        <w:t xml:space="preserve"> aspekta terapijskoga </w:t>
      </w:r>
      <w:r w:rsidR="00217F9F" w:rsidRPr="000177FB">
        <w:rPr>
          <w:bCs/>
          <w:sz w:val="22"/>
          <w:szCs w:val="22"/>
          <w:lang w:val="sr-Latn-ME"/>
        </w:rPr>
        <w:t>efekta</w:t>
      </w:r>
      <w:r w:rsidRPr="000177FB">
        <w:rPr>
          <w:bCs/>
          <w:sz w:val="22"/>
          <w:szCs w:val="22"/>
          <w:lang w:val="sr-Latn-ME"/>
        </w:rPr>
        <w:t xml:space="preserve">. Uvijek treba propisati najmanju dozu koja će dati željeni </w:t>
      </w:r>
      <w:r w:rsidR="00217F9F" w:rsidRPr="000177FB">
        <w:rPr>
          <w:bCs/>
          <w:sz w:val="22"/>
          <w:szCs w:val="22"/>
          <w:lang w:val="sr-Latn-ME"/>
        </w:rPr>
        <w:t>efekat</w:t>
      </w:r>
      <w:r w:rsidRPr="000177FB">
        <w:rPr>
          <w:bCs/>
          <w:sz w:val="22"/>
          <w:szCs w:val="22"/>
          <w:lang w:val="sr-Latn-ME"/>
        </w:rPr>
        <w:t>.</w:t>
      </w:r>
    </w:p>
    <w:p w:rsidR="00217F9F" w:rsidRPr="000177FB" w:rsidRDefault="00217F9F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8469B" w:rsidRPr="000177FB" w:rsidRDefault="00217F9F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>Za odrasle se preporučuju dol</w:t>
      </w:r>
      <w:r w:rsidR="00C6462C" w:rsidRPr="000177FB">
        <w:rPr>
          <w:bCs/>
          <w:sz w:val="22"/>
          <w:szCs w:val="22"/>
          <w:lang w:val="sr-Latn-ME"/>
        </w:rPr>
        <w:t>j</w:t>
      </w:r>
      <w:r w:rsidR="0058469B" w:rsidRPr="000177FB">
        <w:rPr>
          <w:bCs/>
          <w:sz w:val="22"/>
          <w:szCs w:val="22"/>
          <w:lang w:val="sr-Latn-ME"/>
        </w:rPr>
        <w:t>e navedene doze.</w:t>
      </w:r>
    </w:p>
    <w:p w:rsidR="00217F9F" w:rsidRPr="000177FB" w:rsidRDefault="00217F9F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177FB">
        <w:rPr>
          <w:bCs/>
          <w:sz w:val="22"/>
          <w:szCs w:val="22"/>
          <w:u w:val="single"/>
          <w:lang w:val="sr-Latn-ME"/>
        </w:rPr>
        <w:t>Doziranje</w:t>
      </w:r>
    </w:p>
    <w:p w:rsidR="00217F9F" w:rsidRPr="000177FB" w:rsidRDefault="00217F9F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0177FB">
        <w:rPr>
          <w:bCs/>
          <w:i/>
          <w:sz w:val="22"/>
          <w:szCs w:val="22"/>
          <w:lang w:val="sr-Latn-ME"/>
        </w:rPr>
        <w:t>Edem</w:t>
      </w:r>
      <w:proofErr w:type="spellEnd"/>
      <w:r w:rsidRPr="000177FB">
        <w:rPr>
          <w:bCs/>
          <w:i/>
          <w:sz w:val="22"/>
          <w:szCs w:val="22"/>
          <w:lang w:val="sr-Latn-ME"/>
        </w:rPr>
        <w:t xml:space="preserve"> </w:t>
      </w:r>
      <w:r w:rsidR="00217F9F" w:rsidRPr="000177FB">
        <w:rPr>
          <w:bCs/>
          <w:i/>
          <w:sz w:val="22"/>
          <w:szCs w:val="22"/>
          <w:lang w:val="sr-Latn-ME"/>
        </w:rPr>
        <w:t>zbog</w:t>
      </w:r>
      <w:r w:rsidRPr="000177FB">
        <w:rPr>
          <w:bCs/>
          <w:i/>
          <w:sz w:val="22"/>
          <w:szCs w:val="22"/>
          <w:lang w:val="sr-Latn-ME"/>
        </w:rPr>
        <w:t xml:space="preserve"> bolesti srca ili jetre</w:t>
      </w:r>
    </w:p>
    <w:p w:rsidR="00217F9F" w:rsidRPr="000177FB" w:rsidRDefault="00217F9F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 xml:space="preserve">Početna doza za odrasle obično je 1 tableta </w:t>
      </w:r>
      <w:r w:rsidR="00C6462C" w:rsidRPr="000177FB">
        <w:rPr>
          <w:bCs/>
          <w:sz w:val="22"/>
          <w:szCs w:val="22"/>
          <w:lang w:val="sr-Latn-ME"/>
        </w:rPr>
        <w:t xml:space="preserve">lijeka </w:t>
      </w:r>
      <w:proofErr w:type="spellStart"/>
      <w:r w:rsidR="00217F9F" w:rsidRPr="000177FB">
        <w:rPr>
          <w:bCs/>
          <w:sz w:val="22"/>
          <w:szCs w:val="22"/>
          <w:lang w:val="sr-Latn-ME"/>
        </w:rPr>
        <w:t>Lodix</w:t>
      </w:r>
      <w:proofErr w:type="spellEnd"/>
      <w:r w:rsidRPr="000177FB">
        <w:rPr>
          <w:bCs/>
          <w:sz w:val="22"/>
          <w:szCs w:val="22"/>
          <w:lang w:val="sr-Latn-ME"/>
        </w:rPr>
        <w:t xml:space="preserve"> 40 mg</w:t>
      </w:r>
      <w:r w:rsidR="00217F9F" w:rsidRPr="000177FB">
        <w:rPr>
          <w:bCs/>
          <w:sz w:val="22"/>
          <w:szCs w:val="22"/>
          <w:lang w:val="sr-Latn-ME"/>
        </w:rPr>
        <w:t xml:space="preserve"> tablete</w:t>
      </w:r>
      <w:r w:rsidRPr="000177FB">
        <w:rPr>
          <w:bCs/>
          <w:sz w:val="22"/>
          <w:szCs w:val="22"/>
          <w:lang w:val="sr-Latn-ME"/>
        </w:rPr>
        <w:t xml:space="preserve"> (što odgovara količini od 40 mg </w:t>
      </w:r>
      <w:proofErr w:type="spellStart"/>
      <w:r w:rsidRPr="000177FB">
        <w:rPr>
          <w:bCs/>
          <w:sz w:val="22"/>
          <w:szCs w:val="22"/>
          <w:lang w:val="sr-Latn-ME"/>
        </w:rPr>
        <w:t>furosemida</w:t>
      </w:r>
      <w:proofErr w:type="spellEnd"/>
      <w:r w:rsidRPr="000177FB">
        <w:rPr>
          <w:bCs/>
          <w:sz w:val="22"/>
          <w:szCs w:val="22"/>
          <w:lang w:val="sr-Latn-ME"/>
        </w:rPr>
        <w:t xml:space="preserve">) na dan. Ako se ne postigne očekivana </w:t>
      </w:r>
      <w:proofErr w:type="spellStart"/>
      <w:r w:rsidRPr="000177FB">
        <w:rPr>
          <w:bCs/>
          <w:sz w:val="22"/>
          <w:szCs w:val="22"/>
          <w:lang w:val="sr-Latn-ME"/>
        </w:rPr>
        <w:t>diureza</w:t>
      </w:r>
      <w:proofErr w:type="spellEnd"/>
      <w:r w:rsidRPr="000177FB">
        <w:rPr>
          <w:bCs/>
          <w:sz w:val="22"/>
          <w:szCs w:val="22"/>
          <w:lang w:val="sr-Latn-ME"/>
        </w:rPr>
        <w:t xml:space="preserve">, pojedinačna se doza može udvostručiti nakon 6 sati na 2 tablete (80 mg </w:t>
      </w:r>
      <w:proofErr w:type="spellStart"/>
      <w:r w:rsidRPr="000177FB">
        <w:rPr>
          <w:bCs/>
          <w:sz w:val="22"/>
          <w:szCs w:val="22"/>
          <w:lang w:val="sr-Latn-ME"/>
        </w:rPr>
        <w:t>furosemida</w:t>
      </w:r>
      <w:proofErr w:type="spellEnd"/>
      <w:r w:rsidRPr="000177FB">
        <w:rPr>
          <w:bCs/>
          <w:sz w:val="22"/>
          <w:szCs w:val="22"/>
          <w:lang w:val="sr-Latn-ME"/>
        </w:rPr>
        <w:t xml:space="preserve">). Ako se ni tako ne postigne zadovoljavajuća </w:t>
      </w:r>
      <w:proofErr w:type="spellStart"/>
      <w:r w:rsidRPr="000177FB">
        <w:rPr>
          <w:bCs/>
          <w:sz w:val="22"/>
          <w:szCs w:val="22"/>
          <w:lang w:val="sr-Latn-ME"/>
        </w:rPr>
        <w:t>diureza</w:t>
      </w:r>
      <w:proofErr w:type="spellEnd"/>
      <w:r w:rsidRPr="000177FB">
        <w:rPr>
          <w:bCs/>
          <w:sz w:val="22"/>
          <w:szCs w:val="22"/>
          <w:lang w:val="sr-Latn-ME"/>
        </w:rPr>
        <w:t xml:space="preserve">, mogu se nakon sljedećih 6 sati dati 4 tablete (što odgovara količini od 160 mg </w:t>
      </w:r>
      <w:proofErr w:type="spellStart"/>
      <w:r w:rsidRPr="000177FB">
        <w:rPr>
          <w:bCs/>
          <w:sz w:val="22"/>
          <w:szCs w:val="22"/>
          <w:lang w:val="sr-Latn-ME"/>
        </w:rPr>
        <w:t>furosemida</w:t>
      </w:r>
      <w:proofErr w:type="spellEnd"/>
      <w:r w:rsidRPr="000177FB">
        <w:rPr>
          <w:bCs/>
          <w:sz w:val="22"/>
          <w:szCs w:val="22"/>
          <w:lang w:val="sr-Latn-ME"/>
        </w:rPr>
        <w:t xml:space="preserve">). Ako je to neophodno, u </w:t>
      </w:r>
      <w:r w:rsidR="00217F9F" w:rsidRPr="000177FB">
        <w:rPr>
          <w:bCs/>
          <w:sz w:val="22"/>
          <w:szCs w:val="22"/>
          <w:lang w:val="sr-Latn-ME"/>
        </w:rPr>
        <w:t>posebnim</w:t>
      </w:r>
      <w:r w:rsidRPr="000177FB">
        <w:rPr>
          <w:bCs/>
          <w:sz w:val="22"/>
          <w:szCs w:val="22"/>
          <w:lang w:val="sr-Latn-ME"/>
        </w:rPr>
        <w:t xml:space="preserve"> slučajevima mogu se primijeniti početne doze od </w:t>
      </w:r>
      <w:proofErr w:type="spellStart"/>
      <w:r w:rsidRPr="000177FB">
        <w:rPr>
          <w:bCs/>
          <w:sz w:val="22"/>
          <w:szCs w:val="22"/>
          <w:lang w:val="sr-Latn-ME"/>
        </w:rPr>
        <w:t>preko</w:t>
      </w:r>
      <w:proofErr w:type="spellEnd"/>
      <w:r w:rsidRPr="000177FB">
        <w:rPr>
          <w:bCs/>
          <w:sz w:val="22"/>
          <w:szCs w:val="22"/>
          <w:lang w:val="sr-Latn-ME"/>
        </w:rPr>
        <w:t xml:space="preserve"> 200 mg </w:t>
      </w:r>
      <w:proofErr w:type="spellStart"/>
      <w:r w:rsidRPr="000177FB">
        <w:rPr>
          <w:bCs/>
          <w:sz w:val="22"/>
          <w:szCs w:val="22"/>
          <w:lang w:val="sr-Latn-ME"/>
        </w:rPr>
        <w:t>furosemida</w:t>
      </w:r>
      <w:proofErr w:type="spellEnd"/>
      <w:r w:rsidRPr="000177FB">
        <w:rPr>
          <w:bCs/>
          <w:sz w:val="22"/>
          <w:szCs w:val="22"/>
          <w:lang w:val="sr-Latn-ME"/>
        </w:rPr>
        <w:t xml:space="preserve"> i to pod </w:t>
      </w:r>
      <w:r w:rsidR="001B4E43" w:rsidRPr="000177FB">
        <w:rPr>
          <w:bCs/>
          <w:sz w:val="22"/>
          <w:szCs w:val="22"/>
          <w:lang w:val="sr-Latn-ME"/>
        </w:rPr>
        <w:t>strogim kliničkim</w:t>
      </w:r>
      <w:r w:rsidRPr="000177FB">
        <w:rPr>
          <w:bCs/>
          <w:sz w:val="22"/>
          <w:szCs w:val="22"/>
          <w:lang w:val="sr-Latn-ME"/>
        </w:rPr>
        <w:t xml:space="preserve"> nadzorom.</w:t>
      </w:r>
    </w:p>
    <w:p w:rsidR="00217F9F" w:rsidRPr="000177FB" w:rsidRDefault="00217F9F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lastRenderedPageBreak/>
        <w:t>Dnevna doza održavanja obično iznosi 1 do 2 tablete (što o</w:t>
      </w:r>
      <w:r w:rsidR="00217F9F" w:rsidRPr="000177FB">
        <w:rPr>
          <w:bCs/>
          <w:sz w:val="22"/>
          <w:szCs w:val="22"/>
          <w:lang w:val="sr-Latn-ME"/>
        </w:rPr>
        <w:t xml:space="preserve">dgovara količini od 40 do 80 </w:t>
      </w:r>
      <w:proofErr w:type="spellStart"/>
      <w:r w:rsidRPr="000177FB">
        <w:rPr>
          <w:bCs/>
          <w:sz w:val="22"/>
          <w:szCs w:val="22"/>
          <w:lang w:val="sr-Latn-ME"/>
        </w:rPr>
        <w:t>furosemida</w:t>
      </w:r>
      <w:proofErr w:type="spellEnd"/>
      <w:r w:rsidRPr="000177FB">
        <w:rPr>
          <w:bCs/>
          <w:sz w:val="22"/>
          <w:szCs w:val="22"/>
          <w:lang w:val="sr-Latn-ME"/>
        </w:rPr>
        <w:t>).</w:t>
      </w:r>
    </w:p>
    <w:p w:rsidR="00D30EFF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 xml:space="preserve">Gubitak tjelesne </w:t>
      </w:r>
      <w:r w:rsidR="00C6462C" w:rsidRPr="000177FB">
        <w:rPr>
          <w:bCs/>
          <w:sz w:val="22"/>
          <w:szCs w:val="22"/>
          <w:lang w:val="sr-Latn-ME"/>
        </w:rPr>
        <w:t xml:space="preserve">mase </w:t>
      </w:r>
      <w:r w:rsidRPr="000177FB">
        <w:rPr>
          <w:bCs/>
          <w:sz w:val="22"/>
          <w:szCs w:val="22"/>
          <w:lang w:val="sr-Latn-ME"/>
        </w:rPr>
        <w:t xml:space="preserve">uzrokovan povećanom </w:t>
      </w:r>
      <w:proofErr w:type="spellStart"/>
      <w:r w:rsidRPr="000177FB">
        <w:rPr>
          <w:bCs/>
          <w:sz w:val="22"/>
          <w:szCs w:val="22"/>
          <w:lang w:val="sr-Latn-ME"/>
        </w:rPr>
        <w:t>diurezom</w:t>
      </w:r>
      <w:proofErr w:type="spellEnd"/>
      <w:r w:rsidRPr="000177FB">
        <w:rPr>
          <w:bCs/>
          <w:sz w:val="22"/>
          <w:szCs w:val="22"/>
          <w:lang w:val="sr-Latn-ME"/>
        </w:rPr>
        <w:t xml:space="preserve"> ne bi smio </w:t>
      </w:r>
      <w:r w:rsidR="008F0C12" w:rsidRPr="000177FB">
        <w:rPr>
          <w:bCs/>
          <w:sz w:val="22"/>
          <w:szCs w:val="22"/>
          <w:lang w:val="sr-Latn-ME"/>
        </w:rPr>
        <w:t xml:space="preserve">da bude </w:t>
      </w:r>
      <w:r w:rsidRPr="000177FB">
        <w:rPr>
          <w:bCs/>
          <w:sz w:val="22"/>
          <w:szCs w:val="22"/>
          <w:lang w:val="sr-Latn-ME"/>
        </w:rPr>
        <w:t>veći od 1 kg na dan.</w:t>
      </w:r>
    </w:p>
    <w:p w:rsidR="001B4E43" w:rsidRPr="000177FB" w:rsidRDefault="001B4E43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8469B" w:rsidRPr="000177FB" w:rsidRDefault="001B4E43" w:rsidP="001B4E4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proofErr w:type="spellStart"/>
      <w:r w:rsidRPr="000177FB">
        <w:rPr>
          <w:bCs/>
          <w:i/>
          <w:sz w:val="22"/>
          <w:szCs w:val="22"/>
          <w:lang w:val="sr-Latn-ME"/>
        </w:rPr>
        <w:t>Edem</w:t>
      </w:r>
      <w:proofErr w:type="spellEnd"/>
      <w:r w:rsidRPr="000177FB">
        <w:rPr>
          <w:bCs/>
          <w:i/>
          <w:sz w:val="22"/>
          <w:szCs w:val="22"/>
          <w:lang w:val="sr-Latn-ME"/>
        </w:rPr>
        <w:t xml:space="preserve"> zbog</w:t>
      </w:r>
      <w:r w:rsidR="0058469B" w:rsidRPr="000177FB">
        <w:rPr>
          <w:bCs/>
          <w:i/>
          <w:sz w:val="22"/>
          <w:szCs w:val="22"/>
          <w:lang w:val="sr-Latn-ME"/>
        </w:rPr>
        <w:t xml:space="preserve"> bolesti bubrega</w:t>
      </w:r>
    </w:p>
    <w:p w:rsidR="00C6462C" w:rsidRPr="000177FB" w:rsidRDefault="00C6462C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 xml:space="preserve">Početna doza za odrasle obično je 1 tableta (što odgovara količini od 40 mg </w:t>
      </w:r>
      <w:proofErr w:type="spellStart"/>
      <w:r w:rsidRPr="000177FB">
        <w:rPr>
          <w:bCs/>
          <w:sz w:val="22"/>
          <w:szCs w:val="22"/>
          <w:lang w:val="sr-Latn-ME"/>
        </w:rPr>
        <w:t>furosemida</w:t>
      </w:r>
      <w:proofErr w:type="spellEnd"/>
      <w:r w:rsidRPr="000177FB">
        <w:rPr>
          <w:bCs/>
          <w:sz w:val="22"/>
          <w:szCs w:val="22"/>
          <w:lang w:val="sr-Latn-ME"/>
        </w:rPr>
        <w:t xml:space="preserve">) na dan. Ako se ne postigne očekivana </w:t>
      </w:r>
      <w:proofErr w:type="spellStart"/>
      <w:r w:rsidRPr="000177FB">
        <w:rPr>
          <w:bCs/>
          <w:sz w:val="22"/>
          <w:szCs w:val="22"/>
          <w:lang w:val="sr-Latn-ME"/>
        </w:rPr>
        <w:t>diureza</w:t>
      </w:r>
      <w:proofErr w:type="spellEnd"/>
      <w:r w:rsidRPr="000177FB">
        <w:rPr>
          <w:bCs/>
          <w:sz w:val="22"/>
          <w:szCs w:val="22"/>
          <w:lang w:val="sr-Latn-ME"/>
        </w:rPr>
        <w:t>, pojedinačna se doza može udvos</w:t>
      </w:r>
      <w:r w:rsidR="001B4E43" w:rsidRPr="000177FB">
        <w:rPr>
          <w:bCs/>
          <w:sz w:val="22"/>
          <w:szCs w:val="22"/>
          <w:lang w:val="sr-Latn-ME"/>
        </w:rPr>
        <w:t xml:space="preserve">tručiti nakon 6 sati (2 tablete </w:t>
      </w:r>
      <w:r w:rsidR="00C6462C" w:rsidRPr="000177FB">
        <w:rPr>
          <w:bCs/>
          <w:sz w:val="22"/>
          <w:szCs w:val="22"/>
          <w:lang w:val="sr-Latn-ME"/>
        </w:rPr>
        <w:t xml:space="preserve">lijeka </w:t>
      </w:r>
      <w:proofErr w:type="spellStart"/>
      <w:r w:rsidR="001B4E43" w:rsidRPr="000177FB">
        <w:rPr>
          <w:bCs/>
          <w:sz w:val="22"/>
          <w:szCs w:val="22"/>
          <w:lang w:val="sr-Latn-ME"/>
        </w:rPr>
        <w:t>Lodix</w:t>
      </w:r>
      <w:proofErr w:type="spellEnd"/>
      <w:r w:rsidR="001B4E43" w:rsidRPr="000177FB">
        <w:rPr>
          <w:bCs/>
          <w:sz w:val="22"/>
          <w:szCs w:val="22"/>
          <w:lang w:val="sr-Latn-ME"/>
        </w:rPr>
        <w:t xml:space="preserve"> 40 mg </w:t>
      </w:r>
      <w:r w:rsidRPr="000177FB">
        <w:rPr>
          <w:bCs/>
          <w:sz w:val="22"/>
          <w:szCs w:val="22"/>
          <w:lang w:val="sr-Latn-ME"/>
        </w:rPr>
        <w:t xml:space="preserve">odnosno 80 mg </w:t>
      </w:r>
      <w:proofErr w:type="spellStart"/>
      <w:r w:rsidRPr="000177FB">
        <w:rPr>
          <w:bCs/>
          <w:sz w:val="22"/>
          <w:szCs w:val="22"/>
          <w:lang w:val="sr-Latn-ME"/>
        </w:rPr>
        <w:t>furosemida</w:t>
      </w:r>
      <w:proofErr w:type="spellEnd"/>
      <w:r w:rsidRPr="000177FB">
        <w:rPr>
          <w:bCs/>
          <w:sz w:val="22"/>
          <w:szCs w:val="22"/>
          <w:lang w:val="sr-Latn-ME"/>
        </w:rPr>
        <w:t xml:space="preserve">). Ako se ni tako ne postigne zadovoljavajuća </w:t>
      </w:r>
      <w:proofErr w:type="spellStart"/>
      <w:r w:rsidRPr="000177FB">
        <w:rPr>
          <w:bCs/>
          <w:sz w:val="22"/>
          <w:szCs w:val="22"/>
          <w:lang w:val="sr-Latn-ME"/>
        </w:rPr>
        <w:t>diureza</w:t>
      </w:r>
      <w:proofErr w:type="spellEnd"/>
      <w:r w:rsidRPr="000177FB">
        <w:rPr>
          <w:bCs/>
          <w:sz w:val="22"/>
          <w:szCs w:val="22"/>
          <w:lang w:val="sr-Latn-ME"/>
        </w:rPr>
        <w:t xml:space="preserve">, mogu se nakon sljedećih 6 sati dati 4 tablete (što odgovara količini od 160 mg </w:t>
      </w:r>
      <w:proofErr w:type="spellStart"/>
      <w:r w:rsidRPr="000177FB">
        <w:rPr>
          <w:bCs/>
          <w:sz w:val="22"/>
          <w:szCs w:val="22"/>
          <w:lang w:val="sr-Latn-ME"/>
        </w:rPr>
        <w:t>furos</w:t>
      </w:r>
      <w:r w:rsidR="001B4E43" w:rsidRPr="000177FB">
        <w:rPr>
          <w:bCs/>
          <w:sz w:val="22"/>
          <w:szCs w:val="22"/>
          <w:lang w:val="sr-Latn-ME"/>
        </w:rPr>
        <w:t>emida</w:t>
      </w:r>
      <w:proofErr w:type="spellEnd"/>
      <w:r w:rsidR="001B4E43" w:rsidRPr="000177FB">
        <w:rPr>
          <w:bCs/>
          <w:sz w:val="22"/>
          <w:szCs w:val="22"/>
          <w:lang w:val="sr-Latn-ME"/>
        </w:rPr>
        <w:t>). Ako je to neophodno, u posebnim</w:t>
      </w:r>
      <w:r w:rsidRPr="000177FB">
        <w:rPr>
          <w:bCs/>
          <w:sz w:val="22"/>
          <w:szCs w:val="22"/>
          <w:lang w:val="sr-Latn-ME"/>
        </w:rPr>
        <w:t xml:space="preserve"> slučajevima mogu se primijeniti početne doze od </w:t>
      </w:r>
      <w:proofErr w:type="spellStart"/>
      <w:r w:rsidRPr="000177FB">
        <w:rPr>
          <w:bCs/>
          <w:sz w:val="22"/>
          <w:szCs w:val="22"/>
          <w:lang w:val="sr-Latn-ME"/>
        </w:rPr>
        <w:t>preko</w:t>
      </w:r>
      <w:proofErr w:type="spellEnd"/>
      <w:r w:rsidRPr="000177FB">
        <w:rPr>
          <w:bCs/>
          <w:sz w:val="22"/>
          <w:szCs w:val="22"/>
          <w:lang w:val="sr-Latn-ME"/>
        </w:rPr>
        <w:t xml:space="preserve"> 200 mg </w:t>
      </w:r>
      <w:proofErr w:type="spellStart"/>
      <w:r w:rsidRPr="000177FB">
        <w:rPr>
          <w:bCs/>
          <w:sz w:val="22"/>
          <w:szCs w:val="22"/>
          <w:lang w:val="sr-Latn-ME"/>
        </w:rPr>
        <w:t>furosemida</w:t>
      </w:r>
      <w:proofErr w:type="spellEnd"/>
      <w:r w:rsidRPr="000177FB">
        <w:rPr>
          <w:bCs/>
          <w:sz w:val="22"/>
          <w:szCs w:val="22"/>
          <w:lang w:val="sr-Latn-ME"/>
        </w:rPr>
        <w:t xml:space="preserve"> i to pod </w:t>
      </w:r>
      <w:r w:rsidR="001B4E43" w:rsidRPr="000177FB">
        <w:rPr>
          <w:bCs/>
          <w:sz w:val="22"/>
          <w:szCs w:val="22"/>
          <w:lang w:val="sr-Latn-ME"/>
        </w:rPr>
        <w:t>strogim kliničkim</w:t>
      </w:r>
      <w:r w:rsidRPr="000177FB">
        <w:rPr>
          <w:bCs/>
          <w:sz w:val="22"/>
          <w:szCs w:val="22"/>
          <w:lang w:val="sr-Latn-ME"/>
        </w:rPr>
        <w:t xml:space="preserve"> nadzorom.</w:t>
      </w:r>
    </w:p>
    <w:p w:rsidR="001B4E43" w:rsidRPr="000177FB" w:rsidRDefault="001B4E43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>Dnevna doza održavanja obično iznosi 1 do 2 tablete (što o</w:t>
      </w:r>
      <w:r w:rsidR="001B4E43" w:rsidRPr="000177FB">
        <w:rPr>
          <w:bCs/>
          <w:sz w:val="22"/>
          <w:szCs w:val="22"/>
          <w:lang w:val="sr-Latn-ME"/>
        </w:rPr>
        <w:t xml:space="preserve">dgovara količini od 40 do 80 mg  </w:t>
      </w:r>
      <w:proofErr w:type="spellStart"/>
      <w:r w:rsidRPr="000177FB">
        <w:rPr>
          <w:bCs/>
          <w:sz w:val="22"/>
          <w:szCs w:val="22"/>
          <w:lang w:val="sr-Latn-ME"/>
        </w:rPr>
        <w:t>furosemida</w:t>
      </w:r>
      <w:proofErr w:type="spellEnd"/>
      <w:r w:rsidRPr="000177FB">
        <w:rPr>
          <w:bCs/>
          <w:sz w:val="22"/>
          <w:szCs w:val="22"/>
          <w:lang w:val="sr-Latn-ME"/>
        </w:rPr>
        <w:t>).</w:t>
      </w:r>
    </w:p>
    <w:p w:rsidR="001B4E43" w:rsidRPr="000177FB" w:rsidRDefault="001B4E43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 xml:space="preserve">Gubitak tjelesne </w:t>
      </w:r>
      <w:r w:rsidR="00C6462C" w:rsidRPr="000177FB">
        <w:rPr>
          <w:bCs/>
          <w:sz w:val="22"/>
          <w:szCs w:val="22"/>
          <w:lang w:val="sr-Latn-ME"/>
        </w:rPr>
        <w:t xml:space="preserve">mase </w:t>
      </w:r>
      <w:r w:rsidRPr="000177FB">
        <w:rPr>
          <w:bCs/>
          <w:sz w:val="22"/>
          <w:szCs w:val="22"/>
          <w:lang w:val="sr-Latn-ME"/>
        </w:rPr>
        <w:t xml:space="preserve">uzrokovan povećanom </w:t>
      </w:r>
      <w:proofErr w:type="spellStart"/>
      <w:r w:rsidRPr="000177FB">
        <w:rPr>
          <w:bCs/>
          <w:sz w:val="22"/>
          <w:szCs w:val="22"/>
          <w:lang w:val="sr-Latn-ME"/>
        </w:rPr>
        <w:t>diurezom</w:t>
      </w:r>
      <w:proofErr w:type="spellEnd"/>
      <w:r w:rsidRPr="000177FB">
        <w:rPr>
          <w:bCs/>
          <w:sz w:val="22"/>
          <w:szCs w:val="22"/>
          <w:lang w:val="sr-Latn-ME"/>
        </w:rPr>
        <w:t xml:space="preserve"> ne bi smio </w:t>
      </w:r>
      <w:r w:rsidR="00D26F25" w:rsidRPr="000177FB">
        <w:rPr>
          <w:bCs/>
          <w:sz w:val="22"/>
          <w:szCs w:val="22"/>
          <w:lang w:val="sr-Latn-ME"/>
        </w:rPr>
        <w:t xml:space="preserve">da bude </w:t>
      </w:r>
      <w:r w:rsidRPr="000177FB">
        <w:rPr>
          <w:bCs/>
          <w:sz w:val="22"/>
          <w:szCs w:val="22"/>
          <w:lang w:val="sr-Latn-ME"/>
        </w:rPr>
        <w:t>veći od 1 kg na dan.</w:t>
      </w:r>
    </w:p>
    <w:p w:rsidR="001B4E43" w:rsidRPr="000177FB" w:rsidRDefault="001B4E43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 xml:space="preserve">U </w:t>
      </w:r>
      <w:proofErr w:type="spellStart"/>
      <w:r w:rsidRPr="000177FB">
        <w:rPr>
          <w:bCs/>
          <w:sz w:val="22"/>
          <w:szCs w:val="22"/>
          <w:lang w:val="sr-Latn-ME"/>
        </w:rPr>
        <w:t>nefrotskom</w:t>
      </w:r>
      <w:proofErr w:type="spellEnd"/>
      <w:r w:rsidRPr="000177FB">
        <w:rPr>
          <w:bCs/>
          <w:sz w:val="22"/>
          <w:szCs w:val="22"/>
          <w:lang w:val="sr-Latn-ME"/>
        </w:rPr>
        <w:t xml:space="preserve"> sindromu dozu treba </w:t>
      </w:r>
      <w:r w:rsidR="00C6462C" w:rsidRPr="000177FB">
        <w:rPr>
          <w:bCs/>
          <w:sz w:val="22"/>
          <w:szCs w:val="22"/>
          <w:lang w:val="sr-Latn-ME"/>
        </w:rPr>
        <w:t xml:space="preserve">pažljivo </w:t>
      </w:r>
      <w:r w:rsidRPr="000177FB">
        <w:rPr>
          <w:bCs/>
          <w:sz w:val="22"/>
          <w:szCs w:val="22"/>
          <w:lang w:val="sr-Latn-ME"/>
        </w:rPr>
        <w:t xml:space="preserve">prilagoditi zbog rizika od povećanja </w:t>
      </w:r>
      <w:r w:rsidR="001B4E43" w:rsidRPr="000177FB">
        <w:rPr>
          <w:bCs/>
          <w:sz w:val="22"/>
          <w:szCs w:val="22"/>
          <w:lang w:val="sr-Latn-ME"/>
        </w:rPr>
        <w:t>neželjenih dejstava</w:t>
      </w:r>
      <w:r w:rsidRPr="000177FB">
        <w:rPr>
          <w:bCs/>
          <w:sz w:val="22"/>
          <w:szCs w:val="22"/>
          <w:lang w:val="sr-Latn-ME"/>
        </w:rPr>
        <w:t>.</w:t>
      </w:r>
    </w:p>
    <w:p w:rsidR="001B4E43" w:rsidRPr="000177FB" w:rsidRDefault="001B4E43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0177FB">
        <w:rPr>
          <w:bCs/>
          <w:i/>
          <w:sz w:val="22"/>
          <w:szCs w:val="22"/>
          <w:lang w:val="sr-Latn-ME"/>
        </w:rPr>
        <w:t>Arterijska hipertenzija</w:t>
      </w:r>
    </w:p>
    <w:p w:rsidR="00C6462C" w:rsidRPr="000177FB" w:rsidRDefault="00C6462C" w:rsidP="001B4E4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:rsidR="0058469B" w:rsidRPr="000177FB" w:rsidRDefault="001B4E43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 xml:space="preserve">Obično se uzima 1 tableta </w:t>
      </w:r>
      <w:r w:rsidR="0058469B" w:rsidRPr="000177FB">
        <w:rPr>
          <w:bCs/>
          <w:sz w:val="22"/>
          <w:szCs w:val="22"/>
          <w:lang w:val="sr-Latn-ME"/>
        </w:rPr>
        <w:t xml:space="preserve">(što odgovara količini od 40 mg </w:t>
      </w:r>
      <w:proofErr w:type="spellStart"/>
      <w:r w:rsidR="0058469B" w:rsidRPr="000177FB">
        <w:rPr>
          <w:bCs/>
          <w:sz w:val="22"/>
          <w:szCs w:val="22"/>
          <w:lang w:val="sr-Latn-ME"/>
        </w:rPr>
        <w:t>furosemida</w:t>
      </w:r>
      <w:proofErr w:type="spellEnd"/>
      <w:r w:rsidR="0058469B" w:rsidRPr="000177FB">
        <w:rPr>
          <w:bCs/>
          <w:sz w:val="22"/>
          <w:szCs w:val="22"/>
          <w:lang w:val="sr-Latn-ME"/>
        </w:rPr>
        <w:t>) jed</w:t>
      </w:r>
      <w:r w:rsidR="00C6462C" w:rsidRPr="000177FB">
        <w:rPr>
          <w:bCs/>
          <w:sz w:val="22"/>
          <w:szCs w:val="22"/>
          <w:lang w:val="sr-Latn-ME"/>
        </w:rPr>
        <w:t xml:space="preserve">nom </w:t>
      </w:r>
      <w:r w:rsidR="0058469B" w:rsidRPr="000177FB">
        <w:rPr>
          <w:bCs/>
          <w:sz w:val="22"/>
          <w:szCs w:val="22"/>
          <w:lang w:val="sr-Latn-ME"/>
        </w:rPr>
        <w:t>d</w:t>
      </w:r>
      <w:r w:rsidR="00C6462C" w:rsidRPr="000177FB">
        <w:rPr>
          <w:bCs/>
          <w:sz w:val="22"/>
          <w:szCs w:val="22"/>
          <w:lang w:val="sr-Latn-ME"/>
        </w:rPr>
        <w:t>nevno</w:t>
      </w:r>
      <w:r w:rsidR="0058469B" w:rsidRPr="000177FB">
        <w:rPr>
          <w:bCs/>
          <w:sz w:val="22"/>
          <w:szCs w:val="22"/>
          <w:lang w:val="sr-Latn-ME"/>
        </w:rPr>
        <w:t>, kao jedina terapi</w:t>
      </w:r>
      <w:r w:rsidRPr="000177FB">
        <w:rPr>
          <w:bCs/>
          <w:sz w:val="22"/>
          <w:szCs w:val="22"/>
          <w:lang w:val="sr-Latn-ME"/>
        </w:rPr>
        <w:t>ja ili u kombinaciji sa drugim l</w:t>
      </w:r>
      <w:r w:rsidR="0058469B" w:rsidRPr="000177FB">
        <w:rPr>
          <w:bCs/>
          <w:sz w:val="22"/>
          <w:szCs w:val="22"/>
          <w:lang w:val="sr-Latn-ME"/>
        </w:rPr>
        <w:t>jekovima.</w:t>
      </w:r>
    </w:p>
    <w:p w:rsidR="001B4E43" w:rsidRPr="000177FB" w:rsidRDefault="001B4E43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0177FB">
        <w:rPr>
          <w:bCs/>
          <w:i/>
          <w:sz w:val="22"/>
          <w:szCs w:val="22"/>
          <w:lang w:val="sr-Latn-ME"/>
        </w:rPr>
        <w:t xml:space="preserve">Primjena </w:t>
      </w:r>
      <w:r w:rsidR="001B4E43" w:rsidRPr="000177FB">
        <w:rPr>
          <w:bCs/>
          <w:i/>
          <w:sz w:val="22"/>
          <w:szCs w:val="22"/>
          <w:lang w:val="sr-Latn-ME"/>
        </w:rPr>
        <w:t>kod</w:t>
      </w:r>
      <w:r w:rsidRPr="000177FB">
        <w:rPr>
          <w:bCs/>
          <w:i/>
          <w:sz w:val="22"/>
          <w:szCs w:val="22"/>
          <w:lang w:val="sr-Latn-ME"/>
        </w:rPr>
        <w:t xml:space="preserve"> djece</w:t>
      </w:r>
    </w:p>
    <w:p w:rsidR="00C6462C" w:rsidRPr="000177FB" w:rsidRDefault="00C6462C" w:rsidP="001B4E43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 xml:space="preserve">Djeca obično uzimaju 1 (do 2) mg </w:t>
      </w:r>
      <w:proofErr w:type="spellStart"/>
      <w:r w:rsidRPr="000177FB">
        <w:rPr>
          <w:bCs/>
          <w:sz w:val="22"/>
          <w:szCs w:val="22"/>
          <w:lang w:val="sr-Latn-ME"/>
        </w:rPr>
        <w:t>furosemida</w:t>
      </w:r>
      <w:proofErr w:type="spellEnd"/>
      <w:r w:rsidRPr="000177FB">
        <w:rPr>
          <w:bCs/>
          <w:sz w:val="22"/>
          <w:szCs w:val="22"/>
          <w:lang w:val="sr-Latn-ME"/>
        </w:rPr>
        <w:t xml:space="preserve"> na kilogram tjelesne </w:t>
      </w:r>
      <w:r w:rsidR="001B4E43" w:rsidRPr="000177FB">
        <w:rPr>
          <w:bCs/>
          <w:sz w:val="22"/>
          <w:szCs w:val="22"/>
          <w:lang w:val="sr-Latn-ME"/>
        </w:rPr>
        <w:t>mase</w:t>
      </w:r>
      <w:r w:rsidRPr="000177FB">
        <w:rPr>
          <w:bCs/>
          <w:sz w:val="22"/>
          <w:szCs w:val="22"/>
          <w:lang w:val="sr-Latn-ME"/>
        </w:rPr>
        <w:t xml:space="preserve"> po danu, a najviše 40 mg </w:t>
      </w:r>
      <w:proofErr w:type="spellStart"/>
      <w:r w:rsidRPr="000177FB">
        <w:rPr>
          <w:bCs/>
          <w:sz w:val="22"/>
          <w:szCs w:val="22"/>
          <w:lang w:val="sr-Latn-ME"/>
        </w:rPr>
        <w:t>furosemida</w:t>
      </w:r>
      <w:proofErr w:type="spellEnd"/>
      <w:r w:rsidRPr="000177FB">
        <w:rPr>
          <w:bCs/>
          <w:sz w:val="22"/>
          <w:szCs w:val="22"/>
          <w:lang w:val="sr-Latn-ME"/>
        </w:rPr>
        <w:t xml:space="preserve"> na dan.</w:t>
      </w: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:rsidR="00D30EFF" w:rsidRPr="000177FB" w:rsidRDefault="00D30EFF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0177FB">
        <w:rPr>
          <w:b/>
          <w:bCs/>
          <w:sz w:val="22"/>
          <w:szCs w:val="22"/>
          <w:u w:val="single"/>
          <w:lang w:val="sr-Latn-ME"/>
        </w:rPr>
        <w:t xml:space="preserve">Način primjene </w:t>
      </w:r>
    </w:p>
    <w:p w:rsidR="0046558D" w:rsidRPr="000177FB" w:rsidRDefault="0046558D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u w:val="single"/>
          <w:lang w:val="sr-Latn-ME"/>
        </w:rPr>
      </w:pPr>
    </w:p>
    <w:p w:rsidR="00D30EFF" w:rsidRPr="000177FB" w:rsidRDefault="00D30EFF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>Za oralnu primjenu.</w:t>
      </w: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Tablete se moraju uzimati na prazan želudac i progutati cijele </w:t>
      </w:r>
      <w:r w:rsidR="001B4E43" w:rsidRPr="000177FB">
        <w:rPr>
          <w:sz w:val="22"/>
          <w:szCs w:val="22"/>
          <w:lang w:val="sr-Latn-ME"/>
        </w:rPr>
        <w:t>uz dovoljnu količinu tečnosti</w:t>
      </w:r>
      <w:r w:rsidRPr="000177FB">
        <w:rPr>
          <w:sz w:val="22"/>
          <w:szCs w:val="22"/>
          <w:lang w:val="sr-Latn-ME"/>
        </w:rPr>
        <w:t xml:space="preserve"> (npr. s</w:t>
      </w:r>
      <w:r w:rsidR="001B4E43" w:rsidRPr="000177FB">
        <w:rPr>
          <w:sz w:val="22"/>
          <w:szCs w:val="22"/>
          <w:lang w:val="sr-Latn-ME"/>
        </w:rPr>
        <w:t>a</w:t>
      </w:r>
      <w:r w:rsidRPr="000177FB">
        <w:rPr>
          <w:sz w:val="22"/>
          <w:szCs w:val="22"/>
          <w:lang w:val="sr-Latn-ME"/>
        </w:rPr>
        <w:t xml:space="preserve"> čašom vode).</w:t>
      </w:r>
    </w:p>
    <w:p w:rsidR="00D30EFF" w:rsidRPr="000177FB" w:rsidRDefault="0058469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Trajanje liječenja </w:t>
      </w:r>
      <w:r w:rsidR="001B4E43" w:rsidRPr="000177FB">
        <w:rPr>
          <w:sz w:val="22"/>
          <w:szCs w:val="22"/>
          <w:lang w:val="sr-Latn-ME"/>
        </w:rPr>
        <w:t xml:space="preserve">zavisi od prirode i težine </w:t>
      </w:r>
      <w:r w:rsidRPr="000177FB">
        <w:rPr>
          <w:sz w:val="22"/>
          <w:szCs w:val="22"/>
          <w:lang w:val="sr-Latn-ME"/>
        </w:rPr>
        <w:t>poremećaja.</w:t>
      </w: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:rsidR="00411B4B" w:rsidRPr="000177FB" w:rsidRDefault="00411B4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4.3.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proofErr w:type="spellStart"/>
      <w:r w:rsidRPr="000177FB">
        <w:rPr>
          <w:b/>
          <w:bCs/>
          <w:sz w:val="22"/>
          <w:szCs w:val="22"/>
          <w:lang w:val="sr-Latn-ME"/>
        </w:rPr>
        <w:t>Kontraindikacije</w:t>
      </w:r>
      <w:proofErr w:type="spellEnd"/>
    </w:p>
    <w:p w:rsidR="00580283" w:rsidRPr="000177FB" w:rsidRDefault="00580283" w:rsidP="001B4E43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jc w:val="both"/>
        <w:rPr>
          <w:rStyle w:val="hps"/>
          <w:sz w:val="22"/>
          <w:szCs w:val="22"/>
          <w:lang w:val="sr-Latn-ME"/>
        </w:rPr>
      </w:pPr>
    </w:p>
    <w:p w:rsidR="0058469B" w:rsidRPr="000177FB" w:rsidRDefault="00361ED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Lijek </w:t>
      </w:r>
      <w:proofErr w:type="spellStart"/>
      <w:r w:rsidR="001B4E43" w:rsidRPr="000177FB">
        <w:rPr>
          <w:sz w:val="22"/>
          <w:szCs w:val="22"/>
          <w:lang w:val="sr-Latn-ME"/>
        </w:rPr>
        <w:t>Lodix</w:t>
      </w:r>
      <w:proofErr w:type="spellEnd"/>
      <w:r w:rsidR="0058469B" w:rsidRPr="000177FB">
        <w:rPr>
          <w:sz w:val="22"/>
          <w:szCs w:val="22"/>
          <w:lang w:val="sr-Latn-ME"/>
        </w:rPr>
        <w:t xml:space="preserve"> 40 mg tablete ne smiju se uzimati u sljedećim slučajevima:</w:t>
      </w:r>
    </w:p>
    <w:p w:rsidR="0058469B" w:rsidRPr="000177FB" w:rsidRDefault="0058469B" w:rsidP="00361EDB">
      <w:pPr>
        <w:tabs>
          <w:tab w:val="left" w:pos="540"/>
          <w:tab w:val="left" w:pos="569"/>
        </w:tabs>
        <w:ind w:left="142" w:hanging="142"/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- preosjetljivost na </w:t>
      </w:r>
      <w:proofErr w:type="spellStart"/>
      <w:r w:rsidRPr="000177FB">
        <w:rPr>
          <w:sz w:val="22"/>
          <w:szCs w:val="22"/>
          <w:lang w:val="sr-Latn-ME"/>
        </w:rPr>
        <w:t>furosemid</w:t>
      </w:r>
      <w:proofErr w:type="spellEnd"/>
      <w:r w:rsidRPr="000177FB">
        <w:rPr>
          <w:sz w:val="22"/>
          <w:szCs w:val="22"/>
          <w:lang w:val="sr-Latn-ME"/>
        </w:rPr>
        <w:t xml:space="preserve">, </w:t>
      </w:r>
      <w:proofErr w:type="spellStart"/>
      <w:r w:rsidRPr="000177FB">
        <w:rPr>
          <w:sz w:val="22"/>
          <w:szCs w:val="22"/>
          <w:lang w:val="sr-Latn-ME"/>
        </w:rPr>
        <w:t>sulfonamide</w:t>
      </w:r>
      <w:proofErr w:type="spellEnd"/>
      <w:r w:rsidRPr="000177FB">
        <w:rPr>
          <w:sz w:val="22"/>
          <w:szCs w:val="22"/>
          <w:lang w:val="sr-Latn-ME"/>
        </w:rPr>
        <w:t xml:space="preserve"> (moguća </w:t>
      </w:r>
      <w:r w:rsidR="001B4E43" w:rsidRPr="000177FB">
        <w:rPr>
          <w:sz w:val="22"/>
          <w:szCs w:val="22"/>
          <w:lang w:val="sr-Latn-ME"/>
        </w:rPr>
        <w:t>unakrsna</w:t>
      </w:r>
      <w:r w:rsidRPr="000177FB">
        <w:rPr>
          <w:sz w:val="22"/>
          <w:szCs w:val="22"/>
          <w:lang w:val="sr-Latn-ME"/>
        </w:rPr>
        <w:t xml:space="preserve"> reakcija s</w:t>
      </w:r>
      <w:r w:rsidR="001B4E43" w:rsidRPr="000177FB">
        <w:rPr>
          <w:sz w:val="22"/>
          <w:szCs w:val="22"/>
          <w:lang w:val="sr-Latn-ME"/>
        </w:rPr>
        <w:t>a</w:t>
      </w:r>
      <w:r w:rsidRPr="000177FB">
        <w:rPr>
          <w:sz w:val="22"/>
          <w:szCs w:val="22"/>
          <w:lang w:val="sr-Latn-ME"/>
        </w:rPr>
        <w:t xml:space="preserve"> </w:t>
      </w:r>
      <w:proofErr w:type="spellStart"/>
      <w:r w:rsidRPr="000177FB">
        <w:rPr>
          <w:sz w:val="22"/>
          <w:szCs w:val="22"/>
          <w:lang w:val="sr-Latn-ME"/>
        </w:rPr>
        <w:t>furosemidom</w:t>
      </w:r>
      <w:proofErr w:type="spellEnd"/>
      <w:r w:rsidRPr="000177FB">
        <w:rPr>
          <w:sz w:val="22"/>
          <w:szCs w:val="22"/>
          <w:lang w:val="sr-Latn-ME"/>
        </w:rPr>
        <w:t>) ili na bilo koju</w:t>
      </w:r>
      <w:r w:rsidR="00361EDB" w:rsidRPr="000177FB">
        <w:rPr>
          <w:sz w:val="22"/>
          <w:szCs w:val="22"/>
          <w:lang w:val="sr-Latn-ME"/>
        </w:rPr>
        <w:t xml:space="preserve"> </w:t>
      </w:r>
      <w:r w:rsidRPr="000177FB">
        <w:rPr>
          <w:sz w:val="22"/>
          <w:szCs w:val="22"/>
          <w:lang w:val="sr-Latn-ME"/>
        </w:rPr>
        <w:t xml:space="preserve">pomoćnu </w:t>
      </w:r>
      <w:r w:rsidR="00361EDB" w:rsidRPr="000177FB">
        <w:rPr>
          <w:sz w:val="22"/>
          <w:szCs w:val="22"/>
          <w:lang w:val="sr-Latn-ME"/>
        </w:rPr>
        <w:t xml:space="preserve">supstancu </w:t>
      </w:r>
      <w:r w:rsidRPr="000177FB">
        <w:rPr>
          <w:sz w:val="22"/>
          <w:szCs w:val="22"/>
          <w:lang w:val="sr-Latn-ME"/>
        </w:rPr>
        <w:t>navedenu u dijelu 6.1.</w:t>
      </w: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- </w:t>
      </w:r>
      <w:proofErr w:type="spellStart"/>
      <w:r w:rsidR="00361EDB" w:rsidRPr="000177FB">
        <w:rPr>
          <w:sz w:val="22"/>
          <w:szCs w:val="22"/>
          <w:lang w:val="sr-Latn-ME"/>
        </w:rPr>
        <w:t>insuficijencija</w:t>
      </w:r>
      <w:proofErr w:type="spellEnd"/>
      <w:r w:rsidR="00361EDB" w:rsidRPr="000177FB">
        <w:rPr>
          <w:sz w:val="22"/>
          <w:szCs w:val="22"/>
          <w:lang w:val="sr-Latn-ME"/>
        </w:rPr>
        <w:t xml:space="preserve"> </w:t>
      </w:r>
      <w:r w:rsidRPr="000177FB">
        <w:rPr>
          <w:sz w:val="22"/>
          <w:szCs w:val="22"/>
          <w:lang w:val="sr-Latn-ME"/>
        </w:rPr>
        <w:t>bubrega s</w:t>
      </w:r>
      <w:r w:rsidR="00361EDB" w:rsidRPr="000177FB">
        <w:rPr>
          <w:sz w:val="22"/>
          <w:szCs w:val="22"/>
          <w:lang w:val="sr-Latn-ME"/>
        </w:rPr>
        <w:t>a</w:t>
      </w:r>
      <w:r w:rsidRPr="000177FB">
        <w:rPr>
          <w:sz w:val="22"/>
          <w:szCs w:val="22"/>
          <w:lang w:val="sr-Latn-ME"/>
        </w:rPr>
        <w:t xml:space="preserve"> </w:t>
      </w:r>
      <w:proofErr w:type="spellStart"/>
      <w:r w:rsidRPr="000177FB">
        <w:rPr>
          <w:sz w:val="22"/>
          <w:szCs w:val="22"/>
          <w:lang w:val="sr-Latn-ME"/>
        </w:rPr>
        <w:t>anurijom</w:t>
      </w:r>
      <w:proofErr w:type="spellEnd"/>
      <w:r w:rsidRPr="000177FB">
        <w:rPr>
          <w:sz w:val="22"/>
          <w:szCs w:val="22"/>
          <w:lang w:val="sr-Latn-ME"/>
        </w:rPr>
        <w:t xml:space="preserve"> koja je rezistentna na terapiju </w:t>
      </w:r>
      <w:proofErr w:type="spellStart"/>
      <w:r w:rsidRPr="000177FB">
        <w:rPr>
          <w:sz w:val="22"/>
          <w:szCs w:val="22"/>
          <w:lang w:val="sr-Latn-ME"/>
        </w:rPr>
        <w:t>furosemidom</w:t>
      </w:r>
      <w:proofErr w:type="spellEnd"/>
      <w:r w:rsidRPr="000177FB">
        <w:rPr>
          <w:sz w:val="22"/>
          <w:szCs w:val="22"/>
          <w:lang w:val="sr-Latn-ME"/>
        </w:rPr>
        <w:t>,</w:t>
      </w: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- </w:t>
      </w:r>
      <w:proofErr w:type="spellStart"/>
      <w:r w:rsidRPr="000177FB">
        <w:rPr>
          <w:sz w:val="22"/>
          <w:szCs w:val="22"/>
          <w:lang w:val="sr-Latn-ME"/>
        </w:rPr>
        <w:t>hepatična</w:t>
      </w:r>
      <w:proofErr w:type="spellEnd"/>
      <w:r w:rsidRPr="000177FB">
        <w:rPr>
          <w:sz w:val="22"/>
          <w:szCs w:val="22"/>
          <w:lang w:val="sr-Latn-ME"/>
        </w:rPr>
        <w:t xml:space="preserve"> koma i </w:t>
      </w:r>
      <w:proofErr w:type="spellStart"/>
      <w:r w:rsidRPr="000177FB">
        <w:rPr>
          <w:sz w:val="22"/>
          <w:szCs w:val="22"/>
          <w:lang w:val="sr-Latn-ME"/>
        </w:rPr>
        <w:t>predkoma</w:t>
      </w:r>
      <w:proofErr w:type="spellEnd"/>
      <w:r w:rsidRPr="000177FB">
        <w:rPr>
          <w:sz w:val="22"/>
          <w:szCs w:val="22"/>
          <w:lang w:val="sr-Latn-ME"/>
        </w:rPr>
        <w:t xml:space="preserve"> povezana s</w:t>
      </w:r>
      <w:r w:rsidR="00661DBC" w:rsidRPr="000177FB">
        <w:rPr>
          <w:sz w:val="22"/>
          <w:szCs w:val="22"/>
          <w:lang w:val="sr-Latn-ME"/>
        </w:rPr>
        <w:t>a</w:t>
      </w:r>
      <w:r w:rsidRPr="000177FB">
        <w:rPr>
          <w:sz w:val="22"/>
          <w:szCs w:val="22"/>
          <w:lang w:val="sr-Latn-ME"/>
        </w:rPr>
        <w:t xml:space="preserve"> </w:t>
      </w:r>
      <w:proofErr w:type="spellStart"/>
      <w:r w:rsidRPr="000177FB">
        <w:rPr>
          <w:sz w:val="22"/>
          <w:szCs w:val="22"/>
          <w:lang w:val="sr-Latn-ME"/>
        </w:rPr>
        <w:t>hepatičnom</w:t>
      </w:r>
      <w:proofErr w:type="spellEnd"/>
      <w:r w:rsidRPr="000177FB">
        <w:rPr>
          <w:sz w:val="22"/>
          <w:szCs w:val="22"/>
          <w:lang w:val="sr-Latn-ME"/>
        </w:rPr>
        <w:t xml:space="preserve"> </w:t>
      </w:r>
      <w:proofErr w:type="spellStart"/>
      <w:r w:rsidRPr="000177FB">
        <w:rPr>
          <w:sz w:val="22"/>
          <w:szCs w:val="22"/>
          <w:lang w:val="sr-Latn-ME"/>
        </w:rPr>
        <w:t>encefalopatijom</w:t>
      </w:r>
      <w:proofErr w:type="spellEnd"/>
      <w:r w:rsidRPr="000177FB">
        <w:rPr>
          <w:sz w:val="22"/>
          <w:szCs w:val="22"/>
          <w:lang w:val="sr-Latn-ME"/>
        </w:rPr>
        <w:t>,</w:t>
      </w:r>
    </w:p>
    <w:p w:rsidR="0058469B" w:rsidRPr="000177FB" w:rsidRDefault="001B4E43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- teška </w:t>
      </w:r>
      <w:proofErr w:type="spellStart"/>
      <w:r w:rsidRPr="000177FB">
        <w:rPr>
          <w:sz w:val="22"/>
          <w:szCs w:val="22"/>
          <w:lang w:val="sr-Latn-ME"/>
        </w:rPr>
        <w:t>hipokal</w:t>
      </w:r>
      <w:r w:rsidR="00661DBC" w:rsidRPr="000177FB">
        <w:rPr>
          <w:sz w:val="22"/>
          <w:szCs w:val="22"/>
          <w:lang w:val="sr-Latn-ME"/>
        </w:rPr>
        <w:t>ij</w:t>
      </w:r>
      <w:r w:rsidR="0058469B" w:rsidRPr="000177FB">
        <w:rPr>
          <w:sz w:val="22"/>
          <w:szCs w:val="22"/>
          <w:lang w:val="sr-Latn-ME"/>
        </w:rPr>
        <w:t>emija</w:t>
      </w:r>
      <w:proofErr w:type="spellEnd"/>
      <w:r w:rsidR="0058469B" w:rsidRPr="000177FB">
        <w:rPr>
          <w:sz w:val="22"/>
          <w:szCs w:val="22"/>
          <w:lang w:val="sr-Latn-ME"/>
        </w:rPr>
        <w:t>,</w:t>
      </w:r>
    </w:p>
    <w:p w:rsidR="0058469B" w:rsidRPr="000177FB" w:rsidRDefault="001B4E43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- teška </w:t>
      </w:r>
      <w:proofErr w:type="spellStart"/>
      <w:r w:rsidRPr="000177FB">
        <w:rPr>
          <w:sz w:val="22"/>
          <w:szCs w:val="22"/>
          <w:lang w:val="sr-Latn-ME"/>
        </w:rPr>
        <w:t>hiponatr</w:t>
      </w:r>
      <w:r w:rsidR="00661DBC" w:rsidRPr="000177FB">
        <w:rPr>
          <w:sz w:val="22"/>
          <w:szCs w:val="22"/>
          <w:lang w:val="sr-Latn-ME"/>
        </w:rPr>
        <w:t>ij</w:t>
      </w:r>
      <w:r w:rsidR="0058469B" w:rsidRPr="000177FB">
        <w:rPr>
          <w:sz w:val="22"/>
          <w:szCs w:val="22"/>
          <w:lang w:val="sr-Latn-ME"/>
        </w:rPr>
        <w:t>emija</w:t>
      </w:r>
      <w:proofErr w:type="spellEnd"/>
      <w:r w:rsidR="0058469B" w:rsidRPr="000177FB">
        <w:rPr>
          <w:sz w:val="22"/>
          <w:szCs w:val="22"/>
          <w:lang w:val="sr-Latn-ME"/>
        </w:rPr>
        <w:t>,</w:t>
      </w: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- </w:t>
      </w:r>
      <w:proofErr w:type="spellStart"/>
      <w:r w:rsidRPr="000177FB">
        <w:rPr>
          <w:sz w:val="22"/>
          <w:szCs w:val="22"/>
          <w:lang w:val="sr-Latn-ME"/>
        </w:rPr>
        <w:t>hipovolemija</w:t>
      </w:r>
      <w:proofErr w:type="spellEnd"/>
      <w:r w:rsidRPr="000177FB">
        <w:rPr>
          <w:sz w:val="22"/>
          <w:szCs w:val="22"/>
          <w:lang w:val="sr-Latn-ME"/>
        </w:rPr>
        <w:t xml:space="preserve"> ili dehidracija,</w:t>
      </w:r>
    </w:p>
    <w:p w:rsidR="00580283" w:rsidRPr="000177FB" w:rsidRDefault="0058469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- majke koje doje.</w:t>
      </w: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0177FB" w:rsidRDefault="00411B4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4.4.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58469B" w:rsidRPr="000177FB" w:rsidRDefault="0058469B" w:rsidP="001B4E43">
      <w:pPr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 w:eastAsia="bs-Latn-BA"/>
        </w:rPr>
        <w:t xml:space="preserve">Posebna </w:t>
      </w:r>
      <w:r w:rsidR="001B4E43" w:rsidRPr="000177FB">
        <w:rPr>
          <w:sz w:val="22"/>
          <w:szCs w:val="22"/>
          <w:lang w:val="sr-Latn-ME" w:eastAsia="bs-Latn-BA"/>
        </w:rPr>
        <w:t>pažnja</w:t>
      </w:r>
      <w:r w:rsidRPr="000177FB">
        <w:rPr>
          <w:sz w:val="22"/>
          <w:szCs w:val="22"/>
          <w:lang w:val="sr-Latn-ME" w:eastAsia="bs-Latn-BA"/>
        </w:rPr>
        <w:t xml:space="preserve"> potrebna je u sljedećim slučajevima: </w:t>
      </w:r>
    </w:p>
    <w:p w:rsidR="0058469B" w:rsidRPr="000177FB" w:rsidRDefault="0058469B" w:rsidP="001B4E43">
      <w:pPr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 w:eastAsia="bs-Latn-BA"/>
        </w:rPr>
        <w:t xml:space="preserve">- </w:t>
      </w:r>
      <w:proofErr w:type="spellStart"/>
      <w:r w:rsidRPr="000177FB">
        <w:rPr>
          <w:sz w:val="22"/>
          <w:szCs w:val="22"/>
          <w:lang w:val="sr-Latn-ME" w:eastAsia="bs-Latn-BA"/>
        </w:rPr>
        <w:t>hipotenzija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, </w:t>
      </w:r>
    </w:p>
    <w:p w:rsidR="0058469B" w:rsidRPr="000177FB" w:rsidRDefault="0058469B" w:rsidP="001B4E43">
      <w:pPr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 w:eastAsia="bs-Latn-BA"/>
        </w:rPr>
        <w:t xml:space="preserve">- </w:t>
      </w:r>
      <w:proofErr w:type="spellStart"/>
      <w:r w:rsidRPr="000177FB">
        <w:rPr>
          <w:sz w:val="22"/>
          <w:szCs w:val="22"/>
          <w:lang w:val="sr-Latn-ME" w:eastAsia="bs-Latn-BA"/>
        </w:rPr>
        <w:t>manifestni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ili late</w:t>
      </w:r>
      <w:r w:rsidR="001B4E43" w:rsidRPr="000177FB">
        <w:rPr>
          <w:sz w:val="22"/>
          <w:szCs w:val="22"/>
          <w:lang w:val="sr-Latn-ME" w:eastAsia="bs-Latn-BA"/>
        </w:rPr>
        <w:t xml:space="preserve">ntni dijabetes </w:t>
      </w:r>
      <w:proofErr w:type="spellStart"/>
      <w:r w:rsidR="001B4E43" w:rsidRPr="000177FB">
        <w:rPr>
          <w:sz w:val="22"/>
          <w:szCs w:val="22"/>
          <w:lang w:val="sr-Latn-ME" w:eastAsia="bs-Latn-BA"/>
        </w:rPr>
        <w:t>melitus</w:t>
      </w:r>
      <w:proofErr w:type="spellEnd"/>
      <w:r w:rsidR="001B4E43" w:rsidRPr="000177FB">
        <w:rPr>
          <w:sz w:val="22"/>
          <w:szCs w:val="22"/>
          <w:lang w:val="sr-Latn-ME" w:eastAsia="bs-Latn-BA"/>
        </w:rPr>
        <w:t xml:space="preserve"> (redovno</w:t>
      </w:r>
      <w:r w:rsidRPr="000177FB">
        <w:rPr>
          <w:sz w:val="22"/>
          <w:szCs w:val="22"/>
          <w:lang w:val="sr-Latn-ME" w:eastAsia="bs-Latn-BA"/>
        </w:rPr>
        <w:t xml:space="preserve"> praćenje </w:t>
      </w:r>
      <w:r w:rsidR="001B4E43" w:rsidRPr="000177FB">
        <w:rPr>
          <w:sz w:val="22"/>
          <w:szCs w:val="22"/>
          <w:lang w:val="sr-Latn-ME" w:eastAsia="bs-Latn-BA"/>
        </w:rPr>
        <w:t>nivoa</w:t>
      </w:r>
      <w:r w:rsidRPr="000177FB">
        <w:rPr>
          <w:sz w:val="22"/>
          <w:szCs w:val="22"/>
          <w:lang w:val="sr-Latn-ME" w:eastAsia="bs-Latn-BA"/>
        </w:rPr>
        <w:t xml:space="preserve"> šećera u krvi), </w:t>
      </w:r>
    </w:p>
    <w:p w:rsidR="0058469B" w:rsidRPr="000177FB" w:rsidRDefault="0058469B" w:rsidP="001B4E43">
      <w:pPr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 w:eastAsia="bs-Latn-BA"/>
        </w:rPr>
        <w:t>- giht (</w:t>
      </w:r>
      <w:r w:rsidR="00EE32A4" w:rsidRPr="000177FB">
        <w:rPr>
          <w:noProof/>
          <w:sz w:val="22"/>
          <w:szCs w:val="22"/>
          <w:lang w:val="sr-Latn-ME"/>
        </w:rPr>
        <w:t>redovne kontrole mokraćne kiseline u serumu</w:t>
      </w:r>
      <w:r w:rsidRPr="000177FB">
        <w:rPr>
          <w:sz w:val="22"/>
          <w:szCs w:val="22"/>
          <w:lang w:val="sr-Latn-ME" w:eastAsia="bs-Latn-BA"/>
        </w:rPr>
        <w:t xml:space="preserve">), </w:t>
      </w:r>
    </w:p>
    <w:p w:rsidR="0058469B" w:rsidRPr="000177FB" w:rsidRDefault="0058469B" w:rsidP="001B4E43">
      <w:pPr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 w:eastAsia="bs-Latn-BA"/>
        </w:rPr>
        <w:t xml:space="preserve">- poremećaj mokrenja (npr. u slučaju hipertrofije prostate, </w:t>
      </w:r>
      <w:proofErr w:type="spellStart"/>
      <w:r w:rsidRPr="000177FB">
        <w:rPr>
          <w:sz w:val="22"/>
          <w:szCs w:val="22"/>
          <w:lang w:val="sr-Latn-ME" w:eastAsia="bs-Latn-BA"/>
        </w:rPr>
        <w:t>hidronefroze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, </w:t>
      </w:r>
      <w:proofErr w:type="spellStart"/>
      <w:r w:rsidRPr="000177FB">
        <w:rPr>
          <w:sz w:val="22"/>
          <w:szCs w:val="22"/>
          <w:lang w:val="sr-Latn-ME" w:eastAsia="bs-Latn-BA"/>
        </w:rPr>
        <w:t>ureteralne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</w:t>
      </w:r>
      <w:proofErr w:type="spellStart"/>
      <w:r w:rsidRPr="000177FB">
        <w:rPr>
          <w:sz w:val="22"/>
          <w:szCs w:val="22"/>
          <w:lang w:val="sr-Latn-ME" w:eastAsia="bs-Latn-BA"/>
        </w:rPr>
        <w:t>stenoze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), </w:t>
      </w:r>
    </w:p>
    <w:p w:rsidR="0058469B" w:rsidRPr="000177FB" w:rsidRDefault="0058469B" w:rsidP="001B4E43">
      <w:pPr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 w:eastAsia="bs-Latn-BA"/>
        </w:rPr>
        <w:t xml:space="preserve">- </w:t>
      </w:r>
      <w:proofErr w:type="spellStart"/>
      <w:r w:rsidRPr="000177FB">
        <w:rPr>
          <w:sz w:val="22"/>
          <w:szCs w:val="22"/>
          <w:lang w:val="sr-Latn-ME" w:eastAsia="bs-Latn-BA"/>
        </w:rPr>
        <w:t>hipoproteinemija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, npr. u </w:t>
      </w:r>
      <w:proofErr w:type="spellStart"/>
      <w:r w:rsidR="00EE32A4" w:rsidRPr="000177FB">
        <w:rPr>
          <w:sz w:val="22"/>
          <w:szCs w:val="22"/>
          <w:lang w:val="sr-Latn-ME" w:eastAsia="bs-Latn-BA"/>
        </w:rPr>
        <w:t>nefrotsk</w:t>
      </w:r>
      <w:r w:rsidR="00661DBC" w:rsidRPr="000177FB">
        <w:rPr>
          <w:sz w:val="22"/>
          <w:szCs w:val="22"/>
          <w:lang w:val="sr-Latn-ME" w:eastAsia="bs-Latn-BA"/>
        </w:rPr>
        <w:t>o</w:t>
      </w:r>
      <w:r w:rsidR="00EE32A4" w:rsidRPr="000177FB">
        <w:rPr>
          <w:sz w:val="22"/>
          <w:szCs w:val="22"/>
          <w:lang w:val="sr-Latn-ME" w:eastAsia="bs-Latn-BA"/>
        </w:rPr>
        <w:t>m</w:t>
      </w:r>
      <w:proofErr w:type="spellEnd"/>
      <w:r w:rsidR="00EE32A4" w:rsidRPr="000177FB">
        <w:rPr>
          <w:sz w:val="22"/>
          <w:szCs w:val="22"/>
          <w:lang w:val="sr-Latn-ME" w:eastAsia="bs-Latn-BA"/>
        </w:rPr>
        <w:t xml:space="preserve"> sindromu (pažljivo određ</w:t>
      </w:r>
      <w:r w:rsidRPr="000177FB">
        <w:rPr>
          <w:sz w:val="22"/>
          <w:szCs w:val="22"/>
          <w:lang w:val="sr-Latn-ME" w:eastAsia="bs-Latn-BA"/>
        </w:rPr>
        <w:t xml:space="preserve">ivanje doze), </w:t>
      </w:r>
    </w:p>
    <w:p w:rsidR="0058469B" w:rsidRPr="000177FB" w:rsidRDefault="0058469B" w:rsidP="00661DBC">
      <w:pPr>
        <w:ind w:left="142" w:hanging="142"/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 w:eastAsia="bs-Latn-BA"/>
        </w:rPr>
        <w:t xml:space="preserve">- </w:t>
      </w:r>
      <w:proofErr w:type="spellStart"/>
      <w:r w:rsidRPr="000177FB">
        <w:rPr>
          <w:sz w:val="22"/>
          <w:szCs w:val="22"/>
          <w:lang w:val="sr-Latn-ME" w:eastAsia="bs-Latn-BA"/>
        </w:rPr>
        <w:t>hepatorenalni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sindrom (</w:t>
      </w:r>
      <w:proofErr w:type="spellStart"/>
      <w:r w:rsidR="00661DBC" w:rsidRPr="000177FB">
        <w:rPr>
          <w:sz w:val="22"/>
          <w:szCs w:val="22"/>
          <w:lang w:val="sr-Latn-ME" w:eastAsia="bs-Latn-BA"/>
        </w:rPr>
        <w:t>insuficijencija</w:t>
      </w:r>
      <w:proofErr w:type="spellEnd"/>
      <w:r w:rsidR="00661DBC" w:rsidRPr="000177FB">
        <w:rPr>
          <w:sz w:val="22"/>
          <w:szCs w:val="22"/>
          <w:lang w:val="sr-Latn-ME" w:eastAsia="bs-Latn-BA"/>
        </w:rPr>
        <w:t xml:space="preserve"> </w:t>
      </w:r>
      <w:r w:rsidRPr="000177FB">
        <w:rPr>
          <w:sz w:val="22"/>
          <w:szCs w:val="22"/>
          <w:lang w:val="sr-Latn-ME" w:eastAsia="bs-Latn-BA"/>
        </w:rPr>
        <w:t>bubrega</w:t>
      </w:r>
      <w:r w:rsidR="00EE32A4" w:rsidRPr="000177FB">
        <w:rPr>
          <w:sz w:val="22"/>
          <w:szCs w:val="22"/>
          <w:lang w:val="sr-Latn-ME" w:eastAsia="bs-Latn-BA"/>
        </w:rPr>
        <w:t xml:space="preserve"> koj</w:t>
      </w:r>
      <w:r w:rsidR="00661DBC" w:rsidRPr="000177FB">
        <w:rPr>
          <w:sz w:val="22"/>
          <w:szCs w:val="22"/>
          <w:lang w:val="sr-Latn-ME" w:eastAsia="bs-Latn-BA"/>
        </w:rPr>
        <w:t>a</w:t>
      </w:r>
      <w:r w:rsidR="00EE32A4" w:rsidRPr="000177FB">
        <w:rPr>
          <w:sz w:val="22"/>
          <w:szCs w:val="22"/>
          <w:lang w:val="sr-Latn-ME" w:eastAsia="bs-Latn-BA"/>
        </w:rPr>
        <w:t xml:space="preserve"> brzo napreduje kombinovano</w:t>
      </w:r>
      <w:r w:rsidRPr="000177FB">
        <w:rPr>
          <w:sz w:val="22"/>
          <w:szCs w:val="22"/>
          <w:lang w:val="sr-Latn-ME" w:eastAsia="bs-Latn-BA"/>
        </w:rPr>
        <w:t xml:space="preserve"> s</w:t>
      </w:r>
      <w:r w:rsidR="00661DBC" w:rsidRPr="000177FB">
        <w:rPr>
          <w:sz w:val="22"/>
          <w:szCs w:val="22"/>
          <w:lang w:val="sr-Latn-ME" w:eastAsia="bs-Latn-BA"/>
        </w:rPr>
        <w:t>a</w:t>
      </w:r>
      <w:r w:rsidRPr="000177FB">
        <w:rPr>
          <w:sz w:val="22"/>
          <w:szCs w:val="22"/>
          <w:lang w:val="sr-Latn-ME" w:eastAsia="bs-Latn-BA"/>
        </w:rPr>
        <w:t xml:space="preserve"> teškom bolesti jetre, npr. cirozom), </w:t>
      </w:r>
    </w:p>
    <w:p w:rsidR="00EE32A4" w:rsidRPr="000177FB" w:rsidRDefault="0058469B" w:rsidP="00661DBC">
      <w:pPr>
        <w:ind w:left="142" w:hanging="142"/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 w:eastAsia="bs-Latn-BA"/>
        </w:rPr>
        <w:lastRenderedPageBreak/>
        <w:t xml:space="preserve">- </w:t>
      </w:r>
      <w:r w:rsidR="00EE32A4" w:rsidRPr="000177FB">
        <w:rPr>
          <w:sz w:val="22"/>
          <w:szCs w:val="22"/>
          <w:lang w:val="sr-Latn-ME" w:eastAsia="bs-Latn-BA"/>
        </w:rPr>
        <w:t>pacijenti</w:t>
      </w:r>
      <w:r w:rsidRPr="000177FB">
        <w:rPr>
          <w:sz w:val="22"/>
          <w:szCs w:val="22"/>
          <w:lang w:val="sr-Latn-ME" w:eastAsia="bs-Latn-BA"/>
        </w:rPr>
        <w:t xml:space="preserve"> koji su izloženi posebnom riziku od neželjenog značajnog sniženja krvnoga </w:t>
      </w:r>
      <w:r w:rsidR="00661DBC" w:rsidRPr="000177FB">
        <w:rPr>
          <w:sz w:val="22"/>
          <w:szCs w:val="22"/>
          <w:lang w:val="sr-Latn-ME" w:eastAsia="bs-Latn-BA"/>
        </w:rPr>
        <w:t>pritiska</w:t>
      </w:r>
      <w:r w:rsidRPr="000177FB">
        <w:rPr>
          <w:sz w:val="22"/>
          <w:szCs w:val="22"/>
          <w:lang w:val="sr-Latn-ME" w:eastAsia="bs-Latn-BA"/>
        </w:rPr>
        <w:t xml:space="preserve">, npr. </w:t>
      </w:r>
      <w:r w:rsidR="00661DBC" w:rsidRPr="000177FB">
        <w:rPr>
          <w:sz w:val="22"/>
          <w:szCs w:val="22"/>
          <w:lang w:val="sr-Latn-ME" w:eastAsia="bs-Latn-BA"/>
        </w:rPr>
        <w:t xml:space="preserve">pacijenti </w:t>
      </w:r>
      <w:r w:rsidRPr="000177FB">
        <w:rPr>
          <w:sz w:val="22"/>
          <w:szCs w:val="22"/>
          <w:lang w:val="sr-Latn-ME" w:eastAsia="bs-Latn-BA"/>
        </w:rPr>
        <w:t>s</w:t>
      </w:r>
      <w:r w:rsidR="00661DBC" w:rsidRPr="000177FB">
        <w:rPr>
          <w:sz w:val="22"/>
          <w:szCs w:val="22"/>
          <w:lang w:val="sr-Latn-ME" w:eastAsia="bs-Latn-BA"/>
        </w:rPr>
        <w:t>a</w:t>
      </w:r>
      <w:r w:rsidRPr="000177FB">
        <w:rPr>
          <w:sz w:val="22"/>
          <w:szCs w:val="22"/>
          <w:lang w:val="sr-Latn-ME" w:eastAsia="bs-Latn-BA"/>
        </w:rPr>
        <w:t xml:space="preserve"> poremećajima </w:t>
      </w:r>
      <w:proofErr w:type="spellStart"/>
      <w:r w:rsidRPr="000177FB">
        <w:rPr>
          <w:sz w:val="22"/>
          <w:szCs w:val="22"/>
          <w:lang w:val="sr-Latn-ME" w:eastAsia="bs-Latn-BA"/>
        </w:rPr>
        <w:t>cerebrovaskularne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cirkulacije ili s</w:t>
      </w:r>
      <w:r w:rsidR="00661DBC" w:rsidRPr="000177FB">
        <w:rPr>
          <w:sz w:val="22"/>
          <w:szCs w:val="22"/>
          <w:lang w:val="sr-Latn-ME" w:eastAsia="bs-Latn-BA"/>
        </w:rPr>
        <w:t>a</w:t>
      </w:r>
      <w:r w:rsidRPr="000177FB">
        <w:rPr>
          <w:sz w:val="22"/>
          <w:szCs w:val="22"/>
          <w:lang w:val="sr-Latn-ME" w:eastAsia="bs-Latn-BA"/>
        </w:rPr>
        <w:t xml:space="preserve"> koronarnom bolesti srca,</w:t>
      </w:r>
      <w:r w:rsidR="00EE32A4" w:rsidRPr="000177FB">
        <w:rPr>
          <w:sz w:val="22"/>
          <w:szCs w:val="22"/>
          <w:lang w:val="sr-Latn-ME" w:eastAsia="bs-Latn-BA"/>
        </w:rPr>
        <w:t xml:space="preserve"> </w:t>
      </w:r>
    </w:p>
    <w:p w:rsidR="0058469B" w:rsidRPr="000177FB" w:rsidRDefault="00EE32A4" w:rsidP="00661DBC">
      <w:pPr>
        <w:ind w:left="142" w:hanging="142"/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 w:eastAsia="bs-Latn-BA"/>
        </w:rPr>
        <w:t xml:space="preserve">- </w:t>
      </w:r>
      <w:r w:rsidR="0058469B" w:rsidRPr="000177FB">
        <w:rPr>
          <w:sz w:val="22"/>
          <w:szCs w:val="22"/>
          <w:lang w:val="sr-Latn-ME"/>
        </w:rPr>
        <w:t xml:space="preserve">nedonoščad (rizik od razvoja </w:t>
      </w:r>
      <w:proofErr w:type="spellStart"/>
      <w:r w:rsidR="0058469B" w:rsidRPr="000177FB">
        <w:rPr>
          <w:sz w:val="22"/>
          <w:szCs w:val="22"/>
          <w:lang w:val="sr-Latn-ME"/>
        </w:rPr>
        <w:t>nefrokalcinoze</w:t>
      </w:r>
      <w:proofErr w:type="spellEnd"/>
      <w:r w:rsidR="0058469B" w:rsidRPr="000177FB">
        <w:rPr>
          <w:sz w:val="22"/>
          <w:szCs w:val="22"/>
          <w:lang w:val="sr-Latn-ME"/>
        </w:rPr>
        <w:t>/</w:t>
      </w:r>
      <w:proofErr w:type="spellStart"/>
      <w:r w:rsidR="0058469B" w:rsidRPr="000177FB">
        <w:rPr>
          <w:sz w:val="22"/>
          <w:szCs w:val="22"/>
          <w:lang w:val="sr-Latn-ME"/>
        </w:rPr>
        <w:t>nefrolitijaze</w:t>
      </w:r>
      <w:proofErr w:type="spellEnd"/>
      <w:r w:rsidR="0058469B" w:rsidRPr="000177FB">
        <w:rPr>
          <w:sz w:val="22"/>
          <w:szCs w:val="22"/>
          <w:lang w:val="sr-Latn-ME"/>
        </w:rPr>
        <w:t xml:space="preserve">; </w:t>
      </w:r>
      <w:r w:rsidR="00661DBC" w:rsidRPr="000177FB">
        <w:rPr>
          <w:sz w:val="22"/>
          <w:szCs w:val="22"/>
          <w:lang w:val="sr-Latn-ME"/>
        </w:rPr>
        <w:t xml:space="preserve">praćenje </w:t>
      </w:r>
      <w:r w:rsidR="0058469B" w:rsidRPr="000177FB">
        <w:rPr>
          <w:sz w:val="22"/>
          <w:szCs w:val="22"/>
          <w:lang w:val="sr-Latn-ME"/>
        </w:rPr>
        <w:t xml:space="preserve">bubrežne funkcije, ultrazvuk bubrega). </w:t>
      </w:r>
    </w:p>
    <w:p w:rsidR="00EE32A4" w:rsidRPr="000177FB" w:rsidRDefault="00EE32A4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Simptomatska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hipotenzija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koja dovodi do omaglice, nesvjestice ili gubitka svijesti može se javiti kod </w:t>
      </w:r>
      <w:r w:rsidR="00EE32A4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pacijenat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a liječenih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furosemidom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</w:t>
      </w:r>
      <w:r w:rsidR="00EE32A4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naročito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kod starijih, kod </w:t>
      </w:r>
      <w:r w:rsidR="00EE32A4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pacijenata na drugim l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jekovima koji mogu uzrokovati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hipotenziju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</w:t>
      </w:r>
      <w:r w:rsidR="00EE32A4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pacijenata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</w:t>
      </w:r>
      <w:r w:rsidR="004034E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drugim medicinskim stanjima koja su rizik za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hipotenziju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F20211" w:rsidRPr="000177FB" w:rsidRDefault="00F2021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F2021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Kod 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nedonoščadi sa sindromom respiratornog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distresa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diuretsko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liječenje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furosemidom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u prvim </w:t>
      </w:r>
      <w:r w:rsidR="004034E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nedjeljama 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života može povećati rizik od otvorenog arterijskog duktusa (PDA). </w:t>
      </w:r>
    </w:p>
    <w:p w:rsidR="004034E2" w:rsidRPr="000177FB" w:rsidRDefault="004034E2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F2021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Kod pacijenata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</w:t>
      </w:r>
      <w:r w:rsidR="004034E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poremećajem mokrenja (npr. hipertrofijom prostate)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se može primijeniti samo ako je osiguran slobodan protok mokraće jer iznenadno stvaranje mokraće može dovesti do 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njenog 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zadržavanja s</w:t>
      </w:r>
      <w:r w:rsidR="004034E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prevelikim širenjem </w:t>
      </w:r>
      <w:r w:rsidR="00A843D9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mokraćne </w:t>
      </w:r>
      <w:r w:rsidR="004034E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bešike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F20211" w:rsidRPr="000177FB" w:rsidRDefault="00F2021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dovodi </w:t>
      </w:r>
      <w:r w:rsidR="00F2021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do povećanog izlučivanja natrijuma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</w:t>
      </w:r>
      <w:r w:rsidR="00F2021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h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lorida, pa stoga i vode. Eliminacija drugih elektrolita (posebno kalij</w:t>
      </w:r>
      <w:r w:rsidR="00F2021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um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a, kalcij</w:t>
      </w:r>
      <w:r w:rsidR="00F2021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um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 i magnezij</w:t>
      </w:r>
      <w:r w:rsidR="00F2021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uma) takođ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e se povećava. Budući da se zbog povećanog izlučivanja elektrolita </w:t>
      </w:r>
      <w:r w:rsidR="00F2021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tokom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liječenja </w:t>
      </w:r>
      <w:proofErr w:type="spellStart"/>
      <w:r w:rsidR="00F2021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furosemidom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često primjećuje poremećaj ravnoteže elektrolita, serumsk</w:t>
      </w:r>
      <w:r w:rsidR="00F2021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 elektroliti moraju se redovno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="00F2021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kontrolisati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F20211" w:rsidRPr="000177FB" w:rsidRDefault="00F2021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F2021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Redovno se moraju kontrolis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ati vrijednosti elektrolita u serumu (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naročito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kalij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um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a, natrij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um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 i kalcij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um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a), bikarbonata,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kreatinina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ureje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mokraćne kiseline kao i vrijednosti šećera u krvi, posebno kod dugotrajnog liječenja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furosemidom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.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</w:p>
    <w:p w:rsidR="00F20211" w:rsidRPr="000177FB" w:rsidRDefault="00F2021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Posebno </w:t>
      </w:r>
      <w:r w:rsidR="00F2021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pažljiv</w:t>
      </w:r>
      <w:r w:rsidR="005E7F9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="005E7F9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praćenje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potreban</w:t>
      </w:r>
      <w:r w:rsidR="005E7F9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o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je </w:t>
      </w:r>
      <w:r w:rsidR="00F2021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kod pacijenata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</w:t>
      </w:r>
      <w:r w:rsidR="004034E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visokim rizikom od razvoja poremećaja elektrolita ili u slučaju teškog gub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itka </w:t>
      </w:r>
      <w:r w:rsidR="004034E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tečnosti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(npr. </w:t>
      </w:r>
      <w:proofErr w:type="spellStart"/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usljed</w:t>
      </w:r>
      <w:proofErr w:type="spellEnd"/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povraćanja, proli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va ili intenzivnog znojenja).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Hipovolemija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ili dehidracija i izraženi poremećaji elektrolita ili narušavanje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acidobazn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</w:t>
      </w:r>
      <w:proofErr w:type="spellEnd"/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ravnoteže moraju se korigovati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Zbog toga može biti potreban privremeni prekid liječenja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furosemidom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A00E21" w:rsidRPr="000177FB" w:rsidRDefault="00A00E2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Na mogući razvoj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poremećaja elektrolita može uti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cati i osnovna bolest (npr. cir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oza jetre, </w:t>
      </w:r>
      <w:proofErr w:type="spellStart"/>
      <w:r w:rsidR="00CE0F6E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insuficijencija</w:t>
      </w:r>
      <w:proofErr w:type="spellEnd"/>
      <w:r w:rsidR="00CE0F6E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srca), l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jekovi koje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pacijent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uzima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(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pogledati dio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4.5.) i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ishrana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A00E21" w:rsidRPr="000177FB" w:rsidRDefault="00A00E21" w:rsidP="001B4E43">
      <w:pPr>
        <w:jc w:val="both"/>
        <w:rPr>
          <w:sz w:val="22"/>
          <w:szCs w:val="22"/>
          <w:lang w:val="sr-Latn-ME"/>
        </w:rPr>
      </w:pPr>
    </w:p>
    <w:p w:rsidR="0058469B" w:rsidRPr="000177FB" w:rsidRDefault="0058469B" w:rsidP="001B4E43">
      <w:pPr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/>
        </w:rPr>
        <w:t xml:space="preserve">Gubitak tjelesne </w:t>
      </w:r>
      <w:r w:rsidR="00CE0F6E" w:rsidRPr="000177FB">
        <w:rPr>
          <w:sz w:val="22"/>
          <w:szCs w:val="22"/>
          <w:lang w:val="sr-Latn-ME"/>
        </w:rPr>
        <w:t xml:space="preserve">mase </w:t>
      </w:r>
      <w:r w:rsidRPr="000177FB">
        <w:rPr>
          <w:sz w:val="22"/>
          <w:szCs w:val="22"/>
          <w:lang w:val="sr-Latn-ME"/>
        </w:rPr>
        <w:t>uzrokovan izlučivanjem mokraće ne smij</w:t>
      </w:r>
      <w:r w:rsidR="00A00E21" w:rsidRPr="000177FB">
        <w:rPr>
          <w:sz w:val="22"/>
          <w:szCs w:val="22"/>
          <w:lang w:val="sr-Latn-ME"/>
        </w:rPr>
        <w:t xml:space="preserve">e </w:t>
      </w:r>
      <w:proofErr w:type="spellStart"/>
      <w:r w:rsidR="00A00E21" w:rsidRPr="000177FB">
        <w:rPr>
          <w:sz w:val="22"/>
          <w:szCs w:val="22"/>
          <w:lang w:val="sr-Latn-ME"/>
        </w:rPr>
        <w:t>preći</w:t>
      </w:r>
      <w:proofErr w:type="spellEnd"/>
      <w:r w:rsidR="00A00E21" w:rsidRPr="000177FB">
        <w:rPr>
          <w:sz w:val="22"/>
          <w:szCs w:val="22"/>
          <w:lang w:val="sr-Latn-ME"/>
        </w:rPr>
        <w:t xml:space="preserve"> 1kg/dan bez obzira na stepen </w:t>
      </w:r>
      <w:r w:rsidRPr="000177FB">
        <w:rPr>
          <w:sz w:val="22"/>
          <w:szCs w:val="22"/>
          <w:lang w:val="sr-Latn-ME"/>
        </w:rPr>
        <w:t>izlučivanja mokraće.</w:t>
      </w:r>
    </w:p>
    <w:p w:rsidR="00A00E21" w:rsidRPr="000177FB" w:rsidRDefault="00A00E2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U slučaju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nefrotskog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sindroma dozu treba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pažljivo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prilagoditi zbog rizika od povećanja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neželjenih dejstava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A00E21" w:rsidRPr="000177FB" w:rsidRDefault="00A00E2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Primjena </w:t>
      </w:r>
      <w:proofErr w:type="spellStart"/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furosemide</w:t>
      </w:r>
      <w:proofErr w:type="spellEnd"/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može dati pozitivne rezultate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dopinških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testova. Osim toga, uzimanje </w:t>
      </w:r>
      <w:proofErr w:type="spellStart"/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kao dop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ing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sredstva može ugroziti zdravlje. </w:t>
      </w:r>
    </w:p>
    <w:p w:rsidR="00A00E21" w:rsidRPr="000177FB" w:rsidRDefault="00A00E2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Postoji mogućnost pogoršanja ili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aktivacije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sistemskog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eritemskog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lupusa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A00E2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u w:val="single"/>
          <w:lang w:val="sr-Latn-ME"/>
        </w:rPr>
        <w:t>Istovremena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u w:val="single"/>
          <w:lang w:val="sr-Latn-ME"/>
        </w:rPr>
        <w:t xml:space="preserve"> primjena s</w:t>
      </w:r>
      <w:r w:rsidRPr="000177FB">
        <w:rPr>
          <w:rFonts w:ascii="Times New Roman" w:hAnsi="Times New Roman" w:cs="Times New Roman"/>
          <w:color w:val="auto"/>
          <w:sz w:val="22"/>
          <w:szCs w:val="22"/>
          <w:u w:val="single"/>
          <w:lang w:val="sr-Latn-ME"/>
        </w:rPr>
        <w:t>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u w:val="single"/>
          <w:lang w:val="sr-Latn-ME"/>
        </w:rPr>
        <w:t xml:space="preserve">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u w:val="single"/>
          <w:lang w:val="sr-Latn-ME"/>
        </w:rPr>
        <w:t>risperidonom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u w:val="single"/>
          <w:lang w:val="sr-Latn-ME"/>
        </w:rPr>
        <w:t xml:space="preserve"> </w:t>
      </w:r>
    </w:p>
    <w:p w:rsidR="00A00E21" w:rsidRPr="000177FB" w:rsidRDefault="00A00E21" w:rsidP="00A00E21">
      <w:p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U </w:t>
      </w:r>
      <w:proofErr w:type="spellStart"/>
      <w:r w:rsidRPr="000177FB">
        <w:rPr>
          <w:sz w:val="22"/>
          <w:szCs w:val="22"/>
          <w:lang w:val="sr-Latn-ME"/>
        </w:rPr>
        <w:t>placebom</w:t>
      </w:r>
      <w:proofErr w:type="spellEnd"/>
      <w:r w:rsidRPr="000177FB">
        <w:rPr>
          <w:sz w:val="22"/>
          <w:szCs w:val="22"/>
          <w:lang w:val="sr-Latn-ME"/>
        </w:rPr>
        <w:t xml:space="preserve"> kontrolisanim kliničkim ispitivanjima s</w:t>
      </w:r>
      <w:r w:rsidR="00CE0F6E" w:rsidRPr="000177FB">
        <w:rPr>
          <w:sz w:val="22"/>
          <w:szCs w:val="22"/>
          <w:lang w:val="sr-Latn-ME"/>
        </w:rPr>
        <w:t>a</w:t>
      </w:r>
      <w:r w:rsidRPr="000177FB">
        <w:rPr>
          <w:sz w:val="22"/>
          <w:szCs w:val="22"/>
          <w:lang w:val="sr-Latn-ME"/>
        </w:rPr>
        <w:t xml:space="preserve"> </w:t>
      </w:r>
      <w:proofErr w:type="spellStart"/>
      <w:r w:rsidRPr="000177FB">
        <w:rPr>
          <w:sz w:val="22"/>
          <w:szCs w:val="22"/>
          <w:lang w:val="sr-Latn-ME"/>
        </w:rPr>
        <w:t>risperidonom</w:t>
      </w:r>
      <w:proofErr w:type="spellEnd"/>
      <w:r w:rsidRPr="000177FB">
        <w:rPr>
          <w:sz w:val="22"/>
          <w:szCs w:val="22"/>
          <w:lang w:val="sr-Latn-ME"/>
        </w:rPr>
        <w:t xml:space="preserve"> kod starijih pacijenata sa demencijom, zabilježena je veća </w:t>
      </w:r>
      <w:proofErr w:type="spellStart"/>
      <w:r w:rsidRPr="000177FB">
        <w:rPr>
          <w:sz w:val="22"/>
          <w:szCs w:val="22"/>
          <w:lang w:val="sr-Latn-ME"/>
        </w:rPr>
        <w:t>incidenca</w:t>
      </w:r>
      <w:proofErr w:type="spellEnd"/>
      <w:r w:rsidRPr="000177FB">
        <w:rPr>
          <w:sz w:val="22"/>
          <w:szCs w:val="22"/>
          <w:lang w:val="sr-Latn-ME"/>
        </w:rPr>
        <w:t xml:space="preserve"> smrtnosti kod pacijenata koji su istovremeno liječeni </w:t>
      </w:r>
      <w:proofErr w:type="spellStart"/>
      <w:r w:rsidRPr="000177FB">
        <w:rPr>
          <w:sz w:val="22"/>
          <w:szCs w:val="22"/>
          <w:lang w:val="sr-Latn-ME"/>
        </w:rPr>
        <w:t>furosemidom</w:t>
      </w:r>
      <w:proofErr w:type="spellEnd"/>
      <w:r w:rsidRPr="000177FB">
        <w:rPr>
          <w:sz w:val="22"/>
          <w:szCs w:val="22"/>
          <w:lang w:val="sr-Latn-ME"/>
        </w:rPr>
        <w:t xml:space="preserve"> i </w:t>
      </w:r>
      <w:proofErr w:type="spellStart"/>
      <w:r w:rsidRPr="000177FB">
        <w:rPr>
          <w:sz w:val="22"/>
          <w:szCs w:val="22"/>
          <w:lang w:val="sr-Latn-ME"/>
        </w:rPr>
        <w:t>risperidonom</w:t>
      </w:r>
      <w:proofErr w:type="spellEnd"/>
      <w:r w:rsidRPr="000177FB">
        <w:rPr>
          <w:sz w:val="22"/>
          <w:szCs w:val="22"/>
          <w:lang w:val="sr-Latn-ME"/>
        </w:rPr>
        <w:t xml:space="preserve"> (7,3%, </w:t>
      </w:r>
      <w:r w:rsidR="00CE0F6E" w:rsidRPr="000177FB">
        <w:rPr>
          <w:sz w:val="22"/>
          <w:szCs w:val="22"/>
          <w:lang w:val="sr-Latn-ME"/>
        </w:rPr>
        <w:t>prosječna starost</w:t>
      </w:r>
      <w:r w:rsidRPr="000177FB">
        <w:rPr>
          <w:sz w:val="22"/>
          <w:szCs w:val="22"/>
          <w:lang w:val="sr-Latn-ME"/>
        </w:rPr>
        <w:t xml:space="preserve"> 89 godina, raspon 75-97 godina), nego u pacijenata liječenih samo </w:t>
      </w:r>
      <w:proofErr w:type="spellStart"/>
      <w:r w:rsidRPr="000177FB">
        <w:rPr>
          <w:sz w:val="22"/>
          <w:szCs w:val="22"/>
          <w:lang w:val="sr-Latn-ME"/>
        </w:rPr>
        <w:t>risperidonom</w:t>
      </w:r>
      <w:proofErr w:type="spellEnd"/>
      <w:r w:rsidRPr="000177FB">
        <w:rPr>
          <w:sz w:val="22"/>
          <w:szCs w:val="22"/>
          <w:lang w:val="sr-Latn-ME"/>
        </w:rPr>
        <w:t xml:space="preserve"> (3,1%, </w:t>
      </w:r>
      <w:r w:rsidR="005E7F91" w:rsidRPr="000177FB">
        <w:rPr>
          <w:sz w:val="22"/>
          <w:szCs w:val="22"/>
          <w:lang w:val="sr-Latn-ME"/>
        </w:rPr>
        <w:t>prosječna sta</w:t>
      </w:r>
      <w:r w:rsidR="00CE0F6E" w:rsidRPr="000177FB">
        <w:rPr>
          <w:sz w:val="22"/>
          <w:szCs w:val="22"/>
          <w:lang w:val="sr-Latn-ME"/>
        </w:rPr>
        <w:t>rost</w:t>
      </w:r>
      <w:r w:rsidRPr="000177FB">
        <w:rPr>
          <w:sz w:val="22"/>
          <w:szCs w:val="22"/>
          <w:lang w:val="sr-Latn-ME"/>
        </w:rPr>
        <w:t xml:space="preserve"> 84 godine, raspon 70-96 godina) ili samo </w:t>
      </w:r>
      <w:proofErr w:type="spellStart"/>
      <w:r w:rsidRPr="000177FB">
        <w:rPr>
          <w:sz w:val="22"/>
          <w:szCs w:val="22"/>
          <w:lang w:val="sr-Latn-ME"/>
        </w:rPr>
        <w:t>furosemidom</w:t>
      </w:r>
      <w:proofErr w:type="spellEnd"/>
      <w:r w:rsidRPr="000177FB">
        <w:rPr>
          <w:sz w:val="22"/>
          <w:szCs w:val="22"/>
          <w:lang w:val="sr-Latn-ME"/>
        </w:rPr>
        <w:t xml:space="preserve"> (4,1%, </w:t>
      </w:r>
      <w:r w:rsidR="00CE0F6E" w:rsidRPr="000177FB">
        <w:rPr>
          <w:sz w:val="22"/>
          <w:szCs w:val="22"/>
          <w:lang w:val="sr-Latn-ME"/>
        </w:rPr>
        <w:t>prosječna starost</w:t>
      </w:r>
      <w:r w:rsidRPr="000177FB">
        <w:rPr>
          <w:sz w:val="22"/>
          <w:szCs w:val="22"/>
          <w:lang w:val="sr-Latn-ME"/>
        </w:rPr>
        <w:t xml:space="preserve"> 80 godina, raspon 67-90 godina). Istovremena primjena </w:t>
      </w:r>
      <w:proofErr w:type="spellStart"/>
      <w:r w:rsidRPr="000177FB">
        <w:rPr>
          <w:sz w:val="22"/>
          <w:szCs w:val="22"/>
          <w:lang w:val="sr-Latn-ME"/>
        </w:rPr>
        <w:t>risperidona</w:t>
      </w:r>
      <w:proofErr w:type="spellEnd"/>
      <w:r w:rsidRPr="000177FB">
        <w:rPr>
          <w:sz w:val="22"/>
          <w:szCs w:val="22"/>
          <w:lang w:val="sr-Latn-ME"/>
        </w:rPr>
        <w:t xml:space="preserve"> i drugih </w:t>
      </w:r>
      <w:proofErr w:type="spellStart"/>
      <w:r w:rsidRPr="000177FB">
        <w:rPr>
          <w:sz w:val="22"/>
          <w:szCs w:val="22"/>
          <w:lang w:val="sr-Latn-ME"/>
        </w:rPr>
        <w:t>diuretika</w:t>
      </w:r>
      <w:proofErr w:type="spellEnd"/>
      <w:r w:rsidRPr="000177FB">
        <w:rPr>
          <w:sz w:val="22"/>
          <w:szCs w:val="22"/>
          <w:lang w:val="sr-Latn-ME"/>
        </w:rPr>
        <w:t xml:space="preserve"> (uglavnom </w:t>
      </w:r>
      <w:proofErr w:type="spellStart"/>
      <w:r w:rsidRPr="000177FB">
        <w:rPr>
          <w:sz w:val="22"/>
          <w:szCs w:val="22"/>
          <w:lang w:val="sr-Latn-ME"/>
        </w:rPr>
        <w:t>tiazida</w:t>
      </w:r>
      <w:proofErr w:type="spellEnd"/>
      <w:r w:rsidRPr="000177FB">
        <w:rPr>
          <w:sz w:val="22"/>
          <w:szCs w:val="22"/>
          <w:lang w:val="sr-Latn-ME"/>
        </w:rPr>
        <w:t xml:space="preserve"> u malim dozama) nije bila povezana sa sličnim nalazima.</w:t>
      </w:r>
    </w:p>
    <w:p w:rsidR="00A00E21" w:rsidRPr="000177FB" w:rsidRDefault="00A00E21" w:rsidP="00A00E21">
      <w:pPr>
        <w:jc w:val="both"/>
        <w:rPr>
          <w:sz w:val="22"/>
          <w:szCs w:val="22"/>
          <w:lang w:val="sr-Latn-ME"/>
        </w:rPr>
      </w:pPr>
    </w:p>
    <w:p w:rsidR="00A00E21" w:rsidRPr="000177FB" w:rsidRDefault="00A00E21" w:rsidP="00A00E21">
      <w:p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Tačan </w:t>
      </w:r>
      <w:proofErr w:type="spellStart"/>
      <w:r w:rsidRPr="000177FB">
        <w:rPr>
          <w:sz w:val="22"/>
          <w:szCs w:val="22"/>
          <w:lang w:val="sr-Latn-ME"/>
        </w:rPr>
        <w:t>patofiziološki</w:t>
      </w:r>
      <w:proofErr w:type="spellEnd"/>
      <w:r w:rsidRPr="000177FB">
        <w:rPr>
          <w:sz w:val="22"/>
          <w:szCs w:val="22"/>
          <w:lang w:val="sr-Latn-ME"/>
        </w:rPr>
        <w:t xml:space="preserve"> mehanizam potreban za objašnjenje ovih nalaza nije utvrđen, niti je ustanovljen dosljedan obrazac uzroka smrti. Ipak, prije odluke o istovremenoj primjeni </w:t>
      </w:r>
      <w:proofErr w:type="spellStart"/>
      <w:r w:rsidRPr="000177FB">
        <w:rPr>
          <w:sz w:val="22"/>
          <w:szCs w:val="22"/>
          <w:lang w:val="sr-Latn-ME"/>
        </w:rPr>
        <w:t>risperidona</w:t>
      </w:r>
      <w:proofErr w:type="spellEnd"/>
      <w:r w:rsidRPr="000177FB">
        <w:rPr>
          <w:sz w:val="22"/>
          <w:szCs w:val="22"/>
          <w:lang w:val="sr-Latn-ME"/>
        </w:rPr>
        <w:t xml:space="preserve"> i </w:t>
      </w:r>
      <w:proofErr w:type="spellStart"/>
      <w:r w:rsidRPr="000177FB">
        <w:rPr>
          <w:sz w:val="22"/>
          <w:szCs w:val="22"/>
          <w:lang w:val="sr-Latn-ME"/>
        </w:rPr>
        <w:t>furosemida</w:t>
      </w:r>
      <w:proofErr w:type="spellEnd"/>
      <w:r w:rsidRPr="000177FB">
        <w:rPr>
          <w:sz w:val="22"/>
          <w:szCs w:val="22"/>
          <w:lang w:val="sr-Latn-ME"/>
        </w:rPr>
        <w:t xml:space="preserve">, odnosno, drugih snažnih </w:t>
      </w:r>
      <w:proofErr w:type="spellStart"/>
      <w:r w:rsidRPr="000177FB">
        <w:rPr>
          <w:sz w:val="22"/>
          <w:szCs w:val="22"/>
          <w:lang w:val="sr-Latn-ME"/>
        </w:rPr>
        <w:t>diuretika</w:t>
      </w:r>
      <w:proofErr w:type="spellEnd"/>
      <w:r w:rsidRPr="000177FB">
        <w:rPr>
          <w:sz w:val="22"/>
          <w:szCs w:val="22"/>
          <w:lang w:val="sr-Latn-ME"/>
        </w:rPr>
        <w:t xml:space="preserve">, potreban je oprez, te pažljiva procjena rizika i koristi primjene takve </w:t>
      </w:r>
      <w:r w:rsidRPr="000177FB">
        <w:rPr>
          <w:sz w:val="22"/>
          <w:szCs w:val="22"/>
          <w:lang w:val="sr-Latn-ME"/>
        </w:rPr>
        <w:lastRenderedPageBreak/>
        <w:t xml:space="preserve">kombinacije ljekova. Nezavisno od liječenja, dehidracija je bila glavni faktor rizika za smrtnost, zbog čega je treba izbjegavati </w:t>
      </w:r>
      <w:r w:rsidR="00273AEB" w:rsidRPr="000177FB">
        <w:rPr>
          <w:sz w:val="22"/>
          <w:szCs w:val="22"/>
          <w:lang w:val="sr-Latn-ME"/>
        </w:rPr>
        <w:t>kod</w:t>
      </w:r>
      <w:r w:rsidRPr="000177FB">
        <w:rPr>
          <w:sz w:val="22"/>
          <w:szCs w:val="22"/>
          <w:lang w:val="sr-Latn-ME"/>
        </w:rPr>
        <w:t xml:space="preserve"> starijih pacijenata s</w:t>
      </w:r>
      <w:r w:rsidR="00273AEB" w:rsidRPr="000177FB">
        <w:rPr>
          <w:sz w:val="22"/>
          <w:szCs w:val="22"/>
          <w:lang w:val="sr-Latn-ME"/>
        </w:rPr>
        <w:t>a</w:t>
      </w:r>
      <w:r w:rsidRPr="000177FB">
        <w:rPr>
          <w:sz w:val="22"/>
          <w:szCs w:val="22"/>
          <w:lang w:val="sr-Latn-ME"/>
        </w:rPr>
        <w:t xml:space="preserve"> demencijom (pogledati dio 4.3.).</w:t>
      </w:r>
    </w:p>
    <w:p w:rsidR="0058469B" w:rsidRPr="000177FB" w:rsidRDefault="0058469B" w:rsidP="001B4E43">
      <w:pPr>
        <w:jc w:val="both"/>
        <w:rPr>
          <w:sz w:val="22"/>
          <w:szCs w:val="22"/>
          <w:lang w:val="sr-Latn-ME" w:eastAsia="bs-Latn-BA"/>
        </w:rPr>
      </w:pPr>
    </w:p>
    <w:p w:rsidR="00D30EFF" w:rsidRPr="000177FB" w:rsidRDefault="00CE0F6E" w:rsidP="001B4E43">
      <w:p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 w:eastAsia="bs-Latn-BA"/>
        </w:rPr>
        <w:t xml:space="preserve">Lijek </w:t>
      </w:r>
      <w:r w:rsidR="00D30EFF" w:rsidRPr="000177FB">
        <w:rPr>
          <w:sz w:val="22"/>
          <w:szCs w:val="22"/>
          <w:lang w:val="sr-Latn-ME" w:eastAsia="bs-Latn-BA"/>
        </w:rPr>
        <w:t xml:space="preserve">LODIX 40 mg tablete sadrže laktozu. </w:t>
      </w:r>
      <w:r w:rsidR="00D30EFF" w:rsidRPr="000177FB">
        <w:rPr>
          <w:sz w:val="22"/>
          <w:szCs w:val="22"/>
          <w:lang w:val="sr-Latn-ME"/>
        </w:rPr>
        <w:t>Pacijenti s</w:t>
      </w:r>
      <w:r w:rsidRPr="000177FB">
        <w:rPr>
          <w:sz w:val="22"/>
          <w:szCs w:val="22"/>
          <w:lang w:val="sr-Latn-ME"/>
        </w:rPr>
        <w:t>a</w:t>
      </w:r>
      <w:r w:rsidR="00D30EFF" w:rsidRPr="000177FB">
        <w:rPr>
          <w:sz w:val="22"/>
          <w:szCs w:val="22"/>
          <w:lang w:val="sr-Latn-ME"/>
        </w:rPr>
        <w:t xml:space="preserve"> rijetkim </w:t>
      </w:r>
      <w:proofErr w:type="spellStart"/>
      <w:r w:rsidR="00D30EFF" w:rsidRPr="000177FB">
        <w:rPr>
          <w:sz w:val="22"/>
          <w:szCs w:val="22"/>
          <w:lang w:val="sr-Latn-ME"/>
        </w:rPr>
        <w:t>nasljednim</w:t>
      </w:r>
      <w:proofErr w:type="spellEnd"/>
      <w:r w:rsidR="00D30EFF" w:rsidRPr="000177FB">
        <w:rPr>
          <w:sz w:val="22"/>
          <w:szCs w:val="22"/>
          <w:lang w:val="sr-Latn-ME"/>
        </w:rPr>
        <w:t xml:space="preserve"> poremećajem </w:t>
      </w:r>
      <w:proofErr w:type="spellStart"/>
      <w:r w:rsidR="00D30EFF" w:rsidRPr="000177FB">
        <w:rPr>
          <w:sz w:val="22"/>
          <w:szCs w:val="22"/>
          <w:lang w:val="sr-Latn-ME"/>
        </w:rPr>
        <w:t>nepodnošenja</w:t>
      </w:r>
      <w:proofErr w:type="spellEnd"/>
      <w:r w:rsidR="00D30EFF" w:rsidRPr="000177FB">
        <w:rPr>
          <w:sz w:val="22"/>
          <w:szCs w:val="22"/>
          <w:lang w:val="sr-Latn-ME"/>
        </w:rPr>
        <w:t xml:space="preserve"> </w:t>
      </w:r>
      <w:proofErr w:type="spellStart"/>
      <w:r w:rsidR="00D30EFF" w:rsidRPr="000177FB">
        <w:rPr>
          <w:sz w:val="22"/>
          <w:szCs w:val="22"/>
          <w:lang w:val="sr-Latn-ME"/>
        </w:rPr>
        <w:t>galaktoze</w:t>
      </w:r>
      <w:proofErr w:type="spellEnd"/>
      <w:r w:rsidR="00D30EFF" w:rsidRPr="000177FB">
        <w:rPr>
          <w:sz w:val="22"/>
          <w:szCs w:val="22"/>
          <w:lang w:val="sr-Latn-ME"/>
        </w:rPr>
        <w:t>, nedostatkom „</w:t>
      </w:r>
      <w:proofErr w:type="spellStart"/>
      <w:r w:rsidR="00D30EFF" w:rsidRPr="000177FB">
        <w:rPr>
          <w:i/>
          <w:sz w:val="22"/>
          <w:szCs w:val="22"/>
          <w:lang w:val="sr-Latn-ME"/>
        </w:rPr>
        <w:t>Lapp</w:t>
      </w:r>
      <w:proofErr w:type="spellEnd"/>
      <w:r w:rsidR="00D30EFF" w:rsidRPr="000177FB">
        <w:rPr>
          <w:i/>
          <w:sz w:val="22"/>
          <w:szCs w:val="22"/>
          <w:lang w:val="sr-Latn-ME"/>
        </w:rPr>
        <w:t xml:space="preserve"> </w:t>
      </w:r>
      <w:proofErr w:type="spellStart"/>
      <w:r w:rsidR="000765D8" w:rsidRPr="000177FB">
        <w:rPr>
          <w:i/>
          <w:sz w:val="22"/>
          <w:szCs w:val="22"/>
          <w:lang w:val="sr-Latn-ME"/>
        </w:rPr>
        <w:t>laktaze</w:t>
      </w:r>
      <w:proofErr w:type="spellEnd"/>
      <w:r w:rsidR="000765D8" w:rsidRPr="000177FB">
        <w:rPr>
          <w:i/>
          <w:sz w:val="22"/>
          <w:szCs w:val="22"/>
          <w:lang w:val="sr-Latn-ME"/>
        </w:rPr>
        <w:t xml:space="preserve">“ </w:t>
      </w:r>
      <w:r w:rsidR="000765D8" w:rsidRPr="000177FB">
        <w:rPr>
          <w:sz w:val="22"/>
          <w:szCs w:val="22"/>
          <w:lang w:val="sr-Latn-ME"/>
        </w:rPr>
        <w:t>ili</w:t>
      </w:r>
      <w:r w:rsidR="00D30EFF" w:rsidRPr="000177FB">
        <w:rPr>
          <w:sz w:val="22"/>
          <w:szCs w:val="22"/>
          <w:lang w:val="sr-Latn-ME"/>
        </w:rPr>
        <w:t xml:space="preserve"> s</w:t>
      </w:r>
      <w:r w:rsidRPr="000177FB">
        <w:rPr>
          <w:sz w:val="22"/>
          <w:szCs w:val="22"/>
          <w:lang w:val="sr-Latn-ME"/>
        </w:rPr>
        <w:t>a</w:t>
      </w:r>
      <w:r w:rsidR="00D30EFF" w:rsidRPr="000177FB">
        <w:rPr>
          <w:sz w:val="22"/>
          <w:szCs w:val="22"/>
          <w:lang w:val="sr-Latn-ME"/>
        </w:rPr>
        <w:t xml:space="preserve"> glukoza-</w:t>
      </w:r>
      <w:proofErr w:type="spellStart"/>
      <w:r w:rsidR="00D30EFF" w:rsidRPr="000177FB">
        <w:rPr>
          <w:sz w:val="22"/>
          <w:szCs w:val="22"/>
          <w:lang w:val="sr-Latn-ME"/>
        </w:rPr>
        <w:t>galaktoza</w:t>
      </w:r>
      <w:proofErr w:type="spellEnd"/>
      <w:r w:rsidR="00D30EFF" w:rsidRPr="000177FB">
        <w:rPr>
          <w:sz w:val="22"/>
          <w:szCs w:val="22"/>
          <w:lang w:val="sr-Latn-ME"/>
        </w:rPr>
        <w:t xml:space="preserve"> </w:t>
      </w:r>
      <w:proofErr w:type="spellStart"/>
      <w:r w:rsidR="00D30EFF" w:rsidRPr="000177FB">
        <w:rPr>
          <w:sz w:val="22"/>
          <w:szCs w:val="22"/>
          <w:lang w:val="sr-Latn-ME"/>
        </w:rPr>
        <w:t>malapsorpcijom</w:t>
      </w:r>
      <w:proofErr w:type="spellEnd"/>
      <w:r w:rsidR="00D30EFF" w:rsidRPr="000177FB">
        <w:rPr>
          <w:sz w:val="22"/>
          <w:szCs w:val="22"/>
          <w:lang w:val="sr-Latn-ME"/>
        </w:rPr>
        <w:t xml:space="preserve">, ne bi </w:t>
      </w:r>
      <w:r w:rsidRPr="000177FB">
        <w:rPr>
          <w:sz w:val="22"/>
          <w:szCs w:val="22"/>
          <w:lang w:val="sr-Latn-ME"/>
        </w:rPr>
        <w:t xml:space="preserve">smjeli uzimati </w:t>
      </w:r>
      <w:r w:rsidR="00D30EFF" w:rsidRPr="000177FB">
        <w:rPr>
          <w:sz w:val="22"/>
          <w:szCs w:val="22"/>
          <w:lang w:val="sr-Latn-ME"/>
        </w:rPr>
        <w:t xml:space="preserve">ovaj lijek. </w:t>
      </w:r>
    </w:p>
    <w:p w:rsidR="00056375" w:rsidRPr="000177FB" w:rsidRDefault="00056375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0177FB" w:rsidRDefault="00411B4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>4.5.</w:t>
      </w:r>
      <w:r w:rsidR="000D60CC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58469B" w:rsidRPr="000177FB" w:rsidRDefault="0058469B" w:rsidP="001B4E43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bs-Latn-BA"/>
        </w:rPr>
      </w:pPr>
    </w:p>
    <w:p w:rsidR="0058469B" w:rsidRPr="000177FB" w:rsidRDefault="00A00E2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Istovremeno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uzimanje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glukokortikoida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karbenoksolona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ili laksativa može dovesti do povećanog gubitka kalij</w:t>
      </w:r>
      <w:r w:rsidR="00A937BC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uma s</w:t>
      </w:r>
      <w:r w:rsidR="00F6227F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="00A937BC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rizikom od </w:t>
      </w:r>
      <w:proofErr w:type="spellStart"/>
      <w:r w:rsidR="00A937BC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hipokal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ij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emije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. Veli</w:t>
      </w:r>
      <w:r w:rsidR="00A937BC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ke količine </w:t>
      </w:r>
      <w:proofErr w:type="spellStart"/>
      <w:r w:rsidR="00A937BC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sladića</w:t>
      </w:r>
      <w:proofErr w:type="spellEnd"/>
      <w:r w:rsidR="00A937BC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(</w:t>
      </w:r>
      <w:proofErr w:type="spellStart"/>
      <w:r w:rsidR="00A937BC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likoricije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) djeluju kao i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karbenoksolon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CC0048" w:rsidRPr="000177FB" w:rsidRDefault="00CC0048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A937BC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Nesteroidni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antiinflamatorni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l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jekovi (npr.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indometacin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acetilsalicilatna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kiselina) mogu smanjiti 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efekat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primjena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nesteroidnih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antiinflamatornih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l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jekova može 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podstaći 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akutn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insuficijenciju</w:t>
      </w:r>
      <w:proofErr w:type="spellEnd"/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bubrega 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kod 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pacijenata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kod kojih se to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kom terapije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furosemidom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razvije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hipovolemija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ili 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kod pacijenata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koji su dehidrirani. </w:t>
      </w:r>
    </w:p>
    <w:p w:rsidR="00CC0048" w:rsidRPr="000177FB" w:rsidRDefault="00CC0048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Pr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obenecid</w:t>
      </w:r>
      <w:proofErr w:type="spellEnd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</w:t>
      </w:r>
      <w:proofErr w:type="spellStart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metotreksat</w:t>
      </w:r>
      <w:proofErr w:type="spellEnd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drugi l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jekovi koji se, poput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ekstenzivno izlučuju u bubrežne kanale, mogu smanjiti 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efekat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CC0048" w:rsidRPr="000177FB" w:rsidRDefault="00CC0048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Pri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j primjeni s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fe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nitoinom</w:t>
      </w:r>
      <w:proofErr w:type="spellEnd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zabilježen je smanjen efekat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CC0048" w:rsidRPr="000177FB" w:rsidRDefault="00CC0048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Kako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sukralfat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smanjuje 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re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sorpciju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iz crijeva 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tako smanjuje njegov 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efekat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, potreban je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razmak od barem 2 sata izm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đ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u uzimanja 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ova dva lijeka.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</w:p>
    <w:p w:rsidR="00CC0048" w:rsidRPr="000177FB" w:rsidRDefault="00CC0048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Pri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j primjeni s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a srčanim </w:t>
      </w:r>
      <w:proofErr w:type="spellStart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glikozidima</w:t>
      </w:r>
      <w:proofErr w:type="spellEnd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</w:t>
      </w:r>
      <w:proofErr w:type="spellStart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hipokal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ij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emija</w:t>
      </w:r>
      <w:proofErr w:type="spellEnd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i/ili </w:t>
      </w:r>
      <w:proofErr w:type="spellStart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hipomagnez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ij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mija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povezana s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uzimanjem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povećava osjetljivost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miokarda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na srčane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glikozide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Postoji veći rizik </w:t>
      </w:r>
      <w:r w:rsidR="005E7F9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od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ventrikularnih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aritmija (uključujući </w:t>
      </w:r>
      <w:proofErr w:type="spellStart"/>
      <w:r w:rsidRPr="000177FB">
        <w:rPr>
          <w:rFonts w:ascii="Times New Roman" w:hAnsi="Times New Roman" w:cs="Times New Roman"/>
          <w:i/>
          <w:iCs/>
          <w:color w:val="auto"/>
          <w:sz w:val="22"/>
          <w:szCs w:val="22"/>
          <w:lang w:val="sr-Latn-ME"/>
        </w:rPr>
        <w:t>torsades</w:t>
      </w:r>
      <w:proofErr w:type="spellEnd"/>
      <w:r w:rsidRPr="000177FB">
        <w:rPr>
          <w:rFonts w:ascii="Times New Roman" w:hAnsi="Times New Roman" w:cs="Times New Roman"/>
          <w:i/>
          <w:iCs/>
          <w:color w:val="auto"/>
          <w:sz w:val="22"/>
          <w:szCs w:val="22"/>
          <w:lang w:val="sr-Latn-ME"/>
        </w:rPr>
        <w:t xml:space="preserve"> de </w:t>
      </w:r>
      <w:proofErr w:type="spellStart"/>
      <w:r w:rsidRPr="000177FB">
        <w:rPr>
          <w:rFonts w:ascii="Times New Roman" w:hAnsi="Times New Roman" w:cs="Times New Roman"/>
          <w:i/>
          <w:iCs/>
          <w:color w:val="auto"/>
          <w:sz w:val="22"/>
          <w:szCs w:val="22"/>
          <w:lang w:val="sr-Latn-ME"/>
        </w:rPr>
        <w:t>pointes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) ako se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uzima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istovremeno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sa l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jekovima koji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produ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žuju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QT interval (npr.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terfenadin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neki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antiaritmici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grupe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grupe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III), kao i 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kod pacijenata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poremećajima elektrolita. </w:t>
      </w:r>
    </w:p>
    <w:p w:rsidR="00CC0048" w:rsidRPr="000177FB" w:rsidRDefault="00CC0048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Toksičnost velikih doza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salicilata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može se pojačati kad se oni primjenjuju zajedno s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furosemidom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CC0048" w:rsidRPr="000177FB" w:rsidRDefault="00CC0048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može pojačati štetne 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efekte </w:t>
      </w:r>
      <w:proofErr w:type="spellStart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nefrotoksičnih</w:t>
      </w:r>
      <w:proofErr w:type="spellEnd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l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jekova (npr. antibiotika poput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aminoglikozida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cefalosporina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polimiksina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). </w:t>
      </w:r>
    </w:p>
    <w:p w:rsidR="00CC0048" w:rsidRPr="000177FB" w:rsidRDefault="00CC0048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Pogoršanje funkcije bubrega može se opaziti 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kod pacijenata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koji se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liječe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furosemidom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velikim dozama nekih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cefalosporina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CC0048" w:rsidRPr="000177FB" w:rsidRDefault="00CC0048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Ototoksičnost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aminoglikozida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(npr.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kanamicina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gentamicina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tobramicina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) i drugih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ototoksičnih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ljekova može se povećati pri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j primjeni s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furosemidom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. Svaki poreme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ćaj sluha do kojega pri tome dođ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 može biti ireverzibilan. Isto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vremenu primjenu gore spomenutih ljekova treba, zbog t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oga, izbjegavati. </w:t>
      </w:r>
    </w:p>
    <w:p w:rsidR="00CC0048" w:rsidRPr="000177FB" w:rsidRDefault="00CC0048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Ako se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primjenjuju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cisplatin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</w:t>
      </w:r>
      <w:proofErr w:type="spellStart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</w:t>
      </w:r>
      <w:proofErr w:type="spellEnd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,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može doći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do oštećenja sluha. Ako se to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kom uzimanja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cisplatina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poku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ša </w:t>
      </w:r>
      <w:proofErr w:type="spellStart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furosemidom</w:t>
      </w:r>
      <w:proofErr w:type="spellEnd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forsirati </w:t>
      </w:r>
      <w:proofErr w:type="spellStart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diureza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, smiju se dati samo male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doze </w:t>
      </w:r>
      <w:proofErr w:type="spellStart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(npr. 40 mg kod pacijenat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 s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normalnom bubrežnom funkcijom) i to onda ka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d je pozitivna ravnoteža tečnosti. U suprotnom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može doći do jačanja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nefrotoksičnosti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cisplatina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CC0048" w:rsidRPr="000177FB" w:rsidRDefault="00CC0048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A00E2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primjena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litij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um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 dovodi do poja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čanih srčanih i </w:t>
      </w:r>
      <w:proofErr w:type="spellStart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neurotoksičnih</w:t>
      </w:r>
      <w:proofErr w:type="spellEnd"/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efekata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litij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um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 i to zbog smanjenog izlučivanja litij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uma. Stoga se preporučuje pažljiv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o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praćenje 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serumskih vrijednosti litij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um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a </w:t>
      </w:r>
      <w:r w:rsidR="00CC0048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kod pacijenata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koji primaju tu kombinaciju. </w:t>
      </w:r>
    </w:p>
    <w:p w:rsidR="00CC0048" w:rsidRPr="000177FB" w:rsidRDefault="00CC0048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58469B" w:rsidRPr="000177FB" w:rsidRDefault="0058469B" w:rsidP="001B4E43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/>
        </w:rPr>
        <w:t xml:space="preserve">Ako se </w:t>
      </w:r>
      <w:r w:rsidR="00CC0048" w:rsidRPr="000177FB">
        <w:rPr>
          <w:sz w:val="22"/>
          <w:szCs w:val="22"/>
          <w:lang w:val="sr-Latn-ME"/>
        </w:rPr>
        <w:t>to</w:t>
      </w:r>
      <w:r w:rsidRPr="000177FB">
        <w:rPr>
          <w:sz w:val="22"/>
          <w:szCs w:val="22"/>
          <w:lang w:val="sr-Latn-ME"/>
        </w:rPr>
        <w:t xml:space="preserve">kom liječenja </w:t>
      </w:r>
      <w:proofErr w:type="spellStart"/>
      <w:r w:rsidRPr="000177FB">
        <w:rPr>
          <w:sz w:val="22"/>
          <w:szCs w:val="22"/>
          <w:lang w:val="sr-Latn-ME"/>
        </w:rPr>
        <w:t>furosemidom</w:t>
      </w:r>
      <w:proofErr w:type="spellEnd"/>
      <w:r w:rsidRPr="000177FB">
        <w:rPr>
          <w:sz w:val="22"/>
          <w:szCs w:val="22"/>
          <w:lang w:val="sr-Latn-ME"/>
        </w:rPr>
        <w:t xml:space="preserve"> </w:t>
      </w:r>
      <w:r w:rsidR="00A00E21" w:rsidRPr="000177FB">
        <w:rPr>
          <w:sz w:val="22"/>
          <w:szCs w:val="22"/>
          <w:lang w:val="sr-Latn-ME"/>
        </w:rPr>
        <w:t>istovremeno</w:t>
      </w:r>
      <w:r w:rsidRPr="000177FB">
        <w:rPr>
          <w:sz w:val="22"/>
          <w:szCs w:val="22"/>
          <w:lang w:val="sr-Latn-ME"/>
        </w:rPr>
        <w:t xml:space="preserve"> uzimaju drugi </w:t>
      </w:r>
      <w:proofErr w:type="spellStart"/>
      <w:r w:rsidRPr="000177FB">
        <w:rPr>
          <w:sz w:val="22"/>
          <w:szCs w:val="22"/>
          <w:lang w:val="sr-Latn-ME"/>
        </w:rPr>
        <w:t>an</w:t>
      </w:r>
      <w:r w:rsidR="00CC0048" w:rsidRPr="000177FB">
        <w:rPr>
          <w:sz w:val="22"/>
          <w:szCs w:val="22"/>
          <w:lang w:val="sr-Latn-ME"/>
        </w:rPr>
        <w:t>tihipertenzivi</w:t>
      </w:r>
      <w:proofErr w:type="spellEnd"/>
      <w:r w:rsidR="00CC0048" w:rsidRPr="000177FB">
        <w:rPr>
          <w:sz w:val="22"/>
          <w:szCs w:val="22"/>
          <w:lang w:val="sr-Latn-ME"/>
        </w:rPr>
        <w:t xml:space="preserve">, </w:t>
      </w:r>
      <w:proofErr w:type="spellStart"/>
      <w:r w:rsidR="00CC0048" w:rsidRPr="000177FB">
        <w:rPr>
          <w:sz w:val="22"/>
          <w:szCs w:val="22"/>
          <w:lang w:val="sr-Latn-ME"/>
        </w:rPr>
        <w:t>diuretici</w:t>
      </w:r>
      <w:proofErr w:type="spellEnd"/>
      <w:r w:rsidR="00CC0048" w:rsidRPr="000177FB">
        <w:rPr>
          <w:sz w:val="22"/>
          <w:szCs w:val="22"/>
          <w:lang w:val="sr-Latn-ME"/>
        </w:rPr>
        <w:t xml:space="preserve"> ili l</w:t>
      </w:r>
      <w:r w:rsidRPr="000177FB">
        <w:rPr>
          <w:sz w:val="22"/>
          <w:szCs w:val="22"/>
          <w:lang w:val="sr-Latn-ME"/>
        </w:rPr>
        <w:t>jekovi s</w:t>
      </w:r>
      <w:r w:rsidR="00C63E30" w:rsidRPr="000177FB">
        <w:rPr>
          <w:sz w:val="22"/>
          <w:szCs w:val="22"/>
          <w:lang w:val="sr-Latn-ME"/>
        </w:rPr>
        <w:t>a</w:t>
      </w:r>
      <w:r w:rsidRPr="000177FB">
        <w:rPr>
          <w:sz w:val="22"/>
          <w:szCs w:val="22"/>
          <w:lang w:val="sr-Latn-ME"/>
        </w:rPr>
        <w:t xml:space="preserve"> </w:t>
      </w:r>
      <w:r w:rsidR="00CC0048" w:rsidRPr="000177FB">
        <w:rPr>
          <w:sz w:val="22"/>
          <w:szCs w:val="22"/>
          <w:lang w:val="sr-Latn-ME"/>
        </w:rPr>
        <w:t>efektom</w:t>
      </w:r>
      <w:r w:rsidRPr="000177FB">
        <w:rPr>
          <w:sz w:val="22"/>
          <w:szCs w:val="22"/>
          <w:lang w:val="sr-Latn-ME"/>
        </w:rPr>
        <w:t xml:space="preserve"> na snižavanje krvnoga </w:t>
      </w:r>
      <w:r w:rsidR="00CC0048" w:rsidRPr="000177FB">
        <w:rPr>
          <w:sz w:val="22"/>
          <w:szCs w:val="22"/>
          <w:lang w:val="sr-Latn-ME"/>
        </w:rPr>
        <w:t>pritiska</w:t>
      </w:r>
      <w:r w:rsidRPr="000177FB">
        <w:rPr>
          <w:sz w:val="22"/>
          <w:szCs w:val="22"/>
          <w:lang w:val="sr-Latn-ME"/>
        </w:rPr>
        <w:t>, može</w:t>
      </w:r>
      <w:r w:rsidR="00CC0048" w:rsidRPr="000177FB">
        <w:rPr>
          <w:sz w:val="22"/>
          <w:szCs w:val="22"/>
          <w:lang w:val="sr-Latn-ME"/>
        </w:rPr>
        <w:t xml:space="preserve"> se očekivati veći pad krvnoga pritisk</w:t>
      </w:r>
      <w:r w:rsidRPr="000177FB">
        <w:rPr>
          <w:sz w:val="22"/>
          <w:szCs w:val="22"/>
          <w:lang w:val="sr-Latn-ME"/>
        </w:rPr>
        <w:t xml:space="preserve">a. Veliki pad krvnoga </w:t>
      </w:r>
      <w:r w:rsidR="00CC0048" w:rsidRPr="000177FB">
        <w:rPr>
          <w:sz w:val="22"/>
          <w:szCs w:val="22"/>
          <w:lang w:val="sr-Latn-ME"/>
        </w:rPr>
        <w:t>pritiska</w:t>
      </w:r>
      <w:r w:rsidRPr="000177FB">
        <w:rPr>
          <w:sz w:val="22"/>
          <w:szCs w:val="22"/>
          <w:lang w:val="sr-Latn-ME"/>
        </w:rPr>
        <w:t xml:space="preserve"> ili čak šok te pogoršanje bubrežne funkcije (u izol</w:t>
      </w:r>
      <w:r w:rsidR="00CC0048" w:rsidRPr="000177FB">
        <w:rPr>
          <w:sz w:val="22"/>
          <w:szCs w:val="22"/>
          <w:lang w:val="sr-Latn-ME"/>
        </w:rPr>
        <w:t>ovani</w:t>
      </w:r>
      <w:r w:rsidRPr="000177FB">
        <w:rPr>
          <w:sz w:val="22"/>
          <w:szCs w:val="22"/>
          <w:lang w:val="sr-Latn-ME"/>
        </w:rPr>
        <w:t xml:space="preserve">m </w:t>
      </w:r>
      <w:r w:rsidR="00CC0048" w:rsidRPr="000177FB">
        <w:rPr>
          <w:sz w:val="22"/>
          <w:szCs w:val="22"/>
          <w:lang w:val="sr-Latn-ME"/>
        </w:rPr>
        <w:t>slučajevima i akutn</w:t>
      </w:r>
      <w:r w:rsidR="00C63E30" w:rsidRPr="000177FB">
        <w:rPr>
          <w:sz w:val="22"/>
          <w:szCs w:val="22"/>
          <w:lang w:val="sr-Latn-ME"/>
        </w:rPr>
        <w:t>a</w:t>
      </w:r>
      <w:r w:rsidR="00CC0048" w:rsidRPr="000177FB">
        <w:rPr>
          <w:sz w:val="22"/>
          <w:szCs w:val="22"/>
          <w:lang w:val="sr-Latn-ME"/>
        </w:rPr>
        <w:t xml:space="preserve"> </w:t>
      </w:r>
      <w:proofErr w:type="spellStart"/>
      <w:r w:rsidR="00C63E30" w:rsidRPr="000177FB">
        <w:rPr>
          <w:sz w:val="22"/>
          <w:szCs w:val="22"/>
          <w:lang w:val="sr-Latn-ME"/>
        </w:rPr>
        <w:t>insuficijencija</w:t>
      </w:r>
      <w:proofErr w:type="spellEnd"/>
      <w:r w:rsidR="00C63E30" w:rsidRPr="000177FB">
        <w:rPr>
          <w:sz w:val="22"/>
          <w:szCs w:val="22"/>
          <w:lang w:val="sr-Latn-ME"/>
        </w:rPr>
        <w:t xml:space="preserve"> </w:t>
      </w:r>
      <w:r w:rsidRPr="000177FB">
        <w:rPr>
          <w:sz w:val="22"/>
          <w:szCs w:val="22"/>
          <w:lang w:val="sr-Latn-ME"/>
        </w:rPr>
        <w:lastRenderedPageBreak/>
        <w:t xml:space="preserve">bubrega) </w:t>
      </w:r>
      <w:r w:rsidR="00CC0048" w:rsidRPr="000177FB">
        <w:rPr>
          <w:sz w:val="22"/>
          <w:szCs w:val="22"/>
          <w:lang w:val="sr-Latn-ME"/>
        </w:rPr>
        <w:t>zabilježeni su naročito</w:t>
      </w:r>
      <w:r w:rsidRPr="000177FB">
        <w:rPr>
          <w:sz w:val="22"/>
          <w:szCs w:val="22"/>
          <w:lang w:val="sr-Latn-ME"/>
        </w:rPr>
        <w:t xml:space="preserve"> u slučajevima kad se prvi put uzimao ACE </w:t>
      </w:r>
      <w:proofErr w:type="spellStart"/>
      <w:r w:rsidRPr="000177FB">
        <w:rPr>
          <w:sz w:val="22"/>
          <w:szCs w:val="22"/>
          <w:lang w:val="sr-Latn-ME"/>
        </w:rPr>
        <w:t>inhibitor</w:t>
      </w:r>
      <w:proofErr w:type="spellEnd"/>
      <w:r w:rsidRPr="000177FB">
        <w:rPr>
          <w:sz w:val="22"/>
          <w:szCs w:val="22"/>
          <w:lang w:val="sr-Latn-ME"/>
        </w:rPr>
        <w:t xml:space="preserve"> ili antagonist receptora </w:t>
      </w:r>
      <w:proofErr w:type="spellStart"/>
      <w:r w:rsidRPr="000177FB">
        <w:rPr>
          <w:sz w:val="22"/>
          <w:szCs w:val="22"/>
          <w:lang w:val="sr-Latn-ME"/>
        </w:rPr>
        <w:t>angioten</w:t>
      </w:r>
      <w:r w:rsidR="00CC0048" w:rsidRPr="000177FB">
        <w:rPr>
          <w:sz w:val="22"/>
          <w:szCs w:val="22"/>
          <w:lang w:val="sr-Latn-ME"/>
        </w:rPr>
        <w:t>zina</w:t>
      </w:r>
      <w:proofErr w:type="spellEnd"/>
      <w:r w:rsidR="00CC0048" w:rsidRPr="000177FB">
        <w:rPr>
          <w:sz w:val="22"/>
          <w:szCs w:val="22"/>
          <w:lang w:val="sr-Latn-ME"/>
        </w:rPr>
        <w:t xml:space="preserve"> II, odnosno kad su se ti l</w:t>
      </w:r>
      <w:r w:rsidRPr="000177FB">
        <w:rPr>
          <w:sz w:val="22"/>
          <w:szCs w:val="22"/>
          <w:lang w:val="sr-Latn-ME"/>
        </w:rPr>
        <w:t>jekovi uzimali prvi put u povećanim dozama.</w:t>
      </w:r>
    </w:p>
    <w:p w:rsidR="00CC0048" w:rsidRPr="000177FB" w:rsidRDefault="00CC0048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Stoga, ako je to moguće, privremeno treba prekinuti uzimanje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ili barem treba smanjiti dozu tri dana prije početka uzimanja ACE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inhibiotora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ili antagonista receptora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angiotenzina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II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ili prije povećanja doze tih l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jekova. </w:t>
      </w:r>
    </w:p>
    <w:p w:rsidR="00612126" w:rsidRPr="000177FB" w:rsidRDefault="00612126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Aliskiren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smanjuje koncentraciju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u plazmi nakon oralne primjene. Preporuč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uje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se praćenje </w:t>
      </w:r>
      <w:proofErr w:type="spellStart"/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diuretskog</w:t>
      </w:r>
      <w:proofErr w:type="spellEnd"/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efekta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pri započinjanju i prilago</w:t>
      </w:r>
      <w:r w:rsidR="00C63E3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đavanju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doze istovremene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terapije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aliskirenom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612126" w:rsidRPr="000177FB" w:rsidRDefault="00612126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može smanjiti eliminaciju bubrežnim putem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probenecida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metotreksata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ili 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drugih l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jekova koji se, poput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, ekstenzivno izlučuju u bubrežne kanale. Pri liječenju velikim dozama (posebno pri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primjeni </w:t>
      </w:r>
      <w:proofErr w:type="spellStart"/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drugih l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jekova zajedno), to može dovesti do povišenih serumskih vrijednosti i većeg rizika </w:t>
      </w:r>
      <w:r w:rsidR="005E7F9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od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neželjenih dejstava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zbog primje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ne </w:t>
      </w:r>
      <w:proofErr w:type="spellStart"/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ili zbog istovremen</w:t>
      </w:r>
      <w:r w:rsidR="00A5127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primjene drugog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lijeka. </w:t>
      </w:r>
    </w:p>
    <w:p w:rsidR="00612126" w:rsidRPr="000177FB" w:rsidRDefault="00612126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može pojačati 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efekat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teofilina ili mišićnih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relaksansa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tipa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kurare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612126" w:rsidRPr="000177FB" w:rsidRDefault="00612126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612126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Efekat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antidijabetika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ili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hipertenzivnih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simpatomimetika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(npr.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epinefrina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norepinefrina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) može biti sman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jen zbog istovremen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e primjene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612126" w:rsidRPr="000177FB" w:rsidRDefault="00612126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Posebnu 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pažnju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treba posvetiti 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pacijentima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koji se liječe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risperidonom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a prije donošenja odluke o liječenju treba razmotriti rizike i koristi kombinacije ili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g liječenja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furosemidom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ili nekim drugim potentnim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diuretikom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(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pogledati dio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4.4. koji se odnosi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na povećanu smrtnost starijih pacijenata 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s</w:t>
      </w:r>
      <w:r w:rsidR="00A5127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demencijom koji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primaju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risperidon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). </w:t>
      </w:r>
    </w:p>
    <w:p w:rsidR="00612126" w:rsidRPr="000177FB" w:rsidRDefault="00612126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Visoke doze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primjenjene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="00A00E2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istovremeno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levotiro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ksinom</w:t>
      </w:r>
      <w:proofErr w:type="spellEnd"/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mogu spriječiti vezi</w:t>
      </w:r>
      <w:r w:rsidR="00A5127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v</w:t>
      </w:r>
      <w:r w:rsidR="0061212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anje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hormona štit</w:t>
      </w:r>
      <w:r w:rsidR="00A5127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aste </w:t>
      </w:r>
      <w:proofErr w:type="spellStart"/>
      <w:r w:rsidR="00A5127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zlijezde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za proteine nosače i tako dovesti do početnog prolaznog povećanja koncentracije slobodnih hormona </w:t>
      </w:r>
      <w:r w:rsidR="00A5127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štitaste žlijezde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, nakon čega slijedi sveobuhvatno sniženje ukupnih vrijednosti hormona </w:t>
      </w:r>
      <w:r w:rsidR="00A5127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štitaste žlijezde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Potrebno je pratiti vrijednosti hormona </w:t>
      </w:r>
      <w:r w:rsidR="00A5127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štitaste žlijezde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612126" w:rsidRPr="000177FB" w:rsidRDefault="00612126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u w:val="single"/>
          <w:lang w:val="sr-Latn-ME"/>
        </w:rPr>
        <w:t xml:space="preserve">Druge interakcije </w:t>
      </w:r>
    </w:p>
    <w:p w:rsidR="00A51276" w:rsidRPr="000177FB" w:rsidRDefault="00A51276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  <w:lang w:val="sr-Latn-ME"/>
        </w:rPr>
      </w:pPr>
    </w:p>
    <w:p w:rsidR="0058469B" w:rsidRPr="000177FB" w:rsidRDefault="00A00E21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Istovremena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primjena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ciklosporina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A i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povezuje se s</w:t>
      </w:r>
      <w:r w:rsidR="00A5127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povećanim rizikom od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uričnog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artritisa koji je posljedica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hiperuricemije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izazvane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furosemidom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poremećaja bubrežnog izlučivanja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urične</w:t>
      </w:r>
      <w:proofErr w:type="spellEnd"/>
      <w:r w:rsidR="00D26453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/mokraćne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kiseline izazvanog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ciklosporinom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</w:p>
    <w:p w:rsidR="00612126" w:rsidRPr="000177FB" w:rsidRDefault="00612126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612126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Kod pacijenata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koji su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bili izloženi visokom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riziku od oštećenja bubrega kontrastnim sredstvom za rendgensko snimanje, a bili su liječeni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furosemidom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, dolazilo je češće do pogoršanja bub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režne funkcije nakon pretraga 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pomoću kontrastnog sredstva nego što je to bio slučaj 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ko</w:t>
      </w:r>
      <w:r w:rsidR="00A5127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d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rizičnih 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pacijenata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koji su prije pretrage s</w:t>
      </w:r>
      <w:r w:rsidR="00A51276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kontrastom bili samo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intravenski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="006161FF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snadbjeven</w:t>
      </w:r>
      <w:r w:rsidR="008F7CD0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</w:t>
      </w:r>
      <w:proofErr w:type="spellEnd"/>
      <w:r w:rsidR="006161FF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tečnošću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(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hidratacija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). </w:t>
      </w:r>
    </w:p>
    <w:p w:rsidR="00612126" w:rsidRPr="000177FB" w:rsidRDefault="00612126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:rsidR="0058469B" w:rsidRPr="000177FB" w:rsidRDefault="0058469B" w:rsidP="001B4E43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/>
        </w:rPr>
        <w:t xml:space="preserve">Nakon </w:t>
      </w:r>
      <w:proofErr w:type="spellStart"/>
      <w:r w:rsidRPr="000177FB">
        <w:rPr>
          <w:sz w:val="22"/>
          <w:szCs w:val="22"/>
          <w:lang w:val="sr-Latn-ME"/>
        </w:rPr>
        <w:t>intravenske</w:t>
      </w:r>
      <w:proofErr w:type="spellEnd"/>
      <w:r w:rsidRPr="000177FB">
        <w:rPr>
          <w:sz w:val="22"/>
          <w:szCs w:val="22"/>
          <w:lang w:val="sr-Latn-ME"/>
        </w:rPr>
        <w:t xml:space="preserve"> primjene </w:t>
      </w:r>
      <w:proofErr w:type="spellStart"/>
      <w:r w:rsidRPr="000177FB">
        <w:rPr>
          <w:sz w:val="22"/>
          <w:szCs w:val="22"/>
          <w:lang w:val="sr-Latn-ME"/>
        </w:rPr>
        <w:t>furosemida</w:t>
      </w:r>
      <w:proofErr w:type="spellEnd"/>
      <w:r w:rsidRPr="000177FB">
        <w:rPr>
          <w:sz w:val="22"/>
          <w:szCs w:val="22"/>
          <w:lang w:val="sr-Latn-ME"/>
        </w:rPr>
        <w:t xml:space="preserve"> unutar 24 sata od uzimanja </w:t>
      </w:r>
      <w:proofErr w:type="spellStart"/>
      <w:r w:rsidR="00612126" w:rsidRPr="000177FB">
        <w:rPr>
          <w:sz w:val="22"/>
          <w:szCs w:val="22"/>
          <w:lang w:val="sr-Latn-ME"/>
        </w:rPr>
        <w:t>hloral</w:t>
      </w:r>
      <w:proofErr w:type="spellEnd"/>
      <w:r w:rsidR="00C75B68" w:rsidRPr="000177FB">
        <w:rPr>
          <w:sz w:val="22"/>
          <w:szCs w:val="22"/>
          <w:lang w:val="sr-Latn-ME"/>
        </w:rPr>
        <w:t xml:space="preserve"> </w:t>
      </w:r>
      <w:r w:rsidR="00612126" w:rsidRPr="000177FB">
        <w:rPr>
          <w:sz w:val="22"/>
          <w:szCs w:val="22"/>
          <w:lang w:val="sr-Latn-ME"/>
        </w:rPr>
        <w:t>hidrata, u izolovanim</w:t>
      </w:r>
      <w:r w:rsidRPr="000177FB">
        <w:rPr>
          <w:sz w:val="22"/>
          <w:szCs w:val="22"/>
          <w:lang w:val="sr-Latn-ME"/>
        </w:rPr>
        <w:t xml:space="preserve"> slučajevima može doći do osjećaja vrućine, znojenja, nemira, mučnine, rasta krvnoga </w:t>
      </w:r>
      <w:r w:rsidR="00612126" w:rsidRPr="000177FB">
        <w:rPr>
          <w:sz w:val="22"/>
          <w:szCs w:val="22"/>
          <w:lang w:val="sr-Latn-ME"/>
        </w:rPr>
        <w:t>pritiska i tahikardije. Istovremenu</w:t>
      </w:r>
      <w:r w:rsidRPr="000177FB">
        <w:rPr>
          <w:sz w:val="22"/>
          <w:szCs w:val="22"/>
          <w:lang w:val="sr-Latn-ME"/>
        </w:rPr>
        <w:t xml:space="preserve"> primjenu </w:t>
      </w:r>
      <w:proofErr w:type="spellStart"/>
      <w:r w:rsidRPr="000177FB">
        <w:rPr>
          <w:sz w:val="22"/>
          <w:szCs w:val="22"/>
          <w:lang w:val="sr-Latn-ME"/>
        </w:rPr>
        <w:t>furosemida</w:t>
      </w:r>
      <w:proofErr w:type="spellEnd"/>
      <w:r w:rsidRPr="000177FB">
        <w:rPr>
          <w:sz w:val="22"/>
          <w:szCs w:val="22"/>
          <w:lang w:val="sr-Latn-ME"/>
        </w:rPr>
        <w:t xml:space="preserve"> i </w:t>
      </w:r>
      <w:proofErr w:type="spellStart"/>
      <w:r w:rsidR="00612126" w:rsidRPr="000177FB">
        <w:rPr>
          <w:sz w:val="22"/>
          <w:szCs w:val="22"/>
          <w:lang w:val="sr-Latn-ME"/>
        </w:rPr>
        <w:t>h</w:t>
      </w:r>
      <w:r w:rsidRPr="000177FB">
        <w:rPr>
          <w:sz w:val="22"/>
          <w:szCs w:val="22"/>
          <w:lang w:val="sr-Latn-ME"/>
        </w:rPr>
        <w:t>loral</w:t>
      </w:r>
      <w:proofErr w:type="spellEnd"/>
      <w:r w:rsidR="00C75B68" w:rsidRPr="000177FB">
        <w:rPr>
          <w:sz w:val="22"/>
          <w:szCs w:val="22"/>
          <w:lang w:val="sr-Latn-ME"/>
        </w:rPr>
        <w:t xml:space="preserve"> </w:t>
      </w:r>
      <w:r w:rsidRPr="000177FB">
        <w:rPr>
          <w:sz w:val="22"/>
          <w:szCs w:val="22"/>
          <w:lang w:val="sr-Latn-ME"/>
        </w:rPr>
        <w:t xml:space="preserve">hidrata treba, </w:t>
      </w:r>
      <w:r w:rsidR="00612126" w:rsidRPr="000177FB">
        <w:rPr>
          <w:sz w:val="22"/>
          <w:szCs w:val="22"/>
          <w:lang w:val="sr-Latn-ME"/>
        </w:rPr>
        <w:t xml:space="preserve">zbog </w:t>
      </w:r>
      <w:r w:rsidRPr="000177FB">
        <w:rPr>
          <w:sz w:val="22"/>
          <w:szCs w:val="22"/>
          <w:lang w:val="sr-Latn-ME"/>
        </w:rPr>
        <w:t>toga, izbjegavati.</w:t>
      </w: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D30EFF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4.6.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="006D20A5" w:rsidRPr="000177FB">
        <w:rPr>
          <w:b/>
          <w:sz w:val="22"/>
          <w:szCs w:val="22"/>
          <w:lang w:val="sr-Latn-ME"/>
        </w:rPr>
        <w:t>Plodnost, trudnoća i dojenje</w:t>
      </w:r>
    </w:p>
    <w:p w:rsidR="0058469B" w:rsidRPr="000177FB" w:rsidRDefault="0058469B" w:rsidP="001B4E43">
      <w:pPr>
        <w:jc w:val="both"/>
        <w:rPr>
          <w:b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se u trudnoći smije uzimati samo kraće vrijeme i to nakon </w:t>
      </w:r>
      <w:r w:rsidR="00C62125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pažljive </w:t>
      </w:r>
      <w:r w:rsidR="00762154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procjene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potrebe za</w:t>
      </w:r>
      <w:r w:rsidR="00762154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tim lijekom, jer </w:t>
      </w:r>
      <w:proofErr w:type="spellStart"/>
      <w:r w:rsidR="00762154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</w:t>
      </w:r>
      <w:proofErr w:type="spellEnd"/>
      <w:r w:rsidR="00762154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prolazi </w:t>
      </w:r>
      <w:proofErr w:type="spellStart"/>
      <w:r w:rsidR="00762154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placentarn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barijeru. </w:t>
      </w:r>
    </w:p>
    <w:p w:rsidR="00762154" w:rsidRPr="000177FB" w:rsidRDefault="00762154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58469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Diuretici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ni</w:t>
      </w:r>
      <w:r w:rsidR="00C62125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je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su primjereni za rutinsko liječenje hipertenzije i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edema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u tru</w:t>
      </w:r>
      <w:r w:rsidR="00762154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dnoći jer narušavaju </w:t>
      </w:r>
      <w:proofErr w:type="spellStart"/>
      <w:r w:rsidR="00762154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placentarnu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perf</w:t>
      </w:r>
      <w:r w:rsidR="00BF113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uziju</w:t>
      </w:r>
      <w:proofErr w:type="spellEnd"/>
      <w:r w:rsidR="00BF113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time </w:t>
      </w:r>
      <w:proofErr w:type="spellStart"/>
      <w:r w:rsidR="00BF113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intrauterini</w:t>
      </w:r>
      <w:proofErr w:type="spellEnd"/>
      <w:r w:rsidR="00BF1131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rast. </w:t>
      </w:r>
    </w:p>
    <w:p w:rsidR="00762154" w:rsidRPr="000177FB" w:rsidRDefault="00762154" w:rsidP="001B4E43">
      <w:pPr>
        <w:jc w:val="both"/>
        <w:rPr>
          <w:sz w:val="22"/>
          <w:szCs w:val="22"/>
          <w:lang w:val="sr-Latn-ME"/>
        </w:rPr>
      </w:pPr>
    </w:p>
    <w:p w:rsidR="0058469B" w:rsidRPr="000177FB" w:rsidRDefault="00762154" w:rsidP="001B4E43">
      <w:pPr>
        <w:jc w:val="both"/>
        <w:rPr>
          <w:b/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Ako, međutim, </w:t>
      </w:r>
      <w:proofErr w:type="spellStart"/>
      <w:r w:rsidR="0058469B" w:rsidRPr="000177FB">
        <w:rPr>
          <w:sz w:val="22"/>
          <w:szCs w:val="22"/>
          <w:lang w:val="sr-Latn-ME"/>
        </w:rPr>
        <w:t>furosemid</w:t>
      </w:r>
      <w:proofErr w:type="spellEnd"/>
      <w:r w:rsidR="0058469B" w:rsidRPr="000177FB">
        <w:rPr>
          <w:sz w:val="22"/>
          <w:szCs w:val="22"/>
          <w:lang w:val="sr-Latn-ME"/>
        </w:rPr>
        <w:t xml:space="preserve"> ipak</w:t>
      </w:r>
      <w:r w:rsidR="00BF1131" w:rsidRPr="000177FB">
        <w:rPr>
          <w:sz w:val="22"/>
          <w:szCs w:val="22"/>
          <w:lang w:val="sr-Latn-ME"/>
        </w:rPr>
        <w:t xml:space="preserve"> </w:t>
      </w:r>
      <w:r w:rsidRPr="000177FB">
        <w:rPr>
          <w:sz w:val="22"/>
          <w:szCs w:val="22"/>
          <w:lang w:val="sr-Latn-ME"/>
        </w:rPr>
        <w:t>treba dati majci zbog srčan</w:t>
      </w:r>
      <w:r w:rsidR="00C62125" w:rsidRPr="000177FB">
        <w:rPr>
          <w:sz w:val="22"/>
          <w:szCs w:val="22"/>
          <w:lang w:val="sr-Latn-ME"/>
        </w:rPr>
        <w:t xml:space="preserve">e </w:t>
      </w:r>
      <w:proofErr w:type="spellStart"/>
      <w:r w:rsidR="00C62125" w:rsidRPr="000177FB">
        <w:rPr>
          <w:sz w:val="22"/>
          <w:szCs w:val="22"/>
          <w:lang w:val="sr-Latn-ME"/>
        </w:rPr>
        <w:t>insuficijencije</w:t>
      </w:r>
      <w:proofErr w:type="spellEnd"/>
      <w:r w:rsidR="00C62125" w:rsidRPr="000177FB">
        <w:rPr>
          <w:sz w:val="22"/>
          <w:szCs w:val="22"/>
          <w:lang w:val="sr-Latn-ME"/>
        </w:rPr>
        <w:t xml:space="preserve"> </w:t>
      </w:r>
      <w:r w:rsidR="00BF1131" w:rsidRPr="000177FB">
        <w:rPr>
          <w:sz w:val="22"/>
          <w:szCs w:val="22"/>
          <w:lang w:val="sr-Latn-ME"/>
        </w:rPr>
        <w:t xml:space="preserve">ili bubrežne </w:t>
      </w:r>
      <w:proofErr w:type="spellStart"/>
      <w:r w:rsidR="00BF1131" w:rsidRPr="000177FB">
        <w:rPr>
          <w:sz w:val="22"/>
          <w:szCs w:val="22"/>
          <w:lang w:val="sr-Latn-ME"/>
        </w:rPr>
        <w:t>insuficijencije</w:t>
      </w:r>
      <w:proofErr w:type="spellEnd"/>
      <w:r w:rsidR="00BF1131" w:rsidRPr="000177FB">
        <w:rPr>
          <w:sz w:val="22"/>
          <w:szCs w:val="22"/>
          <w:lang w:val="sr-Latn-ME"/>
        </w:rPr>
        <w:t xml:space="preserve">, </w:t>
      </w:r>
      <w:r w:rsidRPr="000177FB">
        <w:rPr>
          <w:sz w:val="22"/>
          <w:szCs w:val="22"/>
          <w:lang w:val="sr-Latn-ME"/>
        </w:rPr>
        <w:t>pažljivo</w:t>
      </w:r>
      <w:r w:rsidR="0058469B" w:rsidRPr="000177FB">
        <w:rPr>
          <w:sz w:val="22"/>
          <w:szCs w:val="22"/>
          <w:lang w:val="sr-Latn-ME"/>
        </w:rPr>
        <w:t xml:space="preserve"> treba </w:t>
      </w:r>
      <w:r w:rsidR="00C62125" w:rsidRPr="000177FB">
        <w:rPr>
          <w:sz w:val="22"/>
          <w:szCs w:val="22"/>
          <w:lang w:val="sr-Latn-ME"/>
        </w:rPr>
        <w:t xml:space="preserve">pratiti </w:t>
      </w:r>
      <w:r w:rsidR="0058469B" w:rsidRPr="000177FB">
        <w:rPr>
          <w:sz w:val="22"/>
          <w:szCs w:val="22"/>
          <w:lang w:val="sr-Latn-ME"/>
        </w:rPr>
        <w:t xml:space="preserve">vrijednosti elektrolita i </w:t>
      </w:r>
      <w:proofErr w:type="spellStart"/>
      <w:r w:rsidR="0058469B" w:rsidRPr="000177FB">
        <w:rPr>
          <w:sz w:val="22"/>
          <w:szCs w:val="22"/>
          <w:lang w:val="sr-Latn-ME"/>
        </w:rPr>
        <w:t>hematokrita</w:t>
      </w:r>
      <w:proofErr w:type="spellEnd"/>
      <w:r w:rsidR="0058469B" w:rsidRPr="000177FB">
        <w:rPr>
          <w:sz w:val="22"/>
          <w:szCs w:val="22"/>
          <w:lang w:val="sr-Latn-ME"/>
        </w:rPr>
        <w:t xml:space="preserve"> kao i rast fetusa. Pri davanju </w:t>
      </w:r>
      <w:proofErr w:type="spellStart"/>
      <w:r w:rsidR="0058469B" w:rsidRPr="000177FB">
        <w:rPr>
          <w:sz w:val="22"/>
          <w:szCs w:val="22"/>
          <w:lang w:val="sr-Latn-ME"/>
        </w:rPr>
        <w:t>furosemida</w:t>
      </w:r>
      <w:proofErr w:type="spellEnd"/>
      <w:r w:rsidR="0058469B" w:rsidRPr="000177FB">
        <w:rPr>
          <w:sz w:val="22"/>
          <w:szCs w:val="22"/>
          <w:lang w:val="sr-Latn-ME"/>
        </w:rPr>
        <w:t xml:space="preserve"> </w:t>
      </w:r>
      <w:r w:rsidR="0058469B" w:rsidRPr="000177FB">
        <w:rPr>
          <w:sz w:val="22"/>
          <w:szCs w:val="22"/>
          <w:lang w:val="sr-Latn-ME"/>
        </w:rPr>
        <w:lastRenderedPageBreak/>
        <w:t xml:space="preserve">zabilježeno je istiskivanje </w:t>
      </w:r>
      <w:proofErr w:type="spellStart"/>
      <w:r w:rsidR="0058469B" w:rsidRPr="000177FB">
        <w:rPr>
          <w:sz w:val="22"/>
          <w:szCs w:val="22"/>
          <w:lang w:val="sr-Latn-ME"/>
        </w:rPr>
        <w:t>bilirubina</w:t>
      </w:r>
      <w:proofErr w:type="spellEnd"/>
      <w:r w:rsidR="0058469B" w:rsidRPr="000177FB">
        <w:rPr>
          <w:sz w:val="22"/>
          <w:szCs w:val="22"/>
          <w:lang w:val="sr-Latn-ME"/>
        </w:rPr>
        <w:t xml:space="preserve"> s</w:t>
      </w:r>
      <w:r w:rsidRPr="000177FB">
        <w:rPr>
          <w:sz w:val="22"/>
          <w:szCs w:val="22"/>
          <w:lang w:val="sr-Latn-ME"/>
        </w:rPr>
        <w:t>a</w:t>
      </w:r>
      <w:r w:rsidR="0058469B" w:rsidRPr="000177FB">
        <w:rPr>
          <w:sz w:val="22"/>
          <w:szCs w:val="22"/>
          <w:lang w:val="sr-Latn-ME"/>
        </w:rPr>
        <w:t xml:space="preserve"> veznog mjes</w:t>
      </w:r>
      <w:r w:rsidRPr="000177FB">
        <w:rPr>
          <w:sz w:val="22"/>
          <w:szCs w:val="22"/>
          <w:lang w:val="sr-Latn-ME"/>
        </w:rPr>
        <w:t>ta albumina, što je rezultovalo</w:t>
      </w:r>
      <w:r w:rsidR="0058469B" w:rsidRPr="000177FB">
        <w:rPr>
          <w:sz w:val="22"/>
          <w:szCs w:val="22"/>
          <w:lang w:val="sr-Latn-ME"/>
        </w:rPr>
        <w:t xml:space="preserve"> povećanim rizikom od </w:t>
      </w:r>
      <w:proofErr w:type="spellStart"/>
      <w:r w:rsidR="0058469B" w:rsidRPr="000177FB">
        <w:rPr>
          <w:sz w:val="22"/>
          <w:szCs w:val="22"/>
          <w:lang w:val="sr-Latn-ME"/>
        </w:rPr>
        <w:t>kernikterusa</w:t>
      </w:r>
      <w:proofErr w:type="spellEnd"/>
      <w:r w:rsidR="0058469B" w:rsidRPr="000177FB">
        <w:rPr>
          <w:sz w:val="22"/>
          <w:szCs w:val="22"/>
          <w:lang w:val="sr-Latn-ME"/>
        </w:rPr>
        <w:t xml:space="preserve"> u </w:t>
      </w:r>
      <w:proofErr w:type="spellStart"/>
      <w:r w:rsidR="0058469B" w:rsidRPr="000177FB">
        <w:rPr>
          <w:sz w:val="22"/>
          <w:szCs w:val="22"/>
          <w:lang w:val="sr-Latn-ME"/>
        </w:rPr>
        <w:t>hiperbilirubinemiji</w:t>
      </w:r>
      <w:proofErr w:type="spellEnd"/>
      <w:r w:rsidR="0058469B" w:rsidRPr="000177FB">
        <w:rPr>
          <w:sz w:val="22"/>
          <w:szCs w:val="22"/>
          <w:lang w:val="sr-Latn-ME"/>
        </w:rPr>
        <w:t>.</w:t>
      </w:r>
    </w:p>
    <w:p w:rsidR="002D0859" w:rsidRPr="000177FB" w:rsidRDefault="002D0859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58469B" w:rsidRPr="000177FB" w:rsidRDefault="002D0859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prolazi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placentar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nu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barijeru i postiže 100%-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tnu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serumsku</w:t>
      </w:r>
      <w:r w:rsidR="00F0741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koncentraciju u krvi pupčanice.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Dosada </w:t>
      </w:r>
      <w:r w:rsidR="00F0741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kod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ljudi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nije prijavljena nijedna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malformacija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koja bi se mogla povezati s</w:t>
      </w:r>
      <w:r w:rsidR="00F0741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</w:t>
      </w:r>
      <w:r w:rsidR="00F0741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zloženošću </w:t>
      </w:r>
      <w:proofErr w:type="spellStart"/>
      <w:r w:rsidR="00F0741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furosemidu</w:t>
      </w:r>
      <w:proofErr w:type="spellEnd"/>
      <w:r w:rsidR="00F0741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. Nema, međ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utim, dovoljno podataka da bi se donijela pouzdana ocjena mogućih štetnih </w:t>
      </w:r>
      <w:r w:rsidR="00F0741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efekat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a na zametak/plod. Moguća je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stimuliacija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stvaranja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fetalne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mokraće </w:t>
      </w:r>
      <w:r w:rsidR="0058469B" w:rsidRPr="000177FB">
        <w:rPr>
          <w:rFonts w:ascii="Times New Roman" w:hAnsi="Times New Roman" w:cs="Times New Roman"/>
          <w:i/>
          <w:iCs/>
          <w:color w:val="auto"/>
          <w:sz w:val="22"/>
          <w:szCs w:val="22"/>
          <w:lang w:val="sr-Latn-ME"/>
        </w:rPr>
        <w:t xml:space="preserve">in </w:t>
      </w:r>
      <w:proofErr w:type="spellStart"/>
      <w:r w:rsidR="0058469B" w:rsidRPr="000177FB">
        <w:rPr>
          <w:rFonts w:ascii="Times New Roman" w:hAnsi="Times New Roman" w:cs="Times New Roman"/>
          <w:i/>
          <w:iCs/>
          <w:color w:val="auto"/>
          <w:sz w:val="22"/>
          <w:szCs w:val="22"/>
          <w:lang w:val="sr-Latn-ME"/>
        </w:rPr>
        <w:t>utero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.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Urolitijaza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izazvana </w:t>
      </w:r>
      <w:proofErr w:type="spellStart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furesemidom</w:t>
      </w:r>
      <w:proofErr w:type="spellEnd"/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primijećena je </w:t>
      </w:r>
      <w:r w:rsidR="00F07412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kod</w:t>
      </w:r>
      <w:r w:rsidR="0058469B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nedonoščadi. </w:t>
      </w:r>
    </w:p>
    <w:p w:rsidR="00F07412" w:rsidRPr="000177FB" w:rsidRDefault="00F07412" w:rsidP="001B4E43">
      <w:pPr>
        <w:jc w:val="both"/>
        <w:rPr>
          <w:sz w:val="22"/>
          <w:szCs w:val="22"/>
          <w:lang w:val="sr-Latn-ME"/>
        </w:rPr>
      </w:pPr>
    </w:p>
    <w:p w:rsidR="0058469B" w:rsidRPr="000177FB" w:rsidRDefault="0058469B" w:rsidP="001B4E43">
      <w:pPr>
        <w:jc w:val="both"/>
        <w:rPr>
          <w:b/>
          <w:sz w:val="22"/>
          <w:szCs w:val="22"/>
          <w:lang w:val="sr-Latn-ME"/>
        </w:rPr>
      </w:pPr>
      <w:proofErr w:type="spellStart"/>
      <w:r w:rsidRPr="000177FB">
        <w:rPr>
          <w:sz w:val="22"/>
          <w:szCs w:val="22"/>
          <w:lang w:val="sr-Latn-ME"/>
        </w:rPr>
        <w:t>Furosemid</w:t>
      </w:r>
      <w:proofErr w:type="spellEnd"/>
      <w:r w:rsidRPr="000177FB">
        <w:rPr>
          <w:sz w:val="22"/>
          <w:szCs w:val="22"/>
          <w:lang w:val="sr-Latn-ME"/>
        </w:rPr>
        <w:t xml:space="preserve"> se izlučuje u majčino mlijeko i inhibira </w:t>
      </w:r>
      <w:proofErr w:type="spellStart"/>
      <w:r w:rsidRPr="000177FB">
        <w:rPr>
          <w:sz w:val="22"/>
          <w:szCs w:val="22"/>
          <w:lang w:val="sr-Latn-ME"/>
        </w:rPr>
        <w:t>laktaciju</w:t>
      </w:r>
      <w:proofErr w:type="spellEnd"/>
      <w:r w:rsidRPr="000177FB">
        <w:rPr>
          <w:sz w:val="22"/>
          <w:szCs w:val="22"/>
          <w:lang w:val="sr-Latn-ME"/>
        </w:rPr>
        <w:t xml:space="preserve">. Žene koje doje ne bi se, </w:t>
      </w:r>
      <w:r w:rsidR="00F07412" w:rsidRPr="000177FB">
        <w:rPr>
          <w:sz w:val="22"/>
          <w:szCs w:val="22"/>
          <w:lang w:val="sr-Latn-ME"/>
        </w:rPr>
        <w:t xml:space="preserve">zbog </w:t>
      </w:r>
      <w:r w:rsidRPr="000177FB">
        <w:rPr>
          <w:sz w:val="22"/>
          <w:szCs w:val="22"/>
          <w:lang w:val="sr-Latn-ME"/>
        </w:rPr>
        <w:t xml:space="preserve">toga, smjele liječiti </w:t>
      </w:r>
      <w:proofErr w:type="spellStart"/>
      <w:r w:rsidR="00F07412" w:rsidRPr="000177FB">
        <w:rPr>
          <w:sz w:val="22"/>
          <w:szCs w:val="22"/>
          <w:lang w:val="sr-Latn-ME"/>
        </w:rPr>
        <w:t>furosemidom</w:t>
      </w:r>
      <w:proofErr w:type="spellEnd"/>
      <w:r w:rsidR="00F07412" w:rsidRPr="000177FB">
        <w:rPr>
          <w:sz w:val="22"/>
          <w:szCs w:val="22"/>
          <w:lang w:val="sr-Latn-ME"/>
        </w:rPr>
        <w:t xml:space="preserve">. Ako je potrebno, sa </w:t>
      </w:r>
      <w:r w:rsidRPr="000177FB">
        <w:rPr>
          <w:sz w:val="22"/>
          <w:szCs w:val="22"/>
          <w:lang w:val="sr-Latn-ME"/>
        </w:rPr>
        <w:t>dojenje</w:t>
      </w:r>
      <w:r w:rsidR="00F07412" w:rsidRPr="000177FB">
        <w:rPr>
          <w:sz w:val="22"/>
          <w:szCs w:val="22"/>
          <w:lang w:val="sr-Latn-ME"/>
        </w:rPr>
        <w:t>m treba prestati (pogledati, takođe</w:t>
      </w:r>
      <w:r w:rsidRPr="000177FB">
        <w:rPr>
          <w:sz w:val="22"/>
          <w:szCs w:val="22"/>
          <w:lang w:val="sr-Latn-ME"/>
        </w:rPr>
        <w:t>, dio 4.3.).</w:t>
      </w:r>
    </w:p>
    <w:p w:rsidR="00F07412" w:rsidRPr="000177FB" w:rsidRDefault="00F07412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4.7.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 xml:space="preserve">Uticaj na </w:t>
      </w:r>
      <w:r w:rsidR="002031B3" w:rsidRPr="000177FB">
        <w:rPr>
          <w:b/>
          <w:bCs/>
          <w:sz w:val="22"/>
          <w:szCs w:val="22"/>
          <w:lang w:val="sr-Latn-ME"/>
        </w:rPr>
        <w:t xml:space="preserve">sposobnost </w:t>
      </w:r>
      <w:r w:rsidR="00F34554" w:rsidRPr="000177FB">
        <w:rPr>
          <w:b/>
          <w:bCs/>
          <w:sz w:val="22"/>
          <w:szCs w:val="22"/>
          <w:lang w:val="sr-Latn-ME"/>
        </w:rPr>
        <w:t>upravljanja vozili</w:t>
      </w:r>
      <w:r w:rsidRPr="000177FB">
        <w:rPr>
          <w:b/>
          <w:bCs/>
          <w:sz w:val="22"/>
          <w:szCs w:val="22"/>
          <w:lang w:val="sr-Latn-ME"/>
        </w:rPr>
        <w:t>m</w:t>
      </w:r>
      <w:r w:rsidR="00F34554" w:rsidRPr="000177FB">
        <w:rPr>
          <w:b/>
          <w:bCs/>
          <w:sz w:val="22"/>
          <w:szCs w:val="22"/>
          <w:lang w:val="sr-Latn-ME"/>
        </w:rPr>
        <w:t>a</w:t>
      </w:r>
      <w:r w:rsidRPr="000177FB">
        <w:rPr>
          <w:b/>
          <w:bCs/>
          <w:sz w:val="22"/>
          <w:szCs w:val="22"/>
          <w:lang w:val="sr-Latn-ME"/>
        </w:rPr>
        <w:t xml:space="preserve"> i </w:t>
      </w:r>
      <w:r w:rsidR="000D3449" w:rsidRPr="000177FB">
        <w:rPr>
          <w:b/>
          <w:bCs/>
          <w:sz w:val="22"/>
          <w:szCs w:val="22"/>
          <w:lang w:val="sr-Latn-ME"/>
        </w:rPr>
        <w:t xml:space="preserve">rukovanje </w:t>
      </w:r>
      <w:r w:rsidRPr="000177FB">
        <w:rPr>
          <w:b/>
          <w:bCs/>
          <w:sz w:val="22"/>
          <w:szCs w:val="22"/>
          <w:lang w:val="sr-Latn-ME"/>
        </w:rPr>
        <w:t>mašinama</w:t>
      </w: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580283" w:rsidRPr="000177FB" w:rsidRDefault="0058469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S obzirom da su individual</w:t>
      </w:r>
      <w:r w:rsidR="00F07412" w:rsidRPr="000177FB">
        <w:rPr>
          <w:sz w:val="22"/>
          <w:szCs w:val="22"/>
          <w:lang w:val="sr-Latn-ME"/>
        </w:rPr>
        <w:t>ne reakcije različite, moguće je</w:t>
      </w:r>
      <w:r w:rsidRPr="000177FB">
        <w:rPr>
          <w:sz w:val="22"/>
          <w:szCs w:val="22"/>
          <w:lang w:val="sr-Latn-ME"/>
        </w:rPr>
        <w:t xml:space="preserve"> da će </w:t>
      </w:r>
      <w:proofErr w:type="spellStart"/>
      <w:r w:rsidRPr="000177FB">
        <w:rPr>
          <w:sz w:val="22"/>
          <w:szCs w:val="22"/>
          <w:lang w:val="sr-Latn-ME"/>
        </w:rPr>
        <w:t>furosemid</w:t>
      </w:r>
      <w:proofErr w:type="spellEnd"/>
      <w:r w:rsidRPr="000177FB">
        <w:rPr>
          <w:sz w:val="22"/>
          <w:szCs w:val="22"/>
          <w:lang w:val="sr-Latn-ME"/>
        </w:rPr>
        <w:t xml:space="preserve"> narušiti </w:t>
      </w:r>
      <w:r w:rsidR="00F07412" w:rsidRPr="000177FB">
        <w:rPr>
          <w:sz w:val="22"/>
          <w:szCs w:val="22"/>
          <w:lang w:val="sr-Latn-ME"/>
        </w:rPr>
        <w:t>sposobnost upravljanja vozilima, rukovanja mašinama</w:t>
      </w:r>
      <w:r w:rsidRPr="000177FB">
        <w:rPr>
          <w:sz w:val="22"/>
          <w:szCs w:val="22"/>
          <w:lang w:val="sr-Latn-ME"/>
        </w:rPr>
        <w:t xml:space="preserve"> ili rada bez osigurane čvrste podloge. To se posebno odnosi na početak liječenja, </w:t>
      </w:r>
      <w:r w:rsidR="00676698" w:rsidRPr="000177FB">
        <w:rPr>
          <w:sz w:val="22"/>
          <w:szCs w:val="22"/>
          <w:lang w:val="sr-Latn-ME"/>
        </w:rPr>
        <w:t>period</w:t>
      </w:r>
      <w:r w:rsidR="00E006E2" w:rsidRPr="000177FB">
        <w:rPr>
          <w:sz w:val="22"/>
          <w:szCs w:val="22"/>
          <w:lang w:val="sr-Latn-ME"/>
        </w:rPr>
        <w:t>e</w:t>
      </w:r>
      <w:r w:rsidR="00676698" w:rsidRPr="000177FB">
        <w:rPr>
          <w:sz w:val="22"/>
          <w:szCs w:val="22"/>
          <w:lang w:val="sr-Latn-ME"/>
        </w:rPr>
        <w:t xml:space="preserve"> </w:t>
      </w:r>
      <w:r w:rsidRPr="000177FB">
        <w:rPr>
          <w:sz w:val="22"/>
          <w:szCs w:val="22"/>
          <w:lang w:val="sr-Latn-ME"/>
        </w:rPr>
        <w:t>promj</w:t>
      </w:r>
      <w:r w:rsidR="00F07412" w:rsidRPr="000177FB">
        <w:rPr>
          <w:sz w:val="22"/>
          <w:szCs w:val="22"/>
          <w:lang w:val="sr-Latn-ME"/>
        </w:rPr>
        <w:t xml:space="preserve">ene doziranja ili </w:t>
      </w:r>
      <w:proofErr w:type="spellStart"/>
      <w:r w:rsidR="00F07412" w:rsidRPr="000177FB">
        <w:rPr>
          <w:sz w:val="22"/>
          <w:szCs w:val="22"/>
          <w:lang w:val="sr-Latn-ME"/>
        </w:rPr>
        <w:t>pr</w:t>
      </w:r>
      <w:r w:rsidRPr="000177FB">
        <w:rPr>
          <w:sz w:val="22"/>
          <w:szCs w:val="22"/>
          <w:lang w:val="sr-Latn-ME"/>
        </w:rPr>
        <w:t>elaza</w:t>
      </w:r>
      <w:proofErr w:type="spellEnd"/>
      <w:r w:rsidRPr="000177FB">
        <w:rPr>
          <w:sz w:val="22"/>
          <w:szCs w:val="22"/>
          <w:lang w:val="sr-Latn-ME"/>
        </w:rPr>
        <w:t xml:space="preserve"> na novo liječenje ili na uzimanje lijeka s</w:t>
      </w:r>
      <w:r w:rsidR="00F07412" w:rsidRPr="000177FB">
        <w:rPr>
          <w:sz w:val="22"/>
          <w:szCs w:val="22"/>
          <w:lang w:val="sr-Latn-ME"/>
        </w:rPr>
        <w:t>a</w:t>
      </w:r>
      <w:r w:rsidRPr="000177FB">
        <w:rPr>
          <w:sz w:val="22"/>
          <w:szCs w:val="22"/>
          <w:lang w:val="sr-Latn-ME"/>
        </w:rPr>
        <w:t xml:space="preserve"> alkoholom.</w:t>
      </w: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4.8.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Neželjena dejstva</w:t>
      </w:r>
    </w:p>
    <w:p w:rsidR="0046558D" w:rsidRPr="000177FB" w:rsidRDefault="0046558D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4E70AD" w:rsidRPr="000177FB" w:rsidRDefault="00F07412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Stopa </w:t>
      </w:r>
      <w:proofErr w:type="spellStart"/>
      <w:r w:rsidRPr="000177FB">
        <w:rPr>
          <w:sz w:val="22"/>
          <w:szCs w:val="22"/>
          <w:lang w:val="sr-Latn-ME"/>
        </w:rPr>
        <w:t>incidenc</w:t>
      </w:r>
      <w:r w:rsidR="0058469B" w:rsidRPr="000177FB">
        <w:rPr>
          <w:sz w:val="22"/>
          <w:szCs w:val="22"/>
          <w:lang w:val="sr-Latn-ME"/>
        </w:rPr>
        <w:t>e</w:t>
      </w:r>
      <w:proofErr w:type="spellEnd"/>
      <w:r w:rsidR="0058469B" w:rsidRPr="000177FB">
        <w:rPr>
          <w:sz w:val="22"/>
          <w:szCs w:val="22"/>
          <w:lang w:val="sr-Latn-ME"/>
        </w:rPr>
        <w:t xml:space="preserve"> </w:t>
      </w:r>
      <w:r w:rsidR="00A00E21" w:rsidRPr="000177FB">
        <w:rPr>
          <w:sz w:val="22"/>
          <w:szCs w:val="22"/>
          <w:lang w:val="sr-Latn-ME"/>
        </w:rPr>
        <w:t>neželjenih dejstava</w:t>
      </w:r>
      <w:r w:rsidR="0058469B" w:rsidRPr="000177FB">
        <w:rPr>
          <w:sz w:val="22"/>
          <w:szCs w:val="22"/>
          <w:lang w:val="sr-Latn-ME"/>
        </w:rPr>
        <w:t xml:space="preserve"> </w:t>
      </w:r>
      <w:r w:rsidRPr="000177FB">
        <w:rPr>
          <w:sz w:val="22"/>
          <w:szCs w:val="22"/>
          <w:lang w:val="sr-Latn-ME"/>
        </w:rPr>
        <w:t>zasniva</w:t>
      </w:r>
      <w:r w:rsidR="0058469B" w:rsidRPr="000177FB">
        <w:rPr>
          <w:sz w:val="22"/>
          <w:szCs w:val="22"/>
          <w:lang w:val="sr-Latn-ME"/>
        </w:rPr>
        <w:t xml:space="preserve"> se na podacima iz literature, iz rezultata kliničkih studija koje su uključivale ukupno 1.387 </w:t>
      </w:r>
      <w:r w:rsidRPr="000177FB">
        <w:rPr>
          <w:sz w:val="22"/>
          <w:szCs w:val="22"/>
          <w:lang w:val="sr-Latn-ME"/>
        </w:rPr>
        <w:t>pacijenata</w:t>
      </w:r>
      <w:r w:rsidR="0058469B" w:rsidRPr="000177FB">
        <w:rPr>
          <w:sz w:val="22"/>
          <w:szCs w:val="22"/>
          <w:lang w:val="sr-Latn-ME"/>
        </w:rPr>
        <w:t xml:space="preserve"> koji su primali različite doze </w:t>
      </w:r>
      <w:proofErr w:type="spellStart"/>
      <w:r w:rsidR="0058469B" w:rsidRPr="000177FB">
        <w:rPr>
          <w:sz w:val="22"/>
          <w:szCs w:val="22"/>
          <w:lang w:val="sr-Latn-ME"/>
        </w:rPr>
        <w:t>furosemida</w:t>
      </w:r>
      <w:proofErr w:type="spellEnd"/>
      <w:r w:rsidR="0058469B" w:rsidRPr="000177FB">
        <w:rPr>
          <w:sz w:val="22"/>
          <w:szCs w:val="22"/>
          <w:lang w:val="sr-Latn-ME"/>
        </w:rPr>
        <w:t xml:space="preserve"> </w:t>
      </w:r>
      <w:r w:rsidRPr="000177FB">
        <w:rPr>
          <w:sz w:val="22"/>
          <w:szCs w:val="22"/>
          <w:lang w:val="sr-Latn-ME"/>
        </w:rPr>
        <w:t>za različite indikacije</w:t>
      </w:r>
      <w:r w:rsidR="00676698" w:rsidRPr="000177FB">
        <w:rPr>
          <w:sz w:val="22"/>
          <w:szCs w:val="22"/>
          <w:lang w:val="sr-Latn-ME"/>
        </w:rPr>
        <w:t>, kao i iz</w:t>
      </w:r>
      <w:r w:rsidR="0058469B" w:rsidRPr="000177FB">
        <w:rPr>
          <w:sz w:val="22"/>
          <w:szCs w:val="22"/>
          <w:lang w:val="sr-Latn-ME"/>
        </w:rPr>
        <w:t xml:space="preserve"> podatak</w:t>
      </w:r>
      <w:r w:rsidR="00676698" w:rsidRPr="000177FB">
        <w:rPr>
          <w:sz w:val="22"/>
          <w:szCs w:val="22"/>
          <w:lang w:val="sr-Latn-ME"/>
        </w:rPr>
        <w:t xml:space="preserve">a </w:t>
      </w:r>
      <w:r w:rsidR="0058469B" w:rsidRPr="000177FB">
        <w:rPr>
          <w:sz w:val="22"/>
          <w:szCs w:val="22"/>
          <w:lang w:val="sr-Latn-ME"/>
        </w:rPr>
        <w:t>dostupnih nakon stavljanja lijeka na tržište.</w:t>
      </w: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D30EFF" w:rsidRPr="000177FB" w:rsidRDefault="00F07412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/>
        </w:rPr>
        <w:t>Neželjena dejstva</w:t>
      </w:r>
      <w:r w:rsidR="0058469B" w:rsidRPr="000177FB">
        <w:rPr>
          <w:sz w:val="22"/>
          <w:szCs w:val="22"/>
          <w:lang w:val="sr-Latn-ME"/>
        </w:rPr>
        <w:t xml:space="preserve"> su na</w:t>
      </w:r>
      <w:r w:rsidRPr="000177FB">
        <w:rPr>
          <w:sz w:val="22"/>
          <w:szCs w:val="22"/>
          <w:lang w:val="sr-Latn-ME"/>
        </w:rPr>
        <w:t>vedena prema organskim sistemima</w:t>
      </w:r>
      <w:r w:rsidR="0058469B" w:rsidRPr="000177FB">
        <w:rPr>
          <w:sz w:val="22"/>
          <w:szCs w:val="22"/>
          <w:lang w:val="sr-Latn-ME"/>
        </w:rPr>
        <w:t xml:space="preserve"> (</w:t>
      </w:r>
      <w:proofErr w:type="spellStart"/>
      <w:r w:rsidR="0058469B" w:rsidRPr="000177FB">
        <w:rPr>
          <w:sz w:val="22"/>
          <w:szCs w:val="22"/>
          <w:lang w:val="sr-Latn-ME"/>
        </w:rPr>
        <w:t>MedDRA</w:t>
      </w:r>
      <w:proofErr w:type="spellEnd"/>
      <w:r w:rsidRPr="000177FB">
        <w:rPr>
          <w:sz w:val="22"/>
          <w:szCs w:val="22"/>
          <w:lang w:val="sr-Latn-ME"/>
        </w:rPr>
        <w:t xml:space="preserve"> klasifikacija organskih sistema</w:t>
      </w:r>
      <w:r w:rsidR="0058469B" w:rsidRPr="000177FB">
        <w:rPr>
          <w:sz w:val="22"/>
          <w:szCs w:val="22"/>
          <w:lang w:val="sr-Latn-ME"/>
        </w:rPr>
        <w:t xml:space="preserve">) i učestalosti. </w:t>
      </w:r>
      <w:r w:rsidR="00D30EFF" w:rsidRPr="000177FB">
        <w:rPr>
          <w:sz w:val="22"/>
          <w:szCs w:val="22"/>
          <w:lang w:val="sr-Latn-ME" w:eastAsia="bs-Latn-BA"/>
        </w:rPr>
        <w:t xml:space="preserve">Procijenjene učestalosti neželjenih </w:t>
      </w:r>
      <w:r w:rsidR="006C4BE6" w:rsidRPr="000177FB">
        <w:rPr>
          <w:sz w:val="22"/>
          <w:szCs w:val="22"/>
          <w:lang w:val="sr-Latn-ME" w:eastAsia="bs-Latn-BA"/>
        </w:rPr>
        <w:t>dejstava</w:t>
      </w:r>
      <w:r w:rsidR="00D30EFF" w:rsidRPr="000177FB">
        <w:rPr>
          <w:sz w:val="22"/>
          <w:szCs w:val="22"/>
          <w:lang w:val="sr-Latn-ME" w:eastAsia="bs-Latn-BA"/>
        </w:rPr>
        <w:t xml:space="preserve"> razvrstane su </w:t>
      </w:r>
      <w:r w:rsidR="00D22041" w:rsidRPr="000177FB">
        <w:rPr>
          <w:sz w:val="22"/>
          <w:szCs w:val="22"/>
          <w:lang w:val="sr-Latn-ME" w:eastAsia="bs-Latn-BA"/>
        </w:rPr>
        <w:t>na sljedeći način</w:t>
      </w:r>
      <w:r w:rsidR="00D30EFF" w:rsidRPr="000177FB">
        <w:rPr>
          <w:sz w:val="22"/>
          <w:szCs w:val="22"/>
          <w:lang w:val="sr-Latn-ME" w:eastAsia="bs-Latn-BA"/>
        </w:rPr>
        <w:t xml:space="preserve">: </w:t>
      </w:r>
      <w:r w:rsidRPr="000177FB">
        <w:rPr>
          <w:sz w:val="22"/>
          <w:szCs w:val="22"/>
          <w:lang w:val="sr-Latn-ME" w:eastAsia="bs-Latn-BA"/>
        </w:rPr>
        <w:t>veoma</w:t>
      </w:r>
      <w:r w:rsidR="00D30EFF" w:rsidRPr="000177FB">
        <w:rPr>
          <w:sz w:val="22"/>
          <w:szCs w:val="22"/>
          <w:lang w:val="sr-Latn-ME" w:eastAsia="bs-Latn-BA"/>
        </w:rPr>
        <w:t xml:space="preserve"> često (≥1/10); često (≥ 1/100 do &lt;1/10); </w:t>
      </w:r>
      <w:r w:rsidR="006C4BE6" w:rsidRPr="000177FB">
        <w:rPr>
          <w:sz w:val="22"/>
          <w:szCs w:val="22"/>
          <w:lang w:val="sr-Latn-ME" w:eastAsia="bs-Latn-BA"/>
        </w:rPr>
        <w:t>povremeno</w:t>
      </w:r>
      <w:r w:rsidR="00D30EFF" w:rsidRPr="000177FB">
        <w:rPr>
          <w:sz w:val="22"/>
          <w:szCs w:val="22"/>
          <w:lang w:val="sr-Latn-ME" w:eastAsia="bs-Latn-BA"/>
        </w:rPr>
        <w:t xml:space="preserve"> (≥1/1000 do &lt;1/100); rijetko (≥1/10.000 do &lt;1/1.000); </w:t>
      </w:r>
      <w:r w:rsidRPr="000177FB">
        <w:rPr>
          <w:sz w:val="22"/>
          <w:szCs w:val="22"/>
          <w:lang w:val="sr-Latn-ME" w:eastAsia="bs-Latn-BA"/>
        </w:rPr>
        <w:t>veoma</w:t>
      </w:r>
      <w:r w:rsidR="00D30EFF" w:rsidRPr="000177FB">
        <w:rPr>
          <w:sz w:val="22"/>
          <w:szCs w:val="22"/>
          <w:lang w:val="sr-Latn-ME" w:eastAsia="bs-Latn-BA"/>
        </w:rPr>
        <w:t xml:space="preserve"> rijetko (&lt; 1/10.000), nepoznato (ne može se procijeniti iz dostupnih podataka).</w:t>
      </w:r>
    </w:p>
    <w:p w:rsidR="00F07412" w:rsidRPr="000177FB" w:rsidRDefault="00F07412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43"/>
        <w:gridCol w:w="1120"/>
        <w:gridCol w:w="1545"/>
        <w:gridCol w:w="1479"/>
        <w:gridCol w:w="1371"/>
        <w:gridCol w:w="1134"/>
        <w:gridCol w:w="1271"/>
      </w:tblGrid>
      <w:tr w:rsidR="00564EAA" w:rsidRPr="000177FB" w:rsidTr="001354CF">
        <w:tc>
          <w:tcPr>
            <w:tcW w:w="1143" w:type="dxa"/>
          </w:tcPr>
          <w:p w:rsidR="00210A56" w:rsidRPr="000177FB" w:rsidRDefault="00210A56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MedDRA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 xml:space="preserve"> klasifikacija organskih sistema</w:t>
            </w:r>
          </w:p>
        </w:tc>
        <w:tc>
          <w:tcPr>
            <w:tcW w:w="1120" w:type="dxa"/>
          </w:tcPr>
          <w:p w:rsidR="00210A56" w:rsidRPr="000177FB" w:rsidRDefault="00210A56" w:rsidP="001B4E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Veoma često</w:t>
            </w:r>
          </w:p>
        </w:tc>
        <w:tc>
          <w:tcPr>
            <w:tcW w:w="1545" w:type="dxa"/>
          </w:tcPr>
          <w:p w:rsidR="00210A56" w:rsidRPr="000177FB" w:rsidRDefault="00210A56" w:rsidP="001B4E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Često</w:t>
            </w:r>
          </w:p>
        </w:tc>
        <w:tc>
          <w:tcPr>
            <w:tcW w:w="1479" w:type="dxa"/>
          </w:tcPr>
          <w:p w:rsidR="00210A56" w:rsidRPr="000177FB" w:rsidRDefault="00210A56" w:rsidP="001B4E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 xml:space="preserve">Povremeno </w:t>
            </w:r>
          </w:p>
        </w:tc>
        <w:tc>
          <w:tcPr>
            <w:tcW w:w="1371" w:type="dxa"/>
          </w:tcPr>
          <w:p w:rsidR="00210A56" w:rsidRPr="000177FB" w:rsidRDefault="00210A56" w:rsidP="001B4E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 xml:space="preserve">Rijetko </w:t>
            </w:r>
          </w:p>
        </w:tc>
        <w:tc>
          <w:tcPr>
            <w:tcW w:w="1134" w:type="dxa"/>
          </w:tcPr>
          <w:p w:rsidR="00210A56" w:rsidRPr="000177FB" w:rsidRDefault="00210A56" w:rsidP="001B4E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 xml:space="preserve">Veoma rijetko </w:t>
            </w:r>
          </w:p>
        </w:tc>
        <w:tc>
          <w:tcPr>
            <w:tcW w:w="1271" w:type="dxa"/>
          </w:tcPr>
          <w:p w:rsidR="00210A56" w:rsidRPr="000177FB" w:rsidRDefault="00210A56" w:rsidP="001B4E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 xml:space="preserve">Nepoznato </w:t>
            </w:r>
          </w:p>
        </w:tc>
      </w:tr>
      <w:tr w:rsidR="00564EAA" w:rsidRPr="000177FB" w:rsidTr="001354CF">
        <w:tc>
          <w:tcPr>
            <w:tcW w:w="1143" w:type="dxa"/>
          </w:tcPr>
          <w:p w:rsidR="00210A56" w:rsidRPr="000177FB" w:rsidRDefault="00210A56" w:rsidP="001354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 w:eastAsia="bs-Latn-BA"/>
              </w:rPr>
            </w:pPr>
          </w:p>
          <w:p w:rsidR="00210A56" w:rsidRPr="000177FB" w:rsidRDefault="00210A56" w:rsidP="001354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 w:eastAsia="bs-Latn-BA"/>
              </w:rPr>
            </w:pPr>
            <w:r w:rsidRPr="000177FB">
              <w:rPr>
                <w:b/>
                <w:sz w:val="22"/>
                <w:szCs w:val="22"/>
                <w:lang w:val="sr-Latn-ME" w:eastAsia="bs-Latn-BA"/>
              </w:rPr>
              <w:t>Poremećaji krvi i limfnog sistema</w:t>
            </w:r>
          </w:p>
          <w:p w:rsidR="00210A56" w:rsidRPr="000177FB" w:rsidRDefault="00210A56" w:rsidP="001354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 w:eastAsia="bs-Latn-BA"/>
              </w:rPr>
            </w:pPr>
          </w:p>
        </w:tc>
        <w:tc>
          <w:tcPr>
            <w:tcW w:w="1120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545" w:type="dxa"/>
          </w:tcPr>
          <w:p w:rsidR="00210A56" w:rsidRPr="000177FB" w:rsidRDefault="00D22041" w:rsidP="00210A5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h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>emokoncentracija</w:t>
            </w:r>
            <w:proofErr w:type="spellEnd"/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 (zbog pretjerane </w:t>
            </w:r>
            <w:proofErr w:type="spellStart"/>
            <w:r w:rsidR="00210A56" w:rsidRPr="000177FB">
              <w:rPr>
                <w:sz w:val="22"/>
                <w:szCs w:val="22"/>
                <w:lang w:val="sr-Latn-ME" w:eastAsia="bs-Latn-BA"/>
              </w:rPr>
              <w:t>diureze</w:t>
            </w:r>
            <w:proofErr w:type="spellEnd"/>
            <w:r w:rsidR="00210A56" w:rsidRPr="000177FB">
              <w:rPr>
                <w:sz w:val="22"/>
                <w:szCs w:val="22"/>
                <w:lang w:val="sr-Latn-ME" w:eastAsia="bs-Latn-BA"/>
              </w:rPr>
              <w:t>)</w:t>
            </w:r>
          </w:p>
        </w:tc>
        <w:tc>
          <w:tcPr>
            <w:tcW w:w="1479" w:type="dxa"/>
          </w:tcPr>
          <w:p w:rsidR="00210A56" w:rsidRPr="000177FB" w:rsidRDefault="00D22041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t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>rombocitopenija</w:t>
            </w:r>
            <w:proofErr w:type="spellEnd"/>
          </w:p>
        </w:tc>
        <w:tc>
          <w:tcPr>
            <w:tcW w:w="1371" w:type="dxa"/>
          </w:tcPr>
          <w:p w:rsidR="00210A56" w:rsidRPr="000177FB" w:rsidRDefault="00D22041" w:rsidP="003F2E53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e</w:t>
            </w:r>
            <w:r w:rsidR="003F2E53" w:rsidRPr="000177FB">
              <w:rPr>
                <w:sz w:val="22"/>
                <w:szCs w:val="22"/>
                <w:lang w:val="sr-Latn-ME" w:eastAsia="bs-Latn-BA"/>
              </w:rPr>
              <w:t>ozinofilija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>,</w:t>
            </w:r>
            <w:r w:rsidR="003F2E53" w:rsidRPr="000177FB">
              <w:rPr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="00210A56" w:rsidRPr="000177FB">
              <w:rPr>
                <w:sz w:val="22"/>
                <w:szCs w:val="22"/>
                <w:lang w:val="sr-Latn-ME" w:eastAsia="bs-Latn-BA"/>
              </w:rPr>
              <w:t>leukopenija</w:t>
            </w:r>
            <w:proofErr w:type="spellEnd"/>
          </w:p>
          <w:p w:rsidR="00210A56" w:rsidRPr="000177FB" w:rsidRDefault="00210A56" w:rsidP="003F2E53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134" w:type="dxa"/>
          </w:tcPr>
          <w:p w:rsidR="00210A56" w:rsidRPr="000177FB" w:rsidRDefault="00D22041" w:rsidP="00210A5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h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>emolitička</w:t>
            </w:r>
            <w:proofErr w:type="spellEnd"/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 anemija, </w:t>
            </w:r>
            <w:proofErr w:type="spellStart"/>
            <w:r w:rsidR="00210A56" w:rsidRPr="000177FB">
              <w:rPr>
                <w:sz w:val="22"/>
                <w:szCs w:val="22"/>
                <w:lang w:val="sr-Latn-ME" w:eastAsia="bs-Latn-BA"/>
              </w:rPr>
              <w:t>aplastična</w:t>
            </w:r>
            <w:proofErr w:type="spellEnd"/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 anemija, agranulocitoza</w:t>
            </w:r>
            <w:r w:rsidR="00210A56" w:rsidRPr="000177FB">
              <w:rPr>
                <w:sz w:val="22"/>
                <w:szCs w:val="22"/>
                <w:vertAlign w:val="superscript"/>
                <w:lang w:val="sr-Latn-ME" w:eastAsia="bs-Latn-BA"/>
              </w:rPr>
              <w:t>1</w:t>
            </w:r>
          </w:p>
        </w:tc>
        <w:tc>
          <w:tcPr>
            <w:tcW w:w="1271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</w:tr>
      <w:tr w:rsidR="00564EAA" w:rsidRPr="000177FB" w:rsidTr="001354CF">
        <w:tc>
          <w:tcPr>
            <w:tcW w:w="1143" w:type="dxa"/>
          </w:tcPr>
          <w:p w:rsidR="00210A56" w:rsidRPr="000177FB" w:rsidRDefault="00210A56" w:rsidP="001354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 w:eastAsia="bs-Latn-BA"/>
              </w:rPr>
            </w:pPr>
            <w:r w:rsidRPr="000177FB">
              <w:rPr>
                <w:b/>
                <w:sz w:val="22"/>
                <w:szCs w:val="22"/>
                <w:lang w:val="sr-Latn-ME" w:eastAsia="bs-Latn-BA"/>
              </w:rPr>
              <w:t>Poremećaji imunološkog sistema</w:t>
            </w:r>
          </w:p>
        </w:tc>
        <w:tc>
          <w:tcPr>
            <w:tcW w:w="1120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545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479" w:type="dxa"/>
          </w:tcPr>
          <w:p w:rsidR="00210A56" w:rsidRPr="000177FB" w:rsidRDefault="00D22041" w:rsidP="00210A5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/>
              </w:rPr>
              <w:t>a</w:t>
            </w:r>
            <w:r w:rsidR="00210A56" w:rsidRPr="000177FB">
              <w:rPr>
                <w:sz w:val="22"/>
                <w:szCs w:val="22"/>
                <w:lang w:val="sr-Latn-ME"/>
              </w:rPr>
              <w:t>lergijske reakcije na koži i sluz</w:t>
            </w:r>
            <w:r w:rsidRPr="000177FB">
              <w:rPr>
                <w:sz w:val="22"/>
                <w:szCs w:val="22"/>
                <w:lang w:val="sr-Latn-ME"/>
              </w:rPr>
              <w:t>okoži</w:t>
            </w:r>
            <w:r w:rsidR="00210A56" w:rsidRPr="000177FB">
              <w:rPr>
                <w:sz w:val="22"/>
                <w:szCs w:val="22"/>
                <w:lang w:val="sr-Latn-ME"/>
              </w:rPr>
              <w:t xml:space="preserve"> (vidjeti „Poremećaji kože i potkožnog tkiva“)</w:t>
            </w:r>
          </w:p>
        </w:tc>
        <w:tc>
          <w:tcPr>
            <w:tcW w:w="1371" w:type="dxa"/>
          </w:tcPr>
          <w:p w:rsidR="00210A56" w:rsidRPr="000177FB" w:rsidRDefault="00D22041" w:rsidP="00210A5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/>
              </w:rPr>
              <w:t>t</w:t>
            </w:r>
            <w:r w:rsidR="00210A56" w:rsidRPr="000177FB">
              <w:rPr>
                <w:sz w:val="22"/>
                <w:szCs w:val="22"/>
                <w:lang w:val="sr-Latn-ME"/>
              </w:rPr>
              <w:t xml:space="preserve">eške </w:t>
            </w:r>
            <w:proofErr w:type="spellStart"/>
            <w:r w:rsidR="00210A56" w:rsidRPr="000177FB">
              <w:rPr>
                <w:sz w:val="22"/>
                <w:szCs w:val="22"/>
                <w:lang w:val="sr-Latn-ME"/>
              </w:rPr>
              <w:t>anafilaktičke</w:t>
            </w:r>
            <w:proofErr w:type="spellEnd"/>
            <w:r w:rsidR="00210A56" w:rsidRPr="000177FB">
              <w:rPr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="00210A56" w:rsidRPr="000177FB">
              <w:rPr>
                <w:sz w:val="22"/>
                <w:szCs w:val="22"/>
                <w:lang w:val="sr-Latn-ME"/>
              </w:rPr>
              <w:t>anafilaktoidne</w:t>
            </w:r>
            <w:proofErr w:type="spellEnd"/>
            <w:r w:rsidR="00210A56" w:rsidRPr="000177FB">
              <w:rPr>
                <w:sz w:val="22"/>
                <w:szCs w:val="22"/>
                <w:lang w:val="sr-Latn-ME"/>
              </w:rPr>
              <w:t xml:space="preserve"> reakcije, poput </w:t>
            </w:r>
            <w:proofErr w:type="spellStart"/>
            <w:r w:rsidR="00210A56" w:rsidRPr="000177FB">
              <w:rPr>
                <w:sz w:val="22"/>
                <w:szCs w:val="22"/>
                <w:lang w:val="sr-Latn-ME"/>
              </w:rPr>
              <w:t>anafilaktičkog</w:t>
            </w:r>
            <w:proofErr w:type="spellEnd"/>
            <w:r w:rsidR="00210A56" w:rsidRPr="000177FB">
              <w:rPr>
                <w:sz w:val="22"/>
                <w:szCs w:val="22"/>
                <w:lang w:val="sr-Latn-ME"/>
              </w:rPr>
              <w:t xml:space="preserve"> šoka</w:t>
            </w:r>
            <w:r w:rsidR="00210A56" w:rsidRPr="000177FB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="003F2E53" w:rsidRPr="000177FB">
              <w:rPr>
                <w:sz w:val="22"/>
                <w:szCs w:val="22"/>
                <w:lang w:val="sr-Latn-ME"/>
              </w:rPr>
              <w:t xml:space="preserve"> (za liječenje pogledati dio 4.9)</w:t>
            </w:r>
          </w:p>
        </w:tc>
        <w:tc>
          <w:tcPr>
            <w:tcW w:w="1134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271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/>
              </w:rPr>
              <w:t xml:space="preserve">Pogoršanje ili </w:t>
            </w:r>
            <w:proofErr w:type="spellStart"/>
            <w:r w:rsidRPr="000177FB">
              <w:rPr>
                <w:sz w:val="22"/>
                <w:szCs w:val="22"/>
                <w:lang w:val="sr-Latn-ME"/>
              </w:rPr>
              <w:t>aktivacija</w:t>
            </w:r>
            <w:proofErr w:type="spellEnd"/>
            <w:r w:rsidRPr="000177FB">
              <w:rPr>
                <w:sz w:val="22"/>
                <w:szCs w:val="22"/>
                <w:lang w:val="sr-Latn-ME"/>
              </w:rPr>
              <w:t xml:space="preserve"> sistemskog </w:t>
            </w:r>
            <w:proofErr w:type="spellStart"/>
            <w:r w:rsidRPr="000177FB">
              <w:rPr>
                <w:sz w:val="22"/>
                <w:szCs w:val="22"/>
                <w:lang w:val="sr-Latn-ME"/>
              </w:rPr>
              <w:t>lupus</w:t>
            </w:r>
            <w:proofErr w:type="spellEnd"/>
            <w:r w:rsidRPr="000177FB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177FB">
              <w:rPr>
                <w:sz w:val="22"/>
                <w:szCs w:val="22"/>
                <w:lang w:val="sr-Latn-ME"/>
              </w:rPr>
              <w:t>eritematozusa</w:t>
            </w:r>
            <w:proofErr w:type="spellEnd"/>
          </w:p>
        </w:tc>
      </w:tr>
      <w:tr w:rsidR="00564EAA" w:rsidRPr="000177FB" w:rsidTr="001354CF">
        <w:tc>
          <w:tcPr>
            <w:tcW w:w="1143" w:type="dxa"/>
          </w:tcPr>
          <w:p w:rsidR="00210A56" w:rsidRPr="000177FB" w:rsidRDefault="00210A56" w:rsidP="001354C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ME" w:eastAsia="bs-Latn-BA"/>
              </w:rPr>
            </w:pPr>
            <w:r w:rsidRPr="000177FB">
              <w:rPr>
                <w:b/>
                <w:sz w:val="22"/>
                <w:szCs w:val="22"/>
                <w:lang w:val="sr-Latn-ME" w:eastAsia="bs-Latn-BA"/>
              </w:rPr>
              <w:t>Poremećaji metaboliz</w:t>
            </w:r>
            <w:r w:rsidRPr="000177FB">
              <w:rPr>
                <w:b/>
                <w:sz w:val="22"/>
                <w:szCs w:val="22"/>
                <w:lang w:val="sr-Latn-ME" w:eastAsia="bs-Latn-BA"/>
              </w:rPr>
              <w:lastRenderedPageBreak/>
              <w:t>ma i prehrane</w:t>
            </w:r>
          </w:p>
        </w:tc>
        <w:tc>
          <w:tcPr>
            <w:tcW w:w="1120" w:type="dxa"/>
          </w:tcPr>
          <w:p w:rsidR="00210A56" w:rsidRPr="000177FB" w:rsidRDefault="00D22041" w:rsidP="003F2E53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lastRenderedPageBreak/>
              <w:t>p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>oremećaji elektrolita (uključuj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lastRenderedPageBreak/>
              <w:t xml:space="preserve">ući i simptomske manifestacije) dehidracija i </w:t>
            </w:r>
            <w:proofErr w:type="spellStart"/>
            <w:r w:rsidR="00210A56" w:rsidRPr="000177FB">
              <w:rPr>
                <w:sz w:val="22"/>
                <w:szCs w:val="22"/>
                <w:lang w:val="sr-Latn-ME" w:eastAsia="bs-Latn-BA"/>
              </w:rPr>
              <w:t>hipovolemija</w:t>
            </w:r>
            <w:proofErr w:type="spellEnd"/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 (naročito </w:t>
            </w:r>
            <w:r w:rsidR="003F2E53" w:rsidRPr="000177FB">
              <w:rPr>
                <w:sz w:val="22"/>
                <w:szCs w:val="22"/>
                <w:lang w:val="sr-Latn-ME" w:eastAsia="bs-Latn-BA"/>
              </w:rPr>
              <w:t>kod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 starijih pacijenata), povećanje serumskih </w:t>
            </w:r>
            <w:proofErr w:type="spellStart"/>
            <w:r w:rsidR="00210A56" w:rsidRPr="000177FB">
              <w:rPr>
                <w:sz w:val="22"/>
                <w:szCs w:val="22"/>
                <w:lang w:val="sr-Latn-ME" w:eastAsia="bs-Latn-BA"/>
              </w:rPr>
              <w:t>triglicerida</w:t>
            </w:r>
            <w:proofErr w:type="spellEnd"/>
          </w:p>
        </w:tc>
        <w:tc>
          <w:tcPr>
            <w:tcW w:w="1545" w:type="dxa"/>
          </w:tcPr>
          <w:p w:rsidR="00210A56" w:rsidRPr="000177FB" w:rsidRDefault="00D22041" w:rsidP="00210A5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lastRenderedPageBreak/>
              <w:t>h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>iponatremija</w:t>
            </w:r>
            <w:r w:rsidR="00210A56" w:rsidRPr="000177FB">
              <w:rPr>
                <w:sz w:val="22"/>
                <w:szCs w:val="22"/>
                <w:vertAlign w:val="superscript"/>
                <w:lang w:val="sr-Latn-ME" w:eastAsia="bs-Latn-BA"/>
              </w:rPr>
              <w:t>3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, </w:t>
            </w:r>
            <w:proofErr w:type="spellStart"/>
            <w:r w:rsidR="00210A56" w:rsidRPr="000177FB">
              <w:rPr>
                <w:sz w:val="22"/>
                <w:szCs w:val="22"/>
                <w:lang w:val="sr-Latn-ME" w:eastAsia="bs-Latn-BA"/>
              </w:rPr>
              <w:t>hipohloremija</w:t>
            </w:r>
            <w:proofErr w:type="spellEnd"/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 </w:t>
            </w:r>
          </w:p>
          <w:p w:rsidR="00210A56" w:rsidRPr="000177FB" w:rsidRDefault="00210A56" w:rsidP="00210A5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</w:pPr>
            <w:r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lastRenderedPageBreak/>
              <w:t xml:space="preserve">(posebno pri dijetama sa smanjenim unosom soli), </w:t>
            </w:r>
            <w:proofErr w:type="spellStart"/>
            <w:r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>hipokal</w:t>
            </w:r>
            <w:r w:rsidR="00D22041"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>ij</w:t>
            </w:r>
            <w:r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>emija</w:t>
            </w:r>
            <w:proofErr w:type="spellEnd"/>
            <w:r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 xml:space="preserve"> (posebno pri istovremenom smanjenom unosu kalijuma i/ili povećanom gubitku kalijuma, npr. povraćanjem ili </w:t>
            </w:r>
          </w:p>
          <w:p w:rsidR="00210A56" w:rsidRPr="000177FB" w:rsidRDefault="00210A56" w:rsidP="00D2645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 w:eastAsia="bs-Latn-BA"/>
              </w:rPr>
            </w:pPr>
            <w:r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>hroničnim prol</w:t>
            </w:r>
            <w:r w:rsidR="00D22041"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>i</w:t>
            </w:r>
            <w:r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 xml:space="preserve">vom); povećane vrijednosti </w:t>
            </w:r>
            <w:proofErr w:type="spellStart"/>
            <w:r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>holesterola</w:t>
            </w:r>
            <w:proofErr w:type="spellEnd"/>
            <w:r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 xml:space="preserve"> i </w:t>
            </w:r>
            <w:r w:rsidR="00D26453"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 xml:space="preserve">mokraćne </w:t>
            </w:r>
            <w:r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>kiseline u krvi</w:t>
            </w:r>
            <w:r w:rsidR="00E330D7"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 xml:space="preserve"> i</w:t>
            </w:r>
            <w:r w:rsidRPr="000177FB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 xml:space="preserve"> epizode gihta </w:t>
            </w:r>
          </w:p>
        </w:tc>
        <w:tc>
          <w:tcPr>
            <w:tcW w:w="1479" w:type="dxa"/>
          </w:tcPr>
          <w:p w:rsidR="00210A56" w:rsidRPr="000177FB" w:rsidRDefault="00CF304F" w:rsidP="00210A5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lastRenderedPageBreak/>
              <w:t>s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manjena tolerancija na glukozu i </w:t>
            </w:r>
          </w:p>
          <w:p w:rsidR="00210A56" w:rsidRPr="000177FB" w:rsidRDefault="00210A56" w:rsidP="00210A5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lastRenderedPageBreak/>
              <w:t>hiperglikemija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>; kod pacijenata sa</w:t>
            </w:r>
            <w:r w:rsidR="003F2E53" w:rsidRPr="000177FB">
              <w:rPr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manifestnim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 xml:space="preserve"> dijabetes </w:t>
            </w: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melitusom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 xml:space="preserve"> to može dovesti do pogoršanja stanja metabolizma. Latentni dijabe</w:t>
            </w:r>
            <w:r w:rsidR="003F2E53" w:rsidRPr="000177FB">
              <w:rPr>
                <w:sz w:val="22"/>
                <w:szCs w:val="22"/>
                <w:lang w:val="sr-Latn-ME" w:eastAsia="bs-Latn-BA"/>
              </w:rPr>
              <w:t xml:space="preserve">tes </w:t>
            </w:r>
            <w:proofErr w:type="spellStart"/>
            <w:r w:rsidR="003F2E53" w:rsidRPr="000177FB">
              <w:rPr>
                <w:sz w:val="22"/>
                <w:szCs w:val="22"/>
                <w:lang w:val="sr-Latn-ME" w:eastAsia="bs-Latn-BA"/>
              </w:rPr>
              <w:t>melitus</w:t>
            </w:r>
            <w:proofErr w:type="spellEnd"/>
            <w:r w:rsidR="003F2E53" w:rsidRPr="000177FB">
              <w:rPr>
                <w:sz w:val="22"/>
                <w:szCs w:val="22"/>
                <w:lang w:val="sr-Latn-ME" w:eastAsia="bs-Latn-BA"/>
              </w:rPr>
              <w:t xml:space="preserve"> može se manifestovat</w:t>
            </w:r>
            <w:r w:rsidRPr="000177FB">
              <w:rPr>
                <w:sz w:val="22"/>
                <w:szCs w:val="22"/>
                <w:lang w:val="sr-Latn-ME" w:eastAsia="bs-Latn-BA"/>
              </w:rPr>
              <w:t>i (pogledati dio 4.4.).</w:t>
            </w:r>
          </w:p>
          <w:p w:rsidR="00210A56" w:rsidRPr="000177FB" w:rsidRDefault="00210A56" w:rsidP="00210A5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71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134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271" w:type="dxa"/>
          </w:tcPr>
          <w:p w:rsidR="00210A56" w:rsidRPr="000177FB" w:rsidRDefault="00E330D7" w:rsidP="00210A5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h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>ipokalc</w:t>
            </w:r>
            <w:r w:rsidRPr="000177FB">
              <w:rPr>
                <w:sz w:val="22"/>
                <w:szCs w:val="22"/>
                <w:lang w:val="sr-Latn-ME" w:eastAsia="bs-Latn-BA"/>
              </w:rPr>
              <w:t>ij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>emija</w:t>
            </w:r>
            <w:r w:rsidR="00210A56" w:rsidRPr="000177FB">
              <w:rPr>
                <w:sz w:val="22"/>
                <w:szCs w:val="22"/>
                <w:vertAlign w:val="superscript"/>
                <w:lang w:val="sr-Latn-ME" w:eastAsia="bs-Latn-BA"/>
              </w:rPr>
              <w:t>5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>, hipomagnez</w:t>
            </w:r>
            <w:r w:rsidRPr="000177FB">
              <w:rPr>
                <w:sz w:val="22"/>
                <w:szCs w:val="22"/>
                <w:lang w:val="sr-Latn-ME" w:eastAsia="bs-Latn-BA"/>
              </w:rPr>
              <w:t>ij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>emija</w:t>
            </w:r>
            <w:r w:rsidR="00210A56" w:rsidRPr="000177FB">
              <w:rPr>
                <w:sz w:val="22"/>
                <w:szCs w:val="22"/>
                <w:vertAlign w:val="superscript"/>
                <w:lang w:val="sr-Latn-ME" w:eastAsia="bs-Latn-BA"/>
              </w:rPr>
              <w:t>6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, </w:t>
            </w:r>
            <w:proofErr w:type="spellStart"/>
            <w:r w:rsidR="00210A56" w:rsidRPr="000177FB">
              <w:rPr>
                <w:sz w:val="22"/>
                <w:szCs w:val="22"/>
                <w:lang w:val="sr-Latn-ME" w:eastAsia="bs-Latn-BA"/>
              </w:rPr>
              <w:lastRenderedPageBreak/>
              <w:t>metabolička</w:t>
            </w:r>
            <w:proofErr w:type="spellEnd"/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="00210A56" w:rsidRPr="000177FB">
              <w:rPr>
                <w:sz w:val="22"/>
                <w:szCs w:val="22"/>
                <w:lang w:val="sr-Latn-ME" w:eastAsia="bs-Latn-BA"/>
              </w:rPr>
              <w:t>alkaloza</w:t>
            </w:r>
            <w:proofErr w:type="spellEnd"/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,  </w:t>
            </w:r>
          </w:p>
          <w:p w:rsidR="00210A56" w:rsidRPr="000177FB" w:rsidRDefault="00210A56" w:rsidP="00210A5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(</w:t>
            </w:r>
            <w:r w:rsidR="00E330D7" w:rsidRPr="000177FB">
              <w:rPr>
                <w:sz w:val="22"/>
                <w:szCs w:val="22"/>
                <w:lang w:val="sr-Latn-ME" w:eastAsia="bs-Latn-BA"/>
              </w:rPr>
              <w:t>P</w:t>
            </w:r>
            <w:r w:rsidRPr="000177FB">
              <w:rPr>
                <w:sz w:val="22"/>
                <w:szCs w:val="22"/>
                <w:lang w:val="sr-Latn-ME" w:eastAsia="bs-Latn-BA"/>
              </w:rPr>
              <w:t>seudo-</w:t>
            </w: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Barttterov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 xml:space="preserve"> sindrom </w:t>
            </w:r>
            <w:r w:rsidRPr="000177FB">
              <w:rPr>
                <w:sz w:val="22"/>
                <w:szCs w:val="22"/>
                <w:lang w:val="sr-Latn-ME"/>
              </w:rPr>
              <w:t xml:space="preserve">(kod zloupotrebe i/ili dugotrajne primjene </w:t>
            </w:r>
            <w:proofErr w:type="spellStart"/>
            <w:r w:rsidRPr="000177FB">
              <w:rPr>
                <w:sz w:val="22"/>
                <w:szCs w:val="22"/>
                <w:lang w:val="sr-Latn-ME"/>
              </w:rPr>
              <w:t>furosemida</w:t>
            </w:r>
            <w:proofErr w:type="spellEnd"/>
            <w:r w:rsidRPr="000177FB">
              <w:rPr>
                <w:sz w:val="22"/>
                <w:szCs w:val="22"/>
                <w:lang w:val="sr-Latn-ME"/>
              </w:rPr>
              <w:t>)</w:t>
            </w:r>
          </w:p>
          <w:p w:rsidR="00210A56" w:rsidRPr="000177FB" w:rsidRDefault="00210A56" w:rsidP="00210A5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</w:p>
        </w:tc>
      </w:tr>
      <w:tr w:rsidR="00564EAA" w:rsidRPr="000177FB" w:rsidTr="001354CF">
        <w:tc>
          <w:tcPr>
            <w:tcW w:w="1143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b/>
                <w:sz w:val="22"/>
                <w:szCs w:val="22"/>
                <w:lang w:val="sr-Latn-ME" w:eastAsia="bs-Latn-BA"/>
              </w:rPr>
              <w:lastRenderedPageBreak/>
              <w:t>Poremećaji nervnog sistema</w:t>
            </w:r>
          </w:p>
        </w:tc>
        <w:tc>
          <w:tcPr>
            <w:tcW w:w="1120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545" w:type="dxa"/>
          </w:tcPr>
          <w:p w:rsidR="00210A56" w:rsidRPr="000177FB" w:rsidRDefault="00E330D7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h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>epatička</w:t>
            </w:r>
            <w:proofErr w:type="spellEnd"/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="00210A56" w:rsidRPr="000177FB">
              <w:rPr>
                <w:sz w:val="22"/>
                <w:szCs w:val="22"/>
                <w:lang w:val="sr-Latn-ME" w:eastAsia="bs-Latn-BA"/>
              </w:rPr>
              <w:t>encefalopatija</w:t>
            </w:r>
            <w:proofErr w:type="spellEnd"/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 kod pacijenata sa</w:t>
            </w:r>
            <w:r w:rsidRPr="000177FB">
              <w:rPr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="00210A56" w:rsidRPr="000177FB">
              <w:rPr>
                <w:sz w:val="22"/>
                <w:szCs w:val="22"/>
                <w:lang w:val="sr-Latn-ME" w:eastAsia="bs-Latn-BA"/>
              </w:rPr>
              <w:t>insuficijencijom</w:t>
            </w:r>
            <w:proofErr w:type="spellEnd"/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 </w:t>
            </w:r>
            <w:r w:rsidRPr="000177FB">
              <w:rPr>
                <w:sz w:val="22"/>
                <w:szCs w:val="22"/>
                <w:lang w:val="sr-Latn-ME" w:eastAsia="bs-Latn-BA"/>
              </w:rPr>
              <w:t xml:space="preserve">jetre 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>(pogledati dio 4.3.)</w:t>
            </w:r>
          </w:p>
        </w:tc>
        <w:tc>
          <w:tcPr>
            <w:tcW w:w="1479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71" w:type="dxa"/>
          </w:tcPr>
          <w:p w:rsidR="00210A56" w:rsidRPr="000177FB" w:rsidRDefault="00E330D7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p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>arestezija</w:t>
            </w:r>
            <w:proofErr w:type="spellEnd"/>
          </w:p>
        </w:tc>
        <w:tc>
          <w:tcPr>
            <w:tcW w:w="1134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271" w:type="dxa"/>
          </w:tcPr>
          <w:p w:rsidR="00210A56" w:rsidRPr="000177FB" w:rsidRDefault="00E330D7" w:rsidP="00210A5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o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maglica, nesvjestica i gubitak svijesti (mogu biti znaci </w:t>
            </w:r>
            <w:proofErr w:type="spellStart"/>
            <w:r w:rsidR="00210A56" w:rsidRPr="000177FB">
              <w:rPr>
                <w:sz w:val="22"/>
                <w:szCs w:val="22"/>
                <w:lang w:val="sr-Latn-ME" w:eastAsia="bs-Latn-BA"/>
              </w:rPr>
              <w:t>simptomatske</w:t>
            </w:r>
            <w:proofErr w:type="spellEnd"/>
            <w:r w:rsidR="00210A56" w:rsidRPr="000177FB">
              <w:rPr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="00210A56" w:rsidRPr="000177FB">
              <w:rPr>
                <w:sz w:val="22"/>
                <w:szCs w:val="22"/>
                <w:lang w:val="sr-Latn-ME" w:eastAsia="bs-Latn-BA"/>
              </w:rPr>
              <w:t>hipotenzije</w:t>
            </w:r>
            <w:proofErr w:type="spellEnd"/>
            <w:r w:rsidR="00210A56" w:rsidRPr="000177FB">
              <w:rPr>
                <w:sz w:val="22"/>
                <w:szCs w:val="22"/>
                <w:lang w:val="sr-Latn-ME" w:eastAsia="bs-Latn-BA"/>
              </w:rPr>
              <w:t>), glavobolja</w:t>
            </w:r>
          </w:p>
          <w:p w:rsidR="00210A56" w:rsidRPr="000177FB" w:rsidRDefault="00210A56" w:rsidP="00210A56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</w:p>
        </w:tc>
      </w:tr>
      <w:tr w:rsidR="00564EAA" w:rsidRPr="000177FB" w:rsidTr="001354CF">
        <w:tc>
          <w:tcPr>
            <w:tcW w:w="1143" w:type="dxa"/>
          </w:tcPr>
          <w:p w:rsidR="00210A56" w:rsidRPr="000177FB" w:rsidRDefault="00210A56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b/>
                <w:sz w:val="22"/>
                <w:szCs w:val="22"/>
                <w:lang w:val="sr-Latn-ME" w:eastAsia="bs-Latn-BA"/>
              </w:rPr>
              <w:t>Poremećaji u</w:t>
            </w:r>
            <w:r w:rsidR="00E330D7" w:rsidRPr="000177FB">
              <w:rPr>
                <w:b/>
                <w:sz w:val="22"/>
                <w:szCs w:val="22"/>
                <w:lang w:val="sr-Latn-ME" w:eastAsia="bs-Latn-BA"/>
              </w:rPr>
              <w:t>v</w:t>
            </w:r>
            <w:r w:rsidRPr="000177FB">
              <w:rPr>
                <w:b/>
                <w:sz w:val="22"/>
                <w:szCs w:val="22"/>
                <w:lang w:val="sr-Latn-ME" w:eastAsia="bs-Latn-BA"/>
              </w:rPr>
              <w:t>a i labirinta</w:t>
            </w:r>
          </w:p>
        </w:tc>
        <w:tc>
          <w:tcPr>
            <w:tcW w:w="1120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545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479" w:type="dxa"/>
          </w:tcPr>
          <w:p w:rsidR="00210A56" w:rsidRPr="000177FB" w:rsidRDefault="00C366EC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p</w:t>
            </w:r>
            <w:r w:rsidR="00210A56" w:rsidRPr="000177FB">
              <w:rPr>
                <w:sz w:val="22"/>
                <w:szCs w:val="22"/>
                <w:lang w:val="sr-Latn-ME" w:eastAsia="bs-Latn-BA"/>
              </w:rPr>
              <w:t>oremećaji sluha</w:t>
            </w:r>
          </w:p>
          <w:p w:rsidR="00210A56" w:rsidRPr="000177FB" w:rsidRDefault="00210A56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 xml:space="preserve">(uglavnom </w:t>
            </w: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reverzibilni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 xml:space="preserve">, naročito </w:t>
            </w:r>
            <w:r w:rsidR="009E4996" w:rsidRPr="000177FB">
              <w:rPr>
                <w:sz w:val="22"/>
                <w:szCs w:val="22"/>
                <w:lang w:val="sr-Latn-ME" w:eastAsia="bs-Latn-BA"/>
              </w:rPr>
              <w:t>kod</w:t>
            </w:r>
          </w:p>
          <w:p w:rsidR="00210A56" w:rsidRPr="000177FB" w:rsidRDefault="00210A56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pacijenata s</w:t>
            </w:r>
            <w:r w:rsidR="00E330D7" w:rsidRPr="000177FB">
              <w:rPr>
                <w:sz w:val="22"/>
                <w:szCs w:val="22"/>
                <w:lang w:val="sr-Latn-ME" w:eastAsia="bs-Latn-BA"/>
              </w:rPr>
              <w:t>a</w:t>
            </w:r>
            <w:r w:rsidRPr="000177FB">
              <w:rPr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insuficijencijom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 xml:space="preserve"> bubrega ili </w:t>
            </w: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hipoproteinemijom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 xml:space="preserve">, npr. pri </w:t>
            </w: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nefrotskom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 xml:space="preserve"> sindromu), glu</w:t>
            </w:r>
            <w:r w:rsidR="00E330D7" w:rsidRPr="000177FB">
              <w:rPr>
                <w:sz w:val="22"/>
                <w:szCs w:val="22"/>
                <w:lang w:val="sr-Latn-ME" w:eastAsia="bs-Latn-BA"/>
              </w:rPr>
              <w:t>v</w:t>
            </w:r>
            <w:r w:rsidRPr="000177FB">
              <w:rPr>
                <w:sz w:val="22"/>
                <w:szCs w:val="22"/>
                <w:lang w:val="sr-Latn-ME" w:eastAsia="bs-Latn-BA"/>
              </w:rPr>
              <w:t>oća (ponekad ireverzibilna)</w:t>
            </w:r>
          </w:p>
        </w:tc>
        <w:tc>
          <w:tcPr>
            <w:tcW w:w="1371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134" w:type="dxa"/>
          </w:tcPr>
          <w:p w:rsidR="00210A56" w:rsidRPr="000177FB" w:rsidRDefault="0014116B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Tinitus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 xml:space="preserve"> </w:t>
            </w:r>
          </w:p>
        </w:tc>
        <w:tc>
          <w:tcPr>
            <w:tcW w:w="1271" w:type="dxa"/>
          </w:tcPr>
          <w:p w:rsidR="00210A56" w:rsidRPr="000177FB" w:rsidRDefault="00210A56" w:rsidP="00210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</w:tr>
      <w:tr w:rsidR="00564EAA" w:rsidRPr="000177FB" w:rsidTr="001354CF">
        <w:tc>
          <w:tcPr>
            <w:tcW w:w="1143" w:type="dxa"/>
          </w:tcPr>
          <w:p w:rsidR="0014116B" w:rsidRPr="000177FB" w:rsidRDefault="0014116B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b/>
                <w:sz w:val="22"/>
                <w:szCs w:val="22"/>
                <w:lang w:val="sr-Latn-ME" w:eastAsia="bs-Latn-BA"/>
              </w:rPr>
              <w:t>Vaskularni poremećaji</w:t>
            </w:r>
          </w:p>
        </w:tc>
        <w:tc>
          <w:tcPr>
            <w:tcW w:w="1120" w:type="dxa"/>
          </w:tcPr>
          <w:p w:rsidR="0014116B" w:rsidRPr="000177FB" w:rsidRDefault="00E330D7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h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>ipotenzija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 (koja uključuje i </w:t>
            </w:r>
            <w:proofErr w:type="spellStart"/>
            <w:r w:rsidR="0014116B" w:rsidRPr="000177FB">
              <w:rPr>
                <w:sz w:val="22"/>
                <w:szCs w:val="22"/>
                <w:lang w:val="sr-Latn-ME" w:eastAsia="bs-Latn-BA"/>
              </w:rPr>
              <w:t>ortostatsku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 deregulac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lastRenderedPageBreak/>
              <w:t>iju)</w:t>
            </w:r>
            <w:r w:rsidR="009E4996" w:rsidRPr="000177FB">
              <w:rPr>
                <w:sz w:val="22"/>
                <w:szCs w:val="22"/>
                <w:lang w:val="sr-Latn-ME" w:eastAsia="bs-Latn-BA"/>
              </w:rPr>
              <w:t xml:space="preserve"> prilikom </w:t>
            </w:r>
            <w:proofErr w:type="spellStart"/>
            <w:r w:rsidR="009E4996" w:rsidRPr="000177FB">
              <w:rPr>
                <w:sz w:val="22"/>
                <w:szCs w:val="22"/>
                <w:lang w:val="sr-Latn-ME" w:eastAsia="bs-Latn-BA"/>
              </w:rPr>
              <w:t>i.v.infuzije</w:t>
            </w:r>
            <w:proofErr w:type="spellEnd"/>
            <w:r w:rsidR="009E4996" w:rsidRPr="000177FB">
              <w:rPr>
                <w:sz w:val="22"/>
                <w:szCs w:val="22"/>
                <w:lang w:val="sr-Latn-ME" w:eastAsia="bs-Latn-BA"/>
              </w:rPr>
              <w:t xml:space="preserve"> (pogledati dio 4.4)</w:t>
            </w:r>
          </w:p>
        </w:tc>
        <w:tc>
          <w:tcPr>
            <w:tcW w:w="1545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479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71" w:type="dxa"/>
          </w:tcPr>
          <w:p w:rsidR="0014116B" w:rsidRPr="000177FB" w:rsidRDefault="00E330D7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v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>askulitis</w:t>
            </w:r>
            <w:proofErr w:type="spellEnd"/>
          </w:p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134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271" w:type="dxa"/>
          </w:tcPr>
          <w:p w:rsidR="0014116B" w:rsidRPr="000177FB" w:rsidRDefault="00E330D7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t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romboza (naročito </w:t>
            </w:r>
            <w:r w:rsidR="009E4996" w:rsidRPr="000177FB">
              <w:rPr>
                <w:sz w:val="22"/>
                <w:szCs w:val="22"/>
                <w:lang w:val="sr-Latn-ME" w:eastAsia="bs-Latn-BA"/>
              </w:rPr>
              <w:t>kod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 starijih) pacijenata</w:t>
            </w:r>
          </w:p>
        </w:tc>
      </w:tr>
      <w:tr w:rsidR="00564EAA" w:rsidRPr="000177FB" w:rsidTr="001354CF">
        <w:tc>
          <w:tcPr>
            <w:tcW w:w="1143" w:type="dxa"/>
          </w:tcPr>
          <w:p w:rsidR="0014116B" w:rsidRPr="000177FB" w:rsidRDefault="0014116B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b/>
                <w:sz w:val="22"/>
                <w:szCs w:val="22"/>
                <w:lang w:val="sr-Latn-ME" w:eastAsia="bs-Latn-BA"/>
              </w:rPr>
              <w:t>Poremećaji probavnog sistema</w:t>
            </w:r>
          </w:p>
        </w:tc>
        <w:tc>
          <w:tcPr>
            <w:tcW w:w="1120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545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479" w:type="dxa"/>
          </w:tcPr>
          <w:p w:rsidR="0014116B" w:rsidRPr="000177FB" w:rsidRDefault="00E330D7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m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učnina </w:t>
            </w:r>
          </w:p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71" w:type="dxa"/>
          </w:tcPr>
          <w:p w:rsidR="0014116B" w:rsidRPr="000177FB" w:rsidRDefault="00E330D7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p</w:t>
            </w:r>
            <w:r w:rsidR="009E4996" w:rsidRPr="000177FB">
              <w:rPr>
                <w:sz w:val="22"/>
                <w:szCs w:val="22"/>
                <w:lang w:val="sr-Latn-ME" w:eastAsia="bs-Latn-BA"/>
              </w:rPr>
              <w:t>ovraćanje, proli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>v</w:t>
            </w:r>
          </w:p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134" w:type="dxa"/>
          </w:tcPr>
          <w:p w:rsidR="0014116B" w:rsidRPr="000177FB" w:rsidRDefault="00E330D7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a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kutni </w:t>
            </w:r>
            <w:proofErr w:type="spellStart"/>
            <w:r w:rsidR="0014116B" w:rsidRPr="000177FB">
              <w:rPr>
                <w:sz w:val="22"/>
                <w:szCs w:val="22"/>
                <w:lang w:val="sr-Latn-ME" w:eastAsia="bs-Latn-BA"/>
              </w:rPr>
              <w:t>pankreatitis</w:t>
            </w:r>
            <w:proofErr w:type="spellEnd"/>
          </w:p>
        </w:tc>
        <w:tc>
          <w:tcPr>
            <w:tcW w:w="1271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</w:tr>
      <w:tr w:rsidR="00564EAA" w:rsidRPr="000177FB" w:rsidTr="001354CF">
        <w:tc>
          <w:tcPr>
            <w:tcW w:w="1143" w:type="dxa"/>
          </w:tcPr>
          <w:p w:rsidR="0014116B" w:rsidRPr="000177FB" w:rsidRDefault="0014116B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b/>
                <w:sz w:val="22"/>
                <w:szCs w:val="22"/>
                <w:lang w:val="sr-Latn-ME" w:eastAsia="bs-Latn-BA"/>
              </w:rPr>
              <w:t>Poremećaji jetre i žuči</w:t>
            </w:r>
          </w:p>
        </w:tc>
        <w:tc>
          <w:tcPr>
            <w:tcW w:w="1120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545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479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71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134" w:type="dxa"/>
          </w:tcPr>
          <w:p w:rsidR="0014116B" w:rsidRPr="000177FB" w:rsidRDefault="00E330D7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i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>ntrahepatička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="0014116B" w:rsidRPr="000177FB">
              <w:rPr>
                <w:sz w:val="22"/>
                <w:szCs w:val="22"/>
                <w:lang w:val="sr-Latn-ME" w:eastAsia="bs-Latn-BA"/>
              </w:rPr>
              <w:t>holestaza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, povećane vrijednosti </w:t>
            </w:r>
            <w:proofErr w:type="spellStart"/>
            <w:r w:rsidR="0014116B" w:rsidRPr="000177FB">
              <w:rPr>
                <w:sz w:val="22"/>
                <w:szCs w:val="22"/>
                <w:lang w:val="sr-Latn-ME" w:eastAsia="bs-Latn-BA"/>
              </w:rPr>
              <w:t>transaminaza</w:t>
            </w:r>
            <w:proofErr w:type="spellEnd"/>
          </w:p>
        </w:tc>
        <w:tc>
          <w:tcPr>
            <w:tcW w:w="1271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</w:tr>
      <w:tr w:rsidR="00564EAA" w:rsidRPr="000177FB" w:rsidTr="001354CF">
        <w:tc>
          <w:tcPr>
            <w:tcW w:w="1143" w:type="dxa"/>
          </w:tcPr>
          <w:p w:rsidR="0014116B" w:rsidRPr="000177FB" w:rsidRDefault="0014116B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b/>
                <w:sz w:val="22"/>
                <w:szCs w:val="22"/>
                <w:lang w:val="sr-Latn-ME" w:eastAsia="bs-Latn-BA"/>
              </w:rPr>
              <w:t>Poremećaji kože i potkožnog tkiva</w:t>
            </w:r>
          </w:p>
        </w:tc>
        <w:tc>
          <w:tcPr>
            <w:tcW w:w="1120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545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479" w:type="dxa"/>
          </w:tcPr>
          <w:p w:rsidR="0014116B" w:rsidRPr="000177FB" w:rsidRDefault="00E330D7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p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>ruritus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, urtikarija, osip, </w:t>
            </w:r>
            <w:proofErr w:type="spellStart"/>
            <w:r w:rsidR="0014116B" w:rsidRPr="000177FB">
              <w:rPr>
                <w:sz w:val="22"/>
                <w:szCs w:val="22"/>
                <w:lang w:val="sr-Latn-ME" w:eastAsia="bs-Latn-BA"/>
              </w:rPr>
              <w:t>bulozni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 dermatitis, </w:t>
            </w:r>
            <w:proofErr w:type="spellStart"/>
            <w:r w:rsidR="0014116B" w:rsidRPr="000177FB">
              <w:rPr>
                <w:sz w:val="22"/>
                <w:szCs w:val="22"/>
                <w:lang w:val="sr-Latn-ME" w:eastAsia="bs-Latn-BA"/>
              </w:rPr>
              <w:t>poliformni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="0014116B" w:rsidRPr="000177FB">
              <w:rPr>
                <w:sz w:val="22"/>
                <w:szCs w:val="22"/>
                <w:lang w:val="sr-Latn-ME" w:eastAsia="bs-Latn-BA"/>
              </w:rPr>
              <w:t>eritem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, </w:t>
            </w:r>
            <w:proofErr w:type="spellStart"/>
            <w:r w:rsidR="0014116B" w:rsidRPr="000177FB">
              <w:rPr>
                <w:sz w:val="22"/>
                <w:szCs w:val="22"/>
                <w:lang w:val="sr-Latn-ME" w:eastAsia="bs-Latn-BA"/>
              </w:rPr>
              <w:t>pemfigoid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 (</w:t>
            </w:r>
            <w:proofErr w:type="spellStart"/>
            <w:r w:rsidR="0014116B" w:rsidRPr="000177FB">
              <w:rPr>
                <w:sz w:val="22"/>
                <w:szCs w:val="22"/>
                <w:lang w:val="sr-Latn-ME" w:eastAsia="bs-Latn-BA"/>
              </w:rPr>
              <w:t>parapemfigus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), </w:t>
            </w:r>
            <w:proofErr w:type="spellStart"/>
            <w:r w:rsidR="0014116B" w:rsidRPr="000177FB">
              <w:rPr>
                <w:sz w:val="22"/>
                <w:szCs w:val="22"/>
                <w:lang w:val="sr-Latn-ME" w:eastAsia="bs-Latn-BA"/>
              </w:rPr>
              <w:t>eksfolijativni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 dermatitis, purpura </w:t>
            </w:r>
            <w:proofErr w:type="spellStart"/>
            <w:r w:rsidR="0014116B" w:rsidRPr="000177FB">
              <w:rPr>
                <w:sz w:val="22"/>
                <w:szCs w:val="22"/>
                <w:lang w:val="sr-Latn-ME" w:eastAsia="bs-Latn-BA"/>
              </w:rPr>
              <w:t>fotosenzitivnost</w:t>
            </w:r>
            <w:proofErr w:type="spellEnd"/>
          </w:p>
        </w:tc>
        <w:tc>
          <w:tcPr>
            <w:tcW w:w="1371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134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271" w:type="dxa"/>
          </w:tcPr>
          <w:p w:rsidR="0014116B" w:rsidRPr="000177FB" w:rsidRDefault="0014116B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/>
              </w:rPr>
              <w:t>Stevens-Johnsonov</w:t>
            </w:r>
            <w:proofErr w:type="spellEnd"/>
            <w:r w:rsidRPr="000177FB">
              <w:rPr>
                <w:sz w:val="22"/>
                <w:szCs w:val="22"/>
                <w:lang w:val="sr-Latn-ME"/>
              </w:rPr>
              <w:t xml:space="preserve"> sindrom, toksična </w:t>
            </w:r>
            <w:proofErr w:type="spellStart"/>
            <w:r w:rsidRPr="000177FB">
              <w:rPr>
                <w:sz w:val="22"/>
                <w:szCs w:val="22"/>
                <w:lang w:val="sr-Latn-ME"/>
              </w:rPr>
              <w:t>epidermalna</w:t>
            </w:r>
            <w:proofErr w:type="spellEnd"/>
            <w:r w:rsidRPr="000177FB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177FB">
              <w:rPr>
                <w:sz w:val="22"/>
                <w:szCs w:val="22"/>
                <w:lang w:val="sr-Latn-ME"/>
              </w:rPr>
              <w:t>nekroliza</w:t>
            </w:r>
            <w:proofErr w:type="spellEnd"/>
            <w:r w:rsidRPr="000177FB">
              <w:rPr>
                <w:sz w:val="22"/>
                <w:szCs w:val="22"/>
                <w:lang w:val="sr-Latn-ME"/>
              </w:rPr>
              <w:t xml:space="preserve">, </w:t>
            </w:r>
            <w:r w:rsidR="009E4996" w:rsidRPr="000177FB">
              <w:rPr>
                <w:rStyle w:val="st"/>
                <w:sz w:val="22"/>
                <w:szCs w:val="22"/>
                <w:lang w:val="sr-Latn-ME"/>
              </w:rPr>
              <w:t xml:space="preserve">akutna generalizovana </w:t>
            </w:r>
            <w:proofErr w:type="spellStart"/>
            <w:r w:rsidRPr="000177FB">
              <w:rPr>
                <w:rStyle w:val="Emphasis"/>
                <w:b w:val="0"/>
                <w:sz w:val="22"/>
                <w:szCs w:val="22"/>
                <w:lang w:val="sr-Latn-ME"/>
              </w:rPr>
              <w:t>egzantematozna</w:t>
            </w:r>
            <w:proofErr w:type="spellEnd"/>
            <w:r w:rsidRPr="000177FB">
              <w:rPr>
                <w:rStyle w:val="Emphasis"/>
                <w:b w:val="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177FB">
              <w:rPr>
                <w:rStyle w:val="Emphasis"/>
                <w:b w:val="0"/>
                <w:sz w:val="22"/>
                <w:szCs w:val="22"/>
                <w:lang w:val="sr-Latn-ME"/>
              </w:rPr>
              <w:t>pustuloza</w:t>
            </w:r>
            <w:proofErr w:type="spellEnd"/>
            <w:r w:rsidRPr="000177FB">
              <w:rPr>
                <w:rStyle w:val="Emphasis"/>
                <w:b w:val="0"/>
                <w:sz w:val="22"/>
                <w:szCs w:val="22"/>
                <w:lang w:val="sr-Latn-ME"/>
              </w:rPr>
              <w:t xml:space="preserve"> (AGEP)</w:t>
            </w:r>
            <w:r w:rsidRPr="000177FB">
              <w:rPr>
                <w:sz w:val="22"/>
                <w:szCs w:val="22"/>
                <w:lang w:val="sr-Latn-ME" w:eastAsia="bs-Latn-BA"/>
              </w:rPr>
              <w:t xml:space="preserve">, sindrom DRESS (engl. </w:t>
            </w:r>
            <w:r w:rsidRPr="000177FB">
              <w:rPr>
                <w:i/>
                <w:sz w:val="22"/>
                <w:szCs w:val="22"/>
                <w:lang w:val="sr-Latn-ME" w:eastAsia="bs-Latn-BA"/>
              </w:rPr>
              <w:t xml:space="preserve">Drug </w:t>
            </w:r>
            <w:proofErr w:type="spellStart"/>
            <w:r w:rsidRPr="000177FB">
              <w:rPr>
                <w:i/>
                <w:sz w:val="22"/>
                <w:szCs w:val="22"/>
                <w:lang w:val="sr-Latn-ME" w:eastAsia="bs-Latn-BA"/>
              </w:rPr>
              <w:t>Rash</w:t>
            </w:r>
            <w:proofErr w:type="spellEnd"/>
            <w:r w:rsidRPr="000177FB">
              <w:rPr>
                <w:i/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Pr="000177FB">
              <w:rPr>
                <w:i/>
                <w:sz w:val="22"/>
                <w:szCs w:val="22"/>
                <w:lang w:val="sr-Latn-ME" w:eastAsia="bs-Latn-BA"/>
              </w:rPr>
              <w:t>with</w:t>
            </w:r>
            <w:proofErr w:type="spellEnd"/>
            <w:r w:rsidRPr="000177FB">
              <w:rPr>
                <w:i/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Pr="000177FB">
              <w:rPr>
                <w:i/>
                <w:sz w:val="22"/>
                <w:szCs w:val="22"/>
                <w:lang w:val="sr-Latn-ME" w:eastAsia="bs-Latn-BA"/>
              </w:rPr>
              <w:t>Eosinophilia</w:t>
            </w:r>
            <w:proofErr w:type="spellEnd"/>
            <w:r w:rsidRPr="000177FB">
              <w:rPr>
                <w:i/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Pr="000177FB">
              <w:rPr>
                <w:i/>
                <w:sz w:val="22"/>
                <w:szCs w:val="22"/>
                <w:lang w:val="sr-Latn-ME" w:eastAsia="bs-Latn-BA"/>
              </w:rPr>
              <w:t>and</w:t>
            </w:r>
            <w:proofErr w:type="spellEnd"/>
            <w:r w:rsidRPr="000177FB">
              <w:rPr>
                <w:i/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Pr="000177FB">
              <w:rPr>
                <w:i/>
                <w:sz w:val="22"/>
                <w:szCs w:val="22"/>
                <w:lang w:val="sr-Latn-ME" w:eastAsia="bs-Latn-BA"/>
              </w:rPr>
              <w:t>Symptoms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 xml:space="preserve">), </w:t>
            </w: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lihenoidne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 xml:space="preserve"> reakcije</w:t>
            </w:r>
          </w:p>
        </w:tc>
      </w:tr>
      <w:tr w:rsidR="00564EAA" w:rsidRPr="000177FB" w:rsidTr="001354CF">
        <w:tc>
          <w:tcPr>
            <w:tcW w:w="1143" w:type="dxa"/>
          </w:tcPr>
          <w:p w:rsidR="0014116B" w:rsidRPr="000177FB" w:rsidRDefault="0014116B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b/>
                <w:sz w:val="22"/>
                <w:szCs w:val="22"/>
                <w:lang w:val="sr-Latn-ME" w:eastAsia="bs-Latn-BA"/>
              </w:rPr>
              <w:t>Poremećaji mišićno-koštanog sistema i vezivnog tkiva</w:t>
            </w:r>
          </w:p>
        </w:tc>
        <w:tc>
          <w:tcPr>
            <w:tcW w:w="1120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545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479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71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134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271" w:type="dxa"/>
          </w:tcPr>
          <w:p w:rsidR="0014116B" w:rsidRPr="000177FB" w:rsidRDefault="00C366EC" w:rsidP="0014116B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r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>abdomioliza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 (često kao posljedica teške </w:t>
            </w:r>
            <w:proofErr w:type="spellStart"/>
            <w:r w:rsidR="0014116B" w:rsidRPr="000177FB">
              <w:rPr>
                <w:sz w:val="22"/>
                <w:szCs w:val="22"/>
                <w:lang w:val="sr-Latn-ME" w:eastAsia="bs-Latn-BA"/>
              </w:rPr>
              <w:t>hipokal</w:t>
            </w:r>
            <w:r w:rsidR="00E330D7" w:rsidRPr="000177FB">
              <w:rPr>
                <w:sz w:val="22"/>
                <w:szCs w:val="22"/>
                <w:lang w:val="sr-Latn-ME" w:eastAsia="bs-Latn-BA"/>
              </w:rPr>
              <w:t>ij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>emije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>) (pogledati dio 4.3.)</w:t>
            </w:r>
          </w:p>
          <w:p w:rsidR="0014116B" w:rsidRPr="000177FB" w:rsidRDefault="0014116B" w:rsidP="0014116B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</w:p>
        </w:tc>
      </w:tr>
      <w:tr w:rsidR="00564EAA" w:rsidRPr="000177FB" w:rsidTr="001354CF">
        <w:tc>
          <w:tcPr>
            <w:tcW w:w="1143" w:type="dxa"/>
          </w:tcPr>
          <w:p w:rsidR="0014116B" w:rsidRPr="000177FB" w:rsidRDefault="0014116B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b/>
                <w:sz w:val="22"/>
                <w:szCs w:val="22"/>
                <w:lang w:val="sr-Latn-ME" w:eastAsia="bs-Latn-BA"/>
              </w:rPr>
              <w:t>Poremećaji bubrega i mokraćnog sistema</w:t>
            </w:r>
          </w:p>
        </w:tc>
        <w:tc>
          <w:tcPr>
            <w:tcW w:w="1120" w:type="dxa"/>
          </w:tcPr>
          <w:p w:rsidR="0014116B" w:rsidRPr="000177FB" w:rsidRDefault="00E330D7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p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ovećan </w:t>
            </w:r>
            <w:proofErr w:type="spellStart"/>
            <w:r w:rsidR="0014116B" w:rsidRPr="000177FB">
              <w:rPr>
                <w:sz w:val="22"/>
                <w:szCs w:val="22"/>
                <w:lang w:val="sr-Latn-ME" w:eastAsia="bs-Latn-BA"/>
              </w:rPr>
              <w:t>kreatinin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 u krvi</w:t>
            </w:r>
          </w:p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545" w:type="dxa"/>
          </w:tcPr>
          <w:p w:rsidR="0014116B" w:rsidRPr="000177FB" w:rsidRDefault="00E330D7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p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>ovećan volumen urina</w:t>
            </w:r>
          </w:p>
        </w:tc>
        <w:tc>
          <w:tcPr>
            <w:tcW w:w="1479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71" w:type="dxa"/>
          </w:tcPr>
          <w:p w:rsidR="0014116B" w:rsidRPr="000177FB" w:rsidRDefault="00E330D7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t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>ubularno-intersticijski</w:t>
            </w:r>
            <w:proofErr w:type="spellEnd"/>
            <w:r w:rsidR="0014116B" w:rsidRPr="000177FB">
              <w:rPr>
                <w:sz w:val="22"/>
                <w:szCs w:val="22"/>
                <w:lang w:val="sr-Latn-ME" w:eastAsia="bs-Latn-BA"/>
              </w:rPr>
              <w:t xml:space="preserve"> nefritis</w:t>
            </w:r>
          </w:p>
        </w:tc>
        <w:tc>
          <w:tcPr>
            <w:tcW w:w="1134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271" w:type="dxa"/>
          </w:tcPr>
          <w:p w:rsidR="0014116B" w:rsidRPr="000177FB" w:rsidRDefault="00E330D7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/>
              </w:rPr>
              <w:t>p</w:t>
            </w:r>
            <w:r w:rsidR="0014116B" w:rsidRPr="000177FB">
              <w:rPr>
                <w:sz w:val="22"/>
                <w:szCs w:val="22"/>
                <w:lang w:val="sr-Latn-ME"/>
              </w:rPr>
              <w:t>ovećan nivo natrij</w:t>
            </w:r>
            <w:r w:rsidR="009E4996" w:rsidRPr="000177FB">
              <w:rPr>
                <w:sz w:val="22"/>
                <w:szCs w:val="22"/>
                <w:lang w:val="sr-Latn-ME"/>
              </w:rPr>
              <w:t>um</w:t>
            </w:r>
            <w:r w:rsidR="0014116B" w:rsidRPr="000177FB">
              <w:rPr>
                <w:sz w:val="22"/>
                <w:szCs w:val="22"/>
                <w:lang w:val="sr-Latn-ME"/>
              </w:rPr>
              <w:t xml:space="preserve">a u urinu, povećan nivo </w:t>
            </w:r>
            <w:r w:rsidR="009E4996" w:rsidRPr="000177FB">
              <w:rPr>
                <w:sz w:val="22"/>
                <w:szCs w:val="22"/>
                <w:lang w:val="sr-Latn-ME"/>
              </w:rPr>
              <w:t>h</w:t>
            </w:r>
            <w:r w:rsidR="0014116B" w:rsidRPr="000177FB">
              <w:rPr>
                <w:sz w:val="22"/>
                <w:szCs w:val="22"/>
                <w:lang w:val="sr-Latn-ME"/>
              </w:rPr>
              <w:t xml:space="preserve">lorida u </w:t>
            </w:r>
            <w:r w:rsidR="0014116B" w:rsidRPr="000177FB">
              <w:rPr>
                <w:sz w:val="22"/>
                <w:szCs w:val="22"/>
                <w:lang w:val="sr-Latn-ME"/>
              </w:rPr>
              <w:lastRenderedPageBreak/>
              <w:t xml:space="preserve">urinu, povećan nivo </w:t>
            </w:r>
            <w:proofErr w:type="spellStart"/>
            <w:r w:rsidR="0014116B" w:rsidRPr="000177FB">
              <w:rPr>
                <w:sz w:val="22"/>
                <w:szCs w:val="22"/>
                <w:lang w:val="sr-Latn-ME"/>
              </w:rPr>
              <w:t>ureje</w:t>
            </w:r>
            <w:proofErr w:type="spellEnd"/>
            <w:r w:rsidR="0014116B" w:rsidRPr="000177FB">
              <w:rPr>
                <w:sz w:val="22"/>
                <w:szCs w:val="22"/>
                <w:lang w:val="sr-Latn-ME"/>
              </w:rPr>
              <w:t xml:space="preserve"> u krvi, simptomi poremećaja mokrenja (npr. pacijenti s hipertrofijom prostate, </w:t>
            </w:r>
            <w:proofErr w:type="spellStart"/>
            <w:r w:rsidR="0014116B" w:rsidRPr="000177FB">
              <w:rPr>
                <w:sz w:val="22"/>
                <w:szCs w:val="22"/>
                <w:lang w:val="sr-Latn-ME"/>
              </w:rPr>
              <w:t>hidronefrozom</w:t>
            </w:r>
            <w:proofErr w:type="spellEnd"/>
            <w:r w:rsidR="0014116B" w:rsidRPr="000177FB">
              <w:rPr>
                <w:sz w:val="22"/>
                <w:szCs w:val="22"/>
                <w:lang w:val="sr-Latn-ME"/>
              </w:rPr>
              <w:t xml:space="preserve"> ili </w:t>
            </w:r>
            <w:proofErr w:type="spellStart"/>
            <w:r w:rsidR="0014116B" w:rsidRPr="000177FB">
              <w:rPr>
                <w:sz w:val="22"/>
                <w:szCs w:val="22"/>
                <w:lang w:val="sr-Latn-ME"/>
              </w:rPr>
              <w:t>ureteralnom</w:t>
            </w:r>
            <w:proofErr w:type="spellEnd"/>
            <w:r w:rsidR="0014116B" w:rsidRPr="000177FB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14116B" w:rsidRPr="000177FB">
              <w:rPr>
                <w:sz w:val="22"/>
                <w:szCs w:val="22"/>
                <w:lang w:val="sr-Latn-ME"/>
              </w:rPr>
              <w:t>stenozom</w:t>
            </w:r>
            <w:proofErr w:type="spellEnd"/>
            <w:r w:rsidR="0014116B" w:rsidRPr="000177FB">
              <w:rPr>
                <w:sz w:val="22"/>
                <w:szCs w:val="22"/>
                <w:lang w:val="sr-Latn-ME"/>
              </w:rPr>
              <w:t>) sve do retencije urina sa sekundarnim komplikacijama (</w:t>
            </w:r>
            <w:r w:rsidR="009E4996" w:rsidRPr="000177FB">
              <w:rPr>
                <w:sz w:val="22"/>
                <w:szCs w:val="22"/>
                <w:lang w:val="sr-Latn-ME"/>
              </w:rPr>
              <w:t>pogledati</w:t>
            </w:r>
            <w:r w:rsidR="0014116B" w:rsidRPr="000177FB">
              <w:rPr>
                <w:sz w:val="22"/>
                <w:szCs w:val="22"/>
                <w:lang w:val="sr-Latn-ME"/>
              </w:rPr>
              <w:t xml:space="preserve">  dio 4.4.), </w:t>
            </w:r>
            <w:proofErr w:type="spellStart"/>
            <w:r w:rsidR="0014116B" w:rsidRPr="000177FB">
              <w:rPr>
                <w:sz w:val="22"/>
                <w:szCs w:val="22"/>
                <w:lang w:val="sr-Latn-ME"/>
              </w:rPr>
              <w:t>nefrokalcinoza</w:t>
            </w:r>
            <w:proofErr w:type="spellEnd"/>
            <w:r w:rsidR="0014116B" w:rsidRPr="000177FB">
              <w:rPr>
                <w:sz w:val="22"/>
                <w:szCs w:val="22"/>
                <w:lang w:val="sr-Latn-ME"/>
              </w:rPr>
              <w:t xml:space="preserve"> i/ili </w:t>
            </w:r>
            <w:proofErr w:type="spellStart"/>
            <w:r w:rsidR="0014116B" w:rsidRPr="000177FB">
              <w:rPr>
                <w:sz w:val="22"/>
                <w:szCs w:val="22"/>
                <w:lang w:val="sr-Latn-ME"/>
              </w:rPr>
              <w:t>nefrolitijaza</w:t>
            </w:r>
            <w:proofErr w:type="spellEnd"/>
            <w:r w:rsidR="0014116B" w:rsidRPr="000177FB">
              <w:rPr>
                <w:sz w:val="22"/>
                <w:szCs w:val="22"/>
                <w:lang w:val="sr-Latn-ME"/>
              </w:rPr>
              <w:t xml:space="preserve"> </w:t>
            </w:r>
            <w:r w:rsidR="009E4996" w:rsidRPr="000177FB">
              <w:rPr>
                <w:sz w:val="22"/>
                <w:szCs w:val="22"/>
                <w:lang w:val="sr-Latn-ME"/>
              </w:rPr>
              <w:t>kod</w:t>
            </w:r>
            <w:r w:rsidR="0014116B" w:rsidRPr="000177FB">
              <w:rPr>
                <w:sz w:val="22"/>
                <w:szCs w:val="22"/>
                <w:lang w:val="sr-Latn-ME"/>
              </w:rPr>
              <w:t xml:space="preserve"> nedonoščadi (</w:t>
            </w:r>
            <w:r w:rsidR="009E4996" w:rsidRPr="000177FB">
              <w:rPr>
                <w:sz w:val="22"/>
                <w:szCs w:val="22"/>
                <w:lang w:val="sr-Latn-ME"/>
              </w:rPr>
              <w:t>pogledati</w:t>
            </w:r>
            <w:r w:rsidR="0014116B" w:rsidRPr="000177FB">
              <w:rPr>
                <w:sz w:val="22"/>
                <w:szCs w:val="22"/>
                <w:lang w:val="sr-Latn-ME"/>
              </w:rPr>
              <w:t xml:space="preserve">  dio 4.4.) i </w:t>
            </w:r>
            <w:proofErr w:type="spellStart"/>
            <w:r w:rsidRPr="000177FB">
              <w:rPr>
                <w:sz w:val="22"/>
                <w:szCs w:val="22"/>
                <w:lang w:val="sr-Latn-ME"/>
              </w:rPr>
              <w:t>insuficijencija</w:t>
            </w:r>
            <w:proofErr w:type="spellEnd"/>
            <w:r w:rsidRPr="000177FB">
              <w:rPr>
                <w:sz w:val="22"/>
                <w:szCs w:val="22"/>
                <w:lang w:val="sr-Latn-ME"/>
              </w:rPr>
              <w:t xml:space="preserve"> </w:t>
            </w:r>
            <w:r w:rsidR="0014116B" w:rsidRPr="000177FB">
              <w:rPr>
                <w:sz w:val="22"/>
                <w:szCs w:val="22"/>
                <w:lang w:val="sr-Latn-ME"/>
              </w:rPr>
              <w:t>bubrega</w:t>
            </w:r>
            <w:r w:rsidR="009E4996" w:rsidRPr="000177FB">
              <w:rPr>
                <w:sz w:val="22"/>
                <w:szCs w:val="22"/>
                <w:lang w:val="sr-Latn-ME"/>
              </w:rPr>
              <w:t xml:space="preserve"> (pogledati dio 4.5)</w:t>
            </w:r>
          </w:p>
        </w:tc>
      </w:tr>
      <w:tr w:rsidR="00564EAA" w:rsidRPr="000177FB" w:rsidTr="001354CF">
        <w:tc>
          <w:tcPr>
            <w:tcW w:w="1143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proofErr w:type="spellStart"/>
            <w:r w:rsidRPr="000177FB">
              <w:rPr>
                <w:b/>
                <w:sz w:val="22"/>
                <w:szCs w:val="22"/>
                <w:lang w:val="sr-Latn-ME" w:eastAsia="bs-Latn-BA"/>
              </w:rPr>
              <w:lastRenderedPageBreak/>
              <w:t>Kongenitalni</w:t>
            </w:r>
            <w:proofErr w:type="spellEnd"/>
            <w:r w:rsidRPr="000177FB">
              <w:rPr>
                <w:b/>
                <w:sz w:val="22"/>
                <w:szCs w:val="22"/>
                <w:lang w:val="sr-Latn-ME" w:eastAsia="bs-Latn-BA"/>
              </w:rPr>
              <w:t>, familijarni i genetski poremećaji</w:t>
            </w:r>
          </w:p>
        </w:tc>
        <w:tc>
          <w:tcPr>
            <w:tcW w:w="1120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545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479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71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134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271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 xml:space="preserve">Povećan rizik od otvorenog </w:t>
            </w:r>
            <w:proofErr w:type="spellStart"/>
            <w:r w:rsidRPr="000177FB">
              <w:rPr>
                <w:i/>
                <w:sz w:val="22"/>
                <w:szCs w:val="22"/>
                <w:lang w:val="sr-Latn-ME" w:eastAsia="bs-Latn-BA"/>
              </w:rPr>
              <w:t>ductus</w:t>
            </w:r>
            <w:proofErr w:type="spellEnd"/>
            <w:r w:rsidRPr="000177FB">
              <w:rPr>
                <w:i/>
                <w:sz w:val="22"/>
                <w:szCs w:val="22"/>
                <w:lang w:val="sr-Latn-ME" w:eastAsia="bs-Latn-BA"/>
              </w:rPr>
              <w:t xml:space="preserve"> </w:t>
            </w:r>
            <w:proofErr w:type="spellStart"/>
            <w:r w:rsidRPr="000177FB">
              <w:rPr>
                <w:i/>
                <w:sz w:val="22"/>
                <w:szCs w:val="22"/>
                <w:lang w:val="sr-Latn-ME" w:eastAsia="bs-Latn-BA"/>
              </w:rPr>
              <w:t>arteriosusa</w:t>
            </w:r>
            <w:proofErr w:type="spellEnd"/>
            <w:r w:rsidRPr="000177FB">
              <w:rPr>
                <w:i/>
                <w:sz w:val="22"/>
                <w:szCs w:val="22"/>
                <w:lang w:val="sr-Latn-ME" w:eastAsia="bs-Latn-BA"/>
              </w:rPr>
              <w:t xml:space="preserve"> </w:t>
            </w:r>
            <w:r w:rsidRPr="000177FB">
              <w:rPr>
                <w:sz w:val="22"/>
                <w:szCs w:val="22"/>
                <w:lang w:val="sr-Latn-ME" w:eastAsia="bs-Latn-BA"/>
              </w:rPr>
              <w:t xml:space="preserve">(PDA) kada se nedonoščad liječe </w:t>
            </w:r>
            <w:proofErr w:type="spellStart"/>
            <w:r w:rsidRPr="000177FB">
              <w:rPr>
                <w:sz w:val="22"/>
                <w:szCs w:val="22"/>
                <w:lang w:val="sr-Latn-ME" w:eastAsia="bs-Latn-BA"/>
              </w:rPr>
              <w:t>furosemidom</w:t>
            </w:r>
            <w:proofErr w:type="spellEnd"/>
            <w:r w:rsidRPr="000177FB">
              <w:rPr>
                <w:sz w:val="22"/>
                <w:szCs w:val="22"/>
                <w:lang w:val="sr-Latn-ME" w:eastAsia="bs-Latn-BA"/>
              </w:rPr>
              <w:t xml:space="preserve"> u prvim ned</w:t>
            </w:r>
            <w:r w:rsidR="00E330D7" w:rsidRPr="000177FB">
              <w:rPr>
                <w:sz w:val="22"/>
                <w:szCs w:val="22"/>
                <w:lang w:val="sr-Latn-ME" w:eastAsia="bs-Latn-BA"/>
              </w:rPr>
              <w:t>j</w:t>
            </w:r>
            <w:r w:rsidRPr="000177FB">
              <w:rPr>
                <w:sz w:val="22"/>
                <w:szCs w:val="22"/>
                <w:lang w:val="sr-Latn-ME" w:eastAsia="bs-Latn-BA"/>
              </w:rPr>
              <w:t>eljama života</w:t>
            </w:r>
          </w:p>
          <w:p w:rsidR="0014116B" w:rsidRPr="000177FB" w:rsidRDefault="0014116B" w:rsidP="0014116B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</w:p>
        </w:tc>
      </w:tr>
      <w:tr w:rsidR="00564EAA" w:rsidRPr="000177FB" w:rsidTr="001354CF">
        <w:tc>
          <w:tcPr>
            <w:tcW w:w="1143" w:type="dxa"/>
          </w:tcPr>
          <w:p w:rsidR="0014116B" w:rsidRPr="000177FB" w:rsidRDefault="0014116B" w:rsidP="001354CF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b/>
                <w:sz w:val="22"/>
                <w:szCs w:val="22"/>
                <w:lang w:val="sr-Latn-ME" w:eastAsia="bs-Latn-BA"/>
              </w:rPr>
              <w:t>Op</w:t>
            </w:r>
            <w:r w:rsidR="00E330D7" w:rsidRPr="000177FB">
              <w:rPr>
                <w:b/>
                <w:sz w:val="22"/>
                <w:szCs w:val="22"/>
                <w:lang w:val="sr-Latn-ME" w:eastAsia="bs-Latn-BA"/>
              </w:rPr>
              <w:t>št</w:t>
            </w:r>
            <w:r w:rsidRPr="000177FB">
              <w:rPr>
                <w:b/>
                <w:sz w:val="22"/>
                <w:szCs w:val="22"/>
                <w:lang w:val="sr-Latn-ME" w:eastAsia="bs-Latn-BA"/>
              </w:rPr>
              <w:t>i poremećaji i reakcije na mjestu primjene</w:t>
            </w:r>
          </w:p>
        </w:tc>
        <w:tc>
          <w:tcPr>
            <w:tcW w:w="1120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545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479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371" w:type="dxa"/>
          </w:tcPr>
          <w:p w:rsidR="0014116B" w:rsidRPr="000177FB" w:rsidRDefault="00644DA8" w:rsidP="0014116B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 w:eastAsia="bs-Latn-BA"/>
              </w:rPr>
            </w:pPr>
            <w:r w:rsidRPr="000177FB">
              <w:rPr>
                <w:sz w:val="22"/>
                <w:szCs w:val="22"/>
                <w:lang w:val="sr-Latn-ME" w:eastAsia="bs-Latn-BA"/>
              </w:rPr>
              <w:t>g</w:t>
            </w:r>
            <w:r w:rsidR="00E330D7" w:rsidRPr="000177FB">
              <w:rPr>
                <w:sz w:val="22"/>
                <w:szCs w:val="22"/>
                <w:lang w:val="sr-Latn-ME" w:eastAsia="bs-Latn-BA"/>
              </w:rPr>
              <w:t>roznica</w:t>
            </w:r>
            <w:r w:rsidRPr="000177FB">
              <w:rPr>
                <w:sz w:val="22"/>
                <w:szCs w:val="22"/>
                <w:lang w:val="sr-Latn-ME" w:eastAsia="bs-Latn-BA"/>
              </w:rPr>
              <w:t xml:space="preserve"> </w:t>
            </w:r>
            <w:r w:rsidR="0014116B" w:rsidRPr="000177FB">
              <w:rPr>
                <w:sz w:val="22"/>
                <w:szCs w:val="22"/>
                <w:lang w:val="sr-Latn-ME" w:eastAsia="bs-Latn-BA"/>
              </w:rPr>
              <w:t>(povišena tjelesna temperatura)</w:t>
            </w:r>
          </w:p>
        </w:tc>
        <w:tc>
          <w:tcPr>
            <w:tcW w:w="1134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  <w:tc>
          <w:tcPr>
            <w:tcW w:w="1271" w:type="dxa"/>
          </w:tcPr>
          <w:p w:rsidR="0014116B" w:rsidRPr="000177FB" w:rsidRDefault="0014116B" w:rsidP="001411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 w:eastAsia="bs-Latn-BA"/>
              </w:rPr>
            </w:pPr>
          </w:p>
        </w:tc>
      </w:tr>
    </w:tbl>
    <w:p w:rsidR="00F07412" w:rsidRPr="000177FB" w:rsidRDefault="00F07412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</w:p>
    <w:p w:rsidR="00D30EFF" w:rsidRPr="000177FB" w:rsidRDefault="00D30EFF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vertAlign w:val="superscript"/>
          <w:lang w:val="sr-Latn-ME" w:eastAsia="bs-Latn-BA"/>
        </w:rPr>
        <w:lastRenderedPageBreak/>
        <w:t>1</w:t>
      </w:r>
      <w:r w:rsidRPr="000177FB">
        <w:rPr>
          <w:sz w:val="22"/>
          <w:szCs w:val="22"/>
          <w:lang w:val="sr-Latn-ME" w:eastAsia="bs-Latn-BA"/>
        </w:rPr>
        <w:t xml:space="preserve"> Znaci </w:t>
      </w:r>
      <w:proofErr w:type="spellStart"/>
      <w:r w:rsidRPr="000177FB">
        <w:rPr>
          <w:sz w:val="22"/>
          <w:szCs w:val="22"/>
          <w:lang w:val="sr-Latn-ME" w:eastAsia="bs-Latn-BA"/>
        </w:rPr>
        <w:t>agranulocitoze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mogu uključivati </w:t>
      </w:r>
      <w:r w:rsidR="009E4996" w:rsidRPr="000177FB">
        <w:rPr>
          <w:sz w:val="22"/>
          <w:szCs w:val="22"/>
          <w:lang w:val="sr-Latn-ME" w:eastAsia="bs-Latn-BA"/>
        </w:rPr>
        <w:t>groznicu</w:t>
      </w:r>
      <w:r w:rsidRPr="000177FB">
        <w:rPr>
          <w:sz w:val="22"/>
          <w:szCs w:val="22"/>
          <w:lang w:val="sr-Latn-ME" w:eastAsia="bs-Latn-BA"/>
        </w:rPr>
        <w:t xml:space="preserve"> s</w:t>
      </w:r>
      <w:r w:rsidR="00644DA8" w:rsidRPr="000177FB">
        <w:rPr>
          <w:sz w:val="22"/>
          <w:szCs w:val="22"/>
          <w:lang w:val="sr-Latn-ME" w:eastAsia="bs-Latn-BA"/>
        </w:rPr>
        <w:t>a</w:t>
      </w:r>
      <w:r w:rsidRPr="000177FB">
        <w:rPr>
          <w:sz w:val="22"/>
          <w:szCs w:val="22"/>
          <w:lang w:val="sr-Latn-ME" w:eastAsia="bs-Latn-BA"/>
        </w:rPr>
        <w:t xml:space="preserve"> </w:t>
      </w:r>
      <w:proofErr w:type="spellStart"/>
      <w:r w:rsidRPr="000177FB">
        <w:rPr>
          <w:sz w:val="22"/>
          <w:szCs w:val="22"/>
          <w:lang w:val="sr-Latn-ME" w:eastAsia="bs-Latn-BA"/>
        </w:rPr>
        <w:t>tresavicom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, promjene na </w:t>
      </w:r>
      <w:proofErr w:type="spellStart"/>
      <w:r w:rsidRPr="000177FB">
        <w:rPr>
          <w:sz w:val="22"/>
          <w:szCs w:val="22"/>
          <w:lang w:val="sr-Latn-ME" w:eastAsia="bs-Latn-BA"/>
        </w:rPr>
        <w:t>sluznicama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i grlobolju.</w:t>
      </w:r>
    </w:p>
    <w:p w:rsidR="00D30EFF" w:rsidRPr="000177FB" w:rsidRDefault="00D30EFF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vertAlign w:val="superscript"/>
          <w:lang w:val="sr-Latn-ME" w:eastAsia="bs-Latn-BA"/>
        </w:rPr>
        <w:t>2</w:t>
      </w:r>
      <w:r w:rsidRPr="000177FB">
        <w:rPr>
          <w:sz w:val="22"/>
          <w:szCs w:val="22"/>
          <w:lang w:val="sr-Latn-ME" w:eastAsia="bs-Latn-BA"/>
        </w:rPr>
        <w:t xml:space="preserve"> Prvi znaci šoka uključuju reakcije na koži, poput crvenila ili urtikarije, nemir, glavobolju, znojenje, mučninu i cijanozu.</w:t>
      </w:r>
    </w:p>
    <w:p w:rsidR="00D30EFF" w:rsidRPr="000177FB" w:rsidRDefault="00D30EFF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vertAlign w:val="superscript"/>
          <w:lang w:val="sr-Latn-ME" w:eastAsia="bs-Latn-BA"/>
        </w:rPr>
        <w:t>3</w:t>
      </w:r>
      <w:r w:rsidRPr="000177FB">
        <w:rPr>
          <w:sz w:val="22"/>
          <w:szCs w:val="22"/>
          <w:lang w:val="sr-Latn-ME" w:eastAsia="bs-Latn-BA"/>
        </w:rPr>
        <w:t xml:space="preserve"> Često primijećeni simptomi nedostatka natrij</w:t>
      </w:r>
      <w:r w:rsidR="009E4996" w:rsidRPr="000177FB">
        <w:rPr>
          <w:sz w:val="22"/>
          <w:szCs w:val="22"/>
          <w:lang w:val="sr-Latn-ME" w:eastAsia="bs-Latn-BA"/>
        </w:rPr>
        <w:t>uma obuhvata</w:t>
      </w:r>
      <w:r w:rsidRPr="000177FB">
        <w:rPr>
          <w:sz w:val="22"/>
          <w:szCs w:val="22"/>
          <w:lang w:val="sr-Latn-ME" w:eastAsia="bs-Latn-BA"/>
        </w:rPr>
        <w:t>ju apatiju, grčeve u listovima, gubitak apetita, slabost, pospanost, povraćanje i konfuziju.</w:t>
      </w:r>
    </w:p>
    <w:p w:rsidR="00D30EFF" w:rsidRPr="000177FB" w:rsidRDefault="00D30EFF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vertAlign w:val="superscript"/>
          <w:lang w:val="sr-Latn-ME" w:eastAsia="bs-Latn-BA"/>
        </w:rPr>
        <w:t>4</w:t>
      </w:r>
      <w:r w:rsidRPr="000177FB">
        <w:rPr>
          <w:sz w:val="22"/>
          <w:szCs w:val="22"/>
          <w:lang w:val="sr-Latn-ME" w:eastAsia="bs-Latn-BA"/>
        </w:rPr>
        <w:t xml:space="preserve"> </w:t>
      </w:r>
      <w:proofErr w:type="spellStart"/>
      <w:r w:rsidRPr="000177FB">
        <w:rPr>
          <w:sz w:val="22"/>
          <w:szCs w:val="22"/>
          <w:lang w:val="sr-Latn-ME" w:eastAsia="bs-Latn-BA"/>
        </w:rPr>
        <w:t>Hipo</w:t>
      </w:r>
      <w:r w:rsidR="006C4BE6" w:rsidRPr="000177FB">
        <w:rPr>
          <w:sz w:val="22"/>
          <w:szCs w:val="22"/>
          <w:lang w:val="sr-Latn-ME" w:eastAsia="bs-Latn-BA"/>
        </w:rPr>
        <w:t>kal</w:t>
      </w:r>
      <w:r w:rsidR="00644DA8" w:rsidRPr="000177FB">
        <w:rPr>
          <w:sz w:val="22"/>
          <w:szCs w:val="22"/>
          <w:lang w:val="sr-Latn-ME" w:eastAsia="bs-Latn-BA"/>
        </w:rPr>
        <w:t>ij</w:t>
      </w:r>
      <w:r w:rsidR="006C4BE6" w:rsidRPr="000177FB">
        <w:rPr>
          <w:sz w:val="22"/>
          <w:szCs w:val="22"/>
          <w:lang w:val="sr-Latn-ME" w:eastAsia="bs-Latn-BA"/>
        </w:rPr>
        <w:t>emij</w:t>
      </w:r>
      <w:r w:rsidRPr="000177FB">
        <w:rPr>
          <w:sz w:val="22"/>
          <w:szCs w:val="22"/>
          <w:lang w:val="sr-Latn-ME" w:eastAsia="bs-Latn-BA"/>
        </w:rPr>
        <w:t>a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se može manifest</w:t>
      </w:r>
      <w:r w:rsidR="00644DA8" w:rsidRPr="000177FB">
        <w:rPr>
          <w:sz w:val="22"/>
          <w:szCs w:val="22"/>
          <w:lang w:val="sr-Latn-ME" w:eastAsia="bs-Latn-BA"/>
        </w:rPr>
        <w:t>ovati</w:t>
      </w:r>
      <w:r w:rsidRPr="000177FB">
        <w:rPr>
          <w:sz w:val="22"/>
          <w:szCs w:val="22"/>
          <w:lang w:val="sr-Latn-ME" w:eastAsia="bs-Latn-BA"/>
        </w:rPr>
        <w:t xml:space="preserve"> neuromišićnim znacima (slabost mišića, </w:t>
      </w:r>
      <w:proofErr w:type="spellStart"/>
      <w:r w:rsidRPr="000177FB">
        <w:rPr>
          <w:sz w:val="22"/>
          <w:szCs w:val="22"/>
          <w:lang w:val="sr-Latn-ME" w:eastAsia="bs-Latn-BA"/>
        </w:rPr>
        <w:t>parestezija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, pareza), crijevnim znacima (povraćanje, zatvor, </w:t>
      </w:r>
      <w:proofErr w:type="spellStart"/>
      <w:r w:rsidRPr="000177FB">
        <w:rPr>
          <w:sz w:val="22"/>
          <w:szCs w:val="22"/>
          <w:lang w:val="sr-Latn-ME" w:eastAsia="bs-Latn-BA"/>
        </w:rPr>
        <w:t>meteorizam</w:t>
      </w:r>
      <w:proofErr w:type="spellEnd"/>
      <w:r w:rsidRPr="000177FB">
        <w:rPr>
          <w:sz w:val="22"/>
          <w:szCs w:val="22"/>
          <w:lang w:val="sr-Latn-ME" w:eastAsia="bs-Latn-BA"/>
        </w:rPr>
        <w:t>), bubrežnim znacima (</w:t>
      </w:r>
      <w:proofErr w:type="spellStart"/>
      <w:r w:rsidRPr="000177FB">
        <w:rPr>
          <w:sz w:val="22"/>
          <w:szCs w:val="22"/>
          <w:lang w:val="sr-Latn-ME" w:eastAsia="bs-Latn-BA"/>
        </w:rPr>
        <w:t>poliurija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, </w:t>
      </w:r>
      <w:proofErr w:type="spellStart"/>
      <w:r w:rsidRPr="000177FB">
        <w:rPr>
          <w:sz w:val="22"/>
          <w:szCs w:val="22"/>
          <w:lang w:val="sr-Latn-ME" w:eastAsia="bs-Latn-BA"/>
        </w:rPr>
        <w:t>polidipsija</w:t>
      </w:r>
      <w:proofErr w:type="spellEnd"/>
      <w:r w:rsidRPr="000177FB">
        <w:rPr>
          <w:sz w:val="22"/>
          <w:szCs w:val="22"/>
          <w:lang w:val="sr-Latn-ME" w:eastAsia="bs-Latn-BA"/>
        </w:rPr>
        <w:t>) i srčanim znacima (poremećaji stvaranja impulsa i provođenja). Teški gubitak kalij</w:t>
      </w:r>
      <w:r w:rsidR="00644DA8" w:rsidRPr="000177FB">
        <w:rPr>
          <w:sz w:val="22"/>
          <w:szCs w:val="22"/>
          <w:lang w:val="sr-Latn-ME" w:eastAsia="bs-Latn-BA"/>
        </w:rPr>
        <w:t>uma</w:t>
      </w:r>
      <w:r w:rsidRPr="000177FB">
        <w:rPr>
          <w:sz w:val="22"/>
          <w:szCs w:val="22"/>
          <w:lang w:val="sr-Latn-ME" w:eastAsia="bs-Latn-BA"/>
        </w:rPr>
        <w:t xml:space="preserve"> može za ishod imati paralitički </w:t>
      </w:r>
      <w:proofErr w:type="spellStart"/>
      <w:r w:rsidRPr="000177FB">
        <w:rPr>
          <w:sz w:val="22"/>
          <w:szCs w:val="22"/>
          <w:lang w:val="sr-Latn-ME" w:eastAsia="bs-Latn-BA"/>
        </w:rPr>
        <w:t>ileus</w:t>
      </w:r>
      <w:proofErr w:type="spellEnd"/>
      <w:r w:rsidRPr="000177FB">
        <w:rPr>
          <w:sz w:val="22"/>
          <w:szCs w:val="22"/>
          <w:lang w:val="sr-Latn-ME" w:eastAsia="bs-Latn-BA"/>
        </w:rPr>
        <w:t>, poremećaje svijesti, pa čak i komu.</w:t>
      </w:r>
    </w:p>
    <w:p w:rsidR="00D30EFF" w:rsidRPr="000177FB" w:rsidRDefault="00D30EFF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vertAlign w:val="superscript"/>
          <w:lang w:val="sr-Latn-ME" w:eastAsia="bs-Latn-BA"/>
        </w:rPr>
        <w:t>5</w:t>
      </w:r>
      <w:r w:rsidR="0014116B" w:rsidRPr="000177FB">
        <w:rPr>
          <w:sz w:val="22"/>
          <w:szCs w:val="22"/>
          <w:lang w:val="sr-Latn-ME" w:eastAsia="bs-Latn-BA"/>
        </w:rPr>
        <w:t xml:space="preserve"> </w:t>
      </w:r>
      <w:proofErr w:type="spellStart"/>
      <w:r w:rsidR="0014116B" w:rsidRPr="000177FB">
        <w:rPr>
          <w:sz w:val="22"/>
          <w:szCs w:val="22"/>
          <w:lang w:val="sr-Latn-ME" w:eastAsia="bs-Latn-BA"/>
        </w:rPr>
        <w:t>Hipokalc</w:t>
      </w:r>
      <w:r w:rsidR="00644DA8" w:rsidRPr="000177FB">
        <w:rPr>
          <w:sz w:val="22"/>
          <w:szCs w:val="22"/>
          <w:lang w:val="sr-Latn-ME" w:eastAsia="bs-Latn-BA"/>
        </w:rPr>
        <w:t>ij</w:t>
      </w:r>
      <w:r w:rsidRPr="000177FB">
        <w:rPr>
          <w:sz w:val="22"/>
          <w:szCs w:val="22"/>
          <w:lang w:val="sr-Latn-ME" w:eastAsia="bs-Latn-BA"/>
        </w:rPr>
        <w:t>emija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može u rijetkim slučajevima izazvati </w:t>
      </w:r>
      <w:proofErr w:type="spellStart"/>
      <w:r w:rsidRPr="000177FB">
        <w:rPr>
          <w:sz w:val="22"/>
          <w:szCs w:val="22"/>
          <w:lang w:val="sr-Latn-ME" w:eastAsia="bs-Latn-BA"/>
        </w:rPr>
        <w:t>tetaniju</w:t>
      </w:r>
      <w:proofErr w:type="spellEnd"/>
      <w:r w:rsidRPr="000177FB">
        <w:rPr>
          <w:sz w:val="22"/>
          <w:szCs w:val="22"/>
          <w:lang w:val="sr-Latn-ME" w:eastAsia="bs-Latn-BA"/>
        </w:rPr>
        <w:t>.</w:t>
      </w:r>
    </w:p>
    <w:p w:rsidR="00D30EFF" w:rsidRPr="000177FB" w:rsidRDefault="00D30EFF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vertAlign w:val="superscript"/>
          <w:lang w:val="sr-Latn-ME" w:eastAsia="bs-Latn-BA"/>
        </w:rPr>
        <w:t>6</w:t>
      </w:r>
      <w:r w:rsidRPr="000177FB">
        <w:rPr>
          <w:sz w:val="22"/>
          <w:szCs w:val="22"/>
          <w:lang w:val="sr-Latn-ME" w:eastAsia="bs-Latn-BA"/>
        </w:rPr>
        <w:t xml:space="preserve"> </w:t>
      </w:r>
      <w:proofErr w:type="spellStart"/>
      <w:r w:rsidRPr="000177FB">
        <w:rPr>
          <w:sz w:val="22"/>
          <w:szCs w:val="22"/>
          <w:lang w:val="sr-Latn-ME" w:eastAsia="bs-Latn-BA"/>
        </w:rPr>
        <w:t>Tetanija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ili razvoj srčane aritmije primijećeni su u rijetkim slučaje</w:t>
      </w:r>
      <w:r w:rsidR="009E4996" w:rsidRPr="000177FB">
        <w:rPr>
          <w:sz w:val="22"/>
          <w:szCs w:val="22"/>
          <w:lang w:val="sr-Latn-ME" w:eastAsia="bs-Latn-BA"/>
        </w:rPr>
        <w:t xml:space="preserve">vima kao posljedica </w:t>
      </w:r>
      <w:proofErr w:type="spellStart"/>
      <w:r w:rsidR="009E4996" w:rsidRPr="000177FB">
        <w:rPr>
          <w:sz w:val="22"/>
          <w:szCs w:val="22"/>
          <w:lang w:val="sr-Latn-ME" w:eastAsia="bs-Latn-BA"/>
        </w:rPr>
        <w:t>hipomagnez</w:t>
      </w:r>
      <w:r w:rsidR="00644DA8" w:rsidRPr="000177FB">
        <w:rPr>
          <w:sz w:val="22"/>
          <w:szCs w:val="22"/>
          <w:lang w:val="sr-Latn-ME" w:eastAsia="bs-Latn-BA"/>
        </w:rPr>
        <w:t>ij</w:t>
      </w:r>
      <w:r w:rsidRPr="000177FB">
        <w:rPr>
          <w:sz w:val="22"/>
          <w:szCs w:val="22"/>
          <w:lang w:val="sr-Latn-ME" w:eastAsia="bs-Latn-BA"/>
        </w:rPr>
        <w:t>emije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. </w:t>
      </w:r>
    </w:p>
    <w:p w:rsidR="00D30EFF" w:rsidRPr="000177FB" w:rsidRDefault="00D30EFF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</w:p>
    <w:p w:rsidR="00D30EFF" w:rsidRPr="000177FB" w:rsidRDefault="00D30EFF" w:rsidP="001B4E43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 w:eastAsia="bs-Latn-BA"/>
        </w:rPr>
      </w:pPr>
      <w:r w:rsidRPr="000177FB">
        <w:rPr>
          <w:sz w:val="22"/>
          <w:szCs w:val="22"/>
          <w:u w:val="single"/>
          <w:lang w:val="sr-Latn-ME" w:eastAsia="bs-Latn-BA"/>
        </w:rPr>
        <w:t>Opi</w:t>
      </w:r>
      <w:r w:rsidR="0014116B" w:rsidRPr="000177FB">
        <w:rPr>
          <w:sz w:val="22"/>
          <w:szCs w:val="22"/>
          <w:u w:val="single"/>
          <w:lang w:val="sr-Latn-ME" w:eastAsia="bs-Latn-BA"/>
        </w:rPr>
        <w:t>s odabranih neželjenih dejstava</w:t>
      </w:r>
    </w:p>
    <w:p w:rsidR="006C4BE6" w:rsidRPr="000177FB" w:rsidRDefault="00D30EFF" w:rsidP="001A1472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  <w:r w:rsidRPr="000177FB">
        <w:rPr>
          <w:sz w:val="22"/>
          <w:szCs w:val="22"/>
          <w:lang w:val="sr-Latn-ME" w:eastAsia="bs-Latn-BA"/>
        </w:rPr>
        <w:t xml:space="preserve">Pri prevelikoj </w:t>
      </w:r>
      <w:proofErr w:type="spellStart"/>
      <w:r w:rsidRPr="000177FB">
        <w:rPr>
          <w:sz w:val="22"/>
          <w:szCs w:val="22"/>
          <w:lang w:val="sr-Latn-ME" w:eastAsia="bs-Latn-BA"/>
        </w:rPr>
        <w:t>diurezi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može doći do smetnji cirkulacije (čak i do </w:t>
      </w:r>
      <w:proofErr w:type="spellStart"/>
      <w:r w:rsidRPr="000177FB">
        <w:rPr>
          <w:sz w:val="22"/>
          <w:szCs w:val="22"/>
          <w:lang w:val="sr-Latn-ME" w:eastAsia="bs-Latn-BA"/>
        </w:rPr>
        <w:t>cirkulatornog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kolapsa), naročito </w:t>
      </w:r>
      <w:r w:rsidR="0014116B" w:rsidRPr="000177FB">
        <w:rPr>
          <w:sz w:val="22"/>
          <w:szCs w:val="22"/>
          <w:lang w:val="sr-Latn-ME" w:eastAsia="bs-Latn-BA"/>
        </w:rPr>
        <w:t>kod</w:t>
      </w:r>
      <w:r w:rsidRPr="000177FB">
        <w:rPr>
          <w:sz w:val="22"/>
          <w:szCs w:val="22"/>
          <w:lang w:val="sr-Latn-ME" w:eastAsia="bs-Latn-BA"/>
        </w:rPr>
        <w:t xml:space="preserve"> djece i starijih pacijenata, a to se stanje uglavnom manifestuje glavoboljom, omaglicom, poremećajima vida, su</w:t>
      </w:r>
      <w:r w:rsidR="00644DA8" w:rsidRPr="000177FB">
        <w:rPr>
          <w:sz w:val="22"/>
          <w:szCs w:val="22"/>
          <w:lang w:val="sr-Latn-ME" w:eastAsia="bs-Latn-BA"/>
        </w:rPr>
        <w:t>v</w:t>
      </w:r>
      <w:r w:rsidRPr="000177FB">
        <w:rPr>
          <w:sz w:val="22"/>
          <w:szCs w:val="22"/>
          <w:lang w:val="sr-Latn-ME" w:eastAsia="bs-Latn-BA"/>
        </w:rPr>
        <w:t xml:space="preserve">oćom usta i žeđi, </w:t>
      </w:r>
      <w:proofErr w:type="spellStart"/>
      <w:r w:rsidRPr="000177FB">
        <w:rPr>
          <w:sz w:val="22"/>
          <w:szCs w:val="22"/>
          <w:lang w:val="sr-Latn-ME" w:eastAsia="bs-Latn-BA"/>
        </w:rPr>
        <w:t>hipotenzijom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i </w:t>
      </w:r>
      <w:proofErr w:type="spellStart"/>
      <w:r w:rsidRPr="000177FB">
        <w:rPr>
          <w:sz w:val="22"/>
          <w:szCs w:val="22"/>
          <w:lang w:val="sr-Latn-ME" w:eastAsia="bs-Latn-BA"/>
        </w:rPr>
        <w:t>ortostatskom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deregulacijom.</w:t>
      </w:r>
    </w:p>
    <w:p w:rsidR="00564EAA" w:rsidRPr="000177FB" w:rsidRDefault="00564EAA" w:rsidP="001A1472">
      <w:pPr>
        <w:autoSpaceDE w:val="0"/>
        <w:autoSpaceDN w:val="0"/>
        <w:adjustRightInd w:val="0"/>
        <w:jc w:val="both"/>
        <w:rPr>
          <w:sz w:val="22"/>
          <w:szCs w:val="22"/>
          <w:lang w:val="sr-Latn-ME" w:eastAsia="bs-Latn-BA"/>
        </w:rPr>
      </w:pPr>
    </w:p>
    <w:p w:rsidR="005A23D2" w:rsidRPr="000177FB" w:rsidRDefault="005A23D2" w:rsidP="001B4E43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0177FB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:rsidR="005A23D2" w:rsidRPr="000177FB" w:rsidRDefault="005A23D2" w:rsidP="001B4E43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0177FB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0177FB">
        <w:rPr>
          <w:rFonts w:eastAsia="Calibri"/>
          <w:sz w:val="22"/>
          <w:szCs w:val="22"/>
          <w:lang w:val="sr-Latn-ME"/>
        </w:rPr>
        <w:t>inuirano praćenje odnosa korist</w:t>
      </w:r>
      <w:r w:rsidRPr="000177FB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0177FB">
        <w:rPr>
          <w:rFonts w:eastAsia="Calibri"/>
          <w:sz w:val="22"/>
          <w:szCs w:val="22"/>
          <w:lang w:val="sr-Latn-ME"/>
        </w:rPr>
        <w:t xml:space="preserve"> </w:t>
      </w:r>
      <w:r w:rsidRPr="000177FB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0177FB">
        <w:rPr>
          <w:rFonts w:eastAsia="Calibri"/>
          <w:sz w:val="22"/>
          <w:szCs w:val="22"/>
          <w:lang w:val="sr-Latn-ME"/>
        </w:rPr>
        <w:t>Institutu</w:t>
      </w:r>
      <w:r w:rsidRPr="000177FB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0177FB">
        <w:rPr>
          <w:rFonts w:eastAsia="Calibri"/>
          <w:sz w:val="22"/>
          <w:szCs w:val="22"/>
          <w:lang w:val="sr-Latn-ME"/>
        </w:rPr>
        <w:t xml:space="preserve"> </w:t>
      </w:r>
      <w:r w:rsidRPr="000177FB">
        <w:rPr>
          <w:rFonts w:eastAsia="Calibri"/>
          <w:sz w:val="22"/>
          <w:szCs w:val="22"/>
          <w:lang w:val="sr-Latn-ME"/>
        </w:rPr>
        <w:t>(</w:t>
      </w:r>
      <w:r w:rsidR="004E70AD" w:rsidRPr="000177FB">
        <w:rPr>
          <w:rFonts w:eastAsia="Calibri"/>
          <w:sz w:val="22"/>
          <w:szCs w:val="22"/>
          <w:lang w:val="sr-Latn-ME"/>
        </w:rPr>
        <w:t>CInMED</w:t>
      </w:r>
      <w:r w:rsidRPr="000177FB">
        <w:rPr>
          <w:rFonts w:eastAsia="Calibri"/>
          <w:sz w:val="22"/>
          <w:szCs w:val="22"/>
          <w:lang w:val="sr-Latn-ME"/>
        </w:rPr>
        <w:t>):</w:t>
      </w:r>
    </w:p>
    <w:p w:rsidR="005A23D2" w:rsidRPr="000177FB" w:rsidRDefault="004E70AD" w:rsidP="001B4E4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177FB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0177FB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:rsidR="005A23D2" w:rsidRPr="000177FB" w:rsidRDefault="005A23D2" w:rsidP="001B4E4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177FB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0177FB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:rsidR="00EA5765" w:rsidRPr="000177FB" w:rsidRDefault="005A23D2" w:rsidP="001B4E4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177FB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EA5765" w:rsidRPr="000177FB" w:rsidRDefault="00EA5765" w:rsidP="001B4E4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5A23D2" w:rsidRPr="000177FB" w:rsidRDefault="005A23D2" w:rsidP="001B4E4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177FB">
        <w:rPr>
          <w:rFonts w:eastAsia="Calibri"/>
          <w:sz w:val="22"/>
          <w:szCs w:val="22"/>
          <w:lang w:val="sr-Latn-ME"/>
        </w:rPr>
        <w:t>tel: +382 (0) 20 310 280</w:t>
      </w:r>
    </w:p>
    <w:p w:rsidR="00EA5765" w:rsidRPr="000177FB" w:rsidRDefault="005A23D2" w:rsidP="001B4E4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0177FB">
        <w:rPr>
          <w:rFonts w:eastAsia="Calibri"/>
          <w:sz w:val="22"/>
          <w:szCs w:val="22"/>
          <w:lang w:val="sr-Latn-ME"/>
        </w:rPr>
        <w:t>fax</w:t>
      </w:r>
      <w:proofErr w:type="spellEnd"/>
      <w:r w:rsidRPr="000177FB">
        <w:rPr>
          <w:rFonts w:eastAsia="Calibri"/>
          <w:sz w:val="22"/>
          <w:szCs w:val="22"/>
          <w:lang w:val="sr-Latn-ME"/>
        </w:rPr>
        <w:t>:</w:t>
      </w:r>
      <w:r w:rsidR="00EA5765" w:rsidRPr="000177FB">
        <w:rPr>
          <w:rFonts w:eastAsia="Calibri"/>
          <w:sz w:val="22"/>
          <w:szCs w:val="22"/>
          <w:lang w:val="sr-Latn-ME"/>
        </w:rPr>
        <w:t xml:space="preserve"> </w:t>
      </w:r>
      <w:r w:rsidRPr="000177FB">
        <w:rPr>
          <w:rFonts w:eastAsia="Calibri"/>
          <w:sz w:val="22"/>
          <w:szCs w:val="22"/>
          <w:lang w:val="sr-Latn-ME"/>
        </w:rPr>
        <w:t>+382 (0) 20 310 581</w:t>
      </w:r>
    </w:p>
    <w:p w:rsidR="005A23D2" w:rsidRPr="000177FB" w:rsidRDefault="00C6518C" w:rsidP="001B4E4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0177FB">
          <w:rPr>
            <w:rStyle w:val="Hyperlink"/>
            <w:rFonts w:eastAsia="Calibri"/>
            <w:color w:val="auto"/>
            <w:sz w:val="22"/>
            <w:szCs w:val="22"/>
            <w:lang w:val="sr-Latn-ME"/>
          </w:rPr>
          <w:t>www.cinmed.me</w:t>
        </w:r>
      </w:hyperlink>
    </w:p>
    <w:p w:rsidR="00EA5765" w:rsidRPr="000177FB" w:rsidRDefault="00C6518C" w:rsidP="001B4E43">
      <w:pPr>
        <w:pStyle w:val="NoSpacing"/>
        <w:jc w:val="both"/>
        <w:rPr>
          <w:rFonts w:eastAsia="Calibri"/>
          <w:sz w:val="22"/>
          <w:szCs w:val="22"/>
          <w:u w:val="single"/>
          <w:lang w:val="sr-Latn-ME"/>
        </w:rPr>
      </w:pPr>
      <w:hyperlink r:id="rId9" w:history="1">
        <w:r w:rsidR="004E70AD" w:rsidRPr="000177FB">
          <w:rPr>
            <w:rStyle w:val="Hyperlink"/>
            <w:rFonts w:eastAsia="Calibri"/>
            <w:color w:val="auto"/>
            <w:sz w:val="22"/>
            <w:szCs w:val="22"/>
            <w:lang w:val="sr-Latn-ME"/>
          </w:rPr>
          <w:t>nezeljenadejstva@cinmed.me</w:t>
        </w:r>
      </w:hyperlink>
    </w:p>
    <w:p w:rsidR="005A23D2" w:rsidRPr="000177FB" w:rsidRDefault="005A23D2" w:rsidP="001B4E4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177FB">
        <w:rPr>
          <w:rFonts w:eastAsia="Calibri"/>
          <w:sz w:val="22"/>
          <w:szCs w:val="22"/>
          <w:lang w:val="sr-Latn-ME"/>
        </w:rPr>
        <w:t>putem IS zdravstvene zaštite</w:t>
      </w:r>
    </w:p>
    <w:p w:rsidR="00E07E54" w:rsidRPr="000177FB" w:rsidRDefault="00E07E54" w:rsidP="00E07E5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177FB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0177FB">
        <w:rPr>
          <w:rFonts w:eastAsia="Calibri"/>
          <w:sz w:val="22"/>
          <w:szCs w:val="22"/>
          <w:lang w:val="sr-Latn-ME"/>
        </w:rPr>
        <w:t>online</w:t>
      </w:r>
      <w:proofErr w:type="spellEnd"/>
      <w:r w:rsidRPr="000177FB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:rsidR="00E07E54" w:rsidRPr="000177FB" w:rsidRDefault="00E07E54" w:rsidP="00E07E5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E07E54" w:rsidRPr="000177FB" w:rsidRDefault="00E07E54" w:rsidP="001B4E4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177FB">
        <w:rPr>
          <w:noProof/>
          <w:sz w:val="22"/>
          <w:szCs w:val="22"/>
          <w:lang w:val="sr-Latn-ME"/>
        </w:rPr>
        <w:drawing>
          <wp:inline distT="0" distB="0" distL="0" distR="0" wp14:anchorId="0C728906" wp14:editId="20FF5CB6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B35" w:rsidRPr="000177FB" w:rsidRDefault="00836B35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CD6F02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4.9.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proofErr w:type="spellStart"/>
      <w:r w:rsidRPr="000177FB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0177FB">
        <w:rPr>
          <w:b/>
          <w:bCs/>
          <w:sz w:val="22"/>
          <w:szCs w:val="22"/>
          <w:lang w:val="sr-Latn-ME"/>
        </w:rPr>
        <w:t xml:space="preserve"> </w:t>
      </w:r>
    </w:p>
    <w:p w:rsidR="00580283" w:rsidRPr="000177FB" w:rsidRDefault="00580283" w:rsidP="001B4E43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</w:p>
    <w:p w:rsidR="0058469B" w:rsidRPr="000177FB" w:rsidRDefault="0058469B" w:rsidP="001B4E4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0177FB">
        <w:rPr>
          <w:b/>
          <w:bCs/>
          <w:sz w:val="22"/>
          <w:szCs w:val="22"/>
          <w:lang w:val="sr-Latn-ME" w:eastAsia="sr-Latn-ME"/>
        </w:rPr>
        <w:t xml:space="preserve">Simptomi </w:t>
      </w:r>
      <w:proofErr w:type="spellStart"/>
      <w:r w:rsidRPr="000177FB">
        <w:rPr>
          <w:b/>
          <w:bCs/>
          <w:sz w:val="22"/>
          <w:szCs w:val="22"/>
          <w:lang w:val="sr-Latn-ME" w:eastAsia="sr-Latn-ME"/>
        </w:rPr>
        <w:t>predoziranja</w:t>
      </w:r>
      <w:proofErr w:type="spellEnd"/>
      <w:r w:rsidRPr="000177FB">
        <w:rPr>
          <w:b/>
          <w:bCs/>
          <w:sz w:val="22"/>
          <w:szCs w:val="22"/>
          <w:lang w:val="sr-Latn-ME" w:eastAsia="sr-Latn-ME"/>
        </w:rPr>
        <w:t xml:space="preserve"> </w:t>
      </w:r>
    </w:p>
    <w:p w:rsidR="0058469B" w:rsidRPr="000177FB" w:rsidRDefault="0058469B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0177FB">
        <w:rPr>
          <w:sz w:val="22"/>
          <w:szCs w:val="22"/>
          <w:lang w:val="sr-Latn-ME" w:eastAsia="sr-Latn-ME"/>
        </w:rPr>
        <w:t xml:space="preserve">Klinička slika u slučajevima akutnog ili </w:t>
      </w:r>
      <w:r w:rsidR="001A1472" w:rsidRPr="000177FB">
        <w:rPr>
          <w:sz w:val="22"/>
          <w:szCs w:val="22"/>
          <w:lang w:val="sr-Latn-ME" w:eastAsia="sr-Latn-ME"/>
        </w:rPr>
        <w:t>h</w:t>
      </w:r>
      <w:r w:rsidRPr="000177FB">
        <w:rPr>
          <w:sz w:val="22"/>
          <w:szCs w:val="22"/>
          <w:lang w:val="sr-Latn-ME" w:eastAsia="sr-Latn-ME"/>
        </w:rPr>
        <w:t xml:space="preserve">roničnog </w:t>
      </w:r>
      <w:proofErr w:type="spellStart"/>
      <w:r w:rsidRPr="000177FB">
        <w:rPr>
          <w:sz w:val="22"/>
          <w:szCs w:val="22"/>
          <w:lang w:val="sr-Latn-ME" w:eastAsia="sr-Latn-ME"/>
        </w:rPr>
        <w:t>predoziranja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 </w:t>
      </w:r>
      <w:r w:rsidR="001A1472" w:rsidRPr="000177FB">
        <w:rPr>
          <w:sz w:val="22"/>
          <w:szCs w:val="22"/>
          <w:lang w:val="sr-Latn-ME" w:eastAsia="sr-Latn-ME"/>
        </w:rPr>
        <w:t>za</w:t>
      </w:r>
      <w:r w:rsidRPr="000177FB">
        <w:rPr>
          <w:sz w:val="22"/>
          <w:szCs w:val="22"/>
          <w:lang w:val="sr-Latn-ME" w:eastAsia="sr-Latn-ME"/>
        </w:rPr>
        <w:t xml:space="preserve">visi </w:t>
      </w:r>
      <w:r w:rsidR="001A1472" w:rsidRPr="000177FB">
        <w:rPr>
          <w:sz w:val="22"/>
          <w:szCs w:val="22"/>
          <w:lang w:val="sr-Latn-ME" w:eastAsia="sr-Latn-ME"/>
        </w:rPr>
        <w:t xml:space="preserve">od </w:t>
      </w:r>
      <w:r w:rsidR="00644DA8" w:rsidRPr="000177FB">
        <w:rPr>
          <w:sz w:val="22"/>
          <w:szCs w:val="22"/>
          <w:lang w:val="sr-Latn-ME" w:eastAsia="sr-Latn-ME"/>
        </w:rPr>
        <w:t xml:space="preserve">odnosa </w:t>
      </w:r>
      <w:r w:rsidRPr="000177FB">
        <w:rPr>
          <w:sz w:val="22"/>
          <w:szCs w:val="22"/>
          <w:lang w:val="sr-Latn-ME" w:eastAsia="sr-Latn-ME"/>
        </w:rPr>
        <w:t xml:space="preserve">gubitka vode i elektrolita. </w:t>
      </w:r>
      <w:proofErr w:type="spellStart"/>
      <w:r w:rsidRPr="000177FB">
        <w:rPr>
          <w:sz w:val="22"/>
          <w:szCs w:val="22"/>
          <w:lang w:val="sr-Latn-ME" w:eastAsia="sr-Latn-ME"/>
        </w:rPr>
        <w:t>Predoziranje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 može dovesti do </w:t>
      </w:r>
      <w:proofErr w:type="spellStart"/>
      <w:r w:rsidRPr="000177FB">
        <w:rPr>
          <w:sz w:val="22"/>
          <w:szCs w:val="22"/>
          <w:lang w:val="sr-Latn-ME" w:eastAsia="sr-Latn-ME"/>
        </w:rPr>
        <w:t>hipotenzije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, </w:t>
      </w:r>
      <w:proofErr w:type="spellStart"/>
      <w:r w:rsidRPr="000177FB">
        <w:rPr>
          <w:sz w:val="22"/>
          <w:szCs w:val="22"/>
          <w:lang w:val="sr-Latn-ME" w:eastAsia="sr-Latn-ME"/>
        </w:rPr>
        <w:t>ortostatske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 deregulacije, p</w:t>
      </w:r>
      <w:r w:rsidR="001A1472" w:rsidRPr="000177FB">
        <w:rPr>
          <w:sz w:val="22"/>
          <w:szCs w:val="22"/>
          <w:lang w:val="sr-Latn-ME" w:eastAsia="sr-Latn-ME"/>
        </w:rPr>
        <w:t>oremećaja elektrolita (</w:t>
      </w:r>
      <w:proofErr w:type="spellStart"/>
      <w:r w:rsidR="001A1472" w:rsidRPr="000177FB">
        <w:rPr>
          <w:sz w:val="22"/>
          <w:szCs w:val="22"/>
          <w:lang w:val="sr-Latn-ME" w:eastAsia="sr-Latn-ME"/>
        </w:rPr>
        <w:t>hipokal</w:t>
      </w:r>
      <w:r w:rsidR="00644DA8" w:rsidRPr="000177FB">
        <w:rPr>
          <w:sz w:val="22"/>
          <w:szCs w:val="22"/>
          <w:lang w:val="sr-Latn-ME" w:eastAsia="sr-Latn-ME"/>
        </w:rPr>
        <w:t>ij</w:t>
      </w:r>
      <w:r w:rsidR="001A1472" w:rsidRPr="000177FB">
        <w:rPr>
          <w:sz w:val="22"/>
          <w:szCs w:val="22"/>
          <w:lang w:val="sr-Latn-ME" w:eastAsia="sr-Latn-ME"/>
        </w:rPr>
        <w:t>emija</w:t>
      </w:r>
      <w:proofErr w:type="spellEnd"/>
      <w:r w:rsidR="001A1472" w:rsidRPr="000177FB">
        <w:rPr>
          <w:sz w:val="22"/>
          <w:szCs w:val="22"/>
          <w:lang w:val="sr-Latn-ME" w:eastAsia="sr-Latn-ME"/>
        </w:rPr>
        <w:t xml:space="preserve">, </w:t>
      </w:r>
      <w:proofErr w:type="spellStart"/>
      <w:r w:rsidR="001A1472" w:rsidRPr="000177FB">
        <w:rPr>
          <w:sz w:val="22"/>
          <w:szCs w:val="22"/>
          <w:lang w:val="sr-Latn-ME" w:eastAsia="sr-Latn-ME"/>
        </w:rPr>
        <w:t>hiponatr</w:t>
      </w:r>
      <w:r w:rsidR="00644DA8" w:rsidRPr="000177FB">
        <w:rPr>
          <w:sz w:val="22"/>
          <w:szCs w:val="22"/>
          <w:lang w:val="sr-Latn-ME" w:eastAsia="sr-Latn-ME"/>
        </w:rPr>
        <w:t>ij</w:t>
      </w:r>
      <w:r w:rsidRPr="000177FB">
        <w:rPr>
          <w:sz w:val="22"/>
          <w:szCs w:val="22"/>
          <w:lang w:val="sr-Latn-ME" w:eastAsia="sr-Latn-ME"/>
        </w:rPr>
        <w:t>emija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, </w:t>
      </w:r>
      <w:proofErr w:type="spellStart"/>
      <w:r w:rsidRPr="000177FB">
        <w:rPr>
          <w:sz w:val="22"/>
          <w:szCs w:val="22"/>
          <w:lang w:val="sr-Latn-ME" w:eastAsia="sr-Latn-ME"/>
        </w:rPr>
        <w:t>hipo</w:t>
      </w:r>
      <w:r w:rsidR="001A1472" w:rsidRPr="000177FB">
        <w:rPr>
          <w:sz w:val="22"/>
          <w:szCs w:val="22"/>
          <w:lang w:val="sr-Latn-ME" w:eastAsia="sr-Latn-ME"/>
        </w:rPr>
        <w:t>h</w:t>
      </w:r>
      <w:r w:rsidRPr="000177FB">
        <w:rPr>
          <w:sz w:val="22"/>
          <w:szCs w:val="22"/>
          <w:lang w:val="sr-Latn-ME" w:eastAsia="sr-Latn-ME"/>
        </w:rPr>
        <w:t>loremija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) ili </w:t>
      </w:r>
      <w:proofErr w:type="spellStart"/>
      <w:r w:rsidRPr="000177FB">
        <w:rPr>
          <w:sz w:val="22"/>
          <w:szCs w:val="22"/>
          <w:lang w:val="sr-Latn-ME" w:eastAsia="sr-Latn-ME"/>
        </w:rPr>
        <w:t>alkaloze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. U slučaju teškog gubitka </w:t>
      </w:r>
      <w:r w:rsidR="001A1472" w:rsidRPr="000177FB">
        <w:rPr>
          <w:sz w:val="22"/>
          <w:szCs w:val="22"/>
          <w:lang w:val="sr-Latn-ME" w:eastAsia="sr-Latn-ME"/>
        </w:rPr>
        <w:t>tečnosti</w:t>
      </w:r>
      <w:r w:rsidRPr="000177FB">
        <w:rPr>
          <w:sz w:val="22"/>
          <w:szCs w:val="22"/>
          <w:lang w:val="sr-Latn-ME" w:eastAsia="sr-Latn-ME"/>
        </w:rPr>
        <w:t xml:space="preserve"> može doći do izražene </w:t>
      </w:r>
      <w:proofErr w:type="spellStart"/>
      <w:r w:rsidRPr="000177FB">
        <w:rPr>
          <w:sz w:val="22"/>
          <w:szCs w:val="22"/>
          <w:lang w:val="sr-Latn-ME" w:eastAsia="sr-Latn-ME"/>
        </w:rPr>
        <w:t>hipovolemije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, dehidracije, </w:t>
      </w:r>
      <w:proofErr w:type="spellStart"/>
      <w:r w:rsidRPr="000177FB">
        <w:rPr>
          <w:sz w:val="22"/>
          <w:szCs w:val="22"/>
          <w:lang w:val="sr-Latn-ME" w:eastAsia="sr-Latn-ME"/>
        </w:rPr>
        <w:t>cirkulatornog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 kolapsa i </w:t>
      </w:r>
      <w:proofErr w:type="spellStart"/>
      <w:r w:rsidRPr="000177FB">
        <w:rPr>
          <w:sz w:val="22"/>
          <w:szCs w:val="22"/>
          <w:lang w:val="sr-Latn-ME" w:eastAsia="sr-Latn-ME"/>
        </w:rPr>
        <w:t>hemokoncentracije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 s</w:t>
      </w:r>
      <w:r w:rsidR="001A1472" w:rsidRPr="000177FB">
        <w:rPr>
          <w:sz w:val="22"/>
          <w:szCs w:val="22"/>
          <w:lang w:val="sr-Latn-ME" w:eastAsia="sr-Latn-ME"/>
        </w:rPr>
        <w:t>a</w:t>
      </w:r>
      <w:r w:rsidRPr="000177FB">
        <w:rPr>
          <w:sz w:val="22"/>
          <w:szCs w:val="22"/>
          <w:lang w:val="sr-Latn-ME" w:eastAsia="sr-Latn-ME"/>
        </w:rPr>
        <w:t xml:space="preserve"> tendencijom </w:t>
      </w:r>
      <w:r w:rsidR="001A1472" w:rsidRPr="000177FB">
        <w:rPr>
          <w:sz w:val="22"/>
          <w:szCs w:val="22"/>
          <w:lang w:val="sr-Latn-ME" w:eastAsia="sr-Latn-ME"/>
        </w:rPr>
        <w:t>ka</w:t>
      </w:r>
      <w:r w:rsidRPr="000177FB">
        <w:rPr>
          <w:sz w:val="22"/>
          <w:szCs w:val="22"/>
          <w:lang w:val="sr-Latn-ME" w:eastAsia="sr-Latn-ME"/>
        </w:rPr>
        <w:t xml:space="preserve"> trombozi. Pri brzom gubitku vode i elektrolita </w:t>
      </w:r>
      <w:r w:rsidR="001A1472" w:rsidRPr="000177FB">
        <w:rPr>
          <w:sz w:val="22"/>
          <w:szCs w:val="22"/>
          <w:lang w:val="sr-Latn-ME" w:eastAsia="sr-Latn-ME"/>
        </w:rPr>
        <w:t>zabilježen</w:t>
      </w:r>
      <w:r w:rsidRPr="000177FB">
        <w:rPr>
          <w:sz w:val="22"/>
          <w:szCs w:val="22"/>
          <w:lang w:val="sr-Latn-ME" w:eastAsia="sr-Latn-ME"/>
        </w:rPr>
        <w:t xml:space="preserve"> je delirij</w:t>
      </w:r>
      <w:r w:rsidR="001A1472" w:rsidRPr="000177FB">
        <w:rPr>
          <w:sz w:val="22"/>
          <w:szCs w:val="22"/>
          <w:lang w:val="sr-Latn-ME" w:eastAsia="sr-Latn-ME"/>
        </w:rPr>
        <w:t>um</w:t>
      </w:r>
      <w:r w:rsidRPr="000177FB">
        <w:rPr>
          <w:sz w:val="22"/>
          <w:szCs w:val="22"/>
          <w:lang w:val="sr-Latn-ME" w:eastAsia="sr-Latn-ME"/>
        </w:rPr>
        <w:t xml:space="preserve">. U rijetkim slučajevima zabilježen je </w:t>
      </w:r>
      <w:proofErr w:type="spellStart"/>
      <w:r w:rsidRPr="000177FB">
        <w:rPr>
          <w:sz w:val="22"/>
          <w:szCs w:val="22"/>
          <w:lang w:val="sr-Latn-ME" w:eastAsia="sr-Latn-ME"/>
        </w:rPr>
        <w:t>anafilaktički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 šok (simptomi: znojenje, mučnina, </w:t>
      </w:r>
      <w:r w:rsidR="001A1472" w:rsidRPr="000177FB">
        <w:rPr>
          <w:sz w:val="22"/>
          <w:szCs w:val="22"/>
          <w:lang w:val="sr-Latn-ME" w:eastAsia="sr-Latn-ME"/>
        </w:rPr>
        <w:t>cijanoza, značajan pad krvnog pritiska</w:t>
      </w:r>
      <w:r w:rsidRPr="000177FB">
        <w:rPr>
          <w:sz w:val="22"/>
          <w:szCs w:val="22"/>
          <w:lang w:val="sr-Latn-ME" w:eastAsia="sr-Latn-ME"/>
        </w:rPr>
        <w:t xml:space="preserve">, poremećaji svijesti ili čak koma). </w:t>
      </w:r>
    </w:p>
    <w:p w:rsidR="001A1472" w:rsidRPr="000177FB" w:rsidRDefault="001A1472" w:rsidP="001B4E4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</w:p>
    <w:p w:rsidR="0058469B" w:rsidRPr="000177FB" w:rsidRDefault="0058469B" w:rsidP="001B4E4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ME"/>
        </w:rPr>
      </w:pPr>
      <w:r w:rsidRPr="000177FB">
        <w:rPr>
          <w:b/>
          <w:bCs/>
          <w:sz w:val="22"/>
          <w:szCs w:val="22"/>
          <w:lang w:val="sr-Latn-ME" w:eastAsia="sr-Latn-ME"/>
        </w:rPr>
        <w:t xml:space="preserve">Liječenje </w:t>
      </w:r>
      <w:proofErr w:type="spellStart"/>
      <w:r w:rsidRPr="000177FB">
        <w:rPr>
          <w:b/>
          <w:bCs/>
          <w:sz w:val="22"/>
          <w:szCs w:val="22"/>
          <w:lang w:val="sr-Latn-ME" w:eastAsia="sr-Latn-ME"/>
        </w:rPr>
        <w:t>predoziranja</w:t>
      </w:r>
      <w:proofErr w:type="spellEnd"/>
      <w:r w:rsidRPr="000177FB">
        <w:rPr>
          <w:b/>
          <w:bCs/>
          <w:sz w:val="22"/>
          <w:szCs w:val="22"/>
          <w:lang w:val="sr-Latn-ME" w:eastAsia="sr-Latn-ME"/>
        </w:rPr>
        <w:t xml:space="preserve"> </w:t>
      </w:r>
    </w:p>
    <w:p w:rsidR="0058469B" w:rsidRPr="000177FB" w:rsidRDefault="0058469B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0177FB">
        <w:rPr>
          <w:sz w:val="22"/>
          <w:szCs w:val="22"/>
          <w:lang w:val="sr-Latn-ME" w:eastAsia="sr-Latn-ME"/>
        </w:rPr>
        <w:t xml:space="preserve">U slučaju </w:t>
      </w:r>
      <w:proofErr w:type="spellStart"/>
      <w:r w:rsidRPr="000177FB">
        <w:rPr>
          <w:sz w:val="22"/>
          <w:szCs w:val="22"/>
          <w:lang w:val="sr-Latn-ME" w:eastAsia="sr-Latn-ME"/>
        </w:rPr>
        <w:t>predoziranja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 ili </w:t>
      </w:r>
      <w:r w:rsidR="001A1472" w:rsidRPr="000177FB">
        <w:rPr>
          <w:sz w:val="22"/>
          <w:szCs w:val="22"/>
          <w:lang w:val="sr-Latn-ME" w:eastAsia="sr-Latn-ME"/>
        </w:rPr>
        <w:t>kod pacijenata sa znakovima</w:t>
      </w:r>
      <w:r w:rsidRPr="000177FB">
        <w:rPr>
          <w:sz w:val="22"/>
          <w:szCs w:val="22"/>
          <w:lang w:val="sr-Latn-ME" w:eastAsia="sr-Latn-ME"/>
        </w:rPr>
        <w:t xml:space="preserve"> </w:t>
      </w:r>
      <w:proofErr w:type="spellStart"/>
      <w:r w:rsidRPr="000177FB">
        <w:rPr>
          <w:sz w:val="22"/>
          <w:szCs w:val="22"/>
          <w:lang w:val="sr-Latn-ME" w:eastAsia="sr-Latn-ME"/>
        </w:rPr>
        <w:t>hipovolemije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 (</w:t>
      </w:r>
      <w:proofErr w:type="spellStart"/>
      <w:r w:rsidRPr="000177FB">
        <w:rPr>
          <w:sz w:val="22"/>
          <w:szCs w:val="22"/>
          <w:lang w:val="sr-Latn-ME" w:eastAsia="sr-Latn-ME"/>
        </w:rPr>
        <w:t>hipotenzija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, </w:t>
      </w:r>
      <w:proofErr w:type="spellStart"/>
      <w:r w:rsidRPr="000177FB">
        <w:rPr>
          <w:sz w:val="22"/>
          <w:szCs w:val="22"/>
          <w:lang w:val="sr-Latn-ME" w:eastAsia="sr-Latn-ME"/>
        </w:rPr>
        <w:t>ortostatska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 deregulacija) odmah treba prekinuti liječenje </w:t>
      </w:r>
      <w:proofErr w:type="spellStart"/>
      <w:r w:rsidR="001A1472" w:rsidRPr="000177FB">
        <w:rPr>
          <w:sz w:val="22"/>
          <w:szCs w:val="22"/>
          <w:lang w:val="sr-Latn-ME" w:eastAsia="sr-Latn-ME"/>
        </w:rPr>
        <w:t>furosemidom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. </w:t>
      </w:r>
    </w:p>
    <w:p w:rsidR="001A1472" w:rsidRPr="000177FB" w:rsidRDefault="001A1472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58469B" w:rsidRPr="000177FB" w:rsidRDefault="0058469B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0177FB">
        <w:rPr>
          <w:sz w:val="22"/>
          <w:szCs w:val="22"/>
          <w:lang w:val="sr-Latn-ME" w:eastAsia="sr-Latn-ME"/>
        </w:rPr>
        <w:lastRenderedPageBreak/>
        <w:t xml:space="preserve">Ako je od oralnog uzimanja </w:t>
      </w:r>
      <w:proofErr w:type="spellStart"/>
      <w:r w:rsidR="001A1472" w:rsidRPr="000177FB">
        <w:rPr>
          <w:sz w:val="22"/>
          <w:szCs w:val="22"/>
          <w:lang w:val="sr-Latn-ME" w:eastAsia="sr-Latn-ME"/>
        </w:rPr>
        <w:t>furosemida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 prošlo samo kratko vrijeme, preporuč</w:t>
      </w:r>
      <w:r w:rsidR="001A1472" w:rsidRPr="000177FB">
        <w:rPr>
          <w:sz w:val="22"/>
          <w:szCs w:val="22"/>
          <w:lang w:val="sr-Latn-ME" w:eastAsia="sr-Latn-ME"/>
        </w:rPr>
        <w:t>uje se poduzimanje koraka</w:t>
      </w:r>
      <w:r w:rsidRPr="000177FB">
        <w:rPr>
          <w:sz w:val="22"/>
          <w:szCs w:val="22"/>
          <w:lang w:val="sr-Latn-ME" w:eastAsia="sr-Latn-ME"/>
        </w:rPr>
        <w:t xml:space="preserve"> za primarnu eliminaciju otrova (izazvati povraćanje, </w:t>
      </w:r>
      <w:r w:rsidR="001A1472" w:rsidRPr="000177FB">
        <w:rPr>
          <w:sz w:val="22"/>
          <w:szCs w:val="22"/>
          <w:lang w:val="sr-Latn-ME" w:eastAsia="sr-Latn-ME"/>
        </w:rPr>
        <w:t>sprovesti ispiranje želu</w:t>
      </w:r>
      <w:r w:rsidRPr="000177FB">
        <w:rPr>
          <w:sz w:val="22"/>
          <w:szCs w:val="22"/>
          <w:lang w:val="sr-Latn-ME" w:eastAsia="sr-Latn-ME"/>
        </w:rPr>
        <w:t>ca) i mjere za sma</w:t>
      </w:r>
      <w:r w:rsidR="001A1472" w:rsidRPr="000177FB">
        <w:rPr>
          <w:sz w:val="22"/>
          <w:szCs w:val="22"/>
          <w:lang w:val="sr-Latn-ME" w:eastAsia="sr-Latn-ME"/>
        </w:rPr>
        <w:t xml:space="preserve">njenje </w:t>
      </w:r>
      <w:r w:rsidR="00644DA8" w:rsidRPr="000177FB">
        <w:rPr>
          <w:sz w:val="22"/>
          <w:szCs w:val="22"/>
          <w:lang w:val="sr-Latn-ME" w:eastAsia="sr-Latn-ME"/>
        </w:rPr>
        <w:t>re</w:t>
      </w:r>
      <w:r w:rsidR="001A1472" w:rsidRPr="000177FB">
        <w:rPr>
          <w:sz w:val="22"/>
          <w:szCs w:val="22"/>
          <w:lang w:val="sr-Latn-ME" w:eastAsia="sr-Latn-ME"/>
        </w:rPr>
        <w:t>sorpcije (aktivni ugalj</w:t>
      </w:r>
      <w:r w:rsidRPr="000177FB">
        <w:rPr>
          <w:sz w:val="22"/>
          <w:szCs w:val="22"/>
          <w:lang w:val="sr-Latn-ME" w:eastAsia="sr-Latn-ME"/>
        </w:rPr>
        <w:t xml:space="preserve">). </w:t>
      </w:r>
    </w:p>
    <w:p w:rsidR="001A1472" w:rsidRPr="000177FB" w:rsidRDefault="001A1472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58469B" w:rsidRPr="000177FB" w:rsidRDefault="0058469B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0177FB">
        <w:rPr>
          <w:sz w:val="22"/>
          <w:szCs w:val="22"/>
          <w:lang w:val="sr-Latn-ME" w:eastAsia="sr-Latn-ME"/>
        </w:rPr>
        <w:t xml:space="preserve">U težim slučajevima moraju se </w:t>
      </w:r>
      <w:r w:rsidR="00644DA8" w:rsidRPr="000177FB">
        <w:rPr>
          <w:sz w:val="22"/>
          <w:szCs w:val="22"/>
          <w:lang w:val="sr-Latn-ME" w:eastAsia="sr-Latn-ME"/>
        </w:rPr>
        <w:t xml:space="preserve">pratiti </w:t>
      </w:r>
      <w:r w:rsidRPr="000177FB">
        <w:rPr>
          <w:sz w:val="22"/>
          <w:szCs w:val="22"/>
          <w:lang w:val="sr-Latn-ME" w:eastAsia="sr-Latn-ME"/>
        </w:rPr>
        <w:t xml:space="preserve">vitalni znaci i ponavljati postupci procjene stanja vode i ravnoteže elektrolita, </w:t>
      </w:r>
      <w:proofErr w:type="spellStart"/>
      <w:r w:rsidRPr="000177FB">
        <w:rPr>
          <w:sz w:val="22"/>
          <w:szCs w:val="22"/>
          <w:lang w:val="sr-Latn-ME" w:eastAsia="sr-Latn-ME"/>
        </w:rPr>
        <w:t>acidobazne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 ravnoteže, vrijednosti šećera u krvi i </w:t>
      </w:r>
      <w:r w:rsidR="00644DA8" w:rsidRPr="000177FB">
        <w:rPr>
          <w:sz w:val="22"/>
          <w:szCs w:val="22"/>
          <w:lang w:val="sr-Latn-ME" w:eastAsia="sr-Latn-ME"/>
        </w:rPr>
        <w:t xml:space="preserve">supstanci </w:t>
      </w:r>
      <w:r w:rsidRPr="000177FB">
        <w:rPr>
          <w:sz w:val="22"/>
          <w:szCs w:val="22"/>
          <w:lang w:val="sr-Latn-ME" w:eastAsia="sr-Latn-ME"/>
        </w:rPr>
        <w:t>koje se izlučuju urinom. Ako je potrebno, abnormalne vrijednosti treba ko</w:t>
      </w:r>
      <w:r w:rsidR="001A1472" w:rsidRPr="000177FB">
        <w:rPr>
          <w:sz w:val="22"/>
          <w:szCs w:val="22"/>
          <w:lang w:val="sr-Latn-ME" w:eastAsia="sr-Latn-ME"/>
        </w:rPr>
        <w:t>rigovati</w:t>
      </w:r>
      <w:r w:rsidRPr="000177FB">
        <w:rPr>
          <w:sz w:val="22"/>
          <w:szCs w:val="22"/>
          <w:lang w:val="sr-Latn-ME" w:eastAsia="sr-Latn-ME"/>
        </w:rPr>
        <w:t xml:space="preserve">. </w:t>
      </w:r>
    </w:p>
    <w:p w:rsidR="001A1472" w:rsidRPr="000177FB" w:rsidRDefault="001A1472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</w:p>
    <w:p w:rsidR="0058469B" w:rsidRPr="000177FB" w:rsidRDefault="001A1472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0177FB">
        <w:rPr>
          <w:sz w:val="22"/>
          <w:szCs w:val="22"/>
          <w:lang w:val="sr-Latn-ME" w:eastAsia="sr-Latn-ME"/>
        </w:rPr>
        <w:t>Kod pacijenata</w:t>
      </w:r>
      <w:r w:rsidR="0058469B" w:rsidRPr="000177FB">
        <w:rPr>
          <w:sz w:val="22"/>
          <w:szCs w:val="22"/>
          <w:lang w:val="sr-Latn-ME" w:eastAsia="sr-Latn-ME"/>
        </w:rPr>
        <w:t xml:space="preserve"> s</w:t>
      </w:r>
      <w:r w:rsidRPr="000177FB">
        <w:rPr>
          <w:sz w:val="22"/>
          <w:szCs w:val="22"/>
          <w:lang w:val="sr-Latn-ME" w:eastAsia="sr-Latn-ME"/>
        </w:rPr>
        <w:t>a</w:t>
      </w:r>
      <w:r w:rsidR="0058469B" w:rsidRPr="000177FB">
        <w:rPr>
          <w:sz w:val="22"/>
          <w:szCs w:val="22"/>
          <w:lang w:val="sr-Latn-ME" w:eastAsia="sr-Latn-ME"/>
        </w:rPr>
        <w:t xml:space="preserve"> narušenom funkcijom mokrenja (npr. hipertrofija prostate) treba osigurati slobodan protok mokraće jer iznenadno stvaranje</w:t>
      </w:r>
      <w:r w:rsidRPr="000177FB">
        <w:rPr>
          <w:sz w:val="22"/>
          <w:szCs w:val="22"/>
          <w:lang w:val="sr-Latn-ME" w:eastAsia="sr-Latn-ME"/>
        </w:rPr>
        <w:t xml:space="preserve"> mokraće može dovesti do njenog</w:t>
      </w:r>
      <w:r w:rsidR="0058469B" w:rsidRPr="000177FB">
        <w:rPr>
          <w:sz w:val="22"/>
          <w:szCs w:val="22"/>
          <w:lang w:val="sr-Latn-ME" w:eastAsia="sr-Latn-ME"/>
        </w:rPr>
        <w:t xml:space="preserve"> zadržavanja i do prevelikog širenja </w:t>
      </w:r>
      <w:r w:rsidR="00644DA8" w:rsidRPr="000177FB">
        <w:rPr>
          <w:sz w:val="22"/>
          <w:szCs w:val="22"/>
          <w:lang w:val="sr-Latn-ME" w:eastAsia="sr-Latn-ME"/>
        </w:rPr>
        <w:t>mokraćne bešike</w:t>
      </w:r>
      <w:r w:rsidR="0058469B" w:rsidRPr="000177FB">
        <w:rPr>
          <w:sz w:val="22"/>
          <w:szCs w:val="22"/>
          <w:lang w:val="sr-Latn-ME" w:eastAsia="sr-Latn-ME"/>
        </w:rPr>
        <w:t xml:space="preserve">. </w:t>
      </w:r>
    </w:p>
    <w:p w:rsidR="001A1472" w:rsidRPr="000177FB" w:rsidRDefault="001A1472" w:rsidP="001B4E43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 w:eastAsia="sr-Latn-ME"/>
        </w:rPr>
      </w:pPr>
    </w:p>
    <w:p w:rsidR="0058469B" w:rsidRPr="000177FB" w:rsidRDefault="0058469B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0177FB">
        <w:rPr>
          <w:i/>
          <w:iCs/>
          <w:sz w:val="22"/>
          <w:szCs w:val="22"/>
          <w:lang w:val="sr-Latn-ME" w:eastAsia="sr-Latn-ME"/>
        </w:rPr>
        <w:t xml:space="preserve">Liječenje </w:t>
      </w:r>
      <w:proofErr w:type="spellStart"/>
      <w:r w:rsidRPr="000177FB">
        <w:rPr>
          <w:i/>
          <w:iCs/>
          <w:sz w:val="22"/>
          <w:szCs w:val="22"/>
          <w:lang w:val="sr-Latn-ME" w:eastAsia="sr-Latn-ME"/>
        </w:rPr>
        <w:t>hipovolemije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: nadoknada volumena. </w:t>
      </w:r>
    </w:p>
    <w:p w:rsidR="001A1472" w:rsidRPr="000177FB" w:rsidRDefault="001A1472" w:rsidP="001B4E43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 w:eastAsia="sr-Latn-ME"/>
        </w:rPr>
      </w:pPr>
    </w:p>
    <w:p w:rsidR="0058469B" w:rsidRPr="000177FB" w:rsidRDefault="001A1472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0177FB">
        <w:rPr>
          <w:i/>
          <w:iCs/>
          <w:sz w:val="22"/>
          <w:szCs w:val="22"/>
          <w:lang w:val="sr-Latn-ME" w:eastAsia="sr-Latn-ME"/>
        </w:rPr>
        <w:t xml:space="preserve">Liječenje </w:t>
      </w:r>
      <w:proofErr w:type="spellStart"/>
      <w:r w:rsidRPr="000177FB">
        <w:rPr>
          <w:i/>
          <w:iCs/>
          <w:sz w:val="22"/>
          <w:szCs w:val="22"/>
          <w:lang w:val="sr-Latn-ME" w:eastAsia="sr-Latn-ME"/>
        </w:rPr>
        <w:t>hipokal</w:t>
      </w:r>
      <w:r w:rsidR="00644DA8" w:rsidRPr="000177FB">
        <w:rPr>
          <w:i/>
          <w:iCs/>
          <w:sz w:val="22"/>
          <w:szCs w:val="22"/>
          <w:lang w:val="sr-Latn-ME" w:eastAsia="sr-Latn-ME"/>
        </w:rPr>
        <w:t>ij</w:t>
      </w:r>
      <w:r w:rsidR="0058469B" w:rsidRPr="000177FB">
        <w:rPr>
          <w:i/>
          <w:iCs/>
          <w:sz w:val="22"/>
          <w:szCs w:val="22"/>
          <w:lang w:val="sr-Latn-ME" w:eastAsia="sr-Latn-ME"/>
        </w:rPr>
        <w:t>emije</w:t>
      </w:r>
      <w:proofErr w:type="spellEnd"/>
      <w:r w:rsidR="0058469B" w:rsidRPr="000177FB">
        <w:rPr>
          <w:sz w:val="22"/>
          <w:szCs w:val="22"/>
          <w:lang w:val="sr-Latn-ME" w:eastAsia="sr-Latn-ME"/>
        </w:rPr>
        <w:t>: nadoknada kalij</w:t>
      </w:r>
      <w:r w:rsidRPr="000177FB">
        <w:rPr>
          <w:sz w:val="22"/>
          <w:szCs w:val="22"/>
          <w:lang w:val="sr-Latn-ME" w:eastAsia="sr-Latn-ME"/>
        </w:rPr>
        <w:t>um</w:t>
      </w:r>
      <w:r w:rsidR="0058469B" w:rsidRPr="000177FB">
        <w:rPr>
          <w:sz w:val="22"/>
          <w:szCs w:val="22"/>
          <w:lang w:val="sr-Latn-ME" w:eastAsia="sr-Latn-ME"/>
        </w:rPr>
        <w:t xml:space="preserve">a. </w:t>
      </w:r>
    </w:p>
    <w:p w:rsidR="001A1472" w:rsidRPr="000177FB" w:rsidRDefault="001A1472" w:rsidP="001B4E43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 w:eastAsia="sr-Latn-ME"/>
        </w:rPr>
      </w:pPr>
    </w:p>
    <w:p w:rsidR="0058469B" w:rsidRPr="000177FB" w:rsidRDefault="0058469B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0177FB">
        <w:rPr>
          <w:i/>
          <w:iCs/>
          <w:sz w:val="22"/>
          <w:szCs w:val="22"/>
          <w:lang w:val="sr-Latn-ME" w:eastAsia="sr-Latn-ME"/>
        </w:rPr>
        <w:t xml:space="preserve">Liječenje </w:t>
      </w:r>
      <w:proofErr w:type="spellStart"/>
      <w:r w:rsidRPr="000177FB">
        <w:rPr>
          <w:i/>
          <w:iCs/>
          <w:sz w:val="22"/>
          <w:szCs w:val="22"/>
          <w:lang w:val="sr-Latn-ME" w:eastAsia="sr-Latn-ME"/>
        </w:rPr>
        <w:t>cirkulatornog</w:t>
      </w:r>
      <w:proofErr w:type="spellEnd"/>
      <w:r w:rsidRPr="000177FB">
        <w:rPr>
          <w:i/>
          <w:iCs/>
          <w:sz w:val="22"/>
          <w:szCs w:val="22"/>
          <w:lang w:val="sr-Latn-ME" w:eastAsia="sr-Latn-ME"/>
        </w:rPr>
        <w:t xml:space="preserve"> kolapsa</w:t>
      </w:r>
      <w:r w:rsidR="001A1472" w:rsidRPr="000177FB">
        <w:rPr>
          <w:sz w:val="22"/>
          <w:szCs w:val="22"/>
          <w:lang w:val="sr-Latn-ME" w:eastAsia="sr-Latn-ME"/>
        </w:rPr>
        <w:t>: pacijenta</w:t>
      </w:r>
      <w:r w:rsidRPr="000177FB">
        <w:rPr>
          <w:sz w:val="22"/>
          <w:szCs w:val="22"/>
          <w:lang w:val="sr-Latn-ME" w:eastAsia="sr-Latn-ME"/>
        </w:rPr>
        <w:t xml:space="preserve"> treba smjestiti u šok poziciju te po potrebi </w:t>
      </w:r>
      <w:r w:rsidR="00644DA8" w:rsidRPr="000177FB">
        <w:rPr>
          <w:sz w:val="22"/>
          <w:szCs w:val="22"/>
          <w:lang w:val="sr-Latn-ME" w:eastAsia="sr-Latn-ME"/>
        </w:rPr>
        <w:t>s</w:t>
      </w:r>
      <w:r w:rsidRPr="000177FB">
        <w:rPr>
          <w:sz w:val="22"/>
          <w:szCs w:val="22"/>
          <w:lang w:val="sr-Latn-ME" w:eastAsia="sr-Latn-ME"/>
        </w:rPr>
        <w:t xml:space="preserve">provesti šok terapiju. </w:t>
      </w:r>
    </w:p>
    <w:p w:rsidR="00C60F51" w:rsidRPr="000177FB" w:rsidRDefault="00C60F51" w:rsidP="001B4E43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 w:eastAsia="sr-Latn-ME"/>
        </w:rPr>
      </w:pPr>
    </w:p>
    <w:p w:rsidR="0058469B" w:rsidRPr="000177FB" w:rsidRDefault="0058469B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0177FB">
        <w:rPr>
          <w:i/>
          <w:iCs/>
          <w:sz w:val="22"/>
          <w:szCs w:val="22"/>
          <w:lang w:val="sr-Latn-ME" w:eastAsia="sr-Latn-ME"/>
        </w:rPr>
        <w:t xml:space="preserve">Hitne mjere u slučaju </w:t>
      </w:r>
      <w:proofErr w:type="spellStart"/>
      <w:r w:rsidRPr="000177FB">
        <w:rPr>
          <w:i/>
          <w:iCs/>
          <w:sz w:val="22"/>
          <w:szCs w:val="22"/>
          <w:lang w:val="sr-Latn-ME" w:eastAsia="sr-Latn-ME"/>
        </w:rPr>
        <w:t>anafilaktičkog</w:t>
      </w:r>
      <w:proofErr w:type="spellEnd"/>
      <w:r w:rsidRPr="000177FB">
        <w:rPr>
          <w:i/>
          <w:iCs/>
          <w:sz w:val="22"/>
          <w:szCs w:val="22"/>
          <w:lang w:val="sr-Latn-ME" w:eastAsia="sr-Latn-ME"/>
        </w:rPr>
        <w:t xml:space="preserve"> šoka </w:t>
      </w:r>
    </w:p>
    <w:p w:rsidR="0058469B" w:rsidRPr="000177FB" w:rsidRDefault="0058469B" w:rsidP="001B4E43">
      <w:pPr>
        <w:autoSpaceDE w:val="0"/>
        <w:autoSpaceDN w:val="0"/>
        <w:adjustRightInd w:val="0"/>
        <w:jc w:val="both"/>
        <w:rPr>
          <w:sz w:val="22"/>
          <w:szCs w:val="22"/>
          <w:lang w:val="sr-Latn-ME" w:eastAsia="sr-Latn-ME"/>
        </w:rPr>
      </w:pPr>
      <w:r w:rsidRPr="000177FB">
        <w:rPr>
          <w:sz w:val="22"/>
          <w:szCs w:val="22"/>
          <w:lang w:val="sr-Latn-ME" w:eastAsia="sr-Latn-ME"/>
        </w:rPr>
        <w:t xml:space="preserve">Nakon pojave prvih znakova (npr. kožnih reakcija poput urtikarije ili crvenila, zatim nemira, glavobolje, </w:t>
      </w:r>
      <w:proofErr w:type="spellStart"/>
      <w:r w:rsidRPr="000177FB">
        <w:rPr>
          <w:sz w:val="22"/>
          <w:szCs w:val="22"/>
          <w:lang w:val="sr-Latn-ME" w:eastAsia="sr-Latn-ME"/>
        </w:rPr>
        <w:t>znojena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, mučnine i cijanoze): </w:t>
      </w:r>
    </w:p>
    <w:p w:rsidR="0058469B" w:rsidRPr="000177FB" w:rsidRDefault="0058469B" w:rsidP="001B4E43">
      <w:pPr>
        <w:autoSpaceDE w:val="0"/>
        <w:autoSpaceDN w:val="0"/>
        <w:adjustRightInd w:val="0"/>
        <w:spacing w:after="21"/>
        <w:jc w:val="both"/>
        <w:rPr>
          <w:sz w:val="22"/>
          <w:szCs w:val="22"/>
          <w:lang w:val="sr-Latn-ME" w:eastAsia="sr-Latn-ME"/>
        </w:rPr>
      </w:pPr>
      <w:r w:rsidRPr="000177FB">
        <w:rPr>
          <w:sz w:val="22"/>
          <w:szCs w:val="22"/>
          <w:lang w:val="sr-Latn-ME" w:eastAsia="sr-Latn-ME"/>
        </w:rPr>
        <w:t xml:space="preserve">- osigurati venski pristup, </w:t>
      </w:r>
    </w:p>
    <w:p w:rsidR="0058469B" w:rsidRPr="000177FB" w:rsidRDefault="0058469B" w:rsidP="00644DA8">
      <w:pPr>
        <w:autoSpaceDE w:val="0"/>
        <w:autoSpaceDN w:val="0"/>
        <w:adjustRightInd w:val="0"/>
        <w:spacing w:after="21"/>
        <w:ind w:left="142" w:hanging="142"/>
        <w:jc w:val="both"/>
        <w:rPr>
          <w:sz w:val="22"/>
          <w:szCs w:val="22"/>
          <w:lang w:val="sr-Latn-ME" w:eastAsia="sr-Latn-ME"/>
        </w:rPr>
      </w:pPr>
      <w:r w:rsidRPr="000177FB">
        <w:rPr>
          <w:sz w:val="22"/>
          <w:szCs w:val="22"/>
          <w:lang w:val="sr-Latn-ME" w:eastAsia="sr-Latn-ME"/>
        </w:rPr>
        <w:t>- uz uobičajene hitn</w:t>
      </w:r>
      <w:r w:rsidR="00C60F51" w:rsidRPr="000177FB">
        <w:rPr>
          <w:sz w:val="22"/>
          <w:szCs w:val="22"/>
          <w:lang w:val="sr-Latn-ME" w:eastAsia="sr-Latn-ME"/>
        </w:rPr>
        <w:t>e mjere, poleći bolesnika na leđ</w:t>
      </w:r>
      <w:r w:rsidRPr="000177FB">
        <w:rPr>
          <w:sz w:val="22"/>
          <w:szCs w:val="22"/>
          <w:lang w:val="sr-Latn-ME" w:eastAsia="sr-Latn-ME"/>
        </w:rPr>
        <w:t>a s</w:t>
      </w:r>
      <w:r w:rsidR="00C60F51" w:rsidRPr="000177FB">
        <w:rPr>
          <w:sz w:val="22"/>
          <w:szCs w:val="22"/>
          <w:lang w:val="sr-Latn-ME" w:eastAsia="sr-Latn-ME"/>
        </w:rPr>
        <w:t>a</w:t>
      </w:r>
      <w:r w:rsidRPr="000177FB">
        <w:rPr>
          <w:sz w:val="22"/>
          <w:szCs w:val="22"/>
          <w:lang w:val="sr-Latn-ME" w:eastAsia="sr-Latn-ME"/>
        </w:rPr>
        <w:t xml:space="preserve"> podignutim nogama, osigurati proho</w:t>
      </w:r>
      <w:r w:rsidR="00C60F51" w:rsidRPr="000177FB">
        <w:rPr>
          <w:sz w:val="22"/>
          <w:szCs w:val="22"/>
          <w:lang w:val="sr-Latn-ME" w:eastAsia="sr-Latn-ME"/>
        </w:rPr>
        <w:t>dnost di</w:t>
      </w:r>
      <w:r w:rsidR="00644DA8" w:rsidRPr="000177FB">
        <w:rPr>
          <w:sz w:val="22"/>
          <w:szCs w:val="22"/>
          <w:lang w:val="sr-Latn-ME" w:eastAsia="sr-Latn-ME"/>
        </w:rPr>
        <w:t>sajnih</w:t>
      </w:r>
      <w:r w:rsidR="00C60F51" w:rsidRPr="000177FB">
        <w:rPr>
          <w:sz w:val="22"/>
          <w:szCs w:val="22"/>
          <w:lang w:val="sr-Latn-ME" w:eastAsia="sr-Latn-ME"/>
        </w:rPr>
        <w:t xml:space="preserve"> puteva i dati kiseonik</w:t>
      </w:r>
      <w:r w:rsidRPr="000177FB">
        <w:rPr>
          <w:sz w:val="22"/>
          <w:szCs w:val="22"/>
          <w:lang w:val="sr-Latn-ME" w:eastAsia="sr-Latn-ME"/>
        </w:rPr>
        <w:t xml:space="preserve">, </w:t>
      </w:r>
    </w:p>
    <w:p w:rsidR="0058469B" w:rsidRPr="000177FB" w:rsidRDefault="0058469B" w:rsidP="00644DA8">
      <w:pPr>
        <w:autoSpaceDE w:val="0"/>
        <w:autoSpaceDN w:val="0"/>
        <w:adjustRightInd w:val="0"/>
        <w:ind w:left="142" w:hanging="142"/>
        <w:jc w:val="both"/>
        <w:rPr>
          <w:sz w:val="22"/>
          <w:szCs w:val="22"/>
          <w:lang w:val="sr-Latn-ME" w:eastAsia="sr-Latn-ME"/>
        </w:rPr>
      </w:pPr>
      <w:r w:rsidRPr="000177FB">
        <w:rPr>
          <w:sz w:val="22"/>
          <w:szCs w:val="22"/>
          <w:lang w:val="sr-Latn-ME" w:eastAsia="sr-Latn-ME"/>
        </w:rPr>
        <w:t xml:space="preserve">- ako je potrebno, primijeniti i ostale mjere hitnog zbrinjavanja (uključujući primjenu </w:t>
      </w:r>
      <w:proofErr w:type="spellStart"/>
      <w:r w:rsidRPr="000177FB">
        <w:rPr>
          <w:sz w:val="22"/>
          <w:szCs w:val="22"/>
          <w:lang w:val="sr-Latn-ME" w:eastAsia="sr-Latn-ME"/>
        </w:rPr>
        <w:t>epinefr</w:t>
      </w:r>
      <w:r w:rsidR="00C60F51" w:rsidRPr="000177FB">
        <w:rPr>
          <w:sz w:val="22"/>
          <w:szCs w:val="22"/>
          <w:lang w:val="sr-Latn-ME" w:eastAsia="sr-Latn-ME"/>
        </w:rPr>
        <w:t>ina</w:t>
      </w:r>
      <w:proofErr w:type="spellEnd"/>
      <w:r w:rsidR="00C60F51" w:rsidRPr="000177FB">
        <w:rPr>
          <w:sz w:val="22"/>
          <w:szCs w:val="22"/>
          <w:lang w:val="sr-Latn-ME" w:eastAsia="sr-Latn-ME"/>
        </w:rPr>
        <w:t xml:space="preserve">, nadoknadu volumena </w:t>
      </w:r>
      <w:proofErr w:type="spellStart"/>
      <w:r w:rsidR="00C60F51" w:rsidRPr="000177FB">
        <w:rPr>
          <w:sz w:val="22"/>
          <w:szCs w:val="22"/>
          <w:lang w:val="sr-Latn-ME" w:eastAsia="sr-Latn-ME"/>
        </w:rPr>
        <w:t>tekučnosti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, </w:t>
      </w:r>
      <w:proofErr w:type="spellStart"/>
      <w:r w:rsidRPr="000177FB">
        <w:rPr>
          <w:sz w:val="22"/>
          <w:szCs w:val="22"/>
          <w:lang w:val="sr-Latn-ME" w:eastAsia="sr-Latn-ME"/>
        </w:rPr>
        <w:t>glukokortikoidi</w:t>
      </w:r>
      <w:proofErr w:type="spellEnd"/>
      <w:r w:rsidRPr="000177FB">
        <w:rPr>
          <w:sz w:val="22"/>
          <w:szCs w:val="22"/>
          <w:lang w:val="sr-Latn-ME" w:eastAsia="sr-Latn-ME"/>
        </w:rPr>
        <w:t xml:space="preserve">). </w:t>
      </w:r>
    </w:p>
    <w:p w:rsidR="00D30EFF" w:rsidRPr="000177FB" w:rsidRDefault="00D30EFF" w:rsidP="001B4E43">
      <w:pPr>
        <w:shd w:val="clear" w:color="auto" w:fill="FFFFFF"/>
        <w:jc w:val="both"/>
        <w:rPr>
          <w:sz w:val="22"/>
          <w:szCs w:val="22"/>
          <w:lang w:val="sr-Latn-ME" w:eastAsia="bs-Latn-BA"/>
        </w:rPr>
      </w:pPr>
      <w:proofErr w:type="spellStart"/>
      <w:r w:rsidRPr="000177FB">
        <w:rPr>
          <w:sz w:val="22"/>
          <w:szCs w:val="22"/>
          <w:lang w:val="sr-Latn-ME" w:eastAsia="bs-Latn-BA"/>
        </w:rPr>
        <w:t>Hemodijaliza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ne ubrzava eliminaciju </w:t>
      </w:r>
      <w:proofErr w:type="spellStart"/>
      <w:r w:rsidRPr="000177FB">
        <w:rPr>
          <w:sz w:val="22"/>
          <w:szCs w:val="22"/>
          <w:lang w:val="sr-Latn-ME" w:eastAsia="bs-Latn-BA"/>
        </w:rPr>
        <w:t>furosemida</w:t>
      </w:r>
      <w:proofErr w:type="spellEnd"/>
      <w:r w:rsidRPr="000177FB">
        <w:rPr>
          <w:sz w:val="22"/>
          <w:szCs w:val="22"/>
          <w:lang w:val="sr-Latn-ME" w:eastAsia="bs-Latn-BA"/>
        </w:rPr>
        <w:t xml:space="preserve"> iz organizma.</w:t>
      </w:r>
    </w:p>
    <w:p w:rsidR="00FC288E" w:rsidRPr="000177FB" w:rsidRDefault="00FC288E" w:rsidP="001B4E43">
      <w:pPr>
        <w:shd w:val="clear" w:color="auto" w:fill="FFFFFF"/>
        <w:jc w:val="both"/>
        <w:rPr>
          <w:sz w:val="22"/>
          <w:szCs w:val="22"/>
          <w:lang w:val="sr-Latn-ME" w:eastAsia="bs-Latn-BA"/>
        </w:rPr>
      </w:pPr>
    </w:p>
    <w:p w:rsidR="00227BDB" w:rsidRPr="000177FB" w:rsidRDefault="00227BD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5.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FARMAKOLOŠK</w:t>
      </w:r>
      <w:r w:rsidR="000D425A" w:rsidRPr="000177FB">
        <w:rPr>
          <w:b/>
          <w:bCs/>
          <w:sz w:val="22"/>
          <w:szCs w:val="22"/>
          <w:lang w:val="sr-Latn-ME"/>
        </w:rPr>
        <w:t>I</w:t>
      </w:r>
      <w:r w:rsidRPr="000177FB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5.1.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proofErr w:type="spellStart"/>
      <w:r w:rsidRPr="000177FB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0177FB">
        <w:rPr>
          <w:b/>
          <w:bCs/>
          <w:sz w:val="22"/>
          <w:szCs w:val="22"/>
          <w:lang w:val="sr-Latn-ME"/>
        </w:rPr>
        <w:t xml:space="preserve"> podaci</w:t>
      </w:r>
      <w:r w:rsidR="003A7059" w:rsidRPr="000177FB">
        <w:rPr>
          <w:b/>
          <w:bCs/>
          <w:sz w:val="22"/>
          <w:szCs w:val="22"/>
          <w:lang w:val="sr-Latn-ME"/>
        </w:rPr>
        <w:t xml:space="preserve"> </w:t>
      </w:r>
    </w:p>
    <w:p w:rsidR="00F45F77" w:rsidRPr="000177FB" w:rsidRDefault="00F45F77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D30EFF" w:rsidRPr="000177FB" w:rsidRDefault="0072020E" w:rsidP="001B4E43">
      <w:pPr>
        <w:pStyle w:val="ListNumber"/>
        <w:numPr>
          <w:ilvl w:val="0"/>
          <w:numId w:val="0"/>
        </w:numPr>
        <w:jc w:val="both"/>
        <w:rPr>
          <w:rFonts w:ascii="Times New Roman" w:hAnsi="Times New Roman"/>
          <w:sz w:val="22"/>
          <w:szCs w:val="22"/>
          <w:lang w:val="sr-Latn-ME"/>
        </w:rPr>
      </w:pPr>
      <w:proofErr w:type="spellStart"/>
      <w:r w:rsidRPr="000177FB">
        <w:rPr>
          <w:rFonts w:ascii="Times New Roman" w:hAnsi="Times New Roman"/>
          <w:bCs/>
          <w:sz w:val="22"/>
          <w:szCs w:val="22"/>
          <w:lang w:val="sr-Latn-ME"/>
        </w:rPr>
        <w:t>Farmakoterapijska</w:t>
      </w:r>
      <w:proofErr w:type="spellEnd"/>
      <w:r w:rsidRPr="000177FB">
        <w:rPr>
          <w:rFonts w:ascii="Times New Roman" w:hAnsi="Times New Roman"/>
          <w:bCs/>
          <w:sz w:val="22"/>
          <w:szCs w:val="22"/>
          <w:lang w:val="sr-Latn-ME"/>
        </w:rPr>
        <w:t xml:space="preserve"> grupa:</w:t>
      </w:r>
      <w:r w:rsidR="00580283" w:rsidRPr="000177FB">
        <w:rPr>
          <w:rFonts w:ascii="Times New Roman" w:hAnsi="Times New Roman"/>
          <w:sz w:val="22"/>
          <w:szCs w:val="22"/>
          <w:lang w:val="sr-Latn-ME"/>
        </w:rPr>
        <w:t xml:space="preserve"> </w:t>
      </w:r>
      <w:proofErr w:type="spellStart"/>
      <w:r w:rsidR="00D30EFF" w:rsidRPr="000177FB">
        <w:rPr>
          <w:rFonts w:ascii="Times New Roman" w:hAnsi="Times New Roman"/>
          <w:sz w:val="22"/>
          <w:szCs w:val="22"/>
          <w:lang w:val="sr-Latn-ME"/>
        </w:rPr>
        <w:t>Diuretici</w:t>
      </w:r>
      <w:proofErr w:type="spellEnd"/>
      <w:r w:rsidR="00245BDC" w:rsidRPr="000177FB">
        <w:rPr>
          <w:rFonts w:ascii="Times New Roman" w:hAnsi="Times New Roman"/>
          <w:sz w:val="22"/>
          <w:szCs w:val="22"/>
          <w:lang w:val="sr-Latn-ME"/>
        </w:rPr>
        <w:t xml:space="preserve">, </w:t>
      </w:r>
      <w:proofErr w:type="spellStart"/>
      <w:r w:rsidR="00245BDC" w:rsidRPr="000177FB">
        <w:rPr>
          <w:rFonts w:ascii="Times New Roman" w:hAnsi="Times New Roman"/>
          <w:sz w:val="22"/>
          <w:szCs w:val="22"/>
          <w:lang w:val="sr-Latn-ME"/>
        </w:rPr>
        <w:t>diuretici</w:t>
      </w:r>
      <w:proofErr w:type="spellEnd"/>
      <w:r w:rsidR="00245BDC" w:rsidRPr="000177FB">
        <w:rPr>
          <w:rFonts w:ascii="Times New Roman" w:hAnsi="Times New Roman"/>
          <w:sz w:val="22"/>
          <w:szCs w:val="22"/>
          <w:lang w:val="sr-Latn-ME"/>
        </w:rPr>
        <w:t xml:space="preserve"> visokog praga</w:t>
      </w: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>ATC kod:</w:t>
      </w:r>
      <w:r w:rsidR="00580283" w:rsidRPr="000177FB">
        <w:rPr>
          <w:iCs/>
          <w:sz w:val="22"/>
          <w:szCs w:val="22"/>
          <w:lang w:val="sr-Latn-ME"/>
        </w:rPr>
        <w:t xml:space="preserve"> </w:t>
      </w:r>
      <w:r w:rsidR="00D30EFF" w:rsidRPr="000177FB">
        <w:rPr>
          <w:iCs/>
          <w:sz w:val="22"/>
          <w:szCs w:val="22"/>
          <w:lang w:val="sr-Latn-ME"/>
        </w:rPr>
        <w:t>C03CA01.</w:t>
      </w:r>
    </w:p>
    <w:p w:rsidR="00580283" w:rsidRPr="000177FB" w:rsidRDefault="00580283" w:rsidP="001B4E43">
      <w:pPr>
        <w:jc w:val="both"/>
        <w:rPr>
          <w:sz w:val="22"/>
          <w:szCs w:val="22"/>
          <w:u w:val="single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0177FB">
        <w:rPr>
          <w:sz w:val="22"/>
          <w:szCs w:val="22"/>
          <w:lang w:val="sr-Latn-ME"/>
        </w:rPr>
        <w:t>Furosemid</w:t>
      </w:r>
      <w:proofErr w:type="spellEnd"/>
      <w:r w:rsidRPr="000177FB">
        <w:rPr>
          <w:sz w:val="22"/>
          <w:szCs w:val="22"/>
          <w:lang w:val="sr-Latn-ME"/>
        </w:rPr>
        <w:t xml:space="preserve"> je potentni </w:t>
      </w:r>
      <w:proofErr w:type="spellStart"/>
      <w:r w:rsidRPr="000177FB">
        <w:rPr>
          <w:sz w:val="22"/>
          <w:szCs w:val="22"/>
          <w:lang w:val="sr-Latn-ME"/>
        </w:rPr>
        <w:t>diuretik</w:t>
      </w:r>
      <w:proofErr w:type="spellEnd"/>
      <w:r w:rsidRPr="000177FB">
        <w:rPr>
          <w:sz w:val="22"/>
          <w:szCs w:val="22"/>
          <w:lang w:val="sr-Latn-ME"/>
        </w:rPr>
        <w:t xml:space="preserve"> </w:t>
      </w:r>
      <w:proofErr w:type="spellStart"/>
      <w:r w:rsidRPr="000177FB">
        <w:rPr>
          <w:sz w:val="22"/>
          <w:szCs w:val="22"/>
          <w:lang w:val="sr-Latn-ME"/>
        </w:rPr>
        <w:t>Henleove</w:t>
      </w:r>
      <w:proofErr w:type="spellEnd"/>
      <w:r w:rsidRPr="000177FB">
        <w:rPr>
          <w:sz w:val="22"/>
          <w:szCs w:val="22"/>
          <w:lang w:val="sr-Latn-ME"/>
        </w:rPr>
        <w:t xml:space="preserve"> petlje brzog i kratkog djelovanja. Blokadom </w:t>
      </w:r>
      <w:r w:rsidR="00245BDC" w:rsidRPr="000177FB">
        <w:rPr>
          <w:sz w:val="22"/>
          <w:szCs w:val="22"/>
          <w:lang w:val="sr-Latn-ME"/>
        </w:rPr>
        <w:t>j</w:t>
      </w:r>
      <w:r w:rsidRPr="000177FB">
        <w:rPr>
          <w:sz w:val="22"/>
          <w:szCs w:val="22"/>
          <w:lang w:val="sr-Latn-ME"/>
        </w:rPr>
        <w:t>onskih nosača Na</w:t>
      </w:r>
      <w:r w:rsidRPr="000177FB">
        <w:rPr>
          <w:sz w:val="22"/>
          <w:szCs w:val="22"/>
          <w:vertAlign w:val="superscript"/>
          <w:lang w:val="sr-Latn-ME"/>
        </w:rPr>
        <w:t>+</w:t>
      </w:r>
      <w:r w:rsidRPr="000177FB">
        <w:rPr>
          <w:sz w:val="22"/>
          <w:szCs w:val="22"/>
          <w:lang w:val="sr-Latn-ME"/>
        </w:rPr>
        <w:t>/2Cl</w:t>
      </w:r>
      <w:r w:rsidRPr="000177FB">
        <w:rPr>
          <w:sz w:val="22"/>
          <w:szCs w:val="22"/>
          <w:vertAlign w:val="superscript"/>
          <w:lang w:val="sr-Latn-ME"/>
        </w:rPr>
        <w:t>-</w:t>
      </w:r>
      <w:r w:rsidRPr="000177FB">
        <w:rPr>
          <w:sz w:val="22"/>
          <w:szCs w:val="22"/>
          <w:lang w:val="sr-Latn-ME"/>
        </w:rPr>
        <w:t>/K</w:t>
      </w:r>
      <w:r w:rsidRPr="000177FB">
        <w:rPr>
          <w:sz w:val="22"/>
          <w:szCs w:val="22"/>
          <w:vertAlign w:val="superscript"/>
          <w:lang w:val="sr-Latn-ME"/>
        </w:rPr>
        <w:t>+</w:t>
      </w:r>
      <w:r w:rsidRPr="000177FB">
        <w:rPr>
          <w:sz w:val="22"/>
          <w:szCs w:val="22"/>
          <w:lang w:val="sr-Latn-ME"/>
        </w:rPr>
        <w:t xml:space="preserve">, </w:t>
      </w:r>
      <w:proofErr w:type="spellStart"/>
      <w:r w:rsidRPr="000177FB">
        <w:rPr>
          <w:sz w:val="22"/>
          <w:szCs w:val="22"/>
          <w:lang w:val="sr-Latn-ME"/>
        </w:rPr>
        <w:t>furosemid</w:t>
      </w:r>
      <w:proofErr w:type="spellEnd"/>
      <w:r w:rsidRPr="000177FB">
        <w:rPr>
          <w:sz w:val="22"/>
          <w:szCs w:val="22"/>
          <w:lang w:val="sr-Latn-ME"/>
        </w:rPr>
        <w:t xml:space="preserve"> </w:t>
      </w:r>
      <w:r w:rsidR="001354CF" w:rsidRPr="000177FB">
        <w:rPr>
          <w:sz w:val="22"/>
          <w:szCs w:val="22"/>
          <w:lang w:val="sr-Latn-ME"/>
        </w:rPr>
        <w:t xml:space="preserve">inhibira </w:t>
      </w:r>
      <w:r w:rsidRPr="000177FB">
        <w:rPr>
          <w:sz w:val="22"/>
          <w:szCs w:val="22"/>
          <w:lang w:val="sr-Latn-ME"/>
        </w:rPr>
        <w:t xml:space="preserve">ponovnu </w:t>
      </w:r>
      <w:r w:rsidR="00C60F51" w:rsidRPr="000177FB">
        <w:rPr>
          <w:sz w:val="22"/>
          <w:szCs w:val="22"/>
          <w:lang w:val="sr-Latn-ME"/>
        </w:rPr>
        <w:t>res</w:t>
      </w:r>
      <w:r w:rsidRPr="000177FB">
        <w:rPr>
          <w:sz w:val="22"/>
          <w:szCs w:val="22"/>
          <w:lang w:val="sr-Latn-ME"/>
        </w:rPr>
        <w:t xml:space="preserve">orpciju tih </w:t>
      </w:r>
      <w:r w:rsidR="00245BDC" w:rsidRPr="000177FB">
        <w:rPr>
          <w:sz w:val="22"/>
          <w:szCs w:val="22"/>
          <w:lang w:val="sr-Latn-ME"/>
        </w:rPr>
        <w:t>j</w:t>
      </w:r>
      <w:r w:rsidRPr="000177FB">
        <w:rPr>
          <w:sz w:val="22"/>
          <w:szCs w:val="22"/>
          <w:lang w:val="sr-Latn-ME"/>
        </w:rPr>
        <w:t xml:space="preserve">ona u silaznom kraku </w:t>
      </w:r>
      <w:proofErr w:type="spellStart"/>
      <w:r w:rsidRPr="000177FB">
        <w:rPr>
          <w:sz w:val="22"/>
          <w:szCs w:val="22"/>
          <w:lang w:val="sr-Latn-ME"/>
        </w:rPr>
        <w:t>Henleove</w:t>
      </w:r>
      <w:proofErr w:type="spellEnd"/>
      <w:r w:rsidRPr="000177FB">
        <w:rPr>
          <w:sz w:val="22"/>
          <w:szCs w:val="22"/>
          <w:lang w:val="sr-Latn-ME"/>
        </w:rPr>
        <w:t xml:space="preserve"> petlje. Frakcijsko izlučivanje natrij</w:t>
      </w:r>
      <w:r w:rsidR="00C60F51" w:rsidRPr="000177FB">
        <w:rPr>
          <w:sz w:val="22"/>
          <w:szCs w:val="22"/>
          <w:lang w:val="sr-Latn-ME"/>
        </w:rPr>
        <w:t>um</w:t>
      </w:r>
      <w:r w:rsidRPr="000177FB">
        <w:rPr>
          <w:sz w:val="22"/>
          <w:szCs w:val="22"/>
          <w:lang w:val="sr-Latn-ME"/>
        </w:rPr>
        <w:t>a može činiti 35% natrij</w:t>
      </w:r>
      <w:r w:rsidR="00C60F51" w:rsidRPr="000177FB">
        <w:rPr>
          <w:sz w:val="22"/>
          <w:szCs w:val="22"/>
          <w:lang w:val="sr-Latn-ME"/>
        </w:rPr>
        <w:t>um</w:t>
      </w:r>
      <w:r w:rsidRPr="000177FB">
        <w:rPr>
          <w:sz w:val="22"/>
          <w:szCs w:val="22"/>
          <w:lang w:val="sr-Latn-ME"/>
        </w:rPr>
        <w:t xml:space="preserve">a koji je prošao </w:t>
      </w:r>
      <w:proofErr w:type="spellStart"/>
      <w:r w:rsidRPr="000177FB">
        <w:rPr>
          <w:sz w:val="22"/>
          <w:szCs w:val="22"/>
          <w:lang w:val="sr-Latn-ME"/>
        </w:rPr>
        <w:t>glomerularnu</w:t>
      </w:r>
      <w:proofErr w:type="spellEnd"/>
      <w:r w:rsidRPr="000177FB">
        <w:rPr>
          <w:sz w:val="22"/>
          <w:szCs w:val="22"/>
          <w:lang w:val="sr-Latn-ME"/>
        </w:rPr>
        <w:t xml:space="preserve"> filtraciju. Pojačano izlučivanje natrij</w:t>
      </w:r>
      <w:r w:rsidR="00C60F51" w:rsidRPr="000177FB">
        <w:rPr>
          <w:sz w:val="22"/>
          <w:szCs w:val="22"/>
          <w:lang w:val="sr-Latn-ME"/>
        </w:rPr>
        <w:t>um</w:t>
      </w:r>
      <w:r w:rsidRPr="000177FB">
        <w:rPr>
          <w:sz w:val="22"/>
          <w:szCs w:val="22"/>
          <w:lang w:val="sr-Latn-ME"/>
        </w:rPr>
        <w:t>a dovodi do povećanog izlučivanja mokraće i povećanog lučenja K</w:t>
      </w:r>
      <w:r w:rsidRPr="000177FB">
        <w:rPr>
          <w:sz w:val="22"/>
          <w:szCs w:val="22"/>
          <w:vertAlign w:val="superscript"/>
          <w:lang w:val="sr-Latn-ME"/>
        </w:rPr>
        <w:t>+</w:t>
      </w:r>
      <w:r w:rsidR="00C60F51" w:rsidRPr="000177FB">
        <w:rPr>
          <w:sz w:val="22"/>
          <w:szCs w:val="22"/>
          <w:lang w:val="sr-Latn-ME"/>
        </w:rPr>
        <w:t xml:space="preserve"> u </w:t>
      </w:r>
      <w:proofErr w:type="spellStart"/>
      <w:r w:rsidR="00C60F51" w:rsidRPr="000177FB">
        <w:rPr>
          <w:sz w:val="22"/>
          <w:szCs w:val="22"/>
          <w:lang w:val="sr-Latn-ME"/>
        </w:rPr>
        <w:t>distalnim</w:t>
      </w:r>
      <w:proofErr w:type="spellEnd"/>
      <w:r w:rsidR="00C60F51" w:rsidRPr="000177FB">
        <w:rPr>
          <w:sz w:val="22"/>
          <w:szCs w:val="22"/>
          <w:lang w:val="sr-Latn-ME"/>
        </w:rPr>
        <w:t xml:space="preserve"> kanalićima uz pomoć </w:t>
      </w:r>
      <w:r w:rsidRPr="000177FB">
        <w:rPr>
          <w:sz w:val="22"/>
          <w:szCs w:val="22"/>
          <w:lang w:val="sr-Latn-ME"/>
        </w:rPr>
        <w:t xml:space="preserve">osmotski vezane vode. Izlučivanje </w:t>
      </w:r>
      <w:r w:rsidR="00245BDC" w:rsidRPr="000177FB">
        <w:rPr>
          <w:sz w:val="22"/>
          <w:szCs w:val="22"/>
          <w:lang w:val="sr-Latn-ME"/>
        </w:rPr>
        <w:t>j</w:t>
      </w:r>
      <w:r w:rsidRPr="000177FB">
        <w:rPr>
          <w:sz w:val="22"/>
          <w:szCs w:val="22"/>
          <w:lang w:val="sr-Latn-ME"/>
        </w:rPr>
        <w:t>ona Ca</w:t>
      </w:r>
      <w:r w:rsidRPr="000177FB">
        <w:rPr>
          <w:sz w:val="22"/>
          <w:szCs w:val="22"/>
          <w:vertAlign w:val="superscript"/>
          <w:lang w:val="sr-Latn-ME"/>
        </w:rPr>
        <w:t>2+</w:t>
      </w:r>
      <w:r w:rsidRPr="000177FB">
        <w:rPr>
          <w:sz w:val="22"/>
          <w:szCs w:val="22"/>
          <w:lang w:val="sr-Latn-ME"/>
        </w:rPr>
        <w:t xml:space="preserve"> i Mg</w:t>
      </w:r>
      <w:r w:rsidRPr="000177FB">
        <w:rPr>
          <w:sz w:val="22"/>
          <w:szCs w:val="22"/>
          <w:vertAlign w:val="superscript"/>
          <w:lang w:val="sr-Latn-ME"/>
        </w:rPr>
        <w:t>2+</w:t>
      </w:r>
      <w:r w:rsidR="00C60F51" w:rsidRPr="000177FB">
        <w:rPr>
          <w:sz w:val="22"/>
          <w:szCs w:val="22"/>
          <w:lang w:val="sr-Latn-ME"/>
        </w:rPr>
        <w:t xml:space="preserve"> takođe </w:t>
      </w:r>
      <w:r w:rsidRPr="000177FB">
        <w:rPr>
          <w:sz w:val="22"/>
          <w:szCs w:val="22"/>
          <w:lang w:val="sr-Latn-ME"/>
        </w:rPr>
        <w:t xml:space="preserve">se povećava. Osim toga, može doći do velikog gubitka tih elektrolita, smanjenog izlučivanja </w:t>
      </w:r>
      <w:r w:rsidR="009B500A" w:rsidRPr="000177FB">
        <w:rPr>
          <w:sz w:val="22"/>
          <w:szCs w:val="22"/>
          <w:lang w:val="sr-Latn-ME"/>
        </w:rPr>
        <w:t xml:space="preserve">mokraćne </w:t>
      </w:r>
      <w:r w:rsidRPr="000177FB">
        <w:rPr>
          <w:sz w:val="22"/>
          <w:szCs w:val="22"/>
          <w:lang w:val="sr-Latn-ME"/>
        </w:rPr>
        <w:t xml:space="preserve">kiseline i narušavanja </w:t>
      </w:r>
      <w:proofErr w:type="spellStart"/>
      <w:r w:rsidRPr="000177FB">
        <w:rPr>
          <w:sz w:val="22"/>
          <w:szCs w:val="22"/>
          <w:lang w:val="sr-Latn-ME"/>
        </w:rPr>
        <w:t>acidobazne</w:t>
      </w:r>
      <w:proofErr w:type="spellEnd"/>
      <w:r w:rsidRPr="000177FB">
        <w:rPr>
          <w:sz w:val="22"/>
          <w:szCs w:val="22"/>
          <w:lang w:val="sr-Latn-ME"/>
        </w:rPr>
        <w:t xml:space="preserve"> ravnoteže, a sve to može dovesti do </w:t>
      </w:r>
      <w:proofErr w:type="spellStart"/>
      <w:r w:rsidRPr="000177FB">
        <w:rPr>
          <w:sz w:val="22"/>
          <w:szCs w:val="22"/>
          <w:lang w:val="sr-Latn-ME"/>
        </w:rPr>
        <w:t>metaboličke</w:t>
      </w:r>
      <w:proofErr w:type="spellEnd"/>
      <w:r w:rsidRPr="000177FB">
        <w:rPr>
          <w:sz w:val="22"/>
          <w:szCs w:val="22"/>
          <w:lang w:val="sr-Latn-ME"/>
        </w:rPr>
        <w:t xml:space="preserve"> </w:t>
      </w:r>
      <w:proofErr w:type="spellStart"/>
      <w:r w:rsidRPr="000177FB">
        <w:rPr>
          <w:sz w:val="22"/>
          <w:szCs w:val="22"/>
          <w:lang w:val="sr-Latn-ME"/>
        </w:rPr>
        <w:t>alkaloze</w:t>
      </w:r>
      <w:proofErr w:type="spellEnd"/>
      <w:r w:rsidRPr="000177FB">
        <w:rPr>
          <w:sz w:val="22"/>
          <w:szCs w:val="22"/>
          <w:lang w:val="sr-Latn-ME"/>
        </w:rPr>
        <w:t xml:space="preserve">. </w:t>
      </w:r>
    </w:p>
    <w:p w:rsidR="00245BDC" w:rsidRPr="000177FB" w:rsidRDefault="00245BDC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0177FB">
        <w:rPr>
          <w:sz w:val="22"/>
          <w:szCs w:val="22"/>
          <w:lang w:val="sr-Latn-ME"/>
        </w:rPr>
        <w:t>Furosemid</w:t>
      </w:r>
      <w:proofErr w:type="spellEnd"/>
      <w:r w:rsidRPr="000177FB">
        <w:rPr>
          <w:sz w:val="22"/>
          <w:szCs w:val="22"/>
          <w:lang w:val="sr-Latn-ME"/>
        </w:rPr>
        <w:t xml:space="preserve"> prekida </w:t>
      </w:r>
      <w:proofErr w:type="spellStart"/>
      <w:r w:rsidRPr="000177FB">
        <w:rPr>
          <w:sz w:val="22"/>
          <w:szCs w:val="22"/>
          <w:lang w:val="sr-Latn-ME"/>
        </w:rPr>
        <w:t>tubuloglomerularni</w:t>
      </w:r>
      <w:proofErr w:type="spellEnd"/>
      <w:r w:rsidRPr="000177FB">
        <w:rPr>
          <w:sz w:val="22"/>
          <w:szCs w:val="22"/>
          <w:lang w:val="sr-Latn-ME"/>
        </w:rPr>
        <w:t xml:space="preserve"> mehanizam povratne sprege u </w:t>
      </w:r>
      <w:proofErr w:type="spellStart"/>
      <w:r w:rsidRPr="000177FB">
        <w:rPr>
          <w:i/>
          <w:iCs/>
          <w:sz w:val="22"/>
          <w:szCs w:val="22"/>
          <w:lang w:val="sr-Latn-ME"/>
        </w:rPr>
        <w:t>macula</w:t>
      </w:r>
      <w:proofErr w:type="spellEnd"/>
      <w:r w:rsidRPr="000177FB">
        <w:rPr>
          <w:i/>
          <w:iCs/>
          <w:sz w:val="22"/>
          <w:szCs w:val="22"/>
          <w:lang w:val="sr-Latn-ME"/>
        </w:rPr>
        <w:t xml:space="preserve"> densa </w:t>
      </w:r>
      <w:r w:rsidRPr="000177FB">
        <w:rPr>
          <w:sz w:val="22"/>
          <w:szCs w:val="22"/>
          <w:lang w:val="sr-Latn-ME"/>
        </w:rPr>
        <w:t xml:space="preserve">tako da se ne smanjuje </w:t>
      </w:r>
      <w:proofErr w:type="spellStart"/>
      <w:r w:rsidRPr="000177FB">
        <w:rPr>
          <w:sz w:val="22"/>
          <w:szCs w:val="22"/>
          <w:lang w:val="sr-Latn-ME"/>
        </w:rPr>
        <w:t>saluretsko</w:t>
      </w:r>
      <w:proofErr w:type="spellEnd"/>
      <w:r w:rsidRPr="000177FB">
        <w:rPr>
          <w:sz w:val="22"/>
          <w:szCs w:val="22"/>
          <w:lang w:val="sr-Latn-ME"/>
        </w:rPr>
        <w:t xml:space="preserve"> djelovanje. </w:t>
      </w:r>
    </w:p>
    <w:p w:rsidR="00C60F51" w:rsidRPr="000177FB" w:rsidRDefault="00C60F51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0177FB">
        <w:rPr>
          <w:sz w:val="22"/>
          <w:szCs w:val="22"/>
          <w:lang w:val="sr-Latn-ME"/>
        </w:rPr>
        <w:t>Furosemid</w:t>
      </w:r>
      <w:proofErr w:type="spellEnd"/>
      <w:r w:rsidRPr="000177FB">
        <w:rPr>
          <w:sz w:val="22"/>
          <w:szCs w:val="22"/>
          <w:lang w:val="sr-Latn-ME"/>
        </w:rPr>
        <w:t xml:space="preserve"> uzrokuje o dozi </w:t>
      </w:r>
      <w:r w:rsidR="00C60F51" w:rsidRPr="000177FB">
        <w:rPr>
          <w:sz w:val="22"/>
          <w:szCs w:val="22"/>
          <w:lang w:val="sr-Latn-ME"/>
        </w:rPr>
        <w:t>zavisnu stimulaciju</w:t>
      </w:r>
      <w:r w:rsidRPr="000177FB">
        <w:rPr>
          <w:sz w:val="22"/>
          <w:szCs w:val="22"/>
          <w:lang w:val="sr-Latn-ME"/>
        </w:rPr>
        <w:t xml:space="preserve"> </w:t>
      </w:r>
      <w:proofErr w:type="spellStart"/>
      <w:r w:rsidRPr="000177FB">
        <w:rPr>
          <w:sz w:val="22"/>
          <w:szCs w:val="22"/>
          <w:lang w:val="sr-Latn-ME"/>
        </w:rPr>
        <w:t>renin-angiotenzin-aldosteron</w:t>
      </w:r>
      <w:proofErr w:type="spellEnd"/>
      <w:r w:rsidR="00C60F51" w:rsidRPr="000177FB">
        <w:rPr>
          <w:sz w:val="22"/>
          <w:szCs w:val="22"/>
          <w:lang w:val="sr-Latn-ME"/>
        </w:rPr>
        <w:t xml:space="preserve"> sistema</w:t>
      </w:r>
      <w:r w:rsidRPr="000177FB">
        <w:rPr>
          <w:sz w:val="22"/>
          <w:szCs w:val="22"/>
          <w:lang w:val="sr-Latn-ME"/>
        </w:rPr>
        <w:t xml:space="preserve">. </w:t>
      </w:r>
    </w:p>
    <w:p w:rsidR="00C60F51" w:rsidRPr="000177FB" w:rsidRDefault="00C60F51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Kod srčan</w:t>
      </w:r>
      <w:r w:rsidR="00245BDC" w:rsidRPr="000177FB">
        <w:rPr>
          <w:sz w:val="22"/>
          <w:szCs w:val="22"/>
          <w:lang w:val="sr-Latn-ME"/>
        </w:rPr>
        <w:t xml:space="preserve">e </w:t>
      </w:r>
      <w:proofErr w:type="spellStart"/>
      <w:r w:rsidR="00245BDC" w:rsidRPr="000177FB">
        <w:rPr>
          <w:sz w:val="22"/>
          <w:szCs w:val="22"/>
          <w:lang w:val="sr-Latn-ME"/>
        </w:rPr>
        <w:t>insuficijencije</w:t>
      </w:r>
      <w:proofErr w:type="spellEnd"/>
      <w:r w:rsidR="00245BDC" w:rsidRPr="000177FB">
        <w:rPr>
          <w:sz w:val="22"/>
          <w:szCs w:val="22"/>
          <w:lang w:val="sr-Latn-ME"/>
        </w:rPr>
        <w:t xml:space="preserve"> </w:t>
      </w:r>
      <w:proofErr w:type="spellStart"/>
      <w:r w:rsidRPr="000177FB">
        <w:rPr>
          <w:sz w:val="22"/>
          <w:szCs w:val="22"/>
          <w:lang w:val="sr-Latn-ME"/>
        </w:rPr>
        <w:t>furosemid</w:t>
      </w:r>
      <w:proofErr w:type="spellEnd"/>
      <w:r w:rsidRPr="000177FB">
        <w:rPr>
          <w:sz w:val="22"/>
          <w:szCs w:val="22"/>
          <w:lang w:val="sr-Latn-ME"/>
        </w:rPr>
        <w:t xml:space="preserve"> uzrokuje akutno smanjenje </w:t>
      </w:r>
      <w:proofErr w:type="spellStart"/>
      <w:r w:rsidRPr="000177FB">
        <w:rPr>
          <w:sz w:val="22"/>
          <w:szCs w:val="22"/>
          <w:lang w:val="sr-Latn-ME"/>
        </w:rPr>
        <w:t>predopterećenja</w:t>
      </w:r>
      <w:proofErr w:type="spellEnd"/>
      <w:r w:rsidRPr="000177FB">
        <w:rPr>
          <w:sz w:val="22"/>
          <w:szCs w:val="22"/>
          <w:lang w:val="sr-Latn-ME"/>
        </w:rPr>
        <w:t xml:space="preserve"> srčanih </w:t>
      </w:r>
      <w:proofErr w:type="spellStart"/>
      <w:r w:rsidRPr="000177FB">
        <w:rPr>
          <w:sz w:val="22"/>
          <w:szCs w:val="22"/>
          <w:lang w:val="sr-Latn-ME"/>
        </w:rPr>
        <w:t>ventrikla</w:t>
      </w:r>
      <w:proofErr w:type="spellEnd"/>
      <w:r w:rsidRPr="000177FB">
        <w:rPr>
          <w:sz w:val="22"/>
          <w:szCs w:val="22"/>
          <w:lang w:val="sr-Latn-ME"/>
        </w:rPr>
        <w:t xml:space="preserve"> širenjem venskog kapaciteta. Čini se da taj rani vaskularni </w:t>
      </w:r>
      <w:r w:rsidR="00C60F51" w:rsidRPr="000177FB">
        <w:rPr>
          <w:sz w:val="22"/>
          <w:szCs w:val="22"/>
          <w:lang w:val="sr-Latn-ME"/>
        </w:rPr>
        <w:t>efekat</w:t>
      </w:r>
      <w:r w:rsidRPr="000177FB">
        <w:rPr>
          <w:sz w:val="22"/>
          <w:szCs w:val="22"/>
          <w:lang w:val="sr-Latn-ME"/>
        </w:rPr>
        <w:t xml:space="preserve"> posreduju </w:t>
      </w:r>
      <w:proofErr w:type="spellStart"/>
      <w:r w:rsidRPr="000177FB">
        <w:rPr>
          <w:sz w:val="22"/>
          <w:szCs w:val="22"/>
          <w:lang w:val="sr-Latn-ME"/>
        </w:rPr>
        <w:t>prostaglandini</w:t>
      </w:r>
      <w:proofErr w:type="spellEnd"/>
      <w:r w:rsidRPr="000177FB">
        <w:rPr>
          <w:sz w:val="22"/>
          <w:szCs w:val="22"/>
          <w:lang w:val="sr-Latn-ME"/>
        </w:rPr>
        <w:t xml:space="preserve"> i za to je potreb</w:t>
      </w:r>
      <w:r w:rsidR="00C60F51" w:rsidRPr="000177FB">
        <w:rPr>
          <w:sz w:val="22"/>
          <w:szCs w:val="22"/>
          <w:lang w:val="sr-Latn-ME"/>
        </w:rPr>
        <w:t xml:space="preserve">na primjerena funkcija bubrega sa aktiviranjem </w:t>
      </w:r>
      <w:proofErr w:type="spellStart"/>
      <w:r w:rsidRPr="000177FB">
        <w:rPr>
          <w:sz w:val="22"/>
          <w:szCs w:val="22"/>
          <w:lang w:val="sr-Latn-ME"/>
        </w:rPr>
        <w:t>renin-angiotenzin-aldosteron</w:t>
      </w:r>
      <w:proofErr w:type="spellEnd"/>
      <w:r w:rsidR="00C60F51" w:rsidRPr="000177FB">
        <w:rPr>
          <w:sz w:val="22"/>
          <w:szCs w:val="22"/>
          <w:lang w:val="sr-Latn-ME"/>
        </w:rPr>
        <w:t xml:space="preserve"> sistema</w:t>
      </w:r>
      <w:r w:rsidRPr="000177FB">
        <w:rPr>
          <w:sz w:val="22"/>
          <w:szCs w:val="22"/>
          <w:lang w:val="sr-Latn-ME"/>
        </w:rPr>
        <w:t xml:space="preserve"> i potpuna sinteza </w:t>
      </w:r>
      <w:proofErr w:type="spellStart"/>
      <w:r w:rsidRPr="000177FB">
        <w:rPr>
          <w:sz w:val="22"/>
          <w:szCs w:val="22"/>
          <w:lang w:val="sr-Latn-ME"/>
        </w:rPr>
        <w:t>prostaglandina</w:t>
      </w:r>
      <w:proofErr w:type="spellEnd"/>
      <w:r w:rsidRPr="000177FB">
        <w:rPr>
          <w:sz w:val="22"/>
          <w:szCs w:val="22"/>
          <w:lang w:val="sr-Latn-ME"/>
        </w:rPr>
        <w:t xml:space="preserve">. </w:t>
      </w:r>
    </w:p>
    <w:p w:rsidR="00564EAA" w:rsidRPr="000177FB" w:rsidRDefault="00564EAA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2E37A5" w:rsidRPr="000177FB" w:rsidRDefault="00564EAA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proofErr w:type="spellStart"/>
      <w:r w:rsidRPr="000177FB">
        <w:rPr>
          <w:sz w:val="22"/>
          <w:szCs w:val="22"/>
          <w:lang w:val="sr-Latn-ME"/>
        </w:rPr>
        <w:lastRenderedPageBreak/>
        <w:t>Furosemid</w:t>
      </w:r>
      <w:proofErr w:type="spellEnd"/>
      <w:r w:rsidRPr="000177FB">
        <w:rPr>
          <w:sz w:val="22"/>
          <w:szCs w:val="22"/>
          <w:lang w:val="sr-Latn-ME"/>
        </w:rPr>
        <w:t xml:space="preserve"> snižava krvni pritisak povećanjem izlučivanja natrijum</w:t>
      </w:r>
      <w:r w:rsidR="00245BDC" w:rsidRPr="000177FB">
        <w:rPr>
          <w:sz w:val="22"/>
          <w:szCs w:val="22"/>
          <w:lang w:val="sr-Latn-ME"/>
        </w:rPr>
        <w:t xml:space="preserve"> </w:t>
      </w:r>
      <w:r w:rsidRPr="000177FB">
        <w:rPr>
          <w:sz w:val="22"/>
          <w:szCs w:val="22"/>
          <w:lang w:val="sr-Latn-ME"/>
        </w:rPr>
        <w:t>h</w:t>
      </w:r>
      <w:r w:rsidR="0058469B" w:rsidRPr="000177FB">
        <w:rPr>
          <w:sz w:val="22"/>
          <w:szCs w:val="22"/>
          <w:lang w:val="sr-Latn-ME"/>
        </w:rPr>
        <w:t>lorida i smanjenjem odgovora g</w:t>
      </w:r>
      <w:r w:rsidRPr="000177FB">
        <w:rPr>
          <w:sz w:val="22"/>
          <w:szCs w:val="22"/>
          <w:lang w:val="sr-Latn-ME"/>
        </w:rPr>
        <w:t>latkih mišića u zidovima</w:t>
      </w:r>
      <w:r w:rsidR="0058469B" w:rsidRPr="000177FB">
        <w:rPr>
          <w:sz w:val="22"/>
          <w:szCs w:val="22"/>
          <w:lang w:val="sr-Latn-ME"/>
        </w:rPr>
        <w:t xml:space="preserve"> krvnih </w:t>
      </w:r>
      <w:r w:rsidRPr="000177FB">
        <w:rPr>
          <w:sz w:val="22"/>
          <w:szCs w:val="22"/>
          <w:lang w:val="sr-Latn-ME"/>
        </w:rPr>
        <w:t>sudova</w:t>
      </w:r>
      <w:r w:rsidR="0058469B" w:rsidRPr="000177FB">
        <w:rPr>
          <w:sz w:val="22"/>
          <w:szCs w:val="22"/>
          <w:lang w:val="sr-Latn-ME"/>
        </w:rPr>
        <w:t xml:space="preserve"> na </w:t>
      </w:r>
      <w:proofErr w:type="spellStart"/>
      <w:r w:rsidR="0058469B" w:rsidRPr="000177FB">
        <w:rPr>
          <w:sz w:val="22"/>
          <w:szCs w:val="22"/>
          <w:lang w:val="sr-Latn-ME"/>
        </w:rPr>
        <w:t>vazokonstriktorske</w:t>
      </w:r>
      <w:proofErr w:type="spellEnd"/>
      <w:r w:rsidR="0058469B" w:rsidRPr="000177FB">
        <w:rPr>
          <w:sz w:val="22"/>
          <w:szCs w:val="22"/>
          <w:lang w:val="sr-Latn-ME"/>
        </w:rPr>
        <w:t xml:space="preserve"> </w:t>
      </w:r>
      <w:r w:rsidR="00245BDC" w:rsidRPr="000177FB">
        <w:rPr>
          <w:sz w:val="22"/>
          <w:szCs w:val="22"/>
          <w:lang w:val="sr-Latn-ME"/>
        </w:rPr>
        <w:t xml:space="preserve">podsticaje </w:t>
      </w:r>
      <w:r w:rsidR="0058469B" w:rsidRPr="000177FB">
        <w:rPr>
          <w:sz w:val="22"/>
          <w:szCs w:val="22"/>
          <w:lang w:val="sr-Latn-ME"/>
        </w:rPr>
        <w:t>kao i smanjenjem volumena krvi.</w:t>
      </w:r>
    </w:p>
    <w:p w:rsidR="0058469B" w:rsidRPr="000177FB" w:rsidRDefault="0058469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5.2.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proofErr w:type="spellStart"/>
      <w:r w:rsidRPr="000177FB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0177FB">
        <w:rPr>
          <w:b/>
          <w:bCs/>
          <w:sz w:val="22"/>
          <w:szCs w:val="22"/>
          <w:lang w:val="sr-Latn-ME"/>
        </w:rPr>
        <w:t xml:space="preserve"> podaci</w:t>
      </w:r>
      <w:r w:rsidR="003A7059" w:rsidRPr="000177FB">
        <w:rPr>
          <w:b/>
          <w:bCs/>
          <w:sz w:val="22"/>
          <w:szCs w:val="22"/>
          <w:lang w:val="sr-Latn-ME"/>
        </w:rPr>
        <w:t xml:space="preserve"> </w:t>
      </w:r>
    </w:p>
    <w:p w:rsidR="00564EAA" w:rsidRPr="000177FB" w:rsidRDefault="00564EAA" w:rsidP="001B4E4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:rsidR="0028467B" w:rsidRPr="000177FB" w:rsidRDefault="00564EAA" w:rsidP="001B4E4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0177FB">
        <w:rPr>
          <w:sz w:val="22"/>
          <w:szCs w:val="22"/>
          <w:u w:val="single"/>
          <w:lang w:val="sr-Latn-ME"/>
        </w:rPr>
        <w:t>Re</w:t>
      </w:r>
      <w:r w:rsidR="0028467B" w:rsidRPr="000177FB">
        <w:rPr>
          <w:sz w:val="22"/>
          <w:szCs w:val="22"/>
          <w:u w:val="single"/>
          <w:lang w:val="sr-Latn-ME"/>
        </w:rPr>
        <w:t xml:space="preserve">sorpcija </w:t>
      </w:r>
    </w:p>
    <w:p w:rsidR="0028467B" w:rsidRPr="000177FB" w:rsidRDefault="0028467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Nakon oralne primjene 60% </w:t>
      </w:r>
      <w:r w:rsidR="00564EAA" w:rsidRPr="000177FB">
        <w:rPr>
          <w:sz w:val="22"/>
          <w:szCs w:val="22"/>
          <w:lang w:val="sr-Latn-ME"/>
        </w:rPr>
        <w:t xml:space="preserve">do 70% doze </w:t>
      </w:r>
      <w:proofErr w:type="spellStart"/>
      <w:r w:rsidR="00564EAA" w:rsidRPr="000177FB">
        <w:rPr>
          <w:sz w:val="22"/>
          <w:szCs w:val="22"/>
          <w:lang w:val="sr-Latn-ME"/>
        </w:rPr>
        <w:t>furosemida</w:t>
      </w:r>
      <w:proofErr w:type="spellEnd"/>
      <w:r w:rsidR="00564EAA" w:rsidRPr="000177FB">
        <w:rPr>
          <w:sz w:val="22"/>
          <w:szCs w:val="22"/>
          <w:lang w:val="sr-Latn-ME"/>
        </w:rPr>
        <w:t xml:space="preserve"> </w:t>
      </w:r>
      <w:r w:rsidR="00245BDC" w:rsidRPr="000177FB">
        <w:rPr>
          <w:sz w:val="22"/>
          <w:szCs w:val="22"/>
          <w:lang w:val="sr-Latn-ME"/>
        </w:rPr>
        <w:t>re</w:t>
      </w:r>
      <w:r w:rsidR="00564EAA" w:rsidRPr="000177FB">
        <w:rPr>
          <w:sz w:val="22"/>
          <w:szCs w:val="22"/>
          <w:lang w:val="sr-Latn-ME"/>
        </w:rPr>
        <w:t>sorbuje</w:t>
      </w:r>
      <w:r w:rsidRPr="000177FB">
        <w:rPr>
          <w:sz w:val="22"/>
          <w:szCs w:val="22"/>
          <w:lang w:val="sr-Latn-ME"/>
        </w:rPr>
        <w:t xml:space="preserve"> se </w:t>
      </w:r>
      <w:r w:rsidR="00564EAA" w:rsidRPr="000177FB">
        <w:rPr>
          <w:sz w:val="22"/>
          <w:szCs w:val="22"/>
          <w:lang w:val="sr-Latn-ME"/>
        </w:rPr>
        <w:t>u gastrointestinalnom traktu. Re</w:t>
      </w:r>
      <w:r w:rsidRPr="000177FB">
        <w:rPr>
          <w:sz w:val="22"/>
          <w:szCs w:val="22"/>
          <w:lang w:val="sr-Latn-ME"/>
        </w:rPr>
        <w:t xml:space="preserve">sorpcija može biti smanjena na manje od 30% </w:t>
      </w:r>
      <w:r w:rsidR="00564EAA" w:rsidRPr="000177FB">
        <w:rPr>
          <w:sz w:val="22"/>
          <w:szCs w:val="22"/>
          <w:lang w:val="sr-Latn-ME"/>
        </w:rPr>
        <w:t>kod pacijenata</w:t>
      </w:r>
      <w:r w:rsidRPr="000177FB">
        <w:rPr>
          <w:sz w:val="22"/>
          <w:szCs w:val="22"/>
          <w:lang w:val="sr-Latn-ME"/>
        </w:rPr>
        <w:t xml:space="preserve"> s</w:t>
      </w:r>
      <w:r w:rsidR="00564EAA" w:rsidRPr="000177FB">
        <w:rPr>
          <w:sz w:val="22"/>
          <w:szCs w:val="22"/>
          <w:lang w:val="sr-Latn-ME"/>
        </w:rPr>
        <w:t>a</w:t>
      </w:r>
      <w:r w:rsidRPr="000177FB">
        <w:rPr>
          <w:sz w:val="22"/>
          <w:szCs w:val="22"/>
          <w:lang w:val="sr-Latn-ME"/>
        </w:rPr>
        <w:t xml:space="preserve"> </w:t>
      </w:r>
      <w:r w:rsidR="00564EAA" w:rsidRPr="000177FB">
        <w:rPr>
          <w:sz w:val="22"/>
          <w:szCs w:val="22"/>
          <w:lang w:val="sr-Latn-ME"/>
        </w:rPr>
        <w:t>hroničn</w:t>
      </w:r>
      <w:r w:rsidR="00245BDC" w:rsidRPr="000177FB">
        <w:rPr>
          <w:sz w:val="22"/>
          <w:szCs w:val="22"/>
          <w:lang w:val="sr-Latn-ME"/>
        </w:rPr>
        <w:t xml:space="preserve">om </w:t>
      </w:r>
      <w:r w:rsidRPr="000177FB">
        <w:rPr>
          <w:sz w:val="22"/>
          <w:szCs w:val="22"/>
          <w:lang w:val="sr-Latn-ME"/>
        </w:rPr>
        <w:t>sr</w:t>
      </w:r>
      <w:r w:rsidR="00245BDC" w:rsidRPr="000177FB">
        <w:rPr>
          <w:sz w:val="22"/>
          <w:szCs w:val="22"/>
          <w:lang w:val="sr-Latn-ME"/>
        </w:rPr>
        <w:t xml:space="preserve">čanom </w:t>
      </w:r>
      <w:proofErr w:type="spellStart"/>
      <w:r w:rsidR="00245BDC" w:rsidRPr="000177FB">
        <w:rPr>
          <w:sz w:val="22"/>
          <w:szCs w:val="22"/>
          <w:lang w:val="sr-Latn-ME"/>
        </w:rPr>
        <w:t>insuficijencijom</w:t>
      </w:r>
      <w:proofErr w:type="spellEnd"/>
      <w:r w:rsidRPr="000177FB">
        <w:rPr>
          <w:sz w:val="22"/>
          <w:szCs w:val="22"/>
          <w:lang w:val="sr-Latn-ME"/>
        </w:rPr>
        <w:t xml:space="preserve"> ili </w:t>
      </w:r>
      <w:proofErr w:type="spellStart"/>
      <w:r w:rsidRPr="000177FB">
        <w:rPr>
          <w:sz w:val="22"/>
          <w:szCs w:val="22"/>
          <w:lang w:val="sr-Latn-ME"/>
        </w:rPr>
        <w:t>nefrotskim</w:t>
      </w:r>
      <w:proofErr w:type="spellEnd"/>
      <w:r w:rsidRPr="000177FB">
        <w:rPr>
          <w:sz w:val="22"/>
          <w:szCs w:val="22"/>
          <w:lang w:val="sr-Latn-ME"/>
        </w:rPr>
        <w:t xml:space="preserve"> sindromom. </w:t>
      </w:r>
    </w:p>
    <w:p w:rsidR="00564EAA" w:rsidRPr="000177FB" w:rsidRDefault="00564EAA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28467B" w:rsidRPr="000177FB" w:rsidRDefault="0028467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Početak djelovanja može se očekivati za 30 minuta. </w:t>
      </w:r>
      <w:r w:rsidR="00245BDC" w:rsidRPr="000177FB">
        <w:rPr>
          <w:sz w:val="22"/>
          <w:szCs w:val="22"/>
          <w:lang w:val="sr-Latn-ME"/>
        </w:rPr>
        <w:t xml:space="preserve">Maksimalne </w:t>
      </w:r>
      <w:r w:rsidRPr="000177FB">
        <w:rPr>
          <w:sz w:val="22"/>
          <w:szCs w:val="22"/>
          <w:lang w:val="sr-Latn-ME"/>
        </w:rPr>
        <w:t xml:space="preserve">koncentracija u plazmi postiže se za približno jedan sat nakon uzimanja tablete. </w:t>
      </w:r>
    </w:p>
    <w:p w:rsidR="00564EAA" w:rsidRPr="000177FB" w:rsidRDefault="00564EAA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28467B" w:rsidRPr="000177FB" w:rsidRDefault="0028467B" w:rsidP="001B4E4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0177FB">
        <w:rPr>
          <w:sz w:val="22"/>
          <w:szCs w:val="22"/>
          <w:u w:val="single"/>
          <w:lang w:val="sr-Latn-ME"/>
        </w:rPr>
        <w:t xml:space="preserve">Distribucija </w:t>
      </w:r>
    </w:p>
    <w:p w:rsidR="0028467B" w:rsidRPr="000177FB" w:rsidRDefault="00564EAA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0177FB">
        <w:rPr>
          <w:sz w:val="22"/>
          <w:szCs w:val="22"/>
          <w:lang w:val="sr-Latn-ME"/>
        </w:rPr>
        <w:t>Furosemid</w:t>
      </w:r>
      <w:proofErr w:type="spellEnd"/>
      <w:r w:rsidRPr="000177FB">
        <w:rPr>
          <w:sz w:val="22"/>
          <w:szCs w:val="22"/>
          <w:lang w:val="sr-Latn-ME"/>
        </w:rPr>
        <w:t xml:space="preserve"> se veže za proteine plazme</w:t>
      </w:r>
      <w:r w:rsidR="0028467B" w:rsidRPr="000177FB">
        <w:rPr>
          <w:sz w:val="22"/>
          <w:szCs w:val="22"/>
          <w:lang w:val="sr-Latn-ME"/>
        </w:rPr>
        <w:t xml:space="preserve"> u iznosu od oko 95%. To se može smanjiti za do 10% u slučaju </w:t>
      </w:r>
      <w:proofErr w:type="spellStart"/>
      <w:r w:rsidR="0028467B" w:rsidRPr="000177FB">
        <w:rPr>
          <w:sz w:val="22"/>
          <w:szCs w:val="22"/>
          <w:lang w:val="sr-Latn-ME"/>
        </w:rPr>
        <w:t>insuficijencije</w:t>
      </w:r>
      <w:proofErr w:type="spellEnd"/>
      <w:r w:rsidR="0028467B" w:rsidRPr="000177FB">
        <w:rPr>
          <w:sz w:val="22"/>
          <w:szCs w:val="22"/>
          <w:lang w:val="sr-Latn-ME"/>
        </w:rPr>
        <w:t xml:space="preserve"> bubrega. Relativni volumen raspodjele iznosi oko 0,2 l/kg tjelesne </w:t>
      </w:r>
      <w:r w:rsidRPr="000177FB">
        <w:rPr>
          <w:sz w:val="22"/>
          <w:szCs w:val="22"/>
          <w:lang w:val="sr-Latn-ME"/>
        </w:rPr>
        <w:t>mase (u novorođ</w:t>
      </w:r>
      <w:r w:rsidR="0028467B" w:rsidRPr="000177FB">
        <w:rPr>
          <w:sz w:val="22"/>
          <w:szCs w:val="22"/>
          <w:lang w:val="sr-Latn-ME"/>
        </w:rPr>
        <w:t xml:space="preserve">enčadi to je 0,8 l/kg tjelesne </w:t>
      </w:r>
      <w:r w:rsidR="00245BDC" w:rsidRPr="000177FB">
        <w:rPr>
          <w:sz w:val="22"/>
          <w:szCs w:val="22"/>
          <w:lang w:val="sr-Latn-ME"/>
        </w:rPr>
        <w:t>mase</w:t>
      </w:r>
      <w:r w:rsidR="0028467B" w:rsidRPr="000177FB">
        <w:rPr>
          <w:sz w:val="22"/>
          <w:szCs w:val="22"/>
          <w:lang w:val="sr-Latn-ME"/>
        </w:rPr>
        <w:t xml:space="preserve">). </w:t>
      </w:r>
    </w:p>
    <w:p w:rsidR="00564EAA" w:rsidRPr="000177FB" w:rsidRDefault="00564EAA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28467B" w:rsidRPr="000177FB" w:rsidRDefault="0028467B" w:rsidP="001B4E4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0177FB">
        <w:rPr>
          <w:sz w:val="22"/>
          <w:szCs w:val="22"/>
          <w:u w:val="single"/>
          <w:lang w:val="sr-Latn-ME"/>
        </w:rPr>
        <w:t>Biotransformacija</w:t>
      </w:r>
      <w:proofErr w:type="spellEnd"/>
      <w:r w:rsidRPr="000177FB">
        <w:rPr>
          <w:sz w:val="22"/>
          <w:szCs w:val="22"/>
          <w:u w:val="single"/>
          <w:lang w:val="sr-Latn-ME"/>
        </w:rPr>
        <w:t xml:space="preserve"> </w:t>
      </w:r>
    </w:p>
    <w:p w:rsidR="0028467B" w:rsidRPr="000177FB" w:rsidRDefault="00564EAA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0177FB">
        <w:rPr>
          <w:sz w:val="22"/>
          <w:szCs w:val="22"/>
          <w:lang w:val="sr-Latn-ME"/>
        </w:rPr>
        <w:t>Furosemid</w:t>
      </w:r>
      <w:proofErr w:type="spellEnd"/>
      <w:r w:rsidRPr="000177FB">
        <w:rPr>
          <w:sz w:val="22"/>
          <w:szCs w:val="22"/>
          <w:lang w:val="sr-Latn-ME"/>
        </w:rPr>
        <w:t xml:space="preserve"> se </w:t>
      </w:r>
      <w:proofErr w:type="spellStart"/>
      <w:r w:rsidRPr="000177FB">
        <w:rPr>
          <w:sz w:val="22"/>
          <w:szCs w:val="22"/>
          <w:lang w:val="sr-Latn-ME"/>
        </w:rPr>
        <w:t>metaboli</w:t>
      </w:r>
      <w:r w:rsidR="00245BDC" w:rsidRPr="000177FB">
        <w:rPr>
          <w:sz w:val="22"/>
          <w:szCs w:val="22"/>
          <w:lang w:val="sr-Latn-ME"/>
        </w:rPr>
        <w:t>še</w:t>
      </w:r>
      <w:proofErr w:type="spellEnd"/>
      <w:r w:rsidR="0028467B" w:rsidRPr="000177FB">
        <w:rPr>
          <w:sz w:val="22"/>
          <w:szCs w:val="22"/>
          <w:lang w:val="sr-Latn-ME"/>
        </w:rPr>
        <w:t xml:space="preserve"> u jetri samo u maloj mjeri (oko 10%) i uglavnom se izlučuje </w:t>
      </w:r>
      <w:proofErr w:type="spellStart"/>
      <w:r w:rsidR="0028467B" w:rsidRPr="000177FB">
        <w:rPr>
          <w:sz w:val="22"/>
          <w:szCs w:val="22"/>
          <w:lang w:val="sr-Latn-ME"/>
        </w:rPr>
        <w:t>nepromijenjen</w:t>
      </w:r>
      <w:proofErr w:type="spellEnd"/>
      <w:r w:rsidR="0028467B" w:rsidRPr="000177FB">
        <w:rPr>
          <w:sz w:val="22"/>
          <w:szCs w:val="22"/>
          <w:lang w:val="sr-Latn-ME"/>
        </w:rPr>
        <w:t xml:space="preserve">. </w:t>
      </w:r>
    </w:p>
    <w:p w:rsidR="00564EAA" w:rsidRPr="000177FB" w:rsidRDefault="00564EAA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28467B" w:rsidRPr="000177FB" w:rsidRDefault="0028467B" w:rsidP="001B4E4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0177FB">
        <w:rPr>
          <w:sz w:val="22"/>
          <w:szCs w:val="22"/>
          <w:u w:val="single"/>
          <w:lang w:val="sr-Latn-ME"/>
        </w:rPr>
        <w:t xml:space="preserve">Eliminacija </w:t>
      </w:r>
    </w:p>
    <w:p w:rsidR="00D30EFF" w:rsidRPr="000177FB" w:rsidRDefault="0028467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D</w:t>
      </w:r>
      <w:r w:rsidR="00564EAA" w:rsidRPr="000177FB">
        <w:rPr>
          <w:sz w:val="22"/>
          <w:szCs w:val="22"/>
          <w:lang w:val="sr-Latn-ME"/>
        </w:rPr>
        <w:t xml:space="preserve">vije trećine </w:t>
      </w:r>
      <w:proofErr w:type="spellStart"/>
      <w:r w:rsidR="00564EAA" w:rsidRPr="000177FB">
        <w:rPr>
          <w:sz w:val="22"/>
          <w:szCs w:val="22"/>
          <w:lang w:val="sr-Latn-ME"/>
        </w:rPr>
        <w:t>furosemida</w:t>
      </w:r>
      <w:proofErr w:type="spellEnd"/>
      <w:r w:rsidR="00564EAA" w:rsidRPr="000177FB">
        <w:rPr>
          <w:sz w:val="22"/>
          <w:szCs w:val="22"/>
          <w:lang w:val="sr-Latn-ME"/>
        </w:rPr>
        <w:t xml:space="preserve"> eliminiše</w:t>
      </w:r>
      <w:r w:rsidRPr="000177FB">
        <w:rPr>
          <w:sz w:val="22"/>
          <w:szCs w:val="22"/>
          <w:lang w:val="sr-Latn-ME"/>
        </w:rPr>
        <w:t xml:space="preserve"> se putem bubrega, a jedna trećina </w:t>
      </w:r>
      <w:proofErr w:type="spellStart"/>
      <w:r w:rsidRPr="000177FB">
        <w:rPr>
          <w:sz w:val="22"/>
          <w:szCs w:val="22"/>
          <w:lang w:val="sr-Latn-ME"/>
        </w:rPr>
        <w:t>preko</w:t>
      </w:r>
      <w:proofErr w:type="spellEnd"/>
      <w:r w:rsidRPr="000177FB">
        <w:rPr>
          <w:sz w:val="22"/>
          <w:szCs w:val="22"/>
          <w:lang w:val="sr-Latn-ME"/>
        </w:rPr>
        <w:t xml:space="preserve"> žuči i </w:t>
      </w:r>
      <w:proofErr w:type="spellStart"/>
      <w:r w:rsidRPr="000177FB">
        <w:rPr>
          <w:sz w:val="22"/>
          <w:szCs w:val="22"/>
          <w:lang w:val="sr-Latn-ME"/>
        </w:rPr>
        <w:t>fecesa</w:t>
      </w:r>
      <w:proofErr w:type="spellEnd"/>
      <w:r w:rsidRPr="000177FB">
        <w:rPr>
          <w:sz w:val="22"/>
          <w:szCs w:val="22"/>
          <w:lang w:val="sr-Latn-ME"/>
        </w:rPr>
        <w:t>. Pri normalnoj funkciji bubrega, poluvrijeme eliminacije iznosi oko 1</w:t>
      </w:r>
      <w:r w:rsidR="00564EAA" w:rsidRPr="000177FB">
        <w:rPr>
          <w:sz w:val="22"/>
          <w:szCs w:val="22"/>
          <w:lang w:val="sr-Latn-ME"/>
        </w:rPr>
        <w:t xml:space="preserve"> sat. To se može produžiti d</w:t>
      </w:r>
      <w:r w:rsidRPr="000177FB">
        <w:rPr>
          <w:sz w:val="22"/>
          <w:szCs w:val="22"/>
          <w:lang w:val="sr-Latn-ME"/>
        </w:rPr>
        <w:t>o 24 sata u</w:t>
      </w:r>
      <w:r w:rsidR="00564EAA" w:rsidRPr="000177FB">
        <w:rPr>
          <w:sz w:val="22"/>
          <w:szCs w:val="22"/>
          <w:lang w:val="sr-Latn-ME"/>
        </w:rPr>
        <w:t xml:space="preserve"> slučaju terminaln</w:t>
      </w:r>
      <w:r w:rsidR="00245BDC" w:rsidRPr="000177FB">
        <w:rPr>
          <w:sz w:val="22"/>
          <w:szCs w:val="22"/>
          <w:lang w:val="sr-Latn-ME"/>
        </w:rPr>
        <w:t>e</w:t>
      </w:r>
      <w:r w:rsidR="00564EAA" w:rsidRPr="000177FB">
        <w:rPr>
          <w:sz w:val="22"/>
          <w:szCs w:val="22"/>
          <w:lang w:val="sr-Latn-ME"/>
        </w:rPr>
        <w:t xml:space="preserve"> </w:t>
      </w:r>
      <w:r w:rsidR="00245BDC" w:rsidRPr="000177FB">
        <w:rPr>
          <w:sz w:val="22"/>
          <w:szCs w:val="22"/>
          <w:lang w:val="sr-Latn-ME"/>
        </w:rPr>
        <w:t xml:space="preserve">bubrežne </w:t>
      </w:r>
      <w:proofErr w:type="spellStart"/>
      <w:r w:rsidR="00245BDC" w:rsidRPr="000177FB">
        <w:rPr>
          <w:sz w:val="22"/>
          <w:szCs w:val="22"/>
          <w:lang w:val="sr-Latn-ME"/>
        </w:rPr>
        <w:t>insuficijencije</w:t>
      </w:r>
      <w:proofErr w:type="spellEnd"/>
      <w:r w:rsidRPr="000177FB">
        <w:rPr>
          <w:sz w:val="22"/>
          <w:szCs w:val="22"/>
          <w:lang w:val="sr-Latn-ME"/>
        </w:rPr>
        <w:t>.</w:t>
      </w:r>
    </w:p>
    <w:p w:rsidR="00564EAA" w:rsidRPr="000177FB" w:rsidRDefault="00564EAA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5.3.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proofErr w:type="spellStart"/>
      <w:r w:rsidRPr="000177FB">
        <w:rPr>
          <w:b/>
          <w:bCs/>
          <w:sz w:val="22"/>
          <w:szCs w:val="22"/>
          <w:lang w:val="sr-Latn-ME"/>
        </w:rPr>
        <w:t>Pretklinički</w:t>
      </w:r>
      <w:proofErr w:type="spellEnd"/>
      <w:r w:rsidRPr="000177FB">
        <w:rPr>
          <w:b/>
          <w:bCs/>
          <w:sz w:val="22"/>
          <w:szCs w:val="22"/>
          <w:lang w:val="sr-Latn-ME"/>
        </w:rPr>
        <w:t xml:space="preserve"> podaci o bezbjednosti </w:t>
      </w:r>
    </w:p>
    <w:p w:rsidR="00836B35" w:rsidRPr="000177FB" w:rsidRDefault="00836B35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8467B" w:rsidRPr="000177FB" w:rsidRDefault="0028467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Akut</w:t>
      </w:r>
      <w:r w:rsidR="00564EAA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n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a oralna toksičnost bila je mala u eksperimentalnim studijama na svim vrstama ispitivanih životinja. Studije </w:t>
      </w:r>
      <w:r w:rsidR="00564EAA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h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ronične toksičnosti na </w:t>
      </w:r>
      <w:r w:rsidR="00564EAA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pacovima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psima pokazale su promjene na bubrezima (uključujući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fibrozu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kalcifikaciju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). </w:t>
      </w:r>
    </w:p>
    <w:p w:rsidR="00564EAA" w:rsidRPr="000177FB" w:rsidRDefault="00564EAA" w:rsidP="001B4E43">
      <w:pPr>
        <w:pStyle w:val="Default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  <w:lang w:val="sr-Latn-ME"/>
        </w:rPr>
      </w:pPr>
    </w:p>
    <w:p w:rsidR="0028467B" w:rsidRPr="000177FB" w:rsidRDefault="0028467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i/>
          <w:iCs/>
          <w:color w:val="auto"/>
          <w:sz w:val="22"/>
          <w:szCs w:val="22"/>
          <w:lang w:val="sr-Latn-ME"/>
        </w:rPr>
        <w:t xml:space="preserve">In </w:t>
      </w:r>
      <w:proofErr w:type="spellStart"/>
      <w:r w:rsidRPr="000177FB">
        <w:rPr>
          <w:rFonts w:ascii="Times New Roman" w:hAnsi="Times New Roman" w:cs="Times New Roman"/>
          <w:i/>
          <w:iCs/>
          <w:color w:val="auto"/>
          <w:sz w:val="22"/>
          <w:szCs w:val="22"/>
          <w:lang w:val="sr-Latn-ME"/>
        </w:rPr>
        <w:t>vitro</w:t>
      </w:r>
      <w:proofErr w:type="spellEnd"/>
      <w:r w:rsidRPr="000177FB">
        <w:rPr>
          <w:rFonts w:ascii="Times New Roman" w:hAnsi="Times New Roman" w:cs="Times New Roman"/>
          <w:i/>
          <w:iCs/>
          <w:color w:val="auto"/>
          <w:sz w:val="22"/>
          <w:szCs w:val="22"/>
          <w:lang w:val="sr-Latn-ME"/>
        </w:rPr>
        <w:t xml:space="preserve"> 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i </w:t>
      </w:r>
      <w:r w:rsidRPr="000177FB">
        <w:rPr>
          <w:rFonts w:ascii="Times New Roman" w:hAnsi="Times New Roman" w:cs="Times New Roman"/>
          <w:i/>
          <w:iCs/>
          <w:color w:val="auto"/>
          <w:sz w:val="22"/>
          <w:szCs w:val="22"/>
          <w:lang w:val="sr-Latn-ME"/>
        </w:rPr>
        <w:t xml:space="preserve">in </w:t>
      </w:r>
      <w:proofErr w:type="spellStart"/>
      <w:r w:rsidRPr="000177FB">
        <w:rPr>
          <w:rFonts w:ascii="Times New Roman" w:hAnsi="Times New Roman" w:cs="Times New Roman"/>
          <w:i/>
          <w:iCs/>
          <w:color w:val="auto"/>
          <w:sz w:val="22"/>
          <w:szCs w:val="22"/>
          <w:lang w:val="sr-Latn-ME"/>
        </w:rPr>
        <w:t>vivo</w:t>
      </w:r>
      <w:proofErr w:type="spellEnd"/>
      <w:r w:rsidRPr="000177FB">
        <w:rPr>
          <w:rFonts w:ascii="Times New Roman" w:hAnsi="Times New Roman" w:cs="Times New Roman"/>
          <w:i/>
          <w:iCs/>
          <w:color w:val="auto"/>
          <w:sz w:val="22"/>
          <w:szCs w:val="22"/>
          <w:lang w:val="sr-Latn-ME"/>
        </w:rPr>
        <w:t xml:space="preserve"> 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studije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genotoksičnosti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furosemida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ni</w:t>
      </w:r>
      <w:r w:rsidR="00FE776E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je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su pružile klinički relevantne dokaze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genotoksičnog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potencijala. </w:t>
      </w:r>
    </w:p>
    <w:p w:rsidR="00564EAA" w:rsidRPr="000177FB" w:rsidRDefault="00564EAA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</w:p>
    <w:p w:rsidR="0028467B" w:rsidRPr="000177FB" w:rsidRDefault="0028467B" w:rsidP="001B4E4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Dugotrajne studije na </w:t>
      </w:r>
      <w:r w:rsidR="00564EAA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pacovima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i kunićima ni</w:t>
      </w:r>
      <w:r w:rsidR="00FE776E"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je</w:t>
      </w:r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su pružile dokaze </w:t>
      </w:r>
      <w:proofErr w:type="spellStart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>karcinogenog</w:t>
      </w:r>
      <w:proofErr w:type="spellEnd"/>
      <w:r w:rsidRPr="000177FB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potencijala. </w:t>
      </w:r>
    </w:p>
    <w:p w:rsidR="00564EAA" w:rsidRPr="000177FB" w:rsidRDefault="00564EAA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9A1D95" w:rsidRPr="000177FB" w:rsidRDefault="0028467B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Nakon primjene velikih doza u reproduktivnim </w:t>
      </w:r>
      <w:proofErr w:type="spellStart"/>
      <w:r w:rsidRPr="000177FB">
        <w:rPr>
          <w:sz w:val="22"/>
          <w:szCs w:val="22"/>
          <w:lang w:val="sr-Latn-ME"/>
        </w:rPr>
        <w:t>toksikološkim</w:t>
      </w:r>
      <w:proofErr w:type="spellEnd"/>
      <w:r w:rsidRPr="000177FB">
        <w:rPr>
          <w:sz w:val="22"/>
          <w:szCs w:val="22"/>
          <w:lang w:val="sr-Latn-ME"/>
        </w:rPr>
        <w:t xml:space="preserve"> studijama, na fetusima </w:t>
      </w:r>
      <w:r w:rsidR="00FE776E" w:rsidRPr="000177FB">
        <w:rPr>
          <w:sz w:val="22"/>
          <w:szCs w:val="22"/>
          <w:lang w:val="sr-Latn-ME"/>
        </w:rPr>
        <w:t xml:space="preserve">pacova </w:t>
      </w:r>
      <w:r w:rsidRPr="000177FB">
        <w:rPr>
          <w:sz w:val="22"/>
          <w:szCs w:val="22"/>
          <w:lang w:val="sr-Latn-ME"/>
        </w:rPr>
        <w:t xml:space="preserve">primijećeni su smanjeni broj diferenciranih </w:t>
      </w:r>
      <w:proofErr w:type="spellStart"/>
      <w:r w:rsidRPr="000177FB">
        <w:rPr>
          <w:sz w:val="22"/>
          <w:szCs w:val="22"/>
          <w:lang w:val="sr-Latn-ME"/>
        </w:rPr>
        <w:t>glomerula</w:t>
      </w:r>
      <w:proofErr w:type="spellEnd"/>
      <w:r w:rsidRPr="000177FB">
        <w:rPr>
          <w:sz w:val="22"/>
          <w:szCs w:val="22"/>
          <w:lang w:val="sr-Latn-ME"/>
        </w:rPr>
        <w:t xml:space="preserve"> i anomalije lopatične kosti, nadlaktičn</w:t>
      </w:r>
      <w:r w:rsidR="00564EAA" w:rsidRPr="000177FB">
        <w:rPr>
          <w:sz w:val="22"/>
          <w:szCs w:val="22"/>
          <w:lang w:val="sr-Latn-ME"/>
        </w:rPr>
        <w:t xml:space="preserve">e kosti i rebara (zbog </w:t>
      </w:r>
      <w:proofErr w:type="spellStart"/>
      <w:r w:rsidR="00564EAA" w:rsidRPr="000177FB">
        <w:rPr>
          <w:sz w:val="22"/>
          <w:szCs w:val="22"/>
          <w:lang w:val="sr-Latn-ME"/>
        </w:rPr>
        <w:t>hipokal</w:t>
      </w:r>
      <w:r w:rsidR="00FE776E" w:rsidRPr="000177FB">
        <w:rPr>
          <w:sz w:val="22"/>
          <w:szCs w:val="22"/>
          <w:lang w:val="sr-Latn-ME"/>
        </w:rPr>
        <w:t>ij</w:t>
      </w:r>
      <w:r w:rsidRPr="000177FB">
        <w:rPr>
          <w:sz w:val="22"/>
          <w:szCs w:val="22"/>
          <w:lang w:val="sr-Latn-ME"/>
        </w:rPr>
        <w:t>emije</w:t>
      </w:r>
      <w:proofErr w:type="spellEnd"/>
      <w:r w:rsidRPr="000177FB">
        <w:rPr>
          <w:sz w:val="22"/>
          <w:szCs w:val="22"/>
          <w:lang w:val="sr-Latn-ME"/>
        </w:rPr>
        <w:t xml:space="preserve">), kao i </w:t>
      </w:r>
      <w:proofErr w:type="spellStart"/>
      <w:r w:rsidRPr="000177FB">
        <w:rPr>
          <w:sz w:val="22"/>
          <w:szCs w:val="22"/>
          <w:lang w:val="sr-Latn-ME"/>
        </w:rPr>
        <w:t>hidronefroza</w:t>
      </w:r>
      <w:proofErr w:type="spellEnd"/>
      <w:r w:rsidRPr="000177FB">
        <w:rPr>
          <w:sz w:val="22"/>
          <w:szCs w:val="22"/>
          <w:lang w:val="sr-Latn-ME"/>
        </w:rPr>
        <w:t xml:space="preserve"> na fetusima miševa i kunića.</w:t>
      </w:r>
    </w:p>
    <w:p w:rsidR="00FC288E" w:rsidRPr="000177FB" w:rsidRDefault="00FC288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28467B" w:rsidRPr="000177FB" w:rsidRDefault="0028467B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6.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FARMACEUTSKI PODACI</w:t>
      </w:r>
    </w:p>
    <w:p w:rsidR="00836B35" w:rsidRPr="000177FB" w:rsidRDefault="00836B35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6.1.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Lista pomoćnih supstanci</w:t>
      </w:r>
      <w:r w:rsidR="002E0135" w:rsidRPr="000177FB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0177FB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0177FB">
        <w:rPr>
          <w:b/>
          <w:bCs/>
          <w:sz w:val="22"/>
          <w:szCs w:val="22"/>
          <w:lang w:val="sr-Latn-ME"/>
        </w:rPr>
        <w:t>)</w:t>
      </w:r>
    </w:p>
    <w:p w:rsidR="00E07E54" w:rsidRPr="000177FB" w:rsidRDefault="00E07E54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D30EFF" w:rsidRPr="000177FB" w:rsidRDefault="00976D6B" w:rsidP="001B4E43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Laktoza, </w:t>
      </w:r>
      <w:proofErr w:type="spellStart"/>
      <w:r w:rsidR="00D30EFF" w:rsidRPr="000177FB">
        <w:rPr>
          <w:sz w:val="22"/>
          <w:szCs w:val="22"/>
          <w:lang w:val="sr-Latn-ME"/>
        </w:rPr>
        <w:t>monohidrat</w:t>
      </w:r>
      <w:proofErr w:type="spellEnd"/>
      <w:r w:rsidR="00D30EFF" w:rsidRPr="000177FB">
        <w:rPr>
          <w:sz w:val="22"/>
          <w:szCs w:val="22"/>
          <w:lang w:val="sr-Latn-ME"/>
        </w:rPr>
        <w:t xml:space="preserve"> </w:t>
      </w:r>
    </w:p>
    <w:p w:rsidR="00D30EFF" w:rsidRPr="000177FB" w:rsidRDefault="00E07E54" w:rsidP="001B4E43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S</w:t>
      </w:r>
      <w:r w:rsidR="00D30EFF" w:rsidRPr="000177FB">
        <w:rPr>
          <w:sz w:val="22"/>
          <w:szCs w:val="22"/>
          <w:lang w:val="sr-Latn-ME"/>
        </w:rPr>
        <w:t>krob</w:t>
      </w:r>
      <w:r w:rsidRPr="000177FB">
        <w:rPr>
          <w:sz w:val="22"/>
          <w:szCs w:val="22"/>
          <w:lang w:val="sr-Latn-ME"/>
        </w:rPr>
        <w:t>, kukuruzni</w:t>
      </w:r>
    </w:p>
    <w:p w:rsidR="00D30EFF" w:rsidRPr="000177FB" w:rsidRDefault="00D30EFF" w:rsidP="001B4E43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Talk </w:t>
      </w:r>
    </w:p>
    <w:p w:rsidR="00E07E54" w:rsidRPr="000177FB" w:rsidRDefault="00E07E54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proofErr w:type="spellStart"/>
      <w:r w:rsidRPr="000177FB">
        <w:rPr>
          <w:sz w:val="22"/>
          <w:szCs w:val="22"/>
          <w:lang w:val="sr-Latn-ME"/>
        </w:rPr>
        <w:t>Povidon</w:t>
      </w:r>
      <w:proofErr w:type="spellEnd"/>
      <w:r w:rsidRPr="000177FB">
        <w:rPr>
          <w:sz w:val="22"/>
          <w:szCs w:val="22"/>
          <w:lang w:val="sr-Latn-ME"/>
        </w:rPr>
        <w:t xml:space="preserve"> </w:t>
      </w:r>
    </w:p>
    <w:p w:rsidR="00D30EFF" w:rsidRPr="000177FB" w:rsidRDefault="00D30EFF" w:rsidP="001B4E43">
      <w:pPr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Magnezij</w:t>
      </w:r>
      <w:r w:rsidR="00976D6B" w:rsidRPr="000177FB">
        <w:rPr>
          <w:sz w:val="22"/>
          <w:szCs w:val="22"/>
          <w:lang w:val="sr-Latn-ME"/>
        </w:rPr>
        <w:t>um</w:t>
      </w:r>
      <w:r w:rsidR="009240F1" w:rsidRPr="000177FB">
        <w:rPr>
          <w:sz w:val="22"/>
          <w:szCs w:val="22"/>
          <w:lang w:val="sr-Latn-ME"/>
        </w:rPr>
        <w:t xml:space="preserve"> </w:t>
      </w:r>
      <w:proofErr w:type="spellStart"/>
      <w:r w:rsidRPr="000177FB">
        <w:rPr>
          <w:sz w:val="22"/>
          <w:szCs w:val="22"/>
          <w:lang w:val="sr-Latn-ME"/>
        </w:rPr>
        <w:t>stearat</w:t>
      </w:r>
      <w:proofErr w:type="spellEnd"/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6.2.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Inkompatibilnost</w:t>
      </w:r>
      <w:r w:rsidR="002846DB" w:rsidRPr="000177FB">
        <w:rPr>
          <w:b/>
          <w:bCs/>
          <w:sz w:val="22"/>
          <w:szCs w:val="22"/>
          <w:lang w:val="sr-Latn-ME"/>
        </w:rPr>
        <w:t>i</w:t>
      </w:r>
    </w:p>
    <w:p w:rsidR="00580283" w:rsidRPr="000177FB" w:rsidRDefault="00580283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0177FB" w:rsidRDefault="00580283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>Nije primjen</w:t>
      </w:r>
      <w:r w:rsidR="00E07E54" w:rsidRPr="000177FB">
        <w:rPr>
          <w:bCs/>
          <w:sz w:val="22"/>
          <w:szCs w:val="22"/>
          <w:lang w:val="sr-Latn-ME"/>
        </w:rPr>
        <w:t>l</w:t>
      </w:r>
      <w:r w:rsidRPr="000177FB">
        <w:rPr>
          <w:bCs/>
          <w:sz w:val="22"/>
          <w:szCs w:val="22"/>
          <w:lang w:val="sr-Latn-ME"/>
        </w:rPr>
        <w:t>jivo.</w:t>
      </w:r>
    </w:p>
    <w:p w:rsidR="00580283" w:rsidRPr="000177FB" w:rsidRDefault="00580283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lastRenderedPageBreak/>
        <w:t>6.3.</w:t>
      </w:r>
      <w:r w:rsidR="00C05DF8" w:rsidRPr="000177FB">
        <w:rPr>
          <w:b/>
          <w:bCs/>
          <w:sz w:val="22"/>
          <w:szCs w:val="22"/>
          <w:lang w:val="sr-Latn-ME"/>
        </w:rPr>
        <w:t xml:space="preserve">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Rok upotrebe</w:t>
      </w:r>
    </w:p>
    <w:p w:rsidR="009347DD" w:rsidRPr="000177FB" w:rsidRDefault="009347DD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0177FB" w:rsidRDefault="007B02B3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>3 godine</w:t>
      </w:r>
      <w:r w:rsidR="00580283" w:rsidRPr="000177FB">
        <w:rPr>
          <w:bCs/>
          <w:sz w:val="22"/>
          <w:szCs w:val="22"/>
          <w:lang w:val="sr-Latn-ME"/>
        </w:rPr>
        <w:t>.</w:t>
      </w:r>
    </w:p>
    <w:p w:rsidR="00580283" w:rsidRPr="000177FB" w:rsidRDefault="00580283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6.4.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0177FB">
        <w:rPr>
          <w:b/>
          <w:bCs/>
          <w:sz w:val="22"/>
          <w:szCs w:val="22"/>
          <w:lang w:val="sr-Latn-ME"/>
        </w:rPr>
        <w:t xml:space="preserve"> lijeka</w:t>
      </w:r>
    </w:p>
    <w:p w:rsidR="00E07E54" w:rsidRPr="000177FB" w:rsidRDefault="00E07E54" w:rsidP="002F7610">
      <w:pPr>
        <w:keepNext/>
        <w:numPr>
          <w:ilvl w:val="1"/>
          <w:numId w:val="0"/>
        </w:numPr>
        <w:tabs>
          <w:tab w:val="num" w:pos="567"/>
        </w:tabs>
        <w:ind w:left="567" w:hanging="567"/>
        <w:jc w:val="both"/>
        <w:outlineLvl w:val="1"/>
        <w:rPr>
          <w:sz w:val="22"/>
          <w:szCs w:val="22"/>
          <w:lang w:val="sr-Latn-ME"/>
        </w:rPr>
      </w:pPr>
    </w:p>
    <w:p w:rsidR="00580283" w:rsidRPr="000177FB" w:rsidRDefault="00D30EFF" w:rsidP="002F7610">
      <w:pPr>
        <w:keepNext/>
        <w:numPr>
          <w:ilvl w:val="1"/>
          <w:numId w:val="0"/>
        </w:numPr>
        <w:tabs>
          <w:tab w:val="num" w:pos="567"/>
        </w:tabs>
        <w:ind w:left="567" w:hanging="567"/>
        <w:jc w:val="both"/>
        <w:outlineLvl w:val="1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Čuvati na temperaturi do 25</w:t>
      </w:r>
      <w:r w:rsidR="00580283" w:rsidRPr="000177FB">
        <w:rPr>
          <w:sz w:val="22"/>
          <w:szCs w:val="22"/>
          <w:lang w:val="sr-Latn-ME"/>
        </w:rPr>
        <w:t xml:space="preserve"> °C.</w:t>
      </w:r>
    </w:p>
    <w:p w:rsidR="00E07E54" w:rsidRPr="000177FB" w:rsidRDefault="00E07E54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6.5.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="002846DB" w:rsidRPr="000177FB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0177FB">
        <w:rPr>
          <w:b/>
          <w:bCs/>
          <w:sz w:val="22"/>
          <w:szCs w:val="22"/>
          <w:lang w:val="sr-Latn-ME"/>
        </w:rPr>
        <w:t>pakovanja</w:t>
      </w:r>
      <w:r w:rsidR="00C06864" w:rsidRPr="000177FB">
        <w:rPr>
          <w:b/>
          <w:bCs/>
          <w:sz w:val="22"/>
          <w:szCs w:val="22"/>
          <w:lang w:val="sr-Latn-ME"/>
        </w:rPr>
        <w:t xml:space="preserve"> </w:t>
      </w: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D30EFF" w:rsidRPr="000177FB" w:rsidRDefault="007B02B3" w:rsidP="001B4E43">
      <w:p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Unutrašnje pakovanje je </w:t>
      </w:r>
      <w:proofErr w:type="spellStart"/>
      <w:r w:rsidRPr="000177FB">
        <w:rPr>
          <w:sz w:val="22"/>
          <w:szCs w:val="22"/>
          <w:lang w:val="sr-Latn-ME"/>
        </w:rPr>
        <w:t>b</w:t>
      </w:r>
      <w:r w:rsidR="00D30EFF" w:rsidRPr="000177FB">
        <w:rPr>
          <w:sz w:val="22"/>
          <w:szCs w:val="22"/>
          <w:lang w:val="sr-Latn-ME"/>
        </w:rPr>
        <w:t>lister</w:t>
      </w:r>
      <w:proofErr w:type="spellEnd"/>
      <w:r w:rsidR="00D30EFF" w:rsidRPr="000177FB">
        <w:rPr>
          <w:sz w:val="22"/>
          <w:szCs w:val="22"/>
          <w:lang w:val="sr-Latn-ME"/>
        </w:rPr>
        <w:t xml:space="preserve"> od </w:t>
      </w:r>
      <w:proofErr w:type="spellStart"/>
      <w:r w:rsidR="00D30EFF" w:rsidRPr="000177FB">
        <w:rPr>
          <w:sz w:val="22"/>
          <w:szCs w:val="22"/>
          <w:lang w:val="sr-Latn-ME"/>
        </w:rPr>
        <w:t>termoformirajuće</w:t>
      </w:r>
      <w:proofErr w:type="spellEnd"/>
      <w:r w:rsidR="00D30EFF" w:rsidRPr="000177FB">
        <w:rPr>
          <w:sz w:val="22"/>
          <w:szCs w:val="22"/>
          <w:lang w:val="sr-Latn-ME"/>
        </w:rPr>
        <w:t xml:space="preserve"> PVC/Al folije </w:t>
      </w:r>
      <w:r w:rsidRPr="000177FB">
        <w:rPr>
          <w:sz w:val="22"/>
          <w:szCs w:val="22"/>
          <w:lang w:val="sr-Latn-ME"/>
        </w:rPr>
        <w:t>koji sadrži</w:t>
      </w:r>
      <w:r w:rsidR="00D30EFF" w:rsidRPr="000177FB">
        <w:rPr>
          <w:sz w:val="22"/>
          <w:szCs w:val="22"/>
          <w:lang w:val="sr-Latn-ME"/>
        </w:rPr>
        <w:t xml:space="preserve"> 10 tableta.</w:t>
      </w:r>
    </w:p>
    <w:p w:rsidR="007B02B3" w:rsidRPr="000177FB" w:rsidRDefault="007B02B3" w:rsidP="001B4E43">
      <w:pPr>
        <w:jc w:val="both"/>
        <w:rPr>
          <w:sz w:val="22"/>
          <w:szCs w:val="22"/>
          <w:lang w:val="sr-Latn-ME"/>
        </w:rPr>
      </w:pPr>
    </w:p>
    <w:p w:rsidR="007B02B3" w:rsidRPr="000177FB" w:rsidRDefault="007B02B3" w:rsidP="001B4E43">
      <w:p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Spoljašnje pakovanje je </w:t>
      </w:r>
      <w:proofErr w:type="spellStart"/>
      <w:r w:rsidRPr="000177FB">
        <w:rPr>
          <w:sz w:val="22"/>
          <w:szCs w:val="22"/>
          <w:lang w:val="sr-Latn-ME"/>
        </w:rPr>
        <w:t>složiva</w:t>
      </w:r>
      <w:proofErr w:type="spellEnd"/>
      <w:r w:rsidRPr="000177FB">
        <w:rPr>
          <w:sz w:val="22"/>
          <w:szCs w:val="22"/>
          <w:lang w:val="sr-Latn-ME"/>
        </w:rPr>
        <w:t xml:space="preserve"> kartonska kutija koja sadrži 1 </w:t>
      </w:r>
      <w:proofErr w:type="spellStart"/>
      <w:r w:rsidRPr="000177FB">
        <w:rPr>
          <w:sz w:val="22"/>
          <w:szCs w:val="22"/>
          <w:lang w:val="sr-Latn-ME"/>
        </w:rPr>
        <w:t>blister</w:t>
      </w:r>
      <w:proofErr w:type="spellEnd"/>
      <w:r w:rsidRPr="000177FB">
        <w:rPr>
          <w:sz w:val="22"/>
          <w:szCs w:val="22"/>
          <w:lang w:val="sr-Latn-ME"/>
        </w:rPr>
        <w:t xml:space="preserve"> i Uputstvo za lijek. </w:t>
      </w:r>
    </w:p>
    <w:p w:rsidR="00580283" w:rsidRPr="000177FB" w:rsidRDefault="00580283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846DB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6.6.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 xml:space="preserve">Posebne mjere opreza pri odlaganju materijala koji treba odbaciti nakon primjene lijeka </w:t>
      </w:r>
      <w:r w:rsidR="00310F03" w:rsidRPr="000177FB">
        <w:rPr>
          <w:b/>
          <w:bCs/>
          <w:sz w:val="22"/>
          <w:szCs w:val="22"/>
          <w:lang w:val="sr-Latn-ME"/>
        </w:rPr>
        <w:t>(i druga uputs</w:t>
      </w:r>
      <w:r w:rsidR="004109FA" w:rsidRPr="000177FB">
        <w:rPr>
          <w:b/>
          <w:bCs/>
          <w:sz w:val="22"/>
          <w:szCs w:val="22"/>
          <w:lang w:val="sr-Latn-ME"/>
        </w:rPr>
        <w:t>t</w:t>
      </w:r>
      <w:r w:rsidR="00310F03" w:rsidRPr="000177FB">
        <w:rPr>
          <w:b/>
          <w:bCs/>
          <w:sz w:val="22"/>
          <w:szCs w:val="22"/>
          <w:lang w:val="sr-Latn-ME"/>
        </w:rPr>
        <w:t xml:space="preserve">va za rukovanje lijekom) </w:t>
      </w:r>
    </w:p>
    <w:p w:rsidR="00543EF1" w:rsidRPr="000177FB" w:rsidRDefault="00543EF1" w:rsidP="001B4E43">
      <w:pPr>
        <w:keepNext/>
        <w:tabs>
          <w:tab w:val="num" w:pos="0"/>
        </w:tabs>
        <w:jc w:val="both"/>
        <w:outlineLvl w:val="1"/>
        <w:rPr>
          <w:sz w:val="22"/>
          <w:szCs w:val="22"/>
          <w:lang w:val="sr-Latn-ME"/>
        </w:rPr>
      </w:pPr>
    </w:p>
    <w:p w:rsidR="00543EF1" w:rsidRPr="000177FB" w:rsidRDefault="00543EF1" w:rsidP="001B4E43">
      <w:pPr>
        <w:keepNext/>
        <w:tabs>
          <w:tab w:val="num" w:pos="0"/>
        </w:tabs>
        <w:jc w:val="both"/>
        <w:outlineLvl w:val="1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Uklanjanje neiskorišćenog lijeka ili otpadnih materijala koji potiču od lijeka vrši se u skladu sa lokalnom regulativom.</w:t>
      </w:r>
    </w:p>
    <w:p w:rsidR="00543EF1" w:rsidRPr="000177FB" w:rsidRDefault="00543EF1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9347DD" w:rsidRPr="000177FB" w:rsidRDefault="009347DD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8570A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7.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NOSILAC DOZVOLE</w:t>
      </w:r>
      <w:r w:rsidR="00483928" w:rsidRPr="000177FB">
        <w:rPr>
          <w:b/>
          <w:bCs/>
          <w:sz w:val="22"/>
          <w:szCs w:val="22"/>
          <w:lang w:val="sr-Latn-ME"/>
        </w:rPr>
        <w:t xml:space="preserve"> </w:t>
      </w:r>
    </w:p>
    <w:p w:rsidR="009347DD" w:rsidRPr="000177FB" w:rsidRDefault="009347DD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7B02B3" w:rsidRPr="000177FB" w:rsidRDefault="00543EF1" w:rsidP="001B4E43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0177FB">
        <w:rPr>
          <w:sz w:val="22"/>
          <w:szCs w:val="22"/>
          <w:lang w:val="sr-Latn-ME"/>
        </w:rPr>
        <w:t>Bosnalijek</w:t>
      </w:r>
      <w:proofErr w:type="spellEnd"/>
      <w:r w:rsidRPr="000177FB">
        <w:rPr>
          <w:sz w:val="22"/>
          <w:szCs w:val="22"/>
          <w:lang w:val="sr-Latn-ME"/>
        </w:rPr>
        <w:t xml:space="preserve"> </w:t>
      </w:r>
      <w:proofErr w:type="spellStart"/>
      <w:r w:rsidRPr="000177FB">
        <w:rPr>
          <w:sz w:val="22"/>
          <w:szCs w:val="22"/>
          <w:lang w:val="sr-Latn-ME"/>
        </w:rPr>
        <w:t>d.d</w:t>
      </w:r>
      <w:proofErr w:type="spellEnd"/>
      <w:r w:rsidRPr="000177FB">
        <w:rPr>
          <w:sz w:val="22"/>
          <w:szCs w:val="22"/>
          <w:lang w:val="sr-Latn-ME"/>
        </w:rPr>
        <w:t xml:space="preserve">. Predstavništvo Crna Gora, </w:t>
      </w:r>
    </w:p>
    <w:p w:rsidR="00C37FD7" w:rsidRPr="000177FB" w:rsidRDefault="00543EF1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 xml:space="preserve">Bulevar </w:t>
      </w:r>
      <w:proofErr w:type="spellStart"/>
      <w:r w:rsidRPr="000177FB">
        <w:rPr>
          <w:sz w:val="22"/>
          <w:szCs w:val="22"/>
          <w:lang w:val="sr-Latn-ME"/>
        </w:rPr>
        <w:t>Svetog</w:t>
      </w:r>
      <w:proofErr w:type="spellEnd"/>
      <w:r w:rsidRPr="000177FB">
        <w:rPr>
          <w:sz w:val="22"/>
          <w:szCs w:val="22"/>
          <w:lang w:val="sr-Latn-ME"/>
        </w:rPr>
        <w:t xml:space="preserve"> Petra Cetinjskog 63, </w:t>
      </w:r>
      <w:r w:rsidR="007B02B3" w:rsidRPr="000177FB">
        <w:rPr>
          <w:sz w:val="22"/>
          <w:szCs w:val="22"/>
          <w:lang w:val="sr-Latn-ME"/>
        </w:rPr>
        <w:t xml:space="preserve">81000 </w:t>
      </w:r>
      <w:r w:rsidRPr="000177FB">
        <w:rPr>
          <w:sz w:val="22"/>
          <w:szCs w:val="22"/>
          <w:lang w:val="sr-Latn-ME"/>
        </w:rPr>
        <w:t>Podgorica, Crna Gora</w:t>
      </w:r>
    </w:p>
    <w:p w:rsidR="00543EF1" w:rsidRPr="000177FB" w:rsidRDefault="00543EF1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bookmarkStart w:id="0" w:name="_GoBack"/>
      <w:bookmarkEnd w:id="0"/>
    </w:p>
    <w:p w:rsidR="009347DD" w:rsidRPr="000177FB" w:rsidRDefault="009347DD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8.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>BROJ DOZVOLE</w:t>
      </w:r>
      <w:r w:rsidR="008A6D43" w:rsidRPr="000177FB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9347DD" w:rsidRPr="000177FB" w:rsidRDefault="009347DD" w:rsidP="001B4E43">
      <w:pPr>
        <w:jc w:val="both"/>
        <w:rPr>
          <w:i/>
          <w:sz w:val="22"/>
          <w:szCs w:val="22"/>
          <w:lang w:val="sr-Latn-ME"/>
        </w:rPr>
      </w:pPr>
    </w:p>
    <w:p w:rsidR="000177FB" w:rsidRPr="000177FB" w:rsidRDefault="000177FB" w:rsidP="000177FB">
      <w:pPr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 xml:space="preserve">2030/24/804 – 8453 </w:t>
      </w:r>
    </w:p>
    <w:p w:rsidR="009347DD" w:rsidRPr="000177FB" w:rsidRDefault="009347DD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0177FB" w:rsidRPr="000177FB" w:rsidRDefault="000177FB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0177FB" w:rsidRDefault="0072020E" w:rsidP="001B4E4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9.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Pr="000177FB">
        <w:rPr>
          <w:b/>
          <w:bCs/>
          <w:sz w:val="22"/>
          <w:szCs w:val="22"/>
          <w:lang w:val="sr-Latn-ME"/>
        </w:rPr>
        <w:t xml:space="preserve">DATUM </w:t>
      </w:r>
      <w:r w:rsidR="00C05DF8" w:rsidRPr="000177FB">
        <w:rPr>
          <w:b/>
          <w:bCs/>
          <w:sz w:val="22"/>
          <w:szCs w:val="22"/>
          <w:lang w:val="sr-Latn-ME"/>
        </w:rPr>
        <w:t xml:space="preserve">PRVE </w:t>
      </w:r>
      <w:r w:rsidR="008A6D43" w:rsidRPr="000177FB">
        <w:rPr>
          <w:b/>
          <w:bCs/>
          <w:sz w:val="22"/>
          <w:szCs w:val="22"/>
          <w:lang w:val="sr-Latn-ME"/>
        </w:rPr>
        <w:t>DOZVOLE</w:t>
      </w:r>
      <w:r w:rsidR="00C05DF8" w:rsidRPr="000177FB">
        <w:rPr>
          <w:b/>
          <w:bCs/>
          <w:sz w:val="22"/>
          <w:szCs w:val="22"/>
          <w:lang w:val="sr-Latn-ME"/>
        </w:rPr>
        <w:t>/OBNOVE DOZVOLE</w:t>
      </w:r>
      <w:r w:rsidR="008A6D43" w:rsidRPr="000177FB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9347DD" w:rsidRPr="000177FB" w:rsidRDefault="009347DD" w:rsidP="001B4E43">
      <w:pPr>
        <w:jc w:val="both"/>
        <w:rPr>
          <w:i/>
          <w:sz w:val="22"/>
          <w:szCs w:val="22"/>
          <w:lang w:val="sr-Latn-ME"/>
        </w:rPr>
      </w:pPr>
    </w:p>
    <w:p w:rsidR="005B08CA" w:rsidRPr="000177FB" w:rsidRDefault="005B08CA" w:rsidP="001B4E43">
      <w:pPr>
        <w:jc w:val="both"/>
        <w:rPr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Datum prve dozvole: 29.05.2013.godine</w:t>
      </w:r>
    </w:p>
    <w:p w:rsidR="000177FB" w:rsidRPr="000177FB" w:rsidRDefault="007B02B3" w:rsidP="000177FB">
      <w:pPr>
        <w:rPr>
          <w:bCs/>
          <w:sz w:val="22"/>
          <w:szCs w:val="22"/>
          <w:lang w:val="sr-Latn-ME"/>
        </w:rPr>
      </w:pPr>
      <w:r w:rsidRPr="000177FB">
        <w:rPr>
          <w:sz w:val="22"/>
          <w:szCs w:val="22"/>
          <w:lang w:val="sr-Latn-ME"/>
        </w:rPr>
        <w:t>Datum posljednje obnove dozvole:</w:t>
      </w:r>
      <w:r w:rsidR="000177FB" w:rsidRPr="000177FB">
        <w:rPr>
          <w:bCs/>
          <w:sz w:val="22"/>
          <w:szCs w:val="22"/>
          <w:lang w:val="sr-Latn-ME"/>
        </w:rPr>
        <w:t xml:space="preserve"> </w:t>
      </w:r>
      <w:r w:rsidR="000177FB" w:rsidRPr="000177FB">
        <w:rPr>
          <w:bCs/>
          <w:sz w:val="22"/>
          <w:szCs w:val="22"/>
          <w:lang w:val="sr-Latn-ME"/>
        </w:rPr>
        <w:t>22.02.2024. godine</w:t>
      </w:r>
    </w:p>
    <w:p w:rsidR="00EC59C8" w:rsidRPr="000177FB" w:rsidRDefault="00EC59C8" w:rsidP="001B4E43">
      <w:pPr>
        <w:jc w:val="both"/>
        <w:rPr>
          <w:sz w:val="22"/>
          <w:szCs w:val="22"/>
          <w:lang w:val="sr-Latn-ME"/>
        </w:rPr>
      </w:pPr>
    </w:p>
    <w:p w:rsidR="00EC59C8" w:rsidRPr="000177FB" w:rsidRDefault="00EC59C8" w:rsidP="001B4E4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8467B" w:rsidRPr="000177FB" w:rsidRDefault="0072020E" w:rsidP="001B4E43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0177FB">
        <w:rPr>
          <w:b/>
          <w:bCs/>
          <w:sz w:val="22"/>
          <w:szCs w:val="22"/>
          <w:lang w:val="sr-Latn-ME"/>
        </w:rPr>
        <w:t xml:space="preserve">10. </w:t>
      </w:r>
      <w:r w:rsidR="00480FB1" w:rsidRPr="000177FB">
        <w:rPr>
          <w:b/>
          <w:bCs/>
          <w:sz w:val="22"/>
          <w:szCs w:val="22"/>
          <w:lang w:val="sr-Latn-ME"/>
        </w:rPr>
        <w:tab/>
      </w:r>
      <w:r w:rsidR="002846DB" w:rsidRPr="000177FB">
        <w:rPr>
          <w:b/>
          <w:bCs/>
          <w:sz w:val="22"/>
          <w:szCs w:val="22"/>
          <w:lang w:val="sr-Latn-ME"/>
        </w:rPr>
        <w:t>D</w:t>
      </w:r>
      <w:r w:rsidR="00EC2532" w:rsidRPr="000177FB">
        <w:rPr>
          <w:b/>
          <w:bCs/>
          <w:sz w:val="22"/>
          <w:szCs w:val="22"/>
          <w:lang w:val="sr-Latn-ME"/>
        </w:rPr>
        <w:t xml:space="preserve">ATUM REVIZIJE TEKSTA </w:t>
      </w:r>
    </w:p>
    <w:p w:rsidR="009347DD" w:rsidRPr="000177FB" w:rsidRDefault="009347DD" w:rsidP="001B4E43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</w:p>
    <w:p w:rsidR="003F6A59" w:rsidRPr="000177FB" w:rsidRDefault="000177FB" w:rsidP="001B4E43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0177FB">
        <w:rPr>
          <w:bCs/>
          <w:sz w:val="22"/>
          <w:szCs w:val="22"/>
          <w:lang w:val="sr-Latn-ME"/>
        </w:rPr>
        <w:t>Februar, 2024. godine</w:t>
      </w:r>
    </w:p>
    <w:sectPr w:rsidR="003F6A59" w:rsidRPr="000177FB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18C" w:rsidRDefault="00C6518C">
      <w:r>
        <w:separator/>
      </w:r>
    </w:p>
  </w:endnote>
  <w:endnote w:type="continuationSeparator" w:id="0">
    <w:p w:rsidR="00C6518C" w:rsidRDefault="00C6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125" w:rsidRPr="00B23F69" w:rsidRDefault="00C62125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0177FB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0177FB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18C" w:rsidRDefault="00C6518C">
      <w:r>
        <w:separator/>
      </w:r>
    </w:p>
  </w:footnote>
  <w:footnote w:type="continuationSeparator" w:id="0">
    <w:p w:rsidR="00C6518C" w:rsidRDefault="00C65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FFFFFF88"/>
    <w:multiLevelType w:val="singleLevel"/>
    <w:tmpl w:val="0A5E06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705005"/>
    <w:multiLevelType w:val="multilevel"/>
    <w:tmpl w:val="61880A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A10F8B"/>
    <w:multiLevelType w:val="hybridMultilevel"/>
    <w:tmpl w:val="8CE82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424772"/>
    <w:multiLevelType w:val="hybridMultilevel"/>
    <w:tmpl w:val="A77481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ACE0C8C"/>
    <w:multiLevelType w:val="hybridMultilevel"/>
    <w:tmpl w:val="83200444"/>
    <w:lvl w:ilvl="0" w:tplc="EB7E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27ED9"/>
    <w:multiLevelType w:val="hybridMultilevel"/>
    <w:tmpl w:val="5982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13105"/>
    <w:multiLevelType w:val="hybridMultilevel"/>
    <w:tmpl w:val="826E39F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B5342"/>
    <w:multiLevelType w:val="hybridMultilevel"/>
    <w:tmpl w:val="969075C6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4364F"/>
    <w:multiLevelType w:val="hybridMultilevel"/>
    <w:tmpl w:val="429486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733B8"/>
    <w:multiLevelType w:val="hybridMultilevel"/>
    <w:tmpl w:val="9C26EFA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1727B"/>
    <w:multiLevelType w:val="hybridMultilevel"/>
    <w:tmpl w:val="5D2A9A9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7C7E7D"/>
    <w:multiLevelType w:val="hybridMultilevel"/>
    <w:tmpl w:val="AFB0A2E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75A2C"/>
    <w:multiLevelType w:val="hybridMultilevel"/>
    <w:tmpl w:val="57C80E2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A10F1"/>
    <w:multiLevelType w:val="multilevel"/>
    <w:tmpl w:val="B8869B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18B0C3F"/>
    <w:multiLevelType w:val="hybridMultilevel"/>
    <w:tmpl w:val="7BD4DCA0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A065124"/>
    <w:multiLevelType w:val="hybridMultilevel"/>
    <w:tmpl w:val="3ABA3A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22348F"/>
    <w:multiLevelType w:val="hybridMultilevel"/>
    <w:tmpl w:val="1BD2A2AE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574913"/>
    <w:multiLevelType w:val="hybridMultilevel"/>
    <w:tmpl w:val="F0FCB1BE"/>
    <w:lvl w:ilvl="0" w:tplc="A0E88CE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A1250"/>
    <w:multiLevelType w:val="hybridMultilevel"/>
    <w:tmpl w:val="24C631D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424E"/>
    <w:multiLevelType w:val="hybridMultilevel"/>
    <w:tmpl w:val="DA8A8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62EA0"/>
    <w:multiLevelType w:val="hybridMultilevel"/>
    <w:tmpl w:val="E5B63D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157A1"/>
    <w:multiLevelType w:val="hybridMultilevel"/>
    <w:tmpl w:val="1FFEA97C"/>
    <w:lvl w:ilvl="0" w:tplc="041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3"/>
  </w:num>
  <w:num w:numId="4">
    <w:abstractNumId w:val="23"/>
  </w:num>
  <w:num w:numId="5">
    <w:abstractNumId w:val="12"/>
  </w:num>
  <w:num w:numId="6">
    <w:abstractNumId w:val="5"/>
  </w:num>
  <w:num w:numId="7">
    <w:abstractNumId w:val="21"/>
  </w:num>
  <w:num w:numId="8">
    <w:abstractNumId w:val="11"/>
  </w:num>
  <w:num w:numId="9">
    <w:abstractNumId w:val="17"/>
  </w:num>
  <w:num w:numId="10">
    <w:abstractNumId w:val="30"/>
  </w:num>
  <w:num w:numId="11">
    <w:abstractNumId w:val="13"/>
  </w:num>
  <w:num w:numId="12">
    <w:abstractNumId w:val="26"/>
  </w:num>
  <w:num w:numId="13">
    <w:abstractNumId w:val="9"/>
  </w:num>
  <w:num w:numId="14">
    <w:abstractNumId w:val="20"/>
  </w:num>
  <w:num w:numId="15">
    <w:abstractNumId w:val="0"/>
  </w:num>
  <w:num w:numId="16">
    <w:abstractNumId w:val="1"/>
  </w:num>
  <w:num w:numId="17">
    <w:abstractNumId w:val="2"/>
  </w:num>
  <w:num w:numId="18">
    <w:abstractNumId w:val="28"/>
  </w:num>
  <w:num w:numId="19">
    <w:abstractNumId w:val="19"/>
  </w:num>
  <w:num w:numId="20">
    <w:abstractNumId w:val="15"/>
  </w:num>
  <w:num w:numId="21">
    <w:abstractNumId w:val="16"/>
  </w:num>
  <w:num w:numId="22">
    <w:abstractNumId w:val="14"/>
  </w:num>
  <w:num w:numId="23">
    <w:abstractNumId w:val="6"/>
  </w:num>
  <w:num w:numId="24">
    <w:abstractNumId w:val="27"/>
  </w:num>
  <w:num w:numId="25">
    <w:abstractNumId w:val="7"/>
  </w:num>
  <w:num w:numId="26">
    <w:abstractNumId w:val="8"/>
  </w:num>
  <w:num w:numId="27">
    <w:abstractNumId w:val="29"/>
  </w:num>
  <w:num w:numId="28">
    <w:abstractNumId w:val="24"/>
  </w:num>
  <w:num w:numId="29">
    <w:abstractNumId w:val="32"/>
  </w:num>
  <w:num w:numId="30">
    <w:abstractNumId w:val="18"/>
  </w:num>
  <w:num w:numId="31">
    <w:abstractNumId w:val="31"/>
  </w:num>
  <w:num w:numId="32">
    <w:abstractNumId w:val="2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177FB"/>
    <w:rsid w:val="00034DF0"/>
    <w:rsid w:val="00036FA0"/>
    <w:rsid w:val="0003793F"/>
    <w:rsid w:val="00056375"/>
    <w:rsid w:val="00057E35"/>
    <w:rsid w:val="000765D8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77FA"/>
    <w:rsid w:val="00107BF7"/>
    <w:rsid w:val="00124D6C"/>
    <w:rsid w:val="00126F53"/>
    <w:rsid w:val="001354CF"/>
    <w:rsid w:val="0014116B"/>
    <w:rsid w:val="00144A5F"/>
    <w:rsid w:val="0014766D"/>
    <w:rsid w:val="00151038"/>
    <w:rsid w:val="001536CC"/>
    <w:rsid w:val="00191AE0"/>
    <w:rsid w:val="001A1472"/>
    <w:rsid w:val="001A3FBA"/>
    <w:rsid w:val="001A5518"/>
    <w:rsid w:val="001B1C6A"/>
    <w:rsid w:val="001B4E43"/>
    <w:rsid w:val="001C1263"/>
    <w:rsid w:val="001C1417"/>
    <w:rsid w:val="001D6F66"/>
    <w:rsid w:val="001E0D52"/>
    <w:rsid w:val="001E390B"/>
    <w:rsid w:val="001F42FB"/>
    <w:rsid w:val="001F719A"/>
    <w:rsid w:val="002031B3"/>
    <w:rsid w:val="00210A56"/>
    <w:rsid w:val="00213162"/>
    <w:rsid w:val="00215931"/>
    <w:rsid w:val="00217F9F"/>
    <w:rsid w:val="002222E9"/>
    <w:rsid w:val="00224C91"/>
    <w:rsid w:val="00225F5F"/>
    <w:rsid w:val="00227BDB"/>
    <w:rsid w:val="002330A9"/>
    <w:rsid w:val="00234CB1"/>
    <w:rsid w:val="002352F8"/>
    <w:rsid w:val="00245BDC"/>
    <w:rsid w:val="002510A5"/>
    <w:rsid w:val="00254A0A"/>
    <w:rsid w:val="00266046"/>
    <w:rsid w:val="00273AEB"/>
    <w:rsid w:val="0028467B"/>
    <w:rsid w:val="002846DB"/>
    <w:rsid w:val="00284CCD"/>
    <w:rsid w:val="002C6637"/>
    <w:rsid w:val="002D0859"/>
    <w:rsid w:val="002E0135"/>
    <w:rsid w:val="002E37A5"/>
    <w:rsid w:val="002F0D50"/>
    <w:rsid w:val="002F7610"/>
    <w:rsid w:val="00305367"/>
    <w:rsid w:val="00310F03"/>
    <w:rsid w:val="003247D2"/>
    <w:rsid w:val="003445C1"/>
    <w:rsid w:val="00355B61"/>
    <w:rsid w:val="00360A2E"/>
    <w:rsid w:val="00361EDB"/>
    <w:rsid w:val="00362686"/>
    <w:rsid w:val="00371510"/>
    <w:rsid w:val="00396DFD"/>
    <w:rsid w:val="003A7059"/>
    <w:rsid w:val="003B7A36"/>
    <w:rsid w:val="003C17AB"/>
    <w:rsid w:val="003C55DB"/>
    <w:rsid w:val="003C7823"/>
    <w:rsid w:val="003D36DA"/>
    <w:rsid w:val="003E1DCC"/>
    <w:rsid w:val="003E5022"/>
    <w:rsid w:val="003F11A1"/>
    <w:rsid w:val="003F2E53"/>
    <w:rsid w:val="003F6A59"/>
    <w:rsid w:val="004034E2"/>
    <w:rsid w:val="004065C8"/>
    <w:rsid w:val="004109FA"/>
    <w:rsid w:val="00411B4B"/>
    <w:rsid w:val="00415BEE"/>
    <w:rsid w:val="00427F85"/>
    <w:rsid w:val="00430AE7"/>
    <w:rsid w:val="00436F42"/>
    <w:rsid w:val="004378B4"/>
    <w:rsid w:val="00446F54"/>
    <w:rsid w:val="00451314"/>
    <w:rsid w:val="00452E9D"/>
    <w:rsid w:val="004534C7"/>
    <w:rsid w:val="004538FF"/>
    <w:rsid w:val="00464790"/>
    <w:rsid w:val="0046558D"/>
    <w:rsid w:val="004671AA"/>
    <w:rsid w:val="00480FB1"/>
    <w:rsid w:val="00483928"/>
    <w:rsid w:val="00492653"/>
    <w:rsid w:val="004B3353"/>
    <w:rsid w:val="004C01E6"/>
    <w:rsid w:val="004C331F"/>
    <w:rsid w:val="004D6103"/>
    <w:rsid w:val="004E33F7"/>
    <w:rsid w:val="004E3BCE"/>
    <w:rsid w:val="004E6C73"/>
    <w:rsid w:val="004E70AD"/>
    <w:rsid w:val="004F0E97"/>
    <w:rsid w:val="00501DD1"/>
    <w:rsid w:val="005125EB"/>
    <w:rsid w:val="00515C21"/>
    <w:rsid w:val="0051731C"/>
    <w:rsid w:val="00530BD7"/>
    <w:rsid w:val="00543EF1"/>
    <w:rsid w:val="00545CD2"/>
    <w:rsid w:val="005476F3"/>
    <w:rsid w:val="005528BA"/>
    <w:rsid w:val="00564EAA"/>
    <w:rsid w:val="00565B17"/>
    <w:rsid w:val="00572527"/>
    <w:rsid w:val="00573E40"/>
    <w:rsid w:val="00576348"/>
    <w:rsid w:val="00580283"/>
    <w:rsid w:val="00581FE1"/>
    <w:rsid w:val="0058469B"/>
    <w:rsid w:val="00590D30"/>
    <w:rsid w:val="005A0B2E"/>
    <w:rsid w:val="005A23D2"/>
    <w:rsid w:val="005A36CB"/>
    <w:rsid w:val="005B08CA"/>
    <w:rsid w:val="005B49B8"/>
    <w:rsid w:val="005C0741"/>
    <w:rsid w:val="005C5EF4"/>
    <w:rsid w:val="005C74C4"/>
    <w:rsid w:val="005E2E0B"/>
    <w:rsid w:val="005E4728"/>
    <w:rsid w:val="005E7A7D"/>
    <w:rsid w:val="005E7F91"/>
    <w:rsid w:val="00602457"/>
    <w:rsid w:val="00612126"/>
    <w:rsid w:val="006161FF"/>
    <w:rsid w:val="0063517D"/>
    <w:rsid w:val="00636E52"/>
    <w:rsid w:val="00644DA8"/>
    <w:rsid w:val="00644FC3"/>
    <w:rsid w:val="00646BD1"/>
    <w:rsid w:val="006561C2"/>
    <w:rsid w:val="00661DBC"/>
    <w:rsid w:val="00671CB3"/>
    <w:rsid w:val="00674BAF"/>
    <w:rsid w:val="00676698"/>
    <w:rsid w:val="00682200"/>
    <w:rsid w:val="00692BF6"/>
    <w:rsid w:val="006A1497"/>
    <w:rsid w:val="006A524B"/>
    <w:rsid w:val="006B0BD1"/>
    <w:rsid w:val="006B5404"/>
    <w:rsid w:val="006C4BE6"/>
    <w:rsid w:val="006D0BA6"/>
    <w:rsid w:val="006D20A5"/>
    <w:rsid w:val="006D37BF"/>
    <w:rsid w:val="006E3C82"/>
    <w:rsid w:val="00702E22"/>
    <w:rsid w:val="0072020E"/>
    <w:rsid w:val="007332B6"/>
    <w:rsid w:val="00745C86"/>
    <w:rsid w:val="0075671E"/>
    <w:rsid w:val="00762154"/>
    <w:rsid w:val="00786071"/>
    <w:rsid w:val="007A3ECB"/>
    <w:rsid w:val="007B02B3"/>
    <w:rsid w:val="007D2308"/>
    <w:rsid w:val="007D7BB3"/>
    <w:rsid w:val="00824AB9"/>
    <w:rsid w:val="00836B35"/>
    <w:rsid w:val="00843BDE"/>
    <w:rsid w:val="00855E93"/>
    <w:rsid w:val="00861153"/>
    <w:rsid w:val="0087588C"/>
    <w:rsid w:val="00890594"/>
    <w:rsid w:val="0089705C"/>
    <w:rsid w:val="008A6D43"/>
    <w:rsid w:val="008B491E"/>
    <w:rsid w:val="008B7475"/>
    <w:rsid w:val="008C1A28"/>
    <w:rsid w:val="008C2E98"/>
    <w:rsid w:val="008E3733"/>
    <w:rsid w:val="008E49BD"/>
    <w:rsid w:val="008E53E9"/>
    <w:rsid w:val="008E5771"/>
    <w:rsid w:val="008F0C12"/>
    <w:rsid w:val="008F4ACF"/>
    <w:rsid w:val="008F7CD0"/>
    <w:rsid w:val="009240F1"/>
    <w:rsid w:val="00924166"/>
    <w:rsid w:val="009347DD"/>
    <w:rsid w:val="00940B9B"/>
    <w:rsid w:val="00944B32"/>
    <w:rsid w:val="0095676E"/>
    <w:rsid w:val="00956983"/>
    <w:rsid w:val="00963B7D"/>
    <w:rsid w:val="00963CF0"/>
    <w:rsid w:val="00964BB1"/>
    <w:rsid w:val="00976D6B"/>
    <w:rsid w:val="009775D9"/>
    <w:rsid w:val="00997175"/>
    <w:rsid w:val="009A1847"/>
    <w:rsid w:val="009A1D95"/>
    <w:rsid w:val="009B062A"/>
    <w:rsid w:val="009B500A"/>
    <w:rsid w:val="009C4B60"/>
    <w:rsid w:val="009D2A01"/>
    <w:rsid w:val="009D373E"/>
    <w:rsid w:val="009E1E8A"/>
    <w:rsid w:val="009E4996"/>
    <w:rsid w:val="009E7C6F"/>
    <w:rsid w:val="009F1793"/>
    <w:rsid w:val="009F2D23"/>
    <w:rsid w:val="00A00E21"/>
    <w:rsid w:val="00A01D69"/>
    <w:rsid w:val="00A02335"/>
    <w:rsid w:val="00A46C9A"/>
    <w:rsid w:val="00A51276"/>
    <w:rsid w:val="00A619F3"/>
    <w:rsid w:val="00A62A73"/>
    <w:rsid w:val="00A843D9"/>
    <w:rsid w:val="00A87FF6"/>
    <w:rsid w:val="00A937BC"/>
    <w:rsid w:val="00AA0A3B"/>
    <w:rsid w:val="00AA2763"/>
    <w:rsid w:val="00AA33B6"/>
    <w:rsid w:val="00AA3A69"/>
    <w:rsid w:val="00AB0756"/>
    <w:rsid w:val="00AB50CA"/>
    <w:rsid w:val="00AB6D64"/>
    <w:rsid w:val="00AC53CE"/>
    <w:rsid w:val="00AD2193"/>
    <w:rsid w:val="00AF2AC7"/>
    <w:rsid w:val="00AF74CE"/>
    <w:rsid w:val="00B1201B"/>
    <w:rsid w:val="00B208DB"/>
    <w:rsid w:val="00B23F69"/>
    <w:rsid w:val="00B32C57"/>
    <w:rsid w:val="00B5227D"/>
    <w:rsid w:val="00B60619"/>
    <w:rsid w:val="00B66A70"/>
    <w:rsid w:val="00B67366"/>
    <w:rsid w:val="00B80EE1"/>
    <w:rsid w:val="00B84135"/>
    <w:rsid w:val="00BC05E5"/>
    <w:rsid w:val="00BF0C54"/>
    <w:rsid w:val="00BF1131"/>
    <w:rsid w:val="00C04D34"/>
    <w:rsid w:val="00C05DF8"/>
    <w:rsid w:val="00C06864"/>
    <w:rsid w:val="00C10F54"/>
    <w:rsid w:val="00C14283"/>
    <w:rsid w:val="00C23D8D"/>
    <w:rsid w:val="00C366EC"/>
    <w:rsid w:val="00C36E57"/>
    <w:rsid w:val="00C37AA3"/>
    <w:rsid w:val="00C37FD7"/>
    <w:rsid w:val="00C43419"/>
    <w:rsid w:val="00C44CF3"/>
    <w:rsid w:val="00C60F51"/>
    <w:rsid w:val="00C61BE0"/>
    <w:rsid w:val="00C62125"/>
    <w:rsid w:val="00C63E30"/>
    <w:rsid w:val="00C6462C"/>
    <w:rsid w:val="00C6518C"/>
    <w:rsid w:val="00C65323"/>
    <w:rsid w:val="00C6707E"/>
    <w:rsid w:val="00C70B0E"/>
    <w:rsid w:val="00C75B68"/>
    <w:rsid w:val="00C773CA"/>
    <w:rsid w:val="00C83785"/>
    <w:rsid w:val="00C90222"/>
    <w:rsid w:val="00C94C0D"/>
    <w:rsid w:val="00CA1FEB"/>
    <w:rsid w:val="00CA6FD3"/>
    <w:rsid w:val="00CC0048"/>
    <w:rsid w:val="00CC7A78"/>
    <w:rsid w:val="00CD4F85"/>
    <w:rsid w:val="00CD63A3"/>
    <w:rsid w:val="00CD6F02"/>
    <w:rsid w:val="00CE0F6E"/>
    <w:rsid w:val="00CE246D"/>
    <w:rsid w:val="00CF07A0"/>
    <w:rsid w:val="00CF304F"/>
    <w:rsid w:val="00CF3E03"/>
    <w:rsid w:val="00D0082A"/>
    <w:rsid w:val="00D14864"/>
    <w:rsid w:val="00D21455"/>
    <w:rsid w:val="00D22041"/>
    <w:rsid w:val="00D26453"/>
    <w:rsid w:val="00D26F25"/>
    <w:rsid w:val="00D30EFF"/>
    <w:rsid w:val="00D47634"/>
    <w:rsid w:val="00D56D56"/>
    <w:rsid w:val="00D709B3"/>
    <w:rsid w:val="00D871EF"/>
    <w:rsid w:val="00DA2ED6"/>
    <w:rsid w:val="00DB76B8"/>
    <w:rsid w:val="00DC2EA1"/>
    <w:rsid w:val="00DD6AAF"/>
    <w:rsid w:val="00DE3F5C"/>
    <w:rsid w:val="00DF0D9A"/>
    <w:rsid w:val="00DF1D20"/>
    <w:rsid w:val="00DF6219"/>
    <w:rsid w:val="00E006E2"/>
    <w:rsid w:val="00E07E54"/>
    <w:rsid w:val="00E21324"/>
    <w:rsid w:val="00E246B9"/>
    <w:rsid w:val="00E31FEA"/>
    <w:rsid w:val="00E330D7"/>
    <w:rsid w:val="00E45169"/>
    <w:rsid w:val="00E47787"/>
    <w:rsid w:val="00E50A8D"/>
    <w:rsid w:val="00E51C30"/>
    <w:rsid w:val="00E64180"/>
    <w:rsid w:val="00E74AEE"/>
    <w:rsid w:val="00E868E5"/>
    <w:rsid w:val="00E9237A"/>
    <w:rsid w:val="00E939FA"/>
    <w:rsid w:val="00E97312"/>
    <w:rsid w:val="00EA5765"/>
    <w:rsid w:val="00EC2532"/>
    <w:rsid w:val="00EC59C8"/>
    <w:rsid w:val="00EC7699"/>
    <w:rsid w:val="00ED7812"/>
    <w:rsid w:val="00EE2BDD"/>
    <w:rsid w:val="00EE32A4"/>
    <w:rsid w:val="00EF3B86"/>
    <w:rsid w:val="00F01CA6"/>
    <w:rsid w:val="00F07412"/>
    <w:rsid w:val="00F20211"/>
    <w:rsid w:val="00F27998"/>
    <w:rsid w:val="00F317E9"/>
    <w:rsid w:val="00F34554"/>
    <w:rsid w:val="00F41EA9"/>
    <w:rsid w:val="00F45F77"/>
    <w:rsid w:val="00F5167F"/>
    <w:rsid w:val="00F52258"/>
    <w:rsid w:val="00F6227F"/>
    <w:rsid w:val="00F7686D"/>
    <w:rsid w:val="00F8570A"/>
    <w:rsid w:val="00F91C7B"/>
    <w:rsid w:val="00FC288E"/>
    <w:rsid w:val="00FC33CB"/>
    <w:rsid w:val="00FD4FE4"/>
    <w:rsid w:val="00FE776E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992AC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80283"/>
    <w:pPr>
      <w:keepNext/>
      <w:tabs>
        <w:tab w:val="num" w:pos="567"/>
      </w:tabs>
      <w:spacing w:before="240" w:after="240"/>
      <w:jc w:val="both"/>
      <w:outlineLvl w:val="0"/>
    </w:pPr>
    <w:rPr>
      <w:b/>
      <w:caps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qFormat/>
    <w:rsid w:val="00580283"/>
    <w:pPr>
      <w:keepNext/>
      <w:tabs>
        <w:tab w:val="num" w:pos="1985"/>
      </w:tabs>
      <w:ind w:left="1985" w:hanging="1985"/>
      <w:jc w:val="both"/>
      <w:outlineLvl w:val="2"/>
    </w:pPr>
    <w:rPr>
      <w:b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80283"/>
    <w:pPr>
      <w:keepNext/>
      <w:tabs>
        <w:tab w:val="num" w:pos="864"/>
      </w:tabs>
      <w:ind w:left="864" w:hanging="864"/>
      <w:jc w:val="both"/>
      <w:outlineLvl w:val="3"/>
    </w:pPr>
    <w:rPr>
      <w:b/>
      <w:szCs w:val="20"/>
      <w:lang w:val="ru-RU"/>
    </w:rPr>
  </w:style>
  <w:style w:type="paragraph" w:styleId="Heading5">
    <w:name w:val="heading 5"/>
    <w:basedOn w:val="Normal"/>
    <w:next w:val="Normal"/>
    <w:link w:val="Heading5Char"/>
    <w:qFormat/>
    <w:rsid w:val="00580283"/>
    <w:pPr>
      <w:keepNext/>
      <w:tabs>
        <w:tab w:val="num" w:pos="1008"/>
      </w:tabs>
      <w:ind w:left="1008" w:hanging="1008"/>
      <w:outlineLvl w:val="4"/>
    </w:pPr>
    <w:rPr>
      <w:b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580283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hr-HR"/>
    </w:rPr>
  </w:style>
  <w:style w:type="paragraph" w:styleId="Heading7">
    <w:name w:val="heading 7"/>
    <w:basedOn w:val="Normal"/>
    <w:next w:val="Normal"/>
    <w:link w:val="Heading7Char"/>
    <w:qFormat/>
    <w:rsid w:val="00580283"/>
    <w:pPr>
      <w:tabs>
        <w:tab w:val="num" w:pos="1296"/>
      </w:tabs>
      <w:spacing w:before="240" w:after="60"/>
      <w:ind w:left="1296" w:hanging="1296"/>
      <w:outlineLvl w:val="6"/>
    </w:pPr>
    <w:rPr>
      <w:lang w:val="hr-HR"/>
    </w:rPr>
  </w:style>
  <w:style w:type="paragraph" w:styleId="Heading8">
    <w:name w:val="heading 8"/>
    <w:basedOn w:val="Normal"/>
    <w:next w:val="Normal"/>
    <w:link w:val="Heading8Char"/>
    <w:qFormat/>
    <w:rsid w:val="00580283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hr-HR"/>
    </w:rPr>
  </w:style>
  <w:style w:type="paragraph" w:styleId="Heading9">
    <w:name w:val="heading 9"/>
    <w:basedOn w:val="Normal"/>
    <w:next w:val="Normal"/>
    <w:link w:val="Heading9Char"/>
    <w:qFormat/>
    <w:rsid w:val="0058028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uiPriority w:val="99"/>
    <w:rsid w:val="004E70AD"/>
    <w:rPr>
      <w:color w:val="0563C1" w:themeColor="hyperlink"/>
      <w:u w:val="single"/>
    </w:rPr>
  </w:style>
  <w:style w:type="character" w:customStyle="1" w:styleId="st">
    <w:name w:val="st"/>
    <w:basedOn w:val="DefaultParagraphFont"/>
    <w:rsid w:val="00580283"/>
  </w:style>
  <w:style w:type="character" w:styleId="Emphasis">
    <w:name w:val="Emphasis"/>
    <w:basedOn w:val="DefaultParagraphFont"/>
    <w:uiPriority w:val="20"/>
    <w:qFormat/>
    <w:rsid w:val="00580283"/>
    <w:rPr>
      <w:b/>
      <w:bCs/>
      <w:i w:val="0"/>
      <w:iCs w:val="0"/>
    </w:rPr>
  </w:style>
  <w:style w:type="character" w:customStyle="1" w:styleId="st1">
    <w:name w:val="st1"/>
    <w:basedOn w:val="DefaultParagraphFont"/>
    <w:rsid w:val="00580283"/>
  </w:style>
  <w:style w:type="character" w:customStyle="1" w:styleId="hps">
    <w:name w:val="hps"/>
    <w:basedOn w:val="DefaultParagraphFont"/>
    <w:rsid w:val="00580283"/>
  </w:style>
  <w:style w:type="character" w:customStyle="1" w:styleId="apple-converted-space">
    <w:name w:val="apple-converted-space"/>
    <w:basedOn w:val="DefaultParagraphFont"/>
    <w:rsid w:val="00580283"/>
  </w:style>
  <w:style w:type="character" w:customStyle="1" w:styleId="Heading1Char">
    <w:name w:val="Heading 1 Char"/>
    <w:basedOn w:val="DefaultParagraphFont"/>
    <w:link w:val="Heading1"/>
    <w:rsid w:val="00580283"/>
    <w:rPr>
      <w:b/>
      <w:caps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80283"/>
    <w:rPr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80283"/>
    <w:rPr>
      <w:b/>
      <w:sz w:val="24"/>
      <w:lang w:val="ru-RU" w:eastAsia="en-US"/>
    </w:rPr>
  </w:style>
  <w:style w:type="character" w:customStyle="1" w:styleId="Heading5Char">
    <w:name w:val="Heading 5 Char"/>
    <w:basedOn w:val="DefaultParagraphFont"/>
    <w:link w:val="Heading5"/>
    <w:rsid w:val="00580283"/>
    <w:rPr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80283"/>
    <w:rPr>
      <w:b/>
      <w:bCs/>
      <w:sz w:val="22"/>
      <w:szCs w:val="22"/>
      <w:lang w:val="hr-HR" w:eastAsia="en-US"/>
    </w:rPr>
  </w:style>
  <w:style w:type="character" w:customStyle="1" w:styleId="Heading7Char">
    <w:name w:val="Heading 7 Char"/>
    <w:basedOn w:val="DefaultParagraphFont"/>
    <w:link w:val="Heading7"/>
    <w:rsid w:val="00580283"/>
    <w:rPr>
      <w:sz w:val="24"/>
      <w:szCs w:val="24"/>
      <w:lang w:val="hr-HR" w:eastAsia="en-US"/>
    </w:rPr>
  </w:style>
  <w:style w:type="character" w:customStyle="1" w:styleId="Heading8Char">
    <w:name w:val="Heading 8 Char"/>
    <w:basedOn w:val="DefaultParagraphFont"/>
    <w:link w:val="Heading8"/>
    <w:rsid w:val="00580283"/>
    <w:rPr>
      <w:i/>
      <w:iCs/>
      <w:sz w:val="24"/>
      <w:szCs w:val="24"/>
      <w:lang w:val="hr-HR" w:eastAsia="en-US"/>
    </w:rPr>
  </w:style>
  <w:style w:type="character" w:customStyle="1" w:styleId="Heading9Char">
    <w:name w:val="Heading 9 Char"/>
    <w:basedOn w:val="DefaultParagraphFont"/>
    <w:link w:val="Heading9"/>
    <w:rsid w:val="00580283"/>
    <w:rPr>
      <w:rFonts w:ascii="Arial" w:hAnsi="Arial" w:cs="Arial"/>
      <w:sz w:val="22"/>
      <w:szCs w:val="22"/>
      <w:lang w:val="hr-HR" w:eastAsia="en-US"/>
    </w:rPr>
  </w:style>
  <w:style w:type="paragraph" w:styleId="BodyText2">
    <w:name w:val="Body Text 2"/>
    <w:basedOn w:val="Normal"/>
    <w:link w:val="BodyText2Char"/>
    <w:rsid w:val="00580283"/>
    <w:pPr>
      <w:jc w:val="both"/>
    </w:pPr>
    <w:rPr>
      <w:rFonts w:ascii="Arial" w:hAnsi="Arial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rsid w:val="00580283"/>
    <w:rPr>
      <w:rFonts w:ascii="Arial" w:hAnsi="Arial"/>
      <w:sz w:val="24"/>
      <w:lang w:val="hr-HR" w:eastAsia="en-US"/>
    </w:rPr>
  </w:style>
  <w:style w:type="paragraph" w:styleId="ListNumber">
    <w:name w:val="List Number"/>
    <w:basedOn w:val="Normal"/>
    <w:rsid w:val="00580283"/>
    <w:pPr>
      <w:numPr>
        <w:numId w:val="15"/>
      </w:numPr>
    </w:pPr>
    <w:rPr>
      <w:rFonts w:ascii="Arial" w:hAnsi="Arial"/>
      <w:szCs w:val="20"/>
      <w:lang w:val="hr-HR"/>
    </w:rPr>
  </w:style>
  <w:style w:type="table" w:styleId="TableGrid">
    <w:name w:val="Table Grid"/>
    <w:basedOn w:val="TableNormal"/>
    <w:rsid w:val="0058028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80283"/>
    <w:pPr>
      <w:spacing w:after="120"/>
    </w:pPr>
    <w:rPr>
      <w:rFonts w:ascii="Arial" w:hAnsi="Arial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80283"/>
    <w:rPr>
      <w:rFonts w:ascii="Arial" w:hAnsi="Arial"/>
      <w:sz w:val="24"/>
      <w:lang w:val="hr-HR" w:eastAsia="en-US"/>
    </w:rPr>
  </w:style>
  <w:style w:type="paragraph" w:styleId="BodyText3">
    <w:name w:val="Body Text 3"/>
    <w:basedOn w:val="Normal"/>
    <w:link w:val="BodyText3Char"/>
    <w:rsid w:val="00580283"/>
    <w:pPr>
      <w:spacing w:after="120"/>
    </w:pPr>
    <w:rPr>
      <w:rFonts w:ascii="Arial" w:hAnsi="Arial"/>
      <w:sz w:val="16"/>
      <w:szCs w:val="16"/>
      <w:lang w:val="hr-HR"/>
    </w:rPr>
  </w:style>
  <w:style w:type="character" w:customStyle="1" w:styleId="BodyText3Char">
    <w:name w:val="Body Text 3 Char"/>
    <w:basedOn w:val="DefaultParagraphFont"/>
    <w:link w:val="BodyText3"/>
    <w:rsid w:val="00580283"/>
    <w:rPr>
      <w:rFonts w:ascii="Arial" w:hAnsi="Arial"/>
      <w:sz w:val="16"/>
      <w:szCs w:val="16"/>
      <w:lang w:val="hr-HR" w:eastAsia="en-US"/>
    </w:rPr>
  </w:style>
  <w:style w:type="paragraph" w:styleId="PlainText">
    <w:name w:val="Plain Text"/>
    <w:basedOn w:val="Normal"/>
    <w:link w:val="PlainTextChar"/>
    <w:rsid w:val="00580283"/>
    <w:rPr>
      <w:rFonts w:ascii="Courier New" w:hAnsi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580283"/>
    <w:rPr>
      <w:rFonts w:ascii="Courier New" w:hAnsi="Courier New"/>
      <w:lang w:val="en-US" w:eastAsia="en-US" w:bidi="he-IL"/>
    </w:rPr>
  </w:style>
  <w:style w:type="paragraph" w:customStyle="1" w:styleId="IntoksikacijesaovimpreparatomsuupreporueenomdoziranjunemogueeSobzromda">
    <w:name w:val="Intoksikacije sa ovim preparatom su u preporueenom doziranju nemoguee. S obzromda"/>
    <w:basedOn w:val="Normal"/>
    <w:rsid w:val="00580283"/>
    <w:rPr>
      <w:rFonts w:ascii="Arial" w:eastAsia="Univers Condensed" w:hAnsi="Arial"/>
      <w:szCs w:val="20"/>
      <w:lang w:val="en-GB"/>
    </w:rPr>
  </w:style>
  <w:style w:type="character" w:styleId="Strong">
    <w:name w:val="Strong"/>
    <w:basedOn w:val="DefaultParagraphFont"/>
    <w:qFormat/>
    <w:rsid w:val="00580283"/>
    <w:rPr>
      <w:b/>
      <w:bCs/>
    </w:rPr>
  </w:style>
  <w:style w:type="paragraph" w:styleId="NormalWeb">
    <w:name w:val="Normal (Web)"/>
    <w:basedOn w:val="Normal"/>
    <w:rsid w:val="00580283"/>
    <w:pPr>
      <w:spacing w:before="100" w:beforeAutospacing="1" w:after="100" w:afterAutospacing="1"/>
    </w:pPr>
    <w:rPr>
      <w:color w:val="000000"/>
    </w:rPr>
  </w:style>
  <w:style w:type="character" w:customStyle="1" w:styleId="HeaderChar">
    <w:name w:val="Header Char"/>
    <w:basedOn w:val="DefaultParagraphFont"/>
    <w:link w:val="Header"/>
    <w:rsid w:val="00580283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80283"/>
    <w:rPr>
      <w:sz w:val="24"/>
      <w:szCs w:val="24"/>
      <w:lang w:val="en-US" w:eastAsia="en-US"/>
    </w:rPr>
  </w:style>
  <w:style w:type="paragraph" w:customStyle="1" w:styleId="Default">
    <w:name w:val="Default"/>
    <w:rsid w:val="005802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80283"/>
    <w:pPr>
      <w:ind w:left="720"/>
      <w:contextualSpacing/>
    </w:pPr>
    <w:rPr>
      <w:rFonts w:ascii="Arial" w:hAnsi="Arial"/>
      <w:szCs w:val="20"/>
      <w:lang w:val="hr-HR"/>
    </w:rPr>
  </w:style>
  <w:style w:type="character" w:customStyle="1" w:styleId="shorttext">
    <w:name w:val="short_text"/>
    <w:basedOn w:val="DefaultParagraphFont"/>
    <w:rsid w:val="00580283"/>
  </w:style>
  <w:style w:type="character" w:customStyle="1" w:styleId="atn">
    <w:name w:val="atn"/>
    <w:basedOn w:val="DefaultParagraphFont"/>
    <w:rsid w:val="00580283"/>
  </w:style>
  <w:style w:type="character" w:customStyle="1" w:styleId="Heading2Char">
    <w:name w:val="Heading 2 Char"/>
    <w:basedOn w:val="DefaultParagraphFont"/>
    <w:link w:val="Heading2"/>
    <w:rsid w:val="00580283"/>
    <w:rPr>
      <w:rFonts w:ascii="Arial" w:hAnsi="Arial" w:cs="Arial"/>
      <w:i/>
      <w:iCs/>
      <w:color w:val="999999"/>
      <w:sz w:val="18"/>
      <w:szCs w:val="24"/>
      <w:lang w:val="en-US" w:eastAsia="en-US"/>
    </w:rPr>
  </w:style>
  <w:style w:type="paragraph" w:customStyle="1" w:styleId="plaintext0">
    <w:name w:val="plaintext"/>
    <w:basedOn w:val="Normal"/>
    <w:rsid w:val="00580283"/>
    <w:pPr>
      <w:spacing w:before="100" w:beforeAutospacing="1" w:after="100" w:afterAutospacing="1"/>
    </w:pPr>
    <w:rPr>
      <w:lang w:val="bs-Latn-BA" w:eastAsia="bs-Latn-BA"/>
    </w:rPr>
  </w:style>
  <w:style w:type="character" w:customStyle="1" w:styleId="CharChar">
    <w:name w:val="Char Char"/>
    <w:rsid w:val="00580283"/>
    <w:rPr>
      <w:rFonts w:ascii="Arial" w:hAnsi="Arial"/>
      <w:sz w:val="24"/>
      <w:lang w:val="en-AU"/>
    </w:rPr>
  </w:style>
  <w:style w:type="paragraph" w:styleId="BodyTextIndent">
    <w:name w:val="Body Text Indent"/>
    <w:basedOn w:val="Normal"/>
    <w:link w:val="BodyTextIndentChar"/>
    <w:rsid w:val="005802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8028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B5796-4A14-4FCF-9CD4-EC59C24F1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4319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28886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17</cp:revision>
  <dcterms:created xsi:type="dcterms:W3CDTF">2023-08-02T11:10:00Z</dcterms:created>
  <dcterms:modified xsi:type="dcterms:W3CDTF">2024-02-22T10:55:00Z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