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1E55F" w14:textId="77777777" w:rsidR="00F91C7B" w:rsidRPr="00230C58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4E92A34" w14:textId="77777777" w:rsidR="002510A5" w:rsidRPr="00230C58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230C58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4004EBAD" w14:textId="77777777" w:rsidR="002510A5" w:rsidRPr="00230C58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17D21D13" w14:textId="77777777" w:rsidR="003C17AB" w:rsidRPr="00230C58" w:rsidRDefault="003C17AB" w:rsidP="00CA1FEB">
      <w:pPr>
        <w:rPr>
          <w:sz w:val="22"/>
          <w:szCs w:val="22"/>
          <w:lang w:val="sr-Latn-ME"/>
        </w:rPr>
      </w:pPr>
    </w:p>
    <w:p w14:paraId="33D3E3B1" w14:textId="77777777" w:rsidR="00411B4B" w:rsidRPr="00230C58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30C58">
        <w:rPr>
          <w:b/>
          <w:bCs/>
          <w:sz w:val="22"/>
          <w:szCs w:val="22"/>
          <w:lang w:val="sr-Latn-ME"/>
        </w:rPr>
        <w:t>1.</w:t>
      </w:r>
      <w:r w:rsidR="00F5167F" w:rsidRPr="00230C58">
        <w:rPr>
          <w:b/>
          <w:bCs/>
          <w:sz w:val="22"/>
          <w:szCs w:val="22"/>
          <w:lang w:val="sr-Latn-ME"/>
        </w:rPr>
        <w:tab/>
      </w:r>
      <w:r w:rsidR="002846DB" w:rsidRPr="00230C58">
        <w:rPr>
          <w:b/>
          <w:bCs/>
          <w:sz w:val="22"/>
          <w:szCs w:val="22"/>
          <w:lang w:val="sr-Latn-ME"/>
        </w:rPr>
        <w:t xml:space="preserve">NAZIV </w:t>
      </w:r>
      <w:r w:rsidRPr="00230C58">
        <w:rPr>
          <w:b/>
          <w:bCs/>
          <w:sz w:val="22"/>
          <w:szCs w:val="22"/>
          <w:lang w:val="sr-Latn-ME"/>
        </w:rPr>
        <w:t>LIJEKA</w:t>
      </w:r>
    </w:p>
    <w:p w14:paraId="62D2DE7B" w14:textId="77777777" w:rsidR="00EC2532" w:rsidRPr="00230C58" w:rsidRDefault="00EC2532">
      <w:pPr>
        <w:rPr>
          <w:sz w:val="22"/>
          <w:szCs w:val="22"/>
          <w:lang w:val="sr-Latn-ME"/>
        </w:rPr>
      </w:pPr>
    </w:p>
    <w:p w14:paraId="0505956E" w14:textId="7AE936AC" w:rsidR="000D425A" w:rsidRPr="00230C58" w:rsidRDefault="0073776C">
      <w:pPr>
        <w:rPr>
          <w:bCs/>
          <w:sz w:val="22"/>
          <w:szCs w:val="22"/>
          <w:lang w:val="sr-Latn-ME"/>
        </w:rPr>
      </w:pPr>
      <w:r w:rsidRPr="00230C58">
        <w:rPr>
          <w:iCs/>
          <w:sz w:val="22"/>
          <w:szCs w:val="22"/>
          <w:lang w:val="sr-Latn-ME"/>
        </w:rPr>
        <w:t xml:space="preserve">ESMERON, 50 mg/5 </w:t>
      </w:r>
      <w:r w:rsidR="00143302" w:rsidRPr="00230C58">
        <w:rPr>
          <w:iCs/>
          <w:sz w:val="22"/>
          <w:szCs w:val="22"/>
          <w:lang w:val="sr-Latn-ME"/>
        </w:rPr>
        <w:t>ml</w:t>
      </w:r>
      <w:r w:rsidRPr="00230C58">
        <w:rPr>
          <w:iCs/>
          <w:sz w:val="22"/>
          <w:szCs w:val="22"/>
          <w:lang w:val="sr-Latn-ME"/>
        </w:rPr>
        <w:t>, rastvor za injekciju/infuziju</w:t>
      </w:r>
    </w:p>
    <w:p w14:paraId="596DB452" w14:textId="77777777" w:rsidR="0073776C" w:rsidRPr="00230C58" w:rsidRDefault="0073776C" w:rsidP="006D20A5">
      <w:pPr>
        <w:rPr>
          <w:sz w:val="22"/>
          <w:szCs w:val="22"/>
          <w:lang w:val="sr-Latn-ME"/>
        </w:rPr>
      </w:pPr>
    </w:p>
    <w:p w14:paraId="0317E141" w14:textId="5FE36788" w:rsidR="006D20A5" w:rsidRPr="00230C58" w:rsidRDefault="006D20A5">
      <w:pPr>
        <w:rPr>
          <w:sz w:val="22"/>
          <w:szCs w:val="22"/>
          <w:lang w:val="sr-Latn-ME"/>
        </w:rPr>
      </w:pPr>
      <w:r w:rsidRPr="00230C58">
        <w:rPr>
          <w:sz w:val="22"/>
          <w:szCs w:val="22"/>
          <w:lang w:val="sr-Latn-ME"/>
        </w:rPr>
        <w:t>INN:</w:t>
      </w:r>
      <w:r w:rsidR="0073776C" w:rsidRPr="00230C58">
        <w:rPr>
          <w:sz w:val="22"/>
          <w:szCs w:val="22"/>
          <w:lang w:val="sr-Latn-ME"/>
        </w:rPr>
        <w:t xml:space="preserve"> </w:t>
      </w:r>
      <w:proofErr w:type="spellStart"/>
      <w:r w:rsidR="0073776C" w:rsidRPr="00230C58">
        <w:rPr>
          <w:sz w:val="22"/>
          <w:szCs w:val="22"/>
          <w:lang w:val="sr-Latn-ME"/>
        </w:rPr>
        <w:t>rokuronijum</w:t>
      </w:r>
      <w:proofErr w:type="spellEnd"/>
      <w:r w:rsidR="00F70770" w:rsidRPr="00230C58">
        <w:rPr>
          <w:sz w:val="22"/>
          <w:szCs w:val="22"/>
          <w:lang w:val="sr-Latn-ME"/>
        </w:rPr>
        <w:t xml:space="preserve"> </w:t>
      </w:r>
      <w:r w:rsidR="0073776C" w:rsidRPr="00230C58">
        <w:rPr>
          <w:sz w:val="22"/>
          <w:szCs w:val="22"/>
          <w:lang w:val="sr-Latn-ME"/>
        </w:rPr>
        <w:t>bromid</w:t>
      </w:r>
    </w:p>
    <w:p w14:paraId="46292E2A" w14:textId="26D2A2B7" w:rsidR="00530BD7" w:rsidRPr="00230C58" w:rsidRDefault="00530BD7">
      <w:pPr>
        <w:rPr>
          <w:bCs/>
          <w:sz w:val="22"/>
          <w:szCs w:val="22"/>
          <w:lang w:val="sr-Latn-ME"/>
        </w:rPr>
      </w:pPr>
    </w:p>
    <w:p w14:paraId="79B91706" w14:textId="77777777" w:rsidR="00F54088" w:rsidRPr="00230C58" w:rsidRDefault="00F54088">
      <w:pPr>
        <w:rPr>
          <w:bCs/>
          <w:sz w:val="22"/>
          <w:szCs w:val="22"/>
          <w:lang w:val="sr-Latn-ME"/>
        </w:rPr>
      </w:pPr>
    </w:p>
    <w:p w14:paraId="34DCD9E7" w14:textId="77777777" w:rsidR="00411B4B" w:rsidRPr="00230C58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30C58">
        <w:rPr>
          <w:b/>
          <w:bCs/>
          <w:sz w:val="22"/>
          <w:szCs w:val="22"/>
          <w:lang w:val="sr-Latn-ME"/>
        </w:rPr>
        <w:t xml:space="preserve">2. </w:t>
      </w:r>
      <w:r w:rsidR="00F5167F" w:rsidRPr="00230C58">
        <w:rPr>
          <w:b/>
          <w:bCs/>
          <w:sz w:val="22"/>
          <w:szCs w:val="22"/>
          <w:lang w:val="sr-Latn-ME"/>
        </w:rPr>
        <w:tab/>
      </w:r>
      <w:r w:rsidRPr="00230C58">
        <w:rPr>
          <w:b/>
          <w:bCs/>
          <w:sz w:val="22"/>
          <w:szCs w:val="22"/>
          <w:lang w:val="sr-Latn-ME"/>
        </w:rPr>
        <w:t>KVALITATIVNI I KVANTITATIVNI SASTAV</w:t>
      </w:r>
    </w:p>
    <w:p w14:paraId="17A038D4" w14:textId="4DF3F048" w:rsidR="005A0B2E" w:rsidRPr="00230C58" w:rsidRDefault="005A0B2E">
      <w:pPr>
        <w:rPr>
          <w:sz w:val="22"/>
          <w:szCs w:val="22"/>
          <w:lang w:val="sr-Latn-ME"/>
        </w:rPr>
      </w:pPr>
    </w:p>
    <w:p w14:paraId="6EBCC0A1" w14:textId="6E7B22C6" w:rsidR="0073776C" w:rsidRPr="00230C58" w:rsidRDefault="0073776C" w:rsidP="0073776C">
      <w:pPr>
        <w:rPr>
          <w:sz w:val="22"/>
          <w:szCs w:val="22"/>
          <w:lang w:val="sr-Latn-ME"/>
        </w:rPr>
      </w:pPr>
      <w:r w:rsidRPr="00230C58">
        <w:rPr>
          <w:sz w:val="22"/>
          <w:szCs w:val="22"/>
          <w:lang w:val="sr-Latn-ME"/>
        </w:rPr>
        <w:t xml:space="preserve">1 </w:t>
      </w:r>
      <w:r w:rsidR="00143302" w:rsidRPr="00230C58">
        <w:rPr>
          <w:sz w:val="22"/>
          <w:szCs w:val="22"/>
          <w:lang w:val="sr-Latn-ME"/>
        </w:rPr>
        <w:t>ml</w:t>
      </w:r>
      <w:r w:rsidRPr="00230C58">
        <w:rPr>
          <w:sz w:val="22"/>
          <w:szCs w:val="22"/>
          <w:lang w:val="sr-Latn-ME"/>
        </w:rPr>
        <w:t xml:space="preserve"> rastvora za injekciju/infuziju sadrži 10 mg </w:t>
      </w:r>
      <w:proofErr w:type="spellStart"/>
      <w:r w:rsidRPr="00230C58">
        <w:rPr>
          <w:sz w:val="22"/>
          <w:szCs w:val="22"/>
          <w:lang w:val="sr-Latn-ME"/>
        </w:rPr>
        <w:t>rokuronijum</w:t>
      </w:r>
      <w:proofErr w:type="spellEnd"/>
      <w:r w:rsidR="00F70770" w:rsidRPr="00230C58">
        <w:rPr>
          <w:sz w:val="22"/>
          <w:szCs w:val="22"/>
          <w:lang w:val="sr-Latn-ME"/>
        </w:rPr>
        <w:t xml:space="preserve"> </w:t>
      </w:r>
      <w:r w:rsidRPr="00230C58">
        <w:rPr>
          <w:sz w:val="22"/>
          <w:szCs w:val="22"/>
          <w:lang w:val="sr-Latn-ME"/>
        </w:rPr>
        <w:t xml:space="preserve">bromida. </w:t>
      </w:r>
    </w:p>
    <w:p w14:paraId="5A36DAEC" w14:textId="77777777" w:rsidR="0073776C" w:rsidRPr="00230C58" w:rsidRDefault="0073776C" w:rsidP="0073776C">
      <w:pPr>
        <w:rPr>
          <w:sz w:val="22"/>
          <w:szCs w:val="22"/>
          <w:lang w:val="sr-Latn-ME"/>
        </w:rPr>
      </w:pPr>
    </w:p>
    <w:p w14:paraId="05797052" w14:textId="53A89AAF" w:rsidR="0073776C" w:rsidRPr="00230C58" w:rsidRDefault="0073776C" w:rsidP="0073776C">
      <w:pPr>
        <w:rPr>
          <w:sz w:val="22"/>
          <w:szCs w:val="22"/>
          <w:lang w:val="sr-Latn-ME"/>
        </w:rPr>
      </w:pPr>
      <w:r w:rsidRPr="00230C58">
        <w:rPr>
          <w:sz w:val="22"/>
          <w:szCs w:val="22"/>
          <w:lang w:val="sr-Latn-ME"/>
        </w:rPr>
        <w:t xml:space="preserve">5 </w:t>
      </w:r>
      <w:r w:rsidR="00143302" w:rsidRPr="00230C58">
        <w:rPr>
          <w:sz w:val="22"/>
          <w:szCs w:val="22"/>
          <w:lang w:val="sr-Latn-ME"/>
        </w:rPr>
        <w:t>ml</w:t>
      </w:r>
      <w:r w:rsidRPr="00230C58">
        <w:rPr>
          <w:sz w:val="22"/>
          <w:szCs w:val="22"/>
          <w:lang w:val="sr-Latn-ME"/>
        </w:rPr>
        <w:t xml:space="preserve"> rastvora za injekciju/infuziju sadrži 50 mg </w:t>
      </w:r>
      <w:proofErr w:type="spellStart"/>
      <w:r w:rsidRPr="00230C58">
        <w:rPr>
          <w:sz w:val="22"/>
          <w:szCs w:val="22"/>
          <w:lang w:val="sr-Latn-ME"/>
        </w:rPr>
        <w:t>rokuronijum</w:t>
      </w:r>
      <w:proofErr w:type="spellEnd"/>
      <w:r w:rsidR="00F70770" w:rsidRPr="00230C58">
        <w:rPr>
          <w:sz w:val="22"/>
          <w:szCs w:val="22"/>
          <w:lang w:val="sr-Latn-ME"/>
        </w:rPr>
        <w:t xml:space="preserve"> </w:t>
      </w:r>
      <w:r w:rsidRPr="00230C58">
        <w:rPr>
          <w:sz w:val="22"/>
          <w:szCs w:val="22"/>
          <w:lang w:val="sr-Latn-ME"/>
        </w:rPr>
        <w:t>bromida.</w:t>
      </w:r>
    </w:p>
    <w:p w14:paraId="1ED6B270" w14:textId="77777777" w:rsidR="0073776C" w:rsidRPr="00230C58" w:rsidRDefault="0073776C" w:rsidP="0073776C">
      <w:pPr>
        <w:rPr>
          <w:sz w:val="22"/>
          <w:szCs w:val="22"/>
          <w:lang w:val="sr-Latn-ME"/>
        </w:rPr>
      </w:pPr>
    </w:p>
    <w:p w14:paraId="2D883274" w14:textId="77777777" w:rsidR="0073776C" w:rsidRPr="00230C58" w:rsidRDefault="0073776C" w:rsidP="0073776C">
      <w:pPr>
        <w:rPr>
          <w:sz w:val="22"/>
          <w:szCs w:val="22"/>
          <w:u w:val="single"/>
          <w:lang w:val="sr-Latn-ME"/>
        </w:rPr>
      </w:pPr>
      <w:r w:rsidRPr="00230C58">
        <w:rPr>
          <w:sz w:val="22"/>
          <w:szCs w:val="22"/>
          <w:u w:val="single"/>
          <w:lang w:val="sr-Latn-ME"/>
        </w:rPr>
        <w:t>Pomoćna supstanca sa potvrđenim dejstvom</w:t>
      </w:r>
    </w:p>
    <w:p w14:paraId="2255D798" w14:textId="064311A1" w:rsidR="0073776C" w:rsidRPr="00230C58" w:rsidRDefault="0073776C" w:rsidP="0073776C">
      <w:pPr>
        <w:rPr>
          <w:sz w:val="22"/>
          <w:szCs w:val="22"/>
          <w:lang w:val="sr-Latn-ME"/>
        </w:rPr>
      </w:pPr>
      <w:r w:rsidRPr="00230C58">
        <w:rPr>
          <w:sz w:val="22"/>
          <w:szCs w:val="22"/>
          <w:lang w:val="sr-Latn-ME"/>
        </w:rPr>
        <w:t xml:space="preserve">1 </w:t>
      </w:r>
      <w:r w:rsidR="00143302" w:rsidRPr="00230C58">
        <w:rPr>
          <w:sz w:val="22"/>
          <w:szCs w:val="22"/>
          <w:lang w:val="sr-Latn-ME"/>
        </w:rPr>
        <w:t>ml</w:t>
      </w:r>
      <w:r w:rsidRPr="00230C58">
        <w:rPr>
          <w:sz w:val="22"/>
          <w:szCs w:val="22"/>
          <w:lang w:val="sr-Latn-ME"/>
        </w:rPr>
        <w:t xml:space="preserve"> rastvora sadrži 0,07 </w:t>
      </w:r>
      <w:proofErr w:type="spellStart"/>
      <w:r w:rsidRPr="00230C58">
        <w:rPr>
          <w:sz w:val="22"/>
          <w:szCs w:val="22"/>
          <w:lang w:val="sr-Latn-ME"/>
        </w:rPr>
        <w:t>mmol</w:t>
      </w:r>
      <w:proofErr w:type="spellEnd"/>
      <w:r w:rsidRPr="00230C58">
        <w:rPr>
          <w:sz w:val="22"/>
          <w:szCs w:val="22"/>
          <w:lang w:val="sr-Latn-ME"/>
        </w:rPr>
        <w:t xml:space="preserve"> (1,64 mg) natrijuma.</w:t>
      </w:r>
    </w:p>
    <w:p w14:paraId="44A54F0B" w14:textId="77777777" w:rsidR="0073776C" w:rsidRPr="00230C58" w:rsidRDefault="0073776C" w:rsidP="0073776C">
      <w:pPr>
        <w:rPr>
          <w:sz w:val="22"/>
          <w:szCs w:val="22"/>
          <w:lang w:val="sr-Latn-ME"/>
        </w:rPr>
      </w:pPr>
    </w:p>
    <w:p w14:paraId="34F00447" w14:textId="14D62547" w:rsidR="0003793F" w:rsidRPr="00230C58" w:rsidRDefault="0003793F">
      <w:pPr>
        <w:rPr>
          <w:sz w:val="22"/>
          <w:szCs w:val="22"/>
          <w:lang w:val="sr-Latn-ME"/>
        </w:rPr>
      </w:pPr>
      <w:r w:rsidRPr="00230C58">
        <w:rPr>
          <w:sz w:val="22"/>
          <w:szCs w:val="22"/>
          <w:lang w:val="sr-Latn-ME"/>
        </w:rPr>
        <w:t xml:space="preserve">Za spisak svih </w:t>
      </w:r>
      <w:proofErr w:type="spellStart"/>
      <w:r w:rsidRPr="00230C58">
        <w:rPr>
          <w:sz w:val="22"/>
          <w:szCs w:val="22"/>
          <w:lang w:val="sr-Latn-ME"/>
        </w:rPr>
        <w:t>ekscipijenasa</w:t>
      </w:r>
      <w:proofErr w:type="spellEnd"/>
      <w:r w:rsidRPr="00230C58">
        <w:rPr>
          <w:sz w:val="22"/>
          <w:szCs w:val="22"/>
          <w:lang w:val="sr-Latn-ME"/>
        </w:rPr>
        <w:t>, pogledati dio 6.1.</w:t>
      </w:r>
    </w:p>
    <w:p w14:paraId="76E0F586" w14:textId="4F56B322" w:rsidR="00C37FD7" w:rsidRPr="00230C58" w:rsidRDefault="00C37FD7">
      <w:pPr>
        <w:rPr>
          <w:sz w:val="22"/>
          <w:szCs w:val="22"/>
          <w:lang w:val="sr-Latn-ME"/>
        </w:rPr>
      </w:pPr>
    </w:p>
    <w:p w14:paraId="4C22F5D2" w14:textId="77777777" w:rsidR="00F54088" w:rsidRPr="00230C58" w:rsidRDefault="00F54088">
      <w:pPr>
        <w:rPr>
          <w:sz w:val="22"/>
          <w:szCs w:val="22"/>
          <w:lang w:val="sr-Latn-ME"/>
        </w:rPr>
      </w:pPr>
    </w:p>
    <w:p w14:paraId="2F381ECD" w14:textId="77777777" w:rsidR="00411B4B" w:rsidRPr="00230C58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30C58">
        <w:rPr>
          <w:b/>
          <w:bCs/>
          <w:sz w:val="22"/>
          <w:szCs w:val="22"/>
          <w:lang w:val="sr-Latn-ME"/>
        </w:rPr>
        <w:t xml:space="preserve">3. </w:t>
      </w:r>
      <w:r w:rsidR="00F5167F" w:rsidRPr="00230C58">
        <w:rPr>
          <w:b/>
          <w:bCs/>
          <w:sz w:val="22"/>
          <w:szCs w:val="22"/>
          <w:lang w:val="sr-Latn-ME"/>
        </w:rPr>
        <w:tab/>
      </w:r>
      <w:r w:rsidRPr="00230C58">
        <w:rPr>
          <w:b/>
          <w:bCs/>
          <w:sz w:val="22"/>
          <w:szCs w:val="22"/>
          <w:lang w:val="sr-Latn-ME"/>
        </w:rPr>
        <w:t>FARMACEUTSKI OBLIK</w:t>
      </w:r>
      <w:r w:rsidR="009F2D23" w:rsidRPr="00230C58">
        <w:rPr>
          <w:b/>
          <w:bCs/>
          <w:sz w:val="22"/>
          <w:szCs w:val="22"/>
          <w:lang w:val="sr-Latn-ME"/>
        </w:rPr>
        <w:t xml:space="preserve"> </w:t>
      </w:r>
    </w:p>
    <w:p w14:paraId="17026189" w14:textId="17D46D3B" w:rsidR="00411B4B" w:rsidRPr="00230C58" w:rsidRDefault="00411B4B">
      <w:pPr>
        <w:rPr>
          <w:bCs/>
          <w:sz w:val="22"/>
          <w:szCs w:val="22"/>
          <w:lang w:val="sr-Latn-ME"/>
        </w:rPr>
      </w:pPr>
    </w:p>
    <w:p w14:paraId="53045D0B" w14:textId="77777777" w:rsidR="0073776C" w:rsidRPr="00230C58" w:rsidRDefault="0073776C" w:rsidP="0073776C">
      <w:pPr>
        <w:rPr>
          <w:bCs/>
          <w:sz w:val="22"/>
          <w:szCs w:val="22"/>
          <w:lang w:val="sr-Latn-ME"/>
        </w:rPr>
      </w:pPr>
      <w:r w:rsidRPr="00230C58">
        <w:rPr>
          <w:bCs/>
          <w:sz w:val="22"/>
          <w:szCs w:val="22"/>
          <w:lang w:val="sr-Latn-ME"/>
        </w:rPr>
        <w:t>Rastvor za injekciju/infuziju.</w:t>
      </w:r>
    </w:p>
    <w:p w14:paraId="69724A08" w14:textId="77777777" w:rsidR="0073776C" w:rsidRPr="00230C58" w:rsidRDefault="0073776C" w:rsidP="0073776C">
      <w:pPr>
        <w:rPr>
          <w:bCs/>
          <w:sz w:val="22"/>
          <w:szCs w:val="22"/>
          <w:lang w:val="sr-Latn-ME"/>
        </w:rPr>
      </w:pPr>
    </w:p>
    <w:p w14:paraId="608F0958" w14:textId="1D92EAEA" w:rsidR="0073776C" w:rsidRPr="00230C58" w:rsidRDefault="0073776C" w:rsidP="0073776C">
      <w:pPr>
        <w:rPr>
          <w:bCs/>
          <w:sz w:val="22"/>
          <w:szCs w:val="22"/>
          <w:lang w:val="sr-Latn-ME"/>
        </w:rPr>
      </w:pPr>
      <w:r w:rsidRPr="00230C58">
        <w:rPr>
          <w:bCs/>
          <w:sz w:val="22"/>
          <w:szCs w:val="22"/>
          <w:lang w:val="sr-Latn-ME"/>
        </w:rPr>
        <w:t>Bistar bezbojan do sv</w:t>
      </w:r>
      <w:r w:rsidR="00B2737E" w:rsidRPr="00230C58">
        <w:rPr>
          <w:bCs/>
          <w:sz w:val="22"/>
          <w:szCs w:val="22"/>
          <w:lang w:val="sr-Latn-ME"/>
        </w:rPr>
        <w:t>ij</w:t>
      </w:r>
      <w:r w:rsidRPr="00230C58">
        <w:rPr>
          <w:bCs/>
          <w:sz w:val="22"/>
          <w:szCs w:val="22"/>
          <w:lang w:val="sr-Latn-ME"/>
        </w:rPr>
        <w:t>etlo žuto/smeđ, sterilan, vodeni rastvor bez prisustva vidljivih čestica.</w:t>
      </w:r>
    </w:p>
    <w:p w14:paraId="6A665925" w14:textId="77777777" w:rsidR="0073776C" w:rsidRPr="00230C58" w:rsidRDefault="0073776C" w:rsidP="0073776C">
      <w:pPr>
        <w:rPr>
          <w:bCs/>
          <w:sz w:val="22"/>
          <w:szCs w:val="22"/>
          <w:lang w:val="sr-Latn-ME"/>
        </w:rPr>
      </w:pPr>
    </w:p>
    <w:p w14:paraId="4B6F2FD3" w14:textId="224CE4C1" w:rsidR="0073776C" w:rsidRPr="00230C58" w:rsidRDefault="0073776C" w:rsidP="0073776C">
      <w:pPr>
        <w:rPr>
          <w:bCs/>
          <w:sz w:val="22"/>
          <w:szCs w:val="22"/>
          <w:lang w:val="sr-Latn-ME"/>
        </w:rPr>
      </w:pPr>
      <w:proofErr w:type="spellStart"/>
      <w:r w:rsidRPr="00230C58">
        <w:rPr>
          <w:bCs/>
          <w:sz w:val="22"/>
          <w:szCs w:val="22"/>
          <w:lang w:val="sr-Latn-ME"/>
        </w:rPr>
        <w:t>pH</w:t>
      </w:r>
      <w:proofErr w:type="spellEnd"/>
      <w:r w:rsidRPr="00230C58">
        <w:rPr>
          <w:bCs/>
          <w:sz w:val="22"/>
          <w:szCs w:val="22"/>
          <w:lang w:val="sr-Latn-ME"/>
        </w:rPr>
        <w:t>: 3,8</w:t>
      </w:r>
      <w:r w:rsidR="00F54088" w:rsidRPr="00230C58">
        <w:rPr>
          <w:bCs/>
          <w:sz w:val="22"/>
          <w:szCs w:val="22"/>
          <w:lang w:val="sr-Latn-ME"/>
        </w:rPr>
        <w:t xml:space="preserve"> </w:t>
      </w:r>
      <w:r w:rsidRPr="00230C58">
        <w:rPr>
          <w:bCs/>
          <w:sz w:val="22"/>
          <w:szCs w:val="22"/>
          <w:lang w:val="sr-Latn-ME"/>
        </w:rPr>
        <w:t>-</w:t>
      </w:r>
      <w:r w:rsidR="00F54088" w:rsidRPr="00230C58">
        <w:rPr>
          <w:bCs/>
          <w:sz w:val="22"/>
          <w:szCs w:val="22"/>
          <w:lang w:val="sr-Latn-ME"/>
        </w:rPr>
        <w:t xml:space="preserve"> </w:t>
      </w:r>
      <w:r w:rsidRPr="00230C58">
        <w:rPr>
          <w:bCs/>
          <w:sz w:val="22"/>
          <w:szCs w:val="22"/>
          <w:lang w:val="sr-Latn-ME"/>
        </w:rPr>
        <w:t>4,2.</w:t>
      </w:r>
    </w:p>
    <w:p w14:paraId="51648E0C" w14:textId="55D11780" w:rsidR="00EC2532" w:rsidRPr="00230C58" w:rsidRDefault="00EC2532">
      <w:pPr>
        <w:rPr>
          <w:bCs/>
          <w:sz w:val="22"/>
          <w:szCs w:val="22"/>
          <w:lang w:val="sr-Latn-ME"/>
        </w:rPr>
      </w:pPr>
    </w:p>
    <w:p w14:paraId="517F68BC" w14:textId="77777777" w:rsidR="00DA3B13" w:rsidRPr="00230C58" w:rsidRDefault="00DA3B13">
      <w:pPr>
        <w:rPr>
          <w:bCs/>
          <w:sz w:val="22"/>
          <w:szCs w:val="22"/>
          <w:lang w:val="sr-Latn-ME"/>
        </w:rPr>
      </w:pPr>
    </w:p>
    <w:p w14:paraId="19AA54ED" w14:textId="77777777" w:rsidR="00411B4B" w:rsidRPr="00230C58" w:rsidRDefault="00411B4B" w:rsidP="00B805B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30C58">
        <w:rPr>
          <w:b/>
          <w:bCs/>
          <w:sz w:val="22"/>
          <w:szCs w:val="22"/>
          <w:lang w:val="sr-Latn-ME"/>
        </w:rPr>
        <w:t xml:space="preserve">4. </w:t>
      </w:r>
      <w:r w:rsidR="00480FB1" w:rsidRPr="00230C58">
        <w:rPr>
          <w:b/>
          <w:bCs/>
          <w:sz w:val="22"/>
          <w:szCs w:val="22"/>
          <w:lang w:val="sr-Latn-ME"/>
        </w:rPr>
        <w:tab/>
      </w:r>
      <w:r w:rsidRPr="00230C58">
        <w:rPr>
          <w:b/>
          <w:bCs/>
          <w:sz w:val="22"/>
          <w:szCs w:val="22"/>
          <w:lang w:val="sr-Latn-ME"/>
        </w:rPr>
        <w:t>KLINIČKI PODACI</w:t>
      </w:r>
    </w:p>
    <w:p w14:paraId="3688D786" w14:textId="77777777" w:rsidR="00CD6F02" w:rsidRPr="00230C58" w:rsidRDefault="00CD6F02" w:rsidP="00B805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AC0F7D6" w14:textId="77777777" w:rsidR="00411B4B" w:rsidRPr="00230C58" w:rsidRDefault="00411B4B" w:rsidP="00B805B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30C58">
        <w:rPr>
          <w:b/>
          <w:bCs/>
          <w:sz w:val="22"/>
          <w:szCs w:val="22"/>
          <w:lang w:val="sr-Latn-ME"/>
        </w:rPr>
        <w:t xml:space="preserve">4.1. </w:t>
      </w:r>
      <w:r w:rsidR="00480FB1" w:rsidRPr="00230C58">
        <w:rPr>
          <w:b/>
          <w:bCs/>
          <w:sz w:val="22"/>
          <w:szCs w:val="22"/>
          <w:lang w:val="sr-Latn-ME"/>
        </w:rPr>
        <w:tab/>
      </w:r>
      <w:r w:rsidRPr="00230C58">
        <w:rPr>
          <w:b/>
          <w:bCs/>
          <w:sz w:val="22"/>
          <w:szCs w:val="22"/>
          <w:lang w:val="sr-Latn-ME"/>
        </w:rPr>
        <w:t>Terapijske indikacije</w:t>
      </w:r>
    </w:p>
    <w:p w14:paraId="4E8B3039" w14:textId="77777777" w:rsidR="0073776C" w:rsidRPr="00230C58" w:rsidRDefault="0073776C" w:rsidP="00B805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7F0A383" w14:textId="5A6B64C8" w:rsidR="00411B4B" w:rsidRPr="00230C58" w:rsidRDefault="0073776C" w:rsidP="0055088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30C58">
        <w:rPr>
          <w:bCs/>
          <w:sz w:val="22"/>
          <w:szCs w:val="22"/>
          <w:lang w:val="sr-Latn-ME"/>
        </w:rPr>
        <w:t>L</w:t>
      </w:r>
      <w:r w:rsidR="00B2737E" w:rsidRPr="00230C58">
        <w:rPr>
          <w:bCs/>
          <w:sz w:val="22"/>
          <w:szCs w:val="22"/>
          <w:lang w:val="sr-Latn-ME"/>
        </w:rPr>
        <w:t>ij</w:t>
      </w:r>
      <w:r w:rsidRPr="00230C58">
        <w:rPr>
          <w:bCs/>
          <w:sz w:val="22"/>
          <w:szCs w:val="22"/>
          <w:lang w:val="sr-Latn-ME"/>
        </w:rPr>
        <w:t xml:space="preserve">ek </w:t>
      </w:r>
      <w:proofErr w:type="spellStart"/>
      <w:r w:rsidRPr="00230C58">
        <w:rPr>
          <w:bCs/>
          <w:sz w:val="22"/>
          <w:szCs w:val="22"/>
          <w:lang w:val="sr-Latn-ME"/>
        </w:rPr>
        <w:t>ESMERON</w:t>
      </w:r>
      <w:proofErr w:type="spellEnd"/>
      <w:r w:rsidRPr="00230C58">
        <w:rPr>
          <w:bCs/>
          <w:sz w:val="22"/>
          <w:szCs w:val="22"/>
          <w:lang w:val="sr-Latn-ME"/>
        </w:rPr>
        <w:t xml:space="preserve"> je </w:t>
      </w:r>
      <w:proofErr w:type="spellStart"/>
      <w:r w:rsidRPr="00230C58">
        <w:rPr>
          <w:bCs/>
          <w:sz w:val="22"/>
          <w:szCs w:val="22"/>
          <w:lang w:val="sr-Latn-ME"/>
        </w:rPr>
        <w:t>indikovan</w:t>
      </w:r>
      <w:proofErr w:type="spellEnd"/>
      <w:r w:rsidRPr="00230C58">
        <w:rPr>
          <w:bCs/>
          <w:sz w:val="22"/>
          <w:szCs w:val="22"/>
          <w:lang w:val="sr-Latn-ME"/>
        </w:rPr>
        <w:t xml:space="preserve"> kod odraslih i pedijatrijskih pacijenata (od novorođenčadi rođene u terminu do adolescenata [od 0 do &lt; 18 godina]) kao dodatak opštoj anesteziji za olakšavanje </w:t>
      </w:r>
      <w:proofErr w:type="spellStart"/>
      <w:r w:rsidRPr="00230C58">
        <w:rPr>
          <w:bCs/>
          <w:sz w:val="22"/>
          <w:szCs w:val="22"/>
          <w:lang w:val="sr-Latn-ME"/>
        </w:rPr>
        <w:t>trahealne</w:t>
      </w:r>
      <w:proofErr w:type="spellEnd"/>
      <w:r w:rsidRPr="00230C58">
        <w:rPr>
          <w:bCs/>
          <w:sz w:val="22"/>
          <w:szCs w:val="22"/>
          <w:lang w:val="sr-Latn-ME"/>
        </w:rPr>
        <w:t xml:space="preserve"> </w:t>
      </w:r>
      <w:proofErr w:type="spellStart"/>
      <w:r w:rsidRPr="00230C58">
        <w:rPr>
          <w:bCs/>
          <w:sz w:val="22"/>
          <w:szCs w:val="22"/>
          <w:lang w:val="sr-Latn-ME"/>
        </w:rPr>
        <w:t>intubacije</w:t>
      </w:r>
      <w:proofErr w:type="spellEnd"/>
      <w:r w:rsidRPr="00230C58">
        <w:rPr>
          <w:bCs/>
          <w:sz w:val="22"/>
          <w:szCs w:val="22"/>
          <w:lang w:val="sr-Latn-ME"/>
        </w:rPr>
        <w:t xml:space="preserve"> tokom rutinskog uvođenja u anesteziju i za obezb</w:t>
      </w:r>
      <w:r w:rsidR="00B2737E" w:rsidRPr="00230C58">
        <w:rPr>
          <w:bCs/>
          <w:sz w:val="22"/>
          <w:szCs w:val="22"/>
          <w:lang w:val="sr-Latn-ME"/>
        </w:rPr>
        <w:t>j</w:t>
      </w:r>
      <w:r w:rsidRPr="00230C58">
        <w:rPr>
          <w:bCs/>
          <w:sz w:val="22"/>
          <w:szCs w:val="22"/>
          <w:lang w:val="sr-Latn-ME"/>
        </w:rPr>
        <w:t>eđenje relaksacije skeletne muskulature tokom hirurške intervencije. Takođe, kod odraslih, l</w:t>
      </w:r>
      <w:r w:rsidR="00B2737E" w:rsidRPr="00230C58">
        <w:rPr>
          <w:bCs/>
          <w:sz w:val="22"/>
          <w:szCs w:val="22"/>
          <w:lang w:val="sr-Latn-ME"/>
        </w:rPr>
        <w:t>ij</w:t>
      </w:r>
      <w:r w:rsidRPr="00230C58">
        <w:rPr>
          <w:bCs/>
          <w:sz w:val="22"/>
          <w:szCs w:val="22"/>
          <w:lang w:val="sr-Latn-ME"/>
        </w:rPr>
        <w:t xml:space="preserve">ek </w:t>
      </w:r>
      <w:proofErr w:type="spellStart"/>
      <w:r w:rsidRPr="00230C58">
        <w:rPr>
          <w:bCs/>
          <w:sz w:val="22"/>
          <w:szCs w:val="22"/>
          <w:lang w:val="sr-Latn-ME"/>
        </w:rPr>
        <w:t>ESMERON</w:t>
      </w:r>
      <w:proofErr w:type="spellEnd"/>
      <w:r w:rsidRPr="00230C58">
        <w:rPr>
          <w:bCs/>
          <w:sz w:val="22"/>
          <w:szCs w:val="22"/>
          <w:lang w:val="sr-Latn-ME"/>
        </w:rPr>
        <w:t xml:space="preserve"> je </w:t>
      </w:r>
      <w:proofErr w:type="spellStart"/>
      <w:r w:rsidRPr="00230C58">
        <w:rPr>
          <w:bCs/>
          <w:sz w:val="22"/>
          <w:szCs w:val="22"/>
          <w:lang w:val="sr-Latn-ME"/>
        </w:rPr>
        <w:t>indikovan</w:t>
      </w:r>
      <w:proofErr w:type="spellEnd"/>
      <w:r w:rsidRPr="00230C58">
        <w:rPr>
          <w:bCs/>
          <w:sz w:val="22"/>
          <w:szCs w:val="22"/>
          <w:lang w:val="sr-Latn-ME"/>
        </w:rPr>
        <w:t xml:space="preserve"> za olakšavanje </w:t>
      </w:r>
      <w:proofErr w:type="spellStart"/>
      <w:r w:rsidRPr="00230C58">
        <w:rPr>
          <w:bCs/>
          <w:sz w:val="22"/>
          <w:szCs w:val="22"/>
          <w:lang w:val="sr-Latn-ME"/>
        </w:rPr>
        <w:t>trahealne</w:t>
      </w:r>
      <w:proofErr w:type="spellEnd"/>
      <w:r w:rsidRPr="00230C58">
        <w:rPr>
          <w:bCs/>
          <w:sz w:val="22"/>
          <w:szCs w:val="22"/>
          <w:lang w:val="sr-Latn-ME"/>
        </w:rPr>
        <w:t xml:space="preserve"> </w:t>
      </w:r>
      <w:proofErr w:type="spellStart"/>
      <w:r w:rsidRPr="00230C58">
        <w:rPr>
          <w:bCs/>
          <w:sz w:val="22"/>
          <w:szCs w:val="22"/>
          <w:lang w:val="sr-Latn-ME"/>
        </w:rPr>
        <w:t>intubacije</w:t>
      </w:r>
      <w:proofErr w:type="spellEnd"/>
      <w:r w:rsidRPr="00230C58">
        <w:rPr>
          <w:bCs/>
          <w:sz w:val="22"/>
          <w:szCs w:val="22"/>
          <w:lang w:val="sr-Latn-ME"/>
        </w:rPr>
        <w:t xml:space="preserve"> tokom brzog uvođenja u anesteziju i kao dodatak u jedinicama intenzivne </w:t>
      </w:r>
      <w:proofErr w:type="spellStart"/>
      <w:r w:rsidRPr="00230C58">
        <w:rPr>
          <w:bCs/>
          <w:sz w:val="22"/>
          <w:szCs w:val="22"/>
          <w:lang w:val="sr-Latn-ME"/>
        </w:rPr>
        <w:t>n</w:t>
      </w:r>
      <w:r w:rsidR="00B2737E" w:rsidRPr="00230C58">
        <w:rPr>
          <w:bCs/>
          <w:sz w:val="22"/>
          <w:szCs w:val="22"/>
          <w:lang w:val="sr-Latn-ME"/>
        </w:rPr>
        <w:t>j</w:t>
      </w:r>
      <w:r w:rsidRPr="00230C58">
        <w:rPr>
          <w:bCs/>
          <w:sz w:val="22"/>
          <w:szCs w:val="22"/>
          <w:lang w:val="sr-Latn-ME"/>
        </w:rPr>
        <w:t>ege</w:t>
      </w:r>
      <w:proofErr w:type="spellEnd"/>
      <w:r w:rsidRPr="00230C58">
        <w:rPr>
          <w:bCs/>
          <w:sz w:val="22"/>
          <w:szCs w:val="22"/>
          <w:lang w:val="sr-Latn-ME"/>
        </w:rPr>
        <w:t xml:space="preserve"> (JIN), za olakšavanje </w:t>
      </w:r>
      <w:proofErr w:type="spellStart"/>
      <w:r w:rsidRPr="00230C58">
        <w:rPr>
          <w:bCs/>
          <w:sz w:val="22"/>
          <w:szCs w:val="22"/>
          <w:lang w:val="sr-Latn-ME"/>
        </w:rPr>
        <w:t>intubacije</w:t>
      </w:r>
      <w:proofErr w:type="spellEnd"/>
      <w:r w:rsidRPr="00230C58">
        <w:rPr>
          <w:bCs/>
          <w:sz w:val="22"/>
          <w:szCs w:val="22"/>
          <w:lang w:val="sr-Latn-ME"/>
        </w:rPr>
        <w:t xml:space="preserve"> i mehaničke ventilacije.</w:t>
      </w:r>
    </w:p>
    <w:p w14:paraId="5ACE63AC" w14:textId="77777777" w:rsidR="0073776C" w:rsidRPr="00230C58" w:rsidRDefault="0073776C" w:rsidP="00B805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5BD991B" w14:textId="77777777" w:rsidR="00411B4B" w:rsidRPr="00230C58" w:rsidRDefault="00411B4B" w:rsidP="00B805B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30C58">
        <w:rPr>
          <w:b/>
          <w:bCs/>
          <w:sz w:val="22"/>
          <w:szCs w:val="22"/>
          <w:lang w:val="sr-Latn-ME"/>
        </w:rPr>
        <w:t xml:space="preserve">4.2. </w:t>
      </w:r>
      <w:r w:rsidR="00480FB1" w:rsidRPr="00230C58">
        <w:rPr>
          <w:b/>
          <w:bCs/>
          <w:sz w:val="22"/>
          <w:szCs w:val="22"/>
          <w:lang w:val="sr-Latn-ME"/>
        </w:rPr>
        <w:tab/>
      </w:r>
      <w:r w:rsidRPr="00230C58">
        <w:rPr>
          <w:b/>
          <w:bCs/>
          <w:sz w:val="22"/>
          <w:szCs w:val="22"/>
          <w:lang w:val="sr-Latn-ME"/>
        </w:rPr>
        <w:t>Doziranje i način primjene</w:t>
      </w:r>
    </w:p>
    <w:p w14:paraId="55A76358" w14:textId="77777777" w:rsidR="0072020E" w:rsidRPr="00230C58" w:rsidRDefault="0072020E" w:rsidP="00B805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19B0C33" w14:textId="7997F576" w:rsidR="00452E9D" w:rsidRPr="00230C58" w:rsidRDefault="00452E9D" w:rsidP="00B805B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30C58">
        <w:rPr>
          <w:bCs/>
          <w:sz w:val="22"/>
          <w:szCs w:val="22"/>
          <w:u w:val="single"/>
          <w:lang w:val="sr-Latn-ME"/>
        </w:rPr>
        <w:t>Doziranje</w:t>
      </w:r>
    </w:p>
    <w:p w14:paraId="55B0A25B" w14:textId="74516BE0" w:rsidR="0073776C" w:rsidRPr="00230C58" w:rsidRDefault="0073776C" w:rsidP="00B805B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277766FF" w14:textId="2E5D6242" w:rsidR="0073776C" w:rsidRPr="00230C58" w:rsidRDefault="0073776C" w:rsidP="00550889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Kao i drugi neuromuskularni blokatori, l</w:t>
      </w:r>
      <w:r w:rsidR="00B2737E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ek ESMERON treba da bude prim</w:t>
      </w:r>
      <w:r w:rsidR="00B2737E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enjivan od strane, ili pod nadzorom, kliničara sa iskustvom, koji poznaju dejstvo i upotrebu ovih l</w:t>
      </w:r>
      <w:r w:rsidR="00B2737E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ekova.</w:t>
      </w:r>
    </w:p>
    <w:p w14:paraId="2AB716AF" w14:textId="77777777" w:rsidR="0073776C" w:rsidRPr="00230C58" w:rsidRDefault="0073776C" w:rsidP="00550889">
      <w:pPr>
        <w:jc w:val="both"/>
        <w:rPr>
          <w:noProof/>
          <w:sz w:val="22"/>
          <w:szCs w:val="22"/>
          <w:lang w:val="sr-Latn-ME"/>
        </w:rPr>
      </w:pPr>
    </w:p>
    <w:p w14:paraId="4CEE0D71" w14:textId="7C457283" w:rsidR="0073776C" w:rsidRPr="00230C58" w:rsidRDefault="0073776C" w:rsidP="00550889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Kao i kod drugih neuromuskularnih blokatora, doziranje l</w:t>
      </w:r>
      <w:r w:rsidR="00B2737E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eka ESMERON treba da bude individualno za svakog pacijenta. Pri određivanju doze treba uzeti u obzir vrstu anestezije, očekivano trajanje hirurške intervencije, način sedacije i očekivano trajanje mehaničke ventilacije, moguću interakciju sa drugim l</w:t>
      </w:r>
      <w:r w:rsidR="00B2737E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ekovima koji se prim</w:t>
      </w:r>
      <w:r w:rsidR="00B2737E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enjuju istovremeno i stanje pacijenta.</w:t>
      </w:r>
    </w:p>
    <w:p w14:paraId="63868808" w14:textId="77777777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</w:p>
    <w:p w14:paraId="3B1D8EE5" w14:textId="0F470E1E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Korišćenje adekvatne tehnike neuromuskularnog monitoringa se preporučuje za proc</w:t>
      </w:r>
      <w:r w:rsidR="00B2737E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 xml:space="preserve">enu neuromuskularnog bloka i oporavka. </w:t>
      </w:r>
    </w:p>
    <w:p w14:paraId="2AA595AF" w14:textId="3EE28162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lastRenderedPageBreak/>
        <w:t>Inhalacioni anestetici pojačavaju neuromuskularni blok l</w:t>
      </w:r>
      <w:r w:rsidR="00B2737E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 xml:space="preserve">eka ESMERON. Ovo pojačavanje, međutim, postaje klinički relevantno tokom anestezije kada inhalacioni anestetici dostignu koncentracije u tkivima potrebne za ovu interakciju. Shodno tome, prilagođavanje doze </w:t>
      </w:r>
      <w:bookmarkStart w:id="0" w:name="_Hlk121230933"/>
      <w:r w:rsidRPr="00230C58">
        <w:rPr>
          <w:noProof/>
          <w:sz w:val="22"/>
          <w:szCs w:val="22"/>
          <w:lang w:val="sr-Latn-ME"/>
        </w:rPr>
        <w:t>l</w:t>
      </w:r>
      <w:r w:rsidR="00B2737E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 xml:space="preserve">eka ESMERON </w:t>
      </w:r>
      <w:bookmarkEnd w:id="0"/>
      <w:r w:rsidRPr="00230C58">
        <w:rPr>
          <w:noProof/>
          <w:sz w:val="22"/>
          <w:szCs w:val="22"/>
          <w:lang w:val="sr-Latn-ME"/>
        </w:rPr>
        <w:t>treba izvesti prim</w:t>
      </w:r>
      <w:r w:rsidR="00B2737E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enom manjih doza održavanja u r</w:t>
      </w:r>
      <w:r w:rsidR="00B2737E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eđim intervalima ili sporijom infuzijom l</w:t>
      </w:r>
      <w:r w:rsidR="00B2737E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eka ESMERON tokom dugotrajnih procedura (dužih od 1 sata) pod inhalacionom anestezijom (</w:t>
      </w:r>
      <w:r w:rsidR="00B2737E" w:rsidRPr="00230C58">
        <w:rPr>
          <w:noProof/>
          <w:sz w:val="22"/>
          <w:szCs w:val="22"/>
          <w:lang w:val="sr-Latn-ME"/>
        </w:rPr>
        <w:t>vidjeti</w:t>
      </w:r>
      <w:r w:rsidR="00550889" w:rsidRPr="00230C58">
        <w:rPr>
          <w:noProof/>
          <w:sz w:val="22"/>
          <w:szCs w:val="22"/>
          <w:lang w:val="sr-Latn-ME"/>
        </w:rPr>
        <w:t xml:space="preserve"> dio</w:t>
      </w:r>
      <w:r w:rsidRPr="00230C58">
        <w:rPr>
          <w:noProof/>
          <w:sz w:val="22"/>
          <w:szCs w:val="22"/>
          <w:lang w:val="sr-Latn-ME"/>
        </w:rPr>
        <w:t xml:space="preserve"> 4.5).</w:t>
      </w:r>
    </w:p>
    <w:p w14:paraId="2D6C123F" w14:textId="77777777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</w:p>
    <w:p w14:paraId="2604D327" w14:textId="79F4FA3F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Kod odraslih pacijenata sl</w:t>
      </w:r>
      <w:r w:rsidR="000352ED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edeće preporuke za doziranje mogu služiti kao opšte sm</w:t>
      </w:r>
      <w:r w:rsidR="000352ED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ernice za trahealnu intubaciju i mišićnu relaksaciju tokom hirurških procedura kratkog do dugog trajanja i za upotrebu u jedinicama intenzivne n</w:t>
      </w:r>
      <w:r w:rsidR="000352ED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 xml:space="preserve">ege. </w:t>
      </w:r>
    </w:p>
    <w:p w14:paraId="222557F6" w14:textId="77777777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</w:p>
    <w:p w14:paraId="0DAC3536" w14:textId="77777777" w:rsidR="0073776C" w:rsidRPr="00230C58" w:rsidRDefault="0073776C">
      <w:pPr>
        <w:jc w:val="both"/>
        <w:rPr>
          <w:b/>
          <w:noProof/>
          <w:sz w:val="22"/>
          <w:szCs w:val="22"/>
          <w:lang w:val="sr-Latn-ME"/>
        </w:rPr>
      </w:pPr>
      <w:r w:rsidRPr="00230C58">
        <w:rPr>
          <w:b/>
          <w:noProof/>
          <w:sz w:val="22"/>
          <w:szCs w:val="22"/>
          <w:lang w:val="sr-Latn-ME"/>
        </w:rPr>
        <w:t>Hirurške procedure</w:t>
      </w:r>
    </w:p>
    <w:p w14:paraId="22821EFA" w14:textId="77777777" w:rsidR="0073776C" w:rsidRPr="00230C58" w:rsidRDefault="0073776C">
      <w:pPr>
        <w:jc w:val="both"/>
        <w:rPr>
          <w:noProof/>
          <w:sz w:val="22"/>
          <w:szCs w:val="22"/>
          <w:u w:val="single"/>
          <w:lang w:val="sr-Latn-ME"/>
        </w:rPr>
      </w:pPr>
    </w:p>
    <w:p w14:paraId="74EB25CC" w14:textId="77777777" w:rsidR="0073776C" w:rsidRPr="00230C58" w:rsidRDefault="0073776C">
      <w:pPr>
        <w:jc w:val="both"/>
        <w:rPr>
          <w:i/>
          <w:iCs/>
          <w:noProof/>
          <w:sz w:val="22"/>
          <w:szCs w:val="22"/>
          <w:lang w:val="sr-Latn-ME"/>
        </w:rPr>
      </w:pPr>
      <w:r w:rsidRPr="00230C58">
        <w:rPr>
          <w:i/>
          <w:iCs/>
          <w:noProof/>
          <w:sz w:val="22"/>
          <w:szCs w:val="22"/>
          <w:lang w:val="sr-Latn-ME"/>
        </w:rPr>
        <w:t>Trahealna intubacija</w:t>
      </w:r>
    </w:p>
    <w:p w14:paraId="7C160029" w14:textId="25C2ED23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Standardna doza za intubaciju tokom rutinske anestezije je 0,6 mg/kg rokuronijum</w:t>
      </w:r>
      <w:r w:rsidR="001E7B79" w:rsidRPr="00230C58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>bromida, nakon koje se adekvatni uslovi za intubaciju uspostavljaju u roku od 60 sekundi kod skoro svih pacijenata. Doza od 1,0 mg/kg rokuronijum</w:t>
      </w:r>
      <w:r w:rsidR="001E7B79" w:rsidRPr="00230C58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>bromida se preporučuje za olakšavanje trahealne intubacije tokom brzog uvođenja u anesteziju, nakon koje se adekvatni uslovi za intubaciju uspostavljaju unutar 60 sekundi kod skoro svih pacijenata. Ako se doza od 0,6 mg/kg rokuronijum</w:t>
      </w:r>
      <w:r w:rsidR="001E7B79" w:rsidRPr="00230C58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>bromida koristi za brzo uvođenje u anesteziju, preporučuje se da se pacijent intubira 90 sekundi nakon prim</w:t>
      </w:r>
      <w:r w:rsidR="00F649DC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ene rokuronijum</w:t>
      </w:r>
      <w:r w:rsidR="001E7B79" w:rsidRPr="00230C58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>bromida.</w:t>
      </w:r>
    </w:p>
    <w:p w14:paraId="73112B3D" w14:textId="77777777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</w:p>
    <w:p w14:paraId="74B4B739" w14:textId="7EE5CD50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Za upotrebu rokuronijum</w:t>
      </w:r>
      <w:r w:rsidR="001E7B79" w:rsidRPr="00230C58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 xml:space="preserve">bromida tokom brzog uvođenja u anesteziju kod pacijentkinja koje se podvrgavaju carskom rezu </w:t>
      </w:r>
      <w:r w:rsidR="00B2737E" w:rsidRPr="00230C58">
        <w:rPr>
          <w:noProof/>
          <w:sz w:val="22"/>
          <w:szCs w:val="22"/>
          <w:lang w:val="sr-Latn-ME"/>
        </w:rPr>
        <w:t>vidjeti</w:t>
      </w:r>
      <w:r w:rsidRPr="00230C58">
        <w:rPr>
          <w:noProof/>
          <w:sz w:val="22"/>
          <w:szCs w:val="22"/>
          <w:lang w:val="sr-Latn-ME"/>
        </w:rPr>
        <w:t xml:space="preserve"> </w:t>
      </w:r>
      <w:r w:rsidR="001E7B79" w:rsidRPr="00230C58">
        <w:rPr>
          <w:noProof/>
          <w:sz w:val="22"/>
          <w:szCs w:val="22"/>
          <w:lang w:val="sr-Latn-ME"/>
        </w:rPr>
        <w:t>dio</w:t>
      </w:r>
      <w:r w:rsidRPr="00230C58">
        <w:rPr>
          <w:noProof/>
          <w:sz w:val="22"/>
          <w:szCs w:val="22"/>
          <w:lang w:val="sr-Latn-ME"/>
        </w:rPr>
        <w:t xml:space="preserve"> 4.6.</w:t>
      </w:r>
    </w:p>
    <w:p w14:paraId="53E5ED7B" w14:textId="77777777" w:rsidR="0073776C" w:rsidRPr="00230C58" w:rsidRDefault="0073776C">
      <w:pPr>
        <w:jc w:val="both"/>
        <w:rPr>
          <w:noProof/>
          <w:sz w:val="22"/>
          <w:szCs w:val="22"/>
          <w:u w:val="single"/>
          <w:lang w:val="sr-Latn-ME"/>
        </w:rPr>
      </w:pPr>
    </w:p>
    <w:p w14:paraId="36D4778D" w14:textId="77777777" w:rsidR="0073776C" w:rsidRPr="00230C58" w:rsidRDefault="0073776C">
      <w:pPr>
        <w:jc w:val="both"/>
        <w:rPr>
          <w:i/>
          <w:iCs/>
          <w:noProof/>
          <w:sz w:val="22"/>
          <w:szCs w:val="22"/>
          <w:lang w:val="sr-Latn-ME"/>
        </w:rPr>
      </w:pPr>
      <w:r w:rsidRPr="00230C58">
        <w:rPr>
          <w:i/>
          <w:iCs/>
          <w:noProof/>
          <w:sz w:val="22"/>
          <w:szCs w:val="22"/>
          <w:lang w:val="sr-Latn-ME"/>
        </w:rPr>
        <w:t>Veće doze</w:t>
      </w:r>
    </w:p>
    <w:p w14:paraId="0FFB3D55" w14:textId="0A81B411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Ako postoji razlog za odabir većih doza kod pojedinih pacijenata, na osnovu kliničkih studija nema pokazatelja da su početne doze do 2 mg/kg rokuronijum</w:t>
      </w:r>
      <w:r w:rsidR="001E7B79" w:rsidRPr="00230C58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>bromida povezane sa povećanjem učestalosti ili ozbiljnošću kardiovaskularnih efekata. Upotreba ovih velikih doza rokuronijum</w:t>
      </w:r>
      <w:r w:rsidR="001E7B79" w:rsidRPr="00230C58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>bromida skraćuje vr</w:t>
      </w:r>
      <w:r w:rsidR="00F649DC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eme početka, a produžava vr</w:t>
      </w:r>
      <w:r w:rsidR="00F649DC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eme trajanja dejstva (</w:t>
      </w:r>
      <w:r w:rsidR="00B2737E" w:rsidRPr="00230C58">
        <w:rPr>
          <w:noProof/>
          <w:sz w:val="22"/>
          <w:szCs w:val="22"/>
          <w:lang w:val="sr-Latn-ME"/>
        </w:rPr>
        <w:t>vidjeti</w:t>
      </w:r>
      <w:r w:rsidRPr="00230C58">
        <w:rPr>
          <w:noProof/>
          <w:sz w:val="22"/>
          <w:szCs w:val="22"/>
          <w:lang w:val="sr-Latn-ME"/>
        </w:rPr>
        <w:t xml:space="preserve"> </w:t>
      </w:r>
      <w:r w:rsidR="001E7B79" w:rsidRPr="00230C58">
        <w:rPr>
          <w:noProof/>
          <w:sz w:val="22"/>
          <w:szCs w:val="22"/>
          <w:lang w:val="sr-Latn-ME"/>
        </w:rPr>
        <w:t>dio</w:t>
      </w:r>
      <w:r w:rsidRPr="00230C58">
        <w:rPr>
          <w:noProof/>
          <w:sz w:val="22"/>
          <w:szCs w:val="22"/>
          <w:lang w:val="sr-Latn-ME"/>
        </w:rPr>
        <w:t xml:space="preserve"> 5.1).</w:t>
      </w:r>
    </w:p>
    <w:p w14:paraId="346CA8F1" w14:textId="77777777" w:rsidR="0073776C" w:rsidRPr="00230C58" w:rsidRDefault="0073776C">
      <w:pPr>
        <w:jc w:val="both"/>
        <w:rPr>
          <w:noProof/>
          <w:sz w:val="22"/>
          <w:szCs w:val="22"/>
          <w:u w:val="single"/>
          <w:lang w:val="sr-Latn-ME"/>
        </w:rPr>
      </w:pPr>
    </w:p>
    <w:p w14:paraId="4799EED5" w14:textId="77777777" w:rsidR="0073776C" w:rsidRPr="00230C58" w:rsidRDefault="0073776C">
      <w:pPr>
        <w:jc w:val="both"/>
        <w:rPr>
          <w:i/>
          <w:iCs/>
          <w:noProof/>
          <w:sz w:val="22"/>
          <w:szCs w:val="22"/>
          <w:lang w:val="sr-Latn-ME"/>
        </w:rPr>
      </w:pPr>
      <w:r w:rsidRPr="00230C58">
        <w:rPr>
          <w:i/>
          <w:iCs/>
          <w:noProof/>
          <w:sz w:val="22"/>
          <w:szCs w:val="22"/>
          <w:lang w:val="sr-Latn-ME"/>
        </w:rPr>
        <w:t>Doza održavanja</w:t>
      </w:r>
    </w:p>
    <w:p w14:paraId="776C2D94" w14:textId="7F42E0AA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Preporučena doza održavanja je 0,15 mg/kg rokuronijum</w:t>
      </w:r>
      <w:r w:rsidR="00DB7D68" w:rsidRPr="00230C58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>bromida; u slučaju dugotrajne inhalacione anestezije, ovo treba smanjiti na 0,075-0,1 mg/kg rokuronijum</w:t>
      </w:r>
      <w:r w:rsidR="00DB7D68" w:rsidRPr="00230C58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>bromida. Doze održavanja najbolje je dati kada se amplituda trzaja vrati na 25% u odnosu na kontrolnu vr</w:t>
      </w:r>
      <w:r w:rsidR="00F649DC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 xml:space="preserve">ednost ili kada su prisutna 2 do 3 odgovora na niz od 4 stimulacije (engl. </w:t>
      </w:r>
      <w:r w:rsidRPr="00230C58">
        <w:rPr>
          <w:i/>
          <w:noProof/>
          <w:sz w:val="22"/>
          <w:szCs w:val="22"/>
          <w:lang w:val="sr-Latn-ME"/>
        </w:rPr>
        <w:t xml:space="preserve">train of four, </w:t>
      </w:r>
      <w:r w:rsidRPr="00230C58">
        <w:rPr>
          <w:noProof/>
          <w:sz w:val="22"/>
          <w:szCs w:val="22"/>
          <w:lang w:val="sr-Latn-ME"/>
        </w:rPr>
        <w:t xml:space="preserve">TOF). </w:t>
      </w:r>
    </w:p>
    <w:p w14:paraId="0C1D7C8E" w14:textId="77777777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</w:p>
    <w:p w14:paraId="62401BBD" w14:textId="77777777" w:rsidR="0073776C" w:rsidRPr="00230C58" w:rsidRDefault="0073776C">
      <w:pPr>
        <w:jc w:val="both"/>
        <w:rPr>
          <w:i/>
          <w:iCs/>
          <w:noProof/>
          <w:sz w:val="22"/>
          <w:szCs w:val="22"/>
          <w:lang w:val="sr-Latn-ME"/>
        </w:rPr>
      </w:pPr>
      <w:r w:rsidRPr="00230C58">
        <w:rPr>
          <w:i/>
          <w:iCs/>
          <w:noProof/>
          <w:sz w:val="22"/>
          <w:szCs w:val="22"/>
          <w:lang w:val="sr-Latn-ME"/>
        </w:rPr>
        <w:t>Kontinuirana infuzija</w:t>
      </w:r>
    </w:p>
    <w:p w14:paraId="50751ECA" w14:textId="1B36EAC5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 xml:space="preserve">Ako se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>omid prim</w:t>
      </w:r>
      <w:r w:rsidR="00F649DC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enjuje putem kontinuirane infuzije, preporučuje se da se prim</w:t>
      </w:r>
      <w:r w:rsidR="00F649DC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eni udarna doza od 0,6 mg/kg rokuronijum</w:t>
      </w:r>
      <w:r w:rsidR="00DB7D68" w:rsidRPr="00230C58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>bromida i kada pacijent počne da se oporavlja od neuromuskularnog bloka, da se počne sa prim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enom putem infuzije. Brzina infuzije treba da se prilagodi tako da se amplituda trzaja održava na 10% u odnosu na kontrolnu vr</w:t>
      </w:r>
      <w:r w:rsidR="00C673B6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ednost ili da se održava 1 do 2 odgovora na niz od 4 stimulacije. Kod odraslih pod intravenskom anestezijom, brzina infuzije potrebna za održavanje neuromuskularnog bloka na ovom nivou je u rasponu od 0,3 do 0,6 mg/kg/h (300-600 mikrograma/kg/h), a pod inhalacionom anestezijom brzina infuzije je u rasponu od 0,3 do 0,4 mg/kg/h. Kontinuirani monitoring neuromuskularnog bloka je neophodan pošto potrebna brzina infuzije varira od pacijenta do pacijenta i u zavisnosti od metode anestezije koja se prim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enjuje.</w:t>
      </w:r>
    </w:p>
    <w:p w14:paraId="382B1243" w14:textId="77777777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</w:p>
    <w:p w14:paraId="676856E0" w14:textId="77777777" w:rsidR="0073776C" w:rsidRPr="00230C58" w:rsidRDefault="0073776C">
      <w:pPr>
        <w:jc w:val="both"/>
        <w:rPr>
          <w:i/>
          <w:iCs/>
          <w:noProof/>
          <w:sz w:val="22"/>
          <w:szCs w:val="22"/>
          <w:lang w:val="sr-Latn-ME"/>
        </w:rPr>
      </w:pPr>
      <w:r w:rsidRPr="00230C58">
        <w:rPr>
          <w:i/>
          <w:iCs/>
          <w:noProof/>
          <w:sz w:val="22"/>
          <w:szCs w:val="22"/>
          <w:lang w:val="sr-Latn-ME"/>
        </w:rPr>
        <w:t>Pedijatrijska populacija</w:t>
      </w:r>
    </w:p>
    <w:p w14:paraId="28D9B49B" w14:textId="3D647F0A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Za novorođenčad (0-27 dana), odojčad (28 dana - 2 m</w:t>
      </w:r>
      <w:r w:rsidR="00DB7D68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 xml:space="preserve">eseca), </w:t>
      </w:r>
      <w:r w:rsidR="00143302" w:rsidRPr="00230C58">
        <w:rPr>
          <w:noProof/>
          <w:sz w:val="22"/>
          <w:szCs w:val="22"/>
          <w:lang w:val="sr-Latn-ME"/>
        </w:rPr>
        <w:t>ml</w:t>
      </w:r>
      <w:r w:rsidRPr="00230C58">
        <w:rPr>
          <w:noProof/>
          <w:sz w:val="22"/>
          <w:szCs w:val="22"/>
          <w:lang w:val="sr-Latn-ME"/>
        </w:rPr>
        <w:t>ađu d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 xml:space="preserve">ecu (3-23 </w:t>
      </w:r>
      <w:r w:rsidR="00DB7D68" w:rsidRPr="00230C58">
        <w:rPr>
          <w:noProof/>
          <w:sz w:val="22"/>
          <w:szCs w:val="22"/>
          <w:lang w:val="sr-Latn-ME"/>
        </w:rPr>
        <w:t>mjesec</w:t>
      </w:r>
      <w:r w:rsidRPr="00230C58">
        <w:rPr>
          <w:noProof/>
          <w:sz w:val="22"/>
          <w:szCs w:val="22"/>
          <w:lang w:val="sr-Latn-ME"/>
        </w:rPr>
        <w:t>a), d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 xml:space="preserve">ecu (2-11 godina) i adolescente (12-17 godina) preporučene doze za intubaciju tokom rutinske anestezije i doze održavanja su slične onima kod odraslih. </w:t>
      </w:r>
    </w:p>
    <w:p w14:paraId="42F260FF" w14:textId="77777777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</w:p>
    <w:p w14:paraId="677FE370" w14:textId="12609274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Međutim, trajanje d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elovanja pojedinačne doze za intubaciju će biti duže kod novorođenčadi i odojčadi nego kod d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ece (</w:t>
      </w:r>
      <w:r w:rsidR="00B2737E" w:rsidRPr="00230C58">
        <w:rPr>
          <w:noProof/>
          <w:sz w:val="22"/>
          <w:szCs w:val="22"/>
          <w:lang w:val="sr-Latn-ME"/>
        </w:rPr>
        <w:t>vidjeti</w:t>
      </w:r>
      <w:r w:rsidRPr="00230C58">
        <w:rPr>
          <w:noProof/>
          <w:sz w:val="22"/>
          <w:szCs w:val="22"/>
          <w:lang w:val="sr-Latn-ME"/>
        </w:rPr>
        <w:t xml:space="preserve"> </w:t>
      </w:r>
      <w:r w:rsidR="00DB7D68" w:rsidRPr="00230C58">
        <w:rPr>
          <w:noProof/>
          <w:sz w:val="22"/>
          <w:szCs w:val="22"/>
          <w:lang w:val="sr-Latn-ME"/>
        </w:rPr>
        <w:t>dio</w:t>
      </w:r>
      <w:r w:rsidRPr="00230C58">
        <w:rPr>
          <w:noProof/>
          <w:sz w:val="22"/>
          <w:szCs w:val="22"/>
          <w:lang w:val="sr-Latn-ME"/>
        </w:rPr>
        <w:t xml:space="preserve"> 5.1).</w:t>
      </w:r>
    </w:p>
    <w:p w14:paraId="3045207F" w14:textId="77777777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</w:p>
    <w:p w14:paraId="66FC75AF" w14:textId="3208EB0E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Za kontinuiranu infuziju u pedijatriji, brzine infuzije, sa izuzetkom d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ece (2 do 11 godina), su iste kao za odrasle. Za d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ecu uzrasta od 2 do 11 godina može biti neophodna veća brzina infuzije.</w:t>
      </w:r>
    </w:p>
    <w:p w14:paraId="7E3BBAB3" w14:textId="77777777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</w:p>
    <w:p w14:paraId="54765618" w14:textId="4A2625CB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lastRenderedPageBreak/>
        <w:t>Prema tome, za d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ecu (2-11 godina) se preporučuju iste početne brzine infuzije kao za odrasle, koje zatim treba prilagoditi tako da se amplituda trzaja održava na 10% u odnosu na kontrolnu vr</w:t>
      </w:r>
      <w:r w:rsidR="00C673B6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ednost ili da se održava 1 do 2 odgovora na niz od 4 stimulacije tokom procedure.</w:t>
      </w:r>
    </w:p>
    <w:p w14:paraId="5AD1B44E" w14:textId="77777777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</w:p>
    <w:p w14:paraId="39FEE928" w14:textId="13820570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Iskustvo sa rokuronijum</w:t>
      </w:r>
      <w:r w:rsidR="00DB7D68" w:rsidRPr="00230C58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>bromidom za brzo uvođenje u anesteziju</w:t>
      </w:r>
      <w:r w:rsidRPr="00230C58" w:rsidDel="00610F0C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 xml:space="preserve">kod pedijatrijskih pacijenata je ograničeno.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>omid se, stoga, ne preporučuje za olakšavanje trahealne intubacije tokom brzog uvođenja u anesteziju</w:t>
      </w:r>
      <w:r w:rsidRPr="00230C58" w:rsidDel="00610F0C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 xml:space="preserve">kod pedijatrijskih pacijenata. </w:t>
      </w:r>
    </w:p>
    <w:p w14:paraId="03436EB0" w14:textId="77777777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</w:p>
    <w:p w14:paraId="4CFA1088" w14:textId="77777777" w:rsidR="0073776C" w:rsidRPr="00230C58" w:rsidRDefault="0073776C">
      <w:pPr>
        <w:jc w:val="both"/>
        <w:rPr>
          <w:i/>
          <w:iCs/>
          <w:noProof/>
          <w:sz w:val="22"/>
          <w:szCs w:val="22"/>
          <w:lang w:val="sr-Latn-ME"/>
        </w:rPr>
      </w:pPr>
      <w:r w:rsidRPr="00230C58">
        <w:rPr>
          <w:i/>
          <w:iCs/>
          <w:noProof/>
          <w:sz w:val="22"/>
          <w:szCs w:val="22"/>
          <w:lang w:val="sr-Latn-ME"/>
        </w:rPr>
        <w:t>Gerijatrijski pacijenti i pacijenti sa oboljenjem jetre i/ili bilijarnog trakta i/ili renalnom insuficijencijom</w:t>
      </w:r>
    </w:p>
    <w:p w14:paraId="30590CE6" w14:textId="2DCB4ECA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Standardna doza za intubaciju, za gerijatrijske</w:t>
      </w:r>
      <w:r w:rsidRPr="00230C58" w:rsidDel="00610F0C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 xml:space="preserve">pacijente i pacijente sa oboljenjem jetre i/ili bilijarnog trakta i/ili renalnom insuficijencijom, tokom rutinske anestezije je 0,6 mg/kg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>omida. Potrebno je razmotriti prim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 xml:space="preserve">enu doze od 0,6 mg/kg za brzo uvođenje u anesteziju kod pacijenata kod kojih se očekuje produženo trajanje dejstva. Bez obzira na tehniku anestezije koja se koristi, preporučena doza održavanja kod ovih pacijenata je 0,075-0,1 mg/kg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>omida, a preporučena brzina infuzije je 0,3-0,4 mg/kg/h. (</w:t>
      </w:r>
      <w:r w:rsidR="00B2737E" w:rsidRPr="00230C58">
        <w:rPr>
          <w:noProof/>
          <w:sz w:val="22"/>
          <w:szCs w:val="22"/>
          <w:lang w:val="sr-Latn-ME"/>
        </w:rPr>
        <w:t>vidjeti</w:t>
      </w:r>
      <w:r w:rsidRPr="00230C58">
        <w:rPr>
          <w:noProof/>
          <w:sz w:val="22"/>
          <w:szCs w:val="22"/>
          <w:lang w:val="sr-Latn-ME"/>
        </w:rPr>
        <w:t xml:space="preserve"> d</w:t>
      </w:r>
      <w:r w:rsidR="00C673B6" w:rsidRPr="00230C58">
        <w:rPr>
          <w:noProof/>
          <w:sz w:val="22"/>
          <w:szCs w:val="22"/>
          <w:lang w:val="sr-Latn-ME"/>
        </w:rPr>
        <w:t>i</w:t>
      </w:r>
      <w:r w:rsidRPr="00230C58">
        <w:rPr>
          <w:noProof/>
          <w:sz w:val="22"/>
          <w:szCs w:val="22"/>
          <w:lang w:val="sr-Latn-ME"/>
        </w:rPr>
        <w:t xml:space="preserve">o </w:t>
      </w:r>
      <w:r w:rsidRPr="00230C58">
        <w:rPr>
          <w:i/>
          <w:iCs/>
          <w:noProof/>
          <w:sz w:val="22"/>
          <w:szCs w:val="22"/>
          <w:lang w:val="sr-Latn-ME"/>
        </w:rPr>
        <w:t>Kontinuirana infuzija</w:t>
      </w:r>
      <w:r w:rsidRPr="00230C58">
        <w:rPr>
          <w:noProof/>
          <w:sz w:val="22"/>
          <w:szCs w:val="22"/>
          <w:lang w:val="sr-Latn-ME"/>
        </w:rPr>
        <w:t xml:space="preserve">) (takođe </w:t>
      </w:r>
      <w:r w:rsidR="00B2737E" w:rsidRPr="00230C58">
        <w:rPr>
          <w:noProof/>
          <w:sz w:val="22"/>
          <w:szCs w:val="22"/>
          <w:lang w:val="sr-Latn-ME"/>
        </w:rPr>
        <w:t>vidjeti</w:t>
      </w:r>
      <w:r w:rsidRPr="00230C58">
        <w:rPr>
          <w:noProof/>
          <w:sz w:val="22"/>
          <w:szCs w:val="22"/>
          <w:lang w:val="sr-Latn-ME"/>
        </w:rPr>
        <w:t xml:space="preserve"> </w:t>
      </w:r>
      <w:r w:rsidR="00DB7D68" w:rsidRPr="00230C58">
        <w:rPr>
          <w:noProof/>
          <w:sz w:val="22"/>
          <w:szCs w:val="22"/>
          <w:lang w:val="sr-Latn-ME"/>
        </w:rPr>
        <w:t>dio</w:t>
      </w:r>
      <w:r w:rsidRPr="00230C58">
        <w:rPr>
          <w:noProof/>
          <w:sz w:val="22"/>
          <w:szCs w:val="22"/>
          <w:lang w:val="sr-Latn-ME"/>
        </w:rPr>
        <w:t xml:space="preserve"> 4.4.). </w:t>
      </w:r>
    </w:p>
    <w:p w14:paraId="635095B7" w14:textId="77777777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</w:p>
    <w:p w14:paraId="258C763B" w14:textId="241702B1" w:rsidR="0073776C" w:rsidRPr="00230C58" w:rsidRDefault="0073776C">
      <w:pPr>
        <w:jc w:val="both"/>
        <w:rPr>
          <w:i/>
          <w:iCs/>
          <w:noProof/>
          <w:sz w:val="22"/>
          <w:szCs w:val="22"/>
          <w:lang w:val="sr-Latn-ME"/>
        </w:rPr>
      </w:pPr>
      <w:r w:rsidRPr="00230C58">
        <w:rPr>
          <w:i/>
          <w:iCs/>
          <w:noProof/>
          <w:sz w:val="22"/>
          <w:szCs w:val="22"/>
          <w:lang w:val="sr-Latn-ME"/>
        </w:rPr>
        <w:t>Pacijenti sa prekom</w:t>
      </w:r>
      <w:r w:rsidR="00C673B6" w:rsidRPr="00230C58">
        <w:rPr>
          <w:i/>
          <w:iCs/>
          <w:noProof/>
          <w:sz w:val="22"/>
          <w:szCs w:val="22"/>
          <w:lang w:val="sr-Latn-ME"/>
        </w:rPr>
        <w:t>j</w:t>
      </w:r>
      <w:r w:rsidRPr="00230C58">
        <w:rPr>
          <w:i/>
          <w:iCs/>
          <w:noProof/>
          <w:sz w:val="22"/>
          <w:szCs w:val="22"/>
          <w:lang w:val="sr-Latn-ME"/>
        </w:rPr>
        <w:t>ernom t</w:t>
      </w:r>
      <w:r w:rsidR="00C673B6" w:rsidRPr="00230C58">
        <w:rPr>
          <w:i/>
          <w:iCs/>
          <w:noProof/>
          <w:sz w:val="22"/>
          <w:szCs w:val="22"/>
          <w:lang w:val="sr-Latn-ME"/>
        </w:rPr>
        <w:t>j</w:t>
      </w:r>
      <w:r w:rsidRPr="00230C58">
        <w:rPr>
          <w:i/>
          <w:iCs/>
          <w:noProof/>
          <w:sz w:val="22"/>
          <w:szCs w:val="22"/>
          <w:lang w:val="sr-Latn-ME"/>
        </w:rPr>
        <w:t>elesnom masom i gojazni pacijenti</w:t>
      </w:r>
    </w:p>
    <w:p w14:paraId="18A08CBA" w14:textId="2357DF18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Kada se koristi kod pacijenata sa prekom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ernom t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elesnom masom ili gojaznih pacijenata (po definiciji to su pacijenti čija je t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elesna masa za 30% ili više veća od idealne t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elesne mase), doze treba smanjiti uzimajući u obzir idealnu t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elesnu masu.</w:t>
      </w:r>
    </w:p>
    <w:p w14:paraId="6243867F" w14:textId="77777777" w:rsidR="0073776C" w:rsidRPr="00230C58" w:rsidRDefault="0073776C">
      <w:pPr>
        <w:jc w:val="both"/>
        <w:rPr>
          <w:b/>
          <w:noProof/>
          <w:sz w:val="22"/>
          <w:szCs w:val="22"/>
          <w:u w:val="single"/>
          <w:lang w:val="sr-Latn-ME"/>
        </w:rPr>
      </w:pPr>
    </w:p>
    <w:p w14:paraId="538BA88D" w14:textId="7D1663B9" w:rsidR="0073776C" w:rsidRPr="00230C58" w:rsidRDefault="0073776C">
      <w:pPr>
        <w:jc w:val="both"/>
        <w:rPr>
          <w:b/>
          <w:noProof/>
          <w:sz w:val="22"/>
          <w:szCs w:val="22"/>
          <w:lang w:val="sr-Latn-ME"/>
        </w:rPr>
      </w:pPr>
      <w:r w:rsidRPr="00230C58">
        <w:rPr>
          <w:b/>
          <w:noProof/>
          <w:sz w:val="22"/>
          <w:szCs w:val="22"/>
          <w:lang w:val="sr-Latn-ME"/>
        </w:rPr>
        <w:t>Procedure u jedinicama intenzivne n</w:t>
      </w:r>
      <w:r w:rsidR="00C673B6" w:rsidRPr="00230C58">
        <w:rPr>
          <w:b/>
          <w:noProof/>
          <w:sz w:val="22"/>
          <w:szCs w:val="22"/>
          <w:lang w:val="sr-Latn-ME"/>
        </w:rPr>
        <w:t>j</w:t>
      </w:r>
      <w:r w:rsidRPr="00230C58">
        <w:rPr>
          <w:b/>
          <w:noProof/>
          <w:sz w:val="22"/>
          <w:szCs w:val="22"/>
          <w:lang w:val="sr-Latn-ME"/>
        </w:rPr>
        <w:t>ege (JIN)</w:t>
      </w:r>
    </w:p>
    <w:p w14:paraId="2FCE1113" w14:textId="77777777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</w:p>
    <w:p w14:paraId="0F71D64E" w14:textId="77777777" w:rsidR="0073776C" w:rsidRPr="00230C58" w:rsidRDefault="0073776C">
      <w:pPr>
        <w:jc w:val="both"/>
        <w:rPr>
          <w:i/>
          <w:iCs/>
          <w:noProof/>
          <w:sz w:val="22"/>
          <w:szCs w:val="22"/>
          <w:lang w:val="sr-Latn-ME"/>
        </w:rPr>
      </w:pPr>
      <w:r w:rsidRPr="00230C58">
        <w:rPr>
          <w:i/>
          <w:iCs/>
          <w:noProof/>
          <w:sz w:val="22"/>
          <w:szCs w:val="22"/>
          <w:lang w:val="sr-Latn-ME"/>
        </w:rPr>
        <w:t xml:space="preserve">Trahealna intubacija </w:t>
      </w:r>
    </w:p>
    <w:p w14:paraId="1D371DFE" w14:textId="77777777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Za trahealnu intubaciju treba koristiti iste doze koje su prethodno navedene kod hirurških procedura.</w:t>
      </w:r>
    </w:p>
    <w:p w14:paraId="668660D4" w14:textId="77777777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</w:p>
    <w:p w14:paraId="4C3D90C3" w14:textId="77777777" w:rsidR="0073776C" w:rsidRPr="00230C58" w:rsidRDefault="0073776C">
      <w:pPr>
        <w:jc w:val="both"/>
        <w:rPr>
          <w:i/>
          <w:iCs/>
          <w:noProof/>
          <w:sz w:val="22"/>
          <w:szCs w:val="22"/>
          <w:lang w:val="sr-Latn-ME"/>
        </w:rPr>
      </w:pPr>
      <w:r w:rsidRPr="00230C58">
        <w:rPr>
          <w:i/>
          <w:iCs/>
          <w:noProof/>
          <w:sz w:val="22"/>
          <w:szCs w:val="22"/>
          <w:lang w:val="sr-Latn-ME"/>
        </w:rPr>
        <w:t>Doze održavanja</w:t>
      </w:r>
    </w:p>
    <w:p w14:paraId="70E76A52" w14:textId="6B9A5646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 xml:space="preserve">Preporučuje se početna udarna doza od 0,6 mg/kg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>omida praćena kontinuiranom infuzijom čim se amplituda trzaja vrati na 10% ili se ponovo javi 1 do 2 odgovora na niz od 4 stimulacije. Doziranje uv</w:t>
      </w:r>
      <w:r w:rsidR="00C673B6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 xml:space="preserve">ek treba da bude titrirano prema efektu kod svakog pacijenta ponaosob. Preporučena početna brzina infuzije za održavanje neuromuskularnog bloka od 80-90% (1 do 2 trzaja na TOF (engl. </w:t>
      </w:r>
      <w:r w:rsidRPr="00230C58">
        <w:rPr>
          <w:i/>
          <w:noProof/>
          <w:sz w:val="22"/>
          <w:szCs w:val="22"/>
          <w:lang w:val="sr-Latn-ME"/>
        </w:rPr>
        <w:t>train of four</w:t>
      </w:r>
      <w:r w:rsidRPr="00230C58">
        <w:rPr>
          <w:noProof/>
          <w:sz w:val="22"/>
          <w:szCs w:val="22"/>
          <w:lang w:val="sr-Latn-ME"/>
        </w:rPr>
        <w:t>) stimulaciju) kod odraslih pacijenata je 0,3 do 0,6 mg/kg/h tokom prvog sata prim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ene, a koju treba smanjiti tokom sl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edećih 6 - 12 sati, prema individualnom odgovoru. Nakon toga, zaht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 xml:space="preserve">evi za individualnom dozom ostaju relativno konstantni. </w:t>
      </w:r>
    </w:p>
    <w:p w14:paraId="78E6B1B0" w14:textId="77777777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</w:p>
    <w:p w14:paraId="453BAE57" w14:textId="13BA6236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U kontгolisanim kliničkim studijama utvrđeno</w:t>
      </w:r>
      <w:r w:rsidRPr="00230C58" w:rsidDel="00657F0E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>je da postoji velika varijabilnost u brzinama infuzije na sat među pacijentima, sa srednjim brzinama infuzije na sat u rasponu od 0,2-0,5 mg/kg/h u zavisnosti od prirode i obima</w:t>
      </w:r>
      <w:r w:rsidRPr="00230C58" w:rsidDel="00657F0E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>insuficijencije jednog ili više organa, istovremene prim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ene drugih</w:t>
      </w:r>
      <w:r w:rsidRPr="00230C58" w:rsidDel="00657F0E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>l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ekova i individualnih karakteristika pacijenata. Da bi se obezb</w:t>
      </w:r>
      <w:r w:rsidR="00C673B6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edila optimalna individualna kontrola pacijenta, izričito se preporučuje monitoring neuromuskularne transmisije. Ispitivana je prim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 xml:space="preserve">ena do 7 dana. </w:t>
      </w:r>
    </w:p>
    <w:p w14:paraId="1D9C0DC2" w14:textId="77777777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</w:p>
    <w:p w14:paraId="06C89044" w14:textId="77777777" w:rsidR="0073776C" w:rsidRPr="00230C58" w:rsidRDefault="0073776C">
      <w:pPr>
        <w:jc w:val="both"/>
        <w:rPr>
          <w:i/>
          <w:iCs/>
          <w:noProof/>
          <w:sz w:val="22"/>
          <w:szCs w:val="22"/>
          <w:lang w:val="sr-Latn-ME"/>
        </w:rPr>
      </w:pPr>
      <w:r w:rsidRPr="00230C58">
        <w:rPr>
          <w:i/>
          <w:iCs/>
          <w:noProof/>
          <w:sz w:val="22"/>
          <w:szCs w:val="22"/>
          <w:lang w:val="sr-Latn-ME"/>
        </w:rPr>
        <w:t>Posebne populacije</w:t>
      </w:r>
    </w:p>
    <w:p w14:paraId="57532A70" w14:textId="0C2F2637" w:rsidR="0073776C" w:rsidRPr="00230C58" w:rsidRDefault="0073776C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L</w:t>
      </w:r>
      <w:r w:rsidR="00C673B6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ek ESMERON</w:t>
      </w:r>
      <w:r w:rsidRPr="00230C58" w:rsidDel="00657F0E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>se ne preporučuje za olakšavanje mehaničke ventilacije u intenzivnoj n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ezi</w:t>
      </w:r>
      <w:r w:rsidRPr="00230C58" w:rsidDel="00657F0E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>kod pedijatrijskih i gerijatrijskih pacijenata zbog nedostatka podataka o bezb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ednosti i efikasnosti.</w:t>
      </w:r>
    </w:p>
    <w:p w14:paraId="042FC338" w14:textId="77777777" w:rsidR="00452E9D" w:rsidRPr="00230C58" w:rsidRDefault="00452E9D" w:rsidP="00B805B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3760E1C8" w14:textId="77777777" w:rsidR="00452E9D" w:rsidRPr="00230C58" w:rsidRDefault="00452E9D" w:rsidP="00B805B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30C58">
        <w:rPr>
          <w:bCs/>
          <w:sz w:val="22"/>
          <w:szCs w:val="22"/>
          <w:u w:val="single"/>
          <w:lang w:val="sr-Latn-ME"/>
        </w:rPr>
        <w:t>Način primjene</w:t>
      </w:r>
    </w:p>
    <w:p w14:paraId="45847847" w14:textId="1AECB2CB" w:rsidR="0073776C" w:rsidRPr="00230C58" w:rsidRDefault="0073776C" w:rsidP="0055088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30C58">
        <w:rPr>
          <w:bCs/>
          <w:sz w:val="22"/>
          <w:szCs w:val="22"/>
          <w:lang w:val="sr-Latn-ME"/>
        </w:rPr>
        <w:t>L</w:t>
      </w:r>
      <w:r w:rsidR="00C673B6" w:rsidRPr="00230C58">
        <w:rPr>
          <w:bCs/>
          <w:sz w:val="22"/>
          <w:szCs w:val="22"/>
          <w:lang w:val="sr-Latn-ME"/>
        </w:rPr>
        <w:t>ij</w:t>
      </w:r>
      <w:r w:rsidRPr="00230C58">
        <w:rPr>
          <w:bCs/>
          <w:sz w:val="22"/>
          <w:szCs w:val="22"/>
          <w:lang w:val="sr-Latn-ME"/>
        </w:rPr>
        <w:t xml:space="preserve">ek </w:t>
      </w:r>
      <w:proofErr w:type="spellStart"/>
      <w:r w:rsidRPr="00230C58">
        <w:rPr>
          <w:bCs/>
          <w:sz w:val="22"/>
          <w:szCs w:val="22"/>
          <w:lang w:val="sr-Latn-ME"/>
        </w:rPr>
        <w:t>ESMERON</w:t>
      </w:r>
      <w:proofErr w:type="spellEnd"/>
      <w:r w:rsidRPr="00230C58">
        <w:rPr>
          <w:bCs/>
          <w:sz w:val="22"/>
          <w:szCs w:val="22"/>
          <w:lang w:val="sr-Latn-ME"/>
        </w:rPr>
        <w:t xml:space="preserve"> se prim</w:t>
      </w:r>
      <w:r w:rsidR="00C673B6" w:rsidRPr="00230C58">
        <w:rPr>
          <w:bCs/>
          <w:sz w:val="22"/>
          <w:szCs w:val="22"/>
          <w:lang w:val="sr-Latn-ME"/>
        </w:rPr>
        <w:t>j</w:t>
      </w:r>
      <w:r w:rsidRPr="00230C58">
        <w:rPr>
          <w:bCs/>
          <w:sz w:val="22"/>
          <w:szCs w:val="22"/>
          <w:lang w:val="sr-Latn-ME"/>
        </w:rPr>
        <w:t xml:space="preserve">enjuje </w:t>
      </w:r>
      <w:proofErr w:type="spellStart"/>
      <w:r w:rsidRPr="00230C58">
        <w:rPr>
          <w:bCs/>
          <w:sz w:val="22"/>
          <w:szCs w:val="22"/>
          <w:lang w:val="sr-Latn-ME"/>
        </w:rPr>
        <w:t>intravenski</w:t>
      </w:r>
      <w:proofErr w:type="spellEnd"/>
      <w:r w:rsidRPr="00230C58">
        <w:rPr>
          <w:bCs/>
          <w:sz w:val="22"/>
          <w:szCs w:val="22"/>
          <w:lang w:val="sr-Latn-ME"/>
        </w:rPr>
        <w:t xml:space="preserve"> kao </w:t>
      </w:r>
      <w:proofErr w:type="spellStart"/>
      <w:r w:rsidRPr="00230C58">
        <w:rPr>
          <w:bCs/>
          <w:sz w:val="22"/>
          <w:szCs w:val="22"/>
          <w:lang w:val="sr-Latn-ME"/>
        </w:rPr>
        <w:t>bolus</w:t>
      </w:r>
      <w:proofErr w:type="spellEnd"/>
      <w:r w:rsidRPr="00230C58">
        <w:rPr>
          <w:bCs/>
          <w:sz w:val="22"/>
          <w:szCs w:val="22"/>
          <w:lang w:val="sr-Latn-ME"/>
        </w:rPr>
        <w:t xml:space="preserve"> injekcija ili kao kontinuirana infuzija (</w:t>
      </w:r>
      <w:r w:rsidR="00B2737E" w:rsidRPr="00230C58">
        <w:rPr>
          <w:bCs/>
          <w:sz w:val="22"/>
          <w:szCs w:val="22"/>
          <w:lang w:val="sr-Latn-ME"/>
        </w:rPr>
        <w:t>vidjeti</w:t>
      </w:r>
      <w:r w:rsidRPr="00230C58">
        <w:rPr>
          <w:bCs/>
          <w:sz w:val="22"/>
          <w:szCs w:val="22"/>
          <w:lang w:val="sr-Latn-ME"/>
        </w:rPr>
        <w:t xml:space="preserve"> </w:t>
      </w:r>
      <w:r w:rsidR="00DB7D68" w:rsidRPr="00230C58">
        <w:rPr>
          <w:bCs/>
          <w:sz w:val="22"/>
          <w:szCs w:val="22"/>
          <w:lang w:val="sr-Latn-ME"/>
        </w:rPr>
        <w:t>dio</w:t>
      </w:r>
      <w:r w:rsidRPr="00230C58">
        <w:rPr>
          <w:bCs/>
          <w:sz w:val="22"/>
          <w:szCs w:val="22"/>
          <w:lang w:val="sr-Latn-ME"/>
        </w:rPr>
        <w:t xml:space="preserve"> 6.6).</w:t>
      </w:r>
    </w:p>
    <w:p w14:paraId="562C782C" w14:textId="77777777" w:rsidR="0073776C" w:rsidRPr="00230C58" w:rsidRDefault="0073776C" w:rsidP="00B805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1320C8" w14:textId="77777777" w:rsidR="00411B4B" w:rsidRPr="00230C58" w:rsidRDefault="00411B4B" w:rsidP="00B805B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30C58">
        <w:rPr>
          <w:b/>
          <w:bCs/>
          <w:sz w:val="22"/>
          <w:szCs w:val="22"/>
          <w:lang w:val="sr-Latn-ME"/>
        </w:rPr>
        <w:t xml:space="preserve">4.3. </w:t>
      </w:r>
      <w:r w:rsidR="00480FB1" w:rsidRPr="00230C58">
        <w:rPr>
          <w:b/>
          <w:bCs/>
          <w:sz w:val="22"/>
          <w:szCs w:val="22"/>
          <w:lang w:val="sr-Latn-ME"/>
        </w:rPr>
        <w:tab/>
      </w:r>
      <w:proofErr w:type="spellStart"/>
      <w:r w:rsidRPr="00230C58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16DD726C" w14:textId="3B1ADA9D" w:rsidR="0072020E" w:rsidRPr="00230C58" w:rsidRDefault="0072020E" w:rsidP="00B805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0419B92" w14:textId="0593D6DD" w:rsidR="00904F79" w:rsidRPr="00230C58" w:rsidRDefault="00904F79" w:rsidP="00B805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30C58">
        <w:rPr>
          <w:bCs/>
          <w:sz w:val="22"/>
          <w:szCs w:val="22"/>
          <w:lang w:val="sr-Latn-ME"/>
        </w:rPr>
        <w:t>Preos</w:t>
      </w:r>
      <w:r w:rsidR="00C673B6" w:rsidRPr="00230C58">
        <w:rPr>
          <w:bCs/>
          <w:sz w:val="22"/>
          <w:szCs w:val="22"/>
          <w:lang w:val="sr-Latn-ME"/>
        </w:rPr>
        <w:t>j</w:t>
      </w:r>
      <w:r w:rsidRPr="00230C58">
        <w:rPr>
          <w:bCs/>
          <w:sz w:val="22"/>
          <w:szCs w:val="22"/>
          <w:lang w:val="sr-Latn-ME"/>
        </w:rPr>
        <w:t xml:space="preserve">etljivost na </w:t>
      </w:r>
      <w:proofErr w:type="spellStart"/>
      <w:r w:rsidRPr="00230C58">
        <w:rPr>
          <w:bCs/>
          <w:sz w:val="22"/>
          <w:szCs w:val="22"/>
          <w:lang w:val="sr-Latn-ME"/>
        </w:rPr>
        <w:t>rokuronijum</w:t>
      </w:r>
      <w:proofErr w:type="spellEnd"/>
      <w:r w:rsidRPr="00230C58">
        <w:rPr>
          <w:bCs/>
          <w:sz w:val="22"/>
          <w:szCs w:val="22"/>
          <w:lang w:val="sr-Latn-ME"/>
        </w:rPr>
        <w:t xml:space="preserve"> ili </w:t>
      </w:r>
      <w:proofErr w:type="spellStart"/>
      <w:r w:rsidRPr="00230C58">
        <w:rPr>
          <w:bCs/>
          <w:sz w:val="22"/>
          <w:szCs w:val="22"/>
          <w:lang w:val="sr-Latn-ME"/>
        </w:rPr>
        <w:t>bromidni</w:t>
      </w:r>
      <w:proofErr w:type="spellEnd"/>
      <w:r w:rsidRPr="00230C58">
        <w:rPr>
          <w:bCs/>
          <w:sz w:val="22"/>
          <w:szCs w:val="22"/>
          <w:lang w:val="sr-Latn-ME"/>
        </w:rPr>
        <w:t xml:space="preserve"> jon ili na bilo koju od pomoćnih supstanci navedenih u </w:t>
      </w:r>
      <w:r w:rsidR="009A5135" w:rsidRPr="00230C58">
        <w:rPr>
          <w:bCs/>
          <w:sz w:val="22"/>
          <w:szCs w:val="22"/>
          <w:lang w:val="sr-Latn-ME"/>
        </w:rPr>
        <w:t>dijelu</w:t>
      </w:r>
      <w:r w:rsidRPr="00230C58">
        <w:rPr>
          <w:bCs/>
          <w:sz w:val="22"/>
          <w:szCs w:val="22"/>
          <w:lang w:val="sr-Latn-ME"/>
        </w:rPr>
        <w:t xml:space="preserve"> 6.1.</w:t>
      </w:r>
    </w:p>
    <w:p w14:paraId="293FC9CA" w14:textId="77777777" w:rsidR="00904F79" w:rsidRPr="00230C58" w:rsidRDefault="00904F79" w:rsidP="00B805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7B63F0" w14:textId="1CC43ADD" w:rsidR="00411B4B" w:rsidRDefault="00411B4B" w:rsidP="00B805B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30C58">
        <w:rPr>
          <w:b/>
          <w:bCs/>
          <w:sz w:val="22"/>
          <w:szCs w:val="22"/>
          <w:lang w:val="sr-Latn-ME"/>
        </w:rPr>
        <w:t xml:space="preserve">4.4. </w:t>
      </w:r>
      <w:r w:rsidR="00480FB1" w:rsidRPr="00230C58">
        <w:rPr>
          <w:b/>
          <w:bCs/>
          <w:sz w:val="22"/>
          <w:szCs w:val="22"/>
          <w:lang w:val="sr-Latn-ME"/>
        </w:rPr>
        <w:tab/>
      </w:r>
      <w:r w:rsidRPr="00230C58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2F13010F" w14:textId="77777777" w:rsidR="009A1C0D" w:rsidRPr="00230C58" w:rsidRDefault="009A1C0D" w:rsidP="00B805B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8BF1DC1" w14:textId="4580B69E" w:rsidR="00823D48" w:rsidRPr="00230C58" w:rsidRDefault="00823D48" w:rsidP="00CE5AD5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lastRenderedPageBreak/>
        <w:t>S obzirom na to da l</w:t>
      </w:r>
      <w:r w:rsidR="00C673B6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ek ESMERON uzrokuje paralizu respiratorne muskulature, ventilatorna podrška je obavezna za pacijente koji su primili ovaj</w:t>
      </w:r>
      <w:r w:rsidR="00C673B6" w:rsidRPr="00230C58">
        <w:rPr>
          <w:noProof/>
          <w:sz w:val="22"/>
          <w:szCs w:val="22"/>
          <w:lang w:val="sr-Latn-ME"/>
        </w:rPr>
        <w:t xml:space="preserve"> lijek </w:t>
      </w:r>
      <w:r w:rsidRPr="00230C58">
        <w:rPr>
          <w:noProof/>
          <w:sz w:val="22"/>
          <w:szCs w:val="22"/>
          <w:lang w:val="sr-Latn-ME"/>
        </w:rPr>
        <w:t>sve dok se ponovo ne uspostavi adekvatno spontano disanje. Kao i kod svih drugih neuromišićnih blokatora, važno je pred</w:t>
      </w:r>
      <w:r w:rsidR="00B2737E" w:rsidRPr="00230C58">
        <w:rPr>
          <w:noProof/>
          <w:sz w:val="22"/>
          <w:szCs w:val="22"/>
          <w:lang w:val="sr-Latn-ME"/>
        </w:rPr>
        <w:t>vidjeti</w:t>
      </w:r>
      <w:r w:rsidRPr="00230C58">
        <w:rPr>
          <w:noProof/>
          <w:sz w:val="22"/>
          <w:szCs w:val="22"/>
          <w:lang w:val="sr-Latn-ME"/>
        </w:rPr>
        <w:t xml:space="preserve"> otežanu intubaciju, naročito kada se koristi kao d</w:t>
      </w:r>
      <w:r w:rsidR="00C673B6" w:rsidRPr="00230C58">
        <w:rPr>
          <w:noProof/>
          <w:sz w:val="22"/>
          <w:szCs w:val="22"/>
          <w:lang w:val="sr-Latn-ME"/>
        </w:rPr>
        <w:t>i</w:t>
      </w:r>
      <w:r w:rsidRPr="00230C58">
        <w:rPr>
          <w:noProof/>
          <w:sz w:val="22"/>
          <w:szCs w:val="22"/>
          <w:lang w:val="sr-Latn-ME"/>
        </w:rPr>
        <w:t xml:space="preserve">o tehnike brzog uvođenja u anesteziju. </w:t>
      </w:r>
    </w:p>
    <w:p w14:paraId="26E52EBC" w14:textId="77777777" w:rsidR="00823D48" w:rsidRPr="00230C58" w:rsidRDefault="00823D48" w:rsidP="00550889">
      <w:pPr>
        <w:jc w:val="both"/>
        <w:rPr>
          <w:noProof/>
          <w:sz w:val="22"/>
          <w:szCs w:val="22"/>
          <w:lang w:val="sr-Latn-ME"/>
        </w:rPr>
      </w:pPr>
    </w:p>
    <w:p w14:paraId="413EAFEC" w14:textId="2D7954AA" w:rsidR="00823D48" w:rsidRPr="00230C58" w:rsidRDefault="00823D48" w:rsidP="00550889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Kao i kod drugih neuromišićnih blokatora, i kod l</w:t>
      </w:r>
      <w:r w:rsidR="00C673B6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eka ESMERON je zab</w:t>
      </w:r>
      <w:r w:rsidR="00C673B6" w:rsidRPr="00230C58">
        <w:rPr>
          <w:noProof/>
          <w:sz w:val="22"/>
          <w:szCs w:val="22"/>
          <w:lang w:val="sr-Latn-ME"/>
        </w:rPr>
        <w:t>ilj</w:t>
      </w:r>
      <w:r w:rsidRPr="00230C58">
        <w:rPr>
          <w:noProof/>
          <w:sz w:val="22"/>
          <w:szCs w:val="22"/>
          <w:lang w:val="sr-Latn-ME"/>
        </w:rPr>
        <w:t>ežena rezidualna neuromuskularna blokada. Da bi se spr</w:t>
      </w:r>
      <w:r w:rsidR="00C673B6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ečile komplikacije koje su rezultat rezidualne neuromuskularne blokade, preporučuje se da se pacijent ekstubira tek kada se dovoljno oporavi od neuromuskularnog bloka. Gerijatrijski pacijenti (65 godina i stariji) mogu biti pod povećanim rizikom od neuromuskularnog bloka. Treba uzeti u obzir i druge faktore koji bi mogli prouzrokovati rezidualnu neuromuskularnu blokadu posl</w:t>
      </w:r>
      <w:r w:rsidR="00FC7A84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 ekstubacije u postoperativnom periodu (kao što su interakcije l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ekova ili stanje pacijenta). Ako se ne koristi kao</w:t>
      </w:r>
      <w:r w:rsidR="00C673B6" w:rsidRPr="00230C58">
        <w:rPr>
          <w:noProof/>
          <w:sz w:val="22"/>
          <w:szCs w:val="22"/>
          <w:lang w:val="sr-Latn-ME"/>
        </w:rPr>
        <w:t xml:space="preserve"> dio </w:t>
      </w:r>
      <w:r w:rsidRPr="00230C58">
        <w:rPr>
          <w:noProof/>
          <w:sz w:val="22"/>
          <w:szCs w:val="22"/>
          <w:lang w:val="sr-Latn-ME"/>
        </w:rPr>
        <w:t>standardne kliničke prakse, treba razmotriti korišćenje sredstava za reverziju (kupiranje) dejstva (kao što su sugamadeks ili inhibitori acetilholinesteraze), naročito u slučajevima kada postoji veća v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 xml:space="preserve">erovatnoća pojave rezidualne neuromuskularne blokade. </w:t>
      </w:r>
    </w:p>
    <w:p w14:paraId="1CEFD178" w14:textId="77777777" w:rsidR="00823D48" w:rsidRPr="00230C58" w:rsidRDefault="00823D48">
      <w:pPr>
        <w:jc w:val="both"/>
        <w:rPr>
          <w:noProof/>
          <w:sz w:val="22"/>
          <w:szCs w:val="22"/>
          <w:lang w:val="sr-Latn-ME"/>
        </w:rPr>
      </w:pPr>
    </w:p>
    <w:p w14:paraId="3743AF2D" w14:textId="75EAA289" w:rsidR="00823D48" w:rsidRPr="00230C58" w:rsidRDefault="00823D48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Zab</w:t>
      </w:r>
      <w:r w:rsidR="00C673B6" w:rsidRPr="00230C58">
        <w:rPr>
          <w:noProof/>
          <w:sz w:val="22"/>
          <w:szCs w:val="22"/>
          <w:lang w:val="sr-Latn-ME"/>
        </w:rPr>
        <w:t>i</w:t>
      </w:r>
      <w:r w:rsidRPr="00230C58">
        <w:rPr>
          <w:noProof/>
          <w:sz w:val="22"/>
          <w:szCs w:val="22"/>
          <w:lang w:val="sr-Latn-ME"/>
        </w:rPr>
        <w:t>l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ežena je visoka stopa ukrštenih alergijskih reakcija između l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ekova koji pripadaju grupi neuromišićnih blokatora. Stoga je potrebno, kada je moguće,</w:t>
      </w:r>
      <w:r w:rsidR="00C673B6" w:rsidRPr="00230C58">
        <w:rPr>
          <w:noProof/>
          <w:sz w:val="22"/>
          <w:szCs w:val="22"/>
          <w:lang w:val="sr-Latn-ME"/>
        </w:rPr>
        <w:t xml:space="preserve"> prije </w:t>
      </w:r>
      <w:r w:rsidRPr="00230C58">
        <w:rPr>
          <w:noProof/>
          <w:sz w:val="22"/>
          <w:szCs w:val="22"/>
          <w:lang w:val="sr-Latn-ME"/>
        </w:rPr>
        <w:t>prim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ene</w:t>
      </w:r>
      <w:r w:rsidR="00C673B6" w:rsidRPr="00230C58">
        <w:rPr>
          <w:noProof/>
          <w:sz w:val="22"/>
          <w:szCs w:val="22"/>
          <w:lang w:val="sr-Latn-ME"/>
        </w:rPr>
        <w:t xml:space="preserve"> lijeka </w:t>
      </w:r>
      <w:r w:rsidRPr="00230C58">
        <w:rPr>
          <w:noProof/>
          <w:sz w:val="22"/>
          <w:szCs w:val="22"/>
          <w:lang w:val="sr-Latn-ME"/>
        </w:rPr>
        <w:t>ESMERON, isključiti postojanje pre</w:t>
      </w:r>
      <w:r w:rsidR="00C673B6" w:rsidRPr="00230C58">
        <w:rPr>
          <w:noProof/>
          <w:sz w:val="22"/>
          <w:szCs w:val="22"/>
          <w:lang w:val="sr-Latn-ME"/>
        </w:rPr>
        <w:t>osjetljiv</w:t>
      </w:r>
      <w:r w:rsidRPr="00230C58">
        <w:rPr>
          <w:noProof/>
          <w:sz w:val="22"/>
          <w:szCs w:val="22"/>
          <w:lang w:val="sr-Latn-ME"/>
        </w:rPr>
        <w:t>osti na druge neuromišićne blokatore</w:t>
      </w:r>
      <w:r w:rsidR="00AC4E12" w:rsidRPr="00230C58">
        <w:rPr>
          <w:noProof/>
          <w:sz w:val="22"/>
          <w:szCs w:val="22"/>
          <w:lang w:val="sr-Latn-ME"/>
        </w:rPr>
        <w:t>. Lijek</w:t>
      </w:r>
      <w:r w:rsidR="00C673B6" w:rsidRPr="00230C58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>ESMERON, kod pacijenata kod kojih se sumnja na postojanje reakcije pre</w:t>
      </w:r>
      <w:r w:rsidR="00C673B6" w:rsidRPr="00230C58">
        <w:rPr>
          <w:noProof/>
          <w:sz w:val="22"/>
          <w:szCs w:val="22"/>
          <w:lang w:val="sr-Latn-ME"/>
        </w:rPr>
        <w:t>osjetljiv</w:t>
      </w:r>
      <w:r w:rsidRPr="00230C58">
        <w:rPr>
          <w:noProof/>
          <w:sz w:val="22"/>
          <w:szCs w:val="22"/>
          <w:lang w:val="sr-Latn-ME"/>
        </w:rPr>
        <w:t>osti, treba koristiti samo ako je apsolutno neophodno. Pacijente kod kojih se javi reakcija pre</w:t>
      </w:r>
      <w:r w:rsidR="00C673B6" w:rsidRPr="00230C58">
        <w:rPr>
          <w:noProof/>
          <w:sz w:val="22"/>
          <w:szCs w:val="22"/>
          <w:lang w:val="sr-Latn-ME"/>
        </w:rPr>
        <w:t>osjetljiv</w:t>
      </w:r>
      <w:r w:rsidRPr="00230C58">
        <w:rPr>
          <w:noProof/>
          <w:sz w:val="22"/>
          <w:szCs w:val="22"/>
          <w:lang w:val="sr-Latn-ME"/>
        </w:rPr>
        <w:t>osti dok su pod dejstvom opšte anestezije treba naknadno testirati kako bi se utvrdilo da li su pre</w:t>
      </w:r>
      <w:r w:rsidR="00C673B6" w:rsidRPr="00230C58">
        <w:rPr>
          <w:noProof/>
          <w:sz w:val="22"/>
          <w:szCs w:val="22"/>
          <w:lang w:val="sr-Latn-ME"/>
        </w:rPr>
        <w:t>osjetljiv</w:t>
      </w:r>
      <w:r w:rsidRPr="00230C58">
        <w:rPr>
          <w:noProof/>
          <w:sz w:val="22"/>
          <w:szCs w:val="22"/>
          <w:lang w:val="sr-Latn-ME"/>
        </w:rPr>
        <w:t>i na ostale neuromišićne blokatore.</w:t>
      </w:r>
    </w:p>
    <w:p w14:paraId="3AA42F3C" w14:textId="2BB9DBE8" w:rsidR="00823D48" w:rsidRPr="00230C58" w:rsidRDefault="00823D48">
      <w:pPr>
        <w:jc w:val="both"/>
        <w:rPr>
          <w:noProof/>
          <w:sz w:val="22"/>
          <w:szCs w:val="22"/>
          <w:lang w:val="sr-Latn-ME"/>
        </w:rPr>
      </w:pPr>
    </w:p>
    <w:p w14:paraId="47B4DB20" w14:textId="51054AB5" w:rsidR="00823D48" w:rsidRPr="00230C58" w:rsidRDefault="00823D48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Rokuronijum može povećati brzinu srčanog rada.</w:t>
      </w:r>
    </w:p>
    <w:p w14:paraId="00473BA9" w14:textId="038545ED" w:rsidR="00823D48" w:rsidRPr="00230C58" w:rsidRDefault="00823D48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Uopšteno, nakon dugotrajne upotrebe neuromišićnih blokatora u jedinicama intenzivne n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 xml:space="preserve">ege </w:t>
      </w:r>
      <w:r w:rsidR="00C673B6" w:rsidRPr="00230C58">
        <w:rPr>
          <w:noProof/>
          <w:sz w:val="22"/>
          <w:szCs w:val="22"/>
          <w:lang w:val="sr-Latn-ME"/>
        </w:rPr>
        <w:t>zabilježen</w:t>
      </w:r>
      <w:r w:rsidRPr="00230C58">
        <w:rPr>
          <w:noProof/>
          <w:sz w:val="22"/>
          <w:szCs w:val="22"/>
          <w:lang w:val="sr-Latn-ME"/>
        </w:rPr>
        <w:t>a je produžena paraliza i/ili slabost skeletne muskulature. Da bi se spr</w:t>
      </w:r>
      <w:r w:rsidR="00C673B6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ečilo moguće produženje neuromuskularnog bloka i/ili predoziranje veoma je bitno da se vrši monitoring neuromišićne transmisije tokom upotrebe neuromišićnih blokatora. Pored toga, pacijenti treba da dobiju adekvatnu analgeziju i sedaciju. Šta više, neuromišićne blokatore, kod svakog pacijenta pojedinačno, treba da titrira do željenog efekta iskusni kliničar koji je upoznat sa njihovim dejstvima i tehnikama adekvatnog neuromuskularnog monitoringa, ili da nadgleda prim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enu ovih l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 xml:space="preserve">ekova. </w:t>
      </w:r>
    </w:p>
    <w:p w14:paraId="47C87E7D" w14:textId="77777777" w:rsidR="00823D48" w:rsidRPr="00230C58" w:rsidRDefault="00823D48">
      <w:pPr>
        <w:jc w:val="both"/>
        <w:rPr>
          <w:noProof/>
          <w:sz w:val="22"/>
          <w:szCs w:val="22"/>
          <w:lang w:val="sr-Latn-ME"/>
        </w:rPr>
      </w:pPr>
    </w:p>
    <w:p w14:paraId="71A94ECF" w14:textId="456A6B7D" w:rsidR="00823D48" w:rsidRPr="00230C58" w:rsidRDefault="00823D48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Posl</w:t>
      </w:r>
      <w:r w:rsidR="00C673B6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 dugotrajne prim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ene nedepolarizujućih neuromišićnih blokatora u jedinicama intenzivne n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ege u kombinaciji sa kortikosteroidnom terapijom redovno je prijavljivana miopatija. Zbog toga, kod pacijenata koji dobijaju i neuromišćne blokatore i kortikosteroide, period korišćenja neuromišićnih blokatora treba da bude ograničen što je više moguće.</w:t>
      </w:r>
      <w:r w:rsidR="00DB7D68" w:rsidRPr="00230C58">
        <w:rPr>
          <w:noProof/>
          <w:sz w:val="22"/>
          <w:szCs w:val="22"/>
          <w:lang w:val="sr-Latn-ME"/>
        </w:rPr>
        <w:t xml:space="preserve"> </w:t>
      </w:r>
    </w:p>
    <w:p w14:paraId="07415BC8" w14:textId="77777777" w:rsidR="00823D48" w:rsidRPr="00230C58" w:rsidRDefault="00823D48">
      <w:pPr>
        <w:jc w:val="both"/>
        <w:rPr>
          <w:noProof/>
          <w:sz w:val="22"/>
          <w:szCs w:val="22"/>
          <w:lang w:val="sr-Latn-ME"/>
        </w:rPr>
      </w:pPr>
    </w:p>
    <w:p w14:paraId="716AAF71" w14:textId="707B7988" w:rsidR="00823D48" w:rsidRPr="00230C58" w:rsidRDefault="00823D48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Ako se sukcinilholin koristi za intubaciju, prim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ena</w:t>
      </w:r>
      <w:r w:rsidR="00C673B6" w:rsidRPr="00230C58">
        <w:rPr>
          <w:noProof/>
          <w:sz w:val="22"/>
          <w:szCs w:val="22"/>
          <w:lang w:val="sr-Latn-ME"/>
        </w:rPr>
        <w:t xml:space="preserve"> lijeka </w:t>
      </w:r>
      <w:r w:rsidRPr="00230C58">
        <w:rPr>
          <w:noProof/>
          <w:sz w:val="22"/>
          <w:szCs w:val="22"/>
          <w:lang w:val="sr-Latn-ME"/>
        </w:rPr>
        <w:t>ESMERON treba da bude odložena dok se pacijent klinički ne oporavi od neuromuskularnog bloka indukovanog sukcinilholinom.</w:t>
      </w:r>
    </w:p>
    <w:p w14:paraId="24D96D33" w14:textId="77777777" w:rsidR="00823D48" w:rsidRPr="00230C58" w:rsidRDefault="00823D48">
      <w:pPr>
        <w:jc w:val="both"/>
        <w:rPr>
          <w:noProof/>
          <w:sz w:val="22"/>
          <w:szCs w:val="22"/>
          <w:lang w:val="sr-Latn-ME"/>
        </w:rPr>
      </w:pPr>
    </w:p>
    <w:p w14:paraId="443F0DC7" w14:textId="1EAA6EDB" w:rsidR="00823D48" w:rsidRPr="00230C58" w:rsidRDefault="00823D48">
      <w:pPr>
        <w:jc w:val="both"/>
        <w:rPr>
          <w:noProof/>
          <w:sz w:val="22"/>
          <w:szCs w:val="22"/>
          <w:lang w:val="sr-Latn-ME"/>
        </w:rPr>
      </w:pPr>
      <w:bookmarkStart w:id="1" w:name="_Hlk22119321"/>
      <w:r w:rsidRPr="00230C58">
        <w:rPr>
          <w:noProof/>
          <w:sz w:val="22"/>
          <w:szCs w:val="22"/>
          <w:lang w:val="sr-Latn-ME"/>
        </w:rPr>
        <w:t>Budući da se rokuronijum bromid uv</w:t>
      </w:r>
      <w:r w:rsidR="00C673B6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ek prim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enjuje uz druge l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ekove, a imajući u vidu rizik od maligne hipertermije tokom anestezije, čak i u odsustvu poznatih okidača koji bi je mogli podstaći, l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ekari moraju biti upoznati sa ranim simptomima, potvrdnom dijagnozom i l</w:t>
      </w:r>
      <w:r w:rsidR="00C673B6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ečenjem maligne hipertermije</w:t>
      </w:r>
      <w:r w:rsidR="00C673B6" w:rsidRPr="00230C58">
        <w:rPr>
          <w:noProof/>
          <w:sz w:val="22"/>
          <w:szCs w:val="22"/>
          <w:lang w:val="sr-Latn-ME"/>
        </w:rPr>
        <w:t xml:space="preserve"> prije </w:t>
      </w:r>
      <w:r w:rsidRPr="00230C58">
        <w:rPr>
          <w:noProof/>
          <w:sz w:val="22"/>
          <w:szCs w:val="22"/>
          <w:lang w:val="sr-Latn-ME"/>
        </w:rPr>
        <w:t>početka prim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 xml:space="preserve">ene anestezije. Ispitivanja na životinjama pokazala su da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>omid nije okidač za malignu hipertermiju. Tokom praćenja nakon stavljanja</w:t>
      </w:r>
      <w:r w:rsidR="00C673B6" w:rsidRPr="00230C58">
        <w:rPr>
          <w:noProof/>
          <w:sz w:val="22"/>
          <w:szCs w:val="22"/>
          <w:lang w:val="sr-Latn-ME"/>
        </w:rPr>
        <w:t xml:space="preserve"> lijeka </w:t>
      </w:r>
      <w:r w:rsidRPr="00230C58">
        <w:rPr>
          <w:noProof/>
          <w:sz w:val="22"/>
          <w:szCs w:val="22"/>
          <w:lang w:val="sr-Latn-ME"/>
        </w:rPr>
        <w:t xml:space="preserve">u promet, </w:t>
      </w:r>
      <w:r w:rsidR="00C673B6" w:rsidRPr="00230C58">
        <w:rPr>
          <w:noProof/>
          <w:sz w:val="22"/>
          <w:szCs w:val="22"/>
          <w:lang w:val="sr-Latn-ME"/>
        </w:rPr>
        <w:t>zabilježen</w:t>
      </w:r>
      <w:r w:rsidRPr="00230C58">
        <w:rPr>
          <w:noProof/>
          <w:sz w:val="22"/>
          <w:szCs w:val="22"/>
          <w:lang w:val="sr-Latn-ME"/>
        </w:rPr>
        <w:t>i su r</w:t>
      </w:r>
      <w:r w:rsidR="00C673B6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etki slučajevi maligne hipertermije tokom upotrebe</w:t>
      </w:r>
      <w:r w:rsidR="00C673B6" w:rsidRPr="00230C58">
        <w:rPr>
          <w:noProof/>
          <w:sz w:val="22"/>
          <w:szCs w:val="22"/>
          <w:lang w:val="sr-Latn-ME"/>
        </w:rPr>
        <w:t xml:space="preserve"> lijeka </w:t>
      </w:r>
      <w:r w:rsidRPr="00230C58">
        <w:rPr>
          <w:noProof/>
          <w:sz w:val="22"/>
          <w:szCs w:val="22"/>
          <w:lang w:val="sr-Latn-ME"/>
        </w:rPr>
        <w:t>ESMERON, međutim uzročna povezanost nije dokazana.</w:t>
      </w:r>
    </w:p>
    <w:bookmarkEnd w:id="1"/>
    <w:p w14:paraId="42005360" w14:textId="77777777" w:rsidR="00823D48" w:rsidRPr="00230C58" w:rsidRDefault="00823D48">
      <w:pPr>
        <w:jc w:val="both"/>
        <w:rPr>
          <w:noProof/>
          <w:sz w:val="22"/>
          <w:szCs w:val="22"/>
          <w:lang w:val="sr-Latn-ME"/>
        </w:rPr>
      </w:pPr>
    </w:p>
    <w:p w14:paraId="218B59AD" w14:textId="394F1E6E" w:rsidR="00823D48" w:rsidRPr="00230C58" w:rsidRDefault="00823D48">
      <w:pPr>
        <w:jc w:val="both"/>
        <w:rPr>
          <w:b/>
          <w:noProof/>
          <w:sz w:val="22"/>
          <w:szCs w:val="22"/>
          <w:lang w:val="sr-Latn-ME"/>
        </w:rPr>
      </w:pPr>
      <w:r w:rsidRPr="00230C58">
        <w:rPr>
          <w:b/>
          <w:noProof/>
          <w:sz w:val="22"/>
          <w:szCs w:val="22"/>
          <w:lang w:val="sr-Latn-ME"/>
        </w:rPr>
        <w:t>Sl</w:t>
      </w:r>
      <w:r w:rsidR="00C673B6" w:rsidRPr="00230C58">
        <w:rPr>
          <w:b/>
          <w:noProof/>
          <w:sz w:val="22"/>
          <w:szCs w:val="22"/>
          <w:lang w:val="sr-Latn-ME"/>
        </w:rPr>
        <w:t>j</w:t>
      </w:r>
      <w:r w:rsidRPr="00230C58">
        <w:rPr>
          <w:b/>
          <w:noProof/>
          <w:sz w:val="22"/>
          <w:szCs w:val="22"/>
          <w:lang w:val="sr-Latn-ME"/>
        </w:rPr>
        <w:t>edeća stanja mogu da utiču na farmakokinetiku i/ili farmakodinamiku</w:t>
      </w:r>
      <w:r w:rsidR="00C673B6" w:rsidRPr="00230C58">
        <w:rPr>
          <w:b/>
          <w:noProof/>
          <w:sz w:val="22"/>
          <w:szCs w:val="22"/>
          <w:lang w:val="sr-Latn-ME"/>
        </w:rPr>
        <w:t xml:space="preserve"> lijeka </w:t>
      </w:r>
      <w:r w:rsidRPr="00230C58">
        <w:rPr>
          <w:b/>
          <w:noProof/>
          <w:sz w:val="22"/>
          <w:szCs w:val="22"/>
          <w:lang w:val="sr-Latn-ME"/>
        </w:rPr>
        <w:t>ESMERON:</w:t>
      </w:r>
    </w:p>
    <w:p w14:paraId="79FC067B" w14:textId="77777777" w:rsidR="00823D48" w:rsidRPr="00230C58" w:rsidRDefault="00823D48">
      <w:pPr>
        <w:jc w:val="both"/>
        <w:rPr>
          <w:noProof/>
          <w:sz w:val="22"/>
          <w:szCs w:val="22"/>
          <w:lang w:val="sr-Latn-ME"/>
        </w:rPr>
      </w:pPr>
    </w:p>
    <w:p w14:paraId="54918535" w14:textId="77777777" w:rsidR="00823D48" w:rsidRPr="00230C58" w:rsidRDefault="00823D48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Oboljenja jetre i/ili bilijarnog trakta i bubrežna insuficijencija</w:t>
      </w:r>
    </w:p>
    <w:p w14:paraId="6DB02B13" w14:textId="7D9CF23F" w:rsidR="00823D48" w:rsidRPr="00230C58" w:rsidRDefault="00823D48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 xml:space="preserve">Zbog toga što se rokuronijum izlučuje i putem žuči i putem urina, treba oprezno da se koristi kod pacijenata sa klinički značajnim oboljenjima jetre i/ili bilijarnog trakta i/ili bubrežnom insuficijencijom. Kod ovih grupa pacijenata zapaženo je produženo trajanje dejstva pri dozama od 0,6 mg/kg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>omida.</w:t>
      </w:r>
    </w:p>
    <w:p w14:paraId="619DFBDF" w14:textId="77777777" w:rsidR="00823D48" w:rsidRPr="00230C58" w:rsidRDefault="00823D48">
      <w:pPr>
        <w:jc w:val="both"/>
        <w:rPr>
          <w:noProof/>
          <w:sz w:val="22"/>
          <w:szCs w:val="22"/>
          <w:lang w:val="sr-Latn-ME"/>
        </w:rPr>
      </w:pPr>
    </w:p>
    <w:p w14:paraId="70755470" w14:textId="77777777" w:rsidR="009A1C0D" w:rsidRDefault="009A1C0D">
      <w:pPr>
        <w:jc w:val="both"/>
        <w:rPr>
          <w:noProof/>
          <w:sz w:val="22"/>
          <w:szCs w:val="22"/>
          <w:u w:val="single"/>
          <w:lang w:val="sr-Latn-ME"/>
        </w:rPr>
      </w:pPr>
    </w:p>
    <w:p w14:paraId="0F1A8D18" w14:textId="77777777" w:rsidR="009A1C0D" w:rsidRDefault="009A1C0D">
      <w:pPr>
        <w:jc w:val="both"/>
        <w:rPr>
          <w:noProof/>
          <w:sz w:val="22"/>
          <w:szCs w:val="22"/>
          <w:u w:val="single"/>
          <w:lang w:val="sr-Latn-ME"/>
        </w:rPr>
      </w:pPr>
    </w:p>
    <w:p w14:paraId="04D47CFF" w14:textId="34432621" w:rsidR="00823D48" w:rsidRPr="00230C58" w:rsidRDefault="00823D48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lastRenderedPageBreak/>
        <w:t>Produženo cirkulatorno vr</w:t>
      </w:r>
      <w:r w:rsidR="00C673B6" w:rsidRPr="00230C58">
        <w:rPr>
          <w:noProof/>
          <w:sz w:val="22"/>
          <w:szCs w:val="22"/>
          <w:u w:val="single"/>
          <w:lang w:val="sr-Latn-ME"/>
        </w:rPr>
        <w:t>ij</w:t>
      </w:r>
      <w:r w:rsidRPr="00230C58">
        <w:rPr>
          <w:noProof/>
          <w:sz w:val="22"/>
          <w:szCs w:val="22"/>
          <w:u w:val="single"/>
          <w:lang w:val="sr-Latn-ME"/>
        </w:rPr>
        <w:t>eme</w:t>
      </w:r>
    </w:p>
    <w:p w14:paraId="66CBF416" w14:textId="14B5D914" w:rsidR="00823D48" w:rsidRPr="00230C58" w:rsidRDefault="00823D48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Stanja povezana sa produženim cirkulatornim vremenom kao što su kardiovaskularne bolesti, starost, edematozno stanje koje uzrokuje povećani volumen distribucije, mogu doprin</w:t>
      </w:r>
      <w:r w:rsidR="00C673B6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eti sporijem početku dejstva. Trajanje dejstva može takođe biti produženo zbog smanjenog klirensa iz plazme.</w:t>
      </w:r>
    </w:p>
    <w:p w14:paraId="0D905071" w14:textId="77777777" w:rsidR="009A1C0D" w:rsidRDefault="009A1C0D">
      <w:pPr>
        <w:jc w:val="both"/>
        <w:rPr>
          <w:noProof/>
          <w:sz w:val="22"/>
          <w:szCs w:val="22"/>
          <w:u w:val="single"/>
          <w:lang w:val="sr-Latn-ME"/>
        </w:rPr>
      </w:pPr>
    </w:p>
    <w:p w14:paraId="2FE20799" w14:textId="68833B8C" w:rsidR="00823D48" w:rsidRPr="00230C58" w:rsidRDefault="00823D48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Neuromišićno oboljenje</w:t>
      </w:r>
    </w:p>
    <w:p w14:paraId="0D4A3CB2" w14:textId="75AA9F4C" w:rsidR="00823D48" w:rsidRPr="00230C58" w:rsidRDefault="00823D48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Kao i druge neuromišićne blokatore,</w:t>
      </w:r>
      <w:r w:rsidR="00C673B6" w:rsidRPr="00230C58">
        <w:rPr>
          <w:noProof/>
          <w:sz w:val="22"/>
          <w:szCs w:val="22"/>
          <w:lang w:val="sr-Latn-ME"/>
        </w:rPr>
        <w:t xml:space="preserve"> lijek </w:t>
      </w:r>
      <w:r w:rsidRPr="00230C58">
        <w:rPr>
          <w:noProof/>
          <w:sz w:val="22"/>
          <w:szCs w:val="22"/>
          <w:lang w:val="sr-Latn-ME"/>
        </w:rPr>
        <w:t>ESMERON treba koristiti sa ekstremnim oprezom kod pacijenata sa neuromišićnim oboljenjem, ili posl</w:t>
      </w:r>
      <w:r w:rsidR="00C673B6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 poliomijelitisa pošto odgovor na neuromišićne blokatore može biti značajno izm</w:t>
      </w:r>
      <w:r w:rsidR="00C673B6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enjen u ovim slučajevima. Jačina i sm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er ovog izm</w:t>
      </w:r>
      <w:r w:rsidR="00C673B6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enjenog odgovora mogu veoma varirati. Kod pacijenata sa miastenijom gravis ili miasteničnim (</w:t>
      </w:r>
      <w:r w:rsidRPr="00230C58">
        <w:rPr>
          <w:i/>
          <w:noProof/>
          <w:sz w:val="22"/>
          <w:szCs w:val="22"/>
          <w:lang w:val="sr-Latn-ME"/>
        </w:rPr>
        <w:t>Eaton-Lamber</w:t>
      </w:r>
      <w:r w:rsidRPr="00230C58">
        <w:rPr>
          <w:noProof/>
          <w:sz w:val="22"/>
          <w:szCs w:val="22"/>
          <w:lang w:val="sr-Latn-ME"/>
        </w:rPr>
        <w:t>) sindromom, male doze</w:t>
      </w:r>
      <w:r w:rsidR="00C673B6" w:rsidRPr="00230C58">
        <w:rPr>
          <w:noProof/>
          <w:sz w:val="22"/>
          <w:szCs w:val="22"/>
          <w:lang w:val="sr-Latn-ME"/>
        </w:rPr>
        <w:t xml:space="preserve"> lijeka </w:t>
      </w:r>
      <w:r w:rsidRPr="00230C58">
        <w:rPr>
          <w:noProof/>
          <w:sz w:val="22"/>
          <w:szCs w:val="22"/>
          <w:lang w:val="sr-Latn-ME"/>
        </w:rPr>
        <w:t>ESMERON mogu imati veoma izražene efekte i dozu</w:t>
      </w:r>
      <w:r w:rsidR="00C673B6" w:rsidRPr="00230C58">
        <w:rPr>
          <w:noProof/>
          <w:sz w:val="22"/>
          <w:szCs w:val="22"/>
          <w:lang w:val="sr-Latn-ME"/>
        </w:rPr>
        <w:t xml:space="preserve"> lijeka </w:t>
      </w:r>
      <w:r w:rsidRPr="00230C58">
        <w:rPr>
          <w:noProof/>
          <w:sz w:val="22"/>
          <w:szCs w:val="22"/>
          <w:lang w:val="sr-Latn-ME"/>
        </w:rPr>
        <w:t xml:space="preserve">ESMERON treba titrirati do postizanja adekvatnog odgovora. </w:t>
      </w:r>
    </w:p>
    <w:p w14:paraId="74073068" w14:textId="77777777" w:rsidR="00823D48" w:rsidRPr="00230C58" w:rsidRDefault="00823D48">
      <w:pPr>
        <w:jc w:val="both"/>
        <w:rPr>
          <w:noProof/>
          <w:sz w:val="22"/>
          <w:szCs w:val="22"/>
          <w:lang w:val="sr-Latn-ME"/>
        </w:rPr>
      </w:pPr>
    </w:p>
    <w:p w14:paraId="52D90B61" w14:textId="77777777" w:rsidR="00823D48" w:rsidRPr="00230C58" w:rsidRDefault="00823D48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Hipotermija</w:t>
      </w:r>
    </w:p>
    <w:p w14:paraId="6B965CFB" w14:textId="5BB0AC59" w:rsidR="00823D48" w:rsidRPr="00230C58" w:rsidRDefault="00823D48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Kod operacija u hipotermiji, efekat neuromuskularne blokade</w:t>
      </w:r>
      <w:r w:rsidR="00C673B6" w:rsidRPr="00230C58">
        <w:rPr>
          <w:noProof/>
          <w:sz w:val="22"/>
          <w:szCs w:val="22"/>
          <w:lang w:val="sr-Latn-ME"/>
        </w:rPr>
        <w:t xml:space="preserve"> lijeka </w:t>
      </w:r>
      <w:r w:rsidRPr="00230C58">
        <w:rPr>
          <w:noProof/>
          <w:sz w:val="22"/>
          <w:szCs w:val="22"/>
          <w:lang w:val="sr-Latn-ME"/>
        </w:rPr>
        <w:t>ESMERON je povećan, a trajanje je produženo.</w:t>
      </w:r>
    </w:p>
    <w:p w14:paraId="0279F3BC" w14:textId="77777777" w:rsidR="00823D48" w:rsidRPr="00230C58" w:rsidRDefault="00823D48">
      <w:pPr>
        <w:jc w:val="both"/>
        <w:rPr>
          <w:noProof/>
          <w:sz w:val="22"/>
          <w:szCs w:val="22"/>
          <w:u w:val="single"/>
          <w:lang w:val="sr-Latn-ME"/>
        </w:rPr>
      </w:pPr>
    </w:p>
    <w:p w14:paraId="1B88322A" w14:textId="77777777" w:rsidR="00823D48" w:rsidRPr="00230C58" w:rsidRDefault="00823D48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Gojaznost</w:t>
      </w:r>
    </w:p>
    <w:p w14:paraId="52F937F2" w14:textId="33215D71" w:rsidR="00823D48" w:rsidRPr="00230C58" w:rsidRDefault="00823D48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Kao i drugi neuromišićni blokatori,</w:t>
      </w:r>
      <w:r w:rsidR="00C673B6" w:rsidRPr="00230C58">
        <w:rPr>
          <w:noProof/>
          <w:sz w:val="22"/>
          <w:szCs w:val="22"/>
          <w:lang w:val="sr-Latn-ME"/>
        </w:rPr>
        <w:t xml:space="preserve"> lijek </w:t>
      </w:r>
      <w:r w:rsidRPr="00230C58">
        <w:rPr>
          <w:noProof/>
          <w:sz w:val="22"/>
          <w:szCs w:val="22"/>
          <w:lang w:val="sr-Latn-ME"/>
        </w:rPr>
        <w:t>ESMERON može ispoljiti produženo trajanje dejstva i produžen spontani oporavak kod gojaznih pacijenata, kada se propisane doze izračunavaju prema stvarnoj t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elesnoj masi.</w:t>
      </w:r>
      <w:r w:rsidR="00DB7D68" w:rsidRPr="00230C58">
        <w:rPr>
          <w:noProof/>
          <w:sz w:val="22"/>
          <w:szCs w:val="22"/>
          <w:lang w:val="sr-Latn-ME"/>
        </w:rPr>
        <w:t xml:space="preserve"> </w:t>
      </w:r>
    </w:p>
    <w:p w14:paraId="3DE422B8" w14:textId="77777777" w:rsidR="00823D48" w:rsidRPr="00230C58" w:rsidRDefault="00823D48">
      <w:pPr>
        <w:jc w:val="both"/>
        <w:rPr>
          <w:noProof/>
          <w:sz w:val="22"/>
          <w:szCs w:val="22"/>
          <w:u w:val="single"/>
          <w:lang w:val="sr-Latn-ME"/>
        </w:rPr>
      </w:pPr>
    </w:p>
    <w:p w14:paraId="7414C495" w14:textId="77777777" w:rsidR="00823D48" w:rsidRPr="00230C58" w:rsidRDefault="00823D48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Opekotine</w:t>
      </w:r>
    </w:p>
    <w:p w14:paraId="5BC67CDE" w14:textId="77777777" w:rsidR="00823D48" w:rsidRPr="00230C58" w:rsidRDefault="00823D48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Poznato je da se kod pacijenata sa opekotinama može razviti rezistencija na nedepolarizujuće neuromišićne blokatore. Preporučuje se da se doza titrira do postizanja adekvatnog odgovora.</w:t>
      </w:r>
    </w:p>
    <w:p w14:paraId="68B12A7C" w14:textId="77777777" w:rsidR="00823D48" w:rsidRPr="00230C58" w:rsidRDefault="00823D48">
      <w:pPr>
        <w:jc w:val="both"/>
        <w:rPr>
          <w:noProof/>
          <w:sz w:val="22"/>
          <w:szCs w:val="22"/>
          <w:u w:val="single"/>
          <w:lang w:val="sr-Latn-ME"/>
        </w:rPr>
      </w:pPr>
    </w:p>
    <w:p w14:paraId="6FB7CF14" w14:textId="1A7D8239" w:rsidR="00823D48" w:rsidRPr="00230C58" w:rsidRDefault="00823D48">
      <w:pPr>
        <w:jc w:val="both"/>
        <w:rPr>
          <w:i/>
          <w:iCs/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Stanja koja mogu pojačati efekte</w:t>
      </w:r>
      <w:r w:rsidR="00C673B6" w:rsidRPr="00230C58">
        <w:rPr>
          <w:noProof/>
          <w:sz w:val="22"/>
          <w:szCs w:val="22"/>
          <w:u w:val="single"/>
          <w:lang w:val="sr-Latn-ME"/>
        </w:rPr>
        <w:t xml:space="preserve"> lijeka </w:t>
      </w:r>
      <w:r w:rsidRPr="00230C58">
        <w:rPr>
          <w:noProof/>
          <w:sz w:val="22"/>
          <w:szCs w:val="22"/>
          <w:u w:val="single"/>
          <w:lang w:val="sr-Latn-ME"/>
        </w:rPr>
        <w:t>ESMERON</w:t>
      </w:r>
    </w:p>
    <w:p w14:paraId="79903204" w14:textId="68DEA8CB" w:rsidR="00823D48" w:rsidRPr="00230C58" w:rsidRDefault="00823D48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Hipokalemija (npr. posl</w:t>
      </w:r>
      <w:r w:rsidR="00C673B6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 obilnog povraćanja, dijareje i terapije diureticima), hipermagnezemija, hipokalcemija (posl</w:t>
      </w:r>
      <w:r w:rsidR="00C673B6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 xml:space="preserve">e masivnih transfuzija), hipoproteinemija, dehidracija, acidoza, hiperkapnija, kaheksija. </w:t>
      </w:r>
    </w:p>
    <w:p w14:paraId="2BDBB81E" w14:textId="77777777" w:rsidR="00823D48" w:rsidRPr="00230C58" w:rsidRDefault="00823D48">
      <w:pPr>
        <w:jc w:val="both"/>
        <w:rPr>
          <w:noProof/>
          <w:sz w:val="22"/>
          <w:szCs w:val="22"/>
          <w:lang w:val="sr-Latn-ME"/>
        </w:rPr>
      </w:pPr>
    </w:p>
    <w:p w14:paraId="273329B2" w14:textId="1C5A63A5" w:rsidR="00823D48" w:rsidRPr="00230C58" w:rsidRDefault="00823D48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Stoga je neophodno, kada je to moguće, korigovati teški poremećaj elektrolita, izm</w:t>
      </w:r>
      <w:r w:rsidR="00C673B6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enjenu pH vr</w:t>
      </w:r>
      <w:r w:rsidR="00C673B6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 xml:space="preserve">ednost krvi ili dehidraciju. </w:t>
      </w:r>
    </w:p>
    <w:p w14:paraId="70D3607C" w14:textId="77777777" w:rsidR="00823D48" w:rsidRPr="00230C58" w:rsidRDefault="00823D48">
      <w:pPr>
        <w:jc w:val="both"/>
        <w:rPr>
          <w:sz w:val="22"/>
          <w:szCs w:val="22"/>
          <w:u w:val="single"/>
          <w:lang w:val="sr-Latn-ME"/>
        </w:rPr>
      </w:pPr>
    </w:p>
    <w:p w14:paraId="6A02644E" w14:textId="21CCBA93" w:rsidR="00823D48" w:rsidRPr="009A1C0D" w:rsidRDefault="00823D48">
      <w:pPr>
        <w:jc w:val="both"/>
        <w:rPr>
          <w:sz w:val="22"/>
          <w:szCs w:val="22"/>
          <w:u w:val="single"/>
          <w:lang w:val="sr-Latn-ME"/>
        </w:rPr>
      </w:pPr>
      <w:r w:rsidRPr="00230C58">
        <w:rPr>
          <w:sz w:val="22"/>
          <w:szCs w:val="22"/>
          <w:u w:val="single"/>
          <w:lang w:val="sr-Latn-ME"/>
        </w:rPr>
        <w:t>Natrijum</w:t>
      </w:r>
    </w:p>
    <w:p w14:paraId="78CEEF41" w14:textId="3CB2021C" w:rsidR="00823D48" w:rsidRPr="00230C58" w:rsidRDefault="00823D48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Ovaj</w:t>
      </w:r>
      <w:r w:rsidR="00C673B6" w:rsidRPr="00230C58">
        <w:rPr>
          <w:noProof/>
          <w:sz w:val="22"/>
          <w:szCs w:val="22"/>
          <w:lang w:val="sr-Latn-ME"/>
        </w:rPr>
        <w:t xml:space="preserve"> lijek </w:t>
      </w:r>
      <w:r w:rsidRPr="00230C58">
        <w:rPr>
          <w:noProof/>
          <w:sz w:val="22"/>
          <w:szCs w:val="22"/>
          <w:lang w:val="sr-Latn-ME"/>
        </w:rPr>
        <w:t xml:space="preserve">sadrži manje od 1 mmol natrijuma (23 mg) po bočici, odnosno suštinski je bez natrijuma. </w:t>
      </w:r>
    </w:p>
    <w:p w14:paraId="54EF0A03" w14:textId="77777777" w:rsidR="00057E35" w:rsidRPr="00230C58" w:rsidRDefault="00057E35" w:rsidP="00B805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15FF5AB" w14:textId="77777777" w:rsidR="00411B4B" w:rsidRPr="00230C58" w:rsidRDefault="00411B4B" w:rsidP="00B805B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30C58">
        <w:rPr>
          <w:b/>
          <w:bCs/>
          <w:sz w:val="22"/>
          <w:szCs w:val="22"/>
          <w:lang w:val="sr-Latn-ME"/>
        </w:rPr>
        <w:t>4.5.</w:t>
      </w:r>
      <w:r w:rsidR="000D60CC" w:rsidRPr="00230C58">
        <w:rPr>
          <w:b/>
          <w:bCs/>
          <w:sz w:val="22"/>
          <w:szCs w:val="22"/>
          <w:lang w:val="sr-Latn-ME"/>
        </w:rPr>
        <w:tab/>
      </w:r>
      <w:r w:rsidRPr="00230C58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0960A67F" w14:textId="56AFCA7F" w:rsidR="0072020E" w:rsidRPr="00230C58" w:rsidRDefault="0072020E" w:rsidP="00B805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3766FE6" w14:textId="3A826263" w:rsidR="007B3980" w:rsidRPr="00230C58" w:rsidRDefault="007B3980" w:rsidP="00550889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Pokazano je da sl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edeći l</w:t>
      </w:r>
      <w:r w:rsidR="00C673B6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ekovi utiču na jačinu i/ili dužinu dejstva nedepolarizujućih neuromišićnih blokatora.</w:t>
      </w:r>
    </w:p>
    <w:p w14:paraId="31AFB5EE" w14:textId="77777777" w:rsidR="007B3980" w:rsidRPr="00230C58" w:rsidRDefault="007B3980" w:rsidP="00550889">
      <w:pPr>
        <w:jc w:val="both"/>
        <w:rPr>
          <w:noProof/>
          <w:sz w:val="22"/>
          <w:szCs w:val="22"/>
          <w:lang w:val="sr-Latn-ME"/>
        </w:rPr>
      </w:pPr>
    </w:p>
    <w:p w14:paraId="3CE32A1A" w14:textId="08CB7832" w:rsidR="007B3980" w:rsidRPr="00230C58" w:rsidRDefault="007B3980" w:rsidP="00550889">
      <w:pPr>
        <w:jc w:val="both"/>
        <w:rPr>
          <w:b/>
          <w:noProof/>
          <w:sz w:val="22"/>
          <w:szCs w:val="22"/>
          <w:lang w:val="sr-Latn-ME"/>
        </w:rPr>
      </w:pPr>
      <w:r w:rsidRPr="00230C58">
        <w:rPr>
          <w:b/>
          <w:noProof/>
          <w:sz w:val="22"/>
          <w:szCs w:val="22"/>
          <w:lang w:val="sr-Latn-ME"/>
        </w:rPr>
        <w:t>Efekat drugih lekova na</w:t>
      </w:r>
      <w:r w:rsidR="00C673B6" w:rsidRPr="00230C58">
        <w:rPr>
          <w:b/>
          <w:noProof/>
          <w:sz w:val="22"/>
          <w:szCs w:val="22"/>
          <w:lang w:val="sr-Latn-ME"/>
        </w:rPr>
        <w:t xml:space="preserve"> lijek </w:t>
      </w:r>
      <w:r w:rsidRPr="00230C58">
        <w:rPr>
          <w:b/>
          <w:noProof/>
          <w:sz w:val="22"/>
          <w:szCs w:val="22"/>
          <w:lang w:val="sr-Latn-ME"/>
        </w:rPr>
        <w:t>ESMERON</w:t>
      </w:r>
    </w:p>
    <w:p w14:paraId="71D2FB96" w14:textId="77777777" w:rsidR="007B3980" w:rsidRPr="00230C58" w:rsidRDefault="007B3980">
      <w:pPr>
        <w:jc w:val="both"/>
        <w:rPr>
          <w:noProof/>
          <w:sz w:val="22"/>
          <w:szCs w:val="22"/>
          <w:lang w:val="sr-Latn-ME"/>
        </w:rPr>
      </w:pPr>
    </w:p>
    <w:p w14:paraId="460AA905" w14:textId="77777777" w:rsidR="007B3980" w:rsidRPr="00230C58" w:rsidRDefault="007B3980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Pojačan efekat:</w:t>
      </w:r>
    </w:p>
    <w:p w14:paraId="220304A7" w14:textId="220A921E" w:rsidR="007B3980" w:rsidRPr="00230C58" w:rsidRDefault="007B3980">
      <w:pPr>
        <w:numPr>
          <w:ilvl w:val="0"/>
          <w:numId w:val="12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Halogenizovani inhalacioni anestetici pojačavaju neuromuskularni blok prouzrokovan l</w:t>
      </w:r>
      <w:r w:rsidR="005F4D7C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ekom ESMERON. Efek</w:t>
      </w:r>
      <w:r w:rsidR="005F4D7C" w:rsidRPr="00230C58">
        <w:rPr>
          <w:noProof/>
          <w:sz w:val="22"/>
          <w:szCs w:val="22"/>
          <w:lang w:val="sr-Latn-ME"/>
        </w:rPr>
        <w:t>a</w:t>
      </w:r>
      <w:r w:rsidRPr="00230C58">
        <w:rPr>
          <w:noProof/>
          <w:sz w:val="22"/>
          <w:szCs w:val="22"/>
          <w:lang w:val="sr-Latn-ME"/>
        </w:rPr>
        <w:t>t postaje očigledan tek sa dozama održavanja (</w:t>
      </w:r>
      <w:r w:rsidR="00B2737E" w:rsidRPr="00230C58">
        <w:rPr>
          <w:noProof/>
          <w:sz w:val="22"/>
          <w:szCs w:val="22"/>
          <w:lang w:val="sr-Latn-ME"/>
        </w:rPr>
        <w:t>vidjeti</w:t>
      </w:r>
      <w:r w:rsidRPr="00230C58">
        <w:rPr>
          <w:noProof/>
          <w:sz w:val="22"/>
          <w:szCs w:val="22"/>
          <w:lang w:val="sr-Latn-ME"/>
        </w:rPr>
        <w:t xml:space="preserve"> </w:t>
      </w:r>
      <w:r w:rsidR="00DB7D68" w:rsidRPr="00230C58">
        <w:rPr>
          <w:noProof/>
          <w:sz w:val="22"/>
          <w:szCs w:val="22"/>
          <w:lang w:val="sr-Latn-ME"/>
        </w:rPr>
        <w:t>dio</w:t>
      </w:r>
      <w:r w:rsidRPr="00230C58">
        <w:rPr>
          <w:noProof/>
          <w:sz w:val="22"/>
          <w:szCs w:val="22"/>
          <w:lang w:val="sr-Latn-ME"/>
        </w:rPr>
        <w:t xml:space="preserve"> 4.2). Oporavak od bloka sa antiholinesteraznim inhibitorima (reverzija) bi, takođe, mogao biti inhibiran. </w:t>
      </w:r>
    </w:p>
    <w:p w14:paraId="68D63A5B" w14:textId="0A94491E" w:rsidR="007B3980" w:rsidRPr="00230C58" w:rsidRDefault="007B3980">
      <w:pPr>
        <w:numPr>
          <w:ilvl w:val="0"/>
          <w:numId w:val="12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Posl</w:t>
      </w:r>
      <w:r w:rsidR="005F4D7C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 intubacije sukcinilholinom (</w:t>
      </w:r>
      <w:r w:rsidR="00B2737E" w:rsidRPr="00230C58">
        <w:rPr>
          <w:noProof/>
          <w:sz w:val="22"/>
          <w:szCs w:val="22"/>
          <w:lang w:val="sr-Latn-ME"/>
        </w:rPr>
        <w:t>vidjeti</w:t>
      </w:r>
      <w:r w:rsidRPr="00230C58">
        <w:rPr>
          <w:noProof/>
          <w:sz w:val="22"/>
          <w:szCs w:val="22"/>
          <w:lang w:val="sr-Latn-ME"/>
        </w:rPr>
        <w:t xml:space="preserve"> </w:t>
      </w:r>
      <w:r w:rsidR="00DB7D68" w:rsidRPr="00230C58">
        <w:rPr>
          <w:noProof/>
          <w:sz w:val="22"/>
          <w:szCs w:val="22"/>
          <w:lang w:val="sr-Latn-ME"/>
        </w:rPr>
        <w:t>dio</w:t>
      </w:r>
      <w:r w:rsidRPr="00230C58">
        <w:rPr>
          <w:noProof/>
          <w:sz w:val="22"/>
          <w:szCs w:val="22"/>
          <w:lang w:val="sr-Latn-ME"/>
        </w:rPr>
        <w:t xml:space="preserve"> 4.4).</w:t>
      </w:r>
    </w:p>
    <w:p w14:paraId="7D899E08" w14:textId="4E0AAC05" w:rsidR="007B3980" w:rsidRPr="00230C58" w:rsidRDefault="007B3980">
      <w:pPr>
        <w:numPr>
          <w:ilvl w:val="0"/>
          <w:numId w:val="12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Dugotrajna istovremena upotreba kortikosteroida i</w:t>
      </w:r>
      <w:r w:rsidR="00C673B6" w:rsidRPr="00230C58">
        <w:rPr>
          <w:noProof/>
          <w:sz w:val="22"/>
          <w:szCs w:val="22"/>
          <w:lang w:val="sr-Latn-ME"/>
        </w:rPr>
        <w:t xml:space="preserve"> lijeka </w:t>
      </w:r>
      <w:r w:rsidRPr="00230C58">
        <w:rPr>
          <w:noProof/>
          <w:sz w:val="22"/>
          <w:szCs w:val="22"/>
          <w:lang w:val="sr-Latn-ME"/>
        </w:rPr>
        <w:t>ESMERON u jedinicama intenzivne n</w:t>
      </w:r>
      <w:r w:rsidR="005F4D7C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ege može dovesti do produženog trajanja neuromuskularnog bloka ili miopatije (</w:t>
      </w:r>
      <w:r w:rsidR="00B2737E" w:rsidRPr="00230C58">
        <w:rPr>
          <w:noProof/>
          <w:sz w:val="22"/>
          <w:szCs w:val="22"/>
          <w:lang w:val="sr-Latn-ME"/>
        </w:rPr>
        <w:t>vidjeti</w:t>
      </w:r>
      <w:r w:rsidRPr="00230C58">
        <w:rPr>
          <w:noProof/>
          <w:sz w:val="22"/>
          <w:szCs w:val="22"/>
          <w:lang w:val="sr-Latn-ME"/>
        </w:rPr>
        <w:t xml:space="preserve"> </w:t>
      </w:r>
      <w:r w:rsidR="00830771" w:rsidRPr="00230C58">
        <w:rPr>
          <w:noProof/>
          <w:sz w:val="22"/>
          <w:szCs w:val="22"/>
          <w:lang w:val="sr-Latn-ME"/>
        </w:rPr>
        <w:t>djelov</w:t>
      </w:r>
      <w:r w:rsidRPr="00230C58">
        <w:rPr>
          <w:noProof/>
          <w:sz w:val="22"/>
          <w:szCs w:val="22"/>
          <w:lang w:val="sr-Latn-ME"/>
        </w:rPr>
        <w:t>e 4.4 i 4.8).</w:t>
      </w:r>
    </w:p>
    <w:p w14:paraId="2380851B" w14:textId="77777777" w:rsidR="007B3980" w:rsidRPr="00230C58" w:rsidRDefault="007B3980">
      <w:pPr>
        <w:jc w:val="both"/>
        <w:rPr>
          <w:noProof/>
          <w:sz w:val="22"/>
          <w:szCs w:val="22"/>
          <w:lang w:val="sr-Latn-ME"/>
        </w:rPr>
      </w:pPr>
    </w:p>
    <w:p w14:paraId="147F1B60" w14:textId="344A9548" w:rsidR="007B3980" w:rsidRPr="00230C58" w:rsidRDefault="007B3980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Drugi l</w:t>
      </w:r>
      <w:r w:rsidR="005F4D7C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ekovi:</w:t>
      </w:r>
    </w:p>
    <w:p w14:paraId="6B49FF0C" w14:textId="77777777" w:rsidR="007B3980" w:rsidRPr="00230C58" w:rsidRDefault="007B3980">
      <w:pPr>
        <w:numPr>
          <w:ilvl w:val="0"/>
          <w:numId w:val="15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antibiotici: aminoglikozidi, linkozamidi i polipeptidni antibiotici, acilamino-penicilinski antibiotici.</w:t>
      </w:r>
    </w:p>
    <w:p w14:paraId="10CA7303" w14:textId="2C4DC05A" w:rsidR="007B3980" w:rsidRPr="00230C58" w:rsidRDefault="007B3980">
      <w:pPr>
        <w:numPr>
          <w:ilvl w:val="0"/>
          <w:numId w:val="15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lastRenderedPageBreak/>
        <w:t>diuretici, hinidin i njegov izomer hinin, soli magnezijuma, blokatori kalcijumskih kanala, soli litijuma, lokalni anestetici (lidokain i.v., bupivakain epiduralno) i akutna prim</w:t>
      </w:r>
      <w:r w:rsidR="005F4D7C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ena fenitoina ili beta-blokatora.</w:t>
      </w:r>
    </w:p>
    <w:p w14:paraId="41AAF31C" w14:textId="77777777" w:rsidR="007B3980" w:rsidRPr="00230C58" w:rsidRDefault="007B3980">
      <w:pPr>
        <w:jc w:val="both"/>
        <w:rPr>
          <w:noProof/>
          <w:sz w:val="22"/>
          <w:szCs w:val="22"/>
          <w:lang w:val="sr-Latn-ME"/>
        </w:rPr>
      </w:pPr>
    </w:p>
    <w:p w14:paraId="563D5BC7" w14:textId="0A761DAD" w:rsidR="007B3980" w:rsidRPr="00230C58" w:rsidRDefault="007B3980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Rekurarizacija se može javiti posl</w:t>
      </w:r>
      <w:r w:rsidR="005F4D7C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 postoperativne prim</w:t>
      </w:r>
      <w:r w:rsidR="005F4D7C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ene aminoglikozida, linkozamida, polipeptidnih i acilamino-penicilinskih antibiotika, hinidina, hinina i soli magnezijuma (</w:t>
      </w:r>
      <w:r w:rsidR="00B2737E" w:rsidRPr="00230C58">
        <w:rPr>
          <w:noProof/>
          <w:sz w:val="22"/>
          <w:szCs w:val="22"/>
          <w:lang w:val="sr-Latn-ME"/>
        </w:rPr>
        <w:t>vidjeti</w:t>
      </w:r>
      <w:r w:rsidRPr="00230C58">
        <w:rPr>
          <w:noProof/>
          <w:sz w:val="22"/>
          <w:szCs w:val="22"/>
          <w:lang w:val="sr-Latn-ME"/>
        </w:rPr>
        <w:t xml:space="preserve"> </w:t>
      </w:r>
      <w:r w:rsidR="00DB7D68" w:rsidRPr="00230C58">
        <w:rPr>
          <w:noProof/>
          <w:sz w:val="22"/>
          <w:szCs w:val="22"/>
          <w:lang w:val="sr-Latn-ME"/>
        </w:rPr>
        <w:t>dio</w:t>
      </w:r>
      <w:r w:rsidRPr="00230C58">
        <w:rPr>
          <w:noProof/>
          <w:sz w:val="22"/>
          <w:szCs w:val="22"/>
          <w:lang w:val="sr-Latn-ME"/>
        </w:rPr>
        <w:t xml:space="preserve"> 4.4). </w:t>
      </w:r>
    </w:p>
    <w:p w14:paraId="0AF6BCA2" w14:textId="77777777" w:rsidR="007B3980" w:rsidRPr="00230C58" w:rsidRDefault="007B3980">
      <w:pPr>
        <w:jc w:val="both"/>
        <w:rPr>
          <w:noProof/>
          <w:sz w:val="22"/>
          <w:szCs w:val="22"/>
          <w:lang w:val="sr-Latn-ME"/>
        </w:rPr>
      </w:pPr>
    </w:p>
    <w:p w14:paraId="36AF5670" w14:textId="77777777" w:rsidR="007B3980" w:rsidRPr="00230C58" w:rsidRDefault="007B3980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Smanjen efekat:</w:t>
      </w:r>
    </w:p>
    <w:p w14:paraId="2C6DF214" w14:textId="65C46D93" w:rsidR="00830771" w:rsidRPr="00230C58" w:rsidRDefault="007B3980">
      <w:pPr>
        <w:numPr>
          <w:ilvl w:val="0"/>
          <w:numId w:val="13"/>
        </w:num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lang w:val="sr-Latn-ME"/>
        </w:rPr>
        <w:t>Prethodna hronična prim</w:t>
      </w:r>
      <w:r w:rsidR="005F4D7C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ena fenitoina ili karbamazepina.</w:t>
      </w:r>
    </w:p>
    <w:p w14:paraId="662DB751" w14:textId="2871C212" w:rsidR="007B3980" w:rsidRPr="00230C58" w:rsidRDefault="009A1C0D">
      <w:pPr>
        <w:numPr>
          <w:ilvl w:val="0"/>
          <w:numId w:val="13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>
        <w:rPr>
          <w:noProof/>
          <w:sz w:val="22"/>
          <w:szCs w:val="22"/>
          <w:lang w:val="sr-Latn-ME"/>
        </w:rPr>
        <w:t xml:space="preserve">Kalcijum </w:t>
      </w:r>
      <w:r w:rsidR="007B3980" w:rsidRPr="00230C58">
        <w:rPr>
          <w:noProof/>
          <w:sz w:val="22"/>
          <w:szCs w:val="22"/>
          <w:lang w:val="sr-Latn-ME"/>
        </w:rPr>
        <w:t>hlorid, kalijum</w:t>
      </w:r>
      <w:r>
        <w:rPr>
          <w:noProof/>
          <w:sz w:val="22"/>
          <w:szCs w:val="22"/>
          <w:lang w:val="sr-Latn-ME"/>
        </w:rPr>
        <w:t xml:space="preserve"> </w:t>
      </w:r>
      <w:r w:rsidR="007B3980" w:rsidRPr="00230C58">
        <w:rPr>
          <w:noProof/>
          <w:sz w:val="22"/>
          <w:szCs w:val="22"/>
          <w:lang w:val="sr-Latn-ME"/>
        </w:rPr>
        <w:t>hlorid.</w:t>
      </w:r>
    </w:p>
    <w:p w14:paraId="455A171A" w14:textId="556C5A42" w:rsidR="00830771" w:rsidRPr="00230C58" w:rsidRDefault="007B3980">
      <w:pPr>
        <w:numPr>
          <w:ilvl w:val="0"/>
          <w:numId w:val="13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Inhibitori proteolitičkih enzima (gabeksat, ulinastatin).</w:t>
      </w:r>
    </w:p>
    <w:p w14:paraId="304D659C" w14:textId="77777777" w:rsidR="007B3980" w:rsidRPr="00230C58" w:rsidRDefault="007B3980">
      <w:pPr>
        <w:jc w:val="both"/>
        <w:rPr>
          <w:noProof/>
          <w:sz w:val="22"/>
          <w:szCs w:val="22"/>
          <w:lang w:val="sr-Latn-ME"/>
        </w:rPr>
      </w:pPr>
    </w:p>
    <w:p w14:paraId="243FF1A9" w14:textId="199464F5" w:rsidR="007B3980" w:rsidRPr="00230C58" w:rsidRDefault="007B3980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Prom</w:t>
      </w:r>
      <w:r w:rsidR="005F4D7C" w:rsidRPr="00230C58">
        <w:rPr>
          <w:noProof/>
          <w:sz w:val="22"/>
          <w:szCs w:val="22"/>
          <w:u w:val="single"/>
          <w:lang w:val="sr-Latn-ME"/>
        </w:rPr>
        <w:t>j</w:t>
      </w:r>
      <w:r w:rsidRPr="00230C58">
        <w:rPr>
          <w:noProof/>
          <w:sz w:val="22"/>
          <w:szCs w:val="22"/>
          <w:u w:val="single"/>
          <w:lang w:val="sr-Latn-ME"/>
        </w:rPr>
        <w:t>enljiv efekat:</w:t>
      </w:r>
    </w:p>
    <w:p w14:paraId="44269EA9" w14:textId="101FFB42" w:rsidR="007B3980" w:rsidRPr="00230C58" w:rsidRDefault="007B3980">
      <w:pPr>
        <w:numPr>
          <w:ilvl w:val="0"/>
          <w:numId w:val="14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Prim</w:t>
      </w:r>
      <w:r w:rsidR="005F4D7C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ena drugih nedepolarizujućih neuromišićnih blokatora u kombinaciji sa l</w:t>
      </w:r>
      <w:r w:rsidR="005F4D7C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ekom ESMERON može dovesti do smanjenja ili pojačanja neuromuskularnog bloka, u zavisnosti od redosl</w:t>
      </w:r>
      <w:r w:rsidR="005F4D7C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eda davanja i korišćenog neuromišićnog blokatora.</w:t>
      </w:r>
    </w:p>
    <w:p w14:paraId="18A19110" w14:textId="4D27EF00" w:rsidR="007B3980" w:rsidRPr="00230C58" w:rsidRDefault="007B3980">
      <w:pPr>
        <w:numPr>
          <w:ilvl w:val="0"/>
          <w:numId w:val="14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Sukcinilholin, dat posl</w:t>
      </w:r>
      <w:r w:rsidR="00E63F91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 prim</w:t>
      </w:r>
      <w:r w:rsidR="00E63F91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ene</w:t>
      </w:r>
      <w:r w:rsidR="00C673B6" w:rsidRPr="00230C58">
        <w:rPr>
          <w:noProof/>
          <w:sz w:val="22"/>
          <w:szCs w:val="22"/>
          <w:lang w:val="sr-Latn-ME"/>
        </w:rPr>
        <w:t xml:space="preserve"> lijeka </w:t>
      </w:r>
      <w:r w:rsidRPr="00230C58">
        <w:rPr>
          <w:noProof/>
          <w:sz w:val="22"/>
          <w:szCs w:val="22"/>
          <w:lang w:val="sr-Latn-ME"/>
        </w:rPr>
        <w:t xml:space="preserve">ESMERON, može proizvesti pojačanje ili smanjenje njegovog dejstva kao neuromišićnog blokatora. </w:t>
      </w:r>
    </w:p>
    <w:p w14:paraId="0946DA39" w14:textId="77777777" w:rsidR="007B3980" w:rsidRPr="00230C58" w:rsidRDefault="007B3980">
      <w:pPr>
        <w:jc w:val="both"/>
        <w:rPr>
          <w:noProof/>
          <w:sz w:val="22"/>
          <w:szCs w:val="22"/>
          <w:lang w:val="sr-Latn-ME"/>
        </w:rPr>
      </w:pPr>
    </w:p>
    <w:p w14:paraId="7E2E7427" w14:textId="1008BC34" w:rsidR="007B3980" w:rsidRPr="00230C58" w:rsidRDefault="007B3980">
      <w:pPr>
        <w:jc w:val="both"/>
        <w:rPr>
          <w:b/>
          <w:noProof/>
          <w:sz w:val="22"/>
          <w:szCs w:val="22"/>
          <w:lang w:val="sr-Latn-ME"/>
        </w:rPr>
      </w:pPr>
      <w:r w:rsidRPr="00230C58">
        <w:rPr>
          <w:b/>
          <w:noProof/>
          <w:sz w:val="22"/>
          <w:szCs w:val="22"/>
          <w:lang w:val="sr-Latn-ME"/>
        </w:rPr>
        <w:t>Efekat</w:t>
      </w:r>
      <w:r w:rsidR="00C673B6" w:rsidRPr="00230C58">
        <w:rPr>
          <w:b/>
          <w:noProof/>
          <w:sz w:val="22"/>
          <w:szCs w:val="22"/>
          <w:lang w:val="sr-Latn-ME"/>
        </w:rPr>
        <w:t xml:space="preserve"> lijeka </w:t>
      </w:r>
      <w:r w:rsidRPr="00230C58">
        <w:rPr>
          <w:b/>
          <w:noProof/>
          <w:sz w:val="22"/>
          <w:szCs w:val="22"/>
          <w:lang w:val="sr-Latn-ME"/>
        </w:rPr>
        <w:t>ESMERON na druge l</w:t>
      </w:r>
      <w:r w:rsidR="00E63F91" w:rsidRPr="00230C58">
        <w:rPr>
          <w:b/>
          <w:noProof/>
          <w:sz w:val="22"/>
          <w:szCs w:val="22"/>
          <w:lang w:val="sr-Latn-ME"/>
        </w:rPr>
        <w:t>j</w:t>
      </w:r>
      <w:r w:rsidRPr="00230C58">
        <w:rPr>
          <w:b/>
          <w:noProof/>
          <w:sz w:val="22"/>
          <w:szCs w:val="22"/>
          <w:lang w:val="sr-Latn-ME"/>
        </w:rPr>
        <w:t>ekove</w:t>
      </w:r>
    </w:p>
    <w:p w14:paraId="572AE5E4" w14:textId="77777777" w:rsidR="007B3980" w:rsidRPr="00230C58" w:rsidRDefault="007B3980">
      <w:pPr>
        <w:jc w:val="both"/>
        <w:rPr>
          <w:b/>
          <w:noProof/>
          <w:sz w:val="22"/>
          <w:szCs w:val="22"/>
          <w:lang w:val="sr-Latn-ME"/>
        </w:rPr>
      </w:pPr>
    </w:p>
    <w:p w14:paraId="23C2410F" w14:textId="3BAC9956" w:rsidR="007B3980" w:rsidRPr="00230C58" w:rsidRDefault="007B3980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L</w:t>
      </w:r>
      <w:r w:rsidR="00E63F91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ek ESMERON prim</w:t>
      </w:r>
      <w:r w:rsidR="00E63F91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 xml:space="preserve">enjen u kombinaciji sa lidokainom može dovesti do bržeg </w:t>
      </w:r>
      <w:r w:rsidR="00830771" w:rsidRPr="00230C58">
        <w:rPr>
          <w:noProof/>
          <w:sz w:val="22"/>
          <w:szCs w:val="22"/>
          <w:lang w:val="sr-Latn-ME"/>
        </w:rPr>
        <w:t>početka djelovanja</w:t>
      </w:r>
      <w:r w:rsidRPr="00230C58">
        <w:rPr>
          <w:noProof/>
          <w:sz w:val="22"/>
          <w:szCs w:val="22"/>
          <w:lang w:val="sr-Latn-ME"/>
        </w:rPr>
        <w:t xml:space="preserve"> lidokaina.</w:t>
      </w:r>
    </w:p>
    <w:p w14:paraId="6E469F22" w14:textId="77777777" w:rsidR="007B3980" w:rsidRPr="00230C58" w:rsidRDefault="007B3980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</w:p>
    <w:p w14:paraId="2653CE85" w14:textId="77777777" w:rsidR="007B3980" w:rsidRPr="00230C58" w:rsidRDefault="007B3980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230C58">
        <w:rPr>
          <w:sz w:val="22"/>
          <w:szCs w:val="22"/>
          <w:u w:val="single"/>
          <w:lang w:val="sr-Latn-ME"/>
        </w:rPr>
        <w:t>Pedijatrijska populacija</w:t>
      </w:r>
    </w:p>
    <w:p w14:paraId="78267ED5" w14:textId="67835886" w:rsidR="007B3980" w:rsidRPr="00230C58" w:rsidRDefault="007B398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230C58">
        <w:rPr>
          <w:sz w:val="22"/>
          <w:szCs w:val="22"/>
          <w:lang w:val="sr-Latn-ME"/>
        </w:rPr>
        <w:t>Ni</w:t>
      </w:r>
      <w:r w:rsidR="00E63F91" w:rsidRPr="00230C58">
        <w:rPr>
          <w:sz w:val="22"/>
          <w:szCs w:val="22"/>
          <w:lang w:val="sr-Latn-ME"/>
        </w:rPr>
        <w:t>je</w:t>
      </w:r>
      <w:r w:rsidRPr="00230C58">
        <w:rPr>
          <w:sz w:val="22"/>
          <w:szCs w:val="22"/>
          <w:lang w:val="sr-Latn-ME"/>
        </w:rPr>
        <w:t>su sprovedena zvanična ispitivanja interakcija. Gore navedene interakcije kod odraslih pacijenata i posebna upozorenja i m</w:t>
      </w:r>
      <w:r w:rsidR="00E63F91" w:rsidRPr="00230C58">
        <w:rPr>
          <w:sz w:val="22"/>
          <w:szCs w:val="22"/>
          <w:lang w:val="sr-Latn-ME"/>
        </w:rPr>
        <w:t>j</w:t>
      </w:r>
      <w:r w:rsidRPr="00230C58">
        <w:rPr>
          <w:sz w:val="22"/>
          <w:szCs w:val="22"/>
          <w:lang w:val="sr-Latn-ME"/>
        </w:rPr>
        <w:t>ere opreza pri upotrebi (</w:t>
      </w:r>
      <w:r w:rsidR="00B2737E" w:rsidRPr="00230C58">
        <w:rPr>
          <w:sz w:val="22"/>
          <w:szCs w:val="22"/>
          <w:lang w:val="sr-Latn-ME"/>
        </w:rPr>
        <w:t>vidjeti</w:t>
      </w:r>
      <w:r w:rsidRPr="00230C58">
        <w:rPr>
          <w:sz w:val="22"/>
          <w:szCs w:val="22"/>
          <w:lang w:val="sr-Latn-ME"/>
        </w:rPr>
        <w:t xml:space="preserve"> </w:t>
      </w:r>
      <w:r w:rsidR="00DB7D68" w:rsidRPr="00230C58">
        <w:rPr>
          <w:sz w:val="22"/>
          <w:szCs w:val="22"/>
          <w:lang w:val="sr-Latn-ME"/>
        </w:rPr>
        <w:t>dio</w:t>
      </w:r>
      <w:r w:rsidRPr="00230C58">
        <w:rPr>
          <w:sz w:val="22"/>
          <w:szCs w:val="22"/>
          <w:lang w:val="sr-Latn-ME"/>
        </w:rPr>
        <w:t xml:space="preserve"> 4.4) takođe treba uzeti u obzir kod pedijatrijskih pacijenata.</w:t>
      </w:r>
    </w:p>
    <w:p w14:paraId="30F85F8D" w14:textId="77777777" w:rsidR="007B3980" w:rsidRPr="00230C58" w:rsidRDefault="007B398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E015E6" w14:textId="77777777" w:rsidR="0072020E" w:rsidRPr="00230C58" w:rsidRDefault="0072020E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230C58">
        <w:rPr>
          <w:b/>
          <w:bCs/>
          <w:sz w:val="22"/>
          <w:szCs w:val="22"/>
          <w:lang w:val="sr-Latn-ME"/>
        </w:rPr>
        <w:t xml:space="preserve">4.6. </w:t>
      </w:r>
      <w:r w:rsidR="00480FB1" w:rsidRPr="00230C58">
        <w:rPr>
          <w:b/>
          <w:bCs/>
          <w:sz w:val="22"/>
          <w:szCs w:val="22"/>
          <w:lang w:val="sr-Latn-ME"/>
        </w:rPr>
        <w:tab/>
      </w:r>
      <w:r w:rsidR="006D20A5" w:rsidRPr="00230C58">
        <w:rPr>
          <w:b/>
          <w:sz w:val="22"/>
          <w:szCs w:val="22"/>
          <w:lang w:val="sr-Latn-ME"/>
        </w:rPr>
        <w:t>Plodnost, trudnoća i dojenje</w:t>
      </w:r>
    </w:p>
    <w:p w14:paraId="3EB5087F" w14:textId="77777777" w:rsidR="002031B3" w:rsidRPr="00230C58" w:rsidRDefault="002031B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7BB68076" w14:textId="77777777" w:rsidR="007B3980" w:rsidRPr="00230C58" w:rsidRDefault="007B3980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Trudnoća</w:t>
      </w:r>
    </w:p>
    <w:p w14:paraId="236B2FD2" w14:textId="34E7F62E" w:rsidR="007B3980" w:rsidRPr="00230C58" w:rsidRDefault="007B3980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 xml:space="preserve">Za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 xml:space="preserve">omid nema dostupnih kliničkih podataka o uticaju na trudnoću. Studije sprovedene na životinjama </w:t>
      </w:r>
      <w:r w:rsidRPr="00230C58">
        <w:rPr>
          <w:sz w:val="22"/>
          <w:szCs w:val="22"/>
          <w:lang w:val="sr-Latn-ME"/>
        </w:rPr>
        <w:t xml:space="preserve">ne ukazuju na direktna ili indirektna štetna dejstva </w:t>
      </w:r>
      <w:r w:rsidRPr="00230C58">
        <w:rPr>
          <w:noProof/>
          <w:sz w:val="22"/>
          <w:szCs w:val="22"/>
          <w:lang w:val="sr-Latn-ME"/>
        </w:rPr>
        <w:t>koja se odnose na trudnoću, embrionalni/fetalni razvoj, porođaj ili postnatalni razvoj. Potreban je oprez kada se</w:t>
      </w:r>
      <w:r w:rsidR="00C673B6" w:rsidRPr="00230C58">
        <w:rPr>
          <w:noProof/>
          <w:sz w:val="22"/>
          <w:szCs w:val="22"/>
          <w:lang w:val="sr-Latn-ME"/>
        </w:rPr>
        <w:t xml:space="preserve"> lijek </w:t>
      </w:r>
      <w:r w:rsidRPr="00230C58">
        <w:rPr>
          <w:noProof/>
          <w:sz w:val="22"/>
          <w:szCs w:val="22"/>
          <w:lang w:val="sr-Latn-ME"/>
        </w:rPr>
        <w:t xml:space="preserve">ESMERON propisuje trudnici. </w:t>
      </w:r>
    </w:p>
    <w:p w14:paraId="621655FE" w14:textId="77777777" w:rsidR="007B3980" w:rsidRPr="00230C58" w:rsidRDefault="007B3980">
      <w:pPr>
        <w:jc w:val="both"/>
        <w:rPr>
          <w:noProof/>
          <w:sz w:val="22"/>
          <w:szCs w:val="22"/>
          <w:lang w:val="sr-Latn-ME"/>
        </w:rPr>
      </w:pPr>
    </w:p>
    <w:p w14:paraId="0DEDCECA" w14:textId="77777777" w:rsidR="007B3980" w:rsidRPr="00230C58" w:rsidRDefault="007B3980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Carski rez</w:t>
      </w:r>
    </w:p>
    <w:p w14:paraId="7722C2DE" w14:textId="41DC12F6" w:rsidR="007B3980" w:rsidRPr="00230C58" w:rsidRDefault="007B3980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Kod pacijentkinja koje se podvrgavaju carskom rezu,</w:t>
      </w:r>
      <w:r w:rsidR="00C673B6" w:rsidRPr="00230C58">
        <w:rPr>
          <w:noProof/>
          <w:sz w:val="22"/>
          <w:szCs w:val="22"/>
          <w:lang w:val="sr-Latn-ME"/>
        </w:rPr>
        <w:t xml:space="preserve"> lijek </w:t>
      </w:r>
      <w:r w:rsidRPr="00230C58">
        <w:rPr>
          <w:noProof/>
          <w:sz w:val="22"/>
          <w:szCs w:val="22"/>
          <w:lang w:val="sr-Latn-ME"/>
        </w:rPr>
        <w:t>ESMERON se može koristiti kao</w:t>
      </w:r>
      <w:r w:rsidR="00C673B6" w:rsidRPr="00230C58">
        <w:rPr>
          <w:noProof/>
          <w:sz w:val="22"/>
          <w:szCs w:val="22"/>
          <w:lang w:val="sr-Latn-ME"/>
        </w:rPr>
        <w:t xml:space="preserve"> dio </w:t>
      </w:r>
      <w:r w:rsidRPr="00230C58">
        <w:rPr>
          <w:noProof/>
          <w:sz w:val="22"/>
          <w:szCs w:val="22"/>
          <w:lang w:val="sr-Latn-ME"/>
        </w:rPr>
        <w:t>tehnike brzog uvođenja u anesteziju, pod uslovom da se ne očekuju nikakve teškoće prilikom intubacije i da je dovoljna doza anestetika prim</w:t>
      </w:r>
      <w:r w:rsidR="00E63F91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enjena ili posl</w:t>
      </w:r>
      <w:r w:rsidR="00E63F91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 intubacije olakšane sukcinilholinom. Međutim, može se desiti da</w:t>
      </w:r>
      <w:r w:rsidR="00C673B6" w:rsidRPr="00230C58">
        <w:rPr>
          <w:noProof/>
          <w:sz w:val="22"/>
          <w:szCs w:val="22"/>
          <w:lang w:val="sr-Latn-ME"/>
        </w:rPr>
        <w:t xml:space="preserve"> lijek </w:t>
      </w:r>
      <w:r w:rsidRPr="00230C58">
        <w:rPr>
          <w:noProof/>
          <w:sz w:val="22"/>
          <w:szCs w:val="22"/>
          <w:lang w:val="sr-Latn-ME"/>
        </w:rPr>
        <w:t>ESMERON, u dozi od 0,6 mg/kg, ne dovede do adekvatnih uslova za intubaciju do 90 sekundi nakon prim</w:t>
      </w:r>
      <w:r w:rsidR="00E63F91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ene. Pokazalo se da je</w:t>
      </w:r>
      <w:r w:rsidRPr="00230C58" w:rsidDel="00E30EAE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>ova doza bezb</w:t>
      </w:r>
      <w:r w:rsidR="00E63F91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edna za porodilje koje se podvrgavaju carskom rezu</w:t>
      </w:r>
      <w:r w:rsidR="00AC4E12" w:rsidRPr="00230C58">
        <w:rPr>
          <w:noProof/>
          <w:sz w:val="22"/>
          <w:szCs w:val="22"/>
          <w:lang w:val="sr-Latn-ME"/>
        </w:rPr>
        <w:t>. Lijek</w:t>
      </w:r>
      <w:r w:rsidR="00C673B6" w:rsidRPr="00230C58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 xml:space="preserve">ESMERON ne utiče na </w:t>
      </w:r>
      <w:r w:rsidRPr="00230C58">
        <w:rPr>
          <w:i/>
          <w:noProof/>
          <w:sz w:val="22"/>
          <w:szCs w:val="22"/>
          <w:lang w:val="sr-Latn-ME"/>
        </w:rPr>
        <w:t>Apgar skor</w:t>
      </w:r>
      <w:r w:rsidRPr="00230C58">
        <w:rPr>
          <w:noProof/>
          <w:sz w:val="22"/>
          <w:szCs w:val="22"/>
          <w:lang w:val="sr-Latn-ME"/>
        </w:rPr>
        <w:t xml:space="preserve">, fetalni mišićni tonus ili kardiorespiratornu adaptaciju. Iz uzoraka krvi iz pupčane vrpce se jasno vidi da je prolaz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>omida kroz placentu veoma mali, što ne može izazvati nikakav vidljiv neželjen klinički efekat kod novorođenčeta.</w:t>
      </w:r>
    </w:p>
    <w:p w14:paraId="0B9AB44A" w14:textId="77777777" w:rsidR="007B3980" w:rsidRPr="00230C58" w:rsidRDefault="007B3980">
      <w:pPr>
        <w:jc w:val="both"/>
        <w:rPr>
          <w:noProof/>
          <w:sz w:val="22"/>
          <w:szCs w:val="22"/>
          <w:lang w:val="sr-Latn-ME"/>
        </w:rPr>
      </w:pPr>
    </w:p>
    <w:p w14:paraId="49033540" w14:textId="77777777" w:rsidR="007B3980" w:rsidRPr="00230C58" w:rsidRDefault="007B3980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Napomena 1: doze od 1,0 mg/kg su istraživane tokom brzog uvođenja u anesteziju, ali ne kod pacijentkinja koje se podvrgavaju carskom rezu. Stoga se samo doza od 0,6 mg/kg preporučuje kod ove grupe pacijentikinja.</w:t>
      </w:r>
    </w:p>
    <w:p w14:paraId="1B1EC533" w14:textId="77777777" w:rsidR="007B3980" w:rsidRPr="00230C58" w:rsidRDefault="007B3980">
      <w:pPr>
        <w:jc w:val="both"/>
        <w:rPr>
          <w:noProof/>
          <w:sz w:val="22"/>
          <w:szCs w:val="22"/>
          <w:lang w:val="sr-Latn-ME"/>
        </w:rPr>
      </w:pPr>
    </w:p>
    <w:p w14:paraId="067FED0E" w14:textId="33AAAA2F" w:rsidR="007B3980" w:rsidRPr="00230C58" w:rsidRDefault="007B3980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Napomena 2: oporavak (reverzija) od neuromuskularnog bloka izazvanog neuromuskularnim blokatorima može biti inhibiran ili nezadovoljavajući kod pacijentkinja koje primaju soli magnezijuma zbog toksemije u trudnoći zbog toga što soli magnezijuma pojačavaju neuromuskularnu blokadu. Zbog toga, kod ovih pacijentkinja doziranje</w:t>
      </w:r>
      <w:r w:rsidR="00C673B6" w:rsidRPr="00230C58">
        <w:rPr>
          <w:noProof/>
          <w:sz w:val="22"/>
          <w:szCs w:val="22"/>
          <w:lang w:val="sr-Latn-ME"/>
        </w:rPr>
        <w:t xml:space="preserve"> lijeka </w:t>
      </w:r>
      <w:r w:rsidRPr="00230C58">
        <w:rPr>
          <w:noProof/>
          <w:sz w:val="22"/>
          <w:szCs w:val="22"/>
          <w:lang w:val="sr-Latn-ME"/>
        </w:rPr>
        <w:t xml:space="preserve">ESMERON treba da bude smanjeno i da se pažljivo titrira prema odgovoru trzajem. </w:t>
      </w:r>
    </w:p>
    <w:p w14:paraId="74B5D60C" w14:textId="77777777" w:rsidR="007B3980" w:rsidRPr="00230C58" w:rsidRDefault="007B3980" w:rsidP="00B805BF">
      <w:pPr>
        <w:jc w:val="both"/>
        <w:rPr>
          <w:noProof/>
          <w:sz w:val="22"/>
          <w:szCs w:val="22"/>
          <w:lang w:val="sr-Latn-ME"/>
        </w:rPr>
      </w:pPr>
    </w:p>
    <w:p w14:paraId="7EE191C0" w14:textId="77777777" w:rsidR="007B3980" w:rsidRPr="00230C58" w:rsidRDefault="007B3980" w:rsidP="00B805BF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lastRenderedPageBreak/>
        <w:t>Dojenje</w:t>
      </w:r>
    </w:p>
    <w:p w14:paraId="2EA17BA5" w14:textId="13D6D867" w:rsidR="007B3980" w:rsidRPr="00230C58" w:rsidRDefault="007B3980" w:rsidP="00B805BF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 xml:space="preserve">Nije poznato da li se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 xml:space="preserve">omid izlučuje u majčino </w:t>
      </w:r>
      <w:r w:rsidR="00143302" w:rsidRPr="00230C58">
        <w:rPr>
          <w:noProof/>
          <w:sz w:val="22"/>
          <w:szCs w:val="22"/>
          <w:lang w:val="sr-Latn-ME"/>
        </w:rPr>
        <w:t>ml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 xml:space="preserve">eko. Studije sprovedene na životinjama su pokazale beznačajne koncentracije rokuronijuma u </w:t>
      </w:r>
      <w:r w:rsidR="00143302" w:rsidRPr="00230C58">
        <w:rPr>
          <w:noProof/>
          <w:sz w:val="22"/>
          <w:szCs w:val="22"/>
          <w:lang w:val="sr-Latn-ME"/>
        </w:rPr>
        <w:t>ml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eku.</w:t>
      </w:r>
    </w:p>
    <w:p w14:paraId="04113D64" w14:textId="18654E3F" w:rsidR="007B3980" w:rsidRPr="00230C58" w:rsidRDefault="007B3980" w:rsidP="00550889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 xml:space="preserve">Neznatne koncentracije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 xml:space="preserve">omida su nađene u </w:t>
      </w:r>
      <w:r w:rsidR="00143302" w:rsidRPr="00230C58">
        <w:rPr>
          <w:noProof/>
          <w:sz w:val="22"/>
          <w:szCs w:val="22"/>
          <w:lang w:val="sr-Latn-ME"/>
        </w:rPr>
        <w:t>ml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eku kod ženki pacova tokom laktacije.</w:t>
      </w:r>
      <w:r w:rsidRPr="00230C58">
        <w:rPr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>Nema podataka o upotrebi</w:t>
      </w:r>
      <w:r w:rsidR="00C673B6" w:rsidRPr="00230C58">
        <w:rPr>
          <w:noProof/>
          <w:sz w:val="22"/>
          <w:szCs w:val="22"/>
          <w:lang w:val="sr-Latn-ME"/>
        </w:rPr>
        <w:t xml:space="preserve"> lijeka </w:t>
      </w:r>
      <w:r w:rsidRPr="00230C58">
        <w:rPr>
          <w:noProof/>
          <w:sz w:val="22"/>
          <w:szCs w:val="22"/>
          <w:lang w:val="sr-Latn-ME"/>
        </w:rPr>
        <w:t>ESMERON kod ljudi u toku laktacije</w:t>
      </w:r>
      <w:r w:rsidR="00AC4E12" w:rsidRPr="00230C58">
        <w:rPr>
          <w:noProof/>
          <w:sz w:val="22"/>
          <w:szCs w:val="22"/>
          <w:lang w:val="sr-Latn-ME"/>
        </w:rPr>
        <w:t>. Lijek</w:t>
      </w:r>
      <w:r w:rsidR="00C673B6" w:rsidRPr="00230C58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>ESMERON treba prim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eniti ženi u laktaciji samo kada ordinirajući l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 xml:space="preserve">ekar odluči da korist premašuje rizike. </w:t>
      </w:r>
      <w:bookmarkStart w:id="2" w:name="_Hlk22119380"/>
      <w:r w:rsidRPr="00230C58">
        <w:rPr>
          <w:noProof/>
          <w:sz w:val="22"/>
          <w:szCs w:val="22"/>
          <w:lang w:val="sr-Latn-ME"/>
        </w:rPr>
        <w:t>Nakon prim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 xml:space="preserve">ene pojedinačne doze, preporučuje se uzdržavanje od dojenja u trajanju od otprilike 6 sati, što odgovara pet dužina trajanja poluvremena eliminacije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>omida.</w:t>
      </w:r>
      <w:bookmarkEnd w:id="2"/>
    </w:p>
    <w:p w14:paraId="0FD331AD" w14:textId="77777777" w:rsidR="00227BDB" w:rsidRPr="00230C58" w:rsidRDefault="00227BDB" w:rsidP="00B805BF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34257F02" w14:textId="77777777" w:rsidR="0072020E" w:rsidRPr="00230C58" w:rsidRDefault="0072020E" w:rsidP="00B805BF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230C58">
        <w:rPr>
          <w:b/>
          <w:bCs/>
          <w:sz w:val="22"/>
          <w:szCs w:val="22"/>
          <w:lang w:val="sr-Latn-ME"/>
        </w:rPr>
        <w:t xml:space="preserve">4.7. </w:t>
      </w:r>
      <w:r w:rsidR="00480FB1" w:rsidRPr="00230C58">
        <w:rPr>
          <w:b/>
          <w:bCs/>
          <w:sz w:val="22"/>
          <w:szCs w:val="22"/>
          <w:lang w:val="sr-Latn-ME"/>
        </w:rPr>
        <w:tab/>
      </w:r>
      <w:r w:rsidRPr="00230C58">
        <w:rPr>
          <w:b/>
          <w:bCs/>
          <w:sz w:val="22"/>
          <w:szCs w:val="22"/>
          <w:lang w:val="sr-Latn-ME"/>
        </w:rPr>
        <w:t xml:space="preserve">Uticaj na </w:t>
      </w:r>
      <w:r w:rsidR="002031B3" w:rsidRPr="00230C58">
        <w:rPr>
          <w:b/>
          <w:bCs/>
          <w:sz w:val="22"/>
          <w:szCs w:val="22"/>
          <w:lang w:val="sr-Latn-ME"/>
        </w:rPr>
        <w:t xml:space="preserve">sposobnost </w:t>
      </w:r>
      <w:r w:rsidR="00F34554" w:rsidRPr="00230C58">
        <w:rPr>
          <w:b/>
          <w:bCs/>
          <w:sz w:val="22"/>
          <w:szCs w:val="22"/>
          <w:lang w:val="sr-Latn-ME"/>
        </w:rPr>
        <w:t>upravljanja vozili</w:t>
      </w:r>
      <w:r w:rsidRPr="00230C58">
        <w:rPr>
          <w:b/>
          <w:bCs/>
          <w:sz w:val="22"/>
          <w:szCs w:val="22"/>
          <w:lang w:val="sr-Latn-ME"/>
        </w:rPr>
        <w:t>m</w:t>
      </w:r>
      <w:r w:rsidR="00F34554" w:rsidRPr="00230C58">
        <w:rPr>
          <w:b/>
          <w:bCs/>
          <w:sz w:val="22"/>
          <w:szCs w:val="22"/>
          <w:lang w:val="sr-Latn-ME"/>
        </w:rPr>
        <w:t>a</w:t>
      </w:r>
      <w:r w:rsidRPr="00230C58">
        <w:rPr>
          <w:b/>
          <w:bCs/>
          <w:sz w:val="22"/>
          <w:szCs w:val="22"/>
          <w:lang w:val="sr-Latn-ME"/>
        </w:rPr>
        <w:t xml:space="preserve"> i </w:t>
      </w:r>
      <w:r w:rsidR="000D3449" w:rsidRPr="00230C58">
        <w:rPr>
          <w:b/>
          <w:bCs/>
          <w:sz w:val="22"/>
          <w:szCs w:val="22"/>
          <w:lang w:val="sr-Latn-ME"/>
        </w:rPr>
        <w:t xml:space="preserve">rukovanje </w:t>
      </w:r>
      <w:r w:rsidRPr="00230C58">
        <w:rPr>
          <w:b/>
          <w:bCs/>
          <w:sz w:val="22"/>
          <w:szCs w:val="22"/>
          <w:lang w:val="sr-Latn-ME"/>
        </w:rPr>
        <w:t>mašinama</w:t>
      </w:r>
    </w:p>
    <w:p w14:paraId="1D863C4E" w14:textId="7922337C" w:rsidR="0072020E" w:rsidRPr="00230C58" w:rsidRDefault="0072020E" w:rsidP="00B805B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D42DF9B" w14:textId="31084C59" w:rsidR="00A14B24" w:rsidRPr="00230C58" w:rsidRDefault="00A14B24" w:rsidP="00550889">
      <w:pPr>
        <w:jc w:val="both"/>
        <w:rPr>
          <w:sz w:val="22"/>
          <w:szCs w:val="22"/>
          <w:lang w:val="sr-Latn-ME"/>
        </w:rPr>
      </w:pPr>
      <w:r w:rsidRPr="00230C58">
        <w:rPr>
          <w:sz w:val="22"/>
          <w:szCs w:val="22"/>
          <w:lang w:val="sr-Latn-ME"/>
        </w:rPr>
        <w:t>Pošto se</w:t>
      </w:r>
      <w:r w:rsidR="00C673B6" w:rsidRPr="00230C58">
        <w:rPr>
          <w:sz w:val="22"/>
          <w:szCs w:val="22"/>
          <w:lang w:val="sr-Latn-ME"/>
        </w:rPr>
        <w:t xml:space="preserve"> lijek </w:t>
      </w:r>
      <w:r w:rsidRPr="00230C58">
        <w:rPr>
          <w:sz w:val="22"/>
          <w:szCs w:val="22"/>
          <w:lang w:val="sr-Latn-ME"/>
        </w:rPr>
        <w:t>ESMERON koristi kao dodatak opštoj anesteziji, uobičajene m</w:t>
      </w:r>
      <w:r w:rsidR="00AC4E12" w:rsidRPr="00230C58">
        <w:rPr>
          <w:sz w:val="22"/>
          <w:szCs w:val="22"/>
          <w:lang w:val="sr-Latn-ME"/>
        </w:rPr>
        <w:t>j</w:t>
      </w:r>
      <w:r w:rsidRPr="00230C58">
        <w:rPr>
          <w:sz w:val="22"/>
          <w:szCs w:val="22"/>
          <w:lang w:val="sr-Latn-ME"/>
        </w:rPr>
        <w:t>ere predostrožnosti, koje se prim</w:t>
      </w:r>
      <w:r w:rsidR="00AC4E12" w:rsidRPr="00230C58">
        <w:rPr>
          <w:sz w:val="22"/>
          <w:szCs w:val="22"/>
          <w:lang w:val="sr-Latn-ME"/>
        </w:rPr>
        <w:t>j</w:t>
      </w:r>
      <w:r w:rsidRPr="00230C58">
        <w:rPr>
          <w:sz w:val="22"/>
          <w:szCs w:val="22"/>
          <w:lang w:val="sr-Latn-ME"/>
        </w:rPr>
        <w:t>enjuju posl</w:t>
      </w:r>
      <w:r w:rsidR="00AC4E12" w:rsidRPr="00230C58">
        <w:rPr>
          <w:sz w:val="22"/>
          <w:szCs w:val="22"/>
          <w:lang w:val="sr-Latn-ME"/>
        </w:rPr>
        <w:t>ij</w:t>
      </w:r>
      <w:r w:rsidRPr="00230C58">
        <w:rPr>
          <w:sz w:val="22"/>
          <w:szCs w:val="22"/>
          <w:lang w:val="sr-Latn-ME"/>
        </w:rPr>
        <w:t>e opšte anestezije treba sprovesti i kod ambulantnih pacijenata.</w:t>
      </w:r>
    </w:p>
    <w:p w14:paraId="301E161B" w14:textId="77777777" w:rsidR="00A14B24" w:rsidRPr="00230C58" w:rsidRDefault="00A14B24" w:rsidP="00B805B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1C4483D" w14:textId="77777777" w:rsidR="0072020E" w:rsidRPr="00230C58" w:rsidRDefault="0072020E" w:rsidP="00B805B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30C58">
        <w:rPr>
          <w:b/>
          <w:bCs/>
          <w:sz w:val="22"/>
          <w:szCs w:val="22"/>
          <w:lang w:val="sr-Latn-ME"/>
        </w:rPr>
        <w:t xml:space="preserve">4.8. </w:t>
      </w:r>
      <w:r w:rsidR="00480FB1" w:rsidRPr="00230C58">
        <w:rPr>
          <w:b/>
          <w:bCs/>
          <w:sz w:val="22"/>
          <w:szCs w:val="22"/>
          <w:lang w:val="sr-Latn-ME"/>
        </w:rPr>
        <w:tab/>
      </w:r>
      <w:r w:rsidRPr="00230C58">
        <w:rPr>
          <w:b/>
          <w:bCs/>
          <w:sz w:val="22"/>
          <w:szCs w:val="22"/>
          <w:lang w:val="sr-Latn-ME"/>
        </w:rPr>
        <w:t>Neželjena dejstva</w:t>
      </w:r>
    </w:p>
    <w:p w14:paraId="22142614" w14:textId="57C7247B" w:rsidR="004E70AD" w:rsidRPr="00230C58" w:rsidRDefault="004E70AD" w:rsidP="00B805B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0EA6930" w14:textId="6019071F" w:rsidR="0002510D" w:rsidRPr="00230C58" w:rsidRDefault="0002510D" w:rsidP="00B805BF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Sažetak bezb</w:t>
      </w:r>
      <w:r w:rsidR="00AC4E12" w:rsidRPr="00230C58">
        <w:rPr>
          <w:noProof/>
          <w:sz w:val="22"/>
          <w:szCs w:val="22"/>
          <w:u w:val="single"/>
          <w:lang w:val="sr-Latn-ME"/>
        </w:rPr>
        <w:t>j</w:t>
      </w:r>
      <w:r w:rsidRPr="00230C58">
        <w:rPr>
          <w:noProof/>
          <w:sz w:val="22"/>
          <w:szCs w:val="22"/>
          <w:u w:val="single"/>
          <w:lang w:val="sr-Latn-ME"/>
        </w:rPr>
        <w:t>ednosnog profila</w:t>
      </w:r>
    </w:p>
    <w:p w14:paraId="0BD2171B" w14:textId="3A3A95B4" w:rsidR="0002510D" w:rsidRPr="00230C58" w:rsidRDefault="0002510D" w:rsidP="00550889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Najčešće neželjene reakcije na</w:t>
      </w:r>
      <w:r w:rsidR="00C673B6" w:rsidRPr="00230C58">
        <w:rPr>
          <w:noProof/>
          <w:sz w:val="22"/>
          <w:szCs w:val="22"/>
          <w:lang w:val="sr-Latn-ME"/>
        </w:rPr>
        <w:t xml:space="preserve"> lijek </w:t>
      </w:r>
      <w:r w:rsidRPr="00230C58">
        <w:rPr>
          <w:noProof/>
          <w:sz w:val="22"/>
          <w:szCs w:val="22"/>
          <w:lang w:val="sr-Latn-ME"/>
        </w:rPr>
        <w:t>uključuju bol/reakciju na m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estu injekcije, prom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ene u vitalnim znakovima i produžen neuromuskularni blok. Nakon stavljanja</w:t>
      </w:r>
      <w:r w:rsidR="00C673B6" w:rsidRPr="00230C58">
        <w:rPr>
          <w:noProof/>
          <w:sz w:val="22"/>
          <w:szCs w:val="22"/>
          <w:lang w:val="sr-Latn-ME"/>
        </w:rPr>
        <w:t xml:space="preserve"> lijeka </w:t>
      </w:r>
      <w:r w:rsidRPr="00230C58">
        <w:rPr>
          <w:noProof/>
          <w:sz w:val="22"/>
          <w:szCs w:val="22"/>
          <w:lang w:val="sr-Latn-ME"/>
        </w:rPr>
        <w:t>u promet, izv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eštaji o ozbiljnim neželjenim reakcijama na</w:t>
      </w:r>
      <w:r w:rsidR="00C673B6" w:rsidRPr="00230C58">
        <w:rPr>
          <w:noProof/>
          <w:sz w:val="22"/>
          <w:szCs w:val="22"/>
          <w:lang w:val="sr-Latn-ME"/>
        </w:rPr>
        <w:t xml:space="preserve"> lijek </w:t>
      </w:r>
      <w:r w:rsidRPr="00230C58">
        <w:rPr>
          <w:noProof/>
          <w:sz w:val="22"/>
          <w:szCs w:val="22"/>
          <w:lang w:val="sr-Latn-ME"/>
        </w:rPr>
        <w:t>najčešće su se odnosili na ,,anafilaktičke i anafilaktoidne reakcije</w:t>
      </w:r>
      <w:r w:rsidRPr="00230C58">
        <w:rPr>
          <w:sz w:val="22"/>
          <w:szCs w:val="22"/>
          <w:lang w:val="sr-Latn-ME"/>
        </w:rPr>
        <w:t>”</w:t>
      </w:r>
      <w:r w:rsidRPr="00230C58">
        <w:rPr>
          <w:noProof/>
          <w:sz w:val="22"/>
          <w:szCs w:val="22"/>
          <w:lang w:val="sr-Latn-ME"/>
        </w:rPr>
        <w:t xml:space="preserve"> i pridružene simptome. </w:t>
      </w:r>
      <w:r w:rsidR="00B2737E" w:rsidRPr="00230C58">
        <w:rPr>
          <w:noProof/>
          <w:sz w:val="22"/>
          <w:szCs w:val="22"/>
          <w:lang w:val="sr-Latn-ME"/>
        </w:rPr>
        <w:t>Vidjeti</w:t>
      </w:r>
      <w:r w:rsidRPr="00230C58">
        <w:rPr>
          <w:noProof/>
          <w:sz w:val="22"/>
          <w:szCs w:val="22"/>
          <w:lang w:val="sr-Latn-ME"/>
        </w:rPr>
        <w:t xml:space="preserve"> takođe objašnjenja ispod tabele.</w:t>
      </w:r>
      <w:r w:rsidR="00DB7D68" w:rsidRPr="00230C58">
        <w:rPr>
          <w:noProof/>
          <w:sz w:val="22"/>
          <w:szCs w:val="22"/>
          <w:lang w:val="sr-Latn-ME"/>
        </w:rPr>
        <w:t xml:space="preserve"> </w:t>
      </w:r>
    </w:p>
    <w:p w14:paraId="15CD10EC" w14:textId="77777777" w:rsidR="0002510D" w:rsidRPr="00230C58" w:rsidRDefault="0002510D" w:rsidP="00B805BF">
      <w:pPr>
        <w:jc w:val="both"/>
        <w:rPr>
          <w:noProof/>
          <w:sz w:val="22"/>
          <w:szCs w:val="22"/>
          <w:lang w:val="sr-Latn-ME"/>
        </w:rPr>
      </w:pPr>
    </w:p>
    <w:p w14:paraId="770EE45B" w14:textId="77777777" w:rsidR="0002510D" w:rsidRPr="00230C58" w:rsidRDefault="0002510D" w:rsidP="00B805BF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Tabelarni prikaz neželjenih reakcija</w:t>
      </w:r>
    </w:p>
    <w:p w14:paraId="115B60DC" w14:textId="77777777" w:rsidR="0002510D" w:rsidRPr="00230C58" w:rsidRDefault="0002510D" w:rsidP="00B805BF">
      <w:pPr>
        <w:jc w:val="both"/>
        <w:rPr>
          <w:noProof/>
          <w:sz w:val="22"/>
          <w:szCs w:val="22"/>
          <w:lang w:val="sr-Latn-ME"/>
        </w:rPr>
      </w:pPr>
    </w:p>
    <w:tbl>
      <w:tblPr>
        <w:tblW w:w="9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0"/>
        <w:gridCol w:w="1485"/>
        <w:gridCol w:w="2016"/>
        <w:gridCol w:w="3505"/>
      </w:tblGrid>
      <w:tr w:rsidR="0002510D" w:rsidRPr="00230C58" w14:paraId="383A3B6F" w14:textId="77777777" w:rsidTr="00B805BF">
        <w:trPr>
          <w:trHeight w:val="243"/>
        </w:trPr>
        <w:tc>
          <w:tcPr>
            <w:tcW w:w="2080" w:type="dxa"/>
            <w:vMerge w:val="restart"/>
            <w:shd w:val="clear" w:color="auto" w:fill="auto"/>
          </w:tcPr>
          <w:p w14:paraId="799F9DAD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MedDRA klasa sistema organa</w:t>
            </w:r>
          </w:p>
        </w:tc>
        <w:tc>
          <w:tcPr>
            <w:tcW w:w="7006" w:type="dxa"/>
            <w:gridSpan w:val="3"/>
            <w:shd w:val="clear" w:color="auto" w:fill="auto"/>
          </w:tcPr>
          <w:p w14:paraId="7B70FA2B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Preporučeni termin</w:t>
            </w:r>
            <w:r w:rsidRPr="00230C58">
              <w:rPr>
                <w:noProof/>
                <w:sz w:val="22"/>
                <w:szCs w:val="22"/>
                <w:vertAlign w:val="superscript"/>
                <w:lang w:val="sr-Latn-ME"/>
              </w:rPr>
              <w:t>1</w:t>
            </w:r>
          </w:p>
        </w:tc>
      </w:tr>
      <w:tr w:rsidR="0002510D" w:rsidRPr="00230C58" w14:paraId="3ED6B359" w14:textId="77777777" w:rsidTr="00B805BF">
        <w:trPr>
          <w:trHeight w:val="568"/>
        </w:trPr>
        <w:tc>
          <w:tcPr>
            <w:tcW w:w="2080" w:type="dxa"/>
            <w:vMerge/>
            <w:shd w:val="clear" w:color="auto" w:fill="auto"/>
          </w:tcPr>
          <w:p w14:paraId="2D06D5E3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85" w:type="dxa"/>
            <w:shd w:val="clear" w:color="auto" w:fill="auto"/>
          </w:tcPr>
          <w:p w14:paraId="7A4820A8" w14:textId="3494B06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Povremeno/r</w:t>
            </w:r>
            <w:r w:rsidR="00AC4E12" w:rsidRPr="00230C58">
              <w:rPr>
                <w:noProof/>
                <w:sz w:val="22"/>
                <w:szCs w:val="22"/>
                <w:lang w:val="sr-Latn-ME"/>
              </w:rPr>
              <w:t>ij</w:t>
            </w:r>
            <w:r w:rsidRPr="00230C58">
              <w:rPr>
                <w:noProof/>
                <w:sz w:val="22"/>
                <w:szCs w:val="22"/>
                <w:lang w:val="sr-Latn-ME"/>
              </w:rPr>
              <w:t>etko</w:t>
            </w:r>
            <w:r w:rsidRPr="00230C58">
              <w:rPr>
                <w:noProof/>
                <w:sz w:val="22"/>
                <w:szCs w:val="22"/>
                <w:vertAlign w:val="superscript"/>
                <w:lang w:val="sr-Latn-ME"/>
              </w:rPr>
              <w:t>2</w:t>
            </w:r>
          </w:p>
          <w:p w14:paraId="3C19B9E7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(&lt;1/100, &gt;1/10000)</w:t>
            </w:r>
          </w:p>
        </w:tc>
        <w:tc>
          <w:tcPr>
            <w:tcW w:w="2016" w:type="dxa"/>
            <w:shd w:val="clear" w:color="auto" w:fill="auto"/>
          </w:tcPr>
          <w:p w14:paraId="41FDA9E9" w14:textId="02F8EC26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Veoma r</w:t>
            </w:r>
            <w:r w:rsidR="00AC4E12" w:rsidRPr="00230C58">
              <w:rPr>
                <w:noProof/>
                <w:sz w:val="22"/>
                <w:szCs w:val="22"/>
                <w:lang w:val="sr-Latn-ME"/>
              </w:rPr>
              <w:t>ij</w:t>
            </w:r>
            <w:r w:rsidRPr="00230C58">
              <w:rPr>
                <w:noProof/>
                <w:sz w:val="22"/>
                <w:szCs w:val="22"/>
                <w:lang w:val="sr-Latn-ME"/>
              </w:rPr>
              <w:t>etko (&lt;1/10000)</w:t>
            </w:r>
          </w:p>
        </w:tc>
        <w:tc>
          <w:tcPr>
            <w:tcW w:w="3504" w:type="dxa"/>
          </w:tcPr>
          <w:p w14:paraId="3B6C2510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Nepoznato</w:t>
            </w:r>
          </w:p>
        </w:tc>
      </w:tr>
      <w:tr w:rsidR="0002510D" w:rsidRPr="00230C58" w14:paraId="242B7F56" w14:textId="77777777" w:rsidTr="00B805BF">
        <w:trPr>
          <w:trHeight w:val="1233"/>
        </w:trPr>
        <w:tc>
          <w:tcPr>
            <w:tcW w:w="2080" w:type="dxa"/>
            <w:shd w:val="clear" w:color="auto" w:fill="auto"/>
          </w:tcPr>
          <w:p w14:paraId="4DAB43AF" w14:textId="748DE325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Poremećaji imunog sistema</w:t>
            </w:r>
          </w:p>
        </w:tc>
        <w:tc>
          <w:tcPr>
            <w:tcW w:w="1485" w:type="dxa"/>
            <w:shd w:val="clear" w:color="auto" w:fill="auto"/>
          </w:tcPr>
          <w:p w14:paraId="3E506F0F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2016" w:type="dxa"/>
            <w:shd w:val="clear" w:color="auto" w:fill="auto"/>
          </w:tcPr>
          <w:p w14:paraId="2EC16E2A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Hipersenzitivnost</w:t>
            </w:r>
          </w:p>
          <w:p w14:paraId="4DAC0152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Anafilaktička reakcija</w:t>
            </w:r>
          </w:p>
          <w:p w14:paraId="5ABB8C3E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Anafilaktoidna reakcija</w:t>
            </w:r>
          </w:p>
          <w:p w14:paraId="67FFFE1D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Anafilaktički šok</w:t>
            </w:r>
          </w:p>
          <w:p w14:paraId="62C48556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Anafilaktoidni šok</w:t>
            </w:r>
          </w:p>
        </w:tc>
        <w:tc>
          <w:tcPr>
            <w:tcW w:w="3504" w:type="dxa"/>
          </w:tcPr>
          <w:p w14:paraId="283C162D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02510D" w:rsidRPr="00230C58" w14:paraId="5ECB88FA" w14:textId="77777777" w:rsidTr="00B805BF">
        <w:trPr>
          <w:trHeight w:val="243"/>
        </w:trPr>
        <w:tc>
          <w:tcPr>
            <w:tcW w:w="2080" w:type="dxa"/>
            <w:shd w:val="clear" w:color="auto" w:fill="auto"/>
          </w:tcPr>
          <w:p w14:paraId="33C0C88E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1485" w:type="dxa"/>
            <w:shd w:val="clear" w:color="auto" w:fill="auto"/>
          </w:tcPr>
          <w:p w14:paraId="05DABFEA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2016" w:type="dxa"/>
            <w:shd w:val="clear" w:color="auto" w:fill="auto"/>
          </w:tcPr>
          <w:p w14:paraId="34011CB2" w14:textId="024FEA99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Flakcidna (</w:t>
            </w:r>
            <w:r w:rsidR="00143302" w:rsidRPr="00230C58">
              <w:rPr>
                <w:noProof/>
                <w:sz w:val="22"/>
                <w:szCs w:val="22"/>
                <w:lang w:val="sr-Latn-ME"/>
              </w:rPr>
              <w:t>ml</w:t>
            </w:r>
            <w:r w:rsidRPr="00230C58">
              <w:rPr>
                <w:noProof/>
                <w:sz w:val="22"/>
                <w:szCs w:val="22"/>
                <w:lang w:val="sr-Latn-ME"/>
              </w:rPr>
              <w:t>itava) paraliza</w:t>
            </w:r>
          </w:p>
        </w:tc>
        <w:tc>
          <w:tcPr>
            <w:tcW w:w="3504" w:type="dxa"/>
          </w:tcPr>
          <w:p w14:paraId="29B6A458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02510D" w:rsidRPr="00230C58" w14:paraId="5A6669B9" w14:textId="77777777" w:rsidTr="00B805BF">
        <w:trPr>
          <w:trHeight w:val="243"/>
        </w:trPr>
        <w:tc>
          <w:tcPr>
            <w:tcW w:w="2080" w:type="dxa"/>
            <w:shd w:val="clear" w:color="auto" w:fill="auto"/>
          </w:tcPr>
          <w:p w14:paraId="4152C3D3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 xml:space="preserve">Kardiološki poremećaji </w:t>
            </w:r>
          </w:p>
        </w:tc>
        <w:tc>
          <w:tcPr>
            <w:tcW w:w="1485" w:type="dxa"/>
            <w:shd w:val="clear" w:color="auto" w:fill="auto"/>
          </w:tcPr>
          <w:p w14:paraId="1F2F49CD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Tahikardija</w:t>
            </w:r>
          </w:p>
        </w:tc>
        <w:tc>
          <w:tcPr>
            <w:tcW w:w="2016" w:type="dxa"/>
            <w:shd w:val="clear" w:color="auto" w:fill="auto"/>
          </w:tcPr>
          <w:p w14:paraId="742EF045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3504" w:type="dxa"/>
          </w:tcPr>
          <w:p w14:paraId="47C48D1D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i/>
                <w:noProof/>
                <w:sz w:val="22"/>
                <w:szCs w:val="22"/>
                <w:lang w:val="sr-Latn-ME"/>
              </w:rPr>
              <w:t>Kounis</w:t>
            </w:r>
            <w:r w:rsidRPr="00230C58">
              <w:rPr>
                <w:noProof/>
                <w:sz w:val="22"/>
                <w:szCs w:val="22"/>
                <w:lang w:val="sr-Latn-ME"/>
              </w:rPr>
              <w:t>-ov sindrom</w:t>
            </w:r>
          </w:p>
        </w:tc>
      </w:tr>
      <w:tr w:rsidR="0002510D" w:rsidRPr="00230C58" w14:paraId="48B5D501" w14:textId="77777777" w:rsidTr="00B805BF">
        <w:trPr>
          <w:trHeight w:val="488"/>
        </w:trPr>
        <w:tc>
          <w:tcPr>
            <w:tcW w:w="2080" w:type="dxa"/>
            <w:shd w:val="clear" w:color="auto" w:fill="auto"/>
          </w:tcPr>
          <w:p w14:paraId="25F2D665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Vaskularni poremećaji</w:t>
            </w:r>
          </w:p>
        </w:tc>
        <w:tc>
          <w:tcPr>
            <w:tcW w:w="1485" w:type="dxa"/>
            <w:shd w:val="clear" w:color="auto" w:fill="auto"/>
          </w:tcPr>
          <w:p w14:paraId="7017A1A7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Hipotenzija</w:t>
            </w:r>
          </w:p>
        </w:tc>
        <w:tc>
          <w:tcPr>
            <w:tcW w:w="2016" w:type="dxa"/>
            <w:shd w:val="clear" w:color="auto" w:fill="auto"/>
          </w:tcPr>
          <w:p w14:paraId="55A17003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Cirkulatorni kolaps i šok</w:t>
            </w:r>
          </w:p>
          <w:p w14:paraId="2D53161B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Naleti crvenila</w:t>
            </w:r>
          </w:p>
        </w:tc>
        <w:tc>
          <w:tcPr>
            <w:tcW w:w="3504" w:type="dxa"/>
          </w:tcPr>
          <w:p w14:paraId="6783DCAD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02510D" w:rsidRPr="00230C58" w14:paraId="6DC13E9B" w14:textId="77777777" w:rsidTr="00B805BF">
        <w:trPr>
          <w:trHeight w:val="500"/>
        </w:trPr>
        <w:tc>
          <w:tcPr>
            <w:tcW w:w="2080" w:type="dxa"/>
            <w:shd w:val="clear" w:color="auto" w:fill="auto"/>
          </w:tcPr>
          <w:p w14:paraId="02B96062" w14:textId="77777777" w:rsidR="0002510D" w:rsidRPr="00230C58" w:rsidRDefault="0002510D" w:rsidP="00B805BF">
            <w:pPr>
              <w:ind w:right="-76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Respiratorni, torakalni i</w:t>
            </w:r>
          </w:p>
          <w:p w14:paraId="1CB33AFD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medijastinalni poremećaji</w:t>
            </w:r>
          </w:p>
        </w:tc>
        <w:tc>
          <w:tcPr>
            <w:tcW w:w="1485" w:type="dxa"/>
            <w:shd w:val="clear" w:color="auto" w:fill="auto"/>
          </w:tcPr>
          <w:p w14:paraId="22EAB5E9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2016" w:type="dxa"/>
            <w:shd w:val="clear" w:color="auto" w:fill="auto"/>
          </w:tcPr>
          <w:p w14:paraId="21516664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Bronhospazam</w:t>
            </w:r>
          </w:p>
        </w:tc>
        <w:tc>
          <w:tcPr>
            <w:tcW w:w="3504" w:type="dxa"/>
          </w:tcPr>
          <w:p w14:paraId="4AD1CD63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02510D" w:rsidRPr="00230C58" w14:paraId="408B8581" w14:textId="77777777" w:rsidTr="00B805BF">
        <w:trPr>
          <w:trHeight w:val="976"/>
        </w:trPr>
        <w:tc>
          <w:tcPr>
            <w:tcW w:w="2080" w:type="dxa"/>
            <w:shd w:val="clear" w:color="auto" w:fill="auto"/>
          </w:tcPr>
          <w:p w14:paraId="298BB2E0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1485" w:type="dxa"/>
            <w:shd w:val="clear" w:color="auto" w:fill="auto"/>
          </w:tcPr>
          <w:p w14:paraId="6F5A0ADF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2016" w:type="dxa"/>
            <w:shd w:val="clear" w:color="auto" w:fill="auto"/>
          </w:tcPr>
          <w:p w14:paraId="6C60027F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Angioneurotski edem</w:t>
            </w:r>
          </w:p>
          <w:p w14:paraId="3A4CBB26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Urtikarija</w:t>
            </w:r>
          </w:p>
          <w:p w14:paraId="2CB461C5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Osip</w:t>
            </w:r>
          </w:p>
          <w:p w14:paraId="1F17888D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Eritematozni osip</w:t>
            </w:r>
          </w:p>
        </w:tc>
        <w:tc>
          <w:tcPr>
            <w:tcW w:w="3504" w:type="dxa"/>
          </w:tcPr>
          <w:p w14:paraId="64DE55B9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02510D" w:rsidRPr="00230C58" w14:paraId="27DA0168" w14:textId="77777777" w:rsidTr="00B805BF">
        <w:trPr>
          <w:trHeight w:val="488"/>
        </w:trPr>
        <w:tc>
          <w:tcPr>
            <w:tcW w:w="2080" w:type="dxa"/>
            <w:shd w:val="clear" w:color="auto" w:fill="auto"/>
          </w:tcPr>
          <w:p w14:paraId="438D83E6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Poremećaji mišićno-koštanog sistema i vezivnog tkiva</w:t>
            </w:r>
          </w:p>
        </w:tc>
        <w:tc>
          <w:tcPr>
            <w:tcW w:w="1485" w:type="dxa"/>
            <w:shd w:val="clear" w:color="auto" w:fill="auto"/>
          </w:tcPr>
          <w:p w14:paraId="2709E6D2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2016" w:type="dxa"/>
            <w:shd w:val="clear" w:color="auto" w:fill="auto"/>
          </w:tcPr>
          <w:p w14:paraId="41E8DF14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Mišićna slabost</w:t>
            </w:r>
            <w:r w:rsidRPr="00230C58">
              <w:rPr>
                <w:noProof/>
                <w:sz w:val="22"/>
                <w:szCs w:val="22"/>
                <w:vertAlign w:val="superscript"/>
                <w:lang w:val="sr-Latn-ME"/>
              </w:rPr>
              <w:t>3</w:t>
            </w:r>
          </w:p>
          <w:p w14:paraId="1DC2E579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Steroidna miopatija</w:t>
            </w:r>
            <w:r w:rsidRPr="00230C58">
              <w:rPr>
                <w:noProof/>
                <w:sz w:val="22"/>
                <w:szCs w:val="22"/>
                <w:vertAlign w:val="superscript"/>
                <w:lang w:val="sr-Latn-ME"/>
              </w:rPr>
              <w:t>3</w:t>
            </w:r>
          </w:p>
        </w:tc>
        <w:tc>
          <w:tcPr>
            <w:tcW w:w="3504" w:type="dxa"/>
          </w:tcPr>
          <w:p w14:paraId="58EA1950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02510D" w:rsidRPr="00230C58" w14:paraId="594E5E93" w14:textId="77777777" w:rsidTr="00B805BF">
        <w:trPr>
          <w:trHeight w:val="4059"/>
        </w:trPr>
        <w:tc>
          <w:tcPr>
            <w:tcW w:w="2080" w:type="dxa"/>
            <w:shd w:val="clear" w:color="auto" w:fill="auto"/>
          </w:tcPr>
          <w:p w14:paraId="7174C978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lastRenderedPageBreak/>
              <w:t xml:space="preserve">Opšti poremećaji i reakcije na </w:t>
            </w:r>
          </w:p>
          <w:p w14:paraId="286206DE" w14:textId="5A5AC560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m</w:t>
            </w:r>
            <w:r w:rsidR="00AC4E12" w:rsidRPr="00230C58">
              <w:rPr>
                <w:noProof/>
                <w:sz w:val="22"/>
                <w:szCs w:val="22"/>
                <w:lang w:val="sr-Latn-ME"/>
              </w:rPr>
              <w:t>j</w:t>
            </w:r>
            <w:r w:rsidRPr="00230C58">
              <w:rPr>
                <w:noProof/>
                <w:sz w:val="22"/>
                <w:szCs w:val="22"/>
                <w:lang w:val="sr-Latn-ME"/>
              </w:rPr>
              <w:t>estu prim</w:t>
            </w:r>
            <w:r w:rsidR="00AC4E12" w:rsidRPr="00230C58">
              <w:rPr>
                <w:noProof/>
                <w:sz w:val="22"/>
                <w:szCs w:val="22"/>
                <w:lang w:val="sr-Latn-ME"/>
              </w:rPr>
              <w:t>j</w:t>
            </w:r>
            <w:r w:rsidRPr="00230C58">
              <w:rPr>
                <w:noProof/>
                <w:sz w:val="22"/>
                <w:szCs w:val="22"/>
                <w:lang w:val="sr-Latn-ME"/>
              </w:rPr>
              <w:t>ene</w:t>
            </w:r>
          </w:p>
        </w:tc>
        <w:tc>
          <w:tcPr>
            <w:tcW w:w="1485" w:type="dxa"/>
            <w:shd w:val="clear" w:color="auto" w:fill="auto"/>
          </w:tcPr>
          <w:p w14:paraId="53AE394E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Izostanak dejstva</w:t>
            </w:r>
          </w:p>
          <w:p w14:paraId="5DD94A30" w14:textId="6EB636A2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Efekat l</w:t>
            </w:r>
            <w:r w:rsidR="00AC4E12" w:rsidRPr="00230C58">
              <w:rPr>
                <w:noProof/>
                <w:sz w:val="22"/>
                <w:szCs w:val="22"/>
                <w:lang w:val="sr-Latn-ME"/>
              </w:rPr>
              <w:t>ij</w:t>
            </w:r>
            <w:r w:rsidRPr="00230C58">
              <w:rPr>
                <w:noProof/>
                <w:sz w:val="22"/>
                <w:szCs w:val="22"/>
                <w:lang w:val="sr-Latn-ME"/>
              </w:rPr>
              <w:t>eka/ terapijski odgovor smanjen</w:t>
            </w:r>
          </w:p>
          <w:p w14:paraId="74000001" w14:textId="3A887910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Efekat l</w:t>
            </w:r>
            <w:r w:rsidR="00AC4E12" w:rsidRPr="00230C58">
              <w:rPr>
                <w:noProof/>
                <w:sz w:val="22"/>
                <w:szCs w:val="22"/>
                <w:lang w:val="sr-Latn-ME"/>
              </w:rPr>
              <w:t>ij</w:t>
            </w:r>
            <w:r w:rsidRPr="00230C58">
              <w:rPr>
                <w:noProof/>
                <w:sz w:val="22"/>
                <w:szCs w:val="22"/>
                <w:lang w:val="sr-Latn-ME"/>
              </w:rPr>
              <w:t>eka/ terapijski odgovor povećan</w:t>
            </w:r>
          </w:p>
          <w:p w14:paraId="3F0D2E22" w14:textId="2D5840F1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Bol na m</w:t>
            </w:r>
            <w:r w:rsidR="00AC4E12" w:rsidRPr="00230C58">
              <w:rPr>
                <w:noProof/>
                <w:sz w:val="22"/>
                <w:szCs w:val="22"/>
                <w:lang w:val="sr-Latn-ME"/>
              </w:rPr>
              <w:t>j</w:t>
            </w:r>
            <w:r w:rsidRPr="00230C58">
              <w:rPr>
                <w:noProof/>
                <w:sz w:val="22"/>
                <w:szCs w:val="22"/>
                <w:lang w:val="sr-Latn-ME"/>
              </w:rPr>
              <w:t>estu prim</w:t>
            </w:r>
            <w:r w:rsidR="00AC4E12" w:rsidRPr="00230C58">
              <w:rPr>
                <w:noProof/>
                <w:sz w:val="22"/>
                <w:szCs w:val="22"/>
                <w:lang w:val="sr-Latn-ME"/>
              </w:rPr>
              <w:t>j</w:t>
            </w:r>
            <w:r w:rsidRPr="00230C58">
              <w:rPr>
                <w:noProof/>
                <w:sz w:val="22"/>
                <w:szCs w:val="22"/>
                <w:lang w:val="sr-Latn-ME"/>
              </w:rPr>
              <w:t>ene injekcije</w:t>
            </w:r>
          </w:p>
          <w:p w14:paraId="77AFAD48" w14:textId="3E96117B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Reakcija na m</w:t>
            </w:r>
            <w:r w:rsidR="00AC4E12" w:rsidRPr="00230C58">
              <w:rPr>
                <w:noProof/>
                <w:sz w:val="22"/>
                <w:szCs w:val="22"/>
                <w:lang w:val="sr-Latn-ME"/>
              </w:rPr>
              <w:t>j</w:t>
            </w:r>
            <w:r w:rsidRPr="00230C58">
              <w:rPr>
                <w:noProof/>
                <w:sz w:val="22"/>
                <w:szCs w:val="22"/>
                <w:lang w:val="sr-Latn-ME"/>
              </w:rPr>
              <w:t>estu prim</w:t>
            </w:r>
            <w:r w:rsidR="00AC4E12" w:rsidRPr="00230C58">
              <w:rPr>
                <w:noProof/>
                <w:sz w:val="22"/>
                <w:szCs w:val="22"/>
                <w:lang w:val="sr-Latn-ME"/>
              </w:rPr>
              <w:t>j</w:t>
            </w:r>
            <w:r w:rsidRPr="00230C58">
              <w:rPr>
                <w:noProof/>
                <w:sz w:val="22"/>
                <w:szCs w:val="22"/>
                <w:lang w:val="sr-Latn-ME"/>
              </w:rPr>
              <w:t>ene injekcije</w:t>
            </w:r>
            <w:r w:rsidRPr="00230C58" w:rsidDel="00CC32A5">
              <w:rPr>
                <w:noProof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2016" w:type="dxa"/>
            <w:shd w:val="clear" w:color="auto" w:fill="auto"/>
          </w:tcPr>
          <w:p w14:paraId="2997A8AE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Edem lica</w:t>
            </w:r>
          </w:p>
          <w:p w14:paraId="3A2EE910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3504" w:type="dxa"/>
          </w:tcPr>
          <w:p w14:paraId="34AFDA16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02510D" w:rsidRPr="00230C58" w14:paraId="17218330" w14:textId="77777777" w:rsidTr="00B805BF">
        <w:trPr>
          <w:trHeight w:val="1233"/>
        </w:trPr>
        <w:tc>
          <w:tcPr>
            <w:tcW w:w="2080" w:type="dxa"/>
            <w:shd w:val="clear" w:color="auto" w:fill="auto"/>
          </w:tcPr>
          <w:p w14:paraId="2E8F0C6A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 xml:space="preserve">Povrede, trovanje i </w:t>
            </w:r>
          </w:p>
          <w:p w14:paraId="40DBFE46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proceduralne komplikacije</w:t>
            </w:r>
          </w:p>
        </w:tc>
        <w:tc>
          <w:tcPr>
            <w:tcW w:w="1485" w:type="dxa"/>
            <w:shd w:val="clear" w:color="auto" w:fill="auto"/>
          </w:tcPr>
          <w:p w14:paraId="52B68D02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Produženi neuromuskularni blok</w:t>
            </w:r>
          </w:p>
          <w:p w14:paraId="404C6DCD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Odložen oporavak</w:t>
            </w:r>
          </w:p>
          <w:p w14:paraId="4F1D36C6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iz anestezije</w:t>
            </w:r>
          </w:p>
        </w:tc>
        <w:tc>
          <w:tcPr>
            <w:tcW w:w="2016" w:type="dxa"/>
            <w:shd w:val="clear" w:color="auto" w:fill="auto"/>
          </w:tcPr>
          <w:p w14:paraId="2ECB39F3" w14:textId="4EE78F4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Komplikacije sa vazdušnim pute</w:t>
            </w:r>
            <w:r w:rsidR="00BA047F" w:rsidRPr="00230C58">
              <w:rPr>
                <w:noProof/>
                <w:sz w:val="22"/>
                <w:szCs w:val="22"/>
                <w:lang w:val="sr-Latn-ME"/>
              </w:rPr>
              <w:t>vima</w:t>
            </w:r>
            <w:r w:rsidRPr="00230C58">
              <w:rPr>
                <w:noProof/>
                <w:sz w:val="22"/>
                <w:szCs w:val="22"/>
                <w:lang w:val="sr-Latn-ME"/>
              </w:rPr>
              <w:t xml:space="preserve"> u anesteziji</w:t>
            </w:r>
          </w:p>
        </w:tc>
        <w:tc>
          <w:tcPr>
            <w:tcW w:w="3504" w:type="dxa"/>
          </w:tcPr>
          <w:p w14:paraId="457AE7F5" w14:textId="77777777" w:rsidR="0002510D" w:rsidRPr="00230C58" w:rsidRDefault="0002510D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</w:tr>
    </w:tbl>
    <w:p w14:paraId="7BB29277" w14:textId="77777777" w:rsidR="0002510D" w:rsidRPr="00230C58" w:rsidRDefault="0002510D" w:rsidP="00B805BF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MedDRA verzija 8.1</w:t>
      </w:r>
    </w:p>
    <w:p w14:paraId="0CA9CAC2" w14:textId="346370D8" w:rsidR="0002510D" w:rsidRPr="00230C58" w:rsidRDefault="0002510D" w:rsidP="00B805BF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vertAlign w:val="superscript"/>
          <w:lang w:val="sr-Latn-ME"/>
        </w:rPr>
        <w:t>1</w:t>
      </w:r>
      <w:r w:rsidRPr="00230C58">
        <w:rPr>
          <w:noProof/>
          <w:sz w:val="22"/>
          <w:szCs w:val="22"/>
          <w:lang w:val="sr-Latn-ME"/>
        </w:rPr>
        <w:t xml:space="preserve"> Učestalosti su proc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enjene na osnovu izv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eštaja postmarketinškog praćenja i podataka iz opšte literature</w:t>
      </w:r>
    </w:p>
    <w:p w14:paraId="68D41AC3" w14:textId="06A61C02" w:rsidR="0002510D" w:rsidRPr="00230C58" w:rsidRDefault="0002510D" w:rsidP="00B805BF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vertAlign w:val="superscript"/>
          <w:lang w:val="sr-Latn-ME"/>
        </w:rPr>
        <w:t>2</w:t>
      </w:r>
      <w:r w:rsidRPr="00230C58">
        <w:rPr>
          <w:noProof/>
          <w:sz w:val="22"/>
          <w:szCs w:val="22"/>
          <w:lang w:val="sr-Latn-ME"/>
        </w:rPr>
        <w:t xml:space="preserve"> Podaci iz postmarketinškog praćenja ne mogu dati precizne brojčane vr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ednosti za učestalost. Iz tog razloga su učestalosti pod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eljene na dv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e, a ne na pet kategorija.</w:t>
      </w:r>
    </w:p>
    <w:p w14:paraId="2C13A413" w14:textId="1D21CA57" w:rsidR="0002510D" w:rsidRPr="00230C58" w:rsidRDefault="0002510D" w:rsidP="00B805BF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vertAlign w:val="superscript"/>
          <w:lang w:val="sr-Latn-ME"/>
        </w:rPr>
        <w:t>3</w:t>
      </w:r>
      <w:r w:rsidRPr="00230C58">
        <w:rPr>
          <w:noProof/>
          <w:sz w:val="22"/>
          <w:szCs w:val="22"/>
          <w:lang w:val="sr-Latn-ME"/>
        </w:rPr>
        <w:t xml:space="preserve"> posl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 xml:space="preserve">e dugotrajne upotrebe u JIN </w:t>
      </w:r>
    </w:p>
    <w:p w14:paraId="088A42B3" w14:textId="77777777" w:rsidR="0002510D" w:rsidRPr="00230C58" w:rsidRDefault="0002510D" w:rsidP="00B805BF">
      <w:pPr>
        <w:jc w:val="both"/>
        <w:rPr>
          <w:noProof/>
          <w:sz w:val="22"/>
          <w:szCs w:val="22"/>
          <w:lang w:val="sr-Latn-ME"/>
        </w:rPr>
      </w:pPr>
    </w:p>
    <w:p w14:paraId="3B2D7FAE" w14:textId="77777777" w:rsidR="0002510D" w:rsidRPr="00230C58" w:rsidRDefault="0002510D" w:rsidP="00B805BF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Anafilaksa</w:t>
      </w:r>
    </w:p>
    <w:p w14:paraId="5B8807F5" w14:textId="76FADBBD" w:rsidR="0002510D" w:rsidRPr="00230C58" w:rsidRDefault="0002510D" w:rsidP="00B805BF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Iako su veoma r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 xml:space="preserve">etke, </w:t>
      </w:r>
      <w:r w:rsidR="00C673B6" w:rsidRPr="00230C58">
        <w:rPr>
          <w:noProof/>
          <w:sz w:val="22"/>
          <w:szCs w:val="22"/>
          <w:lang w:val="sr-Latn-ME"/>
        </w:rPr>
        <w:t>zabilježen</w:t>
      </w:r>
      <w:r w:rsidRPr="00230C58">
        <w:rPr>
          <w:noProof/>
          <w:sz w:val="22"/>
          <w:szCs w:val="22"/>
          <w:lang w:val="sr-Latn-ME"/>
        </w:rPr>
        <w:t>e su teške anafilaktičke reakcije na neuromišićne blokatore, uključujući i</w:t>
      </w:r>
      <w:r w:rsidR="00C673B6" w:rsidRPr="00230C58">
        <w:rPr>
          <w:noProof/>
          <w:sz w:val="22"/>
          <w:szCs w:val="22"/>
          <w:lang w:val="sr-Latn-ME"/>
        </w:rPr>
        <w:t xml:space="preserve"> lijek</w:t>
      </w:r>
      <w:r w:rsidRPr="00230C58">
        <w:rPr>
          <w:noProof/>
          <w:sz w:val="22"/>
          <w:szCs w:val="22"/>
          <w:lang w:val="sr-Latn-ME"/>
        </w:rPr>
        <w:t xml:space="preserve"> ESMERON. </w:t>
      </w:r>
    </w:p>
    <w:p w14:paraId="0CA6225D" w14:textId="24706A44" w:rsidR="0002510D" w:rsidRPr="00230C58" w:rsidRDefault="0002510D" w:rsidP="00B805BF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Anafilaktičke/anafilaktoidne reakcije su: bronhospazam, kardiovaskularne prom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ene (npr. hipotenzija, tahikardija, cirkulatorni kolaps - šok) i prom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ene na koži (npr. angioedem, urtikarija). U nekim slučajevima ove reakcije su bile sa smrtnim ishodom. Zbog moguće težine ovih reakcija, uv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ek treba poći od pretpostavke da se one mogu dogoditi, pa treba preduzeti neophodne m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ere opreza.</w:t>
      </w:r>
      <w:r w:rsidR="00DB7D68" w:rsidRPr="00230C58">
        <w:rPr>
          <w:noProof/>
          <w:sz w:val="22"/>
          <w:szCs w:val="22"/>
          <w:lang w:val="sr-Latn-ME"/>
        </w:rPr>
        <w:t xml:space="preserve"> </w:t>
      </w:r>
    </w:p>
    <w:p w14:paraId="5C8113E3" w14:textId="77777777" w:rsidR="0002510D" w:rsidRPr="00230C58" w:rsidRDefault="0002510D" w:rsidP="00B805BF">
      <w:pPr>
        <w:jc w:val="both"/>
        <w:rPr>
          <w:noProof/>
          <w:sz w:val="22"/>
          <w:szCs w:val="22"/>
          <w:lang w:val="sr-Latn-ME"/>
        </w:rPr>
      </w:pPr>
    </w:p>
    <w:p w14:paraId="5EE4DDF4" w14:textId="385F77E4" w:rsidR="0002510D" w:rsidRPr="00230C58" w:rsidRDefault="0002510D" w:rsidP="00B805BF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S obzirom na to da je poznato da neuromišićni blokatori mogu da izazovu oslobađanje histamina, bilo lokalno na m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estu davanja, bilo sistemski, kada se prim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enjuju ovi l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ekovi treba uzeti u obzir moguću pojavu svraba i eritematozne reakcije na m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estu prim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ene injekcije i/ili generalizovane histaminoidne (anafilaktoidne) reakcije (</w:t>
      </w:r>
      <w:r w:rsidR="00B2737E" w:rsidRPr="00230C58">
        <w:rPr>
          <w:noProof/>
          <w:sz w:val="22"/>
          <w:szCs w:val="22"/>
          <w:lang w:val="sr-Latn-ME"/>
        </w:rPr>
        <w:t>vidjeti</w:t>
      </w:r>
      <w:r w:rsidRPr="00230C58">
        <w:rPr>
          <w:noProof/>
          <w:sz w:val="22"/>
          <w:szCs w:val="22"/>
          <w:lang w:val="sr-Latn-ME"/>
        </w:rPr>
        <w:t xml:space="preserve"> takođe prethodno navedene anafilaktičke reakcije).</w:t>
      </w:r>
    </w:p>
    <w:p w14:paraId="0D23C877" w14:textId="77777777" w:rsidR="0002510D" w:rsidRPr="00230C58" w:rsidRDefault="0002510D" w:rsidP="00B805BF">
      <w:pPr>
        <w:jc w:val="both"/>
        <w:rPr>
          <w:noProof/>
          <w:sz w:val="22"/>
          <w:szCs w:val="22"/>
          <w:lang w:val="sr-Latn-ME"/>
        </w:rPr>
      </w:pPr>
    </w:p>
    <w:p w14:paraId="30CE2325" w14:textId="07A98A86" w:rsidR="0002510D" w:rsidRPr="00230C58" w:rsidRDefault="0002510D" w:rsidP="00B805BF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 xml:space="preserve">U kliničkim studijama </w:t>
      </w:r>
      <w:r w:rsidR="00C673B6" w:rsidRPr="00230C58">
        <w:rPr>
          <w:noProof/>
          <w:sz w:val="22"/>
          <w:szCs w:val="22"/>
          <w:lang w:val="sr-Latn-ME"/>
        </w:rPr>
        <w:t>zabilježen</w:t>
      </w:r>
      <w:r w:rsidRPr="00230C58">
        <w:rPr>
          <w:noProof/>
          <w:sz w:val="22"/>
          <w:szCs w:val="22"/>
          <w:lang w:val="sr-Latn-ME"/>
        </w:rPr>
        <w:t>o je veoma malo povećanje vr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ednosti histamina u plazmi nakon brze bolus prim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ene doze od 0,3-0,9 mg/kg</w:t>
      </w:r>
      <w:r w:rsidRPr="00230C58">
        <w:rPr>
          <w:noProof/>
          <w:sz w:val="22"/>
          <w:szCs w:val="22"/>
          <w:vertAlign w:val="superscript"/>
          <w:lang w:val="sr-Latn-ME"/>
        </w:rPr>
        <w:t xml:space="preserve">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>omida.</w:t>
      </w:r>
    </w:p>
    <w:p w14:paraId="6F2718D5" w14:textId="77777777" w:rsidR="0002510D" w:rsidRPr="00230C58" w:rsidRDefault="0002510D" w:rsidP="00B805BF">
      <w:pPr>
        <w:jc w:val="both"/>
        <w:rPr>
          <w:noProof/>
          <w:sz w:val="22"/>
          <w:szCs w:val="22"/>
          <w:lang w:val="sr-Latn-ME"/>
        </w:rPr>
      </w:pPr>
    </w:p>
    <w:p w14:paraId="49F08DC7" w14:textId="77777777" w:rsidR="0002510D" w:rsidRPr="00230C58" w:rsidRDefault="0002510D" w:rsidP="00B805BF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Produženi neuromuskularni blok</w:t>
      </w:r>
    </w:p>
    <w:p w14:paraId="2C7BE270" w14:textId="0E33E5AA" w:rsidR="0002510D" w:rsidRPr="00230C58" w:rsidRDefault="0002510D" w:rsidP="00B805BF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Najčešć</w:t>
      </w:r>
      <w:r w:rsidR="00BA047F" w:rsidRPr="00230C58">
        <w:rPr>
          <w:noProof/>
          <w:sz w:val="22"/>
          <w:szCs w:val="22"/>
          <w:lang w:val="sr-Latn-ME"/>
        </w:rPr>
        <w:t>a</w:t>
      </w:r>
      <w:r w:rsidRPr="00230C58">
        <w:rPr>
          <w:noProof/>
          <w:sz w:val="22"/>
          <w:szCs w:val="22"/>
          <w:lang w:val="sr-Latn-ME"/>
        </w:rPr>
        <w:t xml:space="preserve"> neželjena reakcija na nedepolarizujuće blokatore kao grupu l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ekova je produženje farmakološkog dejstva</w:t>
      </w:r>
      <w:r w:rsidR="00C673B6" w:rsidRPr="00230C58">
        <w:rPr>
          <w:noProof/>
          <w:sz w:val="22"/>
          <w:szCs w:val="22"/>
          <w:lang w:val="sr-Latn-ME"/>
        </w:rPr>
        <w:t xml:space="preserve"> lijeka </w:t>
      </w:r>
      <w:r w:rsidRPr="00230C58">
        <w:rPr>
          <w:noProof/>
          <w:sz w:val="22"/>
          <w:szCs w:val="22"/>
          <w:lang w:val="sr-Latn-ME"/>
        </w:rPr>
        <w:t>izvan vremenskog perioda u kome je dejstvo potrebno. Ovo može varirati od slabosti skeletne muskulature do veoma izražene i produžene paralize skeletnih mišića koja dovodi do respiratorne insuficijencije ili apnee.</w:t>
      </w:r>
    </w:p>
    <w:p w14:paraId="27AA9FAE" w14:textId="77777777" w:rsidR="0002510D" w:rsidRPr="00230C58" w:rsidRDefault="0002510D" w:rsidP="00B805BF">
      <w:pPr>
        <w:jc w:val="both"/>
        <w:rPr>
          <w:noProof/>
          <w:sz w:val="22"/>
          <w:szCs w:val="22"/>
          <w:lang w:val="sr-Latn-ME"/>
        </w:rPr>
      </w:pPr>
    </w:p>
    <w:p w14:paraId="57BCAA81" w14:textId="77777777" w:rsidR="0002510D" w:rsidRPr="00230C58" w:rsidRDefault="0002510D" w:rsidP="00B805BF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Miopatija</w:t>
      </w:r>
    </w:p>
    <w:p w14:paraId="7BE5FDF6" w14:textId="77FE59F6" w:rsidR="0002510D" w:rsidRPr="00230C58" w:rsidRDefault="00C673B6" w:rsidP="00B805BF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Zabilježen</w:t>
      </w:r>
      <w:r w:rsidR="0002510D" w:rsidRPr="00230C58">
        <w:rPr>
          <w:noProof/>
          <w:sz w:val="22"/>
          <w:szCs w:val="22"/>
          <w:lang w:val="sr-Latn-ME"/>
        </w:rPr>
        <w:t>a je miopatija nakon prim</w:t>
      </w:r>
      <w:r w:rsidR="00AC4E12" w:rsidRPr="00230C58">
        <w:rPr>
          <w:noProof/>
          <w:sz w:val="22"/>
          <w:szCs w:val="22"/>
          <w:lang w:val="sr-Latn-ME"/>
        </w:rPr>
        <w:t>j</w:t>
      </w:r>
      <w:r w:rsidR="0002510D" w:rsidRPr="00230C58">
        <w:rPr>
          <w:noProof/>
          <w:sz w:val="22"/>
          <w:szCs w:val="22"/>
          <w:lang w:val="sr-Latn-ME"/>
        </w:rPr>
        <w:t>ene različitih neuromišićnih blokatora u JIN u kombinaciji sa kortikosteroidima (</w:t>
      </w:r>
      <w:r w:rsidR="00B2737E" w:rsidRPr="00230C58">
        <w:rPr>
          <w:noProof/>
          <w:sz w:val="22"/>
          <w:szCs w:val="22"/>
          <w:lang w:val="sr-Latn-ME"/>
        </w:rPr>
        <w:t>vidjeti</w:t>
      </w:r>
      <w:r w:rsidR="0002510D" w:rsidRPr="00230C58">
        <w:rPr>
          <w:noProof/>
          <w:sz w:val="22"/>
          <w:szCs w:val="22"/>
          <w:lang w:val="sr-Latn-ME"/>
        </w:rPr>
        <w:t xml:space="preserve"> </w:t>
      </w:r>
      <w:r w:rsidR="00DB7D68" w:rsidRPr="00230C58">
        <w:rPr>
          <w:noProof/>
          <w:sz w:val="22"/>
          <w:szCs w:val="22"/>
          <w:lang w:val="sr-Latn-ME"/>
        </w:rPr>
        <w:t>dio</w:t>
      </w:r>
      <w:r w:rsidR="0002510D" w:rsidRPr="00230C58">
        <w:rPr>
          <w:noProof/>
          <w:sz w:val="22"/>
          <w:szCs w:val="22"/>
          <w:lang w:val="sr-Latn-ME"/>
        </w:rPr>
        <w:t xml:space="preserve"> 4.4).</w:t>
      </w:r>
    </w:p>
    <w:p w14:paraId="414CC42C" w14:textId="49F2CEFF" w:rsidR="0002510D" w:rsidRDefault="0002510D" w:rsidP="00B805BF">
      <w:pPr>
        <w:jc w:val="both"/>
        <w:rPr>
          <w:noProof/>
          <w:sz w:val="22"/>
          <w:szCs w:val="22"/>
          <w:lang w:val="sr-Latn-ME"/>
        </w:rPr>
      </w:pPr>
    </w:p>
    <w:p w14:paraId="02FBF4F1" w14:textId="77777777" w:rsidR="00230C58" w:rsidRPr="00230C58" w:rsidRDefault="00230C58" w:rsidP="00B805BF">
      <w:pPr>
        <w:jc w:val="both"/>
        <w:rPr>
          <w:noProof/>
          <w:sz w:val="22"/>
          <w:szCs w:val="22"/>
          <w:lang w:val="sr-Latn-ME"/>
        </w:rPr>
      </w:pPr>
    </w:p>
    <w:p w14:paraId="390EA4ED" w14:textId="564CDF12" w:rsidR="0002510D" w:rsidRPr="00230C58" w:rsidRDefault="0002510D" w:rsidP="00B805BF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lastRenderedPageBreak/>
        <w:t>Lokalne reakcije na m</w:t>
      </w:r>
      <w:r w:rsidR="00AC4E12" w:rsidRPr="00230C58">
        <w:rPr>
          <w:noProof/>
          <w:sz w:val="22"/>
          <w:szCs w:val="22"/>
          <w:u w:val="single"/>
          <w:lang w:val="sr-Latn-ME"/>
        </w:rPr>
        <w:t>j</w:t>
      </w:r>
      <w:r w:rsidRPr="00230C58">
        <w:rPr>
          <w:noProof/>
          <w:sz w:val="22"/>
          <w:szCs w:val="22"/>
          <w:u w:val="single"/>
          <w:lang w:val="sr-Latn-ME"/>
        </w:rPr>
        <w:t>estu prim</w:t>
      </w:r>
      <w:r w:rsidR="00AC4E12" w:rsidRPr="00230C58">
        <w:rPr>
          <w:noProof/>
          <w:sz w:val="22"/>
          <w:szCs w:val="22"/>
          <w:u w:val="single"/>
          <w:lang w:val="sr-Latn-ME"/>
        </w:rPr>
        <w:t>j</w:t>
      </w:r>
      <w:r w:rsidRPr="00230C58">
        <w:rPr>
          <w:noProof/>
          <w:sz w:val="22"/>
          <w:szCs w:val="22"/>
          <w:u w:val="single"/>
          <w:lang w:val="sr-Latn-ME"/>
        </w:rPr>
        <w:t>ene injekcije</w:t>
      </w:r>
    </w:p>
    <w:p w14:paraId="01D9E2E1" w14:textId="75A4B0F7" w:rsidR="0002510D" w:rsidRPr="00230C58" w:rsidRDefault="0002510D" w:rsidP="00B805BF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 xml:space="preserve">Tokom brzog uvođenja u anesteziju, </w:t>
      </w:r>
      <w:r w:rsidR="00C673B6" w:rsidRPr="00230C58">
        <w:rPr>
          <w:noProof/>
          <w:sz w:val="22"/>
          <w:szCs w:val="22"/>
          <w:lang w:val="sr-Latn-ME"/>
        </w:rPr>
        <w:t>zabilježen</w:t>
      </w:r>
      <w:r w:rsidRPr="00230C58">
        <w:rPr>
          <w:noProof/>
          <w:sz w:val="22"/>
          <w:szCs w:val="22"/>
          <w:lang w:val="sr-Latn-ME"/>
        </w:rPr>
        <w:t>a je pojava bola tokom prim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ene injekcije, naročito kada pacijent nije još u potpunosti izgubio sv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est i posebno kada se propofol koristi kao</w:t>
      </w:r>
      <w:r w:rsidR="00C673B6" w:rsidRPr="00230C58">
        <w:rPr>
          <w:noProof/>
          <w:sz w:val="22"/>
          <w:szCs w:val="22"/>
          <w:lang w:val="sr-Latn-ME"/>
        </w:rPr>
        <w:t xml:space="preserve"> lijek </w:t>
      </w:r>
      <w:r w:rsidRPr="00230C58">
        <w:rPr>
          <w:noProof/>
          <w:sz w:val="22"/>
          <w:szCs w:val="22"/>
          <w:lang w:val="sr-Latn-ME"/>
        </w:rPr>
        <w:t>za uvođenje u anesteziju. Kliničkim studijama je ustanovljeno da kada se propofol koristi kao</w:t>
      </w:r>
      <w:r w:rsidR="00C673B6" w:rsidRPr="00230C58">
        <w:rPr>
          <w:noProof/>
          <w:sz w:val="22"/>
          <w:szCs w:val="22"/>
          <w:lang w:val="sr-Latn-ME"/>
        </w:rPr>
        <w:t xml:space="preserve"> lijek </w:t>
      </w:r>
      <w:r w:rsidRPr="00230C58">
        <w:rPr>
          <w:noProof/>
          <w:sz w:val="22"/>
          <w:szCs w:val="22"/>
          <w:lang w:val="sr-Latn-ME"/>
        </w:rPr>
        <w:t>za uvođenje u anesteziju</w:t>
      </w:r>
      <w:r w:rsidRPr="00230C58" w:rsidDel="00FF3940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>učestalost pojave bola iznosi 16%, a samo 0,5% kod pacijenata kod kojih je za brzo uvođenje u anesteziju korišćen fentanil i tiopental.</w:t>
      </w:r>
    </w:p>
    <w:p w14:paraId="1EE18FDB" w14:textId="77777777" w:rsidR="0002510D" w:rsidRPr="00230C58" w:rsidRDefault="0002510D" w:rsidP="00B805BF">
      <w:pPr>
        <w:jc w:val="both"/>
        <w:rPr>
          <w:noProof/>
          <w:sz w:val="22"/>
          <w:szCs w:val="22"/>
          <w:lang w:val="sr-Latn-ME"/>
        </w:rPr>
      </w:pPr>
    </w:p>
    <w:p w14:paraId="4E588E4A" w14:textId="77777777" w:rsidR="0002510D" w:rsidRPr="00230C58" w:rsidRDefault="0002510D" w:rsidP="00B805BF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Pedijatrijska populacija</w:t>
      </w:r>
    </w:p>
    <w:p w14:paraId="36579389" w14:textId="73CE1CD6" w:rsidR="0002510D" w:rsidRPr="00230C58" w:rsidRDefault="0002510D" w:rsidP="00B805BF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 xml:space="preserve">Meta analiza 11 kliničkih ispitivanja kod pedijatrijskih pacijenata (n=704) sa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>omidom (u dozi do 1 mg/kg) pokazala su da se tahikardija javlja kao neželjeno dejstvo sa učestalošću od 1,4%.</w:t>
      </w:r>
    </w:p>
    <w:p w14:paraId="0DCF563B" w14:textId="662BDD37" w:rsidR="0002510D" w:rsidRPr="00230C58" w:rsidRDefault="0002510D" w:rsidP="00B805B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A057F8A" w14:textId="77777777" w:rsidR="005A23D2" w:rsidRPr="00230C58" w:rsidRDefault="005A23D2" w:rsidP="00B805BF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230C58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3FFACCC4" w14:textId="77777777" w:rsidR="005A23D2" w:rsidRPr="00230C58" w:rsidRDefault="005A23D2" w:rsidP="00550889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230C58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230C58">
        <w:rPr>
          <w:rFonts w:eastAsia="Calibri"/>
          <w:sz w:val="22"/>
          <w:szCs w:val="22"/>
          <w:lang w:val="sr-Latn-ME"/>
        </w:rPr>
        <w:t>inuirano praćenje odnosa korist</w:t>
      </w:r>
      <w:r w:rsidRPr="00230C58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230C58">
        <w:rPr>
          <w:rFonts w:eastAsia="Calibri"/>
          <w:sz w:val="22"/>
          <w:szCs w:val="22"/>
          <w:lang w:val="sr-Latn-ME"/>
        </w:rPr>
        <w:t xml:space="preserve"> </w:t>
      </w:r>
      <w:r w:rsidRPr="00230C58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230C58">
        <w:rPr>
          <w:rFonts w:eastAsia="Calibri"/>
          <w:sz w:val="22"/>
          <w:szCs w:val="22"/>
          <w:lang w:val="sr-Latn-ME"/>
        </w:rPr>
        <w:t>Institutu</w:t>
      </w:r>
      <w:r w:rsidRPr="00230C58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230C58">
        <w:rPr>
          <w:rFonts w:eastAsia="Calibri"/>
          <w:sz w:val="22"/>
          <w:szCs w:val="22"/>
          <w:lang w:val="sr-Latn-ME"/>
        </w:rPr>
        <w:t xml:space="preserve"> </w:t>
      </w:r>
      <w:r w:rsidRPr="00230C58">
        <w:rPr>
          <w:rFonts w:eastAsia="Calibri"/>
          <w:sz w:val="22"/>
          <w:szCs w:val="22"/>
          <w:lang w:val="sr-Latn-ME"/>
        </w:rPr>
        <w:t>(</w:t>
      </w:r>
      <w:r w:rsidR="004E70AD" w:rsidRPr="00230C58">
        <w:rPr>
          <w:rFonts w:eastAsia="Calibri"/>
          <w:sz w:val="22"/>
          <w:szCs w:val="22"/>
          <w:lang w:val="sr-Latn-ME"/>
        </w:rPr>
        <w:t>CInMED</w:t>
      </w:r>
      <w:r w:rsidRPr="00230C58">
        <w:rPr>
          <w:rFonts w:eastAsia="Calibri"/>
          <w:sz w:val="22"/>
          <w:szCs w:val="22"/>
          <w:lang w:val="sr-Latn-ME"/>
        </w:rPr>
        <w:t>):</w:t>
      </w:r>
    </w:p>
    <w:p w14:paraId="138E49F5" w14:textId="77777777" w:rsidR="005A23D2" w:rsidRPr="00230C58" w:rsidRDefault="004E70AD" w:rsidP="0055088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30C58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230C58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54B7EBCF" w14:textId="77777777" w:rsidR="005A23D2" w:rsidRPr="00230C58" w:rsidRDefault="005A23D2" w:rsidP="0055088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30C58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230C58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2EDE39B2" w14:textId="77777777" w:rsidR="00EA5765" w:rsidRPr="00230C58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30C58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1E581ECF" w14:textId="77777777" w:rsidR="00EA5765" w:rsidRPr="00230C58" w:rsidRDefault="00EA5765" w:rsidP="00B805BF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5A2A711" w14:textId="77777777" w:rsidR="005A23D2" w:rsidRPr="00230C58" w:rsidRDefault="005A23D2" w:rsidP="0055088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30C58">
        <w:rPr>
          <w:rFonts w:eastAsia="Calibri"/>
          <w:sz w:val="22"/>
          <w:szCs w:val="22"/>
          <w:lang w:val="sr-Latn-ME"/>
        </w:rPr>
        <w:t>tel: +382 (0) 20 310 280</w:t>
      </w:r>
    </w:p>
    <w:p w14:paraId="3BF01609" w14:textId="77777777" w:rsidR="00EA5765" w:rsidRPr="00230C58" w:rsidRDefault="005A23D2" w:rsidP="00550889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230C58">
        <w:rPr>
          <w:rFonts w:eastAsia="Calibri"/>
          <w:sz w:val="22"/>
          <w:szCs w:val="22"/>
          <w:lang w:val="sr-Latn-ME"/>
        </w:rPr>
        <w:t>fax</w:t>
      </w:r>
      <w:proofErr w:type="spellEnd"/>
      <w:r w:rsidRPr="00230C58">
        <w:rPr>
          <w:rFonts w:eastAsia="Calibri"/>
          <w:sz w:val="22"/>
          <w:szCs w:val="22"/>
          <w:lang w:val="sr-Latn-ME"/>
        </w:rPr>
        <w:t>:</w:t>
      </w:r>
      <w:r w:rsidR="00EA5765" w:rsidRPr="00230C58">
        <w:rPr>
          <w:rFonts w:eastAsia="Calibri"/>
          <w:sz w:val="22"/>
          <w:szCs w:val="22"/>
          <w:lang w:val="sr-Latn-ME"/>
        </w:rPr>
        <w:t xml:space="preserve"> </w:t>
      </w:r>
      <w:r w:rsidRPr="00230C58">
        <w:rPr>
          <w:rFonts w:eastAsia="Calibri"/>
          <w:sz w:val="22"/>
          <w:szCs w:val="22"/>
          <w:lang w:val="sr-Latn-ME"/>
        </w:rPr>
        <w:t>+382 (0) 20 310 581</w:t>
      </w:r>
      <w:r w:rsidR="00FF3EDF" w:rsidRPr="00230C58">
        <w:rPr>
          <w:rFonts w:eastAsia="Calibri"/>
          <w:sz w:val="22"/>
          <w:szCs w:val="22"/>
          <w:lang w:val="sr-Latn-ME"/>
        </w:rPr>
        <w:tab/>
      </w:r>
    </w:p>
    <w:p w14:paraId="048A2F77" w14:textId="77777777" w:rsidR="005A23D2" w:rsidRPr="00230C58" w:rsidRDefault="00E95B37" w:rsidP="0055088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230C58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444B93B0" w14:textId="77777777" w:rsidR="00EA5765" w:rsidRPr="00230C58" w:rsidRDefault="00E95B37" w:rsidP="00550889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230C58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226DAE44" w14:textId="77777777" w:rsidR="005A23D2" w:rsidRPr="00230C58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30C58">
        <w:rPr>
          <w:rFonts w:eastAsia="Calibri"/>
          <w:sz w:val="22"/>
          <w:szCs w:val="22"/>
          <w:lang w:val="sr-Latn-ME"/>
        </w:rPr>
        <w:t>putem IS zdravstvene zaštite</w:t>
      </w:r>
    </w:p>
    <w:p w14:paraId="64C32CAF" w14:textId="77777777" w:rsidR="007E31E9" w:rsidRPr="00230C58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230C58">
        <w:rPr>
          <w:rFonts w:eastAsia="Calibri"/>
          <w:sz w:val="22"/>
          <w:szCs w:val="22"/>
          <w:lang w:val="sr-Latn-ME"/>
        </w:rPr>
        <w:t>QR</w:t>
      </w:r>
      <w:proofErr w:type="spellEnd"/>
      <w:r w:rsidRPr="00230C58">
        <w:rPr>
          <w:rFonts w:eastAsia="Calibri"/>
          <w:sz w:val="22"/>
          <w:szCs w:val="22"/>
          <w:lang w:val="sr-Latn-ME"/>
        </w:rPr>
        <w:t xml:space="preserve"> kod za </w:t>
      </w:r>
      <w:proofErr w:type="spellStart"/>
      <w:r w:rsidRPr="00230C58">
        <w:rPr>
          <w:rFonts w:eastAsia="Calibri"/>
          <w:sz w:val="22"/>
          <w:szCs w:val="22"/>
          <w:lang w:val="sr-Latn-ME"/>
        </w:rPr>
        <w:t>online</w:t>
      </w:r>
      <w:proofErr w:type="spellEnd"/>
      <w:r w:rsidRPr="00230C58">
        <w:rPr>
          <w:rFonts w:eastAsia="Calibri"/>
          <w:sz w:val="22"/>
          <w:szCs w:val="22"/>
          <w:lang w:val="sr-Latn-ME"/>
        </w:rPr>
        <w:t xml:space="preserve"> prijavu</w:t>
      </w:r>
      <w:r w:rsidR="00D74CD2" w:rsidRPr="00230C58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230C58">
        <w:rPr>
          <w:rFonts w:eastAsia="Calibri"/>
          <w:sz w:val="22"/>
          <w:szCs w:val="22"/>
          <w:lang w:val="sr-Latn-ME"/>
        </w:rPr>
        <w:t>:</w:t>
      </w:r>
    </w:p>
    <w:p w14:paraId="2E962871" w14:textId="77777777" w:rsidR="007E31E9" w:rsidRPr="00230C58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19A3BFC" w14:textId="77777777" w:rsidR="004F17E2" w:rsidRPr="00230C58" w:rsidRDefault="007E31E9" w:rsidP="00B805B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 w:eastAsia="sr-Latn-ME"/>
        </w:rPr>
        <w:drawing>
          <wp:inline distT="0" distB="0" distL="0" distR="0" wp14:anchorId="45BFA4A0" wp14:editId="641B7320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C1095" w14:textId="77777777" w:rsidR="00836B35" w:rsidRPr="00230C58" w:rsidRDefault="00836B35" w:rsidP="00B805B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514FC64" w14:textId="77777777" w:rsidR="00CD6F02" w:rsidRPr="00230C58" w:rsidRDefault="0072020E" w:rsidP="00B805B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30C58">
        <w:rPr>
          <w:b/>
          <w:bCs/>
          <w:sz w:val="22"/>
          <w:szCs w:val="22"/>
          <w:lang w:val="sr-Latn-ME"/>
        </w:rPr>
        <w:t xml:space="preserve">4.9. </w:t>
      </w:r>
      <w:r w:rsidR="00480FB1" w:rsidRPr="00230C58">
        <w:rPr>
          <w:b/>
          <w:bCs/>
          <w:sz w:val="22"/>
          <w:szCs w:val="22"/>
          <w:lang w:val="sr-Latn-ME"/>
        </w:rPr>
        <w:tab/>
      </w:r>
      <w:proofErr w:type="spellStart"/>
      <w:r w:rsidRPr="00230C58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230C58">
        <w:rPr>
          <w:b/>
          <w:bCs/>
          <w:sz w:val="22"/>
          <w:szCs w:val="22"/>
          <w:lang w:val="sr-Latn-ME"/>
        </w:rPr>
        <w:t xml:space="preserve"> </w:t>
      </w:r>
    </w:p>
    <w:p w14:paraId="7CA99FDF" w14:textId="77777777" w:rsidR="006245EE" w:rsidRPr="00230C58" w:rsidRDefault="006245EE" w:rsidP="00B805BF">
      <w:pPr>
        <w:jc w:val="both"/>
        <w:rPr>
          <w:noProof/>
          <w:sz w:val="22"/>
          <w:szCs w:val="22"/>
          <w:lang w:val="sr-Latn-ME"/>
        </w:rPr>
      </w:pPr>
    </w:p>
    <w:p w14:paraId="6DBE9309" w14:textId="77B55ADF" w:rsidR="006245EE" w:rsidRPr="00230C58" w:rsidRDefault="006245EE" w:rsidP="00550889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U slučaju predoziranja i produženog neuromuskularnog bloka, kod pacijenta treba nastaviti prim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enu ventilacije i sedacije. U ovim situacijama postoje dv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 opcije za postizanje reverzije neuromuskularnog bloka: (1) Kod odraslih, sugamadeks se može prim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eniti radi reverzije izrazitog (snažnog) i dubokog bloka. Doza sugamadeksa koja će se prim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eniti zavisi od stepena neuromuskularnog bloka. (2) Može se prim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eniti inhibitor acetilholinesteraze (npr. neostigmin, edrofonijum, piridostigmin) ili sugamadeks u odgovarajućim dozama nakon što počne spontani oporavak. Ukoliko i pored prim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ene inhibitora acetilholinesteraze ne dođe do reverzije neuromuskularnih efekata</w:t>
      </w:r>
      <w:r w:rsidR="00C673B6" w:rsidRPr="00230C58">
        <w:rPr>
          <w:noProof/>
          <w:sz w:val="22"/>
          <w:szCs w:val="22"/>
          <w:lang w:val="sr-Latn-ME"/>
        </w:rPr>
        <w:t xml:space="preserve"> lijeka </w:t>
      </w:r>
      <w:r w:rsidRPr="00230C58">
        <w:rPr>
          <w:noProof/>
          <w:sz w:val="22"/>
          <w:szCs w:val="22"/>
          <w:lang w:val="sr-Latn-ME"/>
        </w:rPr>
        <w:t>ESMERON, treba nastaviti sa mehaničkom ventilacijom do ponovnog uspostavljanja spontanog disanja. Ponovljene doze inhibitora acetilholinesteraze mogu biti opasne.</w:t>
      </w:r>
      <w:r w:rsidR="00DB7D68" w:rsidRPr="00230C58">
        <w:rPr>
          <w:noProof/>
          <w:sz w:val="22"/>
          <w:szCs w:val="22"/>
          <w:lang w:val="sr-Latn-ME"/>
        </w:rPr>
        <w:t xml:space="preserve"> </w:t>
      </w:r>
    </w:p>
    <w:p w14:paraId="431BA74C" w14:textId="77777777" w:rsidR="006245EE" w:rsidRPr="00230C58" w:rsidRDefault="006245EE" w:rsidP="00B805BF">
      <w:pPr>
        <w:jc w:val="both"/>
        <w:rPr>
          <w:noProof/>
          <w:sz w:val="22"/>
          <w:szCs w:val="22"/>
          <w:lang w:val="sr-Latn-ME"/>
        </w:rPr>
      </w:pPr>
    </w:p>
    <w:p w14:paraId="4123877B" w14:textId="036C05FE" w:rsidR="00CD6F02" w:rsidRPr="00230C58" w:rsidRDefault="006245EE" w:rsidP="00550889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Ispitivanja sprovedena na životinjama pokazala su da do značajne depresije kardiovaskularne funkcije koja bi konačno dovela do kardijalnog kolapsa nije došlo sve dok nije prim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enjena kumulativna doza od 750 x ED</w:t>
      </w:r>
      <w:r w:rsidRPr="00230C58">
        <w:rPr>
          <w:noProof/>
          <w:sz w:val="22"/>
          <w:szCs w:val="22"/>
          <w:vertAlign w:val="subscript"/>
          <w:lang w:val="sr-Latn-ME"/>
        </w:rPr>
        <w:t>90</w:t>
      </w:r>
      <w:r w:rsidRPr="00230C58">
        <w:rPr>
          <w:noProof/>
          <w:sz w:val="22"/>
          <w:szCs w:val="22"/>
          <w:lang w:val="sr-Latn-ME"/>
        </w:rPr>
        <w:t xml:space="preserve"> (135 mg/kg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>omida).</w:t>
      </w:r>
    </w:p>
    <w:p w14:paraId="0B115CF8" w14:textId="455B2FA7" w:rsidR="00227BDB" w:rsidRPr="00230C58" w:rsidRDefault="00227BDB" w:rsidP="00B805B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63FE86B" w14:textId="77777777" w:rsidR="00DA3B13" w:rsidRPr="00230C58" w:rsidRDefault="00DA3B13" w:rsidP="00B805B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4283D0F" w14:textId="77777777" w:rsidR="0072020E" w:rsidRPr="00230C58" w:rsidRDefault="0072020E" w:rsidP="00B805B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30C58">
        <w:rPr>
          <w:b/>
          <w:bCs/>
          <w:sz w:val="22"/>
          <w:szCs w:val="22"/>
          <w:lang w:val="sr-Latn-ME"/>
        </w:rPr>
        <w:t xml:space="preserve">5. </w:t>
      </w:r>
      <w:r w:rsidR="00480FB1" w:rsidRPr="00230C58">
        <w:rPr>
          <w:b/>
          <w:bCs/>
          <w:sz w:val="22"/>
          <w:szCs w:val="22"/>
          <w:lang w:val="sr-Latn-ME"/>
        </w:rPr>
        <w:tab/>
      </w:r>
      <w:r w:rsidRPr="00230C58">
        <w:rPr>
          <w:b/>
          <w:bCs/>
          <w:sz w:val="22"/>
          <w:szCs w:val="22"/>
          <w:lang w:val="sr-Latn-ME"/>
        </w:rPr>
        <w:t>FARMAKOLOŠK</w:t>
      </w:r>
      <w:r w:rsidR="000D425A" w:rsidRPr="00230C58">
        <w:rPr>
          <w:b/>
          <w:bCs/>
          <w:sz w:val="22"/>
          <w:szCs w:val="22"/>
          <w:lang w:val="sr-Latn-ME"/>
        </w:rPr>
        <w:t>I</w:t>
      </w:r>
      <w:r w:rsidRPr="00230C58">
        <w:rPr>
          <w:b/>
          <w:bCs/>
          <w:sz w:val="22"/>
          <w:szCs w:val="22"/>
          <w:lang w:val="sr-Latn-ME"/>
        </w:rPr>
        <w:t xml:space="preserve"> PODACI</w:t>
      </w:r>
    </w:p>
    <w:p w14:paraId="06BB2D50" w14:textId="77777777" w:rsidR="0072020E" w:rsidRPr="00230C58" w:rsidRDefault="0072020E" w:rsidP="00B805B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5C606C4" w14:textId="77777777" w:rsidR="0072020E" w:rsidRPr="00230C58" w:rsidRDefault="0072020E" w:rsidP="00B805B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30C58">
        <w:rPr>
          <w:b/>
          <w:bCs/>
          <w:sz w:val="22"/>
          <w:szCs w:val="22"/>
          <w:lang w:val="sr-Latn-ME"/>
        </w:rPr>
        <w:t xml:space="preserve">5.1. </w:t>
      </w:r>
      <w:r w:rsidR="00480FB1" w:rsidRPr="00230C58">
        <w:rPr>
          <w:b/>
          <w:bCs/>
          <w:sz w:val="22"/>
          <w:szCs w:val="22"/>
          <w:lang w:val="sr-Latn-ME"/>
        </w:rPr>
        <w:tab/>
      </w:r>
      <w:proofErr w:type="spellStart"/>
      <w:r w:rsidRPr="00230C58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230C58">
        <w:rPr>
          <w:b/>
          <w:bCs/>
          <w:sz w:val="22"/>
          <w:szCs w:val="22"/>
          <w:lang w:val="sr-Latn-ME"/>
        </w:rPr>
        <w:t xml:space="preserve"> podaci</w:t>
      </w:r>
      <w:r w:rsidR="003A7059" w:rsidRPr="00230C58">
        <w:rPr>
          <w:b/>
          <w:bCs/>
          <w:sz w:val="22"/>
          <w:szCs w:val="22"/>
          <w:lang w:val="sr-Latn-ME"/>
        </w:rPr>
        <w:t xml:space="preserve"> </w:t>
      </w:r>
    </w:p>
    <w:p w14:paraId="28FE6997" w14:textId="77777777" w:rsidR="00F45F77" w:rsidRPr="00230C58" w:rsidRDefault="00F45F77" w:rsidP="00B805B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3259E45" w14:textId="12DF25AA" w:rsidR="0072020E" w:rsidRPr="00230C58" w:rsidRDefault="0072020E" w:rsidP="00B805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230C58">
        <w:rPr>
          <w:bCs/>
          <w:sz w:val="22"/>
          <w:szCs w:val="22"/>
          <w:lang w:val="sr-Latn-ME"/>
        </w:rPr>
        <w:t>Farmakoterapijska</w:t>
      </w:r>
      <w:proofErr w:type="spellEnd"/>
      <w:r w:rsidRPr="00230C58">
        <w:rPr>
          <w:bCs/>
          <w:sz w:val="22"/>
          <w:szCs w:val="22"/>
          <w:lang w:val="sr-Latn-ME"/>
        </w:rPr>
        <w:t xml:space="preserve"> grupa:</w:t>
      </w:r>
      <w:r w:rsidR="006245EE" w:rsidRPr="00230C58">
        <w:rPr>
          <w:bCs/>
          <w:sz w:val="22"/>
          <w:szCs w:val="22"/>
          <w:lang w:val="sr-Latn-ME"/>
        </w:rPr>
        <w:t xml:space="preserve"> Mišićni </w:t>
      </w:r>
      <w:proofErr w:type="spellStart"/>
      <w:r w:rsidR="006245EE" w:rsidRPr="00230C58">
        <w:rPr>
          <w:bCs/>
          <w:sz w:val="22"/>
          <w:szCs w:val="22"/>
          <w:lang w:val="sr-Latn-ME"/>
        </w:rPr>
        <w:t>relaksansi</w:t>
      </w:r>
      <w:proofErr w:type="spellEnd"/>
      <w:r w:rsidR="006245EE" w:rsidRPr="00230C58">
        <w:rPr>
          <w:bCs/>
          <w:sz w:val="22"/>
          <w:szCs w:val="22"/>
          <w:lang w:val="sr-Latn-ME"/>
        </w:rPr>
        <w:t xml:space="preserve"> (</w:t>
      </w:r>
      <w:proofErr w:type="spellStart"/>
      <w:r w:rsidR="006245EE" w:rsidRPr="00230C58">
        <w:rPr>
          <w:bCs/>
          <w:sz w:val="22"/>
          <w:szCs w:val="22"/>
          <w:lang w:val="sr-Latn-ME"/>
        </w:rPr>
        <w:t>Miorelaksansi</w:t>
      </w:r>
      <w:proofErr w:type="spellEnd"/>
      <w:r w:rsidR="006245EE" w:rsidRPr="00230C58">
        <w:rPr>
          <w:bCs/>
          <w:sz w:val="22"/>
          <w:szCs w:val="22"/>
          <w:lang w:val="sr-Latn-ME"/>
        </w:rPr>
        <w:t xml:space="preserve">), ostala </w:t>
      </w:r>
      <w:proofErr w:type="spellStart"/>
      <w:r w:rsidR="006245EE" w:rsidRPr="00230C58">
        <w:rPr>
          <w:bCs/>
          <w:sz w:val="22"/>
          <w:szCs w:val="22"/>
          <w:lang w:val="sr-Latn-ME"/>
        </w:rPr>
        <w:t>kvaternerna</w:t>
      </w:r>
      <w:proofErr w:type="spellEnd"/>
      <w:r w:rsidR="006245EE" w:rsidRPr="00230C58">
        <w:rPr>
          <w:bCs/>
          <w:sz w:val="22"/>
          <w:szCs w:val="22"/>
          <w:lang w:val="sr-Latn-ME"/>
        </w:rPr>
        <w:t xml:space="preserve"> amonijum jedinjenja</w:t>
      </w:r>
    </w:p>
    <w:p w14:paraId="1535A3CC" w14:textId="77777777" w:rsidR="0072020E" w:rsidRPr="00230C58" w:rsidRDefault="0072020E" w:rsidP="00B805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5D97DB6" w14:textId="3C5E9EE4" w:rsidR="0072020E" w:rsidRPr="00230C58" w:rsidRDefault="0072020E" w:rsidP="00B805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30C58">
        <w:rPr>
          <w:bCs/>
          <w:sz w:val="22"/>
          <w:szCs w:val="22"/>
          <w:lang w:val="sr-Latn-ME"/>
        </w:rPr>
        <w:t>ATC kod:</w:t>
      </w:r>
      <w:r w:rsidR="006245EE" w:rsidRPr="00230C58">
        <w:rPr>
          <w:bCs/>
          <w:sz w:val="22"/>
          <w:szCs w:val="22"/>
          <w:lang w:val="sr-Latn-ME"/>
        </w:rPr>
        <w:t xml:space="preserve"> M03AC09</w:t>
      </w:r>
    </w:p>
    <w:p w14:paraId="15025A43" w14:textId="164D701E" w:rsidR="00BC21EA" w:rsidRPr="00230C58" w:rsidRDefault="00BC21EA" w:rsidP="00B805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F374C89" w14:textId="77777777" w:rsidR="00BC21EA" w:rsidRPr="00230C58" w:rsidRDefault="00BC21EA" w:rsidP="00B805BF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Mehanizam dejstva</w:t>
      </w:r>
    </w:p>
    <w:p w14:paraId="477FF37E" w14:textId="622E80D1" w:rsidR="00BC21EA" w:rsidRPr="00230C58" w:rsidRDefault="00BC21EA" w:rsidP="00550889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L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ek ESMERON (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>omid) je nedepolarizujući neuromuskularni blokator sa brzim početkom i srednjom dužinom dejstva, koji pos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eduje sva karakteristična farmakološka dejstva ove grupe l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ekova (kurariformna). D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eluje tako što prouzrokuje kompetitivnu blokadu nikotinskih holinergičkih receptora na nivou završne motorne ploče. Ovo dejstvo može da se antagonizuje prim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enom inhibitora acetilholinesteraze, kao što su neostigmin, edrofonijum i piridostigmin.</w:t>
      </w:r>
    </w:p>
    <w:p w14:paraId="12AD0CCE" w14:textId="77777777" w:rsidR="00BC21EA" w:rsidRPr="00230C58" w:rsidRDefault="00BC21EA" w:rsidP="00B805BF">
      <w:pPr>
        <w:jc w:val="both"/>
        <w:rPr>
          <w:noProof/>
          <w:sz w:val="22"/>
          <w:szCs w:val="22"/>
          <w:lang w:val="sr-Latn-ME"/>
        </w:rPr>
      </w:pPr>
    </w:p>
    <w:p w14:paraId="13D1011F" w14:textId="77777777" w:rsidR="00BC21EA" w:rsidRPr="00230C58" w:rsidRDefault="00BC21EA" w:rsidP="00B805BF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Farmakodinamska dejstva</w:t>
      </w:r>
      <w:r w:rsidRPr="00230C58" w:rsidDel="006F4CB7">
        <w:rPr>
          <w:noProof/>
          <w:sz w:val="22"/>
          <w:szCs w:val="22"/>
          <w:u w:val="single"/>
          <w:lang w:val="sr-Latn-ME"/>
        </w:rPr>
        <w:t xml:space="preserve"> </w:t>
      </w:r>
    </w:p>
    <w:p w14:paraId="5424C446" w14:textId="2D10BDD3" w:rsidR="00BC21EA" w:rsidRPr="00230C58" w:rsidRDefault="00BC21EA" w:rsidP="00550889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ED</w:t>
      </w:r>
      <w:r w:rsidRPr="00230C58">
        <w:rPr>
          <w:noProof/>
          <w:sz w:val="22"/>
          <w:szCs w:val="22"/>
          <w:vertAlign w:val="subscript"/>
          <w:lang w:val="sr-Latn-ME"/>
        </w:rPr>
        <w:t>90</w:t>
      </w:r>
      <w:r w:rsidRPr="00230C58">
        <w:rPr>
          <w:noProof/>
          <w:sz w:val="22"/>
          <w:szCs w:val="22"/>
          <w:lang w:val="sr-Latn-ME"/>
        </w:rPr>
        <w:t xml:space="preserve"> (doza potrebna da se izazove 90% depresije odgovora trzajem palca na stimulaciju ulnarnog nerva) tokom intravenske anestezije iznosi približno 0,3 mg/kg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>omida. ED</w:t>
      </w:r>
      <w:r w:rsidRPr="00230C58">
        <w:rPr>
          <w:noProof/>
          <w:sz w:val="22"/>
          <w:szCs w:val="22"/>
          <w:vertAlign w:val="subscript"/>
          <w:lang w:val="sr-Latn-ME"/>
        </w:rPr>
        <w:t>95</w:t>
      </w:r>
      <w:r w:rsidRPr="00230C58">
        <w:rPr>
          <w:noProof/>
          <w:sz w:val="22"/>
          <w:szCs w:val="22"/>
          <w:lang w:val="sr-Latn-ME"/>
        </w:rPr>
        <w:t xml:space="preserve"> kod odojčadi je manja nego kod odraslih i d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ece (0,25; 0,35 odnosno</w:t>
      </w:r>
      <w:r w:rsidRPr="00230C58" w:rsidDel="006F4CB7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>0,40 mg/kg).</w:t>
      </w:r>
    </w:p>
    <w:p w14:paraId="218A8C3F" w14:textId="17FCE563" w:rsidR="00BC21EA" w:rsidRPr="00230C58" w:rsidRDefault="00BC21EA" w:rsidP="00550889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Кliničko tгajanje dejstva</w:t>
      </w:r>
      <w:r w:rsidRPr="00230C58" w:rsidDel="006F4CB7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 xml:space="preserve">(trajanje do spontanog oporavka do 25% visine kontrolnog trzaja) sa 0,6 mg/kg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>omida iznosi 30 do 40 minuta. Ukupno trajanje</w:t>
      </w:r>
      <w:r w:rsidRPr="00230C58" w:rsidDel="006F4CB7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>dejstva (vr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eme do spontanog oporavka do 90% visine kontrolnog trzaja) iznosi 50 minuta. Srednja vr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ednost vremena do</w:t>
      </w:r>
      <w:r w:rsidRPr="00230C58" w:rsidDel="006F4CB7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 xml:space="preserve">spontanog oporavka od 25% do 75% visine kontrolnog trzaja (indeks oporavka) posle bolus doze od 0,6 mg/kg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 xml:space="preserve">omida iznosi 14 minuta. Sa manjim dozama od 0,3-0,45 mg/kg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>omida (</w:t>
      </w:r>
      <w:bookmarkStart w:id="3" w:name="_Hlk121234302"/>
      <w:r w:rsidRPr="00230C58">
        <w:rPr>
          <w:noProof/>
          <w:sz w:val="22"/>
          <w:szCs w:val="22"/>
          <w:lang w:val="sr-Latn-ME"/>
        </w:rPr>
        <w:t>1</w:t>
      </w:r>
      <w:bookmarkEnd w:id="3"/>
      <w:r w:rsidRPr="00230C58">
        <w:rPr>
          <w:noProof/>
          <w:sz w:val="22"/>
          <w:szCs w:val="22"/>
          <w:lang w:val="sr-Latn-ME"/>
        </w:rPr>
        <w:t>-1½ x ED</w:t>
      </w:r>
      <w:r w:rsidRPr="00230C58">
        <w:rPr>
          <w:noProof/>
          <w:sz w:val="22"/>
          <w:szCs w:val="22"/>
          <w:vertAlign w:val="subscript"/>
          <w:lang w:val="sr-Latn-ME"/>
        </w:rPr>
        <w:t>90</w:t>
      </w:r>
      <w:r w:rsidRPr="00230C58">
        <w:rPr>
          <w:noProof/>
          <w:sz w:val="22"/>
          <w:szCs w:val="22"/>
          <w:lang w:val="sr-Latn-ME"/>
        </w:rPr>
        <w:t xml:space="preserve">) početak dejstva je sporiji, a dejstvo traje kraće. Sa velikim dozama od 2 mg/kg, kliničko trajanje dejstva je 110 minuta. </w:t>
      </w:r>
    </w:p>
    <w:p w14:paraId="5B33060E" w14:textId="77777777" w:rsidR="00BC21EA" w:rsidRPr="00230C58" w:rsidRDefault="00BC21EA" w:rsidP="00B805BF">
      <w:pPr>
        <w:jc w:val="both"/>
        <w:rPr>
          <w:noProof/>
          <w:sz w:val="22"/>
          <w:szCs w:val="22"/>
          <w:lang w:val="sr-Latn-ME"/>
        </w:rPr>
      </w:pPr>
    </w:p>
    <w:p w14:paraId="4F7C37A1" w14:textId="77777777" w:rsidR="00BC21EA" w:rsidRPr="00230C58" w:rsidRDefault="00BC21EA" w:rsidP="00B805BF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Intubacija tokom rutinske anestezije</w:t>
      </w:r>
    </w:p>
    <w:p w14:paraId="6B6EEE95" w14:textId="6FF89403" w:rsidR="00BC21EA" w:rsidRPr="00230C58" w:rsidRDefault="00BC21EA" w:rsidP="00550889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Tokom 60 sekundi nakon intravenske prim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 xml:space="preserve">ene doze od 0,6 mg/kg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>omida (2 x ED</w:t>
      </w:r>
      <w:r w:rsidRPr="00230C58">
        <w:rPr>
          <w:noProof/>
          <w:sz w:val="22"/>
          <w:szCs w:val="22"/>
          <w:vertAlign w:val="subscript"/>
          <w:lang w:val="sr-Latn-ME"/>
        </w:rPr>
        <w:t>90</w:t>
      </w:r>
      <w:r w:rsidRPr="00230C58">
        <w:rPr>
          <w:noProof/>
          <w:sz w:val="22"/>
          <w:szCs w:val="22"/>
          <w:lang w:val="sr-Latn-ME"/>
        </w:rPr>
        <w:t xml:space="preserve"> u uslovima intravenske anestezije) postižu se dobri uslovi za intubaciju kod skoro svih pacijenata od kojih su kod 80% uslovi za intubaciju oc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enjeni kao odlični. Opšta mišićna relaksacija odgovarajuća za bilo koju vrstu procedure se postiže tokom 2 minuta. Nakon prim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 xml:space="preserve">ene doze od 0,45 mg/kg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 xml:space="preserve">omida, prihvatljivi uslovi za intubaciju se postižu nakon 90 sekundi. </w:t>
      </w:r>
    </w:p>
    <w:p w14:paraId="19C3B4D4" w14:textId="77777777" w:rsidR="00BC21EA" w:rsidRPr="00230C58" w:rsidRDefault="00BC21EA" w:rsidP="00B805BF">
      <w:pPr>
        <w:jc w:val="both"/>
        <w:rPr>
          <w:noProof/>
          <w:sz w:val="22"/>
          <w:szCs w:val="22"/>
          <w:lang w:val="sr-Latn-ME"/>
        </w:rPr>
      </w:pPr>
    </w:p>
    <w:p w14:paraId="03FCF5AC" w14:textId="77777777" w:rsidR="00BC21EA" w:rsidRPr="00230C58" w:rsidRDefault="00BC21EA" w:rsidP="00B805BF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Brzo uvođenje u anesteziju</w:t>
      </w:r>
    </w:p>
    <w:p w14:paraId="1A6973FF" w14:textId="49D905DB" w:rsidR="00BC21EA" w:rsidRPr="00230C58" w:rsidRDefault="00BC21EA" w:rsidP="00550889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Za vr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eme brzog uvođenja u anesteziju propofolom ili fentanilom/tiopentalom, kod 93% odnosno 96% pacijenata postižu se dobri uslovi za intubaciju tokom 60 sekundi nakon prim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 xml:space="preserve">ene doze od 1,0 mg/kg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>omida, od kojih su kod oko 70% uslovi za intubaciju oc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enjeni kao odlični. Kliničko trajanje dejstva sa ovom dozom је blizu 1 sat i tokom tog vremena može da se obezb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 xml:space="preserve">edi sigurna reverzija neuromuskularnog blоkа. Nakon doze od 0,6 mg/kg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 xml:space="preserve">omida dobri uslovi za intubaciju postižu se unutar 60 sekundi kod 81% i 75% pacijenata tokom brzog uvođenja u anesteziju propofolom ili fentanilom/tiopentalom. </w:t>
      </w:r>
    </w:p>
    <w:p w14:paraId="5A93AD11" w14:textId="77777777" w:rsidR="00BC21EA" w:rsidRPr="00230C58" w:rsidRDefault="00BC21EA" w:rsidP="00B805BF">
      <w:pPr>
        <w:jc w:val="both"/>
        <w:rPr>
          <w:noProof/>
          <w:sz w:val="22"/>
          <w:szCs w:val="22"/>
          <w:u w:val="single"/>
          <w:lang w:val="sr-Latn-ME"/>
        </w:rPr>
      </w:pPr>
    </w:p>
    <w:p w14:paraId="6E633E30" w14:textId="77777777" w:rsidR="00BC21EA" w:rsidRPr="00230C58" w:rsidRDefault="00BC21EA" w:rsidP="00B805BF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Pedijatrijska populacija</w:t>
      </w:r>
    </w:p>
    <w:p w14:paraId="7055AF8C" w14:textId="2FA15872" w:rsidR="00BC21EA" w:rsidRPr="00230C58" w:rsidRDefault="00BC21EA" w:rsidP="00550889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Srednja vr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 xml:space="preserve">ednost vremena početka dejstva kod odojčadi, </w:t>
      </w:r>
      <w:r w:rsidR="00143302" w:rsidRPr="00230C58">
        <w:rPr>
          <w:noProof/>
          <w:sz w:val="22"/>
          <w:szCs w:val="22"/>
          <w:lang w:val="sr-Latn-ME"/>
        </w:rPr>
        <w:t>ml</w:t>
      </w:r>
      <w:r w:rsidRPr="00230C58">
        <w:rPr>
          <w:noProof/>
          <w:sz w:val="22"/>
          <w:szCs w:val="22"/>
          <w:lang w:val="sr-Latn-ME"/>
        </w:rPr>
        <w:t>ađe d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ece i d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ece pri dozi za intubaciju od 0,6 mg/kg je malo manja nego kod odraslih. Poređenja unutar pedijatrijskih starosnih grupa su pokazala da je srednja vr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 xml:space="preserve">ednost vremena početka dejstva kod novorođenčadi i adolescenata (1,0 min) nešto veća nego kod odojčadi, </w:t>
      </w:r>
      <w:r w:rsidR="00143302" w:rsidRPr="00230C58">
        <w:rPr>
          <w:noProof/>
          <w:sz w:val="22"/>
          <w:szCs w:val="22"/>
          <w:lang w:val="sr-Latn-ME"/>
        </w:rPr>
        <w:t>ml</w:t>
      </w:r>
      <w:r w:rsidRPr="00230C58">
        <w:rPr>
          <w:noProof/>
          <w:sz w:val="22"/>
          <w:szCs w:val="22"/>
          <w:lang w:val="sr-Latn-ME"/>
        </w:rPr>
        <w:t>ađe d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ece i d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ece (0,4; 0,6 i 0,8 min). Trajanje relaksacije i vr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eme do oporavka obično su kraći kod d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ece u poređenju sa odojčadi i odraslima. Poređenja unutar pedijatrijskih starosnih grupa pokazuju da je srednja vr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ednost vremena ponovnog javljanja T</w:t>
      </w:r>
      <w:r w:rsidRPr="00230C58">
        <w:rPr>
          <w:noProof/>
          <w:sz w:val="22"/>
          <w:szCs w:val="22"/>
          <w:vertAlign w:val="subscript"/>
          <w:lang w:val="sr-Latn-ME"/>
        </w:rPr>
        <w:t>3</w:t>
      </w:r>
      <w:r w:rsidRPr="00230C58">
        <w:rPr>
          <w:noProof/>
          <w:sz w:val="22"/>
          <w:szCs w:val="22"/>
          <w:lang w:val="sr-Latn-ME"/>
        </w:rPr>
        <w:t xml:space="preserve"> veća kod novorođenčadi i odojčadi (56,7 i 60,7 min) u poređenju sa malom d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ecom, d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 xml:space="preserve">ecom i adolescentima (45,4; 37,6 odnosno 42,9 min). </w:t>
      </w:r>
    </w:p>
    <w:p w14:paraId="223C6E4B" w14:textId="77777777" w:rsidR="00BC21EA" w:rsidRPr="00230C58" w:rsidRDefault="00BC21EA" w:rsidP="00B805BF">
      <w:pPr>
        <w:jc w:val="both"/>
        <w:rPr>
          <w:bCs/>
          <w:noProof/>
          <w:sz w:val="22"/>
          <w:szCs w:val="22"/>
          <w:lang w:val="sr-Latn-ME"/>
        </w:rPr>
      </w:pPr>
    </w:p>
    <w:p w14:paraId="03600466" w14:textId="0B10CE36" w:rsidR="00BC21EA" w:rsidRDefault="00BC21EA" w:rsidP="00B805BF">
      <w:pPr>
        <w:jc w:val="both"/>
        <w:rPr>
          <w:b/>
          <w:noProof/>
          <w:sz w:val="22"/>
          <w:szCs w:val="22"/>
          <w:u w:val="single"/>
          <w:lang w:val="sr-Latn-ME"/>
        </w:rPr>
      </w:pPr>
      <w:r w:rsidRPr="00230C58">
        <w:rPr>
          <w:b/>
          <w:noProof/>
          <w:sz w:val="22"/>
          <w:szCs w:val="22"/>
          <w:lang w:val="sr-Latn-ME"/>
        </w:rPr>
        <w:t>Srednja vr</w:t>
      </w:r>
      <w:r w:rsidR="00AC4E12" w:rsidRPr="00230C58">
        <w:rPr>
          <w:b/>
          <w:noProof/>
          <w:sz w:val="22"/>
          <w:szCs w:val="22"/>
          <w:lang w:val="sr-Latn-ME"/>
        </w:rPr>
        <w:t>ij</w:t>
      </w:r>
      <w:r w:rsidRPr="00230C58">
        <w:rPr>
          <w:b/>
          <w:noProof/>
          <w:sz w:val="22"/>
          <w:szCs w:val="22"/>
          <w:lang w:val="sr-Latn-ME"/>
        </w:rPr>
        <w:t>ednost (SD) vremena početka dejstva i kliničkog trajanja dejstva inicijalne doze za intubaciju* od 0,6 mg/kg</w:t>
      </w:r>
      <w:r w:rsidRPr="00230C58">
        <w:rPr>
          <w:b/>
          <w:noProof/>
          <w:sz w:val="22"/>
          <w:szCs w:val="22"/>
          <w:vertAlign w:val="superscript"/>
          <w:lang w:val="sr-Latn-ME"/>
        </w:rPr>
        <w:t xml:space="preserve"> </w:t>
      </w:r>
      <w:r w:rsidRPr="00230C58">
        <w:rPr>
          <w:b/>
          <w:noProof/>
          <w:sz w:val="22"/>
          <w:szCs w:val="22"/>
          <w:lang w:val="sr-Latn-ME"/>
        </w:rPr>
        <w:t xml:space="preserve">u toku sevofluran/azot-suboksid i izofluran/azot-suboksid (održavanje) anestezije (pedijatrijski pacijenti) </w:t>
      </w:r>
      <w:r w:rsidRPr="00230C58">
        <w:rPr>
          <w:b/>
          <w:noProof/>
          <w:sz w:val="22"/>
          <w:szCs w:val="22"/>
          <w:u w:val="single"/>
          <w:lang w:val="sr-Latn-ME"/>
        </w:rPr>
        <w:t>PP grupa</w:t>
      </w:r>
    </w:p>
    <w:p w14:paraId="1EC3AFC8" w14:textId="31A5C5F9" w:rsidR="009A1C0D" w:rsidRDefault="009A1C0D" w:rsidP="00B805BF">
      <w:pPr>
        <w:jc w:val="both"/>
        <w:rPr>
          <w:b/>
          <w:noProof/>
          <w:sz w:val="22"/>
          <w:szCs w:val="22"/>
          <w:u w:val="single"/>
          <w:lang w:val="sr-Latn-ME"/>
        </w:rPr>
      </w:pPr>
    </w:p>
    <w:p w14:paraId="3FA8BBE5" w14:textId="77777777" w:rsidR="009A1C0D" w:rsidRPr="00230C58" w:rsidRDefault="009A1C0D" w:rsidP="00B805BF">
      <w:pPr>
        <w:jc w:val="both"/>
        <w:rPr>
          <w:b/>
          <w:noProof/>
          <w:sz w:val="22"/>
          <w:szCs w:val="22"/>
          <w:lang w:val="sr-Latn-ME"/>
        </w:rPr>
      </w:pPr>
    </w:p>
    <w:p w14:paraId="159565AB" w14:textId="77777777" w:rsidR="00BC21EA" w:rsidRPr="00230C58" w:rsidRDefault="00BC21EA" w:rsidP="00B805BF">
      <w:pPr>
        <w:jc w:val="both"/>
        <w:rPr>
          <w:noProof/>
          <w:sz w:val="22"/>
          <w:szCs w:val="22"/>
          <w:lang w:val="sr-Latn-ME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5"/>
        <w:gridCol w:w="3035"/>
        <w:gridCol w:w="3035"/>
      </w:tblGrid>
      <w:tr w:rsidR="00BC21EA" w:rsidRPr="00230C58" w14:paraId="19DD1D7B" w14:textId="77777777" w:rsidTr="00B805BF">
        <w:trPr>
          <w:trHeight w:val="914"/>
        </w:trPr>
        <w:tc>
          <w:tcPr>
            <w:tcW w:w="3035" w:type="dxa"/>
            <w:shd w:val="clear" w:color="auto" w:fill="auto"/>
          </w:tcPr>
          <w:p w14:paraId="1F6A15D5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3035" w:type="dxa"/>
            <w:shd w:val="clear" w:color="auto" w:fill="auto"/>
          </w:tcPr>
          <w:p w14:paraId="43D45582" w14:textId="4FCB2CDD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Vr</w:t>
            </w:r>
            <w:r w:rsidR="00AC4E12" w:rsidRPr="00230C58">
              <w:rPr>
                <w:noProof/>
                <w:sz w:val="22"/>
                <w:szCs w:val="22"/>
                <w:lang w:val="sr-Latn-ME"/>
              </w:rPr>
              <w:t>ij</w:t>
            </w:r>
            <w:r w:rsidRPr="00230C58">
              <w:rPr>
                <w:noProof/>
                <w:sz w:val="22"/>
                <w:szCs w:val="22"/>
                <w:lang w:val="sr-Latn-ME"/>
              </w:rPr>
              <w:t>eme do maksimalnog bloka**</w:t>
            </w:r>
          </w:p>
          <w:p w14:paraId="43E140DB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(min)</w:t>
            </w:r>
          </w:p>
        </w:tc>
        <w:tc>
          <w:tcPr>
            <w:tcW w:w="3035" w:type="dxa"/>
            <w:shd w:val="clear" w:color="auto" w:fill="auto"/>
          </w:tcPr>
          <w:p w14:paraId="3381E93A" w14:textId="4A426284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Vr</w:t>
            </w:r>
            <w:r w:rsidR="00AC4E12" w:rsidRPr="00230C58">
              <w:rPr>
                <w:noProof/>
                <w:sz w:val="22"/>
                <w:szCs w:val="22"/>
                <w:lang w:val="sr-Latn-ME"/>
              </w:rPr>
              <w:t>ij</w:t>
            </w:r>
            <w:r w:rsidRPr="00230C58">
              <w:rPr>
                <w:noProof/>
                <w:sz w:val="22"/>
                <w:szCs w:val="22"/>
                <w:lang w:val="sr-Latn-ME"/>
              </w:rPr>
              <w:t>eme do ponovnog javljanja T</w:t>
            </w:r>
            <w:r w:rsidRPr="00230C58">
              <w:rPr>
                <w:noProof/>
                <w:sz w:val="22"/>
                <w:szCs w:val="22"/>
                <w:vertAlign w:val="subscript"/>
                <w:lang w:val="sr-Latn-ME"/>
              </w:rPr>
              <w:t>3</w:t>
            </w:r>
            <w:r w:rsidRPr="00230C58">
              <w:rPr>
                <w:noProof/>
                <w:sz w:val="22"/>
                <w:szCs w:val="22"/>
                <w:lang w:val="sr-Latn-ME"/>
              </w:rPr>
              <w:t>**</w:t>
            </w:r>
            <w:r w:rsidRPr="00230C58" w:rsidDel="00CE4724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230C58">
              <w:rPr>
                <w:noProof/>
                <w:sz w:val="22"/>
                <w:szCs w:val="22"/>
                <w:lang w:val="sr-Latn-ME"/>
              </w:rPr>
              <w:t>(min)</w:t>
            </w:r>
          </w:p>
        </w:tc>
      </w:tr>
      <w:tr w:rsidR="00BC21EA" w:rsidRPr="00230C58" w14:paraId="33766001" w14:textId="77777777" w:rsidTr="00B805BF">
        <w:trPr>
          <w:trHeight w:val="914"/>
        </w:trPr>
        <w:tc>
          <w:tcPr>
            <w:tcW w:w="3035" w:type="dxa"/>
            <w:shd w:val="clear" w:color="auto" w:fill="auto"/>
          </w:tcPr>
          <w:p w14:paraId="52C0AF21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Novorođenčad (0-27 dana)</w:t>
            </w:r>
          </w:p>
          <w:p w14:paraId="450B6EB6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n=10</w:t>
            </w:r>
          </w:p>
        </w:tc>
        <w:tc>
          <w:tcPr>
            <w:tcW w:w="3035" w:type="dxa"/>
            <w:shd w:val="clear" w:color="auto" w:fill="auto"/>
          </w:tcPr>
          <w:p w14:paraId="62A32145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0,98 (0,62)</w:t>
            </w:r>
          </w:p>
        </w:tc>
        <w:tc>
          <w:tcPr>
            <w:tcW w:w="3035" w:type="dxa"/>
            <w:shd w:val="clear" w:color="auto" w:fill="auto"/>
          </w:tcPr>
          <w:p w14:paraId="27403626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56,69 (37,04)</w:t>
            </w:r>
          </w:p>
          <w:p w14:paraId="656A20BA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n=9</w:t>
            </w:r>
          </w:p>
        </w:tc>
      </w:tr>
      <w:tr w:rsidR="00BC21EA" w:rsidRPr="00230C58" w14:paraId="49B62117" w14:textId="77777777" w:rsidTr="00B805BF">
        <w:trPr>
          <w:trHeight w:val="914"/>
        </w:trPr>
        <w:tc>
          <w:tcPr>
            <w:tcW w:w="3035" w:type="dxa"/>
            <w:shd w:val="clear" w:color="auto" w:fill="auto"/>
          </w:tcPr>
          <w:p w14:paraId="5F4DD76F" w14:textId="5BCADBF0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 xml:space="preserve">Odojčad (28 dana-2 </w:t>
            </w:r>
            <w:r w:rsidR="00DB7D68" w:rsidRPr="00230C58">
              <w:rPr>
                <w:noProof/>
                <w:sz w:val="22"/>
                <w:szCs w:val="22"/>
                <w:lang w:val="sr-Latn-ME"/>
              </w:rPr>
              <w:t>mjesec</w:t>
            </w:r>
            <w:r w:rsidRPr="00230C58">
              <w:rPr>
                <w:noProof/>
                <w:sz w:val="22"/>
                <w:szCs w:val="22"/>
                <w:lang w:val="sr-Latn-ME"/>
              </w:rPr>
              <w:t>a)</w:t>
            </w:r>
          </w:p>
          <w:p w14:paraId="484EABB2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n=11</w:t>
            </w:r>
          </w:p>
        </w:tc>
        <w:tc>
          <w:tcPr>
            <w:tcW w:w="3035" w:type="dxa"/>
            <w:shd w:val="clear" w:color="auto" w:fill="auto"/>
          </w:tcPr>
          <w:p w14:paraId="0D1D947F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0,44 (0,19)</w:t>
            </w:r>
          </w:p>
          <w:p w14:paraId="42D694E4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n=10</w:t>
            </w:r>
          </w:p>
        </w:tc>
        <w:tc>
          <w:tcPr>
            <w:tcW w:w="3035" w:type="dxa"/>
            <w:shd w:val="clear" w:color="auto" w:fill="auto"/>
          </w:tcPr>
          <w:p w14:paraId="3D1AD6FB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60,71 (16,52)</w:t>
            </w:r>
          </w:p>
        </w:tc>
      </w:tr>
      <w:tr w:rsidR="00BC21EA" w:rsidRPr="00230C58" w14:paraId="5D8DBD06" w14:textId="77777777" w:rsidTr="00B805BF">
        <w:trPr>
          <w:trHeight w:val="914"/>
        </w:trPr>
        <w:tc>
          <w:tcPr>
            <w:tcW w:w="3035" w:type="dxa"/>
            <w:shd w:val="clear" w:color="auto" w:fill="auto"/>
          </w:tcPr>
          <w:p w14:paraId="6B205B40" w14:textId="77D5A66A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Mala d</w:t>
            </w:r>
            <w:r w:rsidR="00AC4E12" w:rsidRPr="00230C58">
              <w:rPr>
                <w:noProof/>
                <w:sz w:val="22"/>
                <w:szCs w:val="22"/>
                <w:lang w:val="sr-Latn-ME"/>
              </w:rPr>
              <w:t>j</w:t>
            </w:r>
            <w:r w:rsidRPr="00230C58">
              <w:rPr>
                <w:noProof/>
                <w:sz w:val="22"/>
                <w:szCs w:val="22"/>
                <w:lang w:val="sr-Latn-ME"/>
              </w:rPr>
              <w:t xml:space="preserve">eca (3 </w:t>
            </w:r>
            <w:r w:rsidR="00DB7D68" w:rsidRPr="00230C58">
              <w:rPr>
                <w:noProof/>
                <w:sz w:val="22"/>
                <w:szCs w:val="22"/>
                <w:lang w:val="sr-Latn-ME"/>
              </w:rPr>
              <w:t>mjesec</w:t>
            </w:r>
            <w:r w:rsidRPr="00230C58">
              <w:rPr>
                <w:noProof/>
                <w:sz w:val="22"/>
                <w:szCs w:val="22"/>
                <w:lang w:val="sr-Latn-ME"/>
              </w:rPr>
              <w:t xml:space="preserve">a-23 </w:t>
            </w:r>
            <w:r w:rsidR="00DB7D68" w:rsidRPr="00230C58">
              <w:rPr>
                <w:noProof/>
                <w:sz w:val="22"/>
                <w:szCs w:val="22"/>
                <w:lang w:val="sr-Latn-ME"/>
              </w:rPr>
              <w:t>mjesec</w:t>
            </w:r>
            <w:r w:rsidRPr="00230C58">
              <w:rPr>
                <w:noProof/>
                <w:sz w:val="22"/>
                <w:szCs w:val="22"/>
                <w:lang w:val="sr-Latn-ME"/>
              </w:rPr>
              <w:t>a)</w:t>
            </w:r>
          </w:p>
          <w:p w14:paraId="535995AB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n=28</w:t>
            </w:r>
          </w:p>
        </w:tc>
        <w:tc>
          <w:tcPr>
            <w:tcW w:w="3035" w:type="dxa"/>
            <w:shd w:val="clear" w:color="auto" w:fill="auto"/>
          </w:tcPr>
          <w:p w14:paraId="2ECF9EDC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0,59 (0,27)</w:t>
            </w:r>
          </w:p>
        </w:tc>
        <w:tc>
          <w:tcPr>
            <w:tcW w:w="3035" w:type="dxa"/>
            <w:shd w:val="clear" w:color="auto" w:fill="auto"/>
          </w:tcPr>
          <w:p w14:paraId="6E0E1A50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45,46 (12,94)</w:t>
            </w:r>
          </w:p>
          <w:p w14:paraId="2E145857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n=27</w:t>
            </w:r>
          </w:p>
        </w:tc>
      </w:tr>
      <w:tr w:rsidR="00BC21EA" w:rsidRPr="00230C58" w14:paraId="6E25B99A" w14:textId="77777777" w:rsidTr="00B805BF">
        <w:trPr>
          <w:trHeight w:val="914"/>
        </w:trPr>
        <w:tc>
          <w:tcPr>
            <w:tcW w:w="3035" w:type="dxa"/>
            <w:shd w:val="clear" w:color="auto" w:fill="auto"/>
          </w:tcPr>
          <w:p w14:paraId="21996A98" w14:textId="5C95051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D</w:t>
            </w:r>
            <w:r w:rsidR="00AC4E12" w:rsidRPr="00230C58">
              <w:rPr>
                <w:noProof/>
                <w:sz w:val="22"/>
                <w:szCs w:val="22"/>
                <w:lang w:val="sr-Latn-ME"/>
              </w:rPr>
              <w:t>j</w:t>
            </w:r>
            <w:r w:rsidRPr="00230C58">
              <w:rPr>
                <w:noProof/>
                <w:sz w:val="22"/>
                <w:szCs w:val="22"/>
                <w:lang w:val="sr-Latn-ME"/>
              </w:rPr>
              <w:t>eca (2-11 godina)</w:t>
            </w:r>
          </w:p>
          <w:p w14:paraId="159B13C6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n=34</w:t>
            </w:r>
          </w:p>
        </w:tc>
        <w:tc>
          <w:tcPr>
            <w:tcW w:w="3035" w:type="dxa"/>
            <w:shd w:val="clear" w:color="auto" w:fill="auto"/>
          </w:tcPr>
          <w:p w14:paraId="79526280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0,84 (0,29)</w:t>
            </w:r>
          </w:p>
        </w:tc>
        <w:tc>
          <w:tcPr>
            <w:tcW w:w="3035" w:type="dxa"/>
            <w:shd w:val="clear" w:color="auto" w:fill="auto"/>
          </w:tcPr>
          <w:p w14:paraId="6899C4F4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37,58 (11,82)</w:t>
            </w:r>
          </w:p>
        </w:tc>
      </w:tr>
      <w:tr w:rsidR="00BC21EA" w:rsidRPr="00230C58" w14:paraId="63850A0A" w14:textId="77777777" w:rsidTr="00B805BF">
        <w:trPr>
          <w:trHeight w:val="914"/>
        </w:trPr>
        <w:tc>
          <w:tcPr>
            <w:tcW w:w="3035" w:type="dxa"/>
            <w:shd w:val="clear" w:color="auto" w:fill="auto"/>
          </w:tcPr>
          <w:p w14:paraId="384E378A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Adolescenti (12-17 godina)</w:t>
            </w:r>
          </w:p>
          <w:p w14:paraId="2BB586DF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n=31</w:t>
            </w:r>
          </w:p>
        </w:tc>
        <w:tc>
          <w:tcPr>
            <w:tcW w:w="3035" w:type="dxa"/>
            <w:shd w:val="clear" w:color="auto" w:fill="auto"/>
          </w:tcPr>
          <w:p w14:paraId="6E03D567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0,98 (0,38)</w:t>
            </w:r>
          </w:p>
        </w:tc>
        <w:tc>
          <w:tcPr>
            <w:tcW w:w="3035" w:type="dxa"/>
            <w:shd w:val="clear" w:color="auto" w:fill="auto"/>
          </w:tcPr>
          <w:p w14:paraId="241EB9B2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42,90 (15,83)</w:t>
            </w:r>
          </w:p>
          <w:p w14:paraId="49C69D15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n=30</w:t>
            </w:r>
          </w:p>
        </w:tc>
      </w:tr>
    </w:tbl>
    <w:p w14:paraId="01DF128E" w14:textId="3ED1907C" w:rsidR="00BC21EA" w:rsidRPr="00230C58" w:rsidRDefault="00BC21EA" w:rsidP="00B805BF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* Doza rokuronijuma prim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enjena tokom 5 sekundi.</w:t>
      </w:r>
    </w:p>
    <w:p w14:paraId="65D77ACB" w14:textId="1DA057EA" w:rsidR="00BC21EA" w:rsidRPr="00230C58" w:rsidRDefault="00BC21EA" w:rsidP="00B805BF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** Računato od kraja prim</w:t>
      </w:r>
      <w:r w:rsidR="00AC4E12" w:rsidRPr="00230C58">
        <w:rPr>
          <w:noProof/>
          <w:sz w:val="22"/>
          <w:szCs w:val="22"/>
          <w:lang w:val="sr-Latn-ME"/>
        </w:rPr>
        <w:t>je</w:t>
      </w:r>
      <w:r w:rsidRPr="00230C58">
        <w:rPr>
          <w:noProof/>
          <w:sz w:val="22"/>
          <w:szCs w:val="22"/>
          <w:lang w:val="sr-Latn-ME"/>
        </w:rPr>
        <w:t>ne doze rokuronijuma za intubaciju</w:t>
      </w:r>
    </w:p>
    <w:p w14:paraId="168EBA35" w14:textId="77777777" w:rsidR="00BC21EA" w:rsidRPr="00230C58" w:rsidRDefault="00BC21EA" w:rsidP="00B805BF">
      <w:pPr>
        <w:jc w:val="both"/>
        <w:rPr>
          <w:noProof/>
          <w:sz w:val="22"/>
          <w:szCs w:val="22"/>
          <w:lang w:val="sr-Latn-ME"/>
        </w:rPr>
      </w:pPr>
    </w:p>
    <w:p w14:paraId="7C8A426A" w14:textId="77777777" w:rsidR="00BC21EA" w:rsidRPr="00230C58" w:rsidRDefault="00BC21EA" w:rsidP="00550889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Gerijatrijski pacijenti i pacijenti sa oboljenjem jetre i/ili bilijarnog trakta i/ili bubrežnom insuficijencijom</w:t>
      </w:r>
    </w:p>
    <w:p w14:paraId="5F22E16E" w14:textId="6BC7391E" w:rsidR="00BC21EA" w:rsidRPr="00230C58" w:rsidRDefault="00BC21EA" w:rsidP="00550889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 xml:space="preserve">Trajanje dejstva doze održavanja od 0,15 mg/kg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>omida, kada se za anesteziju koriste enfluran i izofluran, može biti nešto duže kod gerijatrijskih pacijenata i pacijenata sa oboljenjem jetre i/ili bubrega (približno 20 minuta) nego kod pacijenata bez oštećenja funkcije ekskretornih organa u uslovima intravenske anestezije (približno 13 minuta) (</w:t>
      </w:r>
      <w:r w:rsidR="00B2737E" w:rsidRPr="00230C58">
        <w:rPr>
          <w:noProof/>
          <w:sz w:val="22"/>
          <w:szCs w:val="22"/>
          <w:lang w:val="sr-Latn-ME"/>
        </w:rPr>
        <w:t>vidjeti</w:t>
      </w:r>
      <w:r w:rsidRPr="00230C58">
        <w:rPr>
          <w:noProof/>
          <w:sz w:val="22"/>
          <w:szCs w:val="22"/>
          <w:lang w:val="sr-Latn-ME"/>
        </w:rPr>
        <w:t xml:space="preserve"> </w:t>
      </w:r>
      <w:r w:rsidR="00DB7D68" w:rsidRPr="00230C58">
        <w:rPr>
          <w:noProof/>
          <w:sz w:val="22"/>
          <w:szCs w:val="22"/>
          <w:lang w:val="sr-Latn-ME"/>
        </w:rPr>
        <w:t>dio</w:t>
      </w:r>
      <w:r w:rsidRPr="00230C58">
        <w:rPr>
          <w:noProof/>
          <w:sz w:val="22"/>
          <w:szCs w:val="22"/>
          <w:lang w:val="sr-Latn-ME"/>
        </w:rPr>
        <w:t xml:space="preserve"> 4.2). Nije </w:t>
      </w:r>
      <w:r w:rsidR="00C673B6" w:rsidRPr="00230C58">
        <w:rPr>
          <w:noProof/>
          <w:sz w:val="22"/>
          <w:szCs w:val="22"/>
          <w:lang w:val="sr-Latn-ME"/>
        </w:rPr>
        <w:t>zabilježen</w:t>
      </w:r>
      <w:r w:rsidRPr="00230C58">
        <w:rPr>
          <w:noProof/>
          <w:sz w:val="22"/>
          <w:szCs w:val="22"/>
          <w:lang w:val="sr-Latn-ME"/>
        </w:rPr>
        <w:t xml:space="preserve"> kumulativni efekat (progresivno povećanje dužine trajanja dejstva) sa ponovljenim dozama održavanja na preporučenom nivou. </w:t>
      </w:r>
    </w:p>
    <w:p w14:paraId="582F1BCA" w14:textId="77777777" w:rsidR="00BC21EA" w:rsidRPr="00230C58" w:rsidRDefault="00BC21EA" w:rsidP="00550889">
      <w:pPr>
        <w:jc w:val="both"/>
        <w:rPr>
          <w:noProof/>
          <w:sz w:val="22"/>
          <w:szCs w:val="22"/>
          <w:lang w:val="sr-Latn-ME"/>
        </w:rPr>
      </w:pPr>
    </w:p>
    <w:p w14:paraId="224A04A1" w14:textId="2B597823" w:rsidR="00BC21EA" w:rsidRPr="00230C58" w:rsidRDefault="00BC21EA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Jedinica intenzivne n</w:t>
      </w:r>
      <w:r w:rsidR="00AC4E12" w:rsidRPr="00230C58">
        <w:rPr>
          <w:noProof/>
          <w:sz w:val="22"/>
          <w:szCs w:val="22"/>
          <w:u w:val="single"/>
          <w:lang w:val="sr-Latn-ME"/>
        </w:rPr>
        <w:t>j</w:t>
      </w:r>
      <w:r w:rsidRPr="00230C58">
        <w:rPr>
          <w:noProof/>
          <w:sz w:val="22"/>
          <w:szCs w:val="22"/>
          <w:u w:val="single"/>
          <w:lang w:val="sr-Latn-ME"/>
        </w:rPr>
        <w:t>ege</w:t>
      </w:r>
    </w:p>
    <w:p w14:paraId="0CA04BB7" w14:textId="308B8BB8" w:rsidR="00BC21EA" w:rsidRPr="00230C58" w:rsidRDefault="00BC21EA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Posl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 prim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ene kontinuirane infuzije u jedinici intenziv</w:t>
      </w:r>
      <w:r w:rsidR="00AC4E12" w:rsidRPr="00230C58">
        <w:rPr>
          <w:noProof/>
          <w:sz w:val="22"/>
          <w:szCs w:val="22"/>
          <w:lang w:val="sr-Latn-ME"/>
        </w:rPr>
        <w:t>n</w:t>
      </w:r>
      <w:r w:rsidRPr="00230C58">
        <w:rPr>
          <w:noProof/>
          <w:sz w:val="22"/>
          <w:szCs w:val="22"/>
          <w:lang w:val="sr-Latn-ME"/>
        </w:rPr>
        <w:t>e n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еgе, vr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eme oporavka TOF odnosa do 0,7 zavisi od stepena neuromuskularnog bloka na kraju infuzije. Nakon kontinuirane infuzije od 20 i više sati, medijana (raspon) vremena između povratka na T</w:t>
      </w:r>
      <w:r w:rsidRPr="00230C58">
        <w:rPr>
          <w:noProof/>
          <w:sz w:val="22"/>
          <w:szCs w:val="22"/>
          <w:vertAlign w:val="subscript"/>
          <w:lang w:val="sr-Latn-ME"/>
        </w:rPr>
        <w:t>2</w:t>
      </w:r>
      <w:r w:rsidRPr="00230C58">
        <w:rPr>
          <w:noProof/>
          <w:sz w:val="22"/>
          <w:szCs w:val="22"/>
          <w:lang w:val="sr-Latn-ME"/>
        </w:rPr>
        <w:t xml:space="preserve"> od TOF stimulacije i oporavka TOF odnosa do 0,7 iznosi približno 1,5 sat (1-5 sati) kod pacijenata bez multiple organske insuficijencije, a kod pacijenata sa multiplom organskom insuficijencijom to vr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eme iznosi 4 sata (1-25 sati).</w:t>
      </w:r>
    </w:p>
    <w:p w14:paraId="7C8559EF" w14:textId="77777777" w:rsidR="00BC21EA" w:rsidRPr="00230C58" w:rsidRDefault="00BC21EA">
      <w:pPr>
        <w:jc w:val="both"/>
        <w:rPr>
          <w:noProof/>
          <w:sz w:val="22"/>
          <w:szCs w:val="22"/>
          <w:lang w:val="sr-Latn-ME"/>
        </w:rPr>
      </w:pPr>
    </w:p>
    <w:p w14:paraId="22D81758" w14:textId="77777777" w:rsidR="00BC21EA" w:rsidRPr="00230C58" w:rsidRDefault="00BC21EA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Kardiovaskularna hirurgija</w:t>
      </w:r>
    </w:p>
    <w:p w14:paraId="570445A3" w14:textId="54E7312D" w:rsidR="00BC21EA" w:rsidRPr="00230C58" w:rsidRDefault="00BC21EA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Kod pacijenata, koji se podvrgavaju kardiovaskularnim hirurškim intervencijama, najčešće kardiovaskularne prom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ene tokom nastanka maksimalnog bloka, nakon prim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 xml:space="preserve">ene doza od 0,6 do 0,9 mg/kg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>omida, su blago i klinički beznačajno povećanje srčane frekvence do 9%, i povećanje srednjeg arterijskog krvnog pritiska do 16% u odnosu na kontrolne vr</w:t>
      </w:r>
      <w:r w:rsidR="00AC4E12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ednosti.</w:t>
      </w:r>
    </w:p>
    <w:p w14:paraId="59F060AB" w14:textId="77777777" w:rsidR="00BC21EA" w:rsidRPr="00230C58" w:rsidRDefault="00BC21EA">
      <w:pPr>
        <w:jc w:val="both"/>
        <w:rPr>
          <w:noProof/>
          <w:sz w:val="22"/>
          <w:szCs w:val="22"/>
          <w:lang w:val="sr-Latn-ME"/>
        </w:rPr>
      </w:pPr>
    </w:p>
    <w:p w14:paraId="75B973E2" w14:textId="77777777" w:rsidR="00BC21EA" w:rsidRPr="00230C58" w:rsidRDefault="00BC21EA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Reverzija mišićne relaksacije</w:t>
      </w:r>
    </w:p>
    <w:p w14:paraId="33D2F615" w14:textId="2DFBCB16" w:rsidR="00BC21EA" w:rsidRPr="00230C58" w:rsidRDefault="00BC21EA">
      <w:pPr>
        <w:jc w:val="both"/>
        <w:rPr>
          <w:noProof/>
          <w:sz w:val="22"/>
          <w:szCs w:val="22"/>
          <w:lang w:val="sr-Latn-ME"/>
        </w:rPr>
      </w:pPr>
      <w:bookmarkStart w:id="4" w:name="OLE_LINK1"/>
      <w:bookmarkStart w:id="5" w:name="OLE_LINK2"/>
      <w:r w:rsidRPr="00230C58">
        <w:rPr>
          <w:noProof/>
          <w:sz w:val="22"/>
          <w:szCs w:val="22"/>
          <w:lang w:val="sr-Latn-ME"/>
        </w:rPr>
        <w:t>Prim</w:t>
      </w:r>
      <w:r w:rsidR="00AC4E12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ena inhibitora acetilholinesteraze (neostigmin, piridostigmin ili edrofonijum) pri ponovnom javljanju T</w:t>
      </w:r>
      <w:r w:rsidRPr="00230C58">
        <w:rPr>
          <w:noProof/>
          <w:sz w:val="22"/>
          <w:szCs w:val="22"/>
          <w:vertAlign w:val="subscript"/>
          <w:lang w:val="sr-Latn-ME"/>
        </w:rPr>
        <w:t>2</w:t>
      </w:r>
      <w:r w:rsidRPr="00230C58">
        <w:rPr>
          <w:noProof/>
          <w:sz w:val="22"/>
          <w:szCs w:val="22"/>
          <w:lang w:val="sr-Latn-ME"/>
        </w:rPr>
        <w:t xml:space="preserve"> ili pri prvim znacima kliničkog oporavka antagonizuje dejstvo</w:t>
      </w:r>
      <w:r w:rsidR="00C673B6" w:rsidRPr="00230C58">
        <w:rPr>
          <w:noProof/>
          <w:sz w:val="22"/>
          <w:szCs w:val="22"/>
          <w:lang w:val="sr-Latn-ME"/>
        </w:rPr>
        <w:t xml:space="preserve"> lijeka </w:t>
      </w:r>
      <w:r w:rsidRPr="00230C58">
        <w:rPr>
          <w:noProof/>
          <w:sz w:val="22"/>
          <w:szCs w:val="22"/>
          <w:lang w:val="sr-Latn-ME"/>
        </w:rPr>
        <w:t>ESMERON.</w:t>
      </w:r>
      <w:bookmarkEnd w:id="4"/>
      <w:bookmarkEnd w:id="5"/>
    </w:p>
    <w:p w14:paraId="43B87639" w14:textId="77777777" w:rsidR="002E37A5" w:rsidRPr="00230C58" w:rsidRDefault="002E37A5" w:rsidP="00B805B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69C5103" w14:textId="77777777" w:rsidR="0072020E" w:rsidRPr="00230C58" w:rsidRDefault="0072020E" w:rsidP="00B805B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30C58">
        <w:rPr>
          <w:b/>
          <w:bCs/>
          <w:sz w:val="22"/>
          <w:szCs w:val="22"/>
          <w:lang w:val="sr-Latn-ME"/>
        </w:rPr>
        <w:t xml:space="preserve">5.2. </w:t>
      </w:r>
      <w:r w:rsidR="00480FB1" w:rsidRPr="00230C58">
        <w:rPr>
          <w:b/>
          <w:bCs/>
          <w:sz w:val="22"/>
          <w:szCs w:val="22"/>
          <w:lang w:val="sr-Latn-ME"/>
        </w:rPr>
        <w:tab/>
      </w:r>
      <w:proofErr w:type="spellStart"/>
      <w:r w:rsidRPr="00230C58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230C58">
        <w:rPr>
          <w:b/>
          <w:bCs/>
          <w:sz w:val="22"/>
          <w:szCs w:val="22"/>
          <w:lang w:val="sr-Latn-ME"/>
        </w:rPr>
        <w:t xml:space="preserve"> podaci</w:t>
      </w:r>
      <w:r w:rsidR="003A7059" w:rsidRPr="00230C58">
        <w:rPr>
          <w:b/>
          <w:bCs/>
          <w:sz w:val="22"/>
          <w:szCs w:val="22"/>
          <w:lang w:val="sr-Latn-ME"/>
        </w:rPr>
        <w:t xml:space="preserve"> </w:t>
      </w:r>
    </w:p>
    <w:p w14:paraId="05DC8D93" w14:textId="3AA0ED61" w:rsidR="0072020E" w:rsidRPr="00230C58" w:rsidRDefault="0072020E" w:rsidP="00B805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C1C7E90" w14:textId="48335833" w:rsidR="00BC21EA" w:rsidRPr="00230C58" w:rsidRDefault="00BC21EA" w:rsidP="00550889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Nakon intravenske prim</w:t>
      </w:r>
      <w:r w:rsidR="00D172FF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 xml:space="preserve">ene pojedinačne bolus doze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>omida prom</w:t>
      </w:r>
      <w:r w:rsidR="00D172FF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ena koncentracije u plazmi u funkciji vremena odvija se u tri eksponencijalne faze. Kod zdravih odraslih osoba srednja vr</w:t>
      </w:r>
      <w:r w:rsidR="00D172FF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 xml:space="preserve">ednost (95% CI) poluvremena eliminacije iznosi 73 minuta (66 - 80 minuta), (prividni) volumen </w:t>
      </w:r>
      <w:r w:rsidRPr="00230C58">
        <w:rPr>
          <w:noProof/>
          <w:sz w:val="22"/>
          <w:szCs w:val="22"/>
          <w:lang w:val="sr-Latn-ME"/>
        </w:rPr>
        <w:lastRenderedPageBreak/>
        <w:t xml:space="preserve">distribucije u uslovima stanja ravnoteže iznosi 203 (193 - 214) </w:t>
      </w:r>
      <w:r w:rsidR="00143302" w:rsidRPr="00230C58">
        <w:rPr>
          <w:noProof/>
          <w:sz w:val="22"/>
          <w:szCs w:val="22"/>
          <w:lang w:val="sr-Latn-ME"/>
        </w:rPr>
        <w:t>ml</w:t>
      </w:r>
      <w:r w:rsidRPr="00230C58">
        <w:rPr>
          <w:noProof/>
          <w:sz w:val="22"/>
          <w:szCs w:val="22"/>
          <w:lang w:val="sr-Latn-ME"/>
        </w:rPr>
        <w:t xml:space="preserve">/kg, a klirens iz plazme iznosi 3,7 (3,5 – 3,9) </w:t>
      </w:r>
      <w:r w:rsidR="00143302" w:rsidRPr="00230C58">
        <w:rPr>
          <w:noProof/>
          <w:sz w:val="22"/>
          <w:szCs w:val="22"/>
          <w:lang w:val="sr-Latn-ME"/>
        </w:rPr>
        <w:t>ml</w:t>
      </w:r>
      <w:r w:rsidRPr="00230C58">
        <w:rPr>
          <w:noProof/>
          <w:sz w:val="22"/>
          <w:szCs w:val="22"/>
          <w:lang w:val="sr-Latn-ME"/>
        </w:rPr>
        <w:t>/kg/min.</w:t>
      </w:r>
    </w:p>
    <w:p w14:paraId="5C303101" w14:textId="77777777" w:rsidR="00BC21EA" w:rsidRPr="00230C58" w:rsidRDefault="00BC21EA" w:rsidP="00B805BF">
      <w:pPr>
        <w:jc w:val="both"/>
        <w:rPr>
          <w:noProof/>
          <w:sz w:val="22"/>
          <w:szCs w:val="22"/>
          <w:lang w:val="sr-Latn-ME"/>
        </w:rPr>
      </w:pPr>
    </w:p>
    <w:p w14:paraId="3FD4D346" w14:textId="74CB7E88" w:rsidR="00BC21EA" w:rsidRPr="00230C58" w:rsidDel="00706960" w:rsidRDefault="00BC21EA" w:rsidP="00550889">
      <w:pPr>
        <w:jc w:val="both"/>
        <w:rPr>
          <w:noProof/>
          <w:sz w:val="22"/>
          <w:szCs w:val="22"/>
          <w:lang w:val="sr-Latn-ME"/>
        </w:rPr>
      </w:pPr>
      <w:r w:rsidRPr="00230C58" w:rsidDel="00706960">
        <w:rPr>
          <w:noProof/>
          <w:sz w:val="22"/>
          <w:szCs w:val="22"/>
          <w:lang w:val="sr-Latn-ME"/>
        </w:rPr>
        <w:t xml:space="preserve">Rokuronijum se izlučuje putem urina i putem žuči. Izlučivanje putem urina unutar 12 do 24 sata </w:t>
      </w:r>
      <w:r w:rsidRPr="00230C58">
        <w:rPr>
          <w:noProof/>
          <w:sz w:val="22"/>
          <w:szCs w:val="22"/>
          <w:lang w:val="sr-Latn-ME"/>
        </w:rPr>
        <w:t>iznosi blizu</w:t>
      </w:r>
      <w:r w:rsidRPr="00230C58" w:rsidDel="00706960">
        <w:rPr>
          <w:noProof/>
          <w:sz w:val="22"/>
          <w:szCs w:val="22"/>
          <w:lang w:val="sr-Latn-ME"/>
        </w:rPr>
        <w:t xml:space="preserve"> 40%. Posle ubrizgavanja </w:t>
      </w:r>
      <w:r w:rsidRPr="00230C58">
        <w:rPr>
          <w:noProof/>
          <w:sz w:val="22"/>
          <w:szCs w:val="22"/>
          <w:lang w:val="sr-Latn-ME"/>
        </w:rPr>
        <w:t xml:space="preserve">radioaktivno </w:t>
      </w:r>
      <w:r w:rsidRPr="00230C58" w:rsidDel="00706960">
        <w:rPr>
          <w:noProof/>
          <w:sz w:val="22"/>
          <w:szCs w:val="22"/>
          <w:lang w:val="sr-Latn-ME"/>
        </w:rPr>
        <w:t>ob</w:t>
      </w:r>
      <w:r w:rsidR="00D172FF" w:rsidRPr="00230C58">
        <w:rPr>
          <w:noProof/>
          <w:sz w:val="22"/>
          <w:szCs w:val="22"/>
          <w:lang w:val="sr-Latn-ME"/>
        </w:rPr>
        <w:t>ilj</w:t>
      </w:r>
      <w:r w:rsidRPr="00230C58" w:rsidDel="00706960">
        <w:rPr>
          <w:noProof/>
          <w:sz w:val="22"/>
          <w:szCs w:val="22"/>
          <w:lang w:val="sr-Latn-ME"/>
        </w:rPr>
        <w:t>ežen</w:t>
      </w:r>
      <w:r w:rsidRPr="00230C58">
        <w:rPr>
          <w:noProof/>
          <w:sz w:val="22"/>
          <w:szCs w:val="22"/>
          <w:lang w:val="sr-Latn-ME"/>
        </w:rPr>
        <w:t>e doze</w:t>
      </w:r>
      <w:r w:rsidRPr="00230C58" w:rsidDel="00706960">
        <w:rPr>
          <w:noProof/>
          <w:sz w:val="22"/>
          <w:szCs w:val="22"/>
          <w:lang w:val="sr-Latn-ME"/>
        </w:rPr>
        <w:t xml:space="preserve">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 w:rsidDel="00706960">
        <w:rPr>
          <w:noProof/>
          <w:sz w:val="22"/>
          <w:szCs w:val="22"/>
          <w:lang w:val="sr-Latn-ME"/>
        </w:rPr>
        <w:t>omida, posl</w:t>
      </w:r>
      <w:r w:rsidR="00D172FF" w:rsidRPr="00230C58">
        <w:rPr>
          <w:noProof/>
          <w:sz w:val="22"/>
          <w:szCs w:val="22"/>
          <w:lang w:val="sr-Latn-ME"/>
        </w:rPr>
        <w:t>ij</w:t>
      </w:r>
      <w:r w:rsidRPr="00230C58" w:rsidDel="00706960">
        <w:rPr>
          <w:noProof/>
          <w:sz w:val="22"/>
          <w:szCs w:val="22"/>
          <w:lang w:val="sr-Latn-ME"/>
        </w:rPr>
        <w:t>e 9 dana se urinom pros</w:t>
      </w:r>
      <w:r w:rsidR="00D172FF" w:rsidRPr="00230C58">
        <w:rPr>
          <w:noProof/>
          <w:sz w:val="22"/>
          <w:szCs w:val="22"/>
          <w:lang w:val="sr-Latn-ME"/>
        </w:rPr>
        <w:t>j</w:t>
      </w:r>
      <w:r w:rsidRPr="00230C58" w:rsidDel="00706960">
        <w:rPr>
          <w:noProof/>
          <w:sz w:val="22"/>
          <w:szCs w:val="22"/>
          <w:lang w:val="sr-Latn-ME"/>
        </w:rPr>
        <w:t xml:space="preserve">ečno izlučilo 47% </w:t>
      </w:r>
      <w:r w:rsidRPr="00230C58">
        <w:rPr>
          <w:noProof/>
          <w:sz w:val="22"/>
          <w:szCs w:val="22"/>
          <w:lang w:val="sr-Latn-ME"/>
        </w:rPr>
        <w:t xml:space="preserve">radioaktivno </w:t>
      </w:r>
      <w:r w:rsidRPr="00230C58" w:rsidDel="00706960">
        <w:rPr>
          <w:noProof/>
          <w:sz w:val="22"/>
          <w:szCs w:val="22"/>
          <w:lang w:val="sr-Latn-ME"/>
        </w:rPr>
        <w:t>ob</w:t>
      </w:r>
      <w:r w:rsidR="00D172FF" w:rsidRPr="00230C58">
        <w:rPr>
          <w:noProof/>
          <w:sz w:val="22"/>
          <w:szCs w:val="22"/>
          <w:lang w:val="sr-Latn-ME"/>
        </w:rPr>
        <w:t>ilj</w:t>
      </w:r>
      <w:r w:rsidRPr="00230C58" w:rsidDel="00706960">
        <w:rPr>
          <w:noProof/>
          <w:sz w:val="22"/>
          <w:szCs w:val="22"/>
          <w:lang w:val="sr-Latn-ME"/>
        </w:rPr>
        <w:t>ež</w:t>
      </w:r>
      <w:r w:rsidRPr="00230C58">
        <w:rPr>
          <w:noProof/>
          <w:sz w:val="22"/>
          <w:szCs w:val="22"/>
          <w:lang w:val="sr-Latn-ME"/>
        </w:rPr>
        <w:t>ene doze</w:t>
      </w:r>
      <w:r w:rsidRPr="00230C58" w:rsidDel="00706960">
        <w:rPr>
          <w:noProof/>
          <w:sz w:val="22"/>
          <w:szCs w:val="22"/>
          <w:lang w:val="sr-Latn-ME"/>
        </w:rPr>
        <w:t xml:space="preserve">, a fecesom 43%. </w:t>
      </w:r>
      <w:r w:rsidRPr="00230C58">
        <w:rPr>
          <w:noProof/>
          <w:sz w:val="22"/>
          <w:szCs w:val="22"/>
          <w:lang w:val="sr-Latn-ME"/>
        </w:rPr>
        <w:t>Približno</w:t>
      </w:r>
      <w:r w:rsidRPr="00230C58" w:rsidDel="00706960">
        <w:rPr>
          <w:noProof/>
          <w:sz w:val="22"/>
          <w:szCs w:val="22"/>
          <w:lang w:val="sr-Latn-ME"/>
        </w:rPr>
        <w:t xml:space="preserve"> 50% se nalazi u neprom</w:t>
      </w:r>
      <w:r w:rsidR="00D172FF" w:rsidRPr="00230C58">
        <w:rPr>
          <w:noProof/>
          <w:sz w:val="22"/>
          <w:szCs w:val="22"/>
          <w:lang w:val="sr-Latn-ME"/>
        </w:rPr>
        <w:t>ij</w:t>
      </w:r>
      <w:r w:rsidRPr="00230C58" w:rsidDel="00706960">
        <w:rPr>
          <w:noProof/>
          <w:sz w:val="22"/>
          <w:szCs w:val="22"/>
          <w:lang w:val="sr-Latn-ME"/>
        </w:rPr>
        <w:t>enjenom obliku osnovnog jedinjenja. Metaboliti ni</w:t>
      </w:r>
      <w:r w:rsidR="00D172FF" w:rsidRPr="00230C58">
        <w:rPr>
          <w:noProof/>
          <w:sz w:val="22"/>
          <w:szCs w:val="22"/>
          <w:lang w:val="sr-Latn-ME"/>
        </w:rPr>
        <w:t>je</w:t>
      </w:r>
      <w:r w:rsidRPr="00230C58" w:rsidDel="00706960">
        <w:rPr>
          <w:noProof/>
          <w:sz w:val="22"/>
          <w:szCs w:val="22"/>
          <w:lang w:val="sr-Latn-ME"/>
        </w:rPr>
        <w:t>su detektovani u plazmi.</w:t>
      </w:r>
    </w:p>
    <w:p w14:paraId="62B9EB16" w14:textId="77777777" w:rsidR="00BC21EA" w:rsidRPr="00230C58" w:rsidRDefault="00BC21EA" w:rsidP="00B805BF">
      <w:pPr>
        <w:jc w:val="both"/>
        <w:rPr>
          <w:noProof/>
          <w:sz w:val="22"/>
          <w:szCs w:val="22"/>
          <w:lang w:val="sr-Latn-ME"/>
        </w:rPr>
      </w:pPr>
    </w:p>
    <w:p w14:paraId="117C8FD9" w14:textId="77777777" w:rsidR="00BC21EA" w:rsidRPr="00230C58" w:rsidRDefault="00BC21EA" w:rsidP="00B805BF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Pedijatrijska populacija</w:t>
      </w:r>
    </w:p>
    <w:p w14:paraId="72A73E09" w14:textId="11605F1C" w:rsidR="00BC21EA" w:rsidRPr="00230C58" w:rsidRDefault="00BC21EA" w:rsidP="00550889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 xml:space="preserve">Farmakokinetika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>omida kod pedijatrijskih pacijenata (n=146) uzrasta od 0 do 17 godina je proc</w:t>
      </w:r>
      <w:r w:rsidR="006005F9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enjena prim</w:t>
      </w:r>
      <w:r w:rsidR="006005F9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enom populacione analize objedinjenih farmakokinetičkih podataka iz dv</w:t>
      </w:r>
      <w:r w:rsidR="006005F9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 kliničke studije sprovedene sa anestezijom sevofluranom (indukcija) i izofluranom/azot-suboksidom (održavanje). Pokazano je da su svi farmakokinetički parametri linearno proporcionalni t</w:t>
      </w:r>
      <w:r w:rsidR="006005F9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elesnoj masi što je prikazano sličnim klirensom (</w:t>
      </w:r>
      <w:r w:rsidR="00143302" w:rsidRPr="00230C58">
        <w:rPr>
          <w:noProof/>
          <w:sz w:val="22"/>
          <w:szCs w:val="22"/>
          <w:lang w:val="sr-Latn-ME"/>
        </w:rPr>
        <w:t>l</w:t>
      </w:r>
      <w:r w:rsidRPr="00230C58">
        <w:rPr>
          <w:noProof/>
          <w:sz w:val="22"/>
          <w:szCs w:val="22"/>
          <w:lang w:val="sr-Latn-ME"/>
        </w:rPr>
        <w:t>/h/kg). Volumen distribucije (</w:t>
      </w:r>
      <w:r w:rsidR="00143302" w:rsidRPr="00230C58">
        <w:rPr>
          <w:noProof/>
          <w:sz w:val="22"/>
          <w:szCs w:val="22"/>
          <w:lang w:val="sr-Latn-ME"/>
        </w:rPr>
        <w:t>l</w:t>
      </w:r>
      <w:r w:rsidRPr="00230C58">
        <w:rPr>
          <w:noProof/>
          <w:sz w:val="22"/>
          <w:szCs w:val="22"/>
          <w:lang w:val="sr-Latn-ME"/>
        </w:rPr>
        <w:t>/kg) i poluvr</w:t>
      </w:r>
      <w:r w:rsidR="006005F9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eme eliminacije (h) se smanjuju sa starošću (godinama). Farmakokinetički parametri (FK) za tipične pedijatrijske pacijente unutar svake starosne grupe su objedinjeni u nastavku:</w:t>
      </w:r>
    </w:p>
    <w:p w14:paraId="1503E70B" w14:textId="77777777" w:rsidR="00BC21EA" w:rsidRPr="00230C58" w:rsidRDefault="00BC21EA" w:rsidP="00B805BF">
      <w:pPr>
        <w:jc w:val="both"/>
        <w:rPr>
          <w:noProof/>
          <w:sz w:val="22"/>
          <w:szCs w:val="22"/>
          <w:lang w:val="sr-Latn-ME"/>
        </w:rPr>
      </w:pPr>
    </w:p>
    <w:p w14:paraId="51C34991" w14:textId="392D7F80" w:rsidR="00BC21EA" w:rsidRPr="00230C58" w:rsidRDefault="00BC21EA" w:rsidP="00B805BF">
      <w:pPr>
        <w:jc w:val="both"/>
        <w:rPr>
          <w:b/>
          <w:noProof/>
          <w:sz w:val="22"/>
          <w:szCs w:val="22"/>
          <w:lang w:val="sr-Latn-ME"/>
        </w:rPr>
      </w:pPr>
      <w:r w:rsidRPr="00230C58">
        <w:rPr>
          <w:b/>
          <w:noProof/>
          <w:sz w:val="22"/>
          <w:szCs w:val="22"/>
          <w:lang w:val="sr-Latn-ME"/>
        </w:rPr>
        <w:t>Proc</w:t>
      </w:r>
      <w:r w:rsidR="006005F9" w:rsidRPr="00230C58">
        <w:rPr>
          <w:b/>
          <w:noProof/>
          <w:sz w:val="22"/>
          <w:szCs w:val="22"/>
          <w:lang w:val="sr-Latn-ME"/>
        </w:rPr>
        <w:t>ij</w:t>
      </w:r>
      <w:r w:rsidRPr="00230C58">
        <w:rPr>
          <w:b/>
          <w:noProof/>
          <w:sz w:val="22"/>
          <w:szCs w:val="22"/>
          <w:lang w:val="sr-Latn-ME"/>
        </w:rPr>
        <w:t>enjeni FK parametri [srednja vr</w:t>
      </w:r>
      <w:r w:rsidR="006005F9" w:rsidRPr="00230C58">
        <w:rPr>
          <w:b/>
          <w:noProof/>
          <w:sz w:val="22"/>
          <w:szCs w:val="22"/>
          <w:lang w:val="sr-Latn-ME"/>
        </w:rPr>
        <w:t>ij</w:t>
      </w:r>
      <w:r w:rsidRPr="00230C58">
        <w:rPr>
          <w:b/>
          <w:noProof/>
          <w:sz w:val="22"/>
          <w:szCs w:val="22"/>
          <w:lang w:val="sr-Latn-ME"/>
        </w:rPr>
        <w:t xml:space="preserve">ednost (SD)] </w:t>
      </w:r>
      <w:r w:rsidR="00DB7D68" w:rsidRPr="00230C58">
        <w:rPr>
          <w:b/>
          <w:noProof/>
          <w:sz w:val="22"/>
          <w:szCs w:val="22"/>
          <w:lang w:val="sr-Latn-ME"/>
        </w:rPr>
        <w:t>rokuronijum br</w:t>
      </w:r>
      <w:r w:rsidRPr="00230C58">
        <w:rPr>
          <w:b/>
          <w:noProof/>
          <w:sz w:val="22"/>
          <w:szCs w:val="22"/>
          <w:lang w:val="sr-Latn-ME"/>
        </w:rPr>
        <w:t>omida za tipične pedijatrijske pacijente u toku anestezije sevofluranom i azot-suboksidom (indukcija) i izofluranom/azot-suboksidom (održavanje)</w:t>
      </w:r>
    </w:p>
    <w:p w14:paraId="4BEA1ED6" w14:textId="77777777" w:rsidR="00BC21EA" w:rsidRPr="00230C58" w:rsidRDefault="00BC21EA" w:rsidP="00B805BF">
      <w:pPr>
        <w:jc w:val="both"/>
        <w:rPr>
          <w:noProof/>
          <w:sz w:val="22"/>
          <w:szCs w:val="22"/>
          <w:lang w:val="sr-Latn-ME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1572"/>
        <w:gridCol w:w="1429"/>
        <w:gridCol w:w="1501"/>
        <w:gridCol w:w="1501"/>
        <w:gridCol w:w="1502"/>
      </w:tblGrid>
      <w:tr w:rsidR="00BC21EA" w:rsidRPr="00230C58" w14:paraId="57A51993" w14:textId="77777777" w:rsidTr="00B805BF">
        <w:trPr>
          <w:trHeight w:val="258"/>
        </w:trPr>
        <w:tc>
          <w:tcPr>
            <w:tcW w:w="1500" w:type="dxa"/>
            <w:vMerge w:val="restart"/>
            <w:shd w:val="clear" w:color="auto" w:fill="auto"/>
          </w:tcPr>
          <w:p w14:paraId="6FADC571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FK parametri</w:t>
            </w:r>
          </w:p>
        </w:tc>
        <w:tc>
          <w:tcPr>
            <w:tcW w:w="7505" w:type="dxa"/>
            <w:gridSpan w:val="5"/>
            <w:shd w:val="clear" w:color="auto" w:fill="auto"/>
          </w:tcPr>
          <w:p w14:paraId="787C67C0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Starosna grupa</w:t>
            </w:r>
          </w:p>
        </w:tc>
      </w:tr>
      <w:tr w:rsidR="00BC21EA" w:rsidRPr="00230C58" w14:paraId="50897927" w14:textId="77777777" w:rsidTr="00B805BF">
        <w:trPr>
          <w:trHeight w:val="788"/>
        </w:trPr>
        <w:tc>
          <w:tcPr>
            <w:tcW w:w="1500" w:type="dxa"/>
            <w:vMerge/>
            <w:shd w:val="clear" w:color="auto" w:fill="auto"/>
          </w:tcPr>
          <w:p w14:paraId="73D2FABC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572" w:type="dxa"/>
            <w:shd w:val="clear" w:color="auto" w:fill="auto"/>
          </w:tcPr>
          <w:p w14:paraId="7FE9F26F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Novorođenčad rođena u terminu</w:t>
            </w:r>
          </w:p>
          <w:p w14:paraId="4D067B25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(0-27 dana)</w:t>
            </w:r>
          </w:p>
        </w:tc>
        <w:tc>
          <w:tcPr>
            <w:tcW w:w="1429" w:type="dxa"/>
            <w:shd w:val="clear" w:color="auto" w:fill="auto"/>
          </w:tcPr>
          <w:p w14:paraId="0CAF06CC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Odojčad</w:t>
            </w:r>
          </w:p>
          <w:p w14:paraId="31A4771C" w14:textId="21813289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 xml:space="preserve">(28 dana-2 </w:t>
            </w:r>
            <w:r w:rsidR="00DB7D68" w:rsidRPr="00230C58">
              <w:rPr>
                <w:noProof/>
                <w:sz w:val="22"/>
                <w:szCs w:val="22"/>
                <w:lang w:val="sr-Latn-ME"/>
              </w:rPr>
              <w:t>mjesec</w:t>
            </w:r>
            <w:r w:rsidRPr="00230C58">
              <w:rPr>
                <w:noProof/>
                <w:sz w:val="22"/>
                <w:szCs w:val="22"/>
                <w:lang w:val="sr-Latn-ME"/>
              </w:rPr>
              <w:t>a)</w:t>
            </w:r>
          </w:p>
        </w:tc>
        <w:tc>
          <w:tcPr>
            <w:tcW w:w="1501" w:type="dxa"/>
            <w:shd w:val="clear" w:color="auto" w:fill="auto"/>
          </w:tcPr>
          <w:p w14:paraId="0D7A2D17" w14:textId="07C388D8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Mala d</w:t>
            </w:r>
            <w:r w:rsidR="006005F9" w:rsidRPr="00230C58">
              <w:rPr>
                <w:noProof/>
                <w:sz w:val="22"/>
                <w:szCs w:val="22"/>
                <w:lang w:val="sr-Latn-ME"/>
              </w:rPr>
              <w:t>j</w:t>
            </w:r>
            <w:r w:rsidRPr="00230C58">
              <w:rPr>
                <w:noProof/>
                <w:sz w:val="22"/>
                <w:szCs w:val="22"/>
                <w:lang w:val="sr-Latn-ME"/>
              </w:rPr>
              <w:t>eca</w:t>
            </w:r>
          </w:p>
          <w:p w14:paraId="23207C83" w14:textId="747C6DDC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 xml:space="preserve">(3-23 </w:t>
            </w:r>
            <w:r w:rsidR="00DB7D68" w:rsidRPr="00230C58">
              <w:rPr>
                <w:noProof/>
                <w:sz w:val="22"/>
                <w:szCs w:val="22"/>
                <w:lang w:val="sr-Latn-ME"/>
              </w:rPr>
              <w:t>mjesec</w:t>
            </w:r>
            <w:r w:rsidRPr="00230C58">
              <w:rPr>
                <w:noProof/>
                <w:sz w:val="22"/>
                <w:szCs w:val="22"/>
                <w:lang w:val="sr-Latn-ME"/>
              </w:rPr>
              <w:t>a)</w:t>
            </w:r>
          </w:p>
        </w:tc>
        <w:tc>
          <w:tcPr>
            <w:tcW w:w="1501" w:type="dxa"/>
            <w:shd w:val="clear" w:color="auto" w:fill="auto"/>
          </w:tcPr>
          <w:p w14:paraId="30556710" w14:textId="73657166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D</w:t>
            </w:r>
            <w:r w:rsidR="006005F9" w:rsidRPr="00230C58">
              <w:rPr>
                <w:noProof/>
                <w:sz w:val="22"/>
                <w:szCs w:val="22"/>
                <w:lang w:val="sr-Latn-ME"/>
              </w:rPr>
              <w:t>j</w:t>
            </w:r>
            <w:r w:rsidRPr="00230C58">
              <w:rPr>
                <w:noProof/>
                <w:sz w:val="22"/>
                <w:szCs w:val="22"/>
                <w:lang w:val="sr-Latn-ME"/>
              </w:rPr>
              <w:t>eca</w:t>
            </w:r>
          </w:p>
          <w:p w14:paraId="575F9080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(2-11 godina)</w:t>
            </w:r>
          </w:p>
        </w:tc>
        <w:tc>
          <w:tcPr>
            <w:tcW w:w="1501" w:type="dxa"/>
            <w:shd w:val="clear" w:color="auto" w:fill="auto"/>
          </w:tcPr>
          <w:p w14:paraId="0837677A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Adolescenti (12-17 godina)</w:t>
            </w:r>
          </w:p>
        </w:tc>
      </w:tr>
      <w:tr w:rsidR="00BC21EA" w:rsidRPr="00230C58" w14:paraId="43EF0E4D" w14:textId="77777777" w:rsidTr="00B805BF">
        <w:trPr>
          <w:trHeight w:val="258"/>
        </w:trPr>
        <w:tc>
          <w:tcPr>
            <w:tcW w:w="1500" w:type="dxa"/>
            <w:shd w:val="clear" w:color="auto" w:fill="auto"/>
          </w:tcPr>
          <w:p w14:paraId="44F9B219" w14:textId="648F84AF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CL (</w:t>
            </w:r>
            <w:r w:rsidR="00143302" w:rsidRPr="00230C58">
              <w:rPr>
                <w:noProof/>
                <w:sz w:val="22"/>
                <w:szCs w:val="22"/>
                <w:lang w:val="sr-Latn-ME"/>
              </w:rPr>
              <w:t>l</w:t>
            </w:r>
            <w:r w:rsidRPr="00230C58">
              <w:rPr>
                <w:noProof/>
                <w:sz w:val="22"/>
                <w:szCs w:val="22"/>
                <w:lang w:val="sr-Latn-ME"/>
              </w:rPr>
              <w:t>/kg/h)</w:t>
            </w:r>
          </w:p>
        </w:tc>
        <w:tc>
          <w:tcPr>
            <w:tcW w:w="1572" w:type="dxa"/>
            <w:shd w:val="clear" w:color="auto" w:fill="auto"/>
          </w:tcPr>
          <w:p w14:paraId="3A323642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0,31 (0,07)</w:t>
            </w:r>
          </w:p>
        </w:tc>
        <w:tc>
          <w:tcPr>
            <w:tcW w:w="1429" w:type="dxa"/>
            <w:shd w:val="clear" w:color="auto" w:fill="auto"/>
          </w:tcPr>
          <w:p w14:paraId="33585F43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0,30 (0,08)</w:t>
            </w:r>
          </w:p>
        </w:tc>
        <w:tc>
          <w:tcPr>
            <w:tcW w:w="1501" w:type="dxa"/>
            <w:shd w:val="clear" w:color="auto" w:fill="auto"/>
          </w:tcPr>
          <w:p w14:paraId="604B6CA6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0,33 (0,10)</w:t>
            </w:r>
          </w:p>
        </w:tc>
        <w:tc>
          <w:tcPr>
            <w:tcW w:w="1501" w:type="dxa"/>
            <w:shd w:val="clear" w:color="auto" w:fill="auto"/>
          </w:tcPr>
          <w:p w14:paraId="4893F7F1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0,35 (0,09)</w:t>
            </w:r>
          </w:p>
        </w:tc>
        <w:tc>
          <w:tcPr>
            <w:tcW w:w="1501" w:type="dxa"/>
            <w:shd w:val="clear" w:color="auto" w:fill="auto"/>
          </w:tcPr>
          <w:p w14:paraId="6F9BB802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0,29 (0,14)</w:t>
            </w:r>
          </w:p>
        </w:tc>
      </w:tr>
      <w:tr w:rsidR="00BC21EA" w:rsidRPr="00230C58" w14:paraId="3C8A684F" w14:textId="77777777" w:rsidTr="00B805BF">
        <w:trPr>
          <w:trHeight w:val="788"/>
        </w:trPr>
        <w:tc>
          <w:tcPr>
            <w:tcW w:w="1500" w:type="dxa"/>
            <w:shd w:val="clear" w:color="auto" w:fill="auto"/>
          </w:tcPr>
          <w:p w14:paraId="45047744" w14:textId="70E21FD6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Volumen distribucije (</w:t>
            </w:r>
            <w:r w:rsidR="00143302" w:rsidRPr="00230C58">
              <w:rPr>
                <w:noProof/>
                <w:sz w:val="22"/>
                <w:szCs w:val="22"/>
                <w:lang w:val="sr-Latn-ME"/>
              </w:rPr>
              <w:t>l</w:t>
            </w:r>
            <w:r w:rsidRPr="00230C58">
              <w:rPr>
                <w:noProof/>
                <w:sz w:val="22"/>
                <w:szCs w:val="22"/>
                <w:lang w:val="sr-Latn-ME"/>
              </w:rPr>
              <w:t>/kg)</w:t>
            </w:r>
          </w:p>
        </w:tc>
        <w:tc>
          <w:tcPr>
            <w:tcW w:w="1572" w:type="dxa"/>
            <w:shd w:val="clear" w:color="auto" w:fill="auto"/>
          </w:tcPr>
          <w:p w14:paraId="576036A1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0,42 (0,06)</w:t>
            </w:r>
          </w:p>
        </w:tc>
        <w:tc>
          <w:tcPr>
            <w:tcW w:w="1429" w:type="dxa"/>
            <w:shd w:val="clear" w:color="auto" w:fill="auto"/>
          </w:tcPr>
          <w:p w14:paraId="211CB0E8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0,31 (0,03)</w:t>
            </w:r>
          </w:p>
        </w:tc>
        <w:tc>
          <w:tcPr>
            <w:tcW w:w="1501" w:type="dxa"/>
            <w:shd w:val="clear" w:color="auto" w:fill="auto"/>
          </w:tcPr>
          <w:p w14:paraId="64BB75C4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0,23 (0,03)</w:t>
            </w:r>
          </w:p>
        </w:tc>
        <w:tc>
          <w:tcPr>
            <w:tcW w:w="1501" w:type="dxa"/>
            <w:shd w:val="clear" w:color="auto" w:fill="auto"/>
          </w:tcPr>
          <w:p w14:paraId="06A1D6F8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0,18 (0,02)</w:t>
            </w:r>
          </w:p>
        </w:tc>
        <w:tc>
          <w:tcPr>
            <w:tcW w:w="1501" w:type="dxa"/>
            <w:shd w:val="clear" w:color="auto" w:fill="auto"/>
          </w:tcPr>
          <w:p w14:paraId="09C097C0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0,18 (0,01)</w:t>
            </w:r>
          </w:p>
        </w:tc>
      </w:tr>
      <w:tr w:rsidR="00BC21EA" w:rsidRPr="00230C58" w14:paraId="7CB0038D" w14:textId="77777777" w:rsidTr="00B805BF">
        <w:trPr>
          <w:trHeight w:val="258"/>
        </w:trPr>
        <w:tc>
          <w:tcPr>
            <w:tcW w:w="1500" w:type="dxa"/>
            <w:shd w:val="clear" w:color="auto" w:fill="auto"/>
          </w:tcPr>
          <w:p w14:paraId="24D06416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 xml:space="preserve">t </w:t>
            </w:r>
            <w:r w:rsidRPr="00230C58">
              <w:rPr>
                <w:noProof/>
                <w:sz w:val="22"/>
                <w:szCs w:val="22"/>
                <w:vertAlign w:val="subscript"/>
                <w:lang w:val="sr-Latn-ME"/>
              </w:rPr>
              <w:t>½</w:t>
            </w:r>
            <w:r w:rsidRPr="00230C58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230C58">
              <w:rPr>
                <w:i/>
                <w:noProof/>
                <w:sz w:val="22"/>
                <w:szCs w:val="22"/>
                <w:lang w:val="sr-Latn-ME"/>
              </w:rPr>
              <w:t>beta</w:t>
            </w:r>
            <w:r w:rsidRPr="00230C58">
              <w:rPr>
                <w:noProof/>
                <w:sz w:val="22"/>
                <w:szCs w:val="22"/>
                <w:lang w:val="sr-Latn-ME"/>
              </w:rPr>
              <w:t xml:space="preserve"> (h)</w:t>
            </w:r>
          </w:p>
        </w:tc>
        <w:tc>
          <w:tcPr>
            <w:tcW w:w="1572" w:type="dxa"/>
            <w:shd w:val="clear" w:color="auto" w:fill="auto"/>
          </w:tcPr>
          <w:p w14:paraId="699C5B1C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1,1 (0,2)</w:t>
            </w:r>
          </w:p>
        </w:tc>
        <w:tc>
          <w:tcPr>
            <w:tcW w:w="1429" w:type="dxa"/>
            <w:shd w:val="clear" w:color="auto" w:fill="auto"/>
          </w:tcPr>
          <w:p w14:paraId="2E602713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0,9 (0,3)</w:t>
            </w:r>
          </w:p>
        </w:tc>
        <w:tc>
          <w:tcPr>
            <w:tcW w:w="1501" w:type="dxa"/>
            <w:shd w:val="clear" w:color="auto" w:fill="auto"/>
          </w:tcPr>
          <w:p w14:paraId="39C7DEF1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0,8 (0,2)</w:t>
            </w:r>
          </w:p>
        </w:tc>
        <w:tc>
          <w:tcPr>
            <w:tcW w:w="1501" w:type="dxa"/>
            <w:shd w:val="clear" w:color="auto" w:fill="auto"/>
          </w:tcPr>
          <w:p w14:paraId="43C091A0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0,7 (0,2)</w:t>
            </w:r>
          </w:p>
        </w:tc>
        <w:tc>
          <w:tcPr>
            <w:tcW w:w="1501" w:type="dxa"/>
            <w:shd w:val="clear" w:color="auto" w:fill="auto"/>
          </w:tcPr>
          <w:p w14:paraId="4D9F8B4E" w14:textId="77777777" w:rsidR="00BC21EA" w:rsidRPr="00230C58" w:rsidRDefault="00BC21EA" w:rsidP="00B805BF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30C58">
              <w:rPr>
                <w:noProof/>
                <w:sz w:val="22"/>
                <w:szCs w:val="22"/>
                <w:lang w:val="sr-Latn-ME"/>
              </w:rPr>
              <w:t>0,8 (0,3)</w:t>
            </w:r>
          </w:p>
        </w:tc>
      </w:tr>
    </w:tbl>
    <w:p w14:paraId="07853EB9" w14:textId="77777777" w:rsidR="00BC21EA" w:rsidRPr="00230C58" w:rsidRDefault="00BC21EA" w:rsidP="00B805BF">
      <w:pPr>
        <w:jc w:val="both"/>
        <w:rPr>
          <w:noProof/>
          <w:sz w:val="22"/>
          <w:szCs w:val="22"/>
          <w:lang w:val="sr-Latn-ME"/>
        </w:rPr>
      </w:pPr>
    </w:p>
    <w:p w14:paraId="1DC3F47C" w14:textId="77777777" w:rsidR="00BC21EA" w:rsidRPr="00230C58" w:rsidRDefault="00BC21EA" w:rsidP="00B805BF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Gerijatrijski pacijenti i pacijenti sa oboljenjem jetre i/ili bilijarnog trakta i/ili bubrežnom insuficijencijom</w:t>
      </w:r>
    </w:p>
    <w:p w14:paraId="0186F225" w14:textId="5E867974" w:rsidR="00BC21EA" w:rsidRPr="00230C58" w:rsidRDefault="00BC21EA" w:rsidP="00550889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U kontrolisanim studijama klirens iz plazme kod gerijatrijskih pacijenata i pacijenata sa oštećenom funkcijom bubrega bio je smanjen, međutim, u većini studija to nije dostiglo statistički značajnu vr</w:t>
      </w:r>
      <w:r w:rsidR="006005F9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ednost. Kod pacijenata sa oboljenjem jetre, srednja vr</w:t>
      </w:r>
      <w:r w:rsidR="006005F9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ednost poluvremena eliminacije je produžena za 30 minuta, a srednja vr</w:t>
      </w:r>
      <w:r w:rsidR="006005F9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 xml:space="preserve">ednost klirensa iz plazme je smanjena za 1 </w:t>
      </w:r>
      <w:r w:rsidR="00143302" w:rsidRPr="00230C58">
        <w:rPr>
          <w:noProof/>
          <w:sz w:val="22"/>
          <w:szCs w:val="22"/>
          <w:lang w:val="sr-Latn-ME"/>
        </w:rPr>
        <w:t>ml</w:t>
      </w:r>
      <w:r w:rsidRPr="00230C58">
        <w:rPr>
          <w:noProof/>
          <w:sz w:val="22"/>
          <w:szCs w:val="22"/>
          <w:lang w:val="sr-Latn-ME"/>
        </w:rPr>
        <w:t>/kg/min. (</w:t>
      </w:r>
      <w:r w:rsidR="00B2737E" w:rsidRPr="00230C58">
        <w:rPr>
          <w:noProof/>
          <w:sz w:val="22"/>
          <w:szCs w:val="22"/>
          <w:lang w:val="sr-Latn-ME"/>
        </w:rPr>
        <w:t>vidjeti</w:t>
      </w:r>
      <w:r w:rsidRPr="00230C58">
        <w:rPr>
          <w:noProof/>
          <w:sz w:val="22"/>
          <w:szCs w:val="22"/>
          <w:lang w:val="sr-Latn-ME"/>
        </w:rPr>
        <w:t xml:space="preserve"> </w:t>
      </w:r>
      <w:r w:rsidR="00DB7D68" w:rsidRPr="00230C58">
        <w:rPr>
          <w:noProof/>
          <w:sz w:val="22"/>
          <w:szCs w:val="22"/>
          <w:lang w:val="sr-Latn-ME"/>
        </w:rPr>
        <w:t>dio</w:t>
      </w:r>
      <w:r w:rsidRPr="00230C58">
        <w:rPr>
          <w:noProof/>
          <w:sz w:val="22"/>
          <w:szCs w:val="22"/>
          <w:lang w:val="sr-Latn-ME"/>
        </w:rPr>
        <w:t xml:space="preserve"> 4.2)</w:t>
      </w:r>
      <w:r w:rsidRPr="00230C58">
        <w:rPr>
          <w:bCs/>
          <w:noProof/>
          <w:sz w:val="22"/>
          <w:szCs w:val="22"/>
          <w:lang w:val="sr-Latn-ME"/>
        </w:rPr>
        <w:t>.</w:t>
      </w:r>
    </w:p>
    <w:p w14:paraId="310438A7" w14:textId="77777777" w:rsidR="00BC21EA" w:rsidRPr="00230C58" w:rsidRDefault="00BC21EA" w:rsidP="00B805BF">
      <w:pPr>
        <w:jc w:val="both"/>
        <w:rPr>
          <w:noProof/>
          <w:sz w:val="22"/>
          <w:szCs w:val="22"/>
          <w:lang w:val="sr-Latn-ME"/>
        </w:rPr>
      </w:pPr>
    </w:p>
    <w:p w14:paraId="09FE35E4" w14:textId="76827B6D" w:rsidR="00BC21EA" w:rsidRPr="00230C58" w:rsidRDefault="00BC21EA" w:rsidP="00B805BF">
      <w:pPr>
        <w:jc w:val="both"/>
        <w:rPr>
          <w:noProof/>
          <w:sz w:val="22"/>
          <w:szCs w:val="22"/>
          <w:u w:val="single"/>
          <w:lang w:val="sr-Latn-ME"/>
        </w:rPr>
      </w:pPr>
      <w:r w:rsidRPr="00230C58">
        <w:rPr>
          <w:noProof/>
          <w:sz w:val="22"/>
          <w:szCs w:val="22"/>
          <w:u w:val="single"/>
          <w:lang w:val="sr-Latn-ME"/>
        </w:rPr>
        <w:t>Jedinica intenzivne n</w:t>
      </w:r>
      <w:r w:rsidR="006005F9" w:rsidRPr="00230C58">
        <w:rPr>
          <w:noProof/>
          <w:sz w:val="22"/>
          <w:szCs w:val="22"/>
          <w:u w:val="single"/>
          <w:lang w:val="sr-Latn-ME"/>
        </w:rPr>
        <w:t>j</w:t>
      </w:r>
      <w:r w:rsidRPr="00230C58">
        <w:rPr>
          <w:noProof/>
          <w:sz w:val="22"/>
          <w:szCs w:val="22"/>
          <w:u w:val="single"/>
          <w:lang w:val="sr-Latn-ME"/>
        </w:rPr>
        <w:t>ege</w:t>
      </w:r>
    </w:p>
    <w:p w14:paraId="786614EC" w14:textId="3CEA4488" w:rsidR="00BC21EA" w:rsidRPr="00230C58" w:rsidRDefault="00BC21EA" w:rsidP="00550889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Kada se prim</w:t>
      </w:r>
      <w:r w:rsidR="006005F9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enjuje kao kontinuirana infuzija za olakšavanje mehaničke ventilacije tokom 20 ili više sati, srednja vr</w:t>
      </w:r>
      <w:r w:rsidR="006005F9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ednost poluvremena eliminacije i srednja vr</w:t>
      </w:r>
      <w:r w:rsidR="006005F9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ednost (prividnog) volumena distribucije u stanju ravnoteže su povećane. U kontrolisanim kliničkim studijama je utvrđena velika varijabilnost među pacijentima, koja je vezana za prirodu i obim (multiple) organske insuficijencije i individualne karakteristike pacijenta. Kod pacijenata sa multiplom organskom insuficijencijom utvrđena je srednja vr</w:t>
      </w:r>
      <w:r w:rsidR="006005F9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ednost (</w:t>
      </w:r>
      <w:r w:rsidRPr="00230C58">
        <w:rPr>
          <w:noProof/>
          <w:sz w:val="22"/>
          <w:szCs w:val="22"/>
          <w:lang w:val="sr-Latn-ME"/>
        </w:rPr>
        <w:sym w:font="Symbol" w:char="F0B1"/>
      </w:r>
      <w:r w:rsidRPr="00230C58">
        <w:rPr>
          <w:noProof/>
          <w:sz w:val="22"/>
          <w:szCs w:val="22"/>
          <w:lang w:val="sr-Latn-ME"/>
        </w:rPr>
        <w:t xml:space="preserve"> SD) poluvremena eliminacije od 21,5 (</w:t>
      </w:r>
      <w:r w:rsidRPr="00230C58">
        <w:rPr>
          <w:noProof/>
          <w:sz w:val="22"/>
          <w:szCs w:val="22"/>
          <w:lang w:val="sr-Latn-ME"/>
        </w:rPr>
        <w:sym w:font="Symbol" w:char="F0B1"/>
      </w:r>
      <w:r w:rsidRPr="00230C58">
        <w:rPr>
          <w:noProof/>
          <w:sz w:val="22"/>
          <w:szCs w:val="22"/>
          <w:lang w:val="sr-Latn-ME"/>
        </w:rPr>
        <w:t xml:space="preserve"> 3,3) sati, (prividni) volumen distribucije u stanju ravnoteže od 1,5 (</w:t>
      </w:r>
      <w:r w:rsidRPr="00230C58">
        <w:rPr>
          <w:noProof/>
          <w:sz w:val="22"/>
          <w:szCs w:val="22"/>
          <w:lang w:val="sr-Latn-ME"/>
        </w:rPr>
        <w:sym w:font="Symbol" w:char="F0B1"/>
      </w:r>
      <w:r w:rsidRPr="00230C58">
        <w:rPr>
          <w:noProof/>
          <w:sz w:val="22"/>
          <w:szCs w:val="22"/>
          <w:lang w:val="sr-Latn-ME"/>
        </w:rPr>
        <w:t xml:space="preserve"> 0,8) L/kg, i klirens iz plazme je iznosio 2,1 (</w:t>
      </w:r>
      <w:r w:rsidRPr="00230C58">
        <w:rPr>
          <w:noProof/>
          <w:sz w:val="22"/>
          <w:szCs w:val="22"/>
          <w:lang w:val="sr-Latn-ME"/>
        </w:rPr>
        <w:sym w:font="Symbol" w:char="F0B1"/>
      </w:r>
      <w:r w:rsidRPr="00230C58">
        <w:rPr>
          <w:noProof/>
          <w:sz w:val="22"/>
          <w:szCs w:val="22"/>
          <w:lang w:val="sr-Latn-ME"/>
        </w:rPr>
        <w:t xml:space="preserve"> 0,8) </w:t>
      </w:r>
      <w:r w:rsidR="00143302" w:rsidRPr="00230C58">
        <w:rPr>
          <w:noProof/>
          <w:sz w:val="22"/>
          <w:szCs w:val="22"/>
          <w:lang w:val="sr-Latn-ME"/>
        </w:rPr>
        <w:t>ml</w:t>
      </w:r>
      <w:r w:rsidRPr="00230C58">
        <w:rPr>
          <w:noProof/>
          <w:sz w:val="22"/>
          <w:szCs w:val="22"/>
          <w:lang w:val="sr-Latn-ME"/>
        </w:rPr>
        <w:t>/kg/min (</w:t>
      </w:r>
      <w:r w:rsidR="00B2737E" w:rsidRPr="00230C58">
        <w:rPr>
          <w:noProof/>
          <w:sz w:val="22"/>
          <w:szCs w:val="22"/>
          <w:lang w:val="sr-Latn-ME"/>
        </w:rPr>
        <w:t>vidjeti</w:t>
      </w:r>
      <w:r w:rsidRPr="00230C58">
        <w:rPr>
          <w:noProof/>
          <w:sz w:val="22"/>
          <w:szCs w:val="22"/>
          <w:lang w:val="sr-Latn-ME"/>
        </w:rPr>
        <w:t xml:space="preserve"> </w:t>
      </w:r>
      <w:r w:rsidR="00DB7D68" w:rsidRPr="00230C58">
        <w:rPr>
          <w:noProof/>
          <w:sz w:val="22"/>
          <w:szCs w:val="22"/>
          <w:lang w:val="sr-Latn-ME"/>
        </w:rPr>
        <w:t>dio</w:t>
      </w:r>
      <w:r w:rsidRPr="00230C58">
        <w:rPr>
          <w:noProof/>
          <w:sz w:val="22"/>
          <w:szCs w:val="22"/>
          <w:lang w:val="sr-Latn-ME"/>
        </w:rPr>
        <w:t xml:space="preserve"> 4.2).</w:t>
      </w:r>
    </w:p>
    <w:p w14:paraId="4ABF6898" w14:textId="77777777" w:rsidR="00BC21EA" w:rsidRPr="00230C58" w:rsidRDefault="00BC21EA" w:rsidP="00B805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2FFDB1" w14:textId="77777777" w:rsidR="0072020E" w:rsidRPr="00230C58" w:rsidRDefault="0072020E" w:rsidP="00B805B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30C58">
        <w:rPr>
          <w:b/>
          <w:bCs/>
          <w:sz w:val="22"/>
          <w:szCs w:val="22"/>
          <w:lang w:val="sr-Latn-ME"/>
        </w:rPr>
        <w:t xml:space="preserve">5.3. </w:t>
      </w:r>
      <w:r w:rsidR="00480FB1" w:rsidRPr="00230C58">
        <w:rPr>
          <w:b/>
          <w:bCs/>
          <w:sz w:val="22"/>
          <w:szCs w:val="22"/>
          <w:lang w:val="sr-Latn-ME"/>
        </w:rPr>
        <w:tab/>
      </w:r>
      <w:proofErr w:type="spellStart"/>
      <w:r w:rsidRPr="00230C58">
        <w:rPr>
          <w:b/>
          <w:bCs/>
          <w:sz w:val="22"/>
          <w:szCs w:val="22"/>
          <w:lang w:val="sr-Latn-ME"/>
        </w:rPr>
        <w:t>Pretklinički</w:t>
      </w:r>
      <w:proofErr w:type="spellEnd"/>
      <w:r w:rsidRPr="00230C58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41245F78" w14:textId="61B7A081" w:rsidR="00836B35" w:rsidRPr="00230C58" w:rsidRDefault="00836B35" w:rsidP="00B805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A715919" w14:textId="11FDBD45" w:rsidR="003632D5" w:rsidRPr="00230C58" w:rsidRDefault="003632D5" w:rsidP="00550889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 xml:space="preserve">Efekti u pretkliničkim studijama su </w:t>
      </w:r>
      <w:r w:rsidR="00C673B6" w:rsidRPr="00230C58">
        <w:rPr>
          <w:noProof/>
          <w:sz w:val="22"/>
          <w:szCs w:val="22"/>
          <w:lang w:val="sr-Latn-ME"/>
        </w:rPr>
        <w:t>zabilježen</w:t>
      </w:r>
      <w:r w:rsidRPr="00230C58">
        <w:rPr>
          <w:noProof/>
          <w:sz w:val="22"/>
          <w:szCs w:val="22"/>
          <w:lang w:val="sr-Latn-ME"/>
        </w:rPr>
        <w:t xml:space="preserve">i samo pri izloženostima za koje se smatra da dovoljno prevazilaze maksimalnu izloženost kod ljudi, što ukazuje na mali značaj za kliničku upotrebu. </w:t>
      </w:r>
    </w:p>
    <w:p w14:paraId="19740C6B" w14:textId="77777777" w:rsidR="003632D5" w:rsidRPr="00230C58" w:rsidRDefault="003632D5" w:rsidP="00550889">
      <w:pPr>
        <w:jc w:val="both"/>
        <w:rPr>
          <w:noProof/>
          <w:sz w:val="22"/>
          <w:szCs w:val="22"/>
          <w:lang w:val="sr-Latn-ME"/>
        </w:rPr>
      </w:pPr>
    </w:p>
    <w:p w14:paraId="5C9565DB" w14:textId="0253DDA4" w:rsidR="003632D5" w:rsidRPr="00230C58" w:rsidRDefault="003632D5" w:rsidP="00550889">
      <w:pPr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Ne postoji odgovarajući životinjski</w:t>
      </w:r>
      <w:r w:rsidRPr="00230C58" w:rsidDel="008D607C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>model koji bi mogao da oponaša obično izuzetno kompleksno kliničko stanje pacijenata u JIN. Zbog toga se podaci o bezb</w:t>
      </w:r>
      <w:r w:rsidR="00321224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ednosti prim</w:t>
      </w:r>
      <w:r w:rsidR="00321224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 xml:space="preserve">ene </w:t>
      </w:r>
      <w:r w:rsidR="00DB7D68" w:rsidRPr="00230C58">
        <w:rPr>
          <w:noProof/>
          <w:sz w:val="22"/>
          <w:szCs w:val="22"/>
          <w:lang w:val="sr-Latn-ME"/>
        </w:rPr>
        <w:t>rokuronijum br</w:t>
      </w:r>
      <w:r w:rsidRPr="00230C58">
        <w:rPr>
          <w:noProof/>
          <w:sz w:val="22"/>
          <w:szCs w:val="22"/>
          <w:lang w:val="sr-Latn-ME"/>
        </w:rPr>
        <w:t>omida za olakšavanje mehaničke ventilacije kod pacijenata u jedinici intenzivne n</w:t>
      </w:r>
      <w:r w:rsidR="00321224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ege</w:t>
      </w:r>
      <w:r w:rsidRPr="00230C58" w:rsidDel="008916F4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>uglavnom baziraju na гezultatima</w:t>
      </w:r>
      <w:r w:rsidRPr="00230C58" w:rsidDel="008916F4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>dobijenim u kliničkim studijama.</w:t>
      </w:r>
    </w:p>
    <w:p w14:paraId="6927B16D" w14:textId="77777777" w:rsidR="0072020E" w:rsidRPr="00230C5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30C58">
        <w:rPr>
          <w:b/>
          <w:bCs/>
          <w:sz w:val="22"/>
          <w:szCs w:val="22"/>
          <w:lang w:val="sr-Latn-ME"/>
        </w:rPr>
        <w:lastRenderedPageBreak/>
        <w:t xml:space="preserve">6. </w:t>
      </w:r>
      <w:r w:rsidR="00480FB1" w:rsidRPr="00230C58">
        <w:rPr>
          <w:b/>
          <w:bCs/>
          <w:sz w:val="22"/>
          <w:szCs w:val="22"/>
          <w:lang w:val="sr-Latn-ME"/>
        </w:rPr>
        <w:tab/>
      </w:r>
      <w:r w:rsidRPr="00230C58">
        <w:rPr>
          <w:b/>
          <w:bCs/>
          <w:sz w:val="22"/>
          <w:szCs w:val="22"/>
          <w:lang w:val="sr-Latn-ME"/>
        </w:rPr>
        <w:t>FARMACEUTSKI PODACI</w:t>
      </w:r>
    </w:p>
    <w:p w14:paraId="32CE8F9F" w14:textId="77777777" w:rsidR="00836B35" w:rsidRPr="00230C58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9688541" w14:textId="570A08E8" w:rsidR="0072020E" w:rsidRPr="00230C5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30C58">
        <w:rPr>
          <w:b/>
          <w:bCs/>
          <w:sz w:val="22"/>
          <w:szCs w:val="22"/>
          <w:lang w:val="sr-Latn-ME"/>
        </w:rPr>
        <w:t xml:space="preserve">6.1. </w:t>
      </w:r>
      <w:r w:rsidR="00480FB1" w:rsidRPr="00230C58">
        <w:rPr>
          <w:b/>
          <w:bCs/>
          <w:sz w:val="22"/>
          <w:szCs w:val="22"/>
          <w:lang w:val="sr-Latn-ME"/>
        </w:rPr>
        <w:tab/>
      </w:r>
      <w:r w:rsidRPr="00230C58">
        <w:rPr>
          <w:b/>
          <w:bCs/>
          <w:sz w:val="22"/>
          <w:szCs w:val="22"/>
          <w:lang w:val="sr-Latn-ME"/>
        </w:rPr>
        <w:t>Lista pomoćnih supstanci</w:t>
      </w:r>
      <w:r w:rsidR="002E0135" w:rsidRPr="00230C58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230C58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230C58">
        <w:rPr>
          <w:b/>
          <w:bCs/>
          <w:sz w:val="22"/>
          <w:szCs w:val="22"/>
          <w:lang w:val="sr-Latn-ME"/>
        </w:rPr>
        <w:t>)</w:t>
      </w:r>
    </w:p>
    <w:p w14:paraId="3704964F" w14:textId="77777777" w:rsidR="003632D5" w:rsidRPr="00230C58" w:rsidRDefault="003632D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EB51CD9" w14:textId="666A93F3" w:rsidR="003632D5" w:rsidRPr="00230C58" w:rsidRDefault="003632D5" w:rsidP="003632D5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230C58">
        <w:rPr>
          <w:szCs w:val="22"/>
          <w:lang w:val="sr-Latn-ME"/>
        </w:rPr>
        <w:t>Natrijum</w:t>
      </w:r>
      <w:r w:rsidR="00DA3B13" w:rsidRPr="00230C58">
        <w:rPr>
          <w:szCs w:val="22"/>
          <w:lang w:val="sr-Latn-ME"/>
        </w:rPr>
        <w:t xml:space="preserve"> </w:t>
      </w:r>
      <w:r w:rsidRPr="00230C58">
        <w:rPr>
          <w:szCs w:val="22"/>
          <w:lang w:val="sr-Latn-ME"/>
        </w:rPr>
        <w:t>acetat;</w:t>
      </w:r>
    </w:p>
    <w:p w14:paraId="65208B0B" w14:textId="21BAB40A" w:rsidR="003632D5" w:rsidRPr="00230C58" w:rsidRDefault="003632D5" w:rsidP="003632D5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230C58">
        <w:rPr>
          <w:szCs w:val="22"/>
          <w:lang w:val="sr-Latn-ME"/>
        </w:rPr>
        <w:t>Natrijum</w:t>
      </w:r>
      <w:r w:rsidR="00DA3B13" w:rsidRPr="00230C58">
        <w:rPr>
          <w:szCs w:val="22"/>
          <w:lang w:val="sr-Latn-ME"/>
        </w:rPr>
        <w:t xml:space="preserve"> </w:t>
      </w:r>
      <w:r w:rsidRPr="00230C58">
        <w:rPr>
          <w:szCs w:val="22"/>
          <w:lang w:val="sr-Latn-ME"/>
        </w:rPr>
        <w:t>hlorid;</w:t>
      </w:r>
    </w:p>
    <w:p w14:paraId="2C831983" w14:textId="77777777" w:rsidR="003632D5" w:rsidRPr="00230C58" w:rsidRDefault="003632D5" w:rsidP="003632D5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proofErr w:type="spellStart"/>
      <w:r w:rsidRPr="00230C58">
        <w:rPr>
          <w:szCs w:val="22"/>
          <w:lang w:val="sr-Latn-ME"/>
        </w:rPr>
        <w:t>Sirćetna</w:t>
      </w:r>
      <w:proofErr w:type="spellEnd"/>
      <w:r w:rsidRPr="00230C58">
        <w:rPr>
          <w:szCs w:val="22"/>
          <w:lang w:val="sr-Latn-ME"/>
        </w:rPr>
        <w:t xml:space="preserve"> kiselina, glacijalna (</w:t>
      </w:r>
      <w:proofErr w:type="spellStart"/>
      <w:r w:rsidRPr="00230C58">
        <w:rPr>
          <w:szCs w:val="22"/>
          <w:lang w:val="sr-Latn-ME"/>
        </w:rPr>
        <w:t>E260</w:t>
      </w:r>
      <w:proofErr w:type="spellEnd"/>
      <w:r w:rsidRPr="00230C58">
        <w:rPr>
          <w:szCs w:val="22"/>
          <w:lang w:val="sr-Latn-ME"/>
        </w:rPr>
        <w:t xml:space="preserve">) </w:t>
      </w:r>
      <w:bookmarkStart w:id="6" w:name="_Hlk121228172"/>
      <w:r w:rsidRPr="00230C58">
        <w:rPr>
          <w:szCs w:val="22"/>
          <w:lang w:val="sr-Latn-ME"/>
        </w:rPr>
        <w:t xml:space="preserve">(za podešavanje </w:t>
      </w:r>
      <w:proofErr w:type="spellStart"/>
      <w:r w:rsidRPr="00230C58">
        <w:rPr>
          <w:szCs w:val="22"/>
          <w:lang w:val="sr-Latn-ME"/>
        </w:rPr>
        <w:t>pH</w:t>
      </w:r>
      <w:proofErr w:type="spellEnd"/>
      <w:r w:rsidRPr="00230C58">
        <w:rPr>
          <w:szCs w:val="22"/>
          <w:lang w:val="sr-Latn-ME"/>
        </w:rPr>
        <w:t>)</w:t>
      </w:r>
      <w:bookmarkEnd w:id="6"/>
      <w:r w:rsidRPr="00230C58">
        <w:rPr>
          <w:szCs w:val="22"/>
          <w:lang w:val="sr-Latn-ME"/>
        </w:rPr>
        <w:t>;</w:t>
      </w:r>
    </w:p>
    <w:p w14:paraId="3C767B60" w14:textId="77777777" w:rsidR="003632D5" w:rsidRPr="00230C58" w:rsidRDefault="003632D5" w:rsidP="003632D5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230C58">
        <w:rPr>
          <w:szCs w:val="22"/>
          <w:lang w:val="sr-Latn-ME"/>
        </w:rPr>
        <w:t>Voda za injekcije.</w:t>
      </w:r>
    </w:p>
    <w:p w14:paraId="79CCD4D1" w14:textId="77777777" w:rsidR="0072020E" w:rsidRPr="00230C58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20D5DB2" w14:textId="77777777" w:rsidR="0072020E" w:rsidRPr="00230C5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30C58">
        <w:rPr>
          <w:b/>
          <w:bCs/>
          <w:sz w:val="22"/>
          <w:szCs w:val="22"/>
          <w:lang w:val="sr-Latn-ME"/>
        </w:rPr>
        <w:t xml:space="preserve">6.2. </w:t>
      </w:r>
      <w:r w:rsidR="00480FB1" w:rsidRPr="00230C58">
        <w:rPr>
          <w:b/>
          <w:bCs/>
          <w:sz w:val="22"/>
          <w:szCs w:val="22"/>
          <w:lang w:val="sr-Latn-ME"/>
        </w:rPr>
        <w:tab/>
      </w:r>
      <w:r w:rsidRPr="00230C58">
        <w:rPr>
          <w:b/>
          <w:bCs/>
          <w:sz w:val="22"/>
          <w:szCs w:val="22"/>
          <w:lang w:val="sr-Latn-ME"/>
        </w:rPr>
        <w:t>Inkompatibilnost</w:t>
      </w:r>
      <w:r w:rsidR="002846DB" w:rsidRPr="00230C58">
        <w:rPr>
          <w:b/>
          <w:bCs/>
          <w:sz w:val="22"/>
          <w:szCs w:val="22"/>
          <w:lang w:val="sr-Latn-ME"/>
        </w:rPr>
        <w:t>i</w:t>
      </w:r>
    </w:p>
    <w:p w14:paraId="15D0549A" w14:textId="408F808B" w:rsidR="0072020E" w:rsidRPr="00230C58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8442BB1" w14:textId="12999730" w:rsidR="003632D5" w:rsidRPr="00230C58" w:rsidRDefault="003632D5" w:rsidP="003632D5">
      <w:pPr>
        <w:jc w:val="both"/>
        <w:rPr>
          <w:sz w:val="22"/>
          <w:szCs w:val="22"/>
          <w:lang w:val="sr-Latn-ME"/>
        </w:rPr>
      </w:pPr>
      <w:r w:rsidRPr="00230C58">
        <w:rPr>
          <w:sz w:val="22"/>
          <w:szCs w:val="22"/>
          <w:lang w:val="sr-Latn-ME"/>
        </w:rPr>
        <w:t>Dokazana je fizička inkompatibilnost</w:t>
      </w:r>
      <w:r w:rsidR="00C673B6" w:rsidRPr="00230C58">
        <w:rPr>
          <w:sz w:val="22"/>
          <w:szCs w:val="22"/>
          <w:lang w:val="sr-Latn-ME"/>
        </w:rPr>
        <w:t xml:space="preserve"> lijeka </w:t>
      </w:r>
      <w:r w:rsidRPr="00230C58">
        <w:rPr>
          <w:sz w:val="22"/>
          <w:szCs w:val="22"/>
          <w:lang w:val="sr-Latn-ME"/>
        </w:rPr>
        <w:t>ESMERON kada se doda rastvorima koji sadrže sl</w:t>
      </w:r>
      <w:r w:rsidR="00321224" w:rsidRPr="00230C58">
        <w:rPr>
          <w:sz w:val="22"/>
          <w:szCs w:val="22"/>
          <w:lang w:val="sr-Latn-ME"/>
        </w:rPr>
        <w:t>j</w:t>
      </w:r>
      <w:r w:rsidRPr="00230C58">
        <w:rPr>
          <w:sz w:val="22"/>
          <w:szCs w:val="22"/>
          <w:lang w:val="sr-Latn-ME"/>
        </w:rPr>
        <w:t>edeće l</w:t>
      </w:r>
      <w:r w:rsidR="00321224" w:rsidRPr="00230C58">
        <w:rPr>
          <w:sz w:val="22"/>
          <w:szCs w:val="22"/>
          <w:lang w:val="sr-Latn-ME"/>
        </w:rPr>
        <w:t>j</w:t>
      </w:r>
      <w:r w:rsidRPr="00230C58">
        <w:rPr>
          <w:sz w:val="22"/>
          <w:szCs w:val="22"/>
          <w:lang w:val="sr-Latn-ME"/>
        </w:rPr>
        <w:t xml:space="preserve">ekove: </w:t>
      </w:r>
      <w:proofErr w:type="spellStart"/>
      <w:r w:rsidRPr="00230C58">
        <w:rPr>
          <w:sz w:val="22"/>
          <w:szCs w:val="22"/>
          <w:lang w:val="sr-Latn-ME"/>
        </w:rPr>
        <w:t>amfotericin</w:t>
      </w:r>
      <w:proofErr w:type="spellEnd"/>
      <w:r w:rsidRPr="00230C58">
        <w:rPr>
          <w:sz w:val="22"/>
          <w:szCs w:val="22"/>
          <w:lang w:val="sr-Latn-ME"/>
        </w:rPr>
        <w:t xml:space="preserve">, </w:t>
      </w:r>
      <w:proofErr w:type="spellStart"/>
      <w:r w:rsidRPr="00230C58">
        <w:rPr>
          <w:sz w:val="22"/>
          <w:szCs w:val="22"/>
          <w:lang w:val="sr-Latn-ME"/>
        </w:rPr>
        <w:t>amoksicilin</w:t>
      </w:r>
      <w:proofErr w:type="spellEnd"/>
      <w:r w:rsidRPr="00230C58">
        <w:rPr>
          <w:sz w:val="22"/>
          <w:szCs w:val="22"/>
          <w:lang w:val="sr-Latn-ME"/>
        </w:rPr>
        <w:t xml:space="preserve">, </w:t>
      </w:r>
      <w:proofErr w:type="spellStart"/>
      <w:r w:rsidRPr="00230C58">
        <w:rPr>
          <w:sz w:val="22"/>
          <w:szCs w:val="22"/>
          <w:lang w:val="sr-Latn-ME"/>
        </w:rPr>
        <w:t>azatioprin</w:t>
      </w:r>
      <w:proofErr w:type="spellEnd"/>
      <w:r w:rsidRPr="00230C58">
        <w:rPr>
          <w:sz w:val="22"/>
          <w:szCs w:val="22"/>
          <w:lang w:val="sr-Latn-ME"/>
        </w:rPr>
        <w:t xml:space="preserve">, </w:t>
      </w:r>
      <w:proofErr w:type="spellStart"/>
      <w:r w:rsidRPr="00230C58">
        <w:rPr>
          <w:sz w:val="22"/>
          <w:szCs w:val="22"/>
          <w:lang w:val="sr-Latn-ME"/>
        </w:rPr>
        <w:t>cefazolin</w:t>
      </w:r>
      <w:proofErr w:type="spellEnd"/>
      <w:r w:rsidRPr="00230C58">
        <w:rPr>
          <w:sz w:val="22"/>
          <w:szCs w:val="22"/>
          <w:lang w:val="sr-Latn-ME"/>
        </w:rPr>
        <w:t xml:space="preserve">, </w:t>
      </w:r>
      <w:proofErr w:type="spellStart"/>
      <w:r w:rsidRPr="00230C58">
        <w:rPr>
          <w:sz w:val="22"/>
          <w:szCs w:val="22"/>
          <w:lang w:val="sr-Latn-ME"/>
        </w:rPr>
        <w:t>kloksacilin</w:t>
      </w:r>
      <w:proofErr w:type="spellEnd"/>
      <w:r w:rsidRPr="00230C58">
        <w:rPr>
          <w:sz w:val="22"/>
          <w:szCs w:val="22"/>
          <w:lang w:val="sr-Latn-ME"/>
        </w:rPr>
        <w:t xml:space="preserve">, </w:t>
      </w:r>
      <w:proofErr w:type="spellStart"/>
      <w:r w:rsidRPr="00230C58">
        <w:rPr>
          <w:sz w:val="22"/>
          <w:szCs w:val="22"/>
          <w:lang w:val="sr-Latn-ME"/>
        </w:rPr>
        <w:t>deksametazon</w:t>
      </w:r>
      <w:proofErr w:type="spellEnd"/>
      <w:r w:rsidRPr="00230C58">
        <w:rPr>
          <w:sz w:val="22"/>
          <w:szCs w:val="22"/>
          <w:lang w:val="sr-Latn-ME"/>
        </w:rPr>
        <w:t xml:space="preserve">, </w:t>
      </w:r>
      <w:proofErr w:type="spellStart"/>
      <w:r w:rsidRPr="00230C58">
        <w:rPr>
          <w:sz w:val="22"/>
          <w:szCs w:val="22"/>
          <w:lang w:val="sr-Latn-ME"/>
        </w:rPr>
        <w:t>diazepam</w:t>
      </w:r>
      <w:proofErr w:type="spellEnd"/>
      <w:r w:rsidRPr="00230C58">
        <w:rPr>
          <w:sz w:val="22"/>
          <w:szCs w:val="22"/>
          <w:lang w:val="sr-Latn-ME"/>
        </w:rPr>
        <w:t xml:space="preserve">, </w:t>
      </w:r>
      <w:proofErr w:type="spellStart"/>
      <w:r w:rsidRPr="00230C58">
        <w:rPr>
          <w:sz w:val="22"/>
          <w:szCs w:val="22"/>
          <w:lang w:val="sr-Latn-ME"/>
        </w:rPr>
        <w:t>enoksimon</w:t>
      </w:r>
      <w:proofErr w:type="spellEnd"/>
      <w:r w:rsidRPr="00230C58">
        <w:rPr>
          <w:sz w:val="22"/>
          <w:szCs w:val="22"/>
          <w:lang w:val="sr-Latn-ME"/>
        </w:rPr>
        <w:t xml:space="preserve">, </w:t>
      </w:r>
      <w:proofErr w:type="spellStart"/>
      <w:r w:rsidRPr="00230C58">
        <w:rPr>
          <w:sz w:val="22"/>
          <w:szCs w:val="22"/>
          <w:lang w:val="sr-Latn-ME"/>
        </w:rPr>
        <w:t>eritromicin</w:t>
      </w:r>
      <w:proofErr w:type="spellEnd"/>
      <w:r w:rsidRPr="00230C58">
        <w:rPr>
          <w:sz w:val="22"/>
          <w:szCs w:val="22"/>
          <w:lang w:val="sr-Latn-ME"/>
        </w:rPr>
        <w:t xml:space="preserve">, </w:t>
      </w:r>
      <w:proofErr w:type="spellStart"/>
      <w:r w:rsidRPr="00230C58">
        <w:rPr>
          <w:sz w:val="22"/>
          <w:szCs w:val="22"/>
          <w:lang w:val="sr-Latn-ME"/>
        </w:rPr>
        <w:t>famotidin</w:t>
      </w:r>
      <w:proofErr w:type="spellEnd"/>
      <w:r w:rsidRPr="00230C58">
        <w:rPr>
          <w:sz w:val="22"/>
          <w:szCs w:val="22"/>
          <w:lang w:val="sr-Latn-ME"/>
        </w:rPr>
        <w:t xml:space="preserve">, </w:t>
      </w:r>
      <w:proofErr w:type="spellStart"/>
      <w:r w:rsidRPr="00230C58">
        <w:rPr>
          <w:sz w:val="22"/>
          <w:szCs w:val="22"/>
          <w:lang w:val="sr-Latn-ME"/>
        </w:rPr>
        <w:t>furosemid</w:t>
      </w:r>
      <w:proofErr w:type="spellEnd"/>
      <w:r w:rsidRPr="00230C58">
        <w:rPr>
          <w:sz w:val="22"/>
          <w:szCs w:val="22"/>
          <w:lang w:val="sr-Latn-ME"/>
        </w:rPr>
        <w:t xml:space="preserve">, </w:t>
      </w:r>
      <w:proofErr w:type="spellStart"/>
      <w:r w:rsidRPr="00230C58">
        <w:rPr>
          <w:sz w:val="22"/>
          <w:szCs w:val="22"/>
          <w:lang w:val="sr-Latn-ME"/>
        </w:rPr>
        <w:t>hidrokortizon</w:t>
      </w:r>
      <w:proofErr w:type="spellEnd"/>
      <w:r w:rsidRPr="00230C58">
        <w:rPr>
          <w:sz w:val="22"/>
          <w:szCs w:val="22"/>
          <w:lang w:val="sr-Latn-ME"/>
        </w:rPr>
        <w:t xml:space="preserve"> natrijum </w:t>
      </w:r>
      <w:proofErr w:type="spellStart"/>
      <w:r w:rsidRPr="00230C58">
        <w:rPr>
          <w:sz w:val="22"/>
          <w:szCs w:val="22"/>
          <w:lang w:val="sr-Latn-ME"/>
        </w:rPr>
        <w:t>sukcinat</w:t>
      </w:r>
      <w:proofErr w:type="spellEnd"/>
      <w:r w:rsidRPr="00230C58">
        <w:rPr>
          <w:sz w:val="22"/>
          <w:szCs w:val="22"/>
          <w:lang w:val="sr-Latn-ME"/>
        </w:rPr>
        <w:t xml:space="preserve">, insulin, </w:t>
      </w:r>
      <w:proofErr w:type="spellStart"/>
      <w:r w:rsidRPr="00230C58">
        <w:rPr>
          <w:sz w:val="22"/>
          <w:szCs w:val="22"/>
          <w:lang w:val="sr-Latn-ME"/>
        </w:rPr>
        <w:t>intralipid</w:t>
      </w:r>
      <w:proofErr w:type="spellEnd"/>
      <w:r w:rsidRPr="00230C58">
        <w:rPr>
          <w:sz w:val="22"/>
          <w:szCs w:val="22"/>
          <w:lang w:val="sr-Latn-ME"/>
        </w:rPr>
        <w:t xml:space="preserve">, </w:t>
      </w:r>
      <w:proofErr w:type="spellStart"/>
      <w:r w:rsidRPr="00230C58">
        <w:rPr>
          <w:sz w:val="22"/>
          <w:szCs w:val="22"/>
          <w:lang w:val="sr-Latn-ME"/>
        </w:rPr>
        <w:t>metoheksital</w:t>
      </w:r>
      <w:proofErr w:type="spellEnd"/>
      <w:r w:rsidRPr="00230C58">
        <w:rPr>
          <w:sz w:val="22"/>
          <w:szCs w:val="22"/>
          <w:lang w:val="sr-Latn-ME"/>
        </w:rPr>
        <w:t xml:space="preserve">, </w:t>
      </w:r>
      <w:proofErr w:type="spellStart"/>
      <w:r w:rsidRPr="00230C58">
        <w:rPr>
          <w:sz w:val="22"/>
          <w:szCs w:val="22"/>
          <w:lang w:val="sr-Latn-ME"/>
        </w:rPr>
        <w:t>metilprednizolon</w:t>
      </w:r>
      <w:proofErr w:type="spellEnd"/>
      <w:r w:rsidRPr="00230C58">
        <w:rPr>
          <w:sz w:val="22"/>
          <w:szCs w:val="22"/>
          <w:lang w:val="sr-Latn-ME"/>
        </w:rPr>
        <w:t xml:space="preserve">, </w:t>
      </w:r>
      <w:proofErr w:type="spellStart"/>
      <w:r w:rsidRPr="00230C58">
        <w:rPr>
          <w:sz w:val="22"/>
          <w:szCs w:val="22"/>
          <w:lang w:val="sr-Latn-ME"/>
        </w:rPr>
        <w:t>prednizolon</w:t>
      </w:r>
      <w:proofErr w:type="spellEnd"/>
      <w:r w:rsidRPr="00230C58">
        <w:rPr>
          <w:sz w:val="22"/>
          <w:szCs w:val="22"/>
          <w:lang w:val="sr-Latn-ME"/>
        </w:rPr>
        <w:t xml:space="preserve"> natrijum</w:t>
      </w:r>
      <w:r w:rsidR="00DA3B13" w:rsidRPr="00230C58">
        <w:rPr>
          <w:sz w:val="22"/>
          <w:szCs w:val="22"/>
          <w:lang w:val="sr-Latn-ME"/>
        </w:rPr>
        <w:t xml:space="preserve"> </w:t>
      </w:r>
      <w:proofErr w:type="spellStart"/>
      <w:r w:rsidRPr="00230C58">
        <w:rPr>
          <w:sz w:val="22"/>
          <w:szCs w:val="22"/>
          <w:lang w:val="sr-Latn-ME"/>
        </w:rPr>
        <w:t>sukcinat</w:t>
      </w:r>
      <w:proofErr w:type="spellEnd"/>
      <w:r w:rsidRPr="00230C58">
        <w:rPr>
          <w:sz w:val="22"/>
          <w:szCs w:val="22"/>
          <w:lang w:val="sr-Latn-ME"/>
        </w:rPr>
        <w:t xml:space="preserve">, </w:t>
      </w:r>
      <w:proofErr w:type="spellStart"/>
      <w:r w:rsidRPr="00230C58">
        <w:rPr>
          <w:sz w:val="22"/>
          <w:szCs w:val="22"/>
          <w:lang w:val="sr-Latn-ME"/>
        </w:rPr>
        <w:t>tiopental</w:t>
      </w:r>
      <w:proofErr w:type="spellEnd"/>
      <w:r w:rsidRPr="00230C58">
        <w:rPr>
          <w:sz w:val="22"/>
          <w:szCs w:val="22"/>
          <w:lang w:val="sr-Latn-ME"/>
        </w:rPr>
        <w:t xml:space="preserve">, </w:t>
      </w:r>
      <w:proofErr w:type="spellStart"/>
      <w:r w:rsidRPr="00230C58">
        <w:rPr>
          <w:sz w:val="22"/>
          <w:szCs w:val="22"/>
          <w:lang w:val="sr-Latn-ME"/>
        </w:rPr>
        <w:t>trimetoprim</w:t>
      </w:r>
      <w:proofErr w:type="spellEnd"/>
      <w:r w:rsidRPr="00230C58">
        <w:rPr>
          <w:sz w:val="22"/>
          <w:szCs w:val="22"/>
          <w:lang w:val="sr-Latn-ME"/>
        </w:rPr>
        <w:t xml:space="preserve"> i </w:t>
      </w:r>
      <w:proofErr w:type="spellStart"/>
      <w:r w:rsidRPr="00230C58">
        <w:rPr>
          <w:sz w:val="22"/>
          <w:szCs w:val="22"/>
          <w:lang w:val="sr-Latn-ME"/>
        </w:rPr>
        <w:t>vankomicin</w:t>
      </w:r>
      <w:proofErr w:type="spellEnd"/>
      <w:r w:rsidRPr="00230C58">
        <w:rPr>
          <w:sz w:val="22"/>
          <w:szCs w:val="22"/>
          <w:lang w:val="sr-Latn-ME"/>
        </w:rPr>
        <w:t xml:space="preserve">. </w:t>
      </w:r>
    </w:p>
    <w:p w14:paraId="0A4CF10F" w14:textId="77777777" w:rsidR="003632D5" w:rsidRPr="00230C58" w:rsidRDefault="003632D5" w:rsidP="003632D5">
      <w:pPr>
        <w:jc w:val="both"/>
        <w:rPr>
          <w:sz w:val="22"/>
          <w:szCs w:val="22"/>
          <w:lang w:val="sr-Latn-ME"/>
        </w:rPr>
      </w:pPr>
    </w:p>
    <w:p w14:paraId="44C87210" w14:textId="15A2BD26" w:rsidR="003632D5" w:rsidRPr="00230C58" w:rsidRDefault="003632D5" w:rsidP="003632D5">
      <w:pPr>
        <w:jc w:val="both"/>
        <w:rPr>
          <w:sz w:val="22"/>
          <w:szCs w:val="22"/>
          <w:lang w:val="sr-Latn-ME"/>
        </w:rPr>
      </w:pPr>
      <w:r w:rsidRPr="00230C58">
        <w:rPr>
          <w:sz w:val="22"/>
          <w:szCs w:val="22"/>
          <w:lang w:val="sr-Latn-ME"/>
        </w:rPr>
        <w:t>L</w:t>
      </w:r>
      <w:r w:rsidR="00321224" w:rsidRPr="00230C58">
        <w:rPr>
          <w:sz w:val="22"/>
          <w:szCs w:val="22"/>
          <w:lang w:val="sr-Latn-ME"/>
        </w:rPr>
        <w:t>ij</w:t>
      </w:r>
      <w:r w:rsidRPr="00230C58">
        <w:rPr>
          <w:sz w:val="22"/>
          <w:szCs w:val="22"/>
          <w:lang w:val="sr-Latn-ME"/>
        </w:rPr>
        <w:t>ek ESMERON se ne sm</w:t>
      </w:r>
      <w:r w:rsidR="00321224" w:rsidRPr="00230C58">
        <w:rPr>
          <w:sz w:val="22"/>
          <w:szCs w:val="22"/>
          <w:lang w:val="sr-Latn-ME"/>
        </w:rPr>
        <w:t>ij</w:t>
      </w:r>
      <w:r w:rsidRPr="00230C58">
        <w:rPr>
          <w:sz w:val="22"/>
          <w:szCs w:val="22"/>
          <w:lang w:val="sr-Latn-ME"/>
        </w:rPr>
        <w:t>e m</w:t>
      </w:r>
      <w:r w:rsidR="00DA3B13" w:rsidRPr="00230C58">
        <w:rPr>
          <w:sz w:val="22"/>
          <w:szCs w:val="22"/>
          <w:lang w:val="sr-Latn-ME"/>
        </w:rPr>
        <w:t>ij</w:t>
      </w:r>
      <w:r w:rsidRPr="00230C58">
        <w:rPr>
          <w:sz w:val="22"/>
          <w:szCs w:val="22"/>
          <w:lang w:val="sr-Latn-ME"/>
        </w:rPr>
        <w:t>ešati sa drugim l</w:t>
      </w:r>
      <w:r w:rsidR="00321224" w:rsidRPr="00230C58">
        <w:rPr>
          <w:sz w:val="22"/>
          <w:szCs w:val="22"/>
          <w:lang w:val="sr-Latn-ME"/>
        </w:rPr>
        <w:t>j</w:t>
      </w:r>
      <w:r w:rsidRPr="00230C58">
        <w:rPr>
          <w:sz w:val="22"/>
          <w:szCs w:val="22"/>
          <w:lang w:val="sr-Latn-ME"/>
        </w:rPr>
        <w:t xml:space="preserve">ekovima osim sa onima koji su navedeni u </w:t>
      </w:r>
      <w:r w:rsidR="00B2737E" w:rsidRPr="00230C58">
        <w:rPr>
          <w:sz w:val="22"/>
          <w:szCs w:val="22"/>
          <w:lang w:val="sr-Latn-ME"/>
        </w:rPr>
        <w:t>odjeljku</w:t>
      </w:r>
      <w:r w:rsidRPr="00230C58">
        <w:rPr>
          <w:sz w:val="22"/>
          <w:szCs w:val="22"/>
          <w:lang w:val="sr-Latn-ME"/>
        </w:rPr>
        <w:t xml:space="preserve"> 6.6.</w:t>
      </w:r>
    </w:p>
    <w:p w14:paraId="58CCB0B2" w14:textId="77777777" w:rsidR="003632D5" w:rsidRPr="00230C58" w:rsidRDefault="003632D5" w:rsidP="003632D5">
      <w:pPr>
        <w:jc w:val="both"/>
        <w:rPr>
          <w:sz w:val="22"/>
          <w:szCs w:val="22"/>
          <w:lang w:val="sr-Latn-ME"/>
        </w:rPr>
      </w:pPr>
    </w:p>
    <w:p w14:paraId="3FA3712F" w14:textId="0D3E3CD3" w:rsidR="003632D5" w:rsidRPr="00230C58" w:rsidRDefault="003632D5" w:rsidP="003632D5">
      <w:pPr>
        <w:jc w:val="both"/>
        <w:rPr>
          <w:sz w:val="22"/>
          <w:szCs w:val="22"/>
          <w:lang w:val="sr-Latn-ME"/>
        </w:rPr>
      </w:pPr>
      <w:r w:rsidRPr="00230C58">
        <w:rPr>
          <w:sz w:val="22"/>
          <w:szCs w:val="22"/>
          <w:lang w:val="sr-Latn-ME"/>
        </w:rPr>
        <w:t>Ukoliko se</w:t>
      </w:r>
      <w:r w:rsidR="00C673B6" w:rsidRPr="00230C58">
        <w:rPr>
          <w:sz w:val="22"/>
          <w:szCs w:val="22"/>
          <w:lang w:val="sr-Latn-ME"/>
        </w:rPr>
        <w:t xml:space="preserve"> lijek </w:t>
      </w:r>
      <w:r w:rsidRPr="00230C58">
        <w:rPr>
          <w:sz w:val="22"/>
          <w:szCs w:val="22"/>
          <w:lang w:val="sr-Latn-ME"/>
        </w:rPr>
        <w:t>ESMERON prim</w:t>
      </w:r>
      <w:r w:rsidR="00321224" w:rsidRPr="00230C58">
        <w:rPr>
          <w:sz w:val="22"/>
          <w:szCs w:val="22"/>
          <w:lang w:val="sr-Latn-ME"/>
        </w:rPr>
        <w:t>j</w:t>
      </w:r>
      <w:r w:rsidRPr="00230C58">
        <w:rPr>
          <w:sz w:val="22"/>
          <w:szCs w:val="22"/>
          <w:lang w:val="sr-Latn-ME"/>
        </w:rPr>
        <w:t xml:space="preserve">enjuje putem iste </w:t>
      </w:r>
      <w:proofErr w:type="spellStart"/>
      <w:r w:rsidRPr="00230C58">
        <w:rPr>
          <w:sz w:val="22"/>
          <w:szCs w:val="22"/>
          <w:lang w:val="sr-Latn-ME"/>
        </w:rPr>
        <w:t>intravenske</w:t>
      </w:r>
      <w:proofErr w:type="spellEnd"/>
      <w:r w:rsidRPr="00230C58">
        <w:rPr>
          <w:sz w:val="22"/>
          <w:szCs w:val="22"/>
          <w:lang w:val="sr-Latn-ME"/>
        </w:rPr>
        <w:t xml:space="preserve"> linije sa drugim l</w:t>
      </w:r>
      <w:r w:rsidR="00321224" w:rsidRPr="00230C58">
        <w:rPr>
          <w:sz w:val="22"/>
          <w:szCs w:val="22"/>
          <w:lang w:val="sr-Latn-ME"/>
        </w:rPr>
        <w:t>j</w:t>
      </w:r>
      <w:r w:rsidRPr="00230C58">
        <w:rPr>
          <w:sz w:val="22"/>
          <w:szCs w:val="22"/>
          <w:lang w:val="sr-Latn-ME"/>
        </w:rPr>
        <w:t xml:space="preserve">ekovima, važno je da se </w:t>
      </w:r>
      <w:proofErr w:type="spellStart"/>
      <w:r w:rsidRPr="00230C58">
        <w:rPr>
          <w:sz w:val="22"/>
          <w:szCs w:val="22"/>
          <w:lang w:val="sr-Latn-ME"/>
        </w:rPr>
        <w:t>infuziona</w:t>
      </w:r>
      <w:proofErr w:type="spellEnd"/>
      <w:r w:rsidRPr="00230C58">
        <w:rPr>
          <w:sz w:val="22"/>
          <w:szCs w:val="22"/>
          <w:lang w:val="sr-Latn-ME"/>
        </w:rPr>
        <w:t xml:space="preserve"> linija dobro ispere (npr. sa 0,9% </w:t>
      </w:r>
      <w:proofErr w:type="spellStart"/>
      <w:r w:rsidRPr="00230C58">
        <w:rPr>
          <w:sz w:val="22"/>
          <w:szCs w:val="22"/>
          <w:lang w:val="sr-Latn-ME"/>
        </w:rPr>
        <w:t>NaCl</w:t>
      </w:r>
      <w:proofErr w:type="spellEnd"/>
      <w:r w:rsidRPr="00230C58">
        <w:rPr>
          <w:sz w:val="22"/>
          <w:szCs w:val="22"/>
          <w:lang w:val="sr-Latn-ME"/>
        </w:rPr>
        <w:t>) u periodu između prim</w:t>
      </w:r>
      <w:r w:rsidR="00321224" w:rsidRPr="00230C58">
        <w:rPr>
          <w:sz w:val="22"/>
          <w:szCs w:val="22"/>
          <w:lang w:val="sr-Latn-ME"/>
        </w:rPr>
        <w:t>j</w:t>
      </w:r>
      <w:r w:rsidRPr="00230C58">
        <w:rPr>
          <w:sz w:val="22"/>
          <w:szCs w:val="22"/>
          <w:lang w:val="sr-Latn-ME"/>
        </w:rPr>
        <w:t>ene</w:t>
      </w:r>
      <w:r w:rsidR="00C673B6" w:rsidRPr="00230C58">
        <w:rPr>
          <w:sz w:val="22"/>
          <w:szCs w:val="22"/>
          <w:lang w:val="sr-Latn-ME"/>
        </w:rPr>
        <w:t xml:space="preserve"> lijeka </w:t>
      </w:r>
      <w:r w:rsidRPr="00230C58">
        <w:rPr>
          <w:sz w:val="22"/>
          <w:szCs w:val="22"/>
          <w:lang w:val="sr-Latn-ME"/>
        </w:rPr>
        <w:t>ESMERON i drugih l</w:t>
      </w:r>
      <w:r w:rsidR="00321224" w:rsidRPr="00230C58">
        <w:rPr>
          <w:sz w:val="22"/>
          <w:szCs w:val="22"/>
          <w:lang w:val="sr-Latn-ME"/>
        </w:rPr>
        <w:t>j</w:t>
      </w:r>
      <w:r w:rsidRPr="00230C58">
        <w:rPr>
          <w:sz w:val="22"/>
          <w:szCs w:val="22"/>
          <w:lang w:val="sr-Latn-ME"/>
        </w:rPr>
        <w:t>ekova za koje je inkompatibilnost sa l</w:t>
      </w:r>
      <w:r w:rsidR="00321224" w:rsidRPr="00230C58">
        <w:rPr>
          <w:sz w:val="22"/>
          <w:szCs w:val="22"/>
          <w:lang w:val="sr-Latn-ME"/>
        </w:rPr>
        <w:t>ij</w:t>
      </w:r>
      <w:r w:rsidRPr="00230C58">
        <w:rPr>
          <w:sz w:val="22"/>
          <w:szCs w:val="22"/>
          <w:lang w:val="sr-Latn-ME"/>
        </w:rPr>
        <w:t>ekom ESMERON dokazana ili za koje kompatibilnost nije utvrđena.</w:t>
      </w:r>
    </w:p>
    <w:p w14:paraId="5C432DE2" w14:textId="77777777" w:rsidR="003632D5" w:rsidRPr="00230C58" w:rsidRDefault="003632D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44A50BD" w14:textId="77777777" w:rsidR="0072020E" w:rsidRPr="00230C5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30C58">
        <w:rPr>
          <w:b/>
          <w:bCs/>
          <w:sz w:val="22"/>
          <w:szCs w:val="22"/>
          <w:lang w:val="sr-Latn-ME"/>
        </w:rPr>
        <w:t>6.3.</w:t>
      </w:r>
      <w:r w:rsidR="00C05DF8" w:rsidRPr="00230C58">
        <w:rPr>
          <w:b/>
          <w:bCs/>
          <w:sz w:val="22"/>
          <w:szCs w:val="22"/>
          <w:lang w:val="sr-Latn-ME"/>
        </w:rPr>
        <w:t xml:space="preserve"> </w:t>
      </w:r>
      <w:r w:rsidR="00480FB1" w:rsidRPr="00230C58">
        <w:rPr>
          <w:b/>
          <w:bCs/>
          <w:sz w:val="22"/>
          <w:szCs w:val="22"/>
          <w:lang w:val="sr-Latn-ME"/>
        </w:rPr>
        <w:tab/>
      </w:r>
      <w:r w:rsidRPr="00230C58">
        <w:rPr>
          <w:b/>
          <w:bCs/>
          <w:sz w:val="22"/>
          <w:szCs w:val="22"/>
          <w:lang w:val="sr-Latn-ME"/>
        </w:rPr>
        <w:t>Rok upotrebe</w:t>
      </w:r>
    </w:p>
    <w:p w14:paraId="620856B9" w14:textId="5AC350C3" w:rsidR="0072020E" w:rsidRPr="00230C58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173519E" w14:textId="2B5B1FD5" w:rsidR="003632D5" w:rsidRPr="00230C58" w:rsidRDefault="003632D5" w:rsidP="003632D5">
      <w:pPr>
        <w:jc w:val="both"/>
        <w:rPr>
          <w:sz w:val="22"/>
          <w:szCs w:val="22"/>
          <w:lang w:val="sr-Latn-ME"/>
        </w:rPr>
      </w:pPr>
      <w:r w:rsidRPr="00230C58">
        <w:rPr>
          <w:sz w:val="22"/>
          <w:szCs w:val="22"/>
          <w:lang w:val="sr-Latn-ME"/>
        </w:rPr>
        <w:t xml:space="preserve">Rok trajanja </w:t>
      </w:r>
      <w:proofErr w:type="spellStart"/>
      <w:r w:rsidRPr="00230C58">
        <w:rPr>
          <w:sz w:val="22"/>
          <w:szCs w:val="22"/>
          <w:lang w:val="sr-Latn-ME"/>
        </w:rPr>
        <w:t>neotvorenog</w:t>
      </w:r>
      <w:proofErr w:type="spellEnd"/>
      <w:r w:rsidRPr="00230C58">
        <w:rPr>
          <w:sz w:val="22"/>
          <w:szCs w:val="22"/>
          <w:lang w:val="sr-Latn-ME"/>
        </w:rPr>
        <w:t xml:space="preserve"> l</w:t>
      </w:r>
      <w:r w:rsidR="00321224" w:rsidRPr="00230C58">
        <w:rPr>
          <w:sz w:val="22"/>
          <w:szCs w:val="22"/>
          <w:lang w:val="sr-Latn-ME"/>
        </w:rPr>
        <w:t>ij</w:t>
      </w:r>
      <w:r w:rsidRPr="00230C58">
        <w:rPr>
          <w:sz w:val="22"/>
          <w:szCs w:val="22"/>
          <w:lang w:val="sr-Latn-ME"/>
        </w:rPr>
        <w:t>eka: 3 godine.</w:t>
      </w:r>
    </w:p>
    <w:p w14:paraId="200F033A" w14:textId="100269A8" w:rsidR="003632D5" w:rsidRPr="00230C58" w:rsidRDefault="003632D5" w:rsidP="003632D5">
      <w:pPr>
        <w:jc w:val="both"/>
        <w:rPr>
          <w:sz w:val="22"/>
          <w:szCs w:val="22"/>
          <w:lang w:val="sr-Latn-ME"/>
        </w:rPr>
      </w:pPr>
      <w:r w:rsidRPr="00230C58">
        <w:rPr>
          <w:sz w:val="22"/>
          <w:szCs w:val="22"/>
          <w:lang w:val="sr-Latn-ME"/>
        </w:rPr>
        <w:t>Rok trajanja nakon prvog otvaranja: upotr</w:t>
      </w:r>
      <w:r w:rsidR="00321224" w:rsidRPr="00230C58">
        <w:rPr>
          <w:sz w:val="22"/>
          <w:szCs w:val="22"/>
          <w:lang w:val="sr-Latn-ME"/>
        </w:rPr>
        <w:t>ij</w:t>
      </w:r>
      <w:r w:rsidRPr="00230C58">
        <w:rPr>
          <w:sz w:val="22"/>
          <w:szCs w:val="22"/>
          <w:lang w:val="sr-Latn-ME"/>
        </w:rPr>
        <w:t>ebiti odmah i sav neiskorišćeni sadržaj odbaciti.</w:t>
      </w:r>
    </w:p>
    <w:p w14:paraId="7AFB7FF7" w14:textId="77777777" w:rsidR="003632D5" w:rsidRPr="00230C58" w:rsidRDefault="003632D5" w:rsidP="003632D5">
      <w:pPr>
        <w:jc w:val="both"/>
        <w:rPr>
          <w:sz w:val="22"/>
          <w:szCs w:val="22"/>
          <w:lang w:val="sr-Latn-ME"/>
        </w:rPr>
      </w:pPr>
    </w:p>
    <w:p w14:paraId="1D6913E7" w14:textId="2949BEB7" w:rsidR="003632D5" w:rsidRPr="00230C58" w:rsidRDefault="003632D5" w:rsidP="003632D5">
      <w:pPr>
        <w:jc w:val="both"/>
        <w:rPr>
          <w:sz w:val="22"/>
          <w:szCs w:val="22"/>
          <w:lang w:val="sr-Latn-ME"/>
        </w:rPr>
      </w:pPr>
      <w:r w:rsidRPr="00230C58">
        <w:rPr>
          <w:sz w:val="22"/>
          <w:szCs w:val="22"/>
          <w:lang w:val="sr-Latn-ME"/>
        </w:rPr>
        <w:t xml:space="preserve">Rok trajanja nakon </w:t>
      </w:r>
      <w:bookmarkStart w:id="7" w:name="_Hlk121224267"/>
      <w:r w:rsidRPr="00230C58">
        <w:rPr>
          <w:sz w:val="22"/>
          <w:szCs w:val="22"/>
          <w:lang w:val="sr-Latn-ME"/>
        </w:rPr>
        <w:t>razblaž</w:t>
      </w:r>
      <w:bookmarkEnd w:id="7"/>
      <w:r w:rsidRPr="00230C58">
        <w:rPr>
          <w:sz w:val="22"/>
          <w:szCs w:val="22"/>
          <w:lang w:val="sr-Latn-ME"/>
        </w:rPr>
        <w:t>ivanja: razblaženi proizvod (</w:t>
      </w:r>
      <w:r w:rsidR="00B2737E" w:rsidRPr="00230C58">
        <w:rPr>
          <w:sz w:val="22"/>
          <w:szCs w:val="22"/>
          <w:lang w:val="sr-Latn-ME"/>
        </w:rPr>
        <w:t>vidjeti</w:t>
      </w:r>
      <w:r w:rsidRPr="00230C58">
        <w:rPr>
          <w:sz w:val="22"/>
          <w:szCs w:val="22"/>
          <w:lang w:val="sr-Latn-ME"/>
        </w:rPr>
        <w:t xml:space="preserve"> </w:t>
      </w:r>
      <w:r w:rsidR="00DB7D68" w:rsidRPr="00230C58">
        <w:rPr>
          <w:sz w:val="22"/>
          <w:szCs w:val="22"/>
          <w:lang w:val="sr-Latn-ME"/>
        </w:rPr>
        <w:t>dio</w:t>
      </w:r>
      <w:r w:rsidRPr="00230C58">
        <w:rPr>
          <w:sz w:val="22"/>
          <w:szCs w:val="22"/>
          <w:lang w:val="sr-Latn-ME"/>
        </w:rPr>
        <w:t xml:space="preserve"> 6.6 za moguće </w:t>
      </w:r>
      <w:proofErr w:type="spellStart"/>
      <w:r w:rsidRPr="00230C58">
        <w:rPr>
          <w:sz w:val="22"/>
          <w:szCs w:val="22"/>
          <w:lang w:val="sr-Latn-ME"/>
        </w:rPr>
        <w:t>infuzione</w:t>
      </w:r>
      <w:proofErr w:type="spellEnd"/>
      <w:r w:rsidRPr="00230C58">
        <w:rPr>
          <w:sz w:val="22"/>
          <w:szCs w:val="22"/>
          <w:lang w:val="sr-Latn-ME"/>
        </w:rPr>
        <w:t xml:space="preserve"> tečnosti) bi trebalo odmah upotr</w:t>
      </w:r>
      <w:r w:rsidR="00321224" w:rsidRPr="00230C58">
        <w:rPr>
          <w:sz w:val="22"/>
          <w:szCs w:val="22"/>
          <w:lang w:val="sr-Latn-ME"/>
        </w:rPr>
        <w:t>ij</w:t>
      </w:r>
      <w:r w:rsidRPr="00230C58">
        <w:rPr>
          <w:sz w:val="22"/>
          <w:szCs w:val="22"/>
          <w:lang w:val="sr-Latn-ME"/>
        </w:rPr>
        <w:t>ebiti i sav neiskorišćeni sadržaj odbaciti.</w:t>
      </w:r>
    </w:p>
    <w:p w14:paraId="11FE3CE8" w14:textId="77777777" w:rsidR="003632D5" w:rsidRPr="00230C58" w:rsidRDefault="003632D5" w:rsidP="003632D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4F3DEFB" w14:textId="77777777" w:rsidR="0072020E" w:rsidRPr="00230C5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30C58">
        <w:rPr>
          <w:b/>
          <w:bCs/>
          <w:sz w:val="22"/>
          <w:szCs w:val="22"/>
          <w:lang w:val="sr-Latn-ME"/>
        </w:rPr>
        <w:t xml:space="preserve">6.4. </w:t>
      </w:r>
      <w:r w:rsidR="00480FB1" w:rsidRPr="00230C58">
        <w:rPr>
          <w:b/>
          <w:bCs/>
          <w:sz w:val="22"/>
          <w:szCs w:val="22"/>
          <w:lang w:val="sr-Latn-ME"/>
        </w:rPr>
        <w:tab/>
      </w:r>
      <w:r w:rsidRPr="00230C58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230C58">
        <w:rPr>
          <w:b/>
          <w:bCs/>
          <w:sz w:val="22"/>
          <w:szCs w:val="22"/>
          <w:lang w:val="sr-Latn-ME"/>
        </w:rPr>
        <w:t xml:space="preserve"> lijeka</w:t>
      </w:r>
    </w:p>
    <w:p w14:paraId="4ABE32FA" w14:textId="784A3AD0" w:rsidR="00EC2532" w:rsidRPr="00230C58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CB46556" w14:textId="0D2647C1" w:rsidR="00BE24D2" w:rsidRPr="00230C58" w:rsidRDefault="00BE24D2" w:rsidP="00BE24D2">
      <w:pPr>
        <w:tabs>
          <w:tab w:val="center" w:pos="4536"/>
          <w:tab w:val="right" w:pos="9072"/>
        </w:tabs>
        <w:jc w:val="both"/>
        <w:rPr>
          <w:noProof/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L</w:t>
      </w:r>
      <w:r w:rsidR="00FE491D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 xml:space="preserve">ek čuvati u frižideru </w:t>
      </w:r>
      <w:bookmarkStart w:id="8" w:name="_Hlk121227316"/>
      <w:r w:rsidRPr="00230C58">
        <w:rPr>
          <w:noProof/>
          <w:sz w:val="22"/>
          <w:szCs w:val="22"/>
          <w:lang w:val="sr-Latn-ME"/>
        </w:rPr>
        <w:t xml:space="preserve">(na temperaturi </w:t>
      </w:r>
      <w:bookmarkEnd w:id="8"/>
      <w:r w:rsidRPr="00230C58">
        <w:rPr>
          <w:noProof/>
          <w:sz w:val="22"/>
          <w:szCs w:val="22"/>
          <w:lang w:val="sr-Latn-ME"/>
        </w:rPr>
        <w:t>od 2°С do 8°С)</w:t>
      </w:r>
      <w:r w:rsidR="00AC4E12" w:rsidRPr="00230C58">
        <w:rPr>
          <w:noProof/>
          <w:sz w:val="22"/>
          <w:szCs w:val="22"/>
          <w:lang w:val="sr-Latn-ME"/>
        </w:rPr>
        <w:t>. Lijek</w:t>
      </w:r>
      <w:r w:rsidR="00C673B6" w:rsidRPr="00230C58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>se može čuvati van frižidera na temperaturi do 30°С najduže 3 m</w:t>
      </w:r>
      <w:r w:rsidR="00FE491D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eseca</w:t>
      </w:r>
      <w:r w:rsidR="00AC4E12" w:rsidRPr="00230C58">
        <w:rPr>
          <w:noProof/>
          <w:sz w:val="22"/>
          <w:szCs w:val="22"/>
          <w:lang w:val="sr-Latn-ME"/>
        </w:rPr>
        <w:t>. Lijek</w:t>
      </w:r>
      <w:r w:rsidR="00C673B6" w:rsidRPr="00230C58">
        <w:rPr>
          <w:noProof/>
          <w:sz w:val="22"/>
          <w:szCs w:val="22"/>
          <w:lang w:val="sr-Latn-ME"/>
        </w:rPr>
        <w:t xml:space="preserve"> </w:t>
      </w:r>
      <w:r w:rsidRPr="00230C58">
        <w:rPr>
          <w:noProof/>
          <w:sz w:val="22"/>
          <w:szCs w:val="22"/>
          <w:lang w:val="sr-Latn-ME"/>
        </w:rPr>
        <w:t>se može izvaditi iz frižidera i ponovo vratiti u bilo kom trenutku tokom roka upotrebe</w:t>
      </w:r>
      <w:r w:rsidR="00C673B6" w:rsidRPr="00230C58">
        <w:rPr>
          <w:noProof/>
          <w:sz w:val="22"/>
          <w:szCs w:val="22"/>
          <w:lang w:val="sr-Latn-ME"/>
        </w:rPr>
        <w:t xml:space="preserve"> lijeka </w:t>
      </w:r>
      <w:r w:rsidRPr="00230C58">
        <w:rPr>
          <w:noProof/>
          <w:sz w:val="22"/>
          <w:szCs w:val="22"/>
          <w:lang w:val="sr-Latn-ME"/>
        </w:rPr>
        <w:t xml:space="preserve">od 36 </w:t>
      </w:r>
      <w:r w:rsidR="00DB7D68" w:rsidRPr="00230C58">
        <w:rPr>
          <w:noProof/>
          <w:sz w:val="22"/>
          <w:szCs w:val="22"/>
          <w:lang w:val="sr-Latn-ME"/>
        </w:rPr>
        <w:t>mjesec</w:t>
      </w:r>
      <w:r w:rsidRPr="00230C58">
        <w:rPr>
          <w:noProof/>
          <w:sz w:val="22"/>
          <w:szCs w:val="22"/>
          <w:lang w:val="sr-Latn-ME"/>
        </w:rPr>
        <w:t>i, ali ukupno vr</w:t>
      </w:r>
      <w:r w:rsidR="00FE491D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eme tokom kog se čuva van frižidera ne sm</w:t>
      </w:r>
      <w:r w:rsidR="00FE491D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 biti duže od 3 m</w:t>
      </w:r>
      <w:r w:rsidR="00FE491D" w:rsidRPr="00230C58">
        <w:rPr>
          <w:noProof/>
          <w:sz w:val="22"/>
          <w:szCs w:val="22"/>
          <w:lang w:val="sr-Latn-ME"/>
        </w:rPr>
        <w:t>j</w:t>
      </w:r>
      <w:r w:rsidRPr="00230C58">
        <w:rPr>
          <w:noProof/>
          <w:sz w:val="22"/>
          <w:szCs w:val="22"/>
          <w:lang w:val="sr-Latn-ME"/>
        </w:rPr>
        <w:t>eseca. Period čuvanja ne treba biti duži od naznačenog roka upotrebe l</w:t>
      </w:r>
      <w:r w:rsidR="00FE491D" w:rsidRPr="00230C58">
        <w:rPr>
          <w:noProof/>
          <w:sz w:val="22"/>
          <w:szCs w:val="22"/>
          <w:lang w:val="sr-Latn-ME"/>
        </w:rPr>
        <w:t>ij</w:t>
      </w:r>
      <w:r w:rsidRPr="00230C58">
        <w:rPr>
          <w:noProof/>
          <w:sz w:val="22"/>
          <w:szCs w:val="22"/>
          <w:lang w:val="sr-Latn-ME"/>
        </w:rPr>
        <w:t>eka.</w:t>
      </w:r>
    </w:p>
    <w:p w14:paraId="7FA03941" w14:textId="77777777" w:rsidR="00BE24D2" w:rsidRPr="00230C58" w:rsidRDefault="00BE24D2" w:rsidP="00BE24D2">
      <w:pPr>
        <w:jc w:val="both"/>
        <w:rPr>
          <w:noProof/>
          <w:sz w:val="22"/>
          <w:szCs w:val="22"/>
          <w:lang w:val="sr-Latn-ME"/>
        </w:rPr>
      </w:pPr>
    </w:p>
    <w:p w14:paraId="40C1687A" w14:textId="109B5F5A" w:rsidR="00BE24D2" w:rsidRPr="00230C58" w:rsidRDefault="00BE24D2" w:rsidP="00BE24D2">
      <w:pPr>
        <w:jc w:val="both"/>
        <w:rPr>
          <w:sz w:val="22"/>
          <w:szCs w:val="22"/>
          <w:lang w:val="sr-Latn-ME"/>
        </w:rPr>
      </w:pPr>
      <w:r w:rsidRPr="00230C58">
        <w:rPr>
          <w:noProof/>
          <w:sz w:val="22"/>
          <w:szCs w:val="22"/>
          <w:lang w:val="sr-Latn-ME"/>
        </w:rPr>
        <w:t>Za uslove čuvanja nakon prvog otvaranja l</w:t>
      </w:r>
      <w:r w:rsidR="00FE491D" w:rsidRPr="00230C58">
        <w:rPr>
          <w:noProof/>
          <w:sz w:val="22"/>
          <w:szCs w:val="22"/>
          <w:lang w:val="sr-Latn-ME"/>
        </w:rPr>
        <w:t>ije</w:t>
      </w:r>
      <w:r w:rsidRPr="00230C58">
        <w:rPr>
          <w:noProof/>
          <w:sz w:val="22"/>
          <w:szCs w:val="22"/>
          <w:lang w:val="sr-Latn-ME"/>
        </w:rPr>
        <w:t xml:space="preserve">ka, </w:t>
      </w:r>
      <w:r w:rsidR="00B2737E" w:rsidRPr="00230C58">
        <w:rPr>
          <w:noProof/>
          <w:sz w:val="22"/>
          <w:szCs w:val="22"/>
          <w:lang w:val="sr-Latn-ME"/>
        </w:rPr>
        <w:t>vidjeti</w:t>
      </w:r>
      <w:r w:rsidRPr="00230C58">
        <w:rPr>
          <w:noProof/>
          <w:sz w:val="22"/>
          <w:szCs w:val="22"/>
          <w:lang w:val="sr-Latn-ME"/>
        </w:rPr>
        <w:t xml:space="preserve"> </w:t>
      </w:r>
      <w:r w:rsidR="00DB7D68" w:rsidRPr="00230C58">
        <w:rPr>
          <w:noProof/>
          <w:sz w:val="22"/>
          <w:szCs w:val="22"/>
          <w:lang w:val="sr-Latn-ME"/>
        </w:rPr>
        <w:t>dio</w:t>
      </w:r>
      <w:r w:rsidRPr="00230C58">
        <w:rPr>
          <w:noProof/>
          <w:sz w:val="22"/>
          <w:szCs w:val="22"/>
          <w:lang w:val="sr-Latn-ME"/>
        </w:rPr>
        <w:t xml:space="preserve"> 6.3.</w:t>
      </w:r>
    </w:p>
    <w:p w14:paraId="52BF372C" w14:textId="77777777" w:rsidR="00BE24D2" w:rsidRPr="00230C58" w:rsidRDefault="00BE24D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DB67AF5" w14:textId="77777777" w:rsidR="0072020E" w:rsidRPr="00230C5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30C58">
        <w:rPr>
          <w:b/>
          <w:bCs/>
          <w:sz w:val="22"/>
          <w:szCs w:val="22"/>
          <w:lang w:val="sr-Latn-ME"/>
        </w:rPr>
        <w:t xml:space="preserve">6.5. </w:t>
      </w:r>
      <w:r w:rsidR="00480FB1" w:rsidRPr="00230C58">
        <w:rPr>
          <w:b/>
          <w:bCs/>
          <w:sz w:val="22"/>
          <w:szCs w:val="22"/>
          <w:lang w:val="sr-Latn-ME"/>
        </w:rPr>
        <w:tab/>
      </w:r>
      <w:r w:rsidR="002846DB" w:rsidRPr="00230C58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230C58">
        <w:rPr>
          <w:b/>
          <w:bCs/>
          <w:sz w:val="22"/>
          <w:szCs w:val="22"/>
          <w:lang w:val="sr-Latn-ME"/>
        </w:rPr>
        <w:t>pakovanja</w:t>
      </w:r>
      <w:r w:rsidR="00C06864" w:rsidRPr="00230C58">
        <w:rPr>
          <w:b/>
          <w:bCs/>
          <w:sz w:val="22"/>
          <w:szCs w:val="22"/>
          <w:lang w:val="sr-Latn-ME"/>
        </w:rPr>
        <w:t xml:space="preserve"> </w:t>
      </w:r>
    </w:p>
    <w:p w14:paraId="5C97F68C" w14:textId="33C5891A" w:rsidR="0072020E" w:rsidRPr="00230C58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D26F454" w14:textId="33A5C7ED" w:rsidR="00424A42" w:rsidRPr="00230C58" w:rsidRDefault="00424A42" w:rsidP="00424A42">
      <w:pPr>
        <w:jc w:val="both"/>
        <w:rPr>
          <w:sz w:val="22"/>
          <w:szCs w:val="22"/>
          <w:lang w:val="sr-Latn-ME"/>
        </w:rPr>
      </w:pPr>
      <w:bookmarkStart w:id="9" w:name="_Hlk121228488"/>
      <w:r w:rsidRPr="00230C58">
        <w:rPr>
          <w:sz w:val="22"/>
          <w:szCs w:val="22"/>
          <w:lang w:val="sr-Latn-ME"/>
        </w:rPr>
        <w:t xml:space="preserve">Unutrašnje pakovanje je </w:t>
      </w:r>
      <w:bookmarkEnd w:id="9"/>
      <w:r w:rsidRPr="00230C58">
        <w:rPr>
          <w:sz w:val="22"/>
          <w:szCs w:val="22"/>
          <w:lang w:val="sr-Latn-ME"/>
        </w:rPr>
        <w:t xml:space="preserve">bezbojna staklena bočica (staklo tip I) sa gumenim čepom </w:t>
      </w:r>
      <w:bookmarkStart w:id="10" w:name="_Hlk121228513"/>
      <w:r w:rsidRPr="00230C58">
        <w:rPr>
          <w:sz w:val="22"/>
          <w:szCs w:val="22"/>
          <w:lang w:val="sr-Latn-ME"/>
        </w:rPr>
        <w:t xml:space="preserve">koji ne sadrži </w:t>
      </w:r>
      <w:proofErr w:type="spellStart"/>
      <w:r w:rsidRPr="00230C58">
        <w:rPr>
          <w:sz w:val="22"/>
          <w:szCs w:val="22"/>
          <w:lang w:val="sr-Latn-ME"/>
        </w:rPr>
        <w:t>lateks</w:t>
      </w:r>
      <w:proofErr w:type="spellEnd"/>
      <w:r w:rsidRPr="00230C58">
        <w:rPr>
          <w:sz w:val="22"/>
          <w:szCs w:val="22"/>
          <w:lang w:val="sr-Latn-ME"/>
        </w:rPr>
        <w:t xml:space="preserve"> </w:t>
      </w:r>
      <w:bookmarkEnd w:id="10"/>
      <w:r w:rsidRPr="00230C58">
        <w:rPr>
          <w:sz w:val="22"/>
          <w:szCs w:val="22"/>
          <w:lang w:val="sr-Latn-ME"/>
        </w:rPr>
        <w:t xml:space="preserve">sive boje </w:t>
      </w:r>
      <w:proofErr w:type="spellStart"/>
      <w:r w:rsidRPr="00230C58">
        <w:rPr>
          <w:sz w:val="22"/>
          <w:szCs w:val="22"/>
          <w:lang w:val="sr-Latn-ME"/>
        </w:rPr>
        <w:t>preko</w:t>
      </w:r>
      <w:proofErr w:type="spellEnd"/>
      <w:r w:rsidRPr="00230C58">
        <w:rPr>
          <w:sz w:val="22"/>
          <w:szCs w:val="22"/>
          <w:lang w:val="sr-Latn-ME"/>
        </w:rPr>
        <w:t xml:space="preserve"> kojeg se nalazi ,,</w:t>
      </w:r>
      <w:proofErr w:type="spellStart"/>
      <w:r w:rsidRPr="00230C58">
        <w:rPr>
          <w:i/>
          <w:sz w:val="22"/>
          <w:szCs w:val="22"/>
          <w:lang w:val="sr-Latn-ME"/>
        </w:rPr>
        <w:t>flip-off</w:t>
      </w:r>
      <w:proofErr w:type="spellEnd"/>
      <w:r w:rsidRPr="00230C58">
        <w:rPr>
          <w:sz w:val="22"/>
          <w:szCs w:val="22"/>
          <w:lang w:val="sr-Latn-ME"/>
        </w:rPr>
        <w:t>”</w:t>
      </w:r>
      <w:r w:rsidRPr="00230C58" w:rsidDel="002004B3">
        <w:rPr>
          <w:sz w:val="22"/>
          <w:szCs w:val="22"/>
          <w:lang w:val="sr-Latn-ME"/>
        </w:rPr>
        <w:t xml:space="preserve"> </w:t>
      </w:r>
      <w:r w:rsidRPr="00230C58">
        <w:rPr>
          <w:sz w:val="22"/>
          <w:szCs w:val="22"/>
          <w:lang w:val="sr-Latn-ME"/>
        </w:rPr>
        <w:t>zatvarač (aluminijumski prsten sa plastičnim poklopcem)</w:t>
      </w:r>
      <w:bookmarkStart w:id="11" w:name="_Hlk121228536"/>
      <w:r w:rsidRPr="00230C58">
        <w:rPr>
          <w:sz w:val="22"/>
          <w:szCs w:val="22"/>
          <w:lang w:val="sr-Latn-ME"/>
        </w:rPr>
        <w:t xml:space="preserve"> u kome se nalazi 5 </w:t>
      </w:r>
      <w:r w:rsidR="00143302" w:rsidRPr="00230C58">
        <w:rPr>
          <w:sz w:val="22"/>
          <w:szCs w:val="22"/>
          <w:lang w:val="sr-Latn-ME"/>
        </w:rPr>
        <w:t>ml</w:t>
      </w:r>
      <w:r w:rsidRPr="00230C58">
        <w:rPr>
          <w:sz w:val="22"/>
          <w:szCs w:val="22"/>
          <w:lang w:val="sr-Latn-ME"/>
        </w:rPr>
        <w:t xml:space="preserve"> rastvora za injekciju/infuziju</w:t>
      </w:r>
      <w:bookmarkEnd w:id="11"/>
      <w:r w:rsidRPr="00230C58">
        <w:rPr>
          <w:sz w:val="22"/>
          <w:szCs w:val="22"/>
          <w:lang w:val="sr-Latn-ME"/>
        </w:rPr>
        <w:t>.</w:t>
      </w:r>
    </w:p>
    <w:p w14:paraId="7A77EEAA" w14:textId="77777777" w:rsidR="00424A42" w:rsidRPr="00230C58" w:rsidRDefault="00424A42" w:rsidP="00424A42">
      <w:pPr>
        <w:jc w:val="both"/>
        <w:rPr>
          <w:sz w:val="22"/>
          <w:szCs w:val="22"/>
          <w:lang w:val="sr-Latn-ME"/>
        </w:rPr>
      </w:pPr>
    </w:p>
    <w:p w14:paraId="660BD9C8" w14:textId="327DD2BC" w:rsidR="00424A42" w:rsidRPr="00230C58" w:rsidRDefault="00424A42" w:rsidP="00424A42">
      <w:pPr>
        <w:jc w:val="both"/>
        <w:rPr>
          <w:sz w:val="22"/>
          <w:szCs w:val="22"/>
          <w:lang w:val="sr-Latn-ME"/>
        </w:rPr>
      </w:pPr>
      <w:bookmarkStart w:id="12" w:name="_Hlk121228559"/>
      <w:r w:rsidRPr="00230C58">
        <w:rPr>
          <w:sz w:val="22"/>
          <w:szCs w:val="22"/>
          <w:lang w:val="sr-Latn-ME"/>
        </w:rPr>
        <w:t xml:space="preserve">Spoljašnje pakovanje je </w:t>
      </w:r>
      <w:proofErr w:type="spellStart"/>
      <w:r w:rsidRPr="00230C58">
        <w:rPr>
          <w:sz w:val="22"/>
          <w:szCs w:val="22"/>
          <w:lang w:val="sr-Latn-ME"/>
        </w:rPr>
        <w:t>složiva</w:t>
      </w:r>
      <w:proofErr w:type="spellEnd"/>
      <w:r w:rsidRPr="00230C58">
        <w:rPr>
          <w:sz w:val="22"/>
          <w:szCs w:val="22"/>
          <w:lang w:val="sr-Latn-ME"/>
        </w:rPr>
        <w:t xml:space="preserve"> kartonska kutija u kojoj se nalazi 10 staklenih bočica sa po 5 </w:t>
      </w:r>
      <w:r w:rsidR="00143302" w:rsidRPr="00230C58">
        <w:rPr>
          <w:sz w:val="22"/>
          <w:szCs w:val="22"/>
          <w:lang w:val="sr-Latn-ME"/>
        </w:rPr>
        <w:t>ml</w:t>
      </w:r>
      <w:r w:rsidRPr="00230C58">
        <w:rPr>
          <w:sz w:val="22"/>
          <w:szCs w:val="22"/>
          <w:lang w:val="sr-Latn-ME"/>
        </w:rPr>
        <w:t xml:space="preserve"> rastvora (10 x 5 </w:t>
      </w:r>
      <w:r w:rsidR="00143302" w:rsidRPr="00230C58">
        <w:rPr>
          <w:sz w:val="22"/>
          <w:szCs w:val="22"/>
          <w:lang w:val="sr-Latn-ME"/>
        </w:rPr>
        <w:t>ml</w:t>
      </w:r>
      <w:r w:rsidRPr="00230C58">
        <w:rPr>
          <w:sz w:val="22"/>
          <w:szCs w:val="22"/>
          <w:lang w:val="sr-Latn-ME"/>
        </w:rPr>
        <w:t>) i Uputstvo za l</w:t>
      </w:r>
      <w:r w:rsidR="00FF54D7" w:rsidRPr="00230C58">
        <w:rPr>
          <w:sz w:val="22"/>
          <w:szCs w:val="22"/>
          <w:lang w:val="sr-Latn-ME"/>
        </w:rPr>
        <w:t>ij</w:t>
      </w:r>
      <w:r w:rsidRPr="00230C58">
        <w:rPr>
          <w:sz w:val="22"/>
          <w:szCs w:val="22"/>
          <w:lang w:val="sr-Latn-ME"/>
        </w:rPr>
        <w:t>ek.</w:t>
      </w:r>
      <w:bookmarkEnd w:id="12"/>
    </w:p>
    <w:p w14:paraId="3C2972D4" w14:textId="77777777" w:rsidR="00424A42" w:rsidRPr="00230C58" w:rsidRDefault="00424A4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CDA4847" w14:textId="77777777" w:rsidR="002846DB" w:rsidRPr="00230C5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30C58">
        <w:rPr>
          <w:b/>
          <w:bCs/>
          <w:sz w:val="22"/>
          <w:szCs w:val="22"/>
          <w:lang w:val="sr-Latn-ME"/>
        </w:rPr>
        <w:t xml:space="preserve">6.6. </w:t>
      </w:r>
      <w:r w:rsidR="00480FB1" w:rsidRPr="00230C58">
        <w:rPr>
          <w:b/>
          <w:bCs/>
          <w:sz w:val="22"/>
          <w:szCs w:val="22"/>
          <w:lang w:val="sr-Latn-ME"/>
        </w:rPr>
        <w:tab/>
      </w:r>
      <w:r w:rsidRPr="00230C58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230C58">
        <w:rPr>
          <w:b/>
          <w:bCs/>
          <w:sz w:val="22"/>
          <w:szCs w:val="22"/>
          <w:lang w:val="sr-Latn-ME"/>
        </w:rPr>
        <w:t xml:space="preserve"> </w:t>
      </w:r>
      <w:r w:rsidR="00310F03" w:rsidRPr="00230C58">
        <w:rPr>
          <w:b/>
          <w:bCs/>
          <w:sz w:val="22"/>
          <w:szCs w:val="22"/>
          <w:lang w:val="sr-Latn-ME"/>
        </w:rPr>
        <w:t>(i druga uputs</w:t>
      </w:r>
      <w:r w:rsidR="004109FA" w:rsidRPr="00230C58">
        <w:rPr>
          <w:b/>
          <w:bCs/>
          <w:sz w:val="22"/>
          <w:szCs w:val="22"/>
          <w:lang w:val="sr-Latn-ME"/>
        </w:rPr>
        <w:t>t</w:t>
      </w:r>
      <w:r w:rsidR="00310F03" w:rsidRPr="00230C58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6D13A973" w14:textId="3049A0B3" w:rsidR="00B66A70" w:rsidRPr="00230C58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15EAEB4" w14:textId="1257F33E" w:rsidR="00635CDD" w:rsidRPr="00230C58" w:rsidRDefault="00635CDD" w:rsidP="00635CDD">
      <w:pPr>
        <w:jc w:val="both"/>
        <w:rPr>
          <w:sz w:val="22"/>
          <w:szCs w:val="22"/>
          <w:lang w:val="sr-Latn-ME"/>
        </w:rPr>
      </w:pPr>
      <w:r w:rsidRPr="00230C58">
        <w:rPr>
          <w:sz w:val="22"/>
          <w:szCs w:val="22"/>
          <w:lang w:val="sr-Latn-ME"/>
        </w:rPr>
        <w:t>L</w:t>
      </w:r>
      <w:r w:rsidR="00FF54D7" w:rsidRPr="00230C58">
        <w:rPr>
          <w:sz w:val="22"/>
          <w:szCs w:val="22"/>
          <w:lang w:val="sr-Latn-ME"/>
        </w:rPr>
        <w:t>ij</w:t>
      </w:r>
      <w:r w:rsidRPr="00230C58">
        <w:rPr>
          <w:sz w:val="22"/>
          <w:szCs w:val="22"/>
          <w:lang w:val="sr-Latn-ME"/>
        </w:rPr>
        <w:t>ek ESMERON je kompatibilan sa sl</w:t>
      </w:r>
      <w:r w:rsidR="00FF54D7" w:rsidRPr="00230C58">
        <w:rPr>
          <w:sz w:val="22"/>
          <w:szCs w:val="22"/>
          <w:lang w:val="sr-Latn-ME"/>
        </w:rPr>
        <w:t>j</w:t>
      </w:r>
      <w:r w:rsidRPr="00230C58">
        <w:rPr>
          <w:sz w:val="22"/>
          <w:szCs w:val="22"/>
          <w:lang w:val="sr-Latn-ME"/>
        </w:rPr>
        <w:t xml:space="preserve">edećim </w:t>
      </w:r>
      <w:proofErr w:type="spellStart"/>
      <w:r w:rsidRPr="00230C58">
        <w:rPr>
          <w:sz w:val="22"/>
          <w:szCs w:val="22"/>
          <w:lang w:val="sr-Latn-ME"/>
        </w:rPr>
        <w:t>infuzionim</w:t>
      </w:r>
      <w:proofErr w:type="spellEnd"/>
      <w:r w:rsidRPr="00230C58">
        <w:rPr>
          <w:sz w:val="22"/>
          <w:szCs w:val="22"/>
          <w:lang w:val="sr-Latn-ME"/>
        </w:rPr>
        <w:t xml:space="preserve"> rastvorima: </w:t>
      </w:r>
    </w:p>
    <w:p w14:paraId="2860E21E" w14:textId="77777777" w:rsidR="00635CDD" w:rsidRPr="00230C58" w:rsidRDefault="00635CDD" w:rsidP="00635CDD">
      <w:pPr>
        <w:jc w:val="both"/>
        <w:rPr>
          <w:sz w:val="22"/>
          <w:szCs w:val="22"/>
          <w:lang w:val="sr-Latn-ME"/>
        </w:rPr>
      </w:pPr>
      <w:r w:rsidRPr="00230C58">
        <w:rPr>
          <w:sz w:val="22"/>
          <w:szCs w:val="22"/>
          <w:lang w:val="sr-Latn-ME"/>
        </w:rPr>
        <w:t xml:space="preserve">0,9% rastvorom </w:t>
      </w:r>
      <w:proofErr w:type="spellStart"/>
      <w:r w:rsidRPr="00230C58">
        <w:rPr>
          <w:sz w:val="22"/>
          <w:szCs w:val="22"/>
          <w:lang w:val="sr-Latn-ME"/>
        </w:rPr>
        <w:t>NaCl</w:t>
      </w:r>
      <w:proofErr w:type="spellEnd"/>
      <w:r w:rsidRPr="00230C58">
        <w:rPr>
          <w:sz w:val="22"/>
          <w:szCs w:val="22"/>
          <w:lang w:val="sr-Latn-ME"/>
        </w:rPr>
        <w:t xml:space="preserve"> </w:t>
      </w:r>
    </w:p>
    <w:p w14:paraId="27CF719E" w14:textId="77777777" w:rsidR="00635CDD" w:rsidRPr="00230C58" w:rsidRDefault="00635CDD" w:rsidP="00635CDD">
      <w:pPr>
        <w:jc w:val="both"/>
        <w:rPr>
          <w:sz w:val="22"/>
          <w:szCs w:val="22"/>
          <w:lang w:val="sr-Latn-ME"/>
        </w:rPr>
      </w:pPr>
      <w:r w:rsidRPr="00230C58">
        <w:rPr>
          <w:sz w:val="22"/>
          <w:szCs w:val="22"/>
          <w:lang w:val="sr-Latn-ME"/>
        </w:rPr>
        <w:t xml:space="preserve">5% rastvorom glukoze </w:t>
      </w:r>
    </w:p>
    <w:p w14:paraId="5C467BC6" w14:textId="30974531" w:rsidR="00635CDD" w:rsidRPr="00230C58" w:rsidRDefault="00635CDD" w:rsidP="00635CDD">
      <w:pPr>
        <w:jc w:val="both"/>
        <w:rPr>
          <w:sz w:val="22"/>
          <w:szCs w:val="22"/>
          <w:lang w:val="sr-Latn-ME"/>
        </w:rPr>
      </w:pPr>
      <w:r w:rsidRPr="00230C58">
        <w:rPr>
          <w:sz w:val="22"/>
          <w:szCs w:val="22"/>
          <w:lang w:val="sr-Latn-ME"/>
        </w:rPr>
        <w:t xml:space="preserve">5% rastvorom glukoze i 0,9% rastvorom </w:t>
      </w:r>
      <w:proofErr w:type="spellStart"/>
      <w:r w:rsidRPr="00230C58">
        <w:rPr>
          <w:sz w:val="22"/>
          <w:szCs w:val="22"/>
          <w:lang w:val="sr-Latn-ME"/>
        </w:rPr>
        <w:t>NaCl</w:t>
      </w:r>
      <w:proofErr w:type="spellEnd"/>
      <w:r w:rsidR="00DB7D68" w:rsidRPr="00230C58">
        <w:rPr>
          <w:sz w:val="22"/>
          <w:szCs w:val="22"/>
          <w:lang w:val="sr-Latn-ME"/>
        </w:rPr>
        <w:t xml:space="preserve"> </w:t>
      </w:r>
    </w:p>
    <w:p w14:paraId="1707340F" w14:textId="77777777" w:rsidR="00635CDD" w:rsidRPr="00230C58" w:rsidRDefault="00635CDD" w:rsidP="00635CDD">
      <w:pPr>
        <w:jc w:val="both"/>
        <w:rPr>
          <w:sz w:val="22"/>
          <w:szCs w:val="22"/>
          <w:lang w:val="sr-Latn-ME"/>
        </w:rPr>
      </w:pPr>
      <w:r w:rsidRPr="00230C58">
        <w:rPr>
          <w:sz w:val="22"/>
          <w:szCs w:val="22"/>
          <w:lang w:val="sr-Latn-ME"/>
        </w:rPr>
        <w:lastRenderedPageBreak/>
        <w:t>vodom za injekcije</w:t>
      </w:r>
    </w:p>
    <w:p w14:paraId="0A64EC6F" w14:textId="77777777" w:rsidR="00635CDD" w:rsidRPr="00230C58" w:rsidRDefault="00635CDD" w:rsidP="00635CDD">
      <w:pPr>
        <w:jc w:val="both"/>
        <w:rPr>
          <w:sz w:val="22"/>
          <w:szCs w:val="22"/>
          <w:lang w:val="sr-Latn-ME"/>
        </w:rPr>
      </w:pPr>
      <w:r w:rsidRPr="00230C58">
        <w:rPr>
          <w:sz w:val="22"/>
          <w:szCs w:val="22"/>
          <w:lang w:val="sr-Latn-ME"/>
        </w:rPr>
        <w:t xml:space="preserve">rastvorom </w:t>
      </w:r>
      <w:proofErr w:type="spellStart"/>
      <w:r w:rsidRPr="00230C58">
        <w:rPr>
          <w:sz w:val="22"/>
          <w:szCs w:val="22"/>
          <w:lang w:val="sr-Latn-ME"/>
        </w:rPr>
        <w:t>Ringer</w:t>
      </w:r>
      <w:proofErr w:type="spellEnd"/>
      <w:r w:rsidRPr="00230C58">
        <w:rPr>
          <w:sz w:val="22"/>
          <w:szCs w:val="22"/>
          <w:lang w:val="sr-Latn-ME"/>
        </w:rPr>
        <w:t xml:space="preserve"> </w:t>
      </w:r>
      <w:proofErr w:type="spellStart"/>
      <w:r w:rsidRPr="00230C58">
        <w:rPr>
          <w:sz w:val="22"/>
          <w:szCs w:val="22"/>
          <w:lang w:val="sr-Latn-ME"/>
        </w:rPr>
        <w:t>laktatom</w:t>
      </w:r>
      <w:proofErr w:type="spellEnd"/>
      <w:r w:rsidRPr="00230C58">
        <w:rPr>
          <w:sz w:val="22"/>
          <w:szCs w:val="22"/>
          <w:lang w:val="sr-Latn-ME"/>
        </w:rPr>
        <w:t xml:space="preserve"> i </w:t>
      </w:r>
    </w:p>
    <w:p w14:paraId="5CCF0EA7" w14:textId="77777777" w:rsidR="00635CDD" w:rsidRPr="00230C58" w:rsidRDefault="00635CDD" w:rsidP="00635CDD">
      <w:pPr>
        <w:jc w:val="both"/>
        <w:rPr>
          <w:sz w:val="22"/>
          <w:szCs w:val="22"/>
          <w:lang w:val="sr-Latn-ME"/>
        </w:rPr>
      </w:pPr>
      <w:proofErr w:type="spellStart"/>
      <w:r w:rsidRPr="00230C58">
        <w:rPr>
          <w:sz w:val="22"/>
          <w:szCs w:val="22"/>
          <w:lang w:val="sr-Latn-ME"/>
        </w:rPr>
        <w:t>Hemacelom</w:t>
      </w:r>
      <w:proofErr w:type="spellEnd"/>
      <w:r w:rsidRPr="00230C58">
        <w:rPr>
          <w:sz w:val="22"/>
          <w:szCs w:val="22"/>
          <w:lang w:val="sr-Latn-ME"/>
        </w:rPr>
        <w:t xml:space="preserve"> 35. </w:t>
      </w:r>
    </w:p>
    <w:p w14:paraId="0E71FC94" w14:textId="0B1613CA" w:rsidR="00635CDD" w:rsidRPr="00230C58" w:rsidRDefault="00635CDD" w:rsidP="00635CDD">
      <w:pPr>
        <w:jc w:val="both"/>
        <w:rPr>
          <w:sz w:val="22"/>
          <w:szCs w:val="22"/>
          <w:lang w:val="sr-Latn-ME"/>
        </w:rPr>
      </w:pPr>
      <w:r w:rsidRPr="00230C58">
        <w:rPr>
          <w:sz w:val="22"/>
          <w:szCs w:val="22"/>
          <w:lang w:val="sr-Latn-ME"/>
        </w:rPr>
        <w:t>Za jednokratnu upotrebu. Svu neiskorišćenu količinu</w:t>
      </w:r>
      <w:r w:rsidR="00C673B6" w:rsidRPr="00230C58">
        <w:rPr>
          <w:sz w:val="22"/>
          <w:szCs w:val="22"/>
          <w:lang w:val="sr-Latn-ME"/>
        </w:rPr>
        <w:t xml:space="preserve"> lijeka </w:t>
      </w:r>
      <w:r w:rsidRPr="00230C58">
        <w:rPr>
          <w:sz w:val="22"/>
          <w:szCs w:val="22"/>
          <w:lang w:val="sr-Latn-ME"/>
        </w:rPr>
        <w:t>ili otpadnog materijala nakon njegove upotrebe treba ukloniti, u skladu sa važećim propisima.</w:t>
      </w:r>
    </w:p>
    <w:p w14:paraId="2658A2EE" w14:textId="5D4EE39B" w:rsidR="0072020E" w:rsidRPr="00230C58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67E9749" w14:textId="77777777" w:rsidR="00B01C16" w:rsidRPr="00230C58" w:rsidRDefault="00B01C1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16F4B92" w14:textId="77777777" w:rsidR="00F8570A" w:rsidRPr="00230C5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30C58">
        <w:rPr>
          <w:b/>
          <w:bCs/>
          <w:sz w:val="22"/>
          <w:szCs w:val="22"/>
          <w:lang w:val="sr-Latn-ME"/>
        </w:rPr>
        <w:t xml:space="preserve">7. </w:t>
      </w:r>
      <w:r w:rsidR="00480FB1" w:rsidRPr="00230C58">
        <w:rPr>
          <w:b/>
          <w:bCs/>
          <w:sz w:val="22"/>
          <w:szCs w:val="22"/>
          <w:lang w:val="sr-Latn-ME"/>
        </w:rPr>
        <w:tab/>
      </w:r>
      <w:r w:rsidRPr="00230C58">
        <w:rPr>
          <w:b/>
          <w:bCs/>
          <w:sz w:val="22"/>
          <w:szCs w:val="22"/>
          <w:lang w:val="sr-Latn-ME"/>
        </w:rPr>
        <w:t>NOSILAC DOZVOLE</w:t>
      </w:r>
      <w:r w:rsidR="00483928" w:rsidRPr="00230C58">
        <w:rPr>
          <w:b/>
          <w:bCs/>
          <w:sz w:val="22"/>
          <w:szCs w:val="22"/>
          <w:lang w:val="sr-Latn-ME"/>
        </w:rPr>
        <w:t xml:space="preserve"> </w:t>
      </w:r>
    </w:p>
    <w:p w14:paraId="15B2E1FB" w14:textId="4830E362" w:rsidR="00C61BE0" w:rsidRPr="00230C58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68FF56E" w14:textId="416154E5" w:rsidR="00557C9D" w:rsidRPr="00230C58" w:rsidRDefault="00557C9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30C58">
        <w:rPr>
          <w:bCs/>
          <w:sz w:val="22"/>
          <w:szCs w:val="22"/>
          <w:lang w:val="sr-Latn-ME"/>
        </w:rPr>
        <w:t>Glosarij d.o.o.</w:t>
      </w:r>
      <w:r w:rsidR="00B01C16" w:rsidRPr="00230C58">
        <w:rPr>
          <w:bCs/>
          <w:sz w:val="22"/>
          <w:szCs w:val="22"/>
          <w:lang w:val="sr-Latn-ME"/>
        </w:rPr>
        <w:t>,</w:t>
      </w:r>
      <w:r w:rsidRPr="00230C58">
        <w:rPr>
          <w:bCs/>
          <w:sz w:val="22"/>
          <w:szCs w:val="22"/>
          <w:lang w:val="sr-Latn-ME"/>
        </w:rPr>
        <w:t xml:space="preserve"> </w:t>
      </w:r>
      <w:proofErr w:type="spellStart"/>
      <w:r w:rsidRPr="00230C58">
        <w:rPr>
          <w:bCs/>
          <w:sz w:val="22"/>
          <w:szCs w:val="22"/>
          <w:lang w:val="sr-Latn-ME"/>
        </w:rPr>
        <w:t>Vojislavljevića</w:t>
      </w:r>
      <w:proofErr w:type="spellEnd"/>
      <w:r w:rsidRPr="00230C58">
        <w:rPr>
          <w:bCs/>
          <w:sz w:val="22"/>
          <w:szCs w:val="22"/>
          <w:lang w:val="sr-Latn-ME"/>
        </w:rPr>
        <w:t xml:space="preserve"> 76, Podgorica, Crna Gora</w:t>
      </w:r>
      <w:r w:rsidR="00DB7D68" w:rsidRPr="00230C58">
        <w:rPr>
          <w:bCs/>
          <w:sz w:val="22"/>
          <w:szCs w:val="22"/>
          <w:lang w:val="sr-Latn-ME"/>
        </w:rPr>
        <w:t xml:space="preserve"> </w:t>
      </w:r>
    </w:p>
    <w:p w14:paraId="0A9407AB" w14:textId="0CC664B0" w:rsidR="00C37FD7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2116D1C" w14:textId="77777777" w:rsidR="009A1C0D" w:rsidRPr="00230C58" w:rsidRDefault="009A1C0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bookmarkStart w:id="13" w:name="_GoBack"/>
      <w:bookmarkEnd w:id="13"/>
    </w:p>
    <w:p w14:paraId="6BF6E869" w14:textId="77777777" w:rsidR="0072020E" w:rsidRPr="00230C5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30C58">
        <w:rPr>
          <w:b/>
          <w:bCs/>
          <w:sz w:val="22"/>
          <w:szCs w:val="22"/>
          <w:lang w:val="sr-Latn-ME"/>
        </w:rPr>
        <w:t xml:space="preserve">8. </w:t>
      </w:r>
      <w:r w:rsidR="00480FB1" w:rsidRPr="00230C58">
        <w:rPr>
          <w:b/>
          <w:bCs/>
          <w:sz w:val="22"/>
          <w:szCs w:val="22"/>
          <w:lang w:val="sr-Latn-ME"/>
        </w:rPr>
        <w:tab/>
      </w:r>
      <w:r w:rsidRPr="00230C58">
        <w:rPr>
          <w:b/>
          <w:bCs/>
          <w:sz w:val="22"/>
          <w:szCs w:val="22"/>
          <w:lang w:val="sr-Latn-ME"/>
        </w:rPr>
        <w:t>BROJ DOZVOLE</w:t>
      </w:r>
      <w:r w:rsidR="008A6D43" w:rsidRPr="00230C58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FF45125" w14:textId="77777777" w:rsidR="00557C9D" w:rsidRPr="00230C58" w:rsidRDefault="00557C9D" w:rsidP="00557C9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C2F77C1" w14:textId="5932F7E7" w:rsidR="00F45F77" w:rsidRDefault="00230C5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rFonts w:ascii="TimesNewRoman" w:hAnsi="TimesNewRoman" w:cs="TimesNewRoman"/>
          <w:sz w:val="22"/>
          <w:szCs w:val="22"/>
          <w:lang w:eastAsia="sr-Latn-ME"/>
        </w:rPr>
        <w:t>2030/24/936 - 5306</w:t>
      </w:r>
    </w:p>
    <w:p w14:paraId="29BF07D1" w14:textId="07D8F88E" w:rsidR="00230C58" w:rsidRDefault="00230C5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C41550" w14:textId="77777777" w:rsidR="00230C58" w:rsidRPr="00230C58" w:rsidRDefault="00230C5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4120719" w14:textId="77777777" w:rsidR="0072020E" w:rsidRPr="00230C5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30C58">
        <w:rPr>
          <w:b/>
          <w:bCs/>
          <w:sz w:val="22"/>
          <w:szCs w:val="22"/>
          <w:lang w:val="sr-Latn-ME"/>
        </w:rPr>
        <w:t xml:space="preserve">9. </w:t>
      </w:r>
      <w:r w:rsidR="00480FB1" w:rsidRPr="00230C58">
        <w:rPr>
          <w:b/>
          <w:bCs/>
          <w:sz w:val="22"/>
          <w:szCs w:val="22"/>
          <w:lang w:val="sr-Latn-ME"/>
        </w:rPr>
        <w:tab/>
      </w:r>
      <w:r w:rsidRPr="00230C58">
        <w:rPr>
          <w:b/>
          <w:bCs/>
          <w:sz w:val="22"/>
          <w:szCs w:val="22"/>
          <w:lang w:val="sr-Latn-ME"/>
        </w:rPr>
        <w:t xml:space="preserve">DATUM </w:t>
      </w:r>
      <w:r w:rsidR="00C05DF8" w:rsidRPr="00230C58">
        <w:rPr>
          <w:b/>
          <w:bCs/>
          <w:sz w:val="22"/>
          <w:szCs w:val="22"/>
          <w:lang w:val="sr-Latn-ME"/>
        </w:rPr>
        <w:t xml:space="preserve">PRVE </w:t>
      </w:r>
      <w:r w:rsidR="008A6D43" w:rsidRPr="00230C58">
        <w:rPr>
          <w:b/>
          <w:bCs/>
          <w:sz w:val="22"/>
          <w:szCs w:val="22"/>
          <w:lang w:val="sr-Latn-ME"/>
        </w:rPr>
        <w:t>DOZVOLE</w:t>
      </w:r>
      <w:r w:rsidR="00C05DF8" w:rsidRPr="00230C58">
        <w:rPr>
          <w:b/>
          <w:bCs/>
          <w:sz w:val="22"/>
          <w:szCs w:val="22"/>
          <w:lang w:val="sr-Latn-ME"/>
        </w:rPr>
        <w:t>/OBNOVE DOZVOLE</w:t>
      </w:r>
      <w:r w:rsidR="008A6D43" w:rsidRPr="00230C58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9E768CA" w14:textId="77777777" w:rsidR="00557C9D" w:rsidRPr="00230C58" w:rsidRDefault="00557C9D" w:rsidP="00557C9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6FBDEE8" w14:textId="062365B6" w:rsidR="00557C9D" w:rsidRPr="00230C58" w:rsidRDefault="00557C9D" w:rsidP="00557C9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30C58">
        <w:rPr>
          <w:bCs/>
          <w:sz w:val="22"/>
          <w:szCs w:val="22"/>
          <w:lang w:val="sr-Latn-ME"/>
        </w:rPr>
        <w:t xml:space="preserve">Datum prve dozvole: 31.07.2013. godine </w:t>
      </w:r>
    </w:p>
    <w:p w14:paraId="77D63E74" w14:textId="643A438F" w:rsidR="00B01C16" w:rsidRPr="00230C58" w:rsidRDefault="00557C9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30C58">
        <w:rPr>
          <w:bCs/>
          <w:sz w:val="22"/>
          <w:szCs w:val="22"/>
          <w:lang w:val="sr-Latn-ME"/>
        </w:rPr>
        <w:t xml:space="preserve">Datum </w:t>
      </w:r>
      <w:proofErr w:type="spellStart"/>
      <w:r w:rsidR="00B01C16" w:rsidRPr="00230C58">
        <w:rPr>
          <w:bCs/>
          <w:sz w:val="22"/>
          <w:szCs w:val="22"/>
          <w:lang w:val="sr-Latn-ME"/>
        </w:rPr>
        <w:t>poslednje</w:t>
      </w:r>
      <w:proofErr w:type="spellEnd"/>
      <w:r w:rsidR="00B01C16" w:rsidRPr="00230C58">
        <w:rPr>
          <w:bCs/>
          <w:sz w:val="22"/>
          <w:szCs w:val="22"/>
          <w:lang w:val="sr-Latn-ME"/>
        </w:rPr>
        <w:t xml:space="preserve"> </w:t>
      </w:r>
      <w:r w:rsidRPr="00230C58">
        <w:rPr>
          <w:bCs/>
          <w:sz w:val="22"/>
          <w:szCs w:val="22"/>
          <w:lang w:val="sr-Latn-ME"/>
        </w:rPr>
        <w:t>obnove dozvole</w:t>
      </w:r>
      <w:r w:rsidR="00B01C16" w:rsidRPr="00230C58">
        <w:rPr>
          <w:bCs/>
          <w:sz w:val="22"/>
          <w:szCs w:val="22"/>
          <w:lang w:val="sr-Latn-ME"/>
        </w:rPr>
        <w:t>:</w:t>
      </w:r>
      <w:r w:rsidR="00230C58">
        <w:rPr>
          <w:bCs/>
          <w:sz w:val="22"/>
          <w:szCs w:val="22"/>
          <w:lang w:val="sr-Latn-ME"/>
        </w:rPr>
        <w:t xml:space="preserve"> </w:t>
      </w:r>
      <w:r w:rsidR="00230C58">
        <w:rPr>
          <w:rFonts w:ascii="TimesNewRoman" w:hAnsi="TimesNewRoman" w:cs="TimesNewRoman"/>
          <w:sz w:val="22"/>
          <w:szCs w:val="22"/>
          <w:lang w:eastAsia="sr-Latn-ME"/>
        </w:rPr>
        <w:t xml:space="preserve">22.02.2024. </w:t>
      </w:r>
      <w:proofErr w:type="spellStart"/>
      <w:proofErr w:type="gramStart"/>
      <w:r w:rsidR="00230C58">
        <w:rPr>
          <w:rFonts w:ascii="TimesNewRoman" w:hAnsi="TimesNewRoman" w:cs="TimesNewRoman"/>
          <w:sz w:val="22"/>
          <w:szCs w:val="22"/>
          <w:lang w:eastAsia="sr-Latn-ME"/>
        </w:rPr>
        <w:t>godine</w:t>
      </w:r>
      <w:proofErr w:type="spellEnd"/>
      <w:proofErr w:type="gramEnd"/>
    </w:p>
    <w:p w14:paraId="73815448" w14:textId="77777777" w:rsidR="00B01C16" w:rsidRPr="00230C58" w:rsidRDefault="00B01C1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F455B7D" w14:textId="67A634F5" w:rsidR="00836B35" w:rsidRPr="00230C58" w:rsidRDefault="00557C9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30C58">
        <w:rPr>
          <w:bCs/>
          <w:sz w:val="22"/>
          <w:szCs w:val="22"/>
          <w:lang w:val="sr-Latn-ME"/>
        </w:rPr>
        <w:t xml:space="preserve"> </w:t>
      </w:r>
    </w:p>
    <w:p w14:paraId="45537539" w14:textId="3F8A04F1" w:rsidR="008A6D43" w:rsidRDefault="0072020E" w:rsidP="00635CD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230C58">
        <w:rPr>
          <w:b/>
          <w:bCs/>
          <w:sz w:val="22"/>
          <w:szCs w:val="22"/>
          <w:lang w:val="sr-Latn-ME"/>
        </w:rPr>
        <w:t xml:space="preserve">10. </w:t>
      </w:r>
      <w:r w:rsidR="00480FB1" w:rsidRPr="00230C58">
        <w:rPr>
          <w:b/>
          <w:bCs/>
          <w:sz w:val="22"/>
          <w:szCs w:val="22"/>
          <w:lang w:val="sr-Latn-ME"/>
        </w:rPr>
        <w:tab/>
      </w:r>
      <w:r w:rsidR="002846DB" w:rsidRPr="00230C58">
        <w:rPr>
          <w:b/>
          <w:bCs/>
          <w:sz w:val="22"/>
          <w:szCs w:val="22"/>
          <w:lang w:val="sr-Latn-ME"/>
        </w:rPr>
        <w:t>D</w:t>
      </w:r>
      <w:r w:rsidR="00EC2532" w:rsidRPr="00230C58">
        <w:rPr>
          <w:b/>
          <w:bCs/>
          <w:sz w:val="22"/>
          <w:szCs w:val="22"/>
          <w:lang w:val="sr-Latn-ME"/>
        </w:rPr>
        <w:t xml:space="preserve">ATUM REVIZIJE TEKSTA </w:t>
      </w:r>
    </w:p>
    <w:p w14:paraId="2CEC7894" w14:textId="55A205F6" w:rsidR="00230C58" w:rsidRDefault="00230C58" w:rsidP="00635CD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43CB98D7" w14:textId="213BF189" w:rsidR="00230C58" w:rsidRPr="00230C58" w:rsidRDefault="00230C58" w:rsidP="00635CDD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230C58">
        <w:rPr>
          <w:bCs/>
          <w:sz w:val="22"/>
          <w:szCs w:val="22"/>
          <w:lang w:val="sr-Latn-ME"/>
        </w:rPr>
        <w:t>Februar, 2024. godine</w:t>
      </w:r>
    </w:p>
    <w:sectPr w:rsidR="00230C58" w:rsidRPr="00230C58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DDFC5" w14:textId="77777777" w:rsidR="00E95B37" w:rsidRDefault="00E95B37">
      <w:r>
        <w:separator/>
      </w:r>
    </w:p>
  </w:endnote>
  <w:endnote w:type="continuationSeparator" w:id="0">
    <w:p w14:paraId="602A1E9C" w14:textId="77777777" w:rsidR="00E95B37" w:rsidRDefault="00E9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5C31F" w14:textId="60077154" w:rsidR="00F54088" w:rsidRPr="00B23F69" w:rsidRDefault="00F54088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9A1C0D">
      <w:rPr>
        <w:noProof/>
        <w:sz w:val="22"/>
        <w:szCs w:val="22"/>
      </w:rPr>
      <w:t>13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9A1C0D">
      <w:rPr>
        <w:noProof/>
        <w:sz w:val="22"/>
        <w:szCs w:val="22"/>
      </w:rPr>
      <w:t>14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7E91A" w14:textId="77777777" w:rsidR="00E95B37" w:rsidRDefault="00E95B37">
      <w:r>
        <w:separator/>
      </w:r>
    </w:p>
  </w:footnote>
  <w:footnote w:type="continuationSeparator" w:id="0">
    <w:p w14:paraId="290B2388" w14:textId="77777777" w:rsidR="00E95B37" w:rsidRDefault="00E95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5.55pt;height:13.2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54A718E"/>
    <w:multiLevelType w:val="hybridMultilevel"/>
    <w:tmpl w:val="4C387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C7B5D"/>
    <w:multiLevelType w:val="hybridMultilevel"/>
    <w:tmpl w:val="D4F2C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61E43"/>
    <w:multiLevelType w:val="hybridMultilevel"/>
    <w:tmpl w:val="64E2A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EDA6CD9"/>
    <w:multiLevelType w:val="hybridMultilevel"/>
    <w:tmpl w:val="F9F6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4D1E2D55"/>
    <w:multiLevelType w:val="hybridMultilevel"/>
    <w:tmpl w:val="83B2A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3"/>
  </w:num>
  <w:num w:numId="5">
    <w:abstractNumId w:val="6"/>
  </w:num>
  <w:num w:numId="6">
    <w:abstractNumId w:val="1"/>
  </w:num>
  <w:num w:numId="7">
    <w:abstractNumId w:val="11"/>
  </w:num>
  <w:num w:numId="8">
    <w:abstractNumId w:val="5"/>
  </w:num>
  <w:num w:numId="9">
    <w:abstractNumId w:val="9"/>
  </w:num>
  <w:num w:numId="10">
    <w:abstractNumId w:val="15"/>
  </w:num>
  <w:num w:numId="11">
    <w:abstractNumId w:val="7"/>
  </w:num>
  <w:num w:numId="12">
    <w:abstractNumId w:val="3"/>
  </w:num>
  <w:num w:numId="13">
    <w:abstractNumId w:val="8"/>
  </w:num>
  <w:num w:numId="14">
    <w:abstractNumId w:val="10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248B0"/>
    <w:rsid w:val="0002510D"/>
    <w:rsid w:val="00033469"/>
    <w:rsid w:val="000352ED"/>
    <w:rsid w:val="00036FA0"/>
    <w:rsid w:val="0003793F"/>
    <w:rsid w:val="00045130"/>
    <w:rsid w:val="00057E35"/>
    <w:rsid w:val="00075E28"/>
    <w:rsid w:val="00076726"/>
    <w:rsid w:val="00080303"/>
    <w:rsid w:val="00083D02"/>
    <w:rsid w:val="000A3F58"/>
    <w:rsid w:val="000B5C17"/>
    <w:rsid w:val="000C198B"/>
    <w:rsid w:val="000C7126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43302"/>
    <w:rsid w:val="0014766D"/>
    <w:rsid w:val="001536CC"/>
    <w:rsid w:val="001A3FBA"/>
    <w:rsid w:val="001A5518"/>
    <w:rsid w:val="001B1C6A"/>
    <w:rsid w:val="001C1263"/>
    <w:rsid w:val="001C1417"/>
    <w:rsid w:val="001C5D55"/>
    <w:rsid w:val="001E390B"/>
    <w:rsid w:val="001E7B79"/>
    <w:rsid w:val="001F42FB"/>
    <w:rsid w:val="001F719A"/>
    <w:rsid w:val="002031B3"/>
    <w:rsid w:val="0021362C"/>
    <w:rsid w:val="00215931"/>
    <w:rsid w:val="00224C91"/>
    <w:rsid w:val="00227BDB"/>
    <w:rsid w:val="00230C58"/>
    <w:rsid w:val="00234CB1"/>
    <w:rsid w:val="002352F8"/>
    <w:rsid w:val="002510A5"/>
    <w:rsid w:val="00254A0A"/>
    <w:rsid w:val="00266046"/>
    <w:rsid w:val="002846DB"/>
    <w:rsid w:val="00284CCD"/>
    <w:rsid w:val="0029285B"/>
    <w:rsid w:val="002B1EF2"/>
    <w:rsid w:val="002C6637"/>
    <w:rsid w:val="002E0135"/>
    <w:rsid w:val="002E37A5"/>
    <w:rsid w:val="00310F03"/>
    <w:rsid w:val="00321224"/>
    <w:rsid w:val="003247D2"/>
    <w:rsid w:val="003445C1"/>
    <w:rsid w:val="00355B61"/>
    <w:rsid w:val="00362686"/>
    <w:rsid w:val="003632D5"/>
    <w:rsid w:val="00371510"/>
    <w:rsid w:val="00396DFD"/>
    <w:rsid w:val="003A7059"/>
    <w:rsid w:val="003A79ED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24A42"/>
    <w:rsid w:val="004254E9"/>
    <w:rsid w:val="00427F85"/>
    <w:rsid w:val="00436F42"/>
    <w:rsid w:val="004378B4"/>
    <w:rsid w:val="00451314"/>
    <w:rsid w:val="00452E9D"/>
    <w:rsid w:val="004534C7"/>
    <w:rsid w:val="004671AA"/>
    <w:rsid w:val="00471DF8"/>
    <w:rsid w:val="00480FB1"/>
    <w:rsid w:val="00483928"/>
    <w:rsid w:val="004C1CC8"/>
    <w:rsid w:val="004C331F"/>
    <w:rsid w:val="004D6103"/>
    <w:rsid w:val="004E3BCE"/>
    <w:rsid w:val="004E70AD"/>
    <w:rsid w:val="004F0E97"/>
    <w:rsid w:val="004F17E2"/>
    <w:rsid w:val="00501DD1"/>
    <w:rsid w:val="00515C21"/>
    <w:rsid w:val="00524257"/>
    <w:rsid w:val="00530BD7"/>
    <w:rsid w:val="00542DCD"/>
    <w:rsid w:val="00545CD2"/>
    <w:rsid w:val="005476F3"/>
    <w:rsid w:val="00550889"/>
    <w:rsid w:val="00557C9D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D1D67"/>
    <w:rsid w:val="005E2E0B"/>
    <w:rsid w:val="005E67AD"/>
    <w:rsid w:val="005E7A7D"/>
    <w:rsid w:val="005F4D7C"/>
    <w:rsid w:val="006005F9"/>
    <w:rsid w:val="00602457"/>
    <w:rsid w:val="006245EE"/>
    <w:rsid w:val="00635CDD"/>
    <w:rsid w:val="00644FC3"/>
    <w:rsid w:val="00646BD1"/>
    <w:rsid w:val="006561C2"/>
    <w:rsid w:val="00671CB3"/>
    <w:rsid w:val="00674BAF"/>
    <w:rsid w:val="00682200"/>
    <w:rsid w:val="00692BF6"/>
    <w:rsid w:val="006A1351"/>
    <w:rsid w:val="006A1497"/>
    <w:rsid w:val="006A172E"/>
    <w:rsid w:val="006B0BD1"/>
    <w:rsid w:val="006B5404"/>
    <w:rsid w:val="006D20A5"/>
    <w:rsid w:val="006D37BF"/>
    <w:rsid w:val="00702E22"/>
    <w:rsid w:val="0072020E"/>
    <w:rsid w:val="0073776C"/>
    <w:rsid w:val="007425B6"/>
    <w:rsid w:val="00754902"/>
    <w:rsid w:val="00786071"/>
    <w:rsid w:val="007A3ECB"/>
    <w:rsid w:val="007A5E0A"/>
    <w:rsid w:val="007B3980"/>
    <w:rsid w:val="007D7BB3"/>
    <w:rsid w:val="007E31E9"/>
    <w:rsid w:val="007F05E3"/>
    <w:rsid w:val="00823D48"/>
    <w:rsid w:val="00824AB9"/>
    <w:rsid w:val="00830771"/>
    <w:rsid w:val="00836B35"/>
    <w:rsid w:val="00843BDE"/>
    <w:rsid w:val="0087588C"/>
    <w:rsid w:val="00876260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904F79"/>
    <w:rsid w:val="009058A0"/>
    <w:rsid w:val="00924166"/>
    <w:rsid w:val="00940B9B"/>
    <w:rsid w:val="00953573"/>
    <w:rsid w:val="0095676E"/>
    <w:rsid w:val="00956983"/>
    <w:rsid w:val="00963CF0"/>
    <w:rsid w:val="00964BB1"/>
    <w:rsid w:val="009775D9"/>
    <w:rsid w:val="00997175"/>
    <w:rsid w:val="009A1847"/>
    <w:rsid w:val="009A1C0D"/>
    <w:rsid w:val="009A5135"/>
    <w:rsid w:val="009B062A"/>
    <w:rsid w:val="009E7C6F"/>
    <w:rsid w:val="009F1793"/>
    <w:rsid w:val="009F2D23"/>
    <w:rsid w:val="00A01D69"/>
    <w:rsid w:val="00A02335"/>
    <w:rsid w:val="00A14B24"/>
    <w:rsid w:val="00A46C9A"/>
    <w:rsid w:val="00A619F3"/>
    <w:rsid w:val="00A62A73"/>
    <w:rsid w:val="00A87FF6"/>
    <w:rsid w:val="00AA047E"/>
    <w:rsid w:val="00AA0A3B"/>
    <w:rsid w:val="00AA2763"/>
    <w:rsid w:val="00AA33B6"/>
    <w:rsid w:val="00AB50CA"/>
    <w:rsid w:val="00AB6D64"/>
    <w:rsid w:val="00AC152B"/>
    <w:rsid w:val="00AC4E12"/>
    <w:rsid w:val="00AC53CE"/>
    <w:rsid w:val="00AD2193"/>
    <w:rsid w:val="00AF19F4"/>
    <w:rsid w:val="00AF2AC7"/>
    <w:rsid w:val="00AF74CE"/>
    <w:rsid w:val="00B01C16"/>
    <w:rsid w:val="00B208DB"/>
    <w:rsid w:val="00B23F69"/>
    <w:rsid w:val="00B2737E"/>
    <w:rsid w:val="00B60619"/>
    <w:rsid w:val="00B66A70"/>
    <w:rsid w:val="00B67366"/>
    <w:rsid w:val="00B72641"/>
    <w:rsid w:val="00B805BF"/>
    <w:rsid w:val="00B80EE1"/>
    <w:rsid w:val="00B84135"/>
    <w:rsid w:val="00BA047F"/>
    <w:rsid w:val="00BC21EA"/>
    <w:rsid w:val="00BE24D2"/>
    <w:rsid w:val="00BF6536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707E"/>
    <w:rsid w:val="00C673B6"/>
    <w:rsid w:val="00C70B0E"/>
    <w:rsid w:val="00C773CA"/>
    <w:rsid w:val="00C83785"/>
    <w:rsid w:val="00C87FA8"/>
    <w:rsid w:val="00C94C0D"/>
    <w:rsid w:val="00CA1FEB"/>
    <w:rsid w:val="00CD1B99"/>
    <w:rsid w:val="00CD4F85"/>
    <w:rsid w:val="00CD6F02"/>
    <w:rsid w:val="00CE246D"/>
    <w:rsid w:val="00CE5AD5"/>
    <w:rsid w:val="00CF07A0"/>
    <w:rsid w:val="00CF3E03"/>
    <w:rsid w:val="00D0082A"/>
    <w:rsid w:val="00D172FF"/>
    <w:rsid w:val="00D21455"/>
    <w:rsid w:val="00D47634"/>
    <w:rsid w:val="00D5409C"/>
    <w:rsid w:val="00D709B3"/>
    <w:rsid w:val="00D74CD2"/>
    <w:rsid w:val="00DA2ED6"/>
    <w:rsid w:val="00DA3B13"/>
    <w:rsid w:val="00DB1D55"/>
    <w:rsid w:val="00DB76B8"/>
    <w:rsid w:val="00DB7D68"/>
    <w:rsid w:val="00DC2EA1"/>
    <w:rsid w:val="00DD6AAF"/>
    <w:rsid w:val="00DE3F5C"/>
    <w:rsid w:val="00DF1D20"/>
    <w:rsid w:val="00E21324"/>
    <w:rsid w:val="00E246B9"/>
    <w:rsid w:val="00E31FEA"/>
    <w:rsid w:val="00E45169"/>
    <w:rsid w:val="00E47787"/>
    <w:rsid w:val="00E51C30"/>
    <w:rsid w:val="00E63F91"/>
    <w:rsid w:val="00E64180"/>
    <w:rsid w:val="00E7235D"/>
    <w:rsid w:val="00E74AEE"/>
    <w:rsid w:val="00E868E5"/>
    <w:rsid w:val="00E9237A"/>
    <w:rsid w:val="00E939FA"/>
    <w:rsid w:val="00E95B37"/>
    <w:rsid w:val="00EA5765"/>
    <w:rsid w:val="00EC2532"/>
    <w:rsid w:val="00ED7812"/>
    <w:rsid w:val="00EF3B86"/>
    <w:rsid w:val="00F053DA"/>
    <w:rsid w:val="00F12FE0"/>
    <w:rsid w:val="00F317E9"/>
    <w:rsid w:val="00F34554"/>
    <w:rsid w:val="00F35B68"/>
    <w:rsid w:val="00F45F77"/>
    <w:rsid w:val="00F5167F"/>
    <w:rsid w:val="00F52258"/>
    <w:rsid w:val="00F54088"/>
    <w:rsid w:val="00F649DC"/>
    <w:rsid w:val="00F70770"/>
    <w:rsid w:val="00F8570A"/>
    <w:rsid w:val="00F91C7B"/>
    <w:rsid w:val="00FB3B5C"/>
    <w:rsid w:val="00FC7A84"/>
    <w:rsid w:val="00FE491D"/>
    <w:rsid w:val="00FF3EDF"/>
    <w:rsid w:val="00FF54D7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058893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32D5"/>
    <w:pPr>
      <w:tabs>
        <w:tab w:val="left" w:pos="284"/>
      </w:tabs>
      <w:ind w:left="720"/>
      <w:contextualSpacing/>
      <w:jc w:val="both"/>
    </w:pPr>
    <w:rPr>
      <w:sz w:val="22"/>
    </w:rPr>
  </w:style>
  <w:style w:type="paragraph" w:styleId="Revision">
    <w:name w:val="Revision"/>
    <w:hidden/>
    <w:uiPriority w:val="99"/>
    <w:semiHidden/>
    <w:rsid w:val="00B805B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3BD23-4373-4542-B3EF-3794CC57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14</Pages>
  <Words>5868</Words>
  <Characters>33451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39241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Gordana Boljević</cp:lastModifiedBy>
  <cp:revision>4</cp:revision>
  <cp:lastPrinted>2023-02-09T08:16:00Z</cp:lastPrinted>
  <dcterms:created xsi:type="dcterms:W3CDTF">2024-02-22T12:23:00Z</dcterms:created>
  <dcterms:modified xsi:type="dcterms:W3CDTF">2024-02-22T13:33:00Z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81acc0d-dcc4-4dc9-a2c5-be70b05a2fe6_Enabled">
    <vt:lpwstr>true</vt:lpwstr>
  </property>
  <property fmtid="{D5CDD505-2E9C-101B-9397-08002B2CF9AE}" pid="4" name="MSIP_Label_e81acc0d-dcc4-4dc9-a2c5-be70b05a2fe6_SetDate">
    <vt:lpwstr>2023-03-15T10:23:36Z</vt:lpwstr>
  </property>
  <property fmtid="{D5CDD505-2E9C-101B-9397-08002B2CF9AE}" pid="5" name="MSIP_Label_e81acc0d-dcc4-4dc9-a2c5-be70b05a2fe6_Method">
    <vt:lpwstr>Privileged</vt:lpwstr>
  </property>
  <property fmtid="{D5CDD505-2E9C-101B-9397-08002B2CF9AE}" pid="6" name="MSIP_Label_e81acc0d-dcc4-4dc9-a2c5-be70b05a2fe6_Name">
    <vt:lpwstr>e81acc0d-dcc4-4dc9-a2c5-be70b05a2fe6</vt:lpwstr>
  </property>
  <property fmtid="{D5CDD505-2E9C-101B-9397-08002B2CF9AE}" pid="7" name="MSIP_Label_e81acc0d-dcc4-4dc9-a2c5-be70b05a2fe6_SiteId">
    <vt:lpwstr>a00de4ec-48a8-43a6-be74-e31274e2060d</vt:lpwstr>
  </property>
  <property fmtid="{D5CDD505-2E9C-101B-9397-08002B2CF9AE}" pid="8" name="MSIP_Label_e81acc0d-dcc4-4dc9-a2c5-be70b05a2fe6_ActionId">
    <vt:lpwstr>ff441ff3-2f6f-4b12-9704-999e8be87db6</vt:lpwstr>
  </property>
  <property fmtid="{D5CDD505-2E9C-101B-9397-08002B2CF9AE}" pid="9" name="MSIP_Label_e81acc0d-dcc4-4dc9-a2c5-be70b05a2fe6_ContentBits">
    <vt:lpwstr>0</vt:lpwstr>
  </property>
  <property fmtid="{D5CDD505-2E9C-101B-9397-08002B2CF9AE}" pid="10" name="MerckAIPLabel">
    <vt:lpwstr>NotClassified</vt:lpwstr>
  </property>
  <property fmtid="{D5CDD505-2E9C-101B-9397-08002B2CF9AE}" pid="11" name="MerckAIPDataExchange">
    <vt:lpwstr>!MRKMIP@NotClassified</vt:lpwstr>
  </property>
</Properties>
</file>