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59E3B" w14:textId="77777777" w:rsidR="001919CC" w:rsidRPr="00E33ED2" w:rsidRDefault="001919CC" w:rsidP="001919CC">
      <w:pPr>
        <w:rPr>
          <w:b/>
          <w:bCs/>
          <w:i/>
          <w:iCs/>
          <w:szCs w:val="22"/>
          <w:u w:val="single"/>
          <w:lang w:val="sr-Latn-ME"/>
        </w:rPr>
      </w:pPr>
    </w:p>
    <w:p w14:paraId="3D8421EA" w14:textId="77777777" w:rsidR="001919CC" w:rsidRPr="00E33ED2" w:rsidRDefault="001919CC" w:rsidP="001919CC">
      <w:pPr>
        <w:jc w:val="center"/>
        <w:rPr>
          <w:b/>
          <w:bCs/>
          <w:iCs/>
          <w:szCs w:val="22"/>
          <w:u w:val="single"/>
          <w:lang w:val="sr-Latn-ME"/>
        </w:rPr>
      </w:pPr>
      <w:r w:rsidRPr="00E33ED2">
        <w:rPr>
          <w:b/>
          <w:bCs/>
          <w:iCs/>
          <w:szCs w:val="22"/>
          <w:u w:val="single"/>
          <w:lang w:val="sr-Latn-ME"/>
        </w:rPr>
        <w:t>SAŽETAK KARAKTERISTIKA LIJEKA</w:t>
      </w:r>
    </w:p>
    <w:p w14:paraId="1115D7BE" w14:textId="77777777" w:rsidR="001919CC" w:rsidRPr="00E33ED2" w:rsidRDefault="001919CC" w:rsidP="001919CC">
      <w:pPr>
        <w:rPr>
          <w:b/>
          <w:bCs/>
          <w:i/>
          <w:iCs/>
          <w:szCs w:val="22"/>
          <w:u w:val="single"/>
          <w:lang w:val="sr-Latn-ME"/>
        </w:rPr>
      </w:pPr>
    </w:p>
    <w:p w14:paraId="0E023D50" w14:textId="77777777" w:rsidR="001919CC" w:rsidRPr="00E33ED2" w:rsidRDefault="001919CC" w:rsidP="001919CC">
      <w:pPr>
        <w:rPr>
          <w:bCs/>
          <w:szCs w:val="22"/>
          <w:lang w:val="sr-Latn-ME"/>
        </w:rPr>
      </w:pPr>
    </w:p>
    <w:p w14:paraId="06F6DCC4" w14:textId="7B770DF4" w:rsidR="001919CC" w:rsidRPr="00E33ED2" w:rsidRDefault="001919CC" w:rsidP="00E33ED2">
      <w:pPr>
        <w:tabs>
          <w:tab w:val="center" w:pos="4535"/>
        </w:tabs>
        <w:rPr>
          <w:b/>
          <w:bCs/>
          <w:szCs w:val="22"/>
          <w:lang w:val="sr-Latn-ME"/>
        </w:rPr>
      </w:pPr>
      <w:r w:rsidRPr="00E33ED2">
        <w:rPr>
          <w:b/>
          <w:bCs/>
          <w:szCs w:val="22"/>
          <w:lang w:val="sr-Latn-ME"/>
        </w:rPr>
        <w:t>1.</w:t>
      </w:r>
      <w:r w:rsidRPr="00E33ED2">
        <w:rPr>
          <w:b/>
          <w:bCs/>
          <w:szCs w:val="22"/>
          <w:lang w:val="sr-Latn-ME"/>
        </w:rPr>
        <w:tab/>
        <w:t>NAZIV LIJEKA</w:t>
      </w:r>
      <w:r w:rsidR="00E33ED2" w:rsidRPr="00E33ED2">
        <w:rPr>
          <w:b/>
          <w:bCs/>
          <w:szCs w:val="22"/>
          <w:lang w:val="sr-Latn-ME"/>
        </w:rPr>
        <w:tab/>
      </w:r>
    </w:p>
    <w:p w14:paraId="477FEF3E" w14:textId="77777777" w:rsidR="001919CC" w:rsidRPr="00E33ED2" w:rsidRDefault="001919CC" w:rsidP="001919CC">
      <w:pPr>
        <w:rPr>
          <w:szCs w:val="22"/>
          <w:lang w:val="sr-Latn-ME"/>
        </w:rPr>
      </w:pPr>
    </w:p>
    <w:p w14:paraId="120A0587" w14:textId="77777777" w:rsidR="001919CC" w:rsidRPr="00E33ED2" w:rsidRDefault="00AC6E3D" w:rsidP="001919CC">
      <w:pPr>
        <w:rPr>
          <w:iCs/>
          <w:szCs w:val="22"/>
          <w:lang w:val="sr-Latn-ME"/>
        </w:rPr>
      </w:pPr>
      <w:r w:rsidRPr="00E33ED2">
        <w:rPr>
          <w:szCs w:val="22"/>
          <w:lang w:val="sr-Latn-ME"/>
        </w:rPr>
        <w:t>Prenessaneo</w:t>
      </w:r>
      <w:r w:rsidR="00AC1110" w:rsidRPr="00E33ED2">
        <w:rPr>
          <w:szCs w:val="22"/>
          <w:lang w:val="sr-Latn-ME"/>
        </w:rPr>
        <w:t>,</w:t>
      </w:r>
      <w:r w:rsidR="001919CC" w:rsidRPr="00E33ED2">
        <w:rPr>
          <w:szCs w:val="22"/>
          <w:lang w:val="sr-Latn-ME"/>
        </w:rPr>
        <w:t xml:space="preserve"> 10 mg</w:t>
      </w:r>
      <w:r w:rsidR="00AC1110" w:rsidRPr="00E33ED2">
        <w:rPr>
          <w:szCs w:val="22"/>
          <w:lang w:val="sr-Latn-ME"/>
        </w:rPr>
        <w:t>,</w:t>
      </w:r>
      <w:r w:rsidR="001919CC" w:rsidRPr="00E33ED2">
        <w:rPr>
          <w:szCs w:val="22"/>
          <w:lang w:val="sr-Latn-ME"/>
        </w:rPr>
        <w:t xml:space="preserve"> tableta</w:t>
      </w:r>
    </w:p>
    <w:p w14:paraId="2582C404" w14:textId="77777777" w:rsidR="001919CC" w:rsidRPr="00E33ED2" w:rsidRDefault="001919CC" w:rsidP="001919CC">
      <w:pPr>
        <w:rPr>
          <w:bCs/>
          <w:szCs w:val="22"/>
          <w:lang w:val="sr-Latn-ME"/>
        </w:rPr>
      </w:pPr>
    </w:p>
    <w:p w14:paraId="24A69B3B" w14:textId="4FFE3D76" w:rsidR="001919CC" w:rsidRPr="00E33ED2" w:rsidRDefault="001919CC" w:rsidP="001919CC">
      <w:pPr>
        <w:rPr>
          <w:szCs w:val="22"/>
          <w:lang w:val="sr-Latn-ME"/>
        </w:rPr>
      </w:pPr>
      <w:r w:rsidRPr="00E33ED2">
        <w:rPr>
          <w:szCs w:val="22"/>
          <w:lang w:val="sr-Latn-ME"/>
        </w:rPr>
        <w:t>INN:</w:t>
      </w:r>
      <w:r w:rsidRPr="00E33ED2">
        <w:rPr>
          <w:i/>
          <w:iCs/>
          <w:szCs w:val="22"/>
          <w:lang w:val="sr-Latn-ME"/>
        </w:rPr>
        <w:t xml:space="preserve"> </w:t>
      </w:r>
      <w:r w:rsidR="008A4FAB" w:rsidRPr="00E33ED2">
        <w:rPr>
          <w:iCs/>
          <w:szCs w:val="22"/>
          <w:lang w:val="sr-Latn-ME"/>
        </w:rPr>
        <w:t xml:space="preserve">perindopril </w:t>
      </w:r>
    </w:p>
    <w:p w14:paraId="269DEEBE" w14:textId="77777777" w:rsidR="001919CC" w:rsidRPr="00E33ED2" w:rsidRDefault="001919CC" w:rsidP="001919CC">
      <w:pPr>
        <w:rPr>
          <w:bCs/>
          <w:szCs w:val="22"/>
          <w:lang w:val="sr-Latn-ME"/>
        </w:rPr>
      </w:pPr>
    </w:p>
    <w:p w14:paraId="13DCAD5E" w14:textId="77777777" w:rsidR="001919CC" w:rsidRPr="00E33ED2" w:rsidRDefault="001919CC" w:rsidP="001919CC">
      <w:pPr>
        <w:rPr>
          <w:bCs/>
          <w:szCs w:val="22"/>
          <w:lang w:val="sr-Latn-ME"/>
        </w:rPr>
      </w:pPr>
    </w:p>
    <w:p w14:paraId="13F3A76C" w14:textId="77777777" w:rsidR="001919CC" w:rsidRPr="00E33ED2" w:rsidRDefault="001919CC" w:rsidP="001919CC">
      <w:pPr>
        <w:rPr>
          <w:b/>
          <w:bCs/>
          <w:szCs w:val="22"/>
          <w:lang w:val="sr-Latn-ME"/>
        </w:rPr>
      </w:pPr>
      <w:r w:rsidRPr="00E33ED2">
        <w:rPr>
          <w:b/>
          <w:bCs/>
          <w:szCs w:val="22"/>
          <w:lang w:val="sr-Latn-ME"/>
        </w:rPr>
        <w:t xml:space="preserve">2. </w:t>
      </w:r>
      <w:r w:rsidRPr="00E33ED2">
        <w:rPr>
          <w:b/>
          <w:bCs/>
          <w:szCs w:val="22"/>
          <w:lang w:val="sr-Latn-ME"/>
        </w:rPr>
        <w:tab/>
        <w:t>KVALITATIVNI I KVANTITATIVNI SASTAV</w:t>
      </w:r>
    </w:p>
    <w:p w14:paraId="056A9D86" w14:textId="77777777" w:rsidR="001919CC" w:rsidRPr="00E33ED2" w:rsidRDefault="001919CC" w:rsidP="001919CC">
      <w:pPr>
        <w:rPr>
          <w:szCs w:val="22"/>
          <w:lang w:val="sr-Latn-ME"/>
        </w:rPr>
      </w:pPr>
    </w:p>
    <w:p w14:paraId="6629D580" w14:textId="62802744" w:rsidR="001919CC" w:rsidRPr="00E33ED2" w:rsidRDefault="00AC1110" w:rsidP="001919CC">
      <w:pPr>
        <w:rPr>
          <w:szCs w:val="22"/>
          <w:lang w:val="sr-Latn-ME"/>
        </w:rPr>
      </w:pPr>
      <w:r w:rsidRPr="00E33ED2">
        <w:rPr>
          <w:szCs w:val="22"/>
          <w:lang w:val="sr-Latn-ME"/>
        </w:rPr>
        <w:t>Svaka</w:t>
      </w:r>
      <w:r w:rsidR="001919CC" w:rsidRPr="00E33ED2">
        <w:rPr>
          <w:szCs w:val="22"/>
          <w:lang w:val="sr-Latn-ME"/>
        </w:rPr>
        <w:t xml:space="preserve"> tableta sadrži 10 mg </w:t>
      </w:r>
      <w:r w:rsidR="008A4FAB" w:rsidRPr="00E33ED2">
        <w:rPr>
          <w:iCs/>
          <w:szCs w:val="22"/>
          <w:lang w:val="sr-Latn-ME"/>
        </w:rPr>
        <w:t>perindopril arginina</w:t>
      </w:r>
      <w:r w:rsidR="001919CC" w:rsidRPr="00E33ED2">
        <w:rPr>
          <w:szCs w:val="22"/>
          <w:lang w:val="sr-Latn-ME"/>
        </w:rPr>
        <w:t>, što odgovara</w:t>
      </w:r>
      <w:r w:rsidR="001919CC" w:rsidRPr="00E33ED2">
        <w:rPr>
          <w:bCs/>
          <w:iCs/>
          <w:szCs w:val="22"/>
          <w:lang w:val="sr-Latn-ME"/>
        </w:rPr>
        <w:t xml:space="preserve"> 6,790 mg perindoprila</w:t>
      </w:r>
      <w:r w:rsidR="001919CC" w:rsidRPr="00E33ED2">
        <w:rPr>
          <w:szCs w:val="22"/>
          <w:lang w:val="sr-Latn-ME"/>
        </w:rPr>
        <w:t>.</w:t>
      </w:r>
    </w:p>
    <w:p w14:paraId="6DF075B3" w14:textId="77777777" w:rsidR="001919CC" w:rsidRPr="00E33ED2" w:rsidRDefault="001919CC" w:rsidP="001919CC">
      <w:pPr>
        <w:rPr>
          <w:szCs w:val="22"/>
          <w:lang w:val="sr-Latn-ME"/>
        </w:rPr>
      </w:pPr>
    </w:p>
    <w:p w14:paraId="3CE04AF0" w14:textId="77777777" w:rsidR="001919CC" w:rsidRPr="00E33ED2" w:rsidRDefault="001919CC" w:rsidP="001919CC">
      <w:pPr>
        <w:rPr>
          <w:szCs w:val="22"/>
          <w:lang w:val="sr-Latn-ME"/>
        </w:rPr>
      </w:pPr>
      <w:r w:rsidRPr="00E33ED2">
        <w:rPr>
          <w:szCs w:val="22"/>
          <w:lang w:val="sr-Latn-ME"/>
        </w:rPr>
        <w:t>Za spisak svih ekscipijenasa, pogledati dio 6.1.</w:t>
      </w:r>
    </w:p>
    <w:p w14:paraId="03A7BD39" w14:textId="77777777" w:rsidR="001919CC" w:rsidRPr="00E33ED2" w:rsidRDefault="001919CC" w:rsidP="001919CC">
      <w:pPr>
        <w:rPr>
          <w:szCs w:val="22"/>
          <w:lang w:val="sr-Latn-ME"/>
        </w:rPr>
      </w:pPr>
    </w:p>
    <w:p w14:paraId="5512D3A0" w14:textId="77777777" w:rsidR="001919CC" w:rsidRPr="00E33ED2" w:rsidRDefault="001919CC" w:rsidP="001919CC">
      <w:pPr>
        <w:rPr>
          <w:szCs w:val="22"/>
          <w:lang w:val="sr-Latn-ME"/>
        </w:rPr>
      </w:pPr>
    </w:p>
    <w:p w14:paraId="4E4D8980" w14:textId="77777777" w:rsidR="001919CC" w:rsidRPr="00E33ED2" w:rsidRDefault="001919CC" w:rsidP="001919CC">
      <w:pPr>
        <w:rPr>
          <w:b/>
          <w:bCs/>
          <w:szCs w:val="22"/>
          <w:lang w:val="sr-Latn-ME"/>
        </w:rPr>
      </w:pPr>
      <w:r w:rsidRPr="00E33ED2">
        <w:rPr>
          <w:b/>
          <w:bCs/>
          <w:szCs w:val="22"/>
          <w:lang w:val="sr-Latn-ME"/>
        </w:rPr>
        <w:t xml:space="preserve">3. </w:t>
      </w:r>
      <w:r w:rsidRPr="00E33ED2">
        <w:rPr>
          <w:b/>
          <w:bCs/>
          <w:szCs w:val="22"/>
          <w:lang w:val="sr-Latn-ME"/>
        </w:rPr>
        <w:tab/>
        <w:t xml:space="preserve">FARMACEUTSKI OBLIK </w:t>
      </w:r>
    </w:p>
    <w:p w14:paraId="0FA0CE51" w14:textId="77777777" w:rsidR="001919CC" w:rsidRPr="00E33ED2" w:rsidRDefault="001919CC" w:rsidP="001919CC">
      <w:pPr>
        <w:rPr>
          <w:bCs/>
          <w:szCs w:val="22"/>
          <w:lang w:val="sr-Latn-ME"/>
        </w:rPr>
      </w:pPr>
    </w:p>
    <w:p w14:paraId="2717B299" w14:textId="77777777" w:rsidR="00994468" w:rsidRPr="00E33ED2" w:rsidRDefault="00994468" w:rsidP="00994468">
      <w:pPr>
        <w:widowControl w:val="0"/>
        <w:rPr>
          <w:noProof/>
          <w:szCs w:val="22"/>
          <w:lang w:val="sr-Latn-ME"/>
        </w:rPr>
      </w:pPr>
      <w:r w:rsidRPr="00E33ED2">
        <w:rPr>
          <w:noProof/>
          <w:szCs w:val="22"/>
          <w:lang w:val="sr-Latn-ME"/>
        </w:rPr>
        <w:t>Tableta</w:t>
      </w:r>
    </w:p>
    <w:p w14:paraId="532B61C3" w14:textId="77777777" w:rsidR="00994468" w:rsidRPr="00E33ED2" w:rsidRDefault="00994468" w:rsidP="001919CC">
      <w:pPr>
        <w:rPr>
          <w:bCs/>
          <w:szCs w:val="22"/>
          <w:lang w:val="sr-Latn-ME"/>
        </w:rPr>
      </w:pPr>
    </w:p>
    <w:p w14:paraId="425248EF" w14:textId="058BCACB" w:rsidR="00994468" w:rsidRPr="00E33ED2" w:rsidRDefault="00994468" w:rsidP="00994468">
      <w:pPr>
        <w:widowControl w:val="0"/>
        <w:rPr>
          <w:szCs w:val="22"/>
          <w:lang w:val="sr-Latn-ME"/>
        </w:rPr>
      </w:pPr>
      <w:r w:rsidRPr="00E33ED2">
        <w:rPr>
          <w:szCs w:val="22"/>
          <w:lang w:val="sr-Latn-ME"/>
        </w:rPr>
        <w:t>Bijele ili gotovo bijele, okrugle, bikonveksne tablete s</w:t>
      </w:r>
      <w:r w:rsidR="00AC1110" w:rsidRPr="00E33ED2">
        <w:rPr>
          <w:szCs w:val="22"/>
          <w:lang w:val="sr-Latn-ME"/>
        </w:rPr>
        <w:t>a</w:t>
      </w:r>
      <w:r w:rsidRPr="00E33ED2">
        <w:rPr>
          <w:szCs w:val="22"/>
          <w:lang w:val="sr-Latn-ME"/>
        </w:rPr>
        <w:t xml:space="preserve"> oznakom V2 na jednoj strani tablete. Promjer</w:t>
      </w:r>
      <w:r w:rsidR="0003767C" w:rsidRPr="00E33ED2">
        <w:rPr>
          <w:szCs w:val="22"/>
          <w:lang w:val="sr-Latn-ME"/>
        </w:rPr>
        <w:t xml:space="preserve"> tablete</w:t>
      </w:r>
      <w:r w:rsidRPr="00E33ED2">
        <w:rPr>
          <w:szCs w:val="22"/>
          <w:lang w:val="sr-Latn-ME"/>
        </w:rPr>
        <w:t>: približno 8 mm.</w:t>
      </w:r>
    </w:p>
    <w:p w14:paraId="69C4E385" w14:textId="77777777" w:rsidR="001919CC" w:rsidRPr="00E33ED2" w:rsidRDefault="001919CC" w:rsidP="001919CC">
      <w:pPr>
        <w:rPr>
          <w:bCs/>
          <w:szCs w:val="22"/>
          <w:lang w:val="sr-Latn-ME"/>
        </w:rPr>
      </w:pPr>
    </w:p>
    <w:p w14:paraId="41595855" w14:textId="77777777" w:rsidR="00994468" w:rsidRPr="00E33ED2" w:rsidRDefault="00994468" w:rsidP="001919CC">
      <w:pPr>
        <w:rPr>
          <w:bCs/>
          <w:szCs w:val="22"/>
          <w:lang w:val="sr-Latn-ME"/>
        </w:rPr>
      </w:pPr>
    </w:p>
    <w:p w14:paraId="1B9E87C1" w14:textId="77777777" w:rsidR="001919CC" w:rsidRPr="00E33ED2" w:rsidRDefault="001919CC" w:rsidP="00AC7873">
      <w:pPr>
        <w:jc w:val="both"/>
        <w:rPr>
          <w:b/>
          <w:bCs/>
          <w:szCs w:val="22"/>
          <w:lang w:val="sr-Latn-ME"/>
        </w:rPr>
      </w:pPr>
      <w:r w:rsidRPr="00E33ED2">
        <w:rPr>
          <w:b/>
          <w:bCs/>
          <w:szCs w:val="22"/>
          <w:lang w:val="sr-Latn-ME"/>
        </w:rPr>
        <w:t xml:space="preserve">4. </w:t>
      </w:r>
      <w:r w:rsidRPr="00E33ED2">
        <w:rPr>
          <w:b/>
          <w:bCs/>
          <w:szCs w:val="22"/>
          <w:lang w:val="sr-Latn-ME"/>
        </w:rPr>
        <w:tab/>
        <w:t>KLINIČKI PODACI</w:t>
      </w:r>
    </w:p>
    <w:p w14:paraId="2BCAA68B" w14:textId="77777777" w:rsidR="001919CC" w:rsidRPr="00E33ED2" w:rsidRDefault="001919CC" w:rsidP="00AC7873">
      <w:pPr>
        <w:jc w:val="both"/>
        <w:rPr>
          <w:bCs/>
          <w:szCs w:val="22"/>
          <w:lang w:val="sr-Latn-ME"/>
        </w:rPr>
      </w:pPr>
    </w:p>
    <w:p w14:paraId="1863FB83" w14:textId="77777777" w:rsidR="001919CC" w:rsidRPr="00E33ED2" w:rsidRDefault="001919CC" w:rsidP="00AC7873">
      <w:pPr>
        <w:jc w:val="both"/>
        <w:rPr>
          <w:b/>
          <w:bCs/>
          <w:szCs w:val="22"/>
          <w:lang w:val="sr-Latn-ME"/>
        </w:rPr>
      </w:pPr>
      <w:r w:rsidRPr="00E33ED2">
        <w:rPr>
          <w:b/>
          <w:bCs/>
          <w:szCs w:val="22"/>
          <w:lang w:val="sr-Latn-ME"/>
        </w:rPr>
        <w:t xml:space="preserve">4.1. </w:t>
      </w:r>
      <w:r w:rsidRPr="00E33ED2">
        <w:rPr>
          <w:b/>
          <w:bCs/>
          <w:szCs w:val="22"/>
          <w:lang w:val="sr-Latn-ME"/>
        </w:rPr>
        <w:tab/>
        <w:t>Terapijske indikacije</w:t>
      </w:r>
    </w:p>
    <w:p w14:paraId="4EB4A256" w14:textId="77777777" w:rsidR="00C428C2" w:rsidRPr="00E33ED2" w:rsidRDefault="00C428C2" w:rsidP="00AC7873">
      <w:pPr>
        <w:jc w:val="both"/>
        <w:rPr>
          <w:szCs w:val="22"/>
          <w:u w:val="single"/>
          <w:lang w:val="sr-Latn-ME"/>
        </w:rPr>
      </w:pPr>
    </w:p>
    <w:p w14:paraId="02C49D9B" w14:textId="77777777" w:rsidR="00C428C2" w:rsidRPr="00E33ED2" w:rsidRDefault="00C428C2" w:rsidP="00AC7873">
      <w:pPr>
        <w:jc w:val="both"/>
        <w:rPr>
          <w:szCs w:val="22"/>
          <w:u w:val="single"/>
          <w:lang w:val="sr-Latn-ME"/>
        </w:rPr>
      </w:pPr>
      <w:r w:rsidRPr="00E33ED2">
        <w:rPr>
          <w:szCs w:val="22"/>
          <w:u w:val="single"/>
          <w:lang w:val="sr-Latn-ME"/>
        </w:rPr>
        <w:t>Hipertenzija:</w:t>
      </w:r>
    </w:p>
    <w:p w14:paraId="4BDEE70D" w14:textId="77777777" w:rsidR="00C428C2" w:rsidRPr="00E33ED2" w:rsidRDefault="00C428C2" w:rsidP="00AC7873">
      <w:pPr>
        <w:jc w:val="both"/>
        <w:rPr>
          <w:szCs w:val="22"/>
          <w:lang w:val="sr-Latn-ME"/>
        </w:rPr>
      </w:pPr>
      <w:r w:rsidRPr="00E33ED2">
        <w:rPr>
          <w:szCs w:val="22"/>
          <w:lang w:val="sr-Latn-ME"/>
        </w:rPr>
        <w:t xml:space="preserve">Liječenje hipertenzije </w:t>
      </w:r>
      <w:r w:rsidR="007E120F" w:rsidRPr="00E33ED2">
        <w:rPr>
          <w:szCs w:val="22"/>
          <w:lang w:val="sr-Latn-ME"/>
        </w:rPr>
        <w:t>kod</w:t>
      </w:r>
      <w:r w:rsidRPr="00E33ED2">
        <w:rPr>
          <w:szCs w:val="22"/>
          <w:lang w:val="sr-Latn-ME"/>
        </w:rPr>
        <w:t xml:space="preserve"> odraslih.</w:t>
      </w:r>
    </w:p>
    <w:p w14:paraId="4152A9DA" w14:textId="77777777" w:rsidR="00C428C2" w:rsidRPr="00E33ED2" w:rsidRDefault="00C428C2" w:rsidP="00AC7873">
      <w:pPr>
        <w:autoSpaceDE w:val="0"/>
        <w:autoSpaceDN w:val="0"/>
        <w:adjustRightInd w:val="0"/>
        <w:jc w:val="both"/>
        <w:rPr>
          <w:szCs w:val="22"/>
          <w:u w:val="single"/>
          <w:lang w:val="sr-Latn-ME"/>
        </w:rPr>
      </w:pPr>
    </w:p>
    <w:p w14:paraId="1B4AEFA8" w14:textId="77777777" w:rsidR="00C428C2" w:rsidRPr="00E33ED2" w:rsidRDefault="00C428C2" w:rsidP="00AC7873">
      <w:pPr>
        <w:keepNext/>
        <w:autoSpaceDE w:val="0"/>
        <w:autoSpaceDN w:val="0"/>
        <w:adjustRightInd w:val="0"/>
        <w:jc w:val="both"/>
        <w:rPr>
          <w:szCs w:val="22"/>
          <w:u w:val="single"/>
          <w:lang w:val="sr-Latn-ME"/>
        </w:rPr>
      </w:pPr>
      <w:r w:rsidRPr="00E33ED2">
        <w:rPr>
          <w:szCs w:val="22"/>
          <w:u w:val="single"/>
          <w:lang w:val="sr-Latn-ME"/>
        </w:rPr>
        <w:t>Stabilna koronarna arterijska bolest:</w:t>
      </w:r>
    </w:p>
    <w:p w14:paraId="24D8C33E" w14:textId="0EF634ED" w:rsidR="00471F9B" w:rsidRPr="00E33ED2" w:rsidRDefault="00471F9B" w:rsidP="00BA2946">
      <w:pPr>
        <w:tabs>
          <w:tab w:val="clear" w:pos="567"/>
          <w:tab w:val="left" w:pos="569"/>
        </w:tabs>
        <w:autoSpaceDE w:val="0"/>
        <w:autoSpaceDN w:val="0"/>
        <w:adjustRightInd w:val="0"/>
        <w:jc w:val="both"/>
        <w:rPr>
          <w:szCs w:val="22"/>
          <w:lang w:val="sr-Latn-ME"/>
        </w:rPr>
      </w:pPr>
      <w:r w:rsidRPr="00E33ED2">
        <w:rPr>
          <w:szCs w:val="22"/>
          <w:lang w:val="sr-Latn-ME"/>
        </w:rPr>
        <w:t>Smanjenje rizika od kardiovaskularnih događaja kod odraslih pacijenata sa istorijom infarkta miokarda i/ili revaskularizacijom</w:t>
      </w:r>
      <w:r w:rsidR="005E0971" w:rsidRPr="00E33ED2">
        <w:rPr>
          <w:szCs w:val="22"/>
          <w:lang w:val="sr-Latn-ME"/>
        </w:rPr>
        <w:t xml:space="preserve"> miokarda</w:t>
      </w:r>
      <w:r w:rsidRPr="00E33ED2">
        <w:rPr>
          <w:szCs w:val="22"/>
          <w:lang w:val="sr-Latn-ME"/>
        </w:rPr>
        <w:t xml:space="preserve">. </w:t>
      </w:r>
    </w:p>
    <w:p w14:paraId="2AC6F8BE" w14:textId="77777777" w:rsidR="001919CC" w:rsidRPr="00E33ED2" w:rsidRDefault="001919CC" w:rsidP="00AC7873">
      <w:pPr>
        <w:jc w:val="both"/>
        <w:rPr>
          <w:bCs/>
          <w:szCs w:val="22"/>
          <w:lang w:val="sr-Latn-ME"/>
        </w:rPr>
      </w:pPr>
    </w:p>
    <w:p w14:paraId="2E4154FC" w14:textId="77777777" w:rsidR="001919CC" w:rsidRPr="00E33ED2" w:rsidRDefault="001919CC" w:rsidP="00AC7873">
      <w:pPr>
        <w:jc w:val="both"/>
        <w:rPr>
          <w:b/>
          <w:bCs/>
          <w:szCs w:val="22"/>
          <w:lang w:val="sr-Latn-ME"/>
        </w:rPr>
      </w:pPr>
      <w:r w:rsidRPr="00E33ED2">
        <w:rPr>
          <w:b/>
          <w:bCs/>
          <w:szCs w:val="22"/>
          <w:lang w:val="sr-Latn-ME"/>
        </w:rPr>
        <w:t xml:space="preserve">4.2. </w:t>
      </w:r>
      <w:r w:rsidRPr="00E33ED2">
        <w:rPr>
          <w:b/>
          <w:bCs/>
          <w:szCs w:val="22"/>
          <w:lang w:val="sr-Latn-ME"/>
        </w:rPr>
        <w:tab/>
        <w:t>Doziranje i način primjene</w:t>
      </w:r>
    </w:p>
    <w:p w14:paraId="1B6617B9" w14:textId="77777777" w:rsidR="001919CC" w:rsidRPr="00E33ED2" w:rsidRDefault="001919CC" w:rsidP="00AC7873">
      <w:pPr>
        <w:jc w:val="both"/>
        <w:rPr>
          <w:bCs/>
          <w:szCs w:val="22"/>
          <w:lang w:val="sr-Latn-ME"/>
        </w:rPr>
      </w:pPr>
    </w:p>
    <w:p w14:paraId="36A8D552" w14:textId="77777777" w:rsidR="001919CC" w:rsidRPr="00E33ED2" w:rsidRDefault="001919CC" w:rsidP="00AC7873">
      <w:pPr>
        <w:jc w:val="both"/>
        <w:rPr>
          <w:bCs/>
          <w:szCs w:val="22"/>
          <w:u w:val="single"/>
          <w:lang w:val="sr-Latn-ME"/>
        </w:rPr>
      </w:pPr>
      <w:r w:rsidRPr="00E33ED2">
        <w:rPr>
          <w:bCs/>
          <w:szCs w:val="22"/>
          <w:u w:val="single"/>
          <w:lang w:val="sr-Latn-ME"/>
        </w:rPr>
        <w:t>Doziranje</w:t>
      </w:r>
    </w:p>
    <w:p w14:paraId="060C7EB6" w14:textId="77777777" w:rsidR="00471F9B" w:rsidRPr="00E33ED2" w:rsidRDefault="00471F9B" w:rsidP="00BA2946">
      <w:pPr>
        <w:jc w:val="both"/>
        <w:rPr>
          <w:szCs w:val="22"/>
          <w:lang w:val="sr-Latn-ME"/>
        </w:rPr>
      </w:pPr>
      <w:r w:rsidRPr="00E33ED2">
        <w:rPr>
          <w:szCs w:val="22"/>
          <w:lang w:val="sr-Latn-ME"/>
        </w:rPr>
        <w:t>Dozu treba individualno prilagoditi prema profilu pacijenta</w:t>
      </w:r>
      <w:r w:rsidRPr="00E33ED2" w:rsidDel="00255FEF">
        <w:rPr>
          <w:szCs w:val="22"/>
          <w:lang w:val="sr-Latn-ME"/>
        </w:rPr>
        <w:t xml:space="preserve"> </w:t>
      </w:r>
      <w:r w:rsidRPr="00E33ED2">
        <w:rPr>
          <w:szCs w:val="22"/>
          <w:lang w:val="sr-Latn-ME"/>
        </w:rPr>
        <w:t>(vidjeti dio 4.4) i odgovorom krvnog pritiska na liječenje.</w:t>
      </w:r>
    </w:p>
    <w:p w14:paraId="2865D061" w14:textId="77777777" w:rsidR="00C428C2" w:rsidRPr="00E33ED2" w:rsidRDefault="00C428C2" w:rsidP="00AC7873">
      <w:pPr>
        <w:tabs>
          <w:tab w:val="clear" w:pos="567"/>
        </w:tabs>
        <w:spacing w:line="240" w:lineRule="auto"/>
        <w:jc w:val="both"/>
        <w:rPr>
          <w:spacing w:val="-2"/>
          <w:szCs w:val="22"/>
          <w:u w:val="single"/>
          <w:lang w:val="sr-Latn-ME" w:eastAsia="sl-SI"/>
        </w:rPr>
      </w:pPr>
    </w:p>
    <w:p w14:paraId="64F7DEEB" w14:textId="77777777" w:rsidR="00C428C2" w:rsidRPr="00E33ED2" w:rsidRDefault="00C428C2" w:rsidP="00AC7873">
      <w:pPr>
        <w:tabs>
          <w:tab w:val="clear" w:pos="567"/>
        </w:tabs>
        <w:spacing w:line="240" w:lineRule="auto"/>
        <w:jc w:val="both"/>
        <w:rPr>
          <w:spacing w:val="-2"/>
          <w:szCs w:val="22"/>
          <w:u w:val="single"/>
          <w:lang w:val="sr-Latn-ME" w:eastAsia="sl-SI"/>
        </w:rPr>
      </w:pPr>
      <w:r w:rsidRPr="00E33ED2">
        <w:rPr>
          <w:spacing w:val="-2"/>
          <w:szCs w:val="22"/>
          <w:u w:val="single"/>
          <w:lang w:val="sr-Latn-ME" w:eastAsia="sl-SI"/>
        </w:rPr>
        <w:t>Hipertenzija:</w:t>
      </w:r>
    </w:p>
    <w:p w14:paraId="142FDABB" w14:textId="77777777" w:rsidR="00471F9B" w:rsidRPr="00E33ED2" w:rsidRDefault="00471F9B" w:rsidP="00BA2946">
      <w:pPr>
        <w:autoSpaceDE w:val="0"/>
        <w:autoSpaceDN w:val="0"/>
        <w:adjustRightInd w:val="0"/>
        <w:jc w:val="both"/>
        <w:rPr>
          <w:szCs w:val="22"/>
          <w:lang w:val="sr-Latn-ME"/>
        </w:rPr>
      </w:pPr>
      <w:r w:rsidRPr="00E33ED2">
        <w:rPr>
          <w:szCs w:val="22"/>
          <w:lang w:val="sr-Latn-ME"/>
        </w:rPr>
        <w:t>Perindopril se može primjenjivati kao monoterapija ili u kombinaciji sa antihipertenzivima iz drugih grupa (vidjeti djelove 4.3, 4.4, 4.5 i 5.1).</w:t>
      </w:r>
    </w:p>
    <w:p w14:paraId="0AE6E6FE" w14:textId="77777777" w:rsidR="00471F9B" w:rsidRPr="00E33ED2" w:rsidRDefault="00471F9B" w:rsidP="0062605D">
      <w:pPr>
        <w:pStyle w:val="Norml11"/>
        <w:tabs>
          <w:tab w:val="left" w:pos="567"/>
        </w:tabs>
        <w:jc w:val="both"/>
        <w:rPr>
          <w:spacing w:val="-2"/>
          <w:szCs w:val="22"/>
          <w:lang w:val="sr-Latn-ME"/>
        </w:rPr>
      </w:pPr>
      <w:r w:rsidRPr="00E33ED2">
        <w:rPr>
          <w:spacing w:val="-2"/>
          <w:szCs w:val="22"/>
          <w:lang w:val="sr-Latn-ME"/>
        </w:rPr>
        <w:t>Preporučena početna doza iznosi 5 mg, jednom dnevno, ujutru.</w:t>
      </w:r>
    </w:p>
    <w:p w14:paraId="0FD3792E" w14:textId="77777777" w:rsidR="005E0971" w:rsidRPr="00E33ED2" w:rsidRDefault="00471F9B" w:rsidP="00AC7873">
      <w:pPr>
        <w:spacing w:line="240" w:lineRule="auto"/>
        <w:jc w:val="both"/>
        <w:rPr>
          <w:szCs w:val="22"/>
          <w:lang w:val="sr-Latn-ME"/>
        </w:rPr>
      </w:pPr>
      <w:r w:rsidRPr="00E33ED2">
        <w:rPr>
          <w:szCs w:val="22"/>
          <w:lang w:val="sr-Latn-ME"/>
        </w:rPr>
        <w:t xml:space="preserve">Pacijenti sa izraženom aktivnošću renin-angiotenzin-aldosteron sistema (posebno, renovaskularnom hipertenzijom sa gubitkom soli i/ili smanjenim volumenom, srčanom dekompenzacijom ili teškom hipertenzijom) mogu doživjeti izražen pad krvnog pritiska nakon početne doze. Kod takvih pacijenata preporučena početna doza je 2,5 mg i terapiju treba započeti pod nadzorom ljekara. </w:t>
      </w:r>
    </w:p>
    <w:p w14:paraId="57385472" w14:textId="62AF1897" w:rsidR="00C428C2" w:rsidRPr="00E33ED2" w:rsidRDefault="00C428C2" w:rsidP="00AC7873">
      <w:pPr>
        <w:spacing w:line="240" w:lineRule="auto"/>
        <w:jc w:val="both"/>
        <w:rPr>
          <w:spacing w:val="-2"/>
          <w:szCs w:val="22"/>
          <w:lang w:val="sr-Latn-ME" w:eastAsia="hu-HU"/>
        </w:rPr>
      </w:pPr>
      <w:r w:rsidRPr="00E33ED2">
        <w:rPr>
          <w:spacing w:val="-2"/>
          <w:szCs w:val="22"/>
          <w:lang w:val="sr-Latn-ME" w:eastAsia="hu-HU"/>
        </w:rPr>
        <w:t>Nakon mjesec dana liječenja doza se može povećati do 10 mg jednom dnevno.</w:t>
      </w:r>
    </w:p>
    <w:p w14:paraId="270C7FC5" w14:textId="77777777" w:rsidR="00471F9B" w:rsidRPr="00E33ED2" w:rsidRDefault="00471F9B" w:rsidP="00BA2946">
      <w:pPr>
        <w:autoSpaceDE w:val="0"/>
        <w:autoSpaceDN w:val="0"/>
        <w:adjustRightInd w:val="0"/>
        <w:jc w:val="both"/>
        <w:rPr>
          <w:szCs w:val="22"/>
          <w:lang w:val="sr-Latn-ME"/>
        </w:rPr>
      </w:pPr>
      <w:r w:rsidRPr="00E33ED2">
        <w:rPr>
          <w:szCs w:val="22"/>
          <w:lang w:val="sr-Latn-ME"/>
        </w:rPr>
        <w:t>Na početku uzimanja perindoprila može nastupiti simptomatska hipotenzija; što se češće dešava kod pacijenata koji su već na terapiji diureticima.</w:t>
      </w:r>
    </w:p>
    <w:p w14:paraId="258E60B1" w14:textId="77777777" w:rsidR="00471F9B" w:rsidRPr="00E33ED2" w:rsidRDefault="00471F9B" w:rsidP="00BA2946">
      <w:pPr>
        <w:autoSpaceDE w:val="0"/>
        <w:autoSpaceDN w:val="0"/>
        <w:adjustRightInd w:val="0"/>
        <w:jc w:val="both"/>
        <w:rPr>
          <w:szCs w:val="22"/>
          <w:lang w:val="sr-Latn-ME"/>
        </w:rPr>
      </w:pPr>
      <w:r w:rsidRPr="00E33ED2">
        <w:rPr>
          <w:szCs w:val="22"/>
          <w:lang w:val="sr-Latn-ME"/>
        </w:rPr>
        <w:t>Zbog toga se preporučuje oprez jer kod tih pacijenata može biti smanjen volumen i/ili smanjena koncentracija soli.</w:t>
      </w:r>
    </w:p>
    <w:p w14:paraId="62201BA6" w14:textId="77777777" w:rsidR="00C428C2" w:rsidRPr="00E33ED2" w:rsidRDefault="00C428C2" w:rsidP="00AC7873">
      <w:pPr>
        <w:spacing w:line="240" w:lineRule="auto"/>
        <w:jc w:val="both"/>
        <w:rPr>
          <w:spacing w:val="-2"/>
          <w:szCs w:val="22"/>
          <w:lang w:val="sr-Latn-ME" w:eastAsia="sl-SI"/>
        </w:rPr>
      </w:pPr>
      <w:r w:rsidRPr="00E33ED2">
        <w:rPr>
          <w:szCs w:val="22"/>
          <w:lang w:val="sr-Latn-ME" w:eastAsia="sl-SI"/>
        </w:rPr>
        <w:lastRenderedPageBreak/>
        <w:t>Ako je moguće, liječenje diuretikom treba prekinuti 2 do 3 dana prije početka liječenja perindoprilom (vidjeti dio 4.4).</w:t>
      </w:r>
    </w:p>
    <w:p w14:paraId="04D195BC" w14:textId="77777777" w:rsidR="00471F9B" w:rsidRPr="00E33ED2" w:rsidRDefault="00471F9B" w:rsidP="00BA2946">
      <w:pPr>
        <w:jc w:val="both"/>
        <w:rPr>
          <w:szCs w:val="22"/>
          <w:lang w:val="sr-Latn-ME"/>
        </w:rPr>
      </w:pPr>
      <w:r w:rsidRPr="00E33ED2">
        <w:rPr>
          <w:szCs w:val="22"/>
          <w:lang w:val="sr-Latn-ME"/>
        </w:rPr>
        <w:t>Kod pacijenata sa hipertenzijom kojima se ne može ukinuti diuretik, terapiju perindoprilom treba započeti dozom od 2,5 mg. Treba pratiti renalnu funkciju i koncentraciju kalijuma u serumu. Doziranje perindoprila treba uskladiti sa odgovorom krvnog pritiska. Ukoliko je potrebno, terapiju diuretikom treba nastaviti.</w:t>
      </w:r>
    </w:p>
    <w:p w14:paraId="776A0C62" w14:textId="77777777" w:rsidR="00471F9B" w:rsidRPr="00E33ED2" w:rsidRDefault="00471F9B" w:rsidP="0062605D">
      <w:pPr>
        <w:jc w:val="both"/>
        <w:rPr>
          <w:szCs w:val="22"/>
          <w:lang w:val="sr-Latn-ME"/>
        </w:rPr>
      </w:pPr>
      <w:r w:rsidRPr="00E33ED2">
        <w:rPr>
          <w:szCs w:val="22"/>
          <w:lang w:val="sr-Latn-ME"/>
        </w:rPr>
        <w:t>Kod starijih pacijenata terapiju je potrebno započeti dozom od 2,5 mg, koja se nakon mjesec dana može povećati na 5 mg, a potom na 10 mg, ukoliko je potrebno, a u zavisnosti od funkcije bubrega (vidjeti tabelu niže).</w:t>
      </w:r>
    </w:p>
    <w:p w14:paraId="3A6A098F" w14:textId="77777777" w:rsidR="00C428C2" w:rsidRPr="00E33ED2" w:rsidRDefault="00C428C2" w:rsidP="00AC7873">
      <w:pPr>
        <w:tabs>
          <w:tab w:val="clear" w:pos="567"/>
        </w:tabs>
        <w:autoSpaceDE w:val="0"/>
        <w:autoSpaceDN w:val="0"/>
        <w:adjustRightInd w:val="0"/>
        <w:spacing w:line="240" w:lineRule="auto"/>
        <w:jc w:val="both"/>
        <w:rPr>
          <w:szCs w:val="22"/>
          <w:u w:val="single"/>
          <w:lang w:val="sr-Latn-ME" w:eastAsia="sl-SI"/>
        </w:rPr>
      </w:pPr>
    </w:p>
    <w:p w14:paraId="10FD7377" w14:textId="77777777" w:rsidR="00C428C2" w:rsidRPr="00E33ED2" w:rsidRDefault="00C428C2" w:rsidP="00AC7873">
      <w:pPr>
        <w:keepNext/>
        <w:tabs>
          <w:tab w:val="clear" w:pos="567"/>
        </w:tabs>
        <w:autoSpaceDE w:val="0"/>
        <w:autoSpaceDN w:val="0"/>
        <w:adjustRightInd w:val="0"/>
        <w:spacing w:line="240" w:lineRule="auto"/>
        <w:jc w:val="both"/>
        <w:rPr>
          <w:szCs w:val="22"/>
          <w:u w:val="single"/>
          <w:lang w:val="sr-Latn-ME" w:eastAsia="sl-SI"/>
        </w:rPr>
      </w:pPr>
      <w:r w:rsidRPr="00E33ED2">
        <w:rPr>
          <w:szCs w:val="22"/>
          <w:u w:val="single"/>
          <w:lang w:val="sr-Latn-ME" w:eastAsia="sl-SI"/>
        </w:rPr>
        <w:t>Stabilna koronarna arterijska bolest:</w:t>
      </w:r>
    </w:p>
    <w:p w14:paraId="66435EC4" w14:textId="014FE75A" w:rsidR="00471F9B" w:rsidRPr="00E33ED2" w:rsidRDefault="00471F9B" w:rsidP="00BA2946">
      <w:pPr>
        <w:autoSpaceDE w:val="0"/>
        <w:autoSpaceDN w:val="0"/>
        <w:adjustRightInd w:val="0"/>
        <w:jc w:val="both"/>
        <w:rPr>
          <w:szCs w:val="22"/>
          <w:lang w:val="sr-Latn-ME"/>
        </w:rPr>
      </w:pPr>
      <w:r w:rsidRPr="00E33ED2">
        <w:rPr>
          <w:szCs w:val="22"/>
          <w:lang w:val="sr-Latn-ME"/>
        </w:rPr>
        <w:t xml:space="preserve">Perindopril se uvodi u dozi od 5 mg jednom dnevno, a nakon dvije </w:t>
      </w:r>
      <w:r w:rsidR="005E0971" w:rsidRPr="00E33ED2">
        <w:rPr>
          <w:szCs w:val="22"/>
          <w:lang w:val="sr-Latn-ME"/>
        </w:rPr>
        <w:t xml:space="preserve">nedjelje </w:t>
      </w:r>
      <w:r w:rsidRPr="00E33ED2">
        <w:rPr>
          <w:szCs w:val="22"/>
          <w:lang w:val="sr-Latn-ME"/>
        </w:rPr>
        <w:t>doza se povećava na 10 mg jednom dnevno, ukoliko bubrežna funkcija zadovoljava i ako je pacijent dobro podnosio dozu od 5 mg.</w:t>
      </w:r>
    </w:p>
    <w:p w14:paraId="41976A6E" w14:textId="6633359E" w:rsidR="00471F9B" w:rsidRPr="00E33ED2" w:rsidRDefault="00471F9B" w:rsidP="005E0971">
      <w:pPr>
        <w:autoSpaceDE w:val="0"/>
        <w:autoSpaceDN w:val="0"/>
        <w:adjustRightInd w:val="0"/>
        <w:jc w:val="both"/>
        <w:rPr>
          <w:szCs w:val="22"/>
          <w:lang w:val="sr-Latn-ME"/>
        </w:rPr>
      </w:pPr>
      <w:r w:rsidRPr="00E33ED2">
        <w:rPr>
          <w:szCs w:val="22"/>
          <w:lang w:val="sr-Latn-ME"/>
        </w:rPr>
        <w:t xml:space="preserve">Stariji pacijenti tokom prve </w:t>
      </w:r>
      <w:r w:rsidR="005E0971" w:rsidRPr="00E33ED2">
        <w:rPr>
          <w:szCs w:val="22"/>
          <w:lang w:val="sr-Latn-ME"/>
        </w:rPr>
        <w:t xml:space="preserve">nedjelje </w:t>
      </w:r>
      <w:r w:rsidRPr="00E33ED2">
        <w:rPr>
          <w:szCs w:val="22"/>
          <w:lang w:val="sr-Latn-ME"/>
        </w:rPr>
        <w:t xml:space="preserve">terapije moraju primati dozu od 2,5 mg jednom dnevno, potom sljedeće </w:t>
      </w:r>
      <w:r w:rsidR="005E0971" w:rsidRPr="00E33ED2">
        <w:rPr>
          <w:szCs w:val="22"/>
          <w:lang w:val="sr-Latn-ME"/>
        </w:rPr>
        <w:t xml:space="preserve">nedjelje </w:t>
      </w:r>
      <w:r w:rsidRPr="00E33ED2">
        <w:rPr>
          <w:szCs w:val="22"/>
          <w:lang w:val="sr-Latn-ME"/>
        </w:rPr>
        <w:t>5 mg jednom dnevno, prije povećanja doze na 10 mg jednom dnevno, zavisno od funkcije bubrega (vidjeti Tabelu 1: „Doziranje kod pacijenata sa oštećenjem funkcije bubrega“). Doza se smije povećati jedino ako je pacijent dobro podnosio prethodnu dozu.</w:t>
      </w:r>
    </w:p>
    <w:p w14:paraId="68DAE702" w14:textId="77777777" w:rsidR="00C428C2" w:rsidRPr="00E33ED2" w:rsidRDefault="00C428C2" w:rsidP="0062605D">
      <w:pPr>
        <w:tabs>
          <w:tab w:val="clear" w:pos="567"/>
        </w:tabs>
        <w:autoSpaceDE w:val="0"/>
        <w:autoSpaceDN w:val="0"/>
        <w:spacing w:line="240" w:lineRule="auto"/>
        <w:jc w:val="both"/>
        <w:rPr>
          <w:szCs w:val="22"/>
          <w:u w:val="single"/>
          <w:lang w:val="sr-Latn-ME" w:eastAsia="sl-SI"/>
        </w:rPr>
      </w:pPr>
    </w:p>
    <w:p w14:paraId="30DD2AE5" w14:textId="77777777" w:rsidR="00C428C2" w:rsidRPr="00E33ED2" w:rsidRDefault="00C428C2">
      <w:pPr>
        <w:tabs>
          <w:tab w:val="clear" w:pos="567"/>
        </w:tabs>
        <w:autoSpaceDE w:val="0"/>
        <w:autoSpaceDN w:val="0"/>
        <w:spacing w:line="240" w:lineRule="auto"/>
        <w:jc w:val="both"/>
        <w:rPr>
          <w:szCs w:val="22"/>
          <w:u w:val="single"/>
          <w:lang w:val="sr-Latn-ME" w:eastAsia="sl-SI"/>
        </w:rPr>
      </w:pPr>
      <w:r w:rsidRPr="00E33ED2">
        <w:rPr>
          <w:szCs w:val="22"/>
          <w:u w:val="single"/>
          <w:lang w:val="sr-Latn-ME" w:eastAsia="sl-SI"/>
        </w:rPr>
        <w:t>Posebne populacije</w:t>
      </w:r>
    </w:p>
    <w:p w14:paraId="2FC34DA3" w14:textId="77777777" w:rsidR="00C428C2" w:rsidRPr="00E33ED2" w:rsidRDefault="00C428C2" w:rsidP="00AC7873">
      <w:pPr>
        <w:tabs>
          <w:tab w:val="clear" w:pos="567"/>
        </w:tabs>
        <w:autoSpaceDE w:val="0"/>
        <w:autoSpaceDN w:val="0"/>
        <w:adjustRightInd w:val="0"/>
        <w:spacing w:line="240" w:lineRule="auto"/>
        <w:jc w:val="both"/>
        <w:rPr>
          <w:szCs w:val="22"/>
          <w:lang w:val="sr-Latn-ME" w:eastAsia="sl-SI"/>
        </w:rPr>
      </w:pPr>
    </w:p>
    <w:p w14:paraId="728633C3" w14:textId="77777777" w:rsidR="00471F9B" w:rsidRPr="00E33ED2" w:rsidRDefault="00471F9B" w:rsidP="00BA2946">
      <w:pPr>
        <w:autoSpaceDE w:val="0"/>
        <w:autoSpaceDN w:val="0"/>
        <w:adjustRightInd w:val="0"/>
        <w:jc w:val="both"/>
        <w:rPr>
          <w:i/>
          <w:iCs/>
          <w:szCs w:val="22"/>
          <w:lang w:val="sr-Latn-ME"/>
        </w:rPr>
      </w:pPr>
      <w:r w:rsidRPr="00E33ED2">
        <w:rPr>
          <w:i/>
          <w:iCs/>
          <w:szCs w:val="22"/>
          <w:lang w:val="sr-Latn-ME"/>
        </w:rPr>
        <w:t xml:space="preserve">Pacijenti sa oštećenjem funkcije bubrega </w:t>
      </w:r>
    </w:p>
    <w:p w14:paraId="217CBFF8" w14:textId="77777777" w:rsidR="00471F9B" w:rsidRPr="00E33ED2" w:rsidRDefault="00471F9B" w:rsidP="0062605D">
      <w:pPr>
        <w:autoSpaceDE w:val="0"/>
        <w:autoSpaceDN w:val="0"/>
        <w:adjustRightInd w:val="0"/>
        <w:jc w:val="both"/>
        <w:rPr>
          <w:szCs w:val="22"/>
          <w:lang w:val="sr-Latn-ME"/>
        </w:rPr>
      </w:pPr>
      <w:r w:rsidRPr="00E33ED2">
        <w:rPr>
          <w:szCs w:val="22"/>
          <w:lang w:val="sr-Latn-ME"/>
        </w:rPr>
        <w:t>Doziranje kod pacijenata sa oštećenom funkcijom bubrega mora se bazirati na klirensu kreatinina (KL</w:t>
      </w:r>
      <w:r w:rsidRPr="00E33ED2">
        <w:rPr>
          <w:szCs w:val="22"/>
          <w:vertAlign w:val="subscript"/>
          <w:lang w:val="sr-Latn-ME"/>
        </w:rPr>
        <w:t>KR</w:t>
      </w:r>
      <w:r w:rsidRPr="00E33ED2">
        <w:rPr>
          <w:szCs w:val="22"/>
          <w:lang w:val="sr-Latn-ME"/>
        </w:rPr>
        <w:t>), u skladu sa Tabelom 1 ispod:</w:t>
      </w:r>
    </w:p>
    <w:p w14:paraId="49DD57F2" w14:textId="77777777" w:rsidR="00471F9B" w:rsidRPr="00E33ED2" w:rsidRDefault="00471F9B">
      <w:pPr>
        <w:pStyle w:val="BodyText"/>
        <w:jc w:val="both"/>
        <w:rPr>
          <w:i w:val="0"/>
          <w:color w:val="auto"/>
          <w:szCs w:val="22"/>
          <w:lang w:val="sr-Latn-ME"/>
        </w:rPr>
      </w:pPr>
    </w:p>
    <w:p w14:paraId="4B83CA5C" w14:textId="77777777" w:rsidR="00471F9B" w:rsidRPr="00E33ED2" w:rsidRDefault="00471F9B">
      <w:pPr>
        <w:pStyle w:val="BodyText"/>
        <w:jc w:val="both"/>
        <w:rPr>
          <w:i w:val="0"/>
          <w:color w:val="auto"/>
          <w:szCs w:val="22"/>
          <w:lang w:val="sr-Latn-ME"/>
        </w:rPr>
      </w:pPr>
      <w:r w:rsidRPr="00E33ED2">
        <w:rPr>
          <w:b/>
          <w:i w:val="0"/>
          <w:color w:val="auto"/>
          <w:szCs w:val="22"/>
          <w:lang w:val="sr-Latn-ME"/>
        </w:rPr>
        <w:t>Tablica 1:</w:t>
      </w:r>
      <w:r w:rsidRPr="00E33ED2">
        <w:rPr>
          <w:i w:val="0"/>
          <w:color w:val="auto"/>
          <w:szCs w:val="22"/>
          <w:lang w:val="sr-Latn-ME"/>
        </w:rPr>
        <w:t xml:space="preserve"> Doziranje kod pacijenata sa oštećenjem funkcije bubrega</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202"/>
      </w:tblGrid>
      <w:tr w:rsidR="00471F9B" w:rsidRPr="00E33ED2" w14:paraId="12373F06" w14:textId="77777777" w:rsidTr="00021FB6">
        <w:tc>
          <w:tcPr>
            <w:tcW w:w="3936" w:type="dxa"/>
            <w:tcBorders>
              <w:top w:val="single" w:sz="4" w:space="0" w:color="auto"/>
              <w:left w:val="single" w:sz="4" w:space="0" w:color="auto"/>
              <w:bottom w:val="double" w:sz="4" w:space="0" w:color="auto"/>
              <w:right w:val="single" w:sz="4" w:space="0" w:color="auto"/>
            </w:tcBorders>
          </w:tcPr>
          <w:p w14:paraId="19F71765" w14:textId="77777777" w:rsidR="00471F9B" w:rsidRPr="00E33ED2" w:rsidRDefault="00471F9B" w:rsidP="00021FB6">
            <w:pPr>
              <w:jc w:val="both"/>
              <w:rPr>
                <w:szCs w:val="22"/>
                <w:lang w:val="sr-Latn-ME"/>
              </w:rPr>
            </w:pPr>
            <w:r w:rsidRPr="00E33ED2">
              <w:rPr>
                <w:b/>
                <w:szCs w:val="22"/>
                <w:lang w:val="sr-Latn-ME"/>
              </w:rPr>
              <w:t>Klirens kreatinina</w:t>
            </w:r>
            <w:r w:rsidRPr="00E33ED2">
              <w:rPr>
                <w:szCs w:val="22"/>
                <w:lang w:val="sr-Latn-ME"/>
              </w:rPr>
              <w:t xml:space="preserve"> (ml/min)</w:t>
            </w:r>
          </w:p>
        </w:tc>
        <w:tc>
          <w:tcPr>
            <w:tcW w:w="3202" w:type="dxa"/>
            <w:tcBorders>
              <w:top w:val="single" w:sz="4" w:space="0" w:color="auto"/>
              <w:left w:val="single" w:sz="4" w:space="0" w:color="auto"/>
              <w:bottom w:val="double" w:sz="4" w:space="0" w:color="auto"/>
              <w:right w:val="single" w:sz="4" w:space="0" w:color="auto"/>
            </w:tcBorders>
          </w:tcPr>
          <w:p w14:paraId="37494DB7" w14:textId="77777777" w:rsidR="00471F9B" w:rsidRPr="00E33ED2" w:rsidRDefault="00471F9B" w:rsidP="00021FB6">
            <w:pPr>
              <w:ind w:left="252"/>
              <w:jc w:val="both"/>
              <w:rPr>
                <w:szCs w:val="22"/>
                <w:lang w:val="sr-Latn-ME"/>
              </w:rPr>
            </w:pPr>
            <w:r w:rsidRPr="00E33ED2">
              <w:rPr>
                <w:b/>
                <w:szCs w:val="22"/>
                <w:lang w:val="sr-Latn-ME"/>
              </w:rPr>
              <w:t>Preporučena doza</w:t>
            </w:r>
          </w:p>
        </w:tc>
      </w:tr>
      <w:tr w:rsidR="00471F9B" w:rsidRPr="00E33ED2" w14:paraId="561E4777" w14:textId="77777777" w:rsidTr="00021FB6">
        <w:tc>
          <w:tcPr>
            <w:tcW w:w="3936" w:type="dxa"/>
            <w:tcBorders>
              <w:top w:val="double" w:sz="4" w:space="0" w:color="auto"/>
              <w:left w:val="single" w:sz="4" w:space="0" w:color="auto"/>
              <w:bottom w:val="single" w:sz="4" w:space="0" w:color="auto"/>
              <w:right w:val="single" w:sz="4" w:space="0" w:color="auto"/>
            </w:tcBorders>
          </w:tcPr>
          <w:p w14:paraId="6C797EFA" w14:textId="77777777" w:rsidR="00471F9B" w:rsidRPr="00E33ED2" w:rsidRDefault="00471F9B" w:rsidP="00021FB6">
            <w:pPr>
              <w:ind w:left="539" w:firstLine="11"/>
              <w:jc w:val="both"/>
              <w:rPr>
                <w:szCs w:val="22"/>
                <w:lang w:val="sr-Latn-ME"/>
              </w:rPr>
            </w:pPr>
            <w:r w:rsidRPr="00E33ED2">
              <w:rPr>
                <w:szCs w:val="22"/>
                <w:lang w:val="sr-Latn-ME"/>
              </w:rPr>
              <w:t>Kl</w:t>
            </w:r>
            <w:r w:rsidRPr="00E33ED2">
              <w:rPr>
                <w:szCs w:val="22"/>
                <w:vertAlign w:val="subscript"/>
                <w:lang w:val="sr-Latn-ME"/>
              </w:rPr>
              <w:t>Kr</w:t>
            </w:r>
            <w:r w:rsidRPr="00E33ED2">
              <w:rPr>
                <w:szCs w:val="22"/>
                <w:lang w:val="sr-Latn-ME"/>
              </w:rPr>
              <w:t> ≥ 60</w:t>
            </w:r>
          </w:p>
        </w:tc>
        <w:tc>
          <w:tcPr>
            <w:tcW w:w="3202" w:type="dxa"/>
            <w:tcBorders>
              <w:top w:val="double" w:sz="4" w:space="0" w:color="auto"/>
              <w:left w:val="single" w:sz="4" w:space="0" w:color="auto"/>
              <w:bottom w:val="single" w:sz="4" w:space="0" w:color="auto"/>
              <w:right w:val="single" w:sz="4" w:space="0" w:color="auto"/>
            </w:tcBorders>
          </w:tcPr>
          <w:p w14:paraId="0C0926B3" w14:textId="77777777" w:rsidR="00471F9B" w:rsidRPr="00E33ED2" w:rsidRDefault="00471F9B" w:rsidP="00021FB6">
            <w:pPr>
              <w:ind w:left="252"/>
              <w:jc w:val="both"/>
              <w:rPr>
                <w:szCs w:val="22"/>
                <w:lang w:val="sr-Latn-ME"/>
              </w:rPr>
            </w:pPr>
            <w:r w:rsidRPr="00E33ED2">
              <w:rPr>
                <w:szCs w:val="22"/>
                <w:lang w:val="sr-Latn-ME"/>
              </w:rPr>
              <w:t>5 mg/dnevno</w:t>
            </w:r>
          </w:p>
        </w:tc>
      </w:tr>
      <w:tr w:rsidR="00471F9B" w:rsidRPr="00E33ED2" w14:paraId="2B3E26D7" w14:textId="77777777" w:rsidTr="00021FB6">
        <w:tc>
          <w:tcPr>
            <w:tcW w:w="3936" w:type="dxa"/>
            <w:tcBorders>
              <w:top w:val="single" w:sz="4" w:space="0" w:color="auto"/>
              <w:left w:val="single" w:sz="4" w:space="0" w:color="auto"/>
              <w:bottom w:val="single" w:sz="4" w:space="0" w:color="auto"/>
              <w:right w:val="single" w:sz="4" w:space="0" w:color="auto"/>
            </w:tcBorders>
          </w:tcPr>
          <w:p w14:paraId="62A88109" w14:textId="77777777" w:rsidR="00471F9B" w:rsidRPr="00E33ED2" w:rsidRDefault="00471F9B" w:rsidP="00021FB6">
            <w:pPr>
              <w:ind w:left="539" w:firstLine="11"/>
              <w:jc w:val="both"/>
              <w:rPr>
                <w:szCs w:val="22"/>
                <w:lang w:val="sr-Latn-ME"/>
              </w:rPr>
            </w:pPr>
            <w:r w:rsidRPr="00E33ED2">
              <w:rPr>
                <w:szCs w:val="22"/>
                <w:lang w:val="sr-Latn-ME"/>
              </w:rPr>
              <w:t>30 &lt; Kl</w:t>
            </w:r>
            <w:r w:rsidRPr="00E33ED2">
              <w:rPr>
                <w:szCs w:val="22"/>
                <w:vertAlign w:val="subscript"/>
                <w:lang w:val="sr-Latn-ME"/>
              </w:rPr>
              <w:t>Kr</w:t>
            </w:r>
            <w:r w:rsidRPr="00E33ED2">
              <w:rPr>
                <w:szCs w:val="22"/>
                <w:lang w:val="sr-Latn-ME"/>
              </w:rPr>
              <w:t> &lt; 60</w:t>
            </w:r>
          </w:p>
        </w:tc>
        <w:tc>
          <w:tcPr>
            <w:tcW w:w="3202" w:type="dxa"/>
            <w:tcBorders>
              <w:top w:val="single" w:sz="4" w:space="0" w:color="auto"/>
              <w:left w:val="single" w:sz="4" w:space="0" w:color="auto"/>
              <w:bottom w:val="single" w:sz="4" w:space="0" w:color="auto"/>
              <w:right w:val="single" w:sz="4" w:space="0" w:color="auto"/>
            </w:tcBorders>
          </w:tcPr>
          <w:p w14:paraId="756B2A2E" w14:textId="77777777" w:rsidR="00471F9B" w:rsidRPr="00E33ED2" w:rsidRDefault="00471F9B" w:rsidP="00021FB6">
            <w:pPr>
              <w:ind w:left="252"/>
              <w:jc w:val="both"/>
              <w:rPr>
                <w:szCs w:val="22"/>
                <w:lang w:val="sr-Latn-ME"/>
              </w:rPr>
            </w:pPr>
            <w:r w:rsidRPr="00E33ED2">
              <w:rPr>
                <w:szCs w:val="22"/>
                <w:lang w:val="sr-Latn-ME"/>
              </w:rPr>
              <w:t>2,5 mg/dnevno</w:t>
            </w:r>
          </w:p>
        </w:tc>
      </w:tr>
      <w:tr w:rsidR="00471F9B" w:rsidRPr="00E33ED2" w14:paraId="20E951C0" w14:textId="77777777" w:rsidTr="00021FB6">
        <w:tc>
          <w:tcPr>
            <w:tcW w:w="3936" w:type="dxa"/>
            <w:tcBorders>
              <w:top w:val="single" w:sz="4" w:space="0" w:color="auto"/>
              <w:left w:val="single" w:sz="4" w:space="0" w:color="auto"/>
              <w:bottom w:val="single" w:sz="4" w:space="0" w:color="auto"/>
              <w:right w:val="single" w:sz="4" w:space="0" w:color="auto"/>
            </w:tcBorders>
          </w:tcPr>
          <w:p w14:paraId="0A64D0F6" w14:textId="77777777" w:rsidR="00471F9B" w:rsidRPr="00E33ED2" w:rsidRDefault="00471F9B" w:rsidP="00021FB6">
            <w:pPr>
              <w:ind w:left="539" w:firstLine="11"/>
              <w:jc w:val="both"/>
              <w:rPr>
                <w:szCs w:val="22"/>
                <w:lang w:val="sr-Latn-ME"/>
              </w:rPr>
            </w:pPr>
            <w:r w:rsidRPr="00E33ED2">
              <w:rPr>
                <w:szCs w:val="22"/>
                <w:lang w:val="sr-Latn-ME"/>
              </w:rPr>
              <w:t>15 &lt; Kl</w:t>
            </w:r>
            <w:r w:rsidRPr="00E33ED2">
              <w:rPr>
                <w:szCs w:val="22"/>
                <w:vertAlign w:val="subscript"/>
                <w:lang w:val="sr-Latn-ME"/>
              </w:rPr>
              <w:t>Kr</w:t>
            </w:r>
            <w:r w:rsidRPr="00E33ED2">
              <w:rPr>
                <w:szCs w:val="22"/>
                <w:lang w:val="sr-Latn-ME"/>
              </w:rPr>
              <w:t> &lt; 30</w:t>
            </w:r>
          </w:p>
        </w:tc>
        <w:tc>
          <w:tcPr>
            <w:tcW w:w="3202" w:type="dxa"/>
            <w:tcBorders>
              <w:top w:val="single" w:sz="4" w:space="0" w:color="auto"/>
              <w:left w:val="single" w:sz="4" w:space="0" w:color="auto"/>
              <w:bottom w:val="single" w:sz="4" w:space="0" w:color="auto"/>
              <w:right w:val="single" w:sz="4" w:space="0" w:color="auto"/>
            </w:tcBorders>
          </w:tcPr>
          <w:p w14:paraId="58B13273" w14:textId="77777777" w:rsidR="00471F9B" w:rsidRPr="00E33ED2" w:rsidRDefault="00471F9B" w:rsidP="00021FB6">
            <w:pPr>
              <w:ind w:left="252"/>
              <w:jc w:val="both"/>
              <w:rPr>
                <w:szCs w:val="22"/>
                <w:lang w:val="sr-Latn-ME"/>
              </w:rPr>
            </w:pPr>
            <w:r w:rsidRPr="00E33ED2">
              <w:rPr>
                <w:szCs w:val="22"/>
                <w:lang w:val="sr-Latn-ME"/>
              </w:rPr>
              <w:t>2,5 mg svaki drugi dan</w:t>
            </w:r>
          </w:p>
        </w:tc>
      </w:tr>
      <w:tr w:rsidR="00471F9B" w:rsidRPr="00E33ED2" w14:paraId="29CCBAC2" w14:textId="77777777" w:rsidTr="00021FB6">
        <w:tc>
          <w:tcPr>
            <w:tcW w:w="3936" w:type="dxa"/>
            <w:tcBorders>
              <w:top w:val="single" w:sz="4" w:space="0" w:color="auto"/>
              <w:left w:val="single" w:sz="4" w:space="0" w:color="auto"/>
              <w:bottom w:val="single" w:sz="4" w:space="0" w:color="auto"/>
              <w:right w:val="single" w:sz="4" w:space="0" w:color="auto"/>
            </w:tcBorders>
          </w:tcPr>
          <w:p w14:paraId="31F202C6" w14:textId="77777777" w:rsidR="00471F9B" w:rsidRPr="00E33ED2" w:rsidRDefault="00471F9B" w:rsidP="00021FB6">
            <w:pPr>
              <w:ind w:left="256" w:firstLine="11"/>
              <w:jc w:val="both"/>
              <w:rPr>
                <w:szCs w:val="22"/>
                <w:lang w:val="sr-Latn-ME"/>
              </w:rPr>
            </w:pPr>
            <w:r w:rsidRPr="00E33ED2">
              <w:rPr>
                <w:szCs w:val="22"/>
                <w:lang w:val="sr-Latn-ME"/>
              </w:rPr>
              <w:t>Pacijenti na hemodijalizi*, KlK</w:t>
            </w:r>
            <w:r w:rsidRPr="00E33ED2">
              <w:rPr>
                <w:szCs w:val="22"/>
                <w:vertAlign w:val="subscript"/>
                <w:lang w:val="sr-Latn-ME"/>
              </w:rPr>
              <w:t>Kr</w:t>
            </w:r>
            <w:r w:rsidRPr="00E33ED2">
              <w:rPr>
                <w:szCs w:val="22"/>
                <w:lang w:val="sr-Latn-ME"/>
              </w:rPr>
              <w:t xml:space="preserve"> &lt; 15</w:t>
            </w:r>
          </w:p>
        </w:tc>
        <w:tc>
          <w:tcPr>
            <w:tcW w:w="3202" w:type="dxa"/>
            <w:tcBorders>
              <w:top w:val="single" w:sz="4" w:space="0" w:color="auto"/>
              <w:left w:val="single" w:sz="4" w:space="0" w:color="auto"/>
              <w:bottom w:val="single" w:sz="4" w:space="0" w:color="auto"/>
              <w:right w:val="single" w:sz="4" w:space="0" w:color="auto"/>
            </w:tcBorders>
          </w:tcPr>
          <w:p w14:paraId="2C613F78" w14:textId="77777777" w:rsidR="00471F9B" w:rsidRPr="00E33ED2" w:rsidRDefault="00471F9B" w:rsidP="00021FB6">
            <w:pPr>
              <w:ind w:left="252"/>
              <w:jc w:val="both"/>
              <w:rPr>
                <w:szCs w:val="22"/>
                <w:lang w:val="sr-Latn-ME"/>
              </w:rPr>
            </w:pPr>
            <w:r w:rsidRPr="00E33ED2">
              <w:rPr>
                <w:szCs w:val="22"/>
                <w:lang w:val="sr-Latn-ME"/>
              </w:rPr>
              <w:t>2,5 mg na dan dijalize</w:t>
            </w:r>
          </w:p>
        </w:tc>
      </w:tr>
    </w:tbl>
    <w:p w14:paraId="2E2567FD" w14:textId="47DADB6C" w:rsidR="00C428C2" w:rsidRPr="00E33ED2" w:rsidRDefault="00471F9B" w:rsidP="00AC7873">
      <w:pPr>
        <w:numPr>
          <w:ilvl w:val="12"/>
          <w:numId w:val="0"/>
        </w:numPr>
        <w:tabs>
          <w:tab w:val="clear" w:pos="567"/>
          <w:tab w:val="left" w:pos="8505"/>
        </w:tabs>
        <w:spacing w:line="240" w:lineRule="auto"/>
        <w:ind w:right="-2"/>
        <w:jc w:val="both"/>
        <w:rPr>
          <w:szCs w:val="22"/>
          <w:lang w:val="sr-Latn-ME"/>
        </w:rPr>
      </w:pPr>
      <w:r w:rsidRPr="00E33ED2">
        <w:rPr>
          <w:szCs w:val="22"/>
          <w:lang w:val="sr-Latn-ME"/>
        </w:rPr>
        <w:t>* Klirens perindoprilata dijalizom iznosi 70 ml/min. Pacijenti koji se podvrgavaju dijalizi, moraju dozu uzeti nakon obavljene dijalize</w:t>
      </w:r>
    </w:p>
    <w:p w14:paraId="322093E1" w14:textId="77777777" w:rsidR="005E0971" w:rsidRPr="00E33ED2" w:rsidRDefault="005E0971" w:rsidP="00AC7873">
      <w:pPr>
        <w:numPr>
          <w:ilvl w:val="12"/>
          <w:numId w:val="0"/>
        </w:numPr>
        <w:tabs>
          <w:tab w:val="clear" w:pos="567"/>
          <w:tab w:val="left" w:pos="8505"/>
        </w:tabs>
        <w:spacing w:line="240" w:lineRule="auto"/>
        <w:ind w:right="-2"/>
        <w:jc w:val="both"/>
        <w:rPr>
          <w:szCs w:val="22"/>
          <w:lang w:val="sr-Latn-ME" w:eastAsia="sl-SI"/>
        </w:rPr>
      </w:pPr>
    </w:p>
    <w:p w14:paraId="6C1321A2" w14:textId="77777777" w:rsidR="00471F9B" w:rsidRPr="00E33ED2" w:rsidRDefault="00471F9B" w:rsidP="00BA2946">
      <w:pPr>
        <w:pStyle w:val="BodyText"/>
        <w:tabs>
          <w:tab w:val="left" w:pos="567"/>
        </w:tabs>
        <w:jc w:val="both"/>
        <w:rPr>
          <w:color w:val="auto"/>
          <w:szCs w:val="22"/>
          <w:lang w:val="sr-Latn-ME"/>
        </w:rPr>
      </w:pPr>
      <w:r w:rsidRPr="00E33ED2">
        <w:rPr>
          <w:color w:val="auto"/>
          <w:szCs w:val="22"/>
          <w:lang w:val="sr-Latn-ME"/>
        </w:rPr>
        <w:t xml:space="preserve">Pacijenti sa oštećenjem funkcije jetre </w:t>
      </w:r>
    </w:p>
    <w:p w14:paraId="34FE440E" w14:textId="559CE8FB" w:rsidR="00471F9B" w:rsidRPr="00E33ED2" w:rsidRDefault="00471F9B" w:rsidP="005E0971">
      <w:pPr>
        <w:pStyle w:val="BodyText"/>
        <w:tabs>
          <w:tab w:val="left" w:pos="567"/>
        </w:tabs>
        <w:jc w:val="both"/>
        <w:rPr>
          <w:i w:val="0"/>
          <w:color w:val="auto"/>
          <w:szCs w:val="22"/>
          <w:lang w:val="sr-Latn-ME"/>
        </w:rPr>
      </w:pPr>
      <w:r w:rsidRPr="00E33ED2">
        <w:rPr>
          <w:i w:val="0"/>
          <w:color w:val="auto"/>
          <w:szCs w:val="22"/>
          <w:lang w:val="sr-Latn-ME"/>
        </w:rPr>
        <w:t>Nije potrebno prilagođavati dozu kod pacijenata sa oštećenjem funkcije jetre</w:t>
      </w:r>
      <w:r w:rsidRPr="00E33ED2">
        <w:rPr>
          <w:color w:val="auto"/>
          <w:szCs w:val="22"/>
          <w:lang w:val="sr-Latn-ME"/>
        </w:rPr>
        <w:t xml:space="preserve"> </w:t>
      </w:r>
      <w:r w:rsidRPr="00E33ED2">
        <w:rPr>
          <w:i w:val="0"/>
          <w:color w:val="auto"/>
          <w:szCs w:val="22"/>
          <w:lang w:val="sr-Latn-ME"/>
        </w:rPr>
        <w:t>(vidjeti djelove 4.4 i 5.2).</w:t>
      </w:r>
    </w:p>
    <w:p w14:paraId="19859ED6" w14:textId="77777777" w:rsidR="00C428C2" w:rsidRPr="00E33ED2" w:rsidRDefault="00C428C2" w:rsidP="00AC7873">
      <w:pPr>
        <w:numPr>
          <w:ilvl w:val="12"/>
          <w:numId w:val="0"/>
        </w:numPr>
        <w:tabs>
          <w:tab w:val="clear" w:pos="567"/>
          <w:tab w:val="left" w:pos="8505"/>
        </w:tabs>
        <w:spacing w:line="240" w:lineRule="auto"/>
        <w:ind w:right="-2"/>
        <w:jc w:val="both"/>
        <w:rPr>
          <w:i/>
          <w:szCs w:val="22"/>
          <w:lang w:val="sr-Latn-ME" w:eastAsia="sl-SI"/>
        </w:rPr>
      </w:pPr>
    </w:p>
    <w:p w14:paraId="362B31BD" w14:textId="77777777" w:rsidR="00471F9B" w:rsidRPr="00E33ED2" w:rsidRDefault="00471F9B" w:rsidP="00BA2946">
      <w:pPr>
        <w:autoSpaceDE w:val="0"/>
        <w:autoSpaceDN w:val="0"/>
        <w:adjustRightInd w:val="0"/>
        <w:jc w:val="both"/>
        <w:rPr>
          <w:i/>
          <w:szCs w:val="22"/>
          <w:lang w:val="sr-Latn-ME"/>
        </w:rPr>
      </w:pPr>
      <w:r w:rsidRPr="00E33ED2">
        <w:rPr>
          <w:i/>
          <w:szCs w:val="22"/>
          <w:lang w:val="sr-Latn-ME"/>
        </w:rPr>
        <w:t>Pedijatrijska populacija</w:t>
      </w:r>
    </w:p>
    <w:p w14:paraId="0D57D055" w14:textId="7FA2C550" w:rsidR="00471F9B" w:rsidRPr="00E33ED2" w:rsidRDefault="00471F9B" w:rsidP="005E0971">
      <w:pPr>
        <w:autoSpaceDE w:val="0"/>
        <w:autoSpaceDN w:val="0"/>
        <w:adjustRightInd w:val="0"/>
        <w:jc w:val="both"/>
        <w:rPr>
          <w:szCs w:val="22"/>
          <w:lang w:val="sr-Latn-ME"/>
        </w:rPr>
      </w:pPr>
      <w:r w:rsidRPr="00E33ED2">
        <w:rPr>
          <w:szCs w:val="22"/>
          <w:lang w:val="sr-Latn-ME"/>
        </w:rPr>
        <w:t>Efikasnost i bezbjednost perindoprila nije utvrđena kod d</w:t>
      </w:r>
      <w:r w:rsidR="005E0971" w:rsidRPr="00E33ED2">
        <w:rPr>
          <w:szCs w:val="22"/>
          <w:lang w:val="sr-Latn-ME"/>
        </w:rPr>
        <w:t>j</w:t>
      </w:r>
      <w:r w:rsidRPr="00E33ED2">
        <w:rPr>
          <w:szCs w:val="22"/>
          <w:lang w:val="sr-Latn-ME"/>
        </w:rPr>
        <w:t>ece i adolescenata mlađih od 18 godina.</w:t>
      </w:r>
      <w:r w:rsidR="005E0971" w:rsidRPr="00E33ED2">
        <w:rPr>
          <w:szCs w:val="22"/>
          <w:lang w:val="sr-Latn-ME"/>
        </w:rPr>
        <w:t xml:space="preserve"> </w:t>
      </w:r>
      <w:r w:rsidRPr="00E33ED2">
        <w:rPr>
          <w:szCs w:val="22"/>
          <w:lang w:val="sr-Latn-ME"/>
        </w:rPr>
        <w:t>Dostupni podaci opisani su u dijelu 5.1, ali preporuke za doziranje ne mogu se dati.</w:t>
      </w:r>
    </w:p>
    <w:p w14:paraId="7CE01555" w14:textId="77777777" w:rsidR="00471F9B" w:rsidRPr="00E33ED2" w:rsidRDefault="00471F9B" w:rsidP="0062605D">
      <w:pPr>
        <w:autoSpaceDE w:val="0"/>
        <w:autoSpaceDN w:val="0"/>
        <w:adjustRightInd w:val="0"/>
        <w:jc w:val="both"/>
        <w:rPr>
          <w:szCs w:val="22"/>
          <w:lang w:val="sr-Latn-ME"/>
        </w:rPr>
      </w:pPr>
      <w:r w:rsidRPr="00E33ED2">
        <w:rPr>
          <w:szCs w:val="22"/>
          <w:lang w:val="sr-Latn-ME"/>
        </w:rPr>
        <w:t>Stoga se primjena kod djece i adolescenata ne preporučuje.</w:t>
      </w:r>
    </w:p>
    <w:p w14:paraId="3B9F5085" w14:textId="77777777" w:rsidR="001919CC" w:rsidRPr="00E33ED2" w:rsidRDefault="001919CC" w:rsidP="00AC7873">
      <w:pPr>
        <w:jc w:val="both"/>
        <w:rPr>
          <w:bCs/>
          <w:szCs w:val="22"/>
          <w:u w:val="single"/>
          <w:lang w:val="sr-Latn-ME"/>
        </w:rPr>
      </w:pPr>
    </w:p>
    <w:p w14:paraId="69E0D4DB" w14:textId="77777777" w:rsidR="001919CC" w:rsidRPr="00E33ED2" w:rsidRDefault="001919CC" w:rsidP="00AC7873">
      <w:pPr>
        <w:jc w:val="both"/>
        <w:rPr>
          <w:bCs/>
          <w:szCs w:val="22"/>
          <w:u w:val="single"/>
          <w:lang w:val="sr-Latn-ME"/>
        </w:rPr>
      </w:pPr>
      <w:r w:rsidRPr="00E33ED2">
        <w:rPr>
          <w:bCs/>
          <w:szCs w:val="22"/>
          <w:u w:val="single"/>
          <w:lang w:val="sr-Latn-ME"/>
        </w:rPr>
        <w:t>Način primjene</w:t>
      </w:r>
    </w:p>
    <w:p w14:paraId="7152CDE4" w14:textId="22788FFE" w:rsidR="00471F9B" w:rsidRPr="00E33ED2" w:rsidRDefault="00471F9B" w:rsidP="00BA2946">
      <w:pPr>
        <w:autoSpaceDE w:val="0"/>
        <w:autoSpaceDN w:val="0"/>
        <w:adjustRightInd w:val="0"/>
        <w:jc w:val="both"/>
        <w:rPr>
          <w:szCs w:val="22"/>
          <w:lang w:val="sr-Latn-ME"/>
        </w:rPr>
      </w:pPr>
      <w:r w:rsidRPr="00E33ED2">
        <w:rPr>
          <w:szCs w:val="22"/>
          <w:lang w:val="sr-Latn-ME"/>
        </w:rPr>
        <w:t>Za oralnu upotrebu. Preporučuje se uzimanje perindoprila jednom dnevno, ujutr</w:t>
      </w:r>
      <w:r w:rsidR="005E0971" w:rsidRPr="00E33ED2">
        <w:rPr>
          <w:szCs w:val="22"/>
          <w:lang w:val="sr-Latn-ME"/>
        </w:rPr>
        <w:t>o</w:t>
      </w:r>
      <w:r w:rsidRPr="00E33ED2">
        <w:rPr>
          <w:szCs w:val="22"/>
          <w:lang w:val="sr-Latn-ME"/>
        </w:rPr>
        <w:t xml:space="preserve"> prije jela.</w:t>
      </w:r>
    </w:p>
    <w:p w14:paraId="10B19918" w14:textId="77777777" w:rsidR="001919CC" w:rsidRPr="00E33ED2" w:rsidRDefault="001919CC" w:rsidP="00AC7873">
      <w:pPr>
        <w:jc w:val="both"/>
        <w:rPr>
          <w:bCs/>
          <w:szCs w:val="22"/>
          <w:lang w:val="sr-Latn-ME"/>
        </w:rPr>
      </w:pPr>
    </w:p>
    <w:p w14:paraId="084AEB8A" w14:textId="77777777" w:rsidR="001919CC" w:rsidRPr="00E33ED2" w:rsidRDefault="001919CC" w:rsidP="00AC7873">
      <w:pPr>
        <w:jc w:val="both"/>
        <w:rPr>
          <w:b/>
          <w:bCs/>
          <w:szCs w:val="22"/>
          <w:lang w:val="sr-Latn-ME"/>
        </w:rPr>
      </w:pPr>
      <w:r w:rsidRPr="00E33ED2">
        <w:rPr>
          <w:b/>
          <w:bCs/>
          <w:szCs w:val="22"/>
          <w:lang w:val="sr-Latn-ME"/>
        </w:rPr>
        <w:t xml:space="preserve">4.3. </w:t>
      </w:r>
      <w:r w:rsidRPr="00E33ED2">
        <w:rPr>
          <w:b/>
          <w:bCs/>
          <w:szCs w:val="22"/>
          <w:lang w:val="sr-Latn-ME"/>
        </w:rPr>
        <w:tab/>
        <w:t>Kontraindikacije</w:t>
      </w:r>
    </w:p>
    <w:p w14:paraId="3D3ABAFD" w14:textId="77777777" w:rsidR="00C428C2" w:rsidRPr="00E33ED2" w:rsidRDefault="00C428C2" w:rsidP="00AC7873">
      <w:pPr>
        <w:widowControl w:val="0"/>
        <w:spacing w:line="240" w:lineRule="auto"/>
        <w:jc w:val="both"/>
        <w:rPr>
          <w:szCs w:val="22"/>
          <w:lang w:val="sr-Latn-ME"/>
        </w:rPr>
      </w:pPr>
    </w:p>
    <w:p w14:paraId="11245C0C" w14:textId="77777777" w:rsidR="00021FB6" w:rsidRPr="00E33ED2" w:rsidRDefault="00021FB6" w:rsidP="00BA2946">
      <w:pPr>
        <w:pStyle w:val="BodyText"/>
        <w:numPr>
          <w:ilvl w:val="0"/>
          <w:numId w:val="26"/>
        </w:numPr>
        <w:tabs>
          <w:tab w:val="left" w:pos="567"/>
        </w:tabs>
        <w:autoSpaceDE w:val="0"/>
        <w:autoSpaceDN w:val="0"/>
        <w:ind w:left="567" w:hanging="578"/>
        <w:jc w:val="both"/>
        <w:rPr>
          <w:i w:val="0"/>
          <w:color w:val="auto"/>
          <w:szCs w:val="22"/>
          <w:lang w:val="sr-Latn-ME"/>
        </w:rPr>
      </w:pPr>
      <w:r w:rsidRPr="00E33ED2">
        <w:rPr>
          <w:i w:val="0"/>
          <w:color w:val="auto"/>
          <w:szCs w:val="22"/>
          <w:lang w:val="sr-Latn-ME"/>
        </w:rPr>
        <w:t xml:space="preserve">preosjetljivost na </w:t>
      </w:r>
      <w:r w:rsidRPr="00E33ED2">
        <w:rPr>
          <w:i w:val="0"/>
          <w:noProof/>
          <w:color w:val="auto"/>
          <w:szCs w:val="22"/>
          <w:lang w:val="sr-Latn-ME"/>
        </w:rPr>
        <w:t xml:space="preserve">aktivnu supstancu, </w:t>
      </w:r>
      <w:r w:rsidRPr="00E33ED2">
        <w:rPr>
          <w:i w:val="0"/>
          <w:color w:val="auto"/>
          <w:szCs w:val="22"/>
          <w:lang w:val="sr-Latn-ME"/>
        </w:rPr>
        <w:t>na bilo koji drugi ACE inhibitor</w:t>
      </w:r>
      <w:r w:rsidRPr="00E33ED2">
        <w:rPr>
          <w:i w:val="0"/>
          <w:noProof/>
          <w:color w:val="auto"/>
          <w:szCs w:val="22"/>
          <w:lang w:val="sr-Latn-ME"/>
        </w:rPr>
        <w:t xml:space="preserve"> ili neku od pomoćnih supstanci navedenih u dijelu 6.1;</w:t>
      </w:r>
    </w:p>
    <w:p w14:paraId="3AEBED8F" w14:textId="77777777" w:rsidR="00021FB6" w:rsidRPr="00E33ED2" w:rsidRDefault="00021FB6" w:rsidP="0062605D">
      <w:pPr>
        <w:pStyle w:val="BodyText"/>
        <w:numPr>
          <w:ilvl w:val="0"/>
          <w:numId w:val="26"/>
        </w:numPr>
        <w:tabs>
          <w:tab w:val="left" w:pos="567"/>
        </w:tabs>
        <w:autoSpaceDE w:val="0"/>
        <w:autoSpaceDN w:val="0"/>
        <w:ind w:left="567" w:hanging="578"/>
        <w:jc w:val="both"/>
        <w:rPr>
          <w:i w:val="0"/>
          <w:color w:val="auto"/>
          <w:szCs w:val="22"/>
          <w:lang w:val="sr-Latn-ME"/>
        </w:rPr>
      </w:pPr>
      <w:r w:rsidRPr="00E33ED2">
        <w:rPr>
          <w:i w:val="0"/>
          <w:color w:val="auto"/>
          <w:szCs w:val="22"/>
          <w:lang w:val="sr-Latn-ME"/>
        </w:rPr>
        <w:t>anamneza angioedema, povezana sa prethodnim liječenjem ACE inhibitorom (vidjeti dio 4.4);</w:t>
      </w:r>
    </w:p>
    <w:p w14:paraId="08055F71" w14:textId="77777777" w:rsidR="00021FB6" w:rsidRPr="00E33ED2" w:rsidRDefault="00021FB6">
      <w:pPr>
        <w:pStyle w:val="BodyText"/>
        <w:numPr>
          <w:ilvl w:val="0"/>
          <w:numId w:val="26"/>
        </w:numPr>
        <w:tabs>
          <w:tab w:val="left" w:pos="567"/>
        </w:tabs>
        <w:autoSpaceDE w:val="0"/>
        <w:autoSpaceDN w:val="0"/>
        <w:ind w:left="567" w:hanging="578"/>
        <w:jc w:val="both"/>
        <w:rPr>
          <w:i w:val="0"/>
          <w:color w:val="auto"/>
          <w:szCs w:val="22"/>
          <w:lang w:val="sr-Latn-ME"/>
        </w:rPr>
      </w:pPr>
      <w:r w:rsidRPr="00E33ED2">
        <w:rPr>
          <w:i w:val="0"/>
          <w:color w:val="auto"/>
          <w:szCs w:val="22"/>
          <w:lang w:val="sr-Latn-ME"/>
        </w:rPr>
        <w:t>hereditarni ili idiopatski angioedem;</w:t>
      </w:r>
    </w:p>
    <w:p w14:paraId="512B3962" w14:textId="77777777" w:rsidR="00021FB6" w:rsidRPr="00E33ED2" w:rsidRDefault="00021FB6">
      <w:pPr>
        <w:pStyle w:val="BodyText"/>
        <w:numPr>
          <w:ilvl w:val="0"/>
          <w:numId w:val="26"/>
        </w:numPr>
        <w:tabs>
          <w:tab w:val="left" w:pos="567"/>
        </w:tabs>
        <w:autoSpaceDE w:val="0"/>
        <w:autoSpaceDN w:val="0"/>
        <w:ind w:left="567" w:hanging="578"/>
        <w:jc w:val="both"/>
        <w:rPr>
          <w:i w:val="0"/>
          <w:color w:val="auto"/>
          <w:szCs w:val="22"/>
          <w:lang w:val="sr-Latn-ME"/>
        </w:rPr>
      </w:pPr>
      <w:r w:rsidRPr="00E33ED2">
        <w:rPr>
          <w:i w:val="0"/>
          <w:color w:val="auto"/>
          <w:szCs w:val="22"/>
          <w:lang w:val="sr-Latn-ME"/>
        </w:rPr>
        <w:t>drugi i treći trimestar trudnoće</w:t>
      </w:r>
      <w:r w:rsidRPr="00E33ED2" w:rsidDel="00A50217">
        <w:rPr>
          <w:color w:val="auto"/>
          <w:szCs w:val="22"/>
          <w:lang w:val="sr-Latn-ME"/>
        </w:rPr>
        <w:t xml:space="preserve"> </w:t>
      </w:r>
      <w:r w:rsidRPr="00E33ED2">
        <w:rPr>
          <w:i w:val="0"/>
          <w:color w:val="auto"/>
          <w:szCs w:val="22"/>
          <w:lang w:val="sr-Latn-ME"/>
        </w:rPr>
        <w:t>(vidjeti djelove 4.4 i 4.6);</w:t>
      </w:r>
    </w:p>
    <w:p w14:paraId="02453B73" w14:textId="77777777" w:rsidR="00021FB6" w:rsidRPr="00E33ED2" w:rsidRDefault="00021FB6">
      <w:pPr>
        <w:pStyle w:val="BodyText"/>
        <w:numPr>
          <w:ilvl w:val="0"/>
          <w:numId w:val="26"/>
        </w:numPr>
        <w:tabs>
          <w:tab w:val="left" w:pos="567"/>
        </w:tabs>
        <w:autoSpaceDE w:val="0"/>
        <w:autoSpaceDN w:val="0"/>
        <w:ind w:left="567" w:hanging="578"/>
        <w:jc w:val="both"/>
        <w:rPr>
          <w:i w:val="0"/>
          <w:color w:val="auto"/>
          <w:szCs w:val="22"/>
          <w:lang w:val="sr-Latn-ME"/>
        </w:rPr>
      </w:pPr>
      <w:r w:rsidRPr="00E33ED2">
        <w:rPr>
          <w:i w:val="0"/>
          <w:color w:val="auto"/>
          <w:szCs w:val="22"/>
          <w:lang w:val="sr-Latn-ME"/>
        </w:rPr>
        <w:t xml:space="preserve">istovremena primjena lijeka </w:t>
      </w:r>
      <w:r w:rsidR="00AC6E3D" w:rsidRPr="00E33ED2">
        <w:rPr>
          <w:i w:val="0"/>
          <w:color w:val="auto"/>
          <w:szCs w:val="22"/>
          <w:lang w:val="sr-Latn-ME"/>
        </w:rPr>
        <w:t>Prenessaneo</w:t>
      </w:r>
      <w:r w:rsidRPr="00E33ED2">
        <w:rPr>
          <w:i w:val="0"/>
          <w:color w:val="auto"/>
          <w:szCs w:val="22"/>
          <w:lang w:val="sr-Latn-ME"/>
        </w:rPr>
        <w:t xml:space="preserve"> sa ljekovima koji sadrže aliskiren kontraindikovana je kod pacijenata sa dijabetes melitusom ili oštećenjem funkcije bubrega  (GFR &lt; 60 ml/min/1,73 m</w:t>
      </w:r>
      <w:r w:rsidRPr="00E33ED2">
        <w:rPr>
          <w:i w:val="0"/>
          <w:color w:val="auto"/>
          <w:szCs w:val="22"/>
          <w:vertAlign w:val="superscript"/>
          <w:lang w:val="sr-Latn-ME"/>
        </w:rPr>
        <w:t>2</w:t>
      </w:r>
      <w:r w:rsidRPr="00E33ED2">
        <w:rPr>
          <w:i w:val="0"/>
          <w:color w:val="auto"/>
          <w:szCs w:val="22"/>
          <w:lang w:val="sr-Latn-ME"/>
        </w:rPr>
        <w:t>) (vidjeti djelove 4.5 i 5.1);</w:t>
      </w:r>
    </w:p>
    <w:p w14:paraId="35064BE6" w14:textId="77777777" w:rsidR="00021FB6" w:rsidRPr="00E33ED2" w:rsidRDefault="00021FB6">
      <w:pPr>
        <w:pStyle w:val="BodyText"/>
        <w:numPr>
          <w:ilvl w:val="0"/>
          <w:numId w:val="26"/>
        </w:numPr>
        <w:tabs>
          <w:tab w:val="left" w:pos="567"/>
        </w:tabs>
        <w:autoSpaceDE w:val="0"/>
        <w:autoSpaceDN w:val="0"/>
        <w:ind w:left="567" w:hanging="578"/>
        <w:jc w:val="both"/>
        <w:rPr>
          <w:i w:val="0"/>
          <w:color w:val="auto"/>
          <w:szCs w:val="22"/>
          <w:lang w:val="sr-Latn-ME"/>
        </w:rPr>
      </w:pPr>
      <w:r w:rsidRPr="00E33ED2">
        <w:rPr>
          <w:i w:val="0"/>
          <w:color w:val="auto"/>
          <w:szCs w:val="22"/>
          <w:lang w:val="sr-Latn-ME"/>
        </w:rPr>
        <w:lastRenderedPageBreak/>
        <w:t xml:space="preserve">istovremena primjena sa sakubitrilom/valsartanom. Terapija lijekom </w:t>
      </w:r>
      <w:r w:rsidR="00AC6E3D" w:rsidRPr="00E33ED2">
        <w:rPr>
          <w:i w:val="0"/>
          <w:color w:val="auto"/>
          <w:szCs w:val="22"/>
          <w:lang w:val="sr-Latn-ME"/>
        </w:rPr>
        <w:t>Prenessaneo</w:t>
      </w:r>
      <w:r w:rsidRPr="00E33ED2">
        <w:rPr>
          <w:i w:val="0"/>
          <w:color w:val="auto"/>
          <w:szCs w:val="22"/>
          <w:lang w:val="sr-Latn-ME"/>
        </w:rPr>
        <w:t xml:space="preserve"> se ne smije započeti prije nego što je prošlo 36 sati od posljednje doze sakubitrila/valsartana (vidjeti i djelove 4.4 i 4.5);</w:t>
      </w:r>
    </w:p>
    <w:p w14:paraId="4D9A74F9" w14:textId="77777777" w:rsidR="00021FB6" w:rsidRPr="00E33ED2" w:rsidRDefault="00021FB6">
      <w:pPr>
        <w:numPr>
          <w:ilvl w:val="0"/>
          <w:numId w:val="26"/>
        </w:numPr>
        <w:tabs>
          <w:tab w:val="clear" w:pos="567"/>
        </w:tabs>
        <w:autoSpaceDE w:val="0"/>
        <w:autoSpaceDN w:val="0"/>
        <w:adjustRightInd w:val="0"/>
        <w:spacing w:line="240" w:lineRule="auto"/>
        <w:ind w:left="567" w:hanging="567"/>
        <w:jc w:val="both"/>
        <w:rPr>
          <w:rFonts w:eastAsia="TimesNewRoman"/>
          <w:szCs w:val="22"/>
          <w:lang w:val="sr-Latn-ME" w:eastAsia="hr-HR"/>
        </w:rPr>
      </w:pPr>
      <w:r w:rsidRPr="00E33ED2">
        <w:rPr>
          <w:rFonts w:eastAsia="TimesNewRoman"/>
          <w:szCs w:val="22"/>
          <w:lang w:val="sr-Latn-ME" w:eastAsia="hr-HR"/>
        </w:rPr>
        <w:t>ekstrakorporalna terapija koja dovodi do kontakta krvi sa negativno naelektrisanim povšinama površinama (vidjeti dio 4.5);</w:t>
      </w:r>
    </w:p>
    <w:p w14:paraId="39864AB3" w14:textId="77777777" w:rsidR="00021FB6" w:rsidRPr="00E33ED2" w:rsidRDefault="00021FB6">
      <w:pPr>
        <w:numPr>
          <w:ilvl w:val="0"/>
          <w:numId w:val="26"/>
        </w:numPr>
        <w:tabs>
          <w:tab w:val="clear" w:pos="567"/>
        </w:tabs>
        <w:autoSpaceDE w:val="0"/>
        <w:autoSpaceDN w:val="0"/>
        <w:adjustRightInd w:val="0"/>
        <w:spacing w:line="240" w:lineRule="auto"/>
        <w:ind w:left="567" w:hanging="567"/>
        <w:jc w:val="both"/>
        <w:rPr>
          <w:rFonts w:eastAsia="TimesNewRoman"/>
          <w:szCs w:val="22"/>
          <w:lang w:val="sr-Latn-ME" w:eastAsia="hr-HR"/>
        </w:rPr>
      </w:pPr>
      <w:r w:rsidRPr="00E33ED2">
        <w:rPr>
          <w:rFonts w:eastAsia="TimesNewRoman"/>
          <w:szCs w:val="22"/>
          <w:lang w:val="sr-Latn-ME" w:eastAsia="hr-HR"/>
        </w:rPr>
        <w:t>značajna bilateralna stenoza bubrežne arterije ili stenoza bubrežne arterije u jednom funkcionalnom bubregu (vidjeti dio 4.4).</w:t>
      </w:r>
    </w:p>
    <w:p w14:paraId="6FEC917C" w14:textId="77777777" w:rsidR="001919CC" w:rsidRPr="00E33ED2" w:rsidRDefault="001919CC" w:rsidP="00AC7873">
      <w:pPr>
        <w:jc w:val="both"/>
        <w:rPr>
          <w:bCs/>
          <w:szCs w:val="22"/>
          <w:lang w:val="sr-Latn-ME"/>
        </w:rPr>
      </w:pPr>
    </w:p>
    <w:p w14:paraId="619647CB" w14:textId="77777777" w:rsidR="001919CC" w:rsidRPr="00E33ED2" w:rsidRDefault="001919CC" w:rsidP="00AC7873">
      <w:pPr>
        <w:jc w:val="both"/>
        <w:rPr>
          <w:b/>
          <w:bCs/>
          <w:szCs w:val="22"/>
          <w:lang w:val="sr-Latn-ME"/>
        </w:rPr>
      </w:pPr>
      <w:r w:rsidRPr="00E33ED2">
        <w:rPr>
          <w:b/>
          <w:bCs/>
          <w:szCs w:val="22"/>
          <w:lang w:val="sr-Latn-ME"/>
        </w:rPr>
        <w:t xml:space="preserve">4.4. </w:t>
      </w:r>
      <w:r w:rsidRPr="00E33ED2">
        <w:rPr>
          <w:b/>
          <w:bCs/>
          <w:szCs w:val="22"/>
          <w:lang w:val="sr-Latn-ME"/>
        </w:rPr>
        <w:tab/>
        <w:t>Posebna upozorenja i mjere opreza pri upotrebi lijeka</w:t>
      </w:r>
    </w:p>
    <w:p w14:paraId="5D4D196D" w14:textId="77777777" w:rsidR="00C428C2" w:rsidRPr="00E33ED2" w:rsidRDefault="00C428C2" w:rsidP="00AC7873">
      <w:pPr>
        <w:autoSpaceDE w:val="0"/>
        <w:autoSpaceDN w:val="0"/>
        <w:adjustRightInd w:val="0"/>
        <w:spacing w:line="240" w:lineRule="auto"/>
        <w:jc w:val="both"/>
        <w:rPr>
          <w:szCs w:val="22"/>
          <w:u w:val="single"/>
          <w:lang w:val="sr-Latn-ME" w:eastAsia="sl-SI"/>
        </w:rPr>
      </w:pPr>
    </w:p>
    <w:p w14:paraId="71D54CE7" w14:textId="77777777" w:rsidR="00C428C2" w:rsidRPr="00E33ED2" w:rsidRDefault="00C428C2" w:rsidP="00AC7873">
      <w:pPr>
        <w:autoSpaceDE w:val="0"/>
        <w:autoSpaceDN w:val="0"/>
        <w:adjustRightInd w:val="0"/>
        <w:spacing w:line="240" w:lineRule="auto"/>
        <w:jc w:val="both"/>
        <w:rPr>
          <w:szCs w:val="22"/>
          <w:u w:val="single"/>
          <w:lang w:val="sr-Latn-ME" w:eastAsia="sl-SI"/>
        </w:rPr>
      </w:pPr>
      <w:r w:rsidRPr="00E33ED2">
        <w:rPr>
          <w:szCs w:val="22"/>
          <w:u w:val="single"/>
          <w:lang w:val="sr-Latn-ME" w:eastAsia="sl-SI"/>
        </w:rPr>
        <w:t>Stabilna koronarna arterijska bolest:</w:t>
      </w:r>
    </w:p>
    <w:p w14:paraId="1EF41FBF" w14:textId="77777777" w:rsidR="00021FB6" w:rsidRPr="00E33ED2" w:rsidRDefault="00021FB6" w:rsidP="00BA2946">
      <w:pPr>
        <w:pStyle w:val="Norml11"/>
        <w:jc w:val="both"/>
        <w:rPr>
          <w:szCs w:val="22"/>
          <w:lang w:val="sr-Latn-ME"/>
        </w:rPr>
      </w:pPr>
      <w:r w:rsidRPr="00E33ED2">
        <w:rPr>
          <w:szCs w:val="22"/>
          <w:lang w:val="sr-Latn-ME"/>
        </w:rPr>
        <w:t xml:space="preserve">Ukoliko se tokom prvog mjeseca terapije perindoprilom pojavi epizoda nestabilne angine pektoris (značajna ili ne), treba pažljivo procijeniti odnos koristi i rizika prije nastavka terapije. </w:t>
      </w:r>
    </w:p>
    <w:p w14:paraId="1672B689" w14:textId="77777777" w:rsidR="00C428C2" w:rsidRPr="00E33ED2" w:rsidRDefault="00C428C2" w:rsidP="00AC7873">
      <w:pPr>
        <w:tabs>
          <w:tab w:val="clear" w:pos="567"/>
        </w:tabs>
        <w:spacing w:line="240" w:lineRule="auto"/>
        <w:jc w:val="both"/>
        <w:rPr>
          <w:szCs w:val="22"/>
          <w:lang w:val="sr-Latn-ME" w:eastAsia="hu-HU"/>
        </w:rPr>
      </w:pPr>
    </w:p>
    <w:p w14:paraId="49D15892" w14:textId="77777777" w:rsidR="00C428C2" w:rsidRPr="00E33ED2" w:rsidRDefault="00C428C2" w:rsidP="00AC7873">
      <w:pPr>
        <w:widowControl w:val="0"/>
        <w:autoSpaceDE w:val="0"/>
        <w:autoSpaceDN w:val="0"/>
        <w:adjustRightInd w:val="0"/>
        <w:spacing w:line="240" w:lineRule="auto"/>
        <w:jc w:val="both"/>
        <w:rPr>
          <w:szCs w:val="22"/>
          <w:u w:val="single"/>
          <w:lang w:val="sr-Latn-ME" w:eastAsia="sl-SI"/>
        </w:rPr>
      </w:pPr>
      <w:r w:rsidRPr="00E33ED2">
        <w:rPr>
          <w:szCs w:val="22"/>
          <w:u w:val="single"/>
          <w:lang w:val="sr-Latn-ME" w:eastAsia="sl-SI"/>
        </w:rPr>
        <w:t>Hipotenzija:</w:t>
      </w:r>
    </w:p>
    <w:p w14:paraId="7F3FB8B8" w14:textId="3129F95B" w:rsidR="00021FB6" w:rsidRPr="00E33ED2" w:rsidRDefault="00021FB6" w:rsidP="00BA2946">
      <w:pPr>
        <w:autoSpaceDE w:val="0"/>
        <w:autoSpaceDN w:val="0"/>
        <w:adjustRightInd w:val="0"/>
        <w:jc w:val="both"/>
        <w:rPr>
          <w:szCs w:val="22"/>
          <w:lang w:val="sr-Latn-ME"/>
        </w:rPr>
      </w:pPr>
      <w:r w:rsidRPr="00E33ED2">
        <w:rPr>
          <w:szCs w:val="22"/>
          <w:lang w:val="sr-Latn-ME"/>
        </w:rPr>
        <w:t>ACE inhibitori mogu dovesti do pada krvnog pritiska. Simptomatska hipotenzija rijetko se javlja kod pacijenata sa nekomplikovanom hipertenzijom i češće nastaje kod pacijenata zbog terapije diureticima, ograničenog unosa soli hranom, dijalize, dijareje ili povraćanja, ili  pacijenata sa ozbiljnom renin-zavisnom hipertenzijom</w:t>
      </w:r>
      <w:r w:rsidR="008D4841" w:rsidRPr="00E33ED2">
        <w:rPr>
          <w:szCs w:val="22"/>
          <w:lang w:val="sr-Latn-ME"/>
        </w:rPr>
        <w:t xml:space="preserve"> </w:t>
      </w:r>
      <w:r w:rsidRPr="00E33ED2">
        <w:rPr>
          <w:szCs w:val="22"/>
          <w:lang w:val="sr-Latn-ME"/>
        </w:rPr>
        <w:t>(vidjeti djelove 4.5 i 4.8). Kod pacijenata sa simptomatskom srčanom insuficijencijom, sa ili bez pridružene bubrežne insuficijencije, može doći do pojave simptomatske hipotenzije. To se češće dešava kod težih stadijuma srčane insuficijencije, kao posl</w:t>
      </w:r>
      <w:r w:rsidR="005E0971" w:rsidRPr="00E33ED2">
        <w:rPr>
          <w:szCs w:val="22"/>
          <w:lang w:val="sr-Latn-ME"/>
        </w:rPr>
        <w:t>j</w:t>
      </w:r>
      <w:r w:rsidRPr="00E33ED2">
        <w:rPr>
          <w:szCs w:val="22"/>
          <w:lang w:val="sr-Latn-ME"/>
        </w:rPr>
        <w:t>edica upotrebe visokih doza diuretika Henlejeve petlje, hiponatrijemije ili oštećene bubrežne funkcije.</w:t>
      </w:r>
      <w:r w:rsidRPr="00E33ED2" w:rsidDel="00C73827">
        <w:rPr>
          <w:szCs w:val="22"/>
          <w:lang w:val="sr-Latn-ME"/>
        </w:rPr>
        <w:t xml:space="preserve"> </w:t>
      </w:r>
      <w:r w:rsidRPr="00E33ED2">
        <w:rPr>
          <w:szCs w:val="22"/>
          <w:lang w:val="sr-Latn-ME"/>
        </w:rPr>
        <w:t>Kod pacijenata sa povećanim rizikom od simptomatske hipotenzije, započinjanje terapije i prilagođavanje doza treba sprovesti pod nadzorom ljekara (vidjeti djelove 4.2 i 4.8). Slična je situacija i kod pacijenata sa ishemijskom bolešću srca ili cerebrovaskularnim bolestima kod kojih pretjerani pad krvnog pritiska može dovesti do infarkta miokarda ili cerebrovaskularnog insulta.</w:t>
      </w:r>
    </w:p>
    <w:p w14:paraId="4A9E6953" w14:textId="77777777" w:rsidR="00C428C2" w:rsidRPr="00E33ED2" w:rsidRDefault="00C428C2" w:rsidP="00AC7873">
      <w:pPr>
        <w:autoSpaceDE w:val="0"/>
        <w:autoSpaceDN w:val="0"/>
        <w:adjustRightInd w:val="0"/>
        <w:spacing w:line="240" w:lineRule="auto"/>
        <w:jc w:val="both"/>
        <w:rPr>
          <w:szCs w:val="22"/>
          <w:lang w:val="sr-Latn-ME" w:eastAsia="sl-SI"/>
        </w:rPr>
      </w:pPr>
    </w:p>
    <w:p w14:paraId="3A3B6002" w14:textId="0638B58E" w:rsidR="00021FB6" w:rsidRPr="00E33ED2" w:rsidRDefault="00021FB6" w:rsidP="00BA2946">
      <w:pPr>
        <w:autoSpaceDE w:val="0"/>
        <w:autoSpaceDN w:val="0"/>
        <w:adjustRightInd w:val="0"/>
        <w:jc w:val="both"/>
        <w:rPr>
          <w:szCs w:val="22"/>
          <w:lang w:val="sr-Latn-ME"/>
        </w:rPr>
      </w:pPr>
      <w:r w:rsidRPr="00E33ED2">
        <w:rPr>
          <w:szCs w:val="22"/>
          <w:lang w:val="sr-Latn-ME"/>
        </w:rPr>
        <w:t>Ukoliko se hipotenzija javi, pacijenta treba postaviti u ležeći položaj i</w:t>
      </w:r>
      <w:r w:rsidR="005E0971" w:rsidRPr="00E33ED2">
        <w:rPr>
          <w:szCs w:val="22"/>
          <w:lang w:val="sr-Latn-ME"/>
        </w:rPr>
        <w:t>,</w:t>
      </w:r>
      <w:r w:rsidRPr="00E33ED2">
        <w:rPr>
          <w:szCs w:val="22"/>
          <w:lang w:val="sr-Latn-ME"/>
        </w:rPr>
        <w:t xml:space="preserve"> ukoliko je neophodno, dati mu infuziju fiziološkog rastvora (0,9%-tni rastvor natrijum hlorida). Prolazni hipotenzivni odgovor nije kontraindikacija za uzimanje narednih doza, pri čijoj primjeni obično nema poteškoća kada se pritisak  poveća, nakon povećanja volumena.</w:t>
      </w:r>
    </w:p>
    <w:p w14:paraId="12DEF1D0" w14:textId="77777777" w:rsidR="00C428C2" w:rsidRPr="00E33ED2" w:rsidRDefault="00C428C2" w:rsidP="00AC7873">
      <w:pPr>
        <w:spacing w:line="240" w:lineRule="auto"/>
        <w:jc w:val="both"/>
        <w:rPr>
          <w:szCs w:val="22"/>
          <w:lang w:val="sr-Latn-ME" w:eastAsia="sl-SI"/>
        </w:rPr>
      </w:pPr>
    </w:p>
    <w:p w14:paraId="0DEF7E2D" w14:textId="77777777" w:rsidR="00021FB6" w:rsidRPr="00E33ED2" w:rsidRDefault="00021FB6" w:rsidP="00BA2946">
      <w:pPr>
        <w:jc w:val="both"/>
        <w:rPr>
          <w:szCs w:val="22"/>
          <w:lang w:val="sr-Latn-ME"/>
        </w:rPr>
      </w:pPr>
      <w:r w:rsidRPr="00E33ED2">
        <w:rPr>
          <w:szCs w:val="22"/>
          <w:lang w:val="sr-Latn-ME"/>
        </w:rPr>
        <w:t>Kod nekih pacijenata sa kongestivnom srčanom insuficijencijom koji imaju normalan ili nizak krvni pritisak, uz primjenu perindoprila može doći do dodatnog sniženja sistemskog krvnog pritiska.</w:t>
      </w:r>
    </w:p>
    <w:p w14:paraId="37C82E02" w14:textId="77777777" w:rsidR="00C428C2" w:rsidRPr="00E33ED2" w:rsidRDefault="00C428C2" w:rsidP="00AC7873">
      <w:pPr>
        <w:spacing w:line="240" w:lineRule="auto"/>
        <w:jc w:val="both"/>
        <w:rPr>
          <w:szCs w:val="22"/>
          <w:lang w:val="sr-Latn-ME" w:eastAsia="sl-SI"/>
        </w:rPr>
      </w:pPr>
    </w:p>
    <w:p w14:paraId="1599DC45" w14:textId="77777777" w:rsidR="000D60E8" w:rsidRPr="00E33ED2" w:rsidRDefault="000D60E8" w:rsidP="00BA2946">
      <w:pPr>
        <w:jc w:val="both"/>
        <w:rPr>
          <w:szCs w:val="22"/>
          <w:lang w:val="sr-Latn-ME"/>
        </w:rPr>
      </w:pPr>
      <w:r w:rsidRPr="00E33ED2">
        <w:rPr>
          <w:szCs w:val="22"/>
          <w:lang w:val="sr-Latn-ME"/>
        </w:rPr>
        <w:t>Ovo dejstvo je očekivano i obično nije razlog za ukidanje terapije. Ako hipotenzija postane simptomatska, možda će biti potrebno smanjenje doze ili prekid liječenja perindoprilom.</w:t>
      </w:r>
    </w:p>
    <w:p w14:paraId="4AA3F8DD" w14:textId="77777777" w:rsidR="00C428C2" w:rsidRPr="00E33ED2" w:rsidRDefault="00C428C2" w:rsidP="00AC7873">
      <w:pPr>
        <w:tabs>
          <w:tab w:val="clear" w:pos="567"/>
        </w:tabs>
        <w:spacing w:line="240" w:lineRule="auto"/>
        <w:jc w:val="both"/>
        <w:rPr>
          <w:szCs w:val="22"/>
          <w:lang w:val="sr-Latn-ME" w:eastAsia="hu-HU"/>
        </w:rPr>
      </w:pPr>
    </w:p>
    <w:p w14:paraId="0F8F202A" w14:textId="77777777" w:rsidR="000D60E8" w:rsidRPr="00E33ED2" w:rsidRDefault="000D60E8" w:rsidP="00BA2946">
      <w:pPr>
        <w:pStyle w:val="Norml11"/>
        <w:tabs>
          <w:tab w:val="left" w:pos="567"/>
        </w:tabs>
        <w:jc w:val="both"/>
        <w:rPr>
          <w:szCs w:val="22"/>
          <w:u w:val="single"/>
          <w:lang w:val="sr-Latn-ME"/>
        </w:rPr>
      </w:pPr>
      <w:r w:rsidRPr="00E33ED2">
        <w:rPr>
          <w:szCs w:val="22"/>
          <w:u w:val="single"/>
          <w:lang w:val="sr-Latn-ME"/>
        </w:rPr>
        <w:t>Stenoza aortnog ili mitralnog zaliska/hipertrofična kardiomiopatija:</w:t>
      </w:r>
    </w:p>
    <w:p w14:paraId="00D191A0" w14:textId="77777777" w:rsidR="000D60E8" w:rsidRPr="00E33ED2" w:rsidRDefault="000D60E8" w:rsidP="0062605D">
      <w:pPr>
        <w:jc w:val="both"/>
        <w:rPr>
          <w:szCs w:val="22"/>
          <w:lang w:val="sr-Latn-ME"/>
        </w:rPr>
      </w:pPr>
      <w:r w:rsidRPr="00E33ED2">
        <w:rPr>
          <w:szCs w:val="22"/>
          <w:lang w:val="sr-Latn-ME"/>
        </w:rPr>
        <w:t>Kao i drugi ACE inhibitori, perindopril se mora oprezno davati pacijentima sa stenozom mitralnog zaliska i opstrukcijom na izlazu krvi iz lijeve komore,</w:t>
      </w:r>
      <w:r w:rsidRPr="00E33ED2" w:rsidDel="001E3E97">
        <w:rPr>
          <w:szCs w:val="22"/>
          <w:lang w:val="sr-Latn-ME"/>
        </w:rPr>
        <w:t xml:space="preserve"> </w:t>
      </w:r>
      <w:r w:rsidRPr="00E33ED2">
        <w:rPr>
          <w:szCs w:val="22"/>
          <w:lang w:val="sr-Latn-ME"/>
        </w:rPr>
        <w:t>(kao što je ao</w:t>
      </w:r>
      <w:r w:rsidRPr="00E33ED2">
        <w:rPr>
          <w:color w:val="000000"/>
          <w:szCs w:val="22"/>
          <w:lang w:val="sr-Latn-ME"/>
        </w:rPr>
        <w:t>rtn</w:t>
      </w:r>
      <w:r w:rsidRPr="00E33ED2">
        <w:rPr>
          <w:szCs w:val="22"/>
          <w:lang w:val="sr-Latn-ME"/>
        </w:rPr>
        <w:t>a stenoza ili hipertrofična kardiomiopatija).</w:t>
      </w:r>
    </w:p>
    <w:p w14:paraId="02CC5A9B" w14:textId="77777777" w:rsidR="00C428C2" w:rsidRPr="00E33ED2" w:rsidRDefault="00C428C2" w:rsidP="00AC7873">
      <w:pPr>
        <w:tabs>
          <w:tab w:val="clear" w:pos="567"/>
        </w:tabs>
        <w:spacing w:line="240" w:lineRule="auto"/>
        <w:jc w:val="both"/>
        <w:rPr>
          <w:szCs w:val="22"/>
          <w:lang w:val="sr-Latn-ME" w:eastAsia="sl-SI"/>
        </w:rPr>
      </w:pPr>
    </w:p>
    <w:p w14:paraId="74BC979E" w14:textId="77777777" w:rsidR="000D60E8" w:rsidRPr="00E33ED2" w:rsidRDefault="000D60E8" w:rsidP="00BA2946">
      <w:pPr>
        <w:pStyle w:val="Norml11"/>
        <w:tabs>
          <w:tab w:val="left" w:pos="567"/>
        </w:tabs>
        <w:jc w:val="both"/>
        <w:rPr>
          <w:szCs w:val="22"/>
          <w:u w:val="single"/>
          <w:lang w:val="sr-Latn-ME"/>
        </w:rPr>
      </w:pPr>
      <w:r w:rsidRPr="00E33ED2">
        <w:rPr>
          <w:szCs w:val="22"/>
          <w:u w:val="single"/>
          <w:lang w:val="sr-Latn-ME"/>
        </w:rPr>
        <w:t>Oštećenje funkcije bubrega:</w:t>
      </w:r>
    </w:p>
    <w:p w14:paraId="02116D4B" w14:textId="77777777" w:rsidR="000D60E8" w:rsidRPr="00E33ED2" w:rsidRDefault="000D60E8" w:rsidP="0062605D">
      <w:pPr>
        <w:jc w:val="both"/>
        <w:rPr>
          <w:szCs w:val="22"/>
          <w:lang w:val="sr-Latn-ME"/>
        </w:rPr>
      </w:pPr>
      <w:r w:rsidRPr="00E33ED2">
        <w:rPr>
          <w:szCs w:val="22"/>
          <w:lang w:val="sr-Latn-ME"/>
        </w:rPr>
        <w:t>U slučajevima oštećene funkcije bubrega (klirens kreatinina &lt; 60 ml/min), početna doza perindoprila mora se prilagoditi prema klirensu kreatinina (vidjeti dio 4.2) a zatim u zavisnosti od pacijentovog odgovora na terapiju. Kod ovih pacijenata neophodno je redovno praćenje koncentracije kreatinina i serumskog kalijuma</w:t>
      </w:r>
      <w:r w:rsidRPr="00E33ED2" w:rsidDel="000842DB">
        <w:rPr>
          <w:szCs w:val="22"/>
          <w:lang w:val="sr-Latn-ME"/>
        </w:rPr>
        <w:t xml:space="preserve"> </w:t>
      </w:r>
      <w:r w:rsidRPr="00E33ED2">
        <w:rPr>
          <w:szCs w:val="22"/>
          <w:lang w:val="sr-Latn-ME"/>
        </w:rPr>
        <w:t>(vidjeti dio 4.8).</w:t>
      </w:r>
    </w:p>
    <w:p w14:paraId="719A75CA" w14:textId="77777777" w:rsidR="00C428C2" w:rsidRPr="00E33ED2" w:rsidRDefault="00C428C2" w:rsidP="00AC7873">
      <w:pPr>
        <w:tabs>
          <w:tab w:val="clear" w:pos="567"/>
        </w:tabs>
        <w:spacing w:line="240" w:lineRule="auto"/>
        <w:jc w:val="both"/>
        <w:rPr>
          <w:szCs w:val="22"/>
          <w:lang w:val="sr-Latn-ME" w:eastAsia="sl-SI"/>
        </w:rPr>
      </w:pPr>
    </w:p>
    <w:p w14:paraId="4DA5B248" w14:textId="77777777" w:rsidR="000D60E8" w:rsidRPr="00E33ED2" w:rsidRDefault="000D60E8" w:rsidP="00BA2946">
      <w:pPr>
        <w:jc w:val="both"/>
        <w:rPr>
          <w:szCs w:val="22"/>
          <w:lang w:val="sr-Latn-ME"/>
        </w:rPr>
      </w:pPr>
      <w:r w:rsidRPr="00E33ED2">
        <w:rPr>
          <w:szCs w:val="22"/>
          <w:lang w:val="sr-Latn-ME"/>
        </w:rPr>
        <w:t>Kod pacijenata sa simptomatskom srčanom insuficijencijom, hipotenzija koja se javlja nakon početka terapije  ACE inhibitorima može dovesti do daljnjeg oštećenja funkcije bubrega. Prijavljena je i akutna bubrežna insuficijencija, obično reverzibilnog karaktera, u takvim situacijama.</w:t>
      </w:r>
    </w:p>
    <w:p w14:paraId="68B55449" w14:textId="77777777" w:rsidR="00C428C2" w:rsidRPr="00E33ED2" w:rsidRDefault="00C428C2" w:rsidP="00AC7873">
      <w:pPr>
        <w:tabs>
          <w:tab w:val="clear" w:pos="567"/>
        </w:tabs>
        <w:spacing w:line="240" w:lineRule="auto"/>
        <w:jc w:val="both"/>
        <w:rPr>
          <w:szCs w:val="22"/>
          <w:lang w:val="sr-Latn-ME" w:eastAsia="sl-SI"/>
        </w:rPr>
      </w:pPr>
    </w:p>
    <w:p w14:paraId="0F6F7673" w14:textId="3F6E7E4A" w:rsidR="000D60E8" w:rsidRPr="00E33ED2" w:rsidRDefault="000D60E8" w:rsidP="00BA2946">
      <w:pPr>
        <w:jc w:val="both"/>
        <w:rPr>
          <w:szCs w:val="22"/>
          <w:lang w:val="sr-Latn-ME"/>
        </w:rPr>
      </w:pPr>
      <w:r w:rsidRPr="00E33ED2">
        <w:rPr>
          <w:szCs w:val="22"/>
          <w:lang w:val="sr-Latn-ME"/>
        </w:rPr>
        <w:t xml:space="preserve">Kod pacijenata sa bilateralnom stenozom bubrežne arterije ili stenozom bubrežne arterije kada je postojao samo jedan bubreg, pri liječenju ACE inhibitorima uočen je porast vrijednosti ureje i kreatinina u serumu, obično reverzibilan nakon prekida terapije. To se može očekivati pogotovo kod pacijenata sa </w:t>
      </w:r>
      <w:r w:rsidRPr="00E33ED2">
        <w:rPr>
          <w:szCs w:val="22"/>
          <w:lang w:val="sr-Latn-ME"/>
        </w:rPr>
        <w:lastRenderedPageBreak/>
        <w:t>bubrežnom insuficijencijom. Ako je prisutna i renovaskularna hipertenzija, povećan je rizik od teške hipotenzije i bubrežne insuficijencije. Kod ovih pacijenata, terapiju treba započeti pod pažljivim nadzorom ljekara, malim dozama i uz pažljivo titriranje doze. Pošto upotreba diuretika u navedenom slučaju povećava rizik, trebalo bi je isključiti, a bubrežnu funkciju pratiti u prvim ned</w:t>
      </w:r>
      <w:r w:rsidR="005E0971" w:rsidRPr="00E33ED2">
        <w:rPr>
          <w:szCs w:val="22"/>
          <w:lang w:val="sr-Latn-ME"/>
        </w:rPr>
        <w:t>j</w:t>
      </w:r>
      <w:r w:rsidRPr="00E33ED2">
        <w:rPr>
          <w:szCs w:val="22"/>
          <w:lang w:val="sr-Latn-ME"/>
        </w:rPr>
        <w:t>eljama terapije  perindoprilom.</w:t>
      </w:r>
    </w:p>
    <w:p w14:paraId="421FCBE8" w14:textId="77777777" w:rsidR="00C428C2" w:rsidRPr="00E33ED2" w:rsidRDefault="00C428C2" w:rsidP="00AC7873">
      <w:pPr>
        <w:tabs>
          <w:tab w:val="clear" w:pos="567"/>
        </w:tabs>
        <w:spacing w:line="240" w:lineRule="auto"/>
        <w:jc w:val="both"/>
        <w:rPr>
          <w:szCs w:val="22"/>
          <w:lang w:val="sr-Latn-ME" w:eastAsia="sl-SI"/>
        </w:rPr>
      </w:pPr>
    </w:p>
    <w:p w14:paraId="58DE4A9D" w14:textId="77777777" w:rsidR="000D60E8" w:rsidRPr="00E33ED2" w:rsidRDefault="000D60E8" w:rsidP="00BA2946">
      <w:pPr>
        <w:jc w:val="both"/>
        <w:rPr>
          <w:szCs w:val="22"/>
          <w:lang w:val="sr-Latn-ME"/>
        </w:rPr>
      </w:pPr>
      <w:r w:rsidRPr="00E33ED2">
        <w:rPr>
          <w:szCs w:val="22"/>
          <w:lang w:val="sr-Latn-ME"/>
        </w:rPr>
        <w:t>Kod nekih pacijenata sa hipertenzijom i bez jasne bolesti bubrežnih krvnih sudova u anamnezi, došlo je do porasta vrijednosti kreatinina i ureje u serumu, obično malog i prolaznog, pogotovo kada se perindopril davao istovremeno sa diureticima. Ovo se češće dešava kod pacijenata sa oštećenom funkcijom bubrega u anamnezi.</w:t>
      </w:r>
      <w:r w:rsidRPr="00E33ED2">
        <w:rPr>
          <w:color w:val="000080"/>
          <w:szCs w:val="22"/>
          <w:lang w:val="sr-Latn-ME"/>
        </w:rPr>
        <w:t xml:space="preserve"> </w:t>
      </w:r>
      <w:r w:rsidRPr="00E33ED2">
        <w:rPr>
          <w:szCs w:val="22"/>
          <w:lang w:val="sr-Latn-ME"/>
        </w:rPr>
        <w:t>Potrebno je razmotriti smanjenje doze i/ili prekid liječenja diuretikom i/ili perindoprilom.</w:t>
      </w:r>
    </w:p>
    <w:p w14:paraId="62E13FE0" w14:textId="77777777" w:rsidR="00C428C2" w:rsidRPr="00E33ED2" w:rsidRDefault="00C428C2" w:rsidP="00AC7873">
      <w:pPr>
        <w:tabs>
          <w:tab w:val="clear" w:pos="567"/>
        </w:tabs>
        <w:spacing w:line="240" w:lineRule="auto"/>
        <w:jc w:val="both"/>
        <w:rPr>
          <w:szCs w:val="22"/>
          <w:lang w:val="sr-Latn-ME" w:eastAsia="sl-SI"/>
        </w:rPr>
      </w:pPr>
    </w:p>
    <w:p w14:paraId="765C6238" w14:textId="77777777" w:rsidR="000D60E8" w:rsidRPr="00E33ED2" w:rsidRDefault="000D60E8" w:rsidP="00BA2946">
      <w:pPr>
        <w:jc w:val="both"/>
        <w:rPr>
          <w:szCs w:val="22"/>
          <w:u w:val="single"/>
          <w:lang w:val="sr-Latn-ME"/>
        </w:rPr>
      </w:pPr>
      <w:r w:rsidRPr="00E33ED2">
        <w:rPr>
          <w:szCs w:val="22"/>
          <w:u w:val="single"/>
          <w:lang w:val="sr-Latn-ME"/>
        </w:rPr>
        <w:t>Pacijenti na hemodijalizi:</w:t>
      </w:r>
    </w:p>
    <w:p w14:paraId="5130E31F" w14:textId="77777777" w:rsidR="000D60E8" w:rsidRPr="00E33ED2" w:rsidRDefault="000D60E8" w:rsidP="0062605D">
      <w:pPr>
        <w:jc w:val="both"/>
        <w:rPr>
          <w:szCs w:val="22"/>
          <w:lang w:val="sr-Latn-ME"/>
        </w:rPr>
      </w:pPr>
      <w:r w:rsidRPr="00E33ED2">
        <w:rPr>
          <w:szCs w:val="22"/>
          <w:lang w:val="sr-Latn-ME"/>
        </w:rPr>
        <w:t>Kod pacijenata na dijalizi membranama sa velikim fluksom koji su na terapiji ACE inhibitorima, prijavljene su anafilaktoidne reakcije. Kod ovih pacijenata treba razmotriti primjenu antihipertenzivnog lijeka iz druge grupe ili promjenu tipa dijalizne membrane.</w:t>
      </w:r>
    </w:p>
    <w:p w14:paraId="5B8601F0" w14:textId="77777777" w:rsidR="00C428C2" w:rsidRPr="00E33ED2" w:rsidRDefault="00C428C2" w:rsidP="00AC7873">
      <w:pPr>
        <w:tabs>
          <w:tab w:val="clear" w:pos="567"/>
        </w:tabs>
        <w:spacing w:line="240" w:lineRule="auto"/>
        <w:jc w:val="both"/>
        <w:rPr>
          <w:szCs w:val="22"/>
          <w:lang w:val="sr-Latn-ME" w:eastAsia="sl-SI"/>
        </w:rPr>
      </w:pPr>
    </w:p>
    <w:p w14:paraId="3F0540AF" w14:textId="77777777" w:rsidR="000D60E8" w:rsidRPr="00E33ED2" w:rsidRDefault="000D60E8" w:rsidP="00BA2946">
      <w:pPr>
        <w:jc w:val="both"/>
        <w:rPr>
          <w:szCs w:val="22"/>
          <w:u w:val="single"/>
          <w:lang w:val="sr-Latn-ME"/>
        </w:rPr>
      </w:pPr>
      <w:r w:rsidRPr="00E33ED2">
        <w:rPr>
          <w:szCs w:val="22"/>
          <w:u w:val="single"/>
          <w:lang w:val="sr-Latn-ME"/>
        </w:rPr>
        <w:t>Transplantacija bubrega:</w:t>
      </w:r>
    </w:p>
    <w:p w14:paraId="478F5403" w14:textId="77777777" w:rsidR="000D60E8" w:rsidRPr="00E33ED2" w:rsidRDefault="000D60E8" w:rsidP="0062605D">
      <w:pPr>
        <w:jc w:val="both"/>
        <w:rPr>
          <w:szCs w:val="22"/>
          <w:lang w:val="sr-Latn-ME"/>
        </w:rPr>
      </w:pPr>
      <w:r w:rsidRPr="00E33ED2">
        <w:rPr>
          <w:szCs w:val="22"/>
          <w:lang w:val="sr-Latn-ME"/>
        </w:rPr>
        <w:t>Nema iskustva sa primjenom perindoprila kod pacijenata kod kojih je nedavno urađena transplantacija bubrega.</w:t>
      </w:r>
    </w:p>
    <w:p w14:paraId="6096DA25" w14:textId="77777777" w:rsidR="00C428C2" w:rsidRPr="00E33ED2" w:rsidRDefault="00C428C2" w:rsidP="00AC7873">
      <w:pPr>
        <w:tabs>
          <w:tab w:val="clear" w:pos="567"/>
        </w:tabs>
        <w:spacing w:line="240" w:lineRule="auto"/>
        <w:jc w:val="both"/>
        <w:rPr>
          <w:szCs w:val="22"/>
          <w:lang w:val="sr-Latn-ME" w:eastAsia="sl-SI"/>
        </w:rPr>
      </w:pPr>
    </w:p>
    <w:p w14:paraId="163B9C3B" w14:textId="77777777" w:rsidR="000D60E8" w:rsidRPr="00E33ED2" w:rsidRDefault="000D60E8" w:rsidP="00BA2946">
      <w:pPr>
        <w:jc w:val="both"/>
        <w:rPr>
          <w:szCs w:val="22"/>
          <w:u w:val="single"/>
          <w:lang w:val="sr-Latn-ME"/>
        </w:rPr>
      </w:pPr>
      <w:r w:rsidRPr="00E33ED2">
        <w:rPr>
          <w:szCs w:val="22"/>
          <w:u w:val="single"/>
          <w:lang w:val="sr-Latn-ME"/>
        </w:rPr>
        <w:t>Renovaskularna hipertenzija:</w:t>
      </w:r>
    </w:p>
    <w:p w14:paraId="07E52E4C" w14:textId="77777777" w:rsidR="000D60E8" w:rsidRPr="00E33ED2" w:rsidRDefault="000D60E8" w:rsidP="0062605D">
      <w:pPr>
        <w:jc w:val="both"/>
        <w:rPr>
          <w:szCs w:val="22"/>
          <w:lang w:val="sr-Latn-ME"/>
        </w:rPr>
      </w:pPr>
      <w:r w:rsidRPr="00E33ED2">
        <w:rPr>
          <w:szCs w:val="22"/>
          <w:lang w:val="sr-Latn-ME"/>
        </w:rPr>
        <w:t>Postoji povećani rizik od hipotenzije i bubrežne insuficijencije kada se pacijenti sa bilateralnom stenozom bubrežnih arterija ili sa stenozom arterije jedinog funkcionalnog bubrega liječe ACE inhibitorima</w:t>
      </w:r>
      <w:r w:rsidRPr="00E33ED2" w:rsidDel="00643341">
        <w:rPr>
          <w:szCs w:val="22"/>
          <w:lang w:val="sr-Latn-ME"/>
        </w:rPr>
        <w:t xml:space="preserve"> </w:t>
      </w:r>
      <w:r w:rsidRPr="00E33ED2">
        <w:rPr>
          <w:szCs w:val="22"/>
          <w:lang w:val="sr-Latn-ME"/>
        </w:rPr>
        <w:t>(vidjeti dio 4.3). Primjena diuretika može biti dodatni faktor rizika. Gubitak funkcije bubrega se može pojaviti uz male promjene kreatinina u serumu čak i kod pacijenata sa jednostranom stenozom bubrežne arterije.</w:t>
      </w:r>
    </w:p>
    <w:p w14:paraId="7E2DC92F" w14:textId="77777777" w:rsidR="00C428C2" w:rsidRPr="00E33ED2" w:rsidRDefault="00C428C2" w:rsidP="00AC7873">
      <w:pPr>
        <w:tabs>
          <w:tab w:val="clear" w:pos="567"/>
        </w:tabs>
        <w:spacing w:line="240" w:lineRule="auto"/>
        <w:jc w:val="both"/>
        <w:rPr>
          <w:szCs w:val="22"/>
          <w:lang w:val="sr-Latn-ME" w:eastAsia="sl-SI"/>
        </w:rPr>
      </w:pPr>
    </w:p>
    <w:p w14:paraId="3D8C1D64" w14:textId="77777777" w:rsidR="00C428C2" w:rsidRPr="00E33ED2" w:rsidRDefault="00C428C2" w:rsidP="00AC7873">
      <w:pPr>
        <w:spacing w:line="240" w:lineRule="auto"/>
        <w:jc w:val="both"/>
        <w:rPr>
          <w:szCs w:val="22"/>
          <w:u w:val="single"/>
          <w:lang w:val="sr-Latn-ME" w:eastAsia="sl-SI"/>
        </w:rPr>
      </w:pPr>
      <w:r w:rsidRPr="00E33ED2">
        <w:rPr>
          <w:szCs w:val="22"/>
          <w:u w:val="single"/>
          <w:lang w:val="sr-Latn-ME" w:eastAsia="sl-SI"/>
        </w:rPr>
        <w:t>Preosjetljivost/angioedem:</w:t>
      </w:r>
    </w:p>
    <w:p w14:paraId="43504EFC" w14:textId="4899B77E" w:rsidR="000D60E8" w:rsidRPr="00E33ED2" w:rsidRDefault="000D60E8" w:rsidP="00BA2946">
      <w:pPr>
        <w:jc w:val="both"/>
        <w:rPr>
          <w:szCs w:val="22"/>
          <w:lang w:val="sr-Latn-ME"/>
        </w:rPr>
      </w:pPr>
      <w:r w:rsidRPr="00E33ED2">
        <w:rPr>
          <w:szCs w:val="22"/>
          <w:lang w:val="sr-Latn-ME"/>
        </w:rPr>
        <w:t>Angioedem lica, ekstremiteta, usana, sluz</w:t>
      </w:r>
      <w:r w:rsidR="005E0971" w:rsidRPr="00E33ED2">
        <w:rPr>
          <w:szCs w:val="22"/>
          <w:lang w:val="sr-Latn-ME"/>
        </w:rPr>
        <w:t>okoža</w:t>
      </w:r>
      <w:r w:rsidRPr="00E33ED2">
        <w:rPr>
          <w:szCs w:val="22"/>
          <w:lang w:val="sr-Latn-ME"/>
        </w:rPr>
        <w:t>, jezika, glotisa i/ili grkljana rijetko je prijavljen prilikom terapije ACE inhibitorima, uključujući perindopril (vidjeti dio 4.8). On se može pojaviti bilo kada u toku liječenja. U tim slučajevima treba odmah prekinuti liječenje perindoprilom i započeti sa adekvatnim praćenjem pacijenta, koje treba nastaviti sve dok ne dođe do potpunog povlačenja simptoma. U slučajevima u kojima je oticanje bilo ograničeno na lice i usne, stanje se obično popravilo bez terapije, iako su se antihistaminici pokazali korisnim u ublažavanju simptoma.</w:t>
      </w:r>
    </w:p>
    <w:p w14:paraId="7AF2E239" w14:textId="77777777" w:rsidR="00C428C2" w:rsidRPr="00E33ED2" w:rsidRDefault="00C428C2" w:rsidP="00AC7873">
      <w:pPr>
        <w:numPr>
          <w:ilvl w:val="12"/>
          <w:numId w:val="0"/>
        </w:numPr>
        <w:tabs>
          <w:tab w:val="clear" w:pos="567"/>
          <w:tab w:val="left" w:pos="8505"/>
        </w:tabs>
        <w:spacing w:line="240" w:lineRule="auto"/>
        <w:ind w:right="-2"/>
        <w:jc w:val="both"/>
        <w:rPr>
          <w:szCs w:val="22"/>
          <w:lang w:val="sr-Latn-ME" w:eastAsia="sl-SI"/>
        </w:rPr>
      </w:pPr>
    </w:p>
    <w:p w14:paraId="52DDAC40" w14:textId="77777777" w:rsidR="000D60E8" w:rsidRPr="00E33ED2" w:rsidRDefault="000D60E8" w:rsidP="00AC7873">
      <w:pPr>
        <w:jc w:val="both"/>
        <w:rPr>
          <w:szCs w:val="22"/>
          <w:lang w:val="sr-Latn-ME"/>
        </w:rPr>
      </w:pPr>
      <w:r w:rsidRPr="00E33ED2">
        <w:rPr>
          <w:szCs w:val="22"/>
          <w:lang w:val="sr-Latn-ME"/>
        </w:rPr>
        <w:t>Angioedem povezan sa edemom grkljana može imati smrtni ishod. Ako otok zahvata jezik, glotis ili grkljan, vjerovatno je da će izazvati opstrukciju disajnih puteva, stoga treba odmah pružiti prvu pomoć. To uključuje primjenu adrenalina i/ili održavanje prohodnosti disajnih puteva. Pacijent treba da bude pod konstantnim nadzorom ljekara sve dok se simptomi u potpunosti ne povuku.</w:t>
      </w:r>
    </w:p>
    <w:p w14:paraId="1D2603B8" w14:textId="77777777" w:rsidR="00C428C2" w:rsidRPr="00E33ED2" w:rsidRDefault="00C428C2" w:rsidP="00AC7873">
      <w:pPr>
        <w:numPr>
          <w:ilvl w:val="12"/>
          <w:numId w:val="0"/>
        </w:numPr>
        <w:tabs>
          <w:tab w:val="clear" w:pos="567"/>
          <w:tab w:val="left" w:pos="8505"/>
        </w:tabs>
        <w:spacing w:line="240" w:lineRule="auto"/>
        <w:ind w:right="-2"/>
        <w:jc w:val="both"/>
        <w:rPr>
          <w:szCs w:val="22"/>
          <w:lang w:val="sr-Latn-ME" w:eastAsia="sl-SI"/>
        </w:rPr>
      </w:pPr>
    </w:p>
    <w:p w14:paraId="566975F8" w14:textId="77777777" w:rsidR="000D60E8" w:rsidRPr="00E33ED2" w:rsidRDefault="000D60E8" w:rsidP="00BA2946">
      <w:pPr>
        <w:jc w:val="both"/>
        <w:rPr>
          <w:szCs w:val="22"/>
          <w:lang w:val="sr-Latn-ME"/>
        </w:rPr>
      </w:pPr>
      <w:r w:rsidRPr="00E33ED2">
        <w:rPr>
          <w:szCs w:val="22"/>
          <w:lang w:val="sr-Latn-ME"/>
        </w:rPr>
        <w:t>Pacijenti sa angioedemom u istorji bolesti koji nije povezan sa liječenjem ACE inhibitorom, imaju povećan rizik od angioedema dok uzimaju ACE inhibitor (vidjeti dio 4.3).</w:t>
      </w:r>
    </w:p>
    <w:p w14:paraId="26DF99EA" w14:textId="77777777" w:rsidR="000D60E8" w:rsidRPr="00E33ED2" w:rsidRDefault="000D60E8" w:rsidP="0062605D">
      <w:pPr>
        <w:pStyle w:val="BodyText"/>
        <w:tabs>
          <w:tab w:val="left" w:pos="567"/>
        </w:tabs>
        <w:jc w:val="both"/>
        <w:rPr>
          <w:i w:val="0"/>
          <w:color w:val="auto"/>
          <w:szCs w:val="22"/>
          <w:lang w:val="sr-Latn-ME"/>
        </w:rPr>
      </w:pPr>
      <w:r w:rsidRPr="00E33ED2">
        <w:rPr>
          <w:i w:val="0"/>
          <w:color w:val="auto"/>
          <w:szCs w:val="22"/>
          <w:lang w:val="sr-Latn-ME"/>
        </w:rPr>
        <w:t>Intestinalni angioedem rijetko je prijavljivan  kod pacijenata koji su na terapiji ACE inhibitorima. Ovi pacijenti su se žalili na bolove u abdomenu (sa ili bez mučnine i povraćanja); u nekim slučajevima i bez prethodne pojave angioedema lica i s normalnim vrijednostima C-1 esteraze. Intestinalni angioedem dijagnostifikovan je CT-om abdomena, ultrazvukom ili hirurškom operacijom. Simptomi su nestali nakon prekida terapije ACE inhibitorima. Intestinalni angioedem treba uključiti u diferencijalnu dijagnozu kod pacijenata koji koriste ACE inhibitore, a žale se na bolove u abdomenu.</w:t>
      </w:r>
    </w:p>
    <w:p w14:paraId="6B207248" w14:textId="77777777" w:rsidR="00C428C2" w:rsidRPr="00E33ED2" w:rsidRDefault="00C428C2" w:rsidP="00AC7873">
      <w:pPr>
        <w:tabs>
          <w:tab w:val="clear" w:pos="567"/>
        </w:tabs>
        <w:spacing w:line="240" w:lineRule="auto"/>
        <w:jc w:val="both"/>
        <w:rPr>
          <w:szCs w:val="22"/>
          <w:lang w:val="sr-Latn-ME" w:eastAsia="sl-SI"/>
        </w:rPr>
      </w:pPr>
    </w:p>
    <w:p w14:paraId="56CD30E9" w14:textId="77777777" w:rsidR="000D60E8" w:rsidRPr="00E33ED2" w:rsidRDefault="000D60E8" w:rsidP="00BA2946">
      <w:pPr>
        <w:pStyle w:val="BodyText"/>
        <w:tabs>
          <w:tab w:val="left" w:pos="567"/>
        </w:tabs>
        <w:jc w:val="both"/>
        <w:rPr>
          <w:i w:val="0"/>
          <w:color w:val="auto"/>
          <w:szCs w:val="22"/>
          <w:lang w:val="sr-Latn-ME"/>
        </w:rPr>
      </w:pPr>
      <w:r w:rsidRPr="00E33ED2">
        <w:rPr>
          <w:i w:val="0"/>
          <w:color w:val="auto"/>
          <w:szCs w:val="22"/>
          <w:lang w:val="sr-Latn-ME"/>
        </w:rPr>
        <w:t>Istovremena primjena ACE inhibitora sa sakubitrilom/valsartanom je kontraindikovana zbog povećanog rizika od angioedema (vidjeti dio 4.3). Liječenje sakubitrilom/valsartanom ne smije se započeti prije nego prođe 36 sati od posljednje doze perindoprila. Liječenje perindoprilom ne smije se započeti prije nego prođe 36 sati od posljednje doze sakubitrila/valsartana (vidjeti djelove 4.3 i 4.5).</w:t>
      </w:r>
    </w:p>
    <w:p w14:paraId="18DA451F" w14:textId="77777777" w:rsidR="000D60E8" w:rsidRPr="00E33ED2" w:rsidRDefault="000D60E8" w:rsidP="0062605D">
      <w:pPr>
        <w:pStyle w:val="BodyText"/>
        <w:tabs>
          <w:tab w:val="left" w:pos="567"/>
        </w:tabs>
        <w:jc w:val="both"/>
        <w:rPr>
          <w:i w:val="0"/>
          <w:color w:val="auto"/>
          <w:szCs w:val="22"/>
          <w:lang w:val="sr-Latn-ME"/>
        </w:rPr>
      </w:pPr>
      <w:r w:rsidRPr="00E33ED2">
        <w:rPr>
          <w:i w:val="0"/>
          <w:color w:val="auto"/>
          <w:szCs w:val="22"/>
          <w:lang w:val="sr-Latn-ME"/>
        </w:rPr>
        <w:t xml:space="preserve">Pacijenti na istovremenoj terapiji ACE inhibitorima sa NEP inhibitorima (npr. racekadotrilom), mTOR inhibitorima (npr. sirolimus, everolimus, temsirolimus) i gliptinima (npr. linagliptin, saksagliptin, </w:t>
      </w:r>
      <w:r w:rsidRPr="00E33ED2">
        <w:rPr>
          <w:i w:val="0"/>
          <w:color w:val="auto"/>
          <w:szCs w:val="22"/>
          <w:lang w:val="sr-Latn-ME"/>
        </w:rPr>
        <w:lastRenderedPageBreak/>
        <w:t>sitagliptin, vildagliptin) mogu imati povećan rizik od nastanka  angioedema (npr. oticanje disajnih puteva ili jezika, sa ili bez oštećenja respiratorne funkcije) (vidjeti dio 4.5). Potreban je oprez kod uvođenja liječenja NEP inhibitorima (npr. racekadotrilom), mTOR inhibitorima (npr. sirolimusom, everolimusom, temsirolimusom) i gluiptinima (npr. linagliptin, saksagliptin, sitagliptin, vildagliptin) kod pacijenata  koji već koriste ACE inhibitore.</w:t>
      </w:r>
    </w:p>
    <w:p w14:paraId="089A6E03" w14:textId="77777777" w:rsidR="00C428C2" w:rsidRPr="00E33ED2" w:rsidRDefault="00C428C2" w:rsidP="00AC7873">
      <w:pPr>
        <w:numPr>
          <w:ilvl w:val="12"/>
          <w:numId w:val="0"/>
        </w:numPr>
        <w:tabs>
          <w:tab w:val="clear" w:pos="567"/>
          <w:tab w:val="left" w:pos="8505"/>
        </w:tabs>
        <w:spacing w:line="240" w:lineRule="auto"/>
        <w:ind w:right="-2"/>
        <w:jc w:val="both"/>
        <w:rPr>
          <w:szCs w:val="22"/>
          <w:lang w:val="sr-Latn-ME"/>
        </w:rPr>
      </w:pPr>
    </w:p>
    <w:p w14:paraId="277B21F6" w14:textId="77777777" w:rsidR="000D60E8" w:rsidRPr="00E33ED2" w:rsidRDefault="000D60E8" w:rsidP="00AC7873">
      <w:pPr>
        <w:pStyle w:val="BodyText"/>
        <w:widowControl w:val="0"/>
        <w:tabs>
          <w:tab w:val="left" w:pos="567"/>
        </w:tabs>
        <w:jc w:val="both"/>
        <w:rPr>
          <w:i w:val="0"/>
          <w:color w:val="auto"/>
          <w:szCs w:val="22"/>
          <w:u w:val="single"/>
          <w:lang w:val="sr-Latn-ME"/>
        </w:rPr>
      </w:pPr>
      <w:r w:rsidRPr="00E33ED2">
        <w:rPr>
          <w:i w:val="0"/>
          <w:color w:val="auto"/>
          <w:szCs w:val="22"/>
          <w:u w:val="single"/>
          <w:lang w:val="sr-Latn-ME"/>
        </w:rPr>
        <w:t>Anafilaktoidne reakcije u toku afereze lipoproteina male gustine (LDL):</w:t>
      </w:r>
    </w:p>
    <w:p w14:paraId="39D2AF09" w14:textId="7FB080C0" w:rsidR="000D60E8" w:rsidRPr="00E33ED2" w:rsidRDefault="000D60E8" w:rsidP="00BA2946">
      <w:pPr>
        <w:pStyle w:val="BodyText"/>
        <w:jc w:val="both"/>
        <w:rPr>
          <w:szCs w:val="22"/>
          <w:lang w:val="sr-Latn-ME"/>
        </w:rPr>
      </w:pPr>
      <w:r w:rsidRPr="00E33ED2">
        <w:rPr>
          <w:i w:val="0"/>
          <w:color w:val="auto"/>
          <w:szCs w:val="22"/>
          <w:lang w:val="sr-Latn-ME"/>
        </w:rPr>
        <w:t>U rijetkim slučajevima, pacijenti koji su bili na terapiji ACE inhibitorima, za vrijeme afereze lipoproteina male gustine (LDL-afereza) sa dekstran sulfatom, doživjeli su životno ugrožavajuće anafilaktoidne reakcije. Ove reakcije se mogu izb</w:t>
      </w:r>
      <w:r w:rsidR="0062605D" w:rsidRPr="00E33ED2">
        <w:rPr>
          <w:i w:val="0"/>
          <w:color w:val="auto"/>
          <w:szCs w:val="22"/>
          <w:lang w:val="sr-Latn-ME"/>
        </w:rPr>
        <w:t>j</w:t>
      </w:r>
      <w:r w:rsidRPr="00E33ED2">
        <w:rPr>
          <w:i w:val="0"/>
          <w:color w:val="auto"/>
          <w:szCs w:val="22"/>
          <w:lang w:val="sr-Latn-ME"/>
        </w:rPr>
        <w:t>eći privremenim ukidanjem terapije ACE inhibitorima prije svake afereze</w:t>
      </w:r>
      <w:r w:rsidRPr="00E33ED2">
        <w:rPr>
          <w:szCs w:val="22"/>
          <w:lang w:val="sr-Latn-ME"/>
        </w:rPr>
        <w:t>.</w:t>
      </w:r>
    </w:p>
    <w:p w14:paraId="6291CFD9" w14:textId="77777777" w:rsidR="00C428C2" w:rsidRPr="00E33ED2" w:rsidRDefault="00C428C2" w:rsidP="00AC7873">
      <w:pPr>
        <w:numPr>
          <w:ilvl w:val="12"/>
          <w:numId w:val="0"/>
        </w:numPr>
        <w:tabs>
          <w:tab w:val="clear" w:pos="567"/>
          <w:tab w:val="left" w:pos="8505"/>
        </w:tabs>
        <w:spacing w:line="240" w:lineRule="auto"/>
        <w:ind w:right="-2"/>
        <w:jc w:val="both"/>
        <w:rPr>
          <w:snapToGrid w:val="0"/>
          <w:szCs w:val="22"/>
          <w:lang w:val="sr-Latn-ME" w:eastAsia="sl-SI"/>
        </w:rPr>
      </w:pPr>
    </w:p>
    <w:p w14:paraId="0EDFA109" w14:textId="77777777" w:rsidR="000D60E8" w:rsidRPr="00E33ED2" w:rsidRDefault="000D60E8" w:rsidP="00BA2946">
      <w:pPr>
        <w:pStyle w:val="BodyText"/>
        <w:widowControl w:val="0"/>
        <w:tabs>
          <w:tab w:val="left" w:pos="567"/>
        </w:tabs>
        <w:jc w:val="both"/>
        <w:rPr>
          <w:i w:val="0"/>
          <w:color w:val="auto"/>
          <w:szCs w:val="22"/>
          <w:u w:val="single"/>
          <w:lang w:val="sr-Latn-ME"/>
        </w:rPr>
      </w:pPr>
      <w:r w:rsidRPr="00E33ED2">
        <w:rPr>
          <w:i w:val="0"/>
          <w:color w:val="auto"/>
          <w:szCs w:val="22"/>
          <w:u w:val="single"/>
          <w:lang w:val="sr-Latn-ME"/>
        </w:rPr>
        <w:t>Anafilaktičke reakcije u toku desenzibilizacije:</w:t>
      </w:r>
    </w:p>
    <w:p w14:paraId="34318AA5" w14:textId="77777777" w:rsidR="000D60E8" w:rsidRPr="00E33ED2" w:rsidRDefault="000D60E8" w:rsidP="0062605D">
      <w:pPr>
        <w:jc w:val="both"/>
        <w:rPr>
          <w:szCs w:val="22"/>
          <w:lang w:val="sr-Latn-ME"/>
        </w:rPr>
      </w:pPr>
      <w:r w:rsidRPr="00E33ED2">
        <w:rPr>
          <w:szCs w:val="22"/>
          <w:lang w:val="sr-Latn-ME"/>
        </w:rPr>
        <w:t>Primijećena je pojava anafilaktoidnih reakcija kod pacijenata koji su uzimali ACE inhibitore za vrijeme postupka desenzibilizacije (npr. na otrov opnokrilaca, tj. osa, pčela, bumbara i nekih mrava). Kod tih pacijenata su se reakcije izbjegle privremenom obustavom upotrebe ACE inhibitora, ali su se ponovo javile nakon nenamjernog kontakta sa alergenom.</w:t>
      </w:r>
    </w:p>
    <w:p w14:paraId="6BA0B481" w14:textId="77777777" w:rsidR="00C428C2" w:rsidRPr="00E33ED2" w:rsidRDefault="00C428C2" w:rsidP="00C428C2">
      <w:pPr>
        <w:tabs>
          <w:tab w:val="clear" w:pos="567"/>
        </w:tabs>
        <w:spacing w:line="240" w:lineRule="auto"/>
        <w:rPr>
          <w:snapToGrid w:val="0"/>
          <w:szCs w:val="22"/>
          <w:lang w:val="sr-Latn-ME" w:eastAsia="sl-SI"/>
        </w:rPr>
      </w:pPr>
    </w:p>
    <w:p w14:paraId="0F39AD88" w14:textId="77777777" w:rsidR="000D60E8" w:rsidRPr="00E33ED2" w:rsidRDefault="000D60E8" w:rsidP="00BA2946">
      <w:pPr>
        <w:pStyle w:val="Norml11"/>
        <w:tabs>
          <w:tab w:val="left" w:pos="567"/>
        </w:tabs>
        <w:jc w:val="both"/>
        <w:rPr>
          <w:szCs w:val="22"/>
          <w:u w:val="single"/>
          <w:lang w:val="sr-Latn-ME"/>
        </w:rPr>
      </w:pPr>
      <w:r w:rsidRPr="00E33ED2">
        <w:rPr>
          <w:szCs w:val="22"/>
          <w:u w:val="single"/>
          <w:lang w:val="sr-Latn-ME"/>
        </w:rPr>
        <w:t>Oštećenje funkcije jetre:</w:t>
      </w:r>
    </w:p>
    <w:p w14:paraId="32C2E6D7" w14:textId="77777777" w:rsidR="000D60E8" w:rsidRPr="00E33ED2" w:rsidRDefault="000D60E8" w:rsidP="0062605D">
      <w:pPr>
        <w:jc w:val="both"/>
        <w:rPr>
          <w:szCs w:val="22"/>
          <w:lang w:val="sr-Latn-ME"/>
        </w:rPr>
      </w:pPr>
      <w:r w:rsidRPr="00E33ED2">
        <w:rPr>
          <w:szCs w:val="22"/>
          <w:lang w:val="sr-Latn-ME"/>
        </w:rPr>
        <w:t>U rijetkim je slučajevima primjena ACE inhibitora bila povezana sa pojavom sindroma koji počinje holestatskom žuticom i napreduje do fulminantne jetrene nekroze i (ponekad) smrti. Mehanizam nastanka ovog sindroma nije poznat. Ako se kod pacijenata koji primaju ACE inhibitore pojavi žutica ili značajan porast vrijednosti jetrenih enzima, potrebno je prekinuti liječenje ACE inhibitorom, a pacijente na adekvatan način medicinski pratiti (vidjeti dio 4.8).</w:t>
      </w:r>
    </w:p>
    <w:p w14:paraId="7A1E94ED" w14:textId="77777777" w:rsidR="00C428C2" w:rsidRPr="00E33ED2" w:rsidRDefault="00C428C2" w:rsidP="00AC7873">
      <w:pPr>
        <w:tabs>
          <w:tab w:val="clear" w:pos="567"/>
        </w:tabs>
        <w:spacing w:line="240" w:lineRule="auto"/>
        <w:jc w:val="both"/>
        <w:rPr>
          <w:snapToGrid w:val="0"/>
          <w:szCs w:val="22"/>
          <w:lang w:val="sr-Latn-ME" w:eastAsia="sl-SI"/>
        </w:rPr>
      </w:pPr>
    </w:p>
    <w:p w14:paraId="02444B9A" w14:textId="77777777" w:rsidR="000D60E8" w:rsidRPr="00E33ED2" w:rsidRDefault="000D60E8" w:rsidP="00BA2946">
      <w:pPr>
        <w:jc w:val="both"/>
        <w:rPr>
          <w:szCs w:val="22"/>
          <w:u w:val="single"/>
          <w:lang w:val="sr-Latn-ME"/>
        </w:rPr>
      </w:pPr>
      <w:r w:rsidRPr="00E33ED2">
        <w:rPr>
          <w:szCs w:val="22"/>
          <w:u w:val="single"/>
          <w:lang w:val="sr-Latn-ME"/>
        </w:rPr>
        <w:t>Neutropenija/agranulocitoza/trombocitopenija/anemija:</w:t>
      </w:r>
    </w:p>
    <w:p w14:paraId="1114FE08" w14:textId="77777777" w:rsidR="000D60E8" w:rsidRPr="00E33ED2" w:rsidRDefault="000D60E8" w:rsidP="0062605D">
      <w:pPr>
        <w:jc w:val="both"/>
        <w:rPr>
          <w:snapToGrid w:val="0"/>
          <w:szCs w:val="22"/>
          <w:lang w:val="sr-Latn-ME"/>
        </w:rPr>
      </w:pPr>
      <w:r w:rsidRPr="00E33ED2">
        <w:rPr>
          <w:szCs w:val="22"/>
          <w:lang w:val="sr-Latn-ME"/>
        </w:rPr>
        <w:t>Neutropenija/agranulocitoza, trombocitopenija i anemija su prijavljene kod pacijenata na terapiji ACE inhibitorima. Kod pacijenata sa očuvanom funkcijom bubrega kod kojih nema drugih komplikacija, neutropenija se rijetko javlja. Perindopril se mora primijeniti sa izuzetnim oprezom kod pacijenata sa kolagenom vaskularnom bolešću, pacijenata na terapiji imunosupresivima, pacijenata na terapiji alopurinolom ili prokainamidom, ili kod pacijenata sa kombinacijom ovih komplikacija, pogotovo uz oštećenje funkcije bubrega prisutno u anamnezi. Neki od ovih pacijenata razviju teške infekcije koje u malom broju slučajeva ne odgovaraju na intenzivnu antibiotsku terapiju. Ako se perindopril koristi kod ovih pacijenata, savjetuje se periodična kontrola broja leukocita, a pacijentima se savjetuje da obavijeste ljekara o pojavi bilo kojeg znaka infekcije (npr. grlobolja, povišena tjelesna temperatura).</w:t>
      </w:r>
    </w:p>
    <w:p w14:paraId="6D623D64" w14:textId="77777777" w:rsidR="00C428C2" w:rsidRPr="00E33ED2" w:rsidRDefault="00C428C2" w:rsidP="00AC7873">
      <w:pPr>
        <w:tabs>
          <w:tab w:val="clear" w:pos="567"/>
        </w:tabs>
        <w:spacing w:line="240" w:lineRule="auto"/>
        <w:jc w:val="both"/>
        <w:rPr>
          <w:snapToGrid w:val="0"/>
          <w:szCs w:val="22"/>
          <w:lang w:val="sr-Latn-ME" w:eastAsia="sl-SI"/>
        </w:rPr>
      </w:pPr>
    </w:p>
    <w:p w14:paraId="6CDA16EB" w14:textId="77777777" w:rsidR="00C428C2" w:rsidRPr="00E33ED2" w:rsidRDefault="00C428C2" w:rsidP="00AC7873">
      <w:pPr>
        <w:spacing w:line="240" w:lineRule="auto"/>
        <w:jc w:val="both"/>
        <w:rPr>
          <w:szCs w:val="22"/>
          <w:u w:val="single"/>
          <w:lang w:val="sr-Latn-ME" w:eastAsia="sl-SI"/>
        </w:rPr>
      </w:pPr>
      <w:r w:rsidRPr="00E33ED2">
        <w:rPr>
          <w:szCs w:val="22"/>
          <w:u w:val="single"/>
          <w:lang w:val="sr-Latn-ME" w:eastAsia="sl-SI"/>
        </w:rPr>
        <w:t>Rasa:</w:t>
      </w:r>
    </w:p>
    <w:p w14:paraId="05AE1D4D" w14:textId="77777777" w:rsidR="000D60E8" w:rsidRPr="00E33ED2" w:rsidRDefault="000D60E8" w:rsidP="00BA2946">
      <w:pPr>
        <w:jc w:val="both"/>
        <w:rPr>
          <w:szCs w:val="22"/>
          <w:lang w:val="sr-Latn-ME"/>
        </w:rPr>
      </w:pPr>
      <w:r w:rsidRPr="00E33ED2">
        <w:rPr>
          <w:szCs w:val="22"/>
          <w:lang w:val="sr-Latn-ME"/>
        </w:rPr>
        <w:t>ACE inhibitori u većem procentu dovode do nastanka angioedema kod pacijenata crne rase nego kod drugih rasa. Kao i drugi ACE inhibitori, perindopril može biti manje efikasan u snižavanju krvnog pritiska kod pripadnika  crne rase, nego kod pripadnika drugih rasa, najverovatnije zbog česte pojave stanja malih vrijednosti renina kod pripadnika crne populacije sa hipertenzijom.</w:t>
      </w:r>
    </w:p>
    <w:p w14:paraId="03A6C40E" w14:textId="77777777" w:rsidR="00C428C2" w:rsidRPr="00E33ED2" w:rsidRDefault="00C428C2" w:rsidP="00AC7873">
      <w:pPr>
        <w:tabs>
          <w:tab w:val="clear" w:pos="567"/>
        </w:tabs>
        <w:spacing w:line="240" w:lineRule="auto"/>
        <w:jc w:val="both"/>
        <w:rPr>
          <w:szCs w:val="22"/>
          <w:lang w:val="sr-Latn-ME" w:eastAsia="sl-SI"/>
        </w:rPr>
      </w:pPr>
    </w:p>
    <w:p w14:paraId="2FBBFF97" w14:textId="77777777" w:rsidR="00C428C2" w:rsidRPr="00E33ED2" w:rsidRDefault="00C428C2" w:rsidP="00AC7873">
      <w:pPr>
        <w:widowControl w:val="0"/>
        <w:spacing w:line="240" w:lineRule="auto"/>
        <w:jc w:val="both"/>
        <w:rPr>
          <w:szCs w:val="22"/>
          <w:u w:val="single"/>
          <w:lang w:val="sr-Latn-ME" w:eastAsia="sl-SI"/>
        </w:rPr>
      </w:pPr>
      <w:r w:rsidRPr="00E33ED2">
        <w:rPr>
          <w:szCs w:val="22"/>
          <w:u w:val="single"/>
          <w:lang w:val="sr-Latn-ME" w:eastAsia="sl-SI"/>
        </w:rPr>
        <w:t>Kašalj:</w:t>
      </w:r>
    </w:p>
    <w:p w14:paraId="5A4907AA" w14:textId="77777777" w:rsidR="000D60E8" w:rsidRPr="00E33ED2" w:rsidRDefault="000D60E8" w:rsidP="00BA2946">
      <w:pPr>
        <w:jc w:val="both"/>
        <w:rPr>
          <w:szCs w:val="22"/>
          <w:lang w:val="sr-Latn-ME"/>
        </w:rPr>
      </w:pPr>
      <w:r w:rsidRPr="00E33ED2">
        <w:rPr>
          <w:szCs w:val="22"/>
          <w:lang w:val="sr-Latn-ME"/>
        </w:rPr>
        <w:t>Kašalj je prijavljen kod primjene ACE inhibitora. Karakteristično, kašalj nije produktivan, trajan je i prestaje nakon prekida liječenja. Kašalj izazvan upotrebom ACE inhibitora treba uzeti u obzir u diferencijalnoj dijagnozi kašlja.</w:t>
      </w:r>
    </w:p>
    <w:p w14:paraId="3EB7ED5C" w14:textId="77777777" w:rsidR="00C428C2" w:rsidRPr="00E33ED2" w:rsidRDefault="00C428C2" w:rsidP="00AC7873">
      <w:pPr>
        <w:tabs>
          <w:tab w:val="clear" w:pos="567"/>
        </w:tabs>
        <w:spacing w:line="240" w:lineRule="auto"/>
        <w:jc w:val="both"/>
        <w:rPr>
          <w:szCs w:val="22"/>
          <w:lang w:val="sr-Latn-ME" w:eastAsia="sl-SI"/>
        </w:rPr>
      </w:pPr>
    </w:p>
    <w:p w14:paraId="3119ABC7" w14:textId="77777777" w:rsidR="000D60E8" w:rsidRPr="00E33ED2" w:rsidRDefault="000D60E8" w:rsidP="00BA2946">
      <w:pPr>
        <w:jc w:val="both"/>
        <w:rPr>
          <w:i/>
          <w:szCs w:val="22"/>
          <w:lang w:val="sr-Latn-ME"/>
        </w:rPr>
      </w:pPr>
      <w:r w:rsidRPr="00E33ED2">
        <w:rPr>
          <w:szCs w:val="22"/>
          <w:u w:val="single"/>
          <w:lang w:val="sr-Latn-ME"/>
        </w:rPr>
        <w:t>Hiruški zahvati/anestezija:</w:t>
      </w:r>
    </w:p>
    <w:p w14:paraId="40DFC477" w14:textId="0F5B0282" w:rsidR="000D60E8" w:rsidRPr="00E33ED2" w:rsidRDefault="000D60E8" w:rsidP="0062605D">
      <w:pPr>
        <w:jc w:val="both"/>
        <w:rPr>
          <w:szCs w:val="22"/>
          <w:lang w:val="sr-Latn-ME"/>
        </w:rPr>
      </w:pPr>
      <w:r w:rsidRPr="00E33ED2">
        <w:rPr>
          <w:szCs w:val="22"/>
          <w:lang w:val="sr-Latn-ME"/>
        </w:rPr>
        <w:t>Kod pacijenata koji se podvrgavaju većim hirurškim intervencijama ili tokom anestezije ljekovima koji dovode do hipotenzije, perindopril može blokirati stvaranje angiotenzina II usl</w:t>
      </w:r>
      <w:r w:rsidR="008C78C0" w:rsidRPr="00E33ED2">
        <w:rPr>
          <w:szCs w:val="22"/>
          <w:lang w:val="sr-Latn-ME"/>
        </w:rPr>
        <w:t>j</w:t>
      </w:r>
      <w:r w:rsidRPr="00E33ED2">
        <w:rPr>
          <w:szCs w:val="22"/>
          <w:lang w:val="sr-Latn-ME"/>
        </w:rPr>
        <w:t>ed kompenzatornog oslobađanja renina. Liječenje treba prekinuti dan prije operacije. Ako se hipotenzija pojavi i ako se može objasniti ovim mehanizmom, tada se može ispraviti povećanjem volumena.</w:t>
      </w:r>
    </w:p>
    <w:p w14:paraId="6380D488" w14:textId="77777777" w:rsidR="00C428C2" w:rsidRPr="00E33ED2" w:rsidRDefault="00C428C2" w:rsidP="00AC7873">
      <w:pPr>
        <w:tabs>
          <w:tab w:val="clear" w:pos="567"/>
        </w:tabs>
        <w:spacing w:line="240" w:lineRule="auto"/>
        <w:jc w:val="both"/>
        <w:rPr>
          <w:snapToGrid w:val="0"/>
          <w:szCs w:val="22"/>
          <w:lang w:val="sr-Latn-ME" w:eastAsia="sl-SI"/>
        </w:rPr>
      </w:pPr>
    </w:p>
    <w:p w14:paraId="6066544C" w14:textId="77777777" w:rsidR="00C428C2" w:rsidRPr="00E33ED2" w:rsidRDefault="00C428C2" w:rsidP="00AC7873">
      <w:pPr>
        <w:keepNext/>
        <w:spacing w:line="240" w:lineRule="auto"/>
        <w:jc w:val="both"/>
        <w:rPr>
          <w:snapToGrid w:val="0"/>
          <w:szCs w:val="22"/>
          <w:u w:val="single"/>
          <w:lang w:val="sr-Latn-ME" w:eastAsia="sl-SI"/>
        </w:rPr>
      </w:pPr>
      <w:r w:rsidRPr="00E33ED2">
        <w:rPr>
          <w:snapToGrid w:val="0"/>
          <w:szCs w:val="22"/>
          <w:u w:val="single"/>
          <w:lang w:val="sr-Latn-ME" w:eastAsia="sl-SI"/>
        </w:rPr>
        <w:t>Hiperkalijemija</w:t>
      </w:r>
    </w:p>
    <w:p w14:paraId="50BCE138" w14:textId="77777777" w:rsidR="000D60E8" w:rsidRPr="00E33ED2" w:rsidRDefault="000D60E8" w:rsidP="00BA2946">
      <w:pPr>
        <w:jc w:val="both"/>
        <w:rPr>
          <w:szCs w:val="22"/>
          <w:lang w:val="sr-Latn-ME"/>
        </w:rPr>
      </w:pPr>
      <w:r w:rsidRPr="00E33ED2">
        <w:rPr>
          <w:szCs w:val="22"/>
          <w:lang w:val="sr-Latn-ME"/>
        </w:rPr>
        <w:t xml:space="preserve">Porast serumske koncentracije kalijuma je zabilježen kod nekih pacijenata koji su na terapiji ACE inhibitorima, uključujući perindopril. ACE inhibitori mogu uzrokovati hiperkalijemiju jer inhibišu </w:t>
      </w:r>
      <w:r w:rsidRPr="00E33ED2">
        <w:rPr>
          <w:szCs w:val="22"/>
          <w:lang w:val="sr-Latn-ME"/>
        </w:rPr>
        <w:lastRenderedPageBreak/>
        <w:t>otpuštanje aldosterona. Ovo dejstvo obično nije značajno kod pacijenata sa očuvanom bubrežnom funkcijom. Pacijenti kod kojih postoji rizik od hiperkalijemije su oni sa insuficijencijom bubrega, pogoršanjem bubrežne funkcije, u starijoj životnoj dobi (&gt; 70 godina), dijabetesom melitusom, interkurentnim događajima, a pogotovo dehidratacijom, akutnom srčanom insuficijencijom i metaboličkom acidozom, ili oni koji istovremeno koriste diuretike koji štede kalijum (npr. spironolakton, eplerenon, triamteren ili amilorid), suplemente kalijuma ili soli koji sadrže kalijum; ili pacijenti koji uzimaju druge ljekove koji su povezani sa porastom kalijuma u serumu (npr. heparin</w:t>
      </w:r>
      <w:r w:rsidRPr="00E33ED2">
        <w:rPr>
          <w:szCs w:val="22"/>
          <w:lang w:val="sr-Latn-ME" w:eastAsia="hu-HU"/>
        </w:rPr>
        <w:t>, kotrimoksazol, takođe poznat kao trimetoprim/sulfametoksazol) i  pogotovo antagoniste aldosterona ili blokatore angiotenzinskih receptora</w:t>
      </w:r>
      <w:r w:rsidRPr="00E33ED2">
        <w:rPr>
          <w:szCs w:val="22"/>
          <w:lang w:val="sr-Latn-ME"/>
        </w:rPr>
        <w:t>.</w:t>
      </w:r>
    </w:p>
    <w:p w14:paraId="7918F39D" w14:textId="77777777" w:rsidR="00C428C2" w:rsidRPr="00E33ED2" w:rsidRDefault="00C428C2" w:rsidP="00AC7873">
      <w:pPr>
        <w:spacing w:line="240" w:lineRule="auto"/>
        <w:jc w:val="both"/>
        <w:rPr>
          <w:szCs w:val="22"/>
          <w:lang w:val="sr-Latn-ME" w:eastAsia="sl-SI"/>
        </w:rPr>
      </w:pPr>
    </w:p>
    <w:p w14:paraId="4D46B8CF" w14:textId="40D8ABFB" w:rsidR="000D60E8" w:rsidRPr="00E33ED2" w:rsidRDefault="000D60E8" w:rsidP="00BA2946">
      <w:pPr>
        <w:jc w:val="both"/>
        <w:rPr>
          <w:szCs w:val="22"/>
          <w:lang w:val="sr-Latn-ME"/>
        </w:rPr>
      </w:pPr>
      <w:r w:rsidRPr="00E33ED2">
        <w:rPr>
          <w:szCs w:val="22"/>
          <w:lang w:val="sr-Latn-ME"/>
        </w:rPr>
        <w:t>Primjena suplemenata kalijuma, diuretika koji štede kalijum ili soli koji sadrže kalijum kod pacijenata sa oštećenom funkcijom bubrega može uzrokovati značajan porast serumske koncentracije kalijuma. Hiperkalijemija može uzrokovati ozbiljne, ponekad smrtonosne aritmije. Diuretike koji štede kalijum i blokatore angiotenzinskih receptora potrebno je primjenjivati uz oprez kod pacijenata koji se liječe ACE inhibitorima, uz praćenje vrijednosti kalijuma u serumu i bubrežne funkcije</w:t>
      </w:r>
      <w:r w:rsidR="008D4841" w:rsidRPr="00E33ED2">
        <w:rPr>
          <w:szCs w:val="22"/>
          <w:lang w:val="sr-Latn-ME"/>
        </w:rPr>
        <w:t xml:space="preserve">. </w:t>
      </w:r>
      <w:r w:rsidR="00B46D38" w:rsidRPr="00E33ED2">
        <w:rPr>
          <w:snapToGrid w:val="0"/>
          <w:szCs w:val="22"/>
          <w:lang w:val="sr-Latn-ME" w:eastAsia="sl-SI"/>
        </w:rPr>
        <w:t>Ukoliko se istovremena upotreba gore navedenih ljekova smatra opravdanom, treba ih koristiti oprezno i uz čestu kontrolu serumskog kalijuma</w:t>
      </w:r>
      <w:r w:rsidRPr="00E33ED2">
        <w:rPr>
          <w:szCs w:val="22"/>
          <w:lang w:val="sr-Latn-ME"/>
        </w:rPr>
        <w:t xml:space="preserve"> (vidjeti dio 4.5).</w:t>
      </w:r>
    </w:p>
    <w:p w14:paraId="2D2CB0E5" w14:textId="77777777" w:rsidR="00C428C2" w:rsidRPr="00E33ED2" w:rsidRDefault="00C428C2" w:rsidP="00AC7873">
      <w:pPr>
        <w:tabs>
          <w:tab w:val="clear" w:pos="567"/>
        </w:tabs>
        <w:spacing w:line="240" w:lineRule="auto"/>
        <w:jc w:val="both"/>
        <w:rPr>
          <w:snapToGrid w:val="0"/>
          <w:szCs w:val="22"/>
          <w:lang w:val="sr-Latn-ME" w:eastAsia="hu-HU"/>
        </w:rPr>
      </w:pPr>
    </w:p>
    <w:p w14:paraId="268B16E9" w14:textId="77777777" w:rsidR="000D60E8" w:rsidRPr="00E33ED2" w:rsidRDefault="000D60E8" w:rsidP="00BA2946">
      <w:pPr>
        <w:jc w:val="both"/>
        <w:rPr>
          <w:szCs w:val="22"/>
          <w:u w:val="single"/>
          <w:lang w:val="sr-Latn-ME"/>
        </w:rPr>
      </w:pPr>
      <w:r w:rsidRPr="00E33ED2">
        <w:rPr>
          <w:szCs w:val="22"/>
          <w:u w:val="single"/>
          <w:lang w:val="sr-Latn-ME"/>
        </w:rPr>
        <w:t>Pacijenti sa dijabetesom:</w:t>
      </w:r>
    </w:p>
    <w:p w14:paraId="40FABAB1" w14:textId="4C212B5F" w:rsidR="000D60E8" w:rsidRPr="00E33ED2" w:rsidRDefault="000D60E8" w:rsidP="0062605D">
      <w:pPr>
        <w:jc w:val="both"/>
        <w:rPr>
          <w:szCs w:val="22"/>
          <w:lang w:val="sr-Latn-ME"/>
        </w:rPr>
      </w:pPr>
      <w:r w:rsidRPr="00E33ED2">
        <w:rPr>
          <w:szCs w:val="22"/>
          <w:lang w:val="sr-Latn-ME"/>
        </w:rPr>
        <w:t xml:space="preserve">Kod pacijenata sa dijabetesom liječenih oralnim antidijabeticima ili insulinom, koncentracija glukoze u krvi mora se pažljivo </w:t>
      </w:r>
      <w:r w:rsidR="008C78C0" w:rsidRPr="00E33ED2">
        <w:rPr>
          <w:szCs w:val="22"/>
          <w:lang w:val="sr-Latn-ME"/>
        </w:rPr>
        <w:t xml:space="preserve">pratiti </w:t>
      </w:r>
      <w:r w:rsidRPr="00E33ED2">
        <w:rPr>
          <w:szCs w:val="22"/>
          <w:lang w:val="sr-Latn-ME"/>
        </w:rPr>
        <w:t>u toku prvog mjeseca liječenja ACE inhibitorom (vidjeti dio 4.5).</w:t>
      </w:r>
    </w:p>
    <w:p w14:paraId="6DD8EE2B" w14:textId="77777777" w:rsidR="00C428C2" w:rsidRPr="00E33ED2" w:rsidRDefault="00C428C2" w:rsidP="00AC7873">
      <w:pPr>
        <w:tabs>
          <w:tab w:val="clear" w:pos="567"/>
        </w:tabs>
        <w:spacing w:line="240" w:lineRule="auto"/>
        <w:jc w:val="both"/>
        <w:rPr>
          <w:snapToGrid w:val="0"/>
          <w:szCs w:val="22"/>
          <w:lang w:val="sr-Latn-ME" w:eastAsia="sl-SI"/>
        </w:rPr>
      </w:pPr>
    </w:p>
    <w:p w14:paraId="3635C79B" w14:textId="77777777" w:rsidR="000D60E8" w:rsidRPr="00E33ED2" w:rsidRDefault="000D60E8" w:rsidP="00BA2946">
      <w:pPr>
        <w:jc w:val="both"/>
        <w:rPr>
          <w:szCs w:val="22"/>
          <w:u w:val="single"/>
          <w:lang w:val="sr-Latn-ME"/>
        </w:rPr>
      </w:pPr>
      <w:r w:rsidRPr="00E33ED2">
        <w:rPr>
          <w:szCs w:val="22"/>
          <w:u w:val="single"/>
          <w:lang w:val="sr-Latn-ME"/>
        </w:rPr>
        <w:t>Litijum:</w:t>
      </w:r>
    </w:p>
    <w:p w14:paraId="48375302" w14:textId="77777777" w:rsidR="000D60E8" w:rsidRPr="00E33ED2" w:rsidRDefault="000D60E8" w:rsidP="0062605D">
      <w:pPr>
        <w:jc w:val="both"/>
        <w:rPr>
          <w:snapToGrid w:val="0"/>
          <w:szCs w:val="22"/>
          <w:lang w:val="sr-Latn-ME"/>
        </w:rPr>
      </w:pPr>
      <w:r w:rsidRPr="00E33ED2">
        <w:rPr>
          <w:snapToGrid w:val="0"/>
          <w:szCs w:val="22"/>
          <w:lang w:val="sr-Latn-ME"/>
        </w:rPr>
        <w:t>Kombinacija litijuma i perindoprila generalno se ne preporučuje (vidjeti dio 4.5).</w:t>
      </w:r>
    </w:p>
    <w:p w14:paraId="0D785B6E" w14:textId="77777777" w:rsidR="00C428C2" w:rsidRPr="00E33ED2" w:rsidRDefault="00C428C2" w:rsidP="00AC7873">
      <w:pPr>
        <w:tabs>
          <w:tab w:val="clear" w:pos="567"/>
        </w:tabs>
        <w:spacing w:line="240" w:lineRule="auto"/>
        <w:jc w:val="both"/>
        <w:rPr>
          <w:szCs w:val="22"/>
          <w:lang w:val="sr-Latn-ME" w:eastAsia="sl-SI"/>
        </w:rPr>
      </w:pPr>
    </w:p>
    <w:p w14:paraId="5D584D6C" w14:textId="77777777" w:rsidR="000D60E8" w:rsidRPr="00E33ED2" w:rsidRDefault="000D60E8" w:rsidP="00BA2946">
      <w:pPr>
        <w:jc w:val="both"/>
        <w:rPr>
          <w:szCs w:val="22"/>
          <w:u w:val="single"/>
          <w:lang w:val="sr-Latn-ME"/>
        </w:rPr>
      </w:pPr>
      <w:r w:rsidRPr="00E33ED2">
        <w:rPr>
          <w:szCs w:val="22"/>
          <w:u w:val="single"/>
          <w:lang w:val="sr-Latn-ME"/>
        </w:rPr>
        <w:t>Diuretici koji štede kalijum, suplementi kalijuma ili supstituenti soli koji sadrže kalijum:</w:t>
      </w:r>
    </w:p>
    <w:p w14:paraId="1F9F067F" w14:textId="77777777" w:rsidR="000D60E8" w:rsidRPr="00E33ED2" w:rsidRDefault="000D60E8" w:rsidP="0062605D">
      <w:pPr>
        <w:jc w:val="both"/>
        <w:rPr>
          <w:szCs w:val="22"/>
          <w:lang w:val="sr-Latn-ME"/>
        </w:rPr>
      </w:pPr>
      <w:r w:rsidRPr="00E33ED2">
        <w:rPr>
          <w:szCs w:val="22"/>
          <w:lang w:val="sr-Latn-ME"/>
        </w:rPr>
        <w:t>Kombinacija perindoprila i diuretika koji štede kalijum, suplemenata kalijuma ili supstituenata soli koje sadrže kalijum generalno se ne preporučuje (vidjeti dio 4.5).</w:t>
      </w:r>
    </w:p>
    <w:p w14:paraId="32C8FCF2" w14:textId="77777777" w:rsidR="00C428C2" w:rsidRPr="00E33ED2" w:rsidRDefault="00C428C2" w:rsidP="00AC7873">
      <w:pPr>
        <w:tabs>
          <w:tab w:val="clear" w:pos="567"/>
        </w:tabs>
        <w:spacing w:line="240" w:lineRule="auto"/>
        <w:jc w:val="both"/>
        <w:rPr>
          <w:szCs w:val="22"/>
          <w:lang w:val="sr-Latn-ME" w:eastAsia="sl-SI"/>
        </w:rPr>
      </w:pPr>
    </w:p>
    <w:p w14:paraId="639C9C57" w14:textId="77777777" w:rsidR="000D60E8" w:rsidRPr="00E33ED2" w:rsidRDefault="000D60E8" w:rsidP="00BA2946">
      <w:pPr>
        <w:pStyle w:val="Norml11"/>
        <w:tabs>
          <w:tab w:val="left" w:pos="567"/>
        </w:tabs>
        <w:jc w:val="both"/>
        <w:rPr>
          <w:szCs w:val="22"/>
          <w:u w:val="single"/>
          <w:lang w:val="sr-Latn-ME"/>
        </w:rPr>
      </w:pPr>
      <w:r w:rsidRPr="00E33ED2">
        <w:rPr>
          <w:szCs w:val="22"/>
          <w:u w:val="single"/>
          <w:lang w:val="sr-Latn-ME"/>
        </w:rPr>
        <w:t>Dvostruka blokada renin-angiotenzin-aldosteron sistema (RAAS):</w:t>
      </w:r>
    </w:p>
    <w:p w14:paraId="0A2699F0" w14:textId="77777777" w:rsidR="000D60E8" w:rsidRPr="00E33ED2" w:rsidRDefault="000D60E8" w:rsidP="0062605D">
      <w:pPr>
        <w:jc w:val="both"/>
        <w:rPr>
          <w:szCs w:val="22"/>
          <w:lang w:val="sr-Latn-ME"/>
        </w:rPr>
      </w:pPr>
      <w:r w:rsidRPr="00E33ED2">
        <w:rPr>
          <w:szCs w:val="22"/>
          <w:lang w:val="sr-Latn-ME"/>
        </w:rPr>
        <w:t>Postoje dokazi da istovremena primjena ACE inhibitora, blokatora angiotenzin II receptora ili aliskirena povećava rizik od pojave hipotenzije, hiperkalijemije i smanjene funkcije bubrega (uključujući akutnu bubrežnu insuficijenciju). Dvostruka blokada RAAS-a kombinovanom primjenom ACE inhibitora, blokatora angiotenzin II receptora ili aliskirena zato se ne preporučuje (vidjeti djelove 4.5 i 5.1).</w:t>
      </w:r>
    </w:p>
    <w:p w14:paraId="05EC47FC" w14:textId="77777777" w:rsidR="000D60E8" w:rsidRPr="00E33ED2" w:rsidRDefault="000D60E8">
      <w:pPr>
        <w:jc w:val="both"/>
        <w:rPr>
          <w:szCs w:val="22"/>
          <w:lang w:val="sr-Latn-ME"/>
        </w:rPr>
      </w:pPr>
      <w:r w:rsidRPr="00E33ED2">
        <w:rPr>
          <w:szCs w:val="22"/>
          <w:lang w:val="sr-Latn-ME"/>
        </w:rPr>
        <w:t>Ako se terapija dvostrukom blokadom smatra apsolutno neophodnom, smije se samo sprovoditi pod nadzorom ljekara specijaliste i uz pažljivo praćenje bubrežne funkcije, elektrolita i krvnog pritiska.</w:t>
      </w:r>
    </w:p>
    <w:p w14:paraId="54924013" w14:textId="77777777" w:rsidR="000D60E8" w:rsidRPr="00E33ED2" w:rsidRDefault="000D60E8">
      <w:pPr>
        <w:jc w:val="both"/>
        <w:rPr>
          <w:szCs w:val="22"/>
          <w:lang w:val="sr-Latn-ME"/>
        </w:rPr>
      </w:pPr>
      <w:r w:rsidRPr="00E33ED2">
        <w:rPr>
          <w:szCs w:val="22"/>
          <w:lang w:val="sr-Latn-ME"/>
        </w:rPr>
        <w:t>ACE inhibitori i blokatori angiotenzin II receptora se ne smiju primjenjivati istovremeno kod pacijenata sa dijabetičkom nefropatijom.</w:t>
      </w:r>
    </w:p>
    <w:p w14:paraId="09B0F538" w14:textId="77777777" w:rsidR="00C428C2" w:rsidRPr="00E33ED2" w:rsidRDefault="00C428C2" w:rsidP="00AC7873">
      <w:pPr>
        <w:tabs>
          <w:tab w:val="clear" w:pos="567"/>
        </w:tabs>
        <w:spacing w:line="240" w:lineRule="auto"/>
        <w:jc w:val="both"/>
        <w:rPr>
          <w:iCs/>
          <w:szCs w:val="22"/>
          <w:u w:val="single"/>
          <w:lang w:val="sr-Latn-ME"/>
        </w:rPr>
      </w:pPr>
    </w:p>
    <w:p w14:paraId="64BC106D" w14:textId="77777777" w:rsidR="00C428C2" w:rsidRPr="00E33ED2" w:rsidRDefault="00C428C2" w:rsidP="00AC7873">
      <w:pPr>
        <w:tabs>
          <w:tab w:val="clear" w:pos="567"/>
        </w:tabs>
        <w:autoSpaceDE w:val="0"/>
        <w:autoSpaceDN w:val="0"/>
        <w:adjustRightInd w:val="0"/>
        <w:spacing w:line="240" w:lineRule="auto"/>
        <w:jc w:val="both"/>
        <w:rPr>
          <w:iCs/>
          <w:szCs w:val="22"/>
          <w:u w:val="single"/>
          <w:lang w:val="sr-Latn-ME" w:eastAsia="hr-HR"/>
        </w:rPr>
      </w:pPr>
      <w:r w:rsidRPr="00E33ED2">
        <w:rPr>
          <w:iCs/>
          <w:szCs w:val="22"/>
          <w:u w:val="single"/>
          <w:lang w:val="sr-Latn-ME" w:eastAsia="hr-HR"/>
        </w:rPr>
        <w:t>Primarni aldosteronizam:</w:t>
      </w:r>
    </w:p>
    <w:p w14:paraId="1DCF1073" w14:textId="77777777" w:rsidR="000D60E8" w:rsidRPr="00E33ED2" w:rsidRDefault="000D60E8" w:rsidP="00BA2946">
      <w:pPr>
        <w:pStyle w:val="NormalWeb"/>
        <w:spacing w:before="0" w:beforeAutospacing="0" w:after="0" w:afterAutospacing="0"/>
        <w:jc w:val="both"/>
        <w:rPr>
          <w:iCs/>
          <w:sz w:val="22"/>
          <w:szCs w:val="22"/>
          <w:u w:val="single"/>
          <w:lang w:val="sr-Latn-ME"/>
        </w:rPr>
      </w:pPr>
      <w:r w:rsidRPr="00E33ED2">
        <w:rPr>
          <w:rFonts w:eastAsia="TimesNewRoman"/>
          <w:sz w:val="22"/>
          <w:szCs w:val="22"/>
          <w:lang w:val="sr-Latn-ME" w:eastAsia="hr-HR"/>
        </w:rPr>
        <w:t>Pacijenti sa primarnim hiperaldosteronizmom obično neće odreagovati na antihipertenzivnu terapiju koja djeluje putem inhibicije renin-angiotenzin sistema. Prema tome, upotreba ovog lijeka se ne preporučuje kod ovih pacijenata.</w:t>
      </w:r>
    </w:p>
    <w:p w14:paraId="2BB6C001" w14:textId="77777777" w:rsidR="00C428C2" w:rsidRPr="00E33ED2" w:rsidRDefault="00C428C2" w:rsidP="00AC7873">
      <w:pPr>
        <w:tabs>
          <w:tab w:val="clear" w:pos="567"/>
        </w:tabs>
        <w:spacing w:line="240" w:lineRule="auto"/>
        <w:jc w:val="both"/>
        <w:rPr>
          <w:iCs/>
          <w:szCs w:val="22"/>
          <w:u w:val="single"/>
          <w:lang w:val="sr-Latn-ME"/>
        </w:rPr>
      </w:pPr>
    </w:p>
    <w:p w14:paraId="1CF0B0FF" w14:textId="77777777" w:rsidR="00C428C2" w:rsidRPr="00E33ED2" w:rsidRDefault="00C428C2" w:rsidP="00AC7873">
      <w:pPr>
        <w:spacing w:line="240" w:lineRule="auto"/>
        <w:jc w:val="both"/>
        <w:rPr>
          <w:szCs w:val="22"/>
          <w:u w:val="single"/>
          <w:lang w:val="sr-Latn-ME" w:eastAsia="sl-SI"/>
        </w:rPr>
      </w:pPr>
      <w:r w:rsidRPr="00E33ED2">
        <w:rPr>
          <w:szCs w:val="22"/>
          <w:u w:val="single"/>
          <w:lang w:val="sr-Latn-ME" w:eastAsia="sl-SI"/>
        </w:rPr>
        <w:t>Trudnoća:</w:t>
      </w:r>
    </w:p>
    <w:p w14:paraId="58C2D6D0" w14:textId="77777777" w:rsidR="000D60E8" w:rsidRPr="00E33ED2" w:rsidRDefault="000D60E8" w:rsidP="00BA2946">
      <w:pPr>
        <w:jc w:val="both"/>
        <w:rPr>
          <w:snapToGrid w:val="0"/>
          <w:szCs w:val="22"/>
          <w:lang w:val="sr-Latn-ME"/>
        </w:rPr>
      </w:pPr>
      <w:r w:rsidRPr="00E33ED2">
        <w:rPr>
          <w:szCs w:val="22"/>
          <w:lang w:val="sr-Latn-ME"/>
        </w:rPr>
        <w:t xml:space="preserve">Upotrebu ACE inhibitora ne treba započinjati u toku trudnoće. Osim ako je kontinuirana terapija ACE inhibitorom neophodna, pacijentkinjama koje planiraju trudnoću treba propisivati alternativnu antihipertenzivnu terapiju koja ima utvrđeni profil bezbjednosti za primjenu u trudnoći. U slučaju trudnoće, terapiju ACE inhibitorima treba odmah obustaviti i započeti alternativnom terapijom (vidjeti djelove </w:t>
      </w:r>
      <w:r w:rsidRPr="00E33ED2">
        <w:rPr>
          <w:snapToGrid w:val="0"/>
          <w:szCs w:val="22"/>
          <w:lang w:val="sr-Latn-ME"/>
        </w:rPr>
        <w:t>4.3 i 4.6).</w:t>
      </w:r>
    </w:p>
    <w:p w14:paraId="45B7E1E6" w14:textId="77777777" w:rsidR="00C428C2" w:rsidRPr="00E33ED2" w:rsidRDefault="00C428C2" w:rsidP="00AC7873">
      <w:pPr>
        <w:widowControl w:val="0"/>
        <w:spacing w:line="240" w:lineRule="auto"/>
        <w:jc w:val="both"/>
        <w:rPr>
          <w:szCs w:val="22"/>
          <w:lang w:val="sr-Latn-ME"/>
        </w:rPr>
      </w:pPr>
    </w:p>
    <w:p w14:paraId="3A620374" w14:textId="77777777" w:rsidR="001919CC" w:rsidRPr="00E33ED2" w:rsidRDefault="001919CC" w:rsidP="00AC7873">
      <w:pPr>
        <w:jc w:val="both"/>
        <w:rPr>
          <w:b/>
          <w:bCs/>
          <w:szCs w:val="22"/>
          <w:lang w:val="sr-Latn-ME"/>
        </w:rPr>
      </w:pPr>
      <w:r w:rsidRPr="00E33ED2">
        <w:rPr>
          <w:b/>
          <w:bCs/>
          <w:szCs w:val="22"/>
          <w:lang w:val="sr-Latn-ME"/>
        </w:rPr>
        <w:t>4.5.</w:t>
      </w:r>
      <w:r w:rsidRPr="00E33ED2">
        <w:rPr>
          <w:b/>
          <w:bCs/>
          <w:szCs w:val="22"/>
          <w:lang w:val="sr-Latn-ME"/>
        </w:rPr>
        <w:tab/>
        <w:t>Interakcije sa drugim ljekovima i druge vrste interakcija</w:t>
      </w:r>
    </w:p>
    <w:p w14:paraId="5D2B5D3E" w14:textId="77777777" w:rsidR="00C428C2" w:rsidRPr="00E33ED2" w:rsidRDefault="00C428C2" w:rsidP="00AC7873">
      <w:pPr>
        <w:jc w:val="both"/>
        <w:rPr>
          <w:szCs w:val="22"/>
          <w:lang w:val="sr-Latn-ME"/>
        </w:rPr>
      </w:pPr>
    </w:p>
    <w:p w14:paraId="63A50723" w14:textId="7FAF9E2E" w:rsidR="00AC3C88" w:rsidRPr="00E33ED2" w:rsidRDefault="00AC3C88" w:rsidP="00BA2946">
      <w:pPr>
        <w:jc w:val="both"/>
        <w:rPr>
          <w:szCs w:val="22"/>
          <w:lang w:val="sr-Latn-ME"/>
        </w:rPr>
      </w:pPr>
      <w:r w:rsidRPr="00E33ED2">
        <w:rPr>
          <w:szCs w:val="22"/>
          <w:lang w:val="sr-Latn-ME"/>
        </w:rPr>
        <w:t>Podaci dobijeni iz kliničkih ispitivanja pokazali su da je dvostruka blokada renin-angiotenzin-aldosteron sistema (RAAS) kombinovanom primjenom ACE inhibitora, blokatora angiotenzin II receptora ili aliskirena povezana sa većom učestalošću neželjenih događaja kao što su hipotenzija, hiperkal</w:t>
      </w:r>
      <w:r w:rsidR="008C78C0" w:rsidRPr="00E33ED2">
        <w:rPr>
          <w:szCs w:val="22"/>
          <w:lang w:val="sr-Latn-ME"/>
        </w:rPr>
        <w:t>ij</w:t>
      </w:r>
      <w:r w:rsidRPr="00E33ED2">
        <w:rPr>
          <w:szCs w:val="22"/>
          <w:lang w:val="sr-Latn-ME"/>
        </w:rPr>
        <w:t xml:space="preserve">emija i </w:t>
      </w:r>
      <w:r w:rsidRPr="00E33ED2">
        <w:rPr>
          <w:szCs w:val="22"/>
          <w:lang w:val="sr-Latn-ME"/>
        </w:rPr>
        <w:lastRenderedPageBreak/>
        <w:t>oslabljena funkcija bubrega (uključujući akutnu bubrežnu insuficijenciju) u poređenju sa primjenom samo jednog lijeka koji djeluje na RAAS</w:t>
      </w:r>
      <w:r w:rsidRPr="00E33ED2" w:rsidDel="003A7012">
        <w:rPr>
          <w:szCs w:val="22"/>
          <w:lang w:val="sr-Latn-ME"/>
        </w:rPr>
        <w:t xml:space="preserve"> </w:t>
      </w:r>
      <w:r w:rsidRPr="00E33ED2">
        <w:rPr>
          <w:szCs w:val="22"/>
          <w:lang w:val="sr-Latn-ME"/>
        </w:rPr>
        <w:t>(vidjeti djelove 4.3, 4.4 i 5.1).</w:t>
      </w:r>
    </w:p>
    <w:p w14:paraId="4D0FADF8" w14:textId="77777777" w:rsidR="00C428C2" w:rsidRPr="00E33ED2" w:rsidRDefault="00C428C2" w:rsidP="00AC7873">
      <w:pPr>
        <w:pStyle w:val="NormalWeb"/>
        <w:shd w:val="clear" w:color="auto" w:fill="FFFFFF"/>
        <w:spacing w:before="0" w:beforeAutospacing="0" w:after="0" w:afterAutospacing="0"/>
        <w:jc w:val="both"/>
        <w:rPr>
          <w:bCs/>
          <w:iCs/>
          <w:color w:val="000000"/>
          <w:sz w:val="22"/>
          <w:szCs w:val="22"/>
          <w:lang w:val="sr-Latn-ME"/>
        </w:rPr>
      </w:pPr>
    </w:p>
    <w:p w14:paraId="6D91DE47" w14:textId="77777777" w:rsidR="00AC3C88" w:rsidRPr="00E33ED2" w:rsidRDefault="00AC3C88" w:rsidP="00BA2946">
      <w:pPr>
        <w:autoSpaceDE w:val="0"/>
        <w:autoSpaceDN w:val="0"/>
        <w:adjustRightInd w:val="0"/>
        <w:jc w:val="both"/>
        <w:rPr>
          <w:b/>
          <w:bCs/>
          <w:i/>
          <w:iCs/>
          <w:color w:val="000000"/>
          <w:szCs w:val="22"/>
          <w:lang w:val="sr-Latn-ME" w:eastAsia="fr-FR"/>
        </w:rPr>
      </w:pPr>
      <w:r w:rsidRPr="00E33ED2">
        <w:rPr>
          <w:b/>
          <w:bCs/>
          <w:i/>
          <w:iCs/>
          <w:color w:val="000000"/>
          <w:szCs w:val="22"/>
          <w:lang w:val="sr-Latn-ME" w:eastAsia="fr-FR"/>
        </w:rPr>
        <w:t>Ljekovi koji povećavaju rizik od nastanka angioedema</w:t>
      </w:r>
    </w:p>
    <w:p w14:paraId="10094C2C" w14:textId="77777777" w:rsidR="00AC3C88" w:rsidRPr="00E33ED2" w:rsidRDefault="00AC3C88" w:rsidP="0062605D">
      <w:pPr>
        <w:autoSpaceDE w:val="0"/>
        <w:autoSpaceDN w:val="0"/>
        <w:adjustRightInd w:val="0"/>
        <w:jc w:val="both"/>
        <w:rPr>
          <w:color w:val="000000"/>
          <w:szCs w:val="22"/>
          <w:lang w:val="sr-Latn-ME" w:eastAsia="fr-FR"/>
        </w:rPr>
      </w:pPr>
    </w:p>
    <w:p w14:paraId="4FBBE98F" w14:textId="77777777" w:rsidR="00AC3C88" w:rsidRPr="00E33ED2" w:rsidRDefault="00AC3C88">
      <w:pPr>
        <w:autoSpaceDE w:val="0"/>
        <w:autoSpaceDN w:val="0"/>
        <w:adjustRightInd w:val="0"/>
        <w:jc w:val="both"/>
        <w:rPr>
          <w:color w:val="000000"/>
          <w:szCs w:val="22"/>
          <w:lang w:val="sr-Latn-ME" w:eastAsia="fr-FR"/>
        </w:rPr>
      </w:pPr>
      <w:r w:rsidRPr="00E33ED2">
        <w:rPr>
          <w:color w:val="000000"/>
          <w:szCs w:val="22"/>
          <w:lang w:val="sr-Latn-ME" w:eastAsia="fr-FR"/>
        </w:rPr>
        <w:t>Istovremena primjena ACE inhibitora sa sakubitrilom/valsartanom je kontraindikovana zbog povećanog rizika od nastanka angioedema (vidjeti djelove 4.3 i 4.4). Primjena sakubitrila/valsartana se smije započeti tek 36 sati nakon uzimanja posljednje doze perindoprila. Ako se terapija sakubitrilom/valsartanom prekida, liječenje perindoprilom može započeti tek 36 sati nakon posljednje doze sakubitrila/valsartana (vidjeti djelove 4.3 i 4.4).</w:t>
      </w:r>
    </w:p>
    <w:p w14:paraId="76FBE7EA" w14:textId="77777777" w:rsidR="00AC3C88" w:rsidRPr="00E33ED2" w:rsidRDefault="00AC3C88">
      <w:pPr>
        <w:autoSpaceDE w:val="0"/>
        <w:autoSpaceDN w:val="0"/>
        <w:adjustRightInd w:val="0"/>
        <w:jc w:val="both"/>
        <w:rPr>
          <w:color w:val="000000"/>
          <w:szCs w:val="22"/>
          <w:lang w:val="sr-Latn-ME" w:eastAsia="fr-FR"/>
        </w:rPr>
      </w:pPr>
      <w:r w:rsidRPr="00E33ED2">
        <w:rPr>
          <w:color w:val="000000"/>
          <w:szCs w:val="22"/>
          <w:lang w:val="sr-Latn-ME" w:eastAsia="fr-FR"/>
        </w:rPr>
        <w:t xml:space="preserve">Istovremena primjena ACE inhibitora i racekadotrila, inhibitora mTOR-a (npr. sirolimus, everolimus, temsirolimus) i gliptina (npr. linagliptin, saksagliptin, sitagliptin, vildagliptin) može takođe povećati </w:t>
      </w:r>
      <w:r w:rsidRPr="00E33ED2">
        <w:rPr>
          <w:bCs/>
          <w:iCs/>
          <w:color w:val="000000"/>
          <w:szCs w:val="22"/>
          <w:lang w:val="sr-Latn-ME"/>
        </w:rPr>
        <w:t>rizik od nastanka angioedema (vidjeti dio 4.4).</w:t>
      </w:r>
    </w:p>
    <w:p w14:paraId="38FCFB76" w14:textId="77777777" w:rsidR="00C428C2" w:rsidRPr="00E33ED2" w:rsidRDefault="00C428C2" w:rsidP="00AC7873">
      <w:pPr>
        <w:pStyle w:val="NormalWeb"/>
        <w:shd w:val="clear" w:color="auto" w:fill="FFFFFF"/>
        <w:spacing w:before="0" w:beforeAutospacing="0" w:after="0" w:afterAutospacing="0"/>
        <w:jc w:val="both"/>
        <w:rPr>
          <w:bCs/>
          <w:iCs/>
          <w:color w:val="000000"/>
          <w:sz w:val="22"/>
          <w:szCs w:val="22"/>
          <w:lang w:val="sr-Latn-ME"/>
        </w:rPr>
      </w:pPr>
    </w:p>
    <w:p w14:paraId="5C47B6A8" w14:textId="77777777" w:rsidR="00AC3C88" w:rsidRPr="00E33ED2" w:rsidRDefault="00AC3C88" w:rsidP="00BA2946">
      <w:pPr>
        <w:pStyle w:val="NormalWeb"/>
        <w:spacing w:before="0" w:beforeAutospacing="0" w:after="0" w:afterAutospacing="0"/>
        <w:jc w:val="both"/>
        <w:rPr>
          <w:b/>
          <w:bCs/>
          <w:i/>
          <w:iCs/>
          <w:color w:val="000000"/>
          <w:sz w:val="22"/>
          <w:szCs w:val="22"/>
          <w:lang w:val="sr-Latn-ME"/>
        </w:rPr>
      </w:pPr>
      <w:r w:rsidRPr="00E33ED2">
        <w:rPr>
          <w:b/>
          <w:bCs/>
          <w:i/>
          <w:iCs/>
          <w:color w:val="000000"/>
          <w:sz w:val="22"/>
          <w:szCs w:val="22"/>
          <w:lang w:val="sr-Latn-ME"/>
        </w:rPr>
        <w:t>Ljekovi koji uzrokuju hiperkalijemiju</w:t>
      </w:r>
    </w:p>
    <w:p w14:paraId="46372E3C" w14:textId="77777777" w:rsidR="00AC3C88" w:rsidRPr="00E33ED2" w:rsidRDefault="00AC3C88" w:rsidP="0062605D">
      <w:pPr>
        <w:pStyle w:val="NormalWeb"/>
        <w:shd w:val="clear" w:color="auto" w:fill="FFFFFF"/>
        <w:spacing w:before="0" w:beforeAutospacing="0" w:after="0" w:afterAutospacing="0"/>
        <w:jc w:val="both"/>
        <w:rPr>
          <w:color w:val="000000"/>
          <w:sz w:val="22"/>
          <w:szCs w:val="22"/>
          <w:lang w:val="sr-Latn-ME"/>
        </w:rPr>
      </w:pPr>
    </w:p>
    <w:p w14:paraId="4DF5A084" w14:textId="77777777" w:rsidR="00AC3C88" w:rsidRPr="00E33ED2" w:rsidRDefault="00AC3C88">
      <w:pPr>
        <w:pStyle w:val="NormalWeb"/>
        <w:shd w:val="clear" w:color="auto" w:fill="FFFFFF"/>
        <w:spacing w:before="0" w:beforeAutospacing="0" w:after="0" w:afterAutospacing="0"/>
        <w:jc w:val="both"/>
        <w:rPr>
          <w:color w:val="000000"/>
          <w:sz w:val="22"/>
          <w:szCs w:val="22"/>
          <w:lang w:val="sr-Latn-ME"/>
        </w:rPr>
      </w:pPr>
      <w:r w:rsidRPr="00E33ED2">
        <w:rPr>
          <w:color w:val="000000"/>
          <w:sz w:val="22"/>
          <w:szCs w:val="22"/>
          <w:lang w:val="sr-Latn-ME"/>
        </w:rPr>
        <w:t xml:space="preserve">Iako kalijum u serumu obično ostaje u granicama normale, kod nekih pacijenata na terapiji lijekom </w:t>
      </w:r>
      <w:r w:rsidR="00AC6E3D" w:rsidRPr="00E33ED2">
        <w:rPr>
          <w:color w:val="000000"/>
          <w:sz w:val="22"/>
          <w:szCs w:val="22"/>
          <w:lang w:val="sr-Latn-ME"/>
        </w:rPr>
        <w:t>Prenessaneo</w:t>
      </w:r>
      <w:r w:rsidRPr="00E33ED2">
        <w:rPr>
          <w:color w:val="000000"/>
          <w:sz w:val="22"/>
          <w:szCs w:val="22"/>
          <w:lang w:val="sr-Latn-ME"/>
        </w:rPr>
        <w:t xml:space="preserve"> može se pojaviti hiperkalijemija. Neki ljekovi ili terapijske klase mogu povećati učestalost hiperkalijemije: aliskiren, soli kalijuma, diuretici koji štede kalijum (npr. spironolakton, triamteren ili amilorid), ACE inhibitori, antagonisti angiotenzin II receptora, nesteroidni antiinflamatorni ljekovi, heparini, imunosupresivi poput ciklosporina ili takrolimusa, trimetoprim i kotrimoksazol (trimetoprim/sulfametoksazol) jer je poznato da se trimetoprim može ponašati kao diuretik koji štedi kalijum poput amilorida. Kombinacija ovih ljekova povećava rizik od nastanka hiperkalijemije. Shodno tome ne preporučuje se istovremena primjena lijeka </w:t>
      </w:r>
      <w:r w:rsidR="00AC6E3D" w:rsidRPr="00E33ED2">
        <w:rPr>
          <w:color w:val="000000"/>
          <w:sz w:val="22"/>
          <w:szCs w:val="22"/>
          <w:lang w:val="sr-Latn-ME"/>
        </w:rPr>
        <w:t>Prenessaneo</w:t>
      </w:r>
      <w:r w:rsidRPr="00E33ED2">
        <w:rPr>
          <w:color w:val="000000"/>
          <w:sz w:val="22"/>
          <w:szCs w:val="22"/>
          <w:lang w:val="sr-Latn-ME"/>
        </w:rPr>
        <w:t xml:space="preserve"> sa gore navedenim ljekovima. U slučaju da se istovremena primjena smatra neophodnom, preporučuje se oprez kao i redovno praćenje vrijednosti koncentracije kalijuma u serumu.</w:t>
      </w:r>
    </w:p>
    <w:p w14:paraId="631BD74B" w14:textId="77777777" w:rsidR="00C428C2" w:rsidRPr="00E33ED2" w:rsidRDefault="00C428C2" w:rsidP="00AC7873">
      <w:pPr>
        <w:pStyle w:val="NormalWeb"/>
        <w:spacing w:before="0" w:beforeAutospacing="0" w:after="0" w:afterAutospacing="0"/>
        <w:jc w:val="both"/>
        <w:rPr>
          <w:bCs/>
          <w:iCs/>
          <w:color w:val="000000"/>
          <w:sz w:val="22"/>
          <w:szCs w:val="22"/>
          <w:lang w:val="sr-Latn-ME"/>
        </w:rPr>
      </w:pPr>
    </w:p>
    <w:p w14:paraId="3E1F554D" w14:textId="77777777" w:rsidR="00AC3C88" w:rsidRPr="00E33ED2" w:rsidRDefault="00AC3C88" w:rsidP="00BA2946">
      <w:pPr>
        <w:pStyle w:val="NormalWeb"/>
        <w:spacing w:before="0" w:beforeAutospacing="0" w:after="0" w:afterAutospacing="0"/>
        <w:jc w:val="both"/>
        <w:rPr>
          <w:color w:val="000000"/>
          <w:sz w:val="22"/>
          <w:szCs w:val="22"/>
          <w:lang w:val="sr-Latn-ME"/>
        </w:rPr>
      </w:pPr>
      <w:r w:rsidRPr="00E33ED2">
        <w:rPr>
          <w:b/>
          <w:bCs/>
          <w:i/>
          <w:iCs/>
          <w:sz w:val="22"/>
          <w:szCs w:val="22"/>
          <w:lang w:val="sr-Latn-ME"/>
        </w:rPr>
        <w:t>Istovremena upotreba koja je kontraindikovana</w:t>
      </w:r>
      <w:r w:rsidRPr="00E33ED2" w:rsidDel="00C0507F">
        <w:rPr>
          <w:b/>
          <w:bCs/>
          <w:i/>
          <w:iCs/>
          <w:sz w:val="22"/>
          <w:szCs w:val="22"/>
          <w:lang w:val="sr-Latn-ME"/>
        </w:rPr>
        <w:t xml:space="preserve"> </w:t>
      </w:r>
      <w:r w:rsidRPr="00E33ED2">
        <w:rPr>
          <w:b/>
          <w:bCs/>
          <w:i/>
          <w:iCs/>
          <w:sz w:val="22"/>
          <w:szCs w:val="22"/>
          <w:lang w:val="sr-Latn-ME"/>
        </w:rPr>
        <w:t>(vidjeti dio 4.3)</w:t>
      </w:r>
      <w:r w:rsidRPr="00E33ED2">
        <w:rPr>
          <w:b/>
          <w:bCs/>
          <w:i/>
          <w:iCs/>
          <w:color w:val="000000"/>
          <w:sz w:val="22"/>
          <w:szCs w:val="22"/>
          <w:lang w:val="sr-Latn-ME"/>
        </w:rPr>
        <w:t>:</w:t>
      </w:r>
    </w:p>
    <w:p w14:paraId="53184AE1" w14:textId="77777777" w:rsidR="00AC3C88" w:rsidRPr="00E33ED2" w:rsidRDefault="00AC3C88" w:rsidP="00AC3C88">
      <w:pPr>
        <w:pStyle w:val="NormalWeb"/>
        <w:shd w:val="clear" w:color="auto" w:fill="FFFFFF"/>
        <w:spacing w:before="0" w:beforeAutospacing="0" w:after="0" w:afterAutospacing="0"/>
        <w:jc w:val="both"/>
        <w:rPr>
          <w:color w:val="000000"/>
          <w:sz w:val="22"/>
          <w:szCs w:val="22"/>
          <w:u w:val="single"/>
          <w:lang w:val="sr-Latn-ME"/>
        </w:rPr>
      </w:pPr>
    </w:p>
    <w:p w14:paraId="65FD86C2" w14:textId="77777777" w:rsidR="00AC3C88" w:rsidRPr="00E33ED2" w:rsidRDefault="00AC3C88" w:rsidP="00BA2946">
      <w:pPr>
        <w:pStyle w:val="NormalWeb"/>
        <w:shd w:val="clear" w:color="auto" w:fill="FFFFFF"/>
        <w:spacing w:before="0" w:beforeAutospacing="0" w:after="0" w:afterAutospacing="0"/>
        <w:jc w:val="both"/>
        <w:rPr>
          <w:color w:val="000000"/>
          <w:sz w:val="22"/>
          <w:szCs w:val="22"/>
          <w:lang w:val="sr-Latn-ME"/>
        </w:rPr>
      </w:pPr>
      <w:r w:rsidRPr="00E33ED2">
        <w:rPr>
          <w:color w:val="000000"/>
          <w:sz w:val="22"/>
          <w:szCs w:val="22"/>
          <w:u w:val="single"/>
          <w:lang w:val="sr-Latn-ME"/>
        </w:rPr>
        <w:t>Aliskiren:</w:t>
      </w:r>
    </w:p>
    <w:p w14:paraId="4A27A554" w14:textId="473285BE" w:rsidR="00AC3C88" w:rsidRPr="00E33ED2" w:rsidRDefault="00AC3C88" w:rsidP="0062605D">
      <w:pPr>
        <w:pStyle w:val="NormalWeb"/>
        <w:shd w:val="clear" w:color="auto" w:fill="FFFFFF"/>
        <w:spacing w:before="0" w:beforeAutospacing="0" w:after="0" w:afterAutospacing="0"/>
        <w:jc w:val="both"/>
        <w:rPr>
          <w:color w:val="000000"/>
          <w:sz w:val="22"/>
          <w:szCs w:val="22"/>
          <w:u w:val="single"/>
          <w:lang w:val="sr-Latn-ME"/>
        </w:rPr>
      </w:pPr>
      <w:r w:rsidRPr="00E33ED2">
        <w:rPr>
          <w:sz w:val="22"/>
          <w:szCs w:val="22"/>
          <w:lang w:val="sr-Latn-ME"/>
        </w:rPr>
        <w:t>Kod pacijenata sa dijabetesom ili oštećenom funkcijom bubrega, povećan je rizik od hiperkal</w:t>
      </w:r>
      <w:r w:rsidR="00844EA8" w:rsidRPr="00E33ED2">
        <w:rPr>
          <w:sz w:val="22"/>
          <w:szCs w:val="22"/>
          <w:lang w:val="sr-Latn-ME"/>
        </w:rPr>
        <w:t>ij</w:t>
      </w:r>
      <w:r w:rsidRPr="00E33ED2">
        <w:rPr>
          <w:sz w:val="22"/>
          <w:szCs w:val="22"/>
          <w:lang w:val="sr-Latn-ME"/>
        </w:rPr>
        <w:t>emije, pogoršanja renalne funkcije i kardiovaskularnog morbiditeta i mortaliteta.</w:t>
      </w:r>
    </w:p>
    <w:p w14:paraId="6DFE7416" w14:textId="77777777" w:rsidR="00AC3C88" w:rsidRPr="00E33ED2" w:rsidRDefault="00AC3C88">
      <w:pPr>
        <w:widowControl w:val="0"/>
        <w:jc w:val="both"/>
        <w:rPr>
          <w:noProof/>
          <w:szCs w:val="22"/>
          <w:u w:val="single"/>
          <w:lang w:val="sr-Latn-ME"/>
        </w:rPr>
      </w:pPr>
    </w:p>
    <w:p w14:paraId="472F78BD" w14:textId="77777777" w:rsidR="00844EA8" w:rsidRPr="00E33ED2" w:rsidRDefault="00AC3C88">
      <w:pPr>
        <w:widowControl w:val="0"/>
        <w:jc w:val="both"/>
        <w:rPr>
          <w:noProof/>
          <w:szCs w:val="22"/>
          <w:u w:val="single"/>
          <w:lang w:val="sr-Latn-ME"/>
        </w:rPr>
      </w:pPr>
      <w:r w:rsidRPr="00E33ED2">
        <w:rPr>
          <w:noProof/>
          <w:szCs w:val="22"/>
          <w:u w:val="single"/>
          <w:lang w:val="sr-Latn-ME"/>
        </w:rPr>
        <w:t>Ekstrakorporalne terapije:</w:t>
      </w:r>
      <w:r w:rsidR="00844EA8" w:rsidRPr="00E33ED2">
        <w:rPr>
          <w:noProof/>
          <w:szCs w:val="22"/>
          <w:u w:val="single"/>
          <w:lang w:val="sr-Latn-ME"/>
        </w:rPr>
        <w:t xml:space="preserve"> </w:t>
      </w:r>
    </w:p>
    <w:p w14:paraId="55B85166" w14:textId="2F89CA1B" w:rsidR="00AC3C88" w:rsidRPr="00E33ED2" w:rsidRDefault="00AC3C88">
      <w:pPr>
        <w:widowControl w:val="0"/>
        <w:jc w:val="both"/>
        <w:rPr>
          <w:noProof/>
          <w:szCs w:val="22"/>
          <w:lang w:val="sr-Latn-ME"/>
        </w:rPr>
      </w:pPr>
      <w:r w:rsidRPr="00E33ED2">
        <w:rPr>
          <w:noProof/>
          <w:szCs w:val="22"/>
          <w:lang w:val="sr-Latn-ME"/>
        </w:rPr>
        <w:t>Ekstrakorporalne terapije koje dovode do kontakta krvi sa negativno naelektrisanim površinama poput dijalize ili hemofiltracije sa određenim membranama visokog fluksa (npr. poliakrilonitrilne membrane) i afereza lipoproteina male gustine dekstran sulfatom usl</w:t>
      </w:r>
      <w:r w:rsidR="00844EA8" w:rsidRPr="00E33ED2">
        <w:rPr>
          <w:noProof/>
          <w:szCs w:val="22"/>
          <w:lang w:val="sr-Latn-ME"/>
        </w:rPr>
        <w:t>j</w:t>
      </w:r>
      <w:r w:rsidRPr="00E33ED2">
        <w:rPr>
          <w:noProof/>
          <w:szCs w:val="22"/>
          <w:lang w:val="sr-Latn-ME"/>
        </w:rPr>
        <w:t>ed povećanog rizika od teških anafilaktoidnih reakcija</w:t>
      </w:r>
      <w:r w:rsidRPr="00E33ED2" w:rsidDel="00C0507F">
        <w:rPr>
          <w:noProof/>
          <w:szCs w:val="22"/>
          <w:lang w:val="sr-Latn-ME"/>
        </w:rPr>
        <w:t xml:space="preserve"> </w:t>
      </w:r>
      <w:r w:rsidRPr="00E33ED2">
        <w:rPr>
          <w:noProof/>
          <w:szCs w:val="22"/>
          <w:lang w:val="sr-Latn-ME"/>
        </w:rPr>
        <w:t>(vidjeti dio 4.3). Ukoliko je takva terapija neophodna, treba razmotriti upotrebu drugog tipa membrane za dijalizu ili antihipertenzivnog lijeka iz druge grupe.</w:t>
      </w:r>
    </w:p>
    <w:p w14:paraId="1B1794FE" w14:textId="77777777" w:rsidR="00C428C2" w:rsidRPr="00E33ED2" w:rsidRDefault="00C428C2" w:rsidP="00AC7873">
      <w:pPr>
        <w:pStyle w:val="NormalWeb"/>
        <w:shd w:val="clear" w:color="auto" w:fill="FFFFFF"/>
        <w:spacing w:before="0" w:beforeAutospacing="0" w:after="0" w:afterAutospacing="0"/>
        <w:jc w:val="both"/>
        <w:rPr>
          <w:bCs/>
          <w:iCs/>
          <w:color w:val="000000"/>
          <w:sz w:val="22"/>
          <w:szCs w:val="22"/>
          <w:lang w:val="sr-Latn-ME"/>
        </w:rPr>
      </w:pPr>
    </w:p>
    <w:p w14:paraId="72BB8D11" w14:textId="77777777" w:rsidR="00F544E1" w:rsidRPr="00E33ED2" w:rsidRDefault="00F544E1" w:rsidP="00BA2946">
      <w:pPr>
        <w:widowControl w:val="0"/>
        <w:jc w:val="both"/>
        <w:rPr>
          <w:b/>
          <w:bCs/>
          <w:i/>
          <w:iCs/>
          <w:szCs w:val="22"/>
          <w:lang w:val="sr-Latn-ME"/>
        </w:rPr>
      </w:pPr>
      <w:r w:rsidRPr="00E33ED2">
        <w:rPr>
          <w:b/>
          <w:bCs/>
          <w:i/>
          <w:iCs/>
          <w:szCs w:val="22"/>
          <w:lang w:val="sr-Latn-ME"/>
        </w:rPr>
        <w:t>Istovremena upotreba koja se ne preporučuje (vidjeti dio 4.4):</w:t>
      </w:r>
    </w:p>
    <w:p w14:paraId="201FB93E" w14:textId="77777777" w:rsidR="00F544E1" w:rsidRPr="00E33ED2" w:rsidRDefault="00F544E1" w:rsidP="0062605D">
      <w:pPr>
        <w:pStyle w:val="NormalWeb"/>
        <w:shd w:val="clear" w:color="auto" w:fill="FFFFFF"/>
        <w:spacing w:before="0" w:beforeAutospacing="0" w:after="0" w:afterAutospacing="0"/>
        <w:jc w:val="both"/>
        <w:rPr>
          <w:color w:val="000000"/>
          <w:sz w:val="22"/>
          <w:szCs w:val="22"/>
          <w:u w:val="single"/>
          <w:lang w:val="sr-Latn-ME"/>
        </w:rPr>
      </w:pPr>
    </w:p>
    <w:p w14:paraId="7C1240EF" w14:textId="77777777" w:rsidR="00F544E1" w:rsidRPr="00E33ED2" w:rsidRDefault="00F544E1">
      <w:pPr>
        <w:pStyle w:val="NormalWeb"/>
        <w:shd w:val="clear" w:color="auto" w:fill="FFFFFF"/>
        <w:spacing w:before="0" w:beforeAutospacing="0" w:after="0" w:afterAutospacing="0"/>
        <w:jc w:val="both"/>
        <w:rPr>
          <w:color w:val="000000"/>
          <w:sz w:val="22"/>
          <w:szCs w:val="22"/>
          <w:lang w:val="sr-Latn-ME"/>
        </w:rPr>
      </w:pPr>
      <w:r w:rsidRPr="00E33ED2">
        <w:rPr>
          <w:color w:val="000000"/>
          <w:sz w:val="22"/>
          <w:szCs w:val="22"/>
          <w:u w:val="single"/>
          <w:lang w:val="sr-Latn-ME"/>
        </w:rPr>
        <w:t>Aliskiren:</w:t>
      </w:r>
    </w:p>
    <w:p w14:paraId="6352009E" w14:textId="22A0655A" w:rsidR="00F544E1" w:rsidRPr="00E33ED2" w:rsidRDefault="00F544E1">
      <w:pPr>
        <w:pStyle w:val="NormalWeb"/>
        <w:shd w:val="clear" w:color="auto" w:fill="FFFFFF"/>
        <w:spacing w:before="0" w:beforeAutospacing="0" w:after="0" w:afterAutospacing="0"/>
        <w:jc w:val="both"/>
        <w:rPr>
          <w:color w:val="000000"/>
          <w:sz w:val="22"/>
          <w:szCs w:val="22"/>
          <w:u w:val="single"/>
          <w:lang w:val="sr-Latn-ME"/>
        </w:rPr>
      </w:pPr>
      <w:r w:rsidRPr="00E33ED2">
        <w:rPr>
          <w:bCs/>
          <w:iCs/>
          <w:sz w:val="22"/>
          <w:szCs w:val="22"/>
          <w:lang w:val="sr-Latn-ME"/>
        </w:rPr>
        <w:t>Rizik od hiperkal</w:t>
      </w:r>
      <w:r w:rsidR="00844EA8" w:rsidRPr="00E33ED2">
        <w:rPr>
          <w:bCs/>
          <w:iCs/>
          <w:sz w:val="22"/>
          <w:szCs w:val="22"/>
          <w:lang w:val="sr-Latn-ME"/>
        </w:rPr>
        <w:t>ij</w:t>
      </w:r>
      <w:r w:rsidRPr="00E33ED2">
        <w:rPr>
          <w:bCs/>
          <w:iCs/>
          <w:sz w:val="22"/>
          <w:szCs w:val="22"/>
          <w:lang w:val="sr-Latn-ME"/>
        </w:rPr>
        <w:t>emije, pogoršanja funkcije bubrega i kardiovaskularnog morbiditeta i mortaliteta je povećan, i to ne samo kod dijabetičara i pacijenata sa oštećenjem funkcije bubrega</w:t>
      </w:r>
      <w:r w:rsidR="00844EA8" w:rsidRPr="00E33ED2">
        <w:rPr>
          <w:bCs/>
          <w:iCs/>
          <w:sz w:val="22"/>
          <w:szCs w:val="22"/>
          <w:lang w:val="sr-Latn-ME"/>
        </w:rPr>
        <w:t>.</w:t>
      </w:r>
    </w:p>
    <w:p w14:paraId="5BEE8789" w14:textId="77777777" w:rsidR="00C428C2" w:rsidRPr="00E33ED2" w:rsidRDefault="00C428C2" w:rsidP="00AC7873">
      <w:pPr>
        <w:pStyle w:val="NormalWeb"/>
        <w:shd w:val="clear" w:color="auto" w:fill="FFFFFF"/>
        <w:spacing w:before="0" w:beforeAutospacing="0" w:after="0" w:afterAutospacing="0"/>
        <w:jc w:val="both"/>
        <w:rPr>
          <w:color w:val="000000"/>
          <w:sz w:val="22"/>
          <w:szCs w:val="22"/>
          <w:u w:val="single"/>
          <w:lang w:val="sr-Latn-ME"/>
        </w:rPr>
      </w:pPr>
    </w:p>
    <w:p w14:paraId="68D28050" w14:textId="77777777" w:rsidR="00F544E1" w:rsidRPr="00E33ED2" w:rsidRDefault="00F544E1" w:rsidP="00AC7873">
      <w:pPr>
        <w:widowControl w:val="0"/>
        <w:jc w:val="both"/>
        <w:rPr>
          <w:bCs/>
          <w:iCs/>
          <w:szCs w:val="22"/>
          <w:u w:val="single"/>
          <w:lang w:val="sr-Latn-ME"/>
        </w:rPr>
      </w:pPr>
      <w:r w:rsidRPr="00E33ED2">
        <w:rPr>
          <w:bCs/>
          <w:iCs/>
          <w:szCs w:val="22"/>
          <w:u w:val="single"/>
          <w:lang w:val="sr-Latn-ME"/>
        </w:rPr>
        <w:t xml:space="preserve">Istovremena primjena ACE inhibitora i blokatora angiotenzin II receptora: </w:t>
      </w:r>
    </w:p>
    <w:p w14:paraId="6E916C54" w14:textId="77777777" w:rsidR="00F544E1" w:rsidRPr="00E33ED2" w:rsidRDefault="00F544E1" w:rsidP="00BA2946">
      <w:pPr>
        <w:widowControl w:val="0"/>
        <w:jc w:val="both"/>
        <w:rPr>
          <w:bCs/>
          <w:iCs/>
          <w:szCs w:val="22"/>
          <w:lang w:val="sr-Latn-ME"/>
        </w:rPr>
      </w:pPr>
      <w:r w:rsidRPr="00E33ED2">
        <w:rPr>
          <w:bCs/>
          <w:iCs/>
          <w:szCs w:val="22"/>
          <w:lang w:val="sr-Latn-ME"/>
        </w:rPr>
        <w:t>Podaci iz literature su pokazali da kod pacijenata sa ustanovljenom arterosklerozom, srčanom insuficijencijom ili dijabetesom sa oštećenjem ciljnih organa, istovremena terapija sa ACE inhibitorom i blokatorom receptora angiotenzina je povezana sa većom učestalošću hipotenzije, sinkope, hiperkalijemije i pogoršanja funkcije bubrega (uključujući akutnu bubrežnu insuficijenciju) u poređenju sa primjenom samo jednog lijeka koji djeluje na renin-angiotenzin-aldosteron sistem. Dvostruka blokada (npr. kombinacija ACE inhibitora sa antagonistom angiotenzin II receptora) treba da bude ograničena samo na pojedinačne slučajeve uz pažljivo praćenje funkcije bubrega, koncentracije kalijuma i vrijednosti krvnog pritiska.</w:t>
      </w:r>
    </w:p>
    <w:p w14:paraId="5BF5C89A" w14:textId="77777777" w:rsidR="00C428C2" w:rsidRPr="00E33ED2" w:rsidRDefault="00C428C2" w:rsidP="00AC7873">
      <w:pPr>
        <w:pStyle w:val="NormalWeb"/>
        <w:shd w:val="clear" w:color="auto" w:fill="FFFFFF"/>
        <w:spacing w:before="0" w:beforeAutospacing="0" w:after="0" w:afterAutospacing="0"/>
        <w:jc w:val="both"/>
        <w:rPr>
          <w:color w:val="000000"/>
          <w:sz w:val="22"/>
          <w:szCs w:val="22"/>
          <w:u w:val="single"/>
          <w:lang w:val="sr-Latn-ME"/>
        </w:rPr>
      </w:pPr>
    </w:p>
    <w:p w14:paraId="7F1D9FF9" w14:textId="77777777" w:rsidR="00C428C2" w:rsidRPr="00E33ED2" w:rsidRDefault="00C428C2" w:rsidP="00AC7873">
      <w:pPr>
        <w:pStyle w:val="NormalWeb"/>
        <w:shd w:val="clear" w:color="auto" w:fill="FFFFFF"/>
        <w:spacing w:before="0" w:beforeAutospacing="0" w:after="0" w:afterAutospacing="0"/>
        <w:jc w:val="both"/>
        <w:rPr>
          <w:color w:val="000000"/>
          <w:sz w:val="22"/>
          <w:szCs w:val="22"/>
          <w:lang w:val="sr-Latn-ME"/>
        </w:rPr>
      </w:pPr>
      <w:r w:rsidRPr="00E33ED2">
        <w:rPr>
          <w:color w:val="000000"/>
          <w:sz w:val="22"/>
          <w:szCs w:val="22"/>
          <w:u w:val="single"/>
          <w:lang w:val="sr-Latn-ME"/>
        </w:rPr>
        <w:lastRenderedPageBreak/>
        <w:t>Estramustin:</w:t>
      </w:r>
    </w:p>
    <w:p w14:paraId="2E8F001B" w14:textId="77777777" w:rsidR="00F544E1" w:rsidRPr="00E33ED2" w:rsidRDefault="00F544E1" w:rsidP="00BA2946">
      <w:pPr>
        <w:jc w:val="both"/>
        <w:rPr>
          <w:szCs w:val="22"/>
          <w:lang w:val="sr-Latn-ME"/>
        </w:rPr>
      </w:pPr>
      <w:r w:rsidRPr="00E33ED2">
        <w:rPr>
          <w:szCs w:val="22"/>
          <w:lang w:val="sr-Latn-ME"/>
        </w:rPr>
        <w:t>Povećan je rizik od nastanka neželjenih dejstava kao što je angioneurotski edem (angioedem).</w:t>
      </w:r>
    </w:p>
    <w:p w14:paraId="3F03CDF8" w14:textId="77777777" w:rsidR="00C428C2" w:rsidRPr="00E33ED2" w:rsidRDefault="00C428C2" w:rsidP="00AC7873">
      <w:pPr>
        <w:pStyle w:val="NormalWeb"/>
        <w:shd w:val="clear" w:color="auto" w:fill="FFFFFF"/>
        <w:spacing w:before="0" w:beforeAutospacing="0" w:after="0" w:afterAutospacing="0"/>
        <w:jc w:val="both"/>
        <w:rPr>
          <w:color w:val="000000"/>
          <w:sz w:val="22"/>
          <w:szCs w:val="22"/>
          <w:u w:val="single"/>
          <w:lang w:val="sr-Latn-ME"/>
        </w:rPr>
      </w:pPr>
    </w:p>
    <w:p w14:paraId="10018BD9" w14:textId="77777777" w:rsidR="00F544E1" w:rsidRPr="00E33ED2" w:rsidRDefault="00F544E1" w:rsidP="00AC7873">
      <w:pPr>
        <w:pStyle w:val="NormalWeb"/>
        <w:shd w:val="clear" w:color="auto" w:fill="FFFFFF"/>
        <w:spacing w:before="0" w:beforeAutospacing="0" w:after="0" w:afterAutospacing="0"/>
        <w:jc w:val="both"/>
        <w:rPr>
          <w:color w:val="000000"/>
          <w:sz w:val="22"/>
          <w:szCs w:val="22"/>
          <w:u w:val="single"/>
          <w:lang w:val="sr-Latn-ME"/>
        </w:rPr>
      </w:pPr>
      <w:r w:rsidRPr="00E33ED2">
        <w:rPr>
          <w:color w:val="000000"/>
          <w:sz w:val="22"/>
          <w:szCs w:val="22"/>
          <w:u w:val="single"/>
          <w:lang w:val="sr-Latn-ME"/>
        </w:rPr>
        <w:t>Diuretici koji štede kalijum (npr. triamteren, amilorid,…), soli kalijuma:</w:t>
      </w:r>
    </w:p>
    <w:p w14:paraId="265EB4C3" w14:textId="70BDEA24" w:rsidR="00F544E1" w:rsidRPr="00E33ED2" w:rsidRDefault="00F544E1" w:rsidP="00BA2946">
      <w:pPr>
        <w:pStyle w:val="NormalWeb"/>
        <w:shd w:val="clear" w:color="auto" w:fill="FFFFFF"/>
        <w:spacing w:before="0" w:beforeAutospacing="0" w:after="0" w:afterAutospacing="0"/>
        <w:jc w:val="both"/>
        <w:rPr>
          <w:color w:val="000000"/>
          <w:sz w:val="22"/>
          <w:szCs w:val="22"/>
          <w:lang w:val="sr-Latn-ME"/>
        </w:rPr>
      </w:pPr>
      <w:r w:rsidRPr="00E33ED2">
        <w:rPr>
          <w:color w:val="000000"/>
          <w:sz w:val="22"/>
          <w:szCs w:val="22"/>
          <w:lang w:val="sr-Latn-ME"/>
        </w:rPr>
        <w:t>Hiperkalijemija (moguće smrtonosna), naročitopovezana sa oštećenjem bubrega (dodatni hiperkal</w:t>
      </w:r>
      <w:r w:rsidR="00844EA8" w:rsidRPr="00E33ED2">
        <w:rPr>
          <w:color w:val="000000"/>
          <w:sz w:val="22"/>
          <w:szCs w:val="22"/>
          <w:lang w:val="sr-Latn-ME"/>
        </w:rPr>
        <w:t>ij</w:t>
      </w:r>
      <w:r w:rsidRPr="00E33ED2">
        <w:rPr>
          <w:color w:val="000000"/>
          <w:sz w:val="22"/>
          <w:szCs w:val="22"/>
          <w:lang w:val="sr-Latn-ME"/>
        </w:rPr>
        <w:t>emični efekat).</w:t>
      </w:r>
    </w:p>
    <w:p w14:paraId="1A4967C5" w14:textId="77777777" w:rsidR="00F544E1" w:rsidRPr="00E33ED2" w:rsidRDefault="00F544E1" w:rsidP="00AC7873">
      <w:pPr>
        <w:pStyle w:val="NormalWeb"/>
        <w:shd w:val="clear" w:color="auto" w:fill="FFFFFF"/>
        <w:spacing w:before="0" w:beforeAutospacing="0" w:after="0" w:afterAutospacing="0"/>
        <w:jc w:val="both"/>
        <w:rPr>
          <w:color w:val="000000"/>
          <w:sz w:val="22"/>
          <w:szCs w:val="22"/>
          <w:lang w:val="sr-Latn-ME"/>
        </w:rPr>
      </w:pPr>
    </w:p>
    <w:p w14:paraId="0D1EBC9F" w14:textId="541B4B8B" w:rsidR="00F544E1" w:rsidRPr="00E33ED2" w:rsidRDefault="00F544E1" w:rsidP="00BA2946">
      <w:pPr>
        <w:pStyle w:val="NormalWeb"/>
        <w:shd w:val="clear" w:color="auto" w:fill="FFFFFF"/>
        <w:spacing w:before="0" w:beforeAutospacing="0" w:after="0" w:afterAutospacing="0"/>
        <w:jc w:val="both"/>
        <w:rPr>
          <w:color w:val="000000"/>
          <w:sz w:val="22"/>
          <w:szCs w:val="22"/>
          <w:lang w:val="sr-Latn-ME"/>
        </w:rPr>
      </w:pPr>
      <w:r w:rsidRPr="00E33ED2">
        <w:rPr>
          <w:color w:val="000000"/>
          <w:sz w:val="22"/>
          <w:szCs w:val="22"/>
          <w:lang w:val="sr-Latn-ME"/>
        </w:rPr>
        <w:t>Ne preporučuje se istovremena primjena perindoprila sa gore navedenim ljekovima (vidjeti dio 4.4). Međutim, ako je isto</w:t>
      </w:r>
      <w:r w:rsidR="00844EA8" w:rsidRPr="00E33ED2">
        <w:rPr>
          <w:color w:val="000000"/>
          <w:sz w:val="22"/>
          <w:szCs w:val="22"/>
          <w:lang w:val="sr-Latn-ME"/>
        </w:rPr>
        <w:t>vremena</w:t>
      </w:r>
      <w:r w:rsidRPr="00E33ED2">
        <w:rPr>
          <w:color w:val="000000"/>
          <w:sz w:val="22"/>
          <w:szCs w:val="22"/>
          <w:lang w:val="sr-Latn-ME"/>
        </w:rPr>
        <w:t xml:space="preserve"> primjena neophodna, onda je treba sprovoditi uz oprez i uz učestalo praćenje koncentracije kalijuma u serumu. Za primjenu spironolaktona kod srčane insuficijencije, vidjeti niže.</w:t>
      </w:r>
    </w:p>
    <w:p w14:paraId="6F36E13F" w14:textId="77777777" w:rsidR="00C428C2" w:rsidRPr="00E33ED2" w:rsidRDefault="00C428C2" w:rsidP="00AC7873">
      <w:pPr>
        <w:pStyle w:val="NormalWeb"/>
        <w:shd w:val="clear" w:color="auto" w:fill="FFFFFF"/>
        <w:spacing w:before="0" w:beforeAutospacing="0" w:after="0" w:afterAutospacing="0"/>
        <w:jc w:val="both"/>
        <w:rPr>
          <w:color w:val="000000"/>
          <w:sz w:val="22"/>
          <w:szCs w:val="22"/>
          <w:u w:val="single"/>
          <w:lang w:val="sr-Latn-ME"/>
        </w:rPr>
      </w:pPr>
    </w:p>
    <w:p w14:paraId="276C24A6" w14:textId="77777777" w:rsidR="00F544E1" w:rsidRPr="00E33ED2" w:rsidRDefault="00F544E1" w:rsidP="00BA2946">
      <w:pPr>
        <w:pStyle w:val="Norml11"/>
        <w:tabs>
          <w:tab w:val="left" w:pos="567"/>
        </w:tabs>
        <w:jc w:val="both"/>
        <w:rPr>
          <w:szCs w:val="22"/>
          <w:u w:val="single"/>
          <w:lang w:val="sr-Latn-ME"/>
        </w:rPr>
      </w:pPr>
      <w:r w:rsidRPr="00E33ED2">
        <w:rPr>
          <w:szCs w:val="22"/>
          <w:u w:val="single"/>
          <w:lang w:val="sr-Latn-ME"/>
        </w:rPr>
        <w:t>Litijum:</w:t>
      </w:r>
    </w:p>
    <w:p w14:paraId="7AC6CA65" w14:textId="77777777" w:rsidR="00F544E1" w:rsidRPr="00E33ED2" w:rsidRDefault="00F544E1" w:rsidP="0062605D">
      <w:pPr>
        <w:pStyle w:val="Norml11"/>
        <w:tabs>
          <w:tab w:val="left" w:pos="567"/>
        </w:tabs>
        <w:jc w:val="both"/>
        <w:rPr>
          <w:szCs w:val="22"/>
          <w:lang w:val="sr-Latn-ME"/>
        </w:rPr>
      </w:pPr>
      <w:r w:rsidRPr="00E33ED2">
        <w:rPr>
          <w:szCs w:val="22"/>
          <w:lang w:val="sr-Latn-ME"/>
        </w:rPr>
        <w:t>Zapaženo je reverzibilno povećanje koncentracije i toksičnosti litijuma prilikom istovremene upotrebe sa ACE inhibitorima. Primjena perindoprila istovremeno sa litijumom se ne preporučuje, ali ukoliko se ta kombinacija pokaže nužnom, treba pažljivo pratiti koncentraciju serumskog litijuma (vidjeti dio 4.4).</w:t>
      </w:r>
    </w:p>
    <w:p w14:paraId="374F7995" w14:textId="77777777" w:rsidR="00C428C2" w:rsidRPr="00E33ED2" w:rsidRDefault="00C428C2" w:rsidP="00AC7873">
      <w:pPr>
        <w:pStyle w:val="NormalWeb"/>
        <w:shd w:val="clear" w:color="auto" w:fill="FFFFFF"/>
        <w:spacing w:before="0" w:beforeAutospacing="0" w:after="0" w:afterAutospacing="0"/>
        <w:jc w:val="both"/>
        <w:rPr>
          <w:bCs/>
          <w:iCs/>
          <w:color w:val="000000"/>
          <w:sz w:val="22"/>
          <w:szCs w:val="22"/>
          <w:lang w:val="sr-Latn-ME"/>
        </w:rPr>
      </w:pPr>
    </w:p>
    <w:p w14:paraId="7EF80A63" w14:textId="77777777" w:rsidR="00F544E1" w:rsidRPr="00E33ED2" w:rsidRDefault="00F544E1" w:rsidP="00BA2946">
      <w:pPr>
        <w:pStyle w:val="NormalWeb"/>
        <w:shd w:val="clear" w:color="auto" w:fill="FFFFFF"/>
        <w:spacing w:before="0" w:beforeAutospacing="0" w:after="0" w:afterAutospacing="0"/>
        <w:jc w:val="both"/>
        <w:rPr>
          <w:color w:val="000000"/>
          <w:sz w:val="22"/>
          <w:szCs w:val="22"/>
          <w:u w:val="single"/>
          <w:lang w:val="sr-Latn-ME"/>
        </w:rPr>
      </w:pPr>
      <w:r w:rsidRPr="00E33ED2">
        <w:rPr>
          <w:b/>
          <w:bCs/>
          <w:i/>
          <w:iCs/>
          <w:snapToGrid w:val="0"/>
          <w:sz w:val="22"/>
          <w:szCs w:val="22"/>
          <w:lang w:val="sr-Latn-ME"/>
        </w:rPr>
        <w:t xml:space="preserve">Istovremena upotreba koja zahtijeva posebnu pažnju: </w:t>
      </w:r>
    </w:p>
    <w:p w14:paraId="0CB38030" w14:textId="77777777" w:rsidR="00F544E1" w:rsidRPr="00E33ED2" w:rsidRDefault="00F544E1" w:rsidP="0062605D">
      <w:pPr>
        <w:jc w:val="both"/>
        <w:rPr>
          <w:szCs w:val="22"/>
          <w:u w:val="single"/>
          <w:lang w:val="sr-Latn-ME"/>
        </w:rPr>
      </w:pPr>
    </w:p>
    <w:p w14:paraId="5D496D9A" w14:textId="77777777" w:rsidR="00F544E1" w:rsidRPr="00E33ED2" w:rsidRDefault="00F544E1">
      <w:pPr>
        <w:jc w:val="both"/>
        <w:rPr>
          <w:szCs w:val="22"/>
          <w:u w:val="single"/>
          <w:lang w:val="sr-Latn-ME"/>
        </w:rPr>
      </w:pPr>
      <w:r w:rsidRPr="00E33ED2">
        <w:rPr>
          <w:szCs w:val="22"/>
          <w:u w:val="single"/>
          <w:lang w:val="sr-Latn-ME"/>
        </w:rPr>
        <w:t>Antidijabetički ljekovi (insulini, oralni hipoglikemici):</w:t>
      </w:r>
    </w:p>
    <w:p w14:paraId="64FEA7AD" w14:textId="387E08D5" w:rsidR="00F544E1" w:rsidRPr="00E33ED2" w:rsidRDefault="00F544E1">
      <w:pPr>
        <w:pStyle w:val="NormalWeb"/>
        <w:shd w:val="clear" w:color="auto" w:fill="FFFFFF"/>
        <w:spacing w:before="0" w:beforeAutospacing="0" w:after="0" w:afterAutospacing="0"/>
        <w:jc w:val="both"/>
        <w:rPr>
          <w:sz w:val="22"/>
          <w:szCs w:val="22"/>
          <w:lang w:val="sr-Latn-ME"/>
        </w:rPr>
      </w:pPr>
      <w:r w:rsidRPr="00E33ED2">
        <w:rPr>
          <w:sz w:val="22"/>
          <w:szCs w:val="22"/>
          <w:lang w:val="sr-Latn-ME"/>
        </w:rPr>
        <w:t>Epidemiološke studije su pokazale da istovremena upotreba ACE inhibitora i antidijabetika (insulini, oralni hipoglikemici) može dovesti do povećanog dejstva na smanjenje koncentracije glukoze u krvi uz rizik od pojave hipoglikemije. Ovaj uticaj je izraženiji u toku prvih ned</w:t>
      </w:r>
      <w:r w:rsidR="00844EA8" w:rsidRPr="00E33ED2">
        <w:rPr>
          <w:sz w:val="22"/>
          <w:szCs w:val="22"/>
          <w:lang w:val="sr-Latn-ME"/>
        </w:rPr>
        <w:t>j</w:t>
      </w:r>
      <w:r w:rsidRPr="00E33ED2">
        <w:rPr>
          <w:sz w:val="22"/>
          <w:szCs w:val="22"/>
          <w:lang w:val="sr-Latn-ME"/>
        </w:rPr>
        <w:t xml:space="preserve">elja kombinovane terapije i kod pacijenata sa oštećenjem funkcije bubrega. </w:t>
      </w:r>
    </w:p>
    <w:p w14:paraId="187385EC" w14:textId="77777777" w:rsidR="00C428C2" w:rsidRPr="00E33ED2" w:rsidRDefault="00C428C2" w:rsidP="00AC7873">
      <w:pPr>
        <w:pStyle w:val="NormalWeb"/>
        <w:shd w:val="clear" w:color="auto" w:fill="FFFFFF"/>
        <w:spacing w:before="0" w:beforeAutospacing="0" w:after="0" w:afterAutospacing="0"/>
        <w:jc w:val="both"/>
        <w:rPr>
          <w:color w:val="000000"/>
          <w:sz w:val="22"/>
          <w:szCs w:val="22"/>
          <w:u w:val="single"/>
          <w:lang w:val="sr-Latn-ME"/>
        </w:rPr>
      </w:pPr>
    </w:p>
    <w:p w14:paraId="22E55BB2" w14:textId="77777777" w:rsidR="00C428C2" w:rsidRPr="00E33ED2" w:rsidRDefault="00C428C2" w:rsidP="00AC7873">
      <w:pPr>
        <w:pStyle w:val="NormalWeb"/>
        <w:shd w:val="clear" w:color="auto" w:fill="FFFFFF"/>
        <w:spacing w:before="0" w:beforeAutospacing="0" w:after="0" w:afterAutospacing="0"/>
        <w:jc w:val="both"/>
        <w:rPr>
          <w:color w:val="000000"/>
          <w:sz w:val="22"/>
          <w:szCs w:val="22"/>
          <w:lang w:val="sr-Latn-ME"/>
        </w:rPr>
      </w:pPr>
      <w:r w:rsidRPr="00E33ED2">
        <w:rPr>
          <w:color w:val="000000"/>
          <w:sz w:val="22"/>
          <w:szCs w:val="22"/>
          <w:u w:val="single"/>
          <w:lang w:val="sr-Latn-ME"/>
        </w:rPr>
        <w:t>Baklofen:</w:t>
      </w:r>
    </w:p>
    <w:p w14:paraId="53FB6E8A" w14:textId="77777777" w:rsidR="00F544E1" w:rsidRPr="00E33ED2" w:rsidRDefault="00F544E1" w:rsidP="00BA2946">
      <w:pPr>
        <w:jc w:val="both"/>
        <w:rPr>
          <w:snapToGrid w:val="0"/>
          <w:szCs w:val="22"/>
          <w:lang w:val="sr-Latn-ME"/>
        </w:rPr>
      </w:pPr>
      <w:r w:rsidRPr="00E33ED2">
        <w:rPr>
          <w:snapToGrid w:val="0"/>
          <w:szCs w:val="22"/>
          <w:lang w:val="sr-Latn-ME"/>
        </w:rPr>
        <w:t>Povećano antihipertenzivno dejstvo. Treba pratiti vrijednosti krvnog pritiska i uskladiti dozu antihipertenziva, ako je potrebno.</w:t>
      </w:r>
    </w:p>
    <w:p w14:paraId="6FCC8AC8" w14:textId="77777777" w:rsidR="00C428C2" w:rsidRPr="00E33ED2" w:rsidRDefault="00C428C2" w:rsidP="00AC7873">
      <w:pPr>
        <w:pStyle w:val="NormalWeb"/>
        <w:shd w:val="clear" w:color="auto" w:fill="FFFFFF"/>
        <w:spacing w:before="0" w:beforeAutospacing="0" w:after="0" w:afterAutospacing="0"/>
        <w:jc w:val="both"/>
        <w:rPr>
          <w:color w:val="000000"/>
          <w:sz w:val="22"/>
          <w:szCs w:val="22"/>
          <w:u w:val="single"/>
          <w:lang w:val="sr-Latn-ME"/>
        </w:rPr>
      </w:pPr>
    </w:p>
    <w:p w14:paraId="14F51504" w14:textId="77777777" w:rsidR="00F544E1" w:rsidRPr="00E33ED2" w:rsidRDefault="00F544E1" w:rsidP="00BA2946">
      <w:pPr>
        <w:jc w:val="both"/>
        <w:rPr>
          <w:snapToGrid w:val="0"/>
          <w:szCs w:val="22"/>
          <w:u w:val="single"/>
          <w:lang w:val="sr-Latn-ME"/>
        </w:rPr>
      </w:pPr>
      <w:r w:rsidRPr="00E33ED2">
        <w:rPr>
          <w:snapToGrid w:val="0"/>
          <w:szCs w:val="22"/>
          <w:u w:val="single"/>
          <w:lang w:val="sr-Latn-ME"/>
        </w:rPr>
        <w:t>Diuretici koji ne štede kalijum:</w:t>
      </w:r>
    </w:p>
    <w:p w14:paraId="193405C2" w14:textId="362DF641" w:rsidR="00F544E1" w:rsidRPr="00E33ED2" w:rsidRDefault="00F544E1" w:rsidP="0062605D">
      <w:pPr>
        <w:jc w:val="both"/>
        <w:rPr>
          <w:snapToGrid w:val="0"/>
          <w:szCs w:val="22"/>
          <w:lang w:val="sr-Latn-ME"/>
        </w:rPr>
      </w:pPr>
      <w:r w:rsidRPr="00E33ED2">
        <w:rPr>
          <w:snapToGrid w:val="0"/>
          <w:szCs w:val="22"/>
          <w:lang w:val="sr-Latn-ME"/>
        </w:rPr>
        <w:t>Pacijenti koji primaju diuretike, posebno oni čija je zapremina cirkulišuće tečnosti i/ili elektrolita smanjena, mogu doživjeti izrazito smanjenje krvnog pritiska nakon započinjanja terapije ACE inhibitorom. Mogućnost nastanka hipotenzivnog dejstva može se smanjiti prekidom primjene diuretika, povećanjem unosa tečnosti ili soli prije početka upotrebe niskih doza lijeka perindopril koja se onda može povećavati.</w:t>
      </w:r>
    </w:p>
    <w:p w14:paraId="7BCDAC01" w14:textId="77777777" w:rsidR="00F544E1" w:rsidRPr="00E33ED2" w:rsidRDefault="00F544E1">
      <w:pPr>
        <w:jc w:val="both"/>
        <w:rPr>
          <w:i/>
          <w:iCs/>
          <w:snapToGrid w:val="0"/>
          <w:szCs w:val="22"/>
          <w:lang w:val="sr-Latn-ME"/>
        </w:rPr>
      </w:pPr>
    </w:p>
    <w:p w14:paraId="1C4C9BF9" w14:textId="1C4CDE87" w:rsidR="00F544E1" w:rsidRPr="00E33ED2" w:rsidRDefault="00F544E1">
      <w:pPr>
        <w:jc w:val="both"/>
        <w:rPr>
          <w:snapToGrid w:val="0"/>
          <w:szCs w:val="22"/>
          <w:lang w:val="sr-Latn-ME"/>
        </w:rPr>
      </w:pPr>
      <w:r w:rsidRPr="00E33ED2">
        <w:rPr>
          <w:i/>
          <w:iCs/>
          <w:snapToGrid w:val="0"/>
          <w:szCs w:val="22"/>
          <w:lang w:val="sr-Latn-ME"/>
        </w:rPr>
        <w:t>U arterijsko hipertenziji</w:t>
      </w:r>
      <w:r w:rsidRPr="00E33ED2">
        <w:rPr>
          <w:snapToGrid w:val="0"/>
          <w:szCs w:val="22"/>
          <w:lang w:val="sr-Latn-ME"/>
        </w:rPr>
        <w:t>, kada postoji mogućnost da je prethodno liječenje diuretikom uzrokovalo nedostatak volumena i/ili nedostatak soli, liječenje diuretikom mora se obustaviti prije započinjanja liječenja ACE inhibitorom, nakon čega se u terapiju može ponovno uvesti diuretik koji ne štedi kalijum, ili se liječenje ACE inhibitorom započinje nižom dozom lijeka koja se postepeno povećava.</w:t>
      </w:r>
    </w:p>
    <w:p w14:paraId="420871CE" w14:textId="4C019C63" w:rsidR="00F544E1" w:rsidRPr="00E33ED2" w:rsidRDefault="00F544E1">
      <w:pPr>
        <w:jc w:val="both"/>
        <w:rPr>
          <w:snapToGrid w:val="0"/>
          <w:szCs w:val="22"/>
          <w:lang w:val="sr-Latn-ME"/>
        </w:rPr>
      </w:pPr>
      <w:r w:rsidRPr="00E33ED2">
        <w:rPr>
          <w:i/>
          <w:iCs/>
          <w:snapToGrid w:val="0"/>
          <w:szCs w:val="22"/>
          <w:lang w:val="sr-Latn-ME"/>
        </w:rPr>
        <w:t>U liječenju srčane insuficijencije pomoću diuretika</w:t>
      </w:r>
      <w:r w:rsidRPr="00E33ED2">
        <w:rPr>
          <w:snapToGrid w:val="0"/>
          <w:szCs w:val="22"/>
          <w:lang w:val="sr-Latn-ME"/>
        </w:rPr>
        <w:t>, liječenje ACE inhibitorom treba započeti u veoma niskoj dozi, po mogućnosti nakon smanjenja doze diuretika koji ne štedi kalijum.</w:t>
      </w:r>
    </w:p>
    <w:p w14:paraId="5902B736" w14:textId="50D4C8D2" w:rsidR="00F544E1" w:rsidRPr="00E33ED2" w:rsidRDefault="00F544E1">
      <w:pPr>
        <w:jc w:val="both"/>
        <w:rPr>
          <w:snapToGrid w:val="0"/>
          <w:szCs w:val="22"/>
          <w:lang w:val="sr-Latn-ME"/>
        </w:rPr>
      </w:pPr>
      <w:r w:rsidRPr="00E33ED2">
        <w:rPr>
          <w:snapToGrid w:val="0"/>
          <w:szCs w:val="22"/>
          <w:lang w:val="sr-Latn-ME"/>
        </w:rPr>
        <w:t xml:space="preserve">Kod svih pacijenata, tokom prvih nekoliko </w:t>
      </w:r>
      <w:r w:rsidR="00844EA8" w:rsidRPr="00E33ED2">
        <w:rPr>
          <w:snapToGrid w:val="0"/>
          <w:szCs w:val="22"/>
          <w:lang w:val="sr-Latn-ME"/>
        </w:rPr>
        <w:t xml:space="preserve">nedjelja </w:t>
      </w:r>
      <w:r w:rsidRPr="00E33ED2">
        <w:rPr>
          <w:snapToGrid w:val="0"/>
          <w:szCs w:val="22"/>
          <w:lang w:val="sr-Latn-ME"/>
        </w:rPr>
        <w:t>liječenja ACE inhibitorom mora se pratiti funkcija bubrega (koncentracija kreatinina).</w:t>
      </w:r>
    </w:p>
    <w:p w14:paraId="583B887A" w14:textId="77777777" w:rsidR="00C428C2" w:rsidRPr="00E33ED2" w:rsidRDefault="00C428C2" w:rsidP="00AC7873">
      <w:pPr>
        <w:pStyle w:val="NormalWeb"/>
        <w:shd w:val="clear" w:color="auto" w:fill="FFFFFF"/>
        <w:spacing w:before="0" w:beforeAutospacing="0" w:after="0" w:afterAutospacing="0"/>
        <w:jc w:val="both"/>
        <w:rPr>
          <w:color w:val="000000"/>
          <w:sz w:val="22"/>
          <w:szCs w:val="22"/>
          <w:u w:val="single"/>
          <w:lang w:val="sr-Latn-ME"/>
        </w:rPr>
      </w:pPr>
    </w:p>
    <w:p w14:paraId="7EEFA5CE" w14:textId="77777777" w:rsidR="00F544E1" w:rsidRPr="00E33ED2" w:rsidRDefault="00F544E1" w:rsidP="00BA2946">
      <w:pPr>
        <w:keepNext/>
        <w:jc w:val="both"/>
        <w:rPr>
          <w:snapToGrid w:val="0"/>
          <w:szCs w:val="22"/>
          <w:u w:val="single"/>
          <w:lang w:val="sr-Latn-ME"/>
        </w:rPr>
      </w:pPr>
      <w:r w:rsidRPr="00E33ED2">
        <w:rPr>
          <w:snapToGrid w:val="0"/>
          <w:szCs w:val="22"/>
          <w:u w:val="single"/>
          <w:lang w:val="sr-Latn-ME"/>
        </w:rPr>
        <w:t>Diuretici koji štede kalijum (eplerenon, spironolakton):</w:t>
      </w:r>
    </w:p>
    <w:p w14:paraId="4AB8C8D8" w14:textId="77777777" w:rsidR="00F544E1" w:rsidRPr="00E33ED2" w:rsidRDefault="00F544E1" w:rsidP="0062605D">
      <w:pPr>
        <w:jc w:val="both"/>
        <w:rPr>
          <w:snapToGrid w:val="0"/>
          <w:szCs w:val="22"/>
          <w:lang w:val="sr-Latn-ME"/>
        </w:rPr>
      </w:pPr>
      <w:r w:rsidRPr="00E33ED2">
        <w:rPr>
          <w:snapToGrid w:val="0"/>
          <w:szCs w:val="22"/>
          <w:lang w:val="sr-Latn-ME"/>
        </w:rPr>
        <w:t>Sa eplerenonom ili spironolaktonom pri dozama između 12,5 mg i 50 mg dnevno i  niskim dozama ACE inhibitora:</w:t>
      </w:r>
    </w:p>
    <w:p w14:paraId="2DFDEDCC" w14:textId="0E28EFA4" w:rsidR="00F544E1" w:rsidRPr="00E33ED2" w:rsidRDefault="00F544E1" w:rsidP="00844EA8">
      <w:pPr>
        <w:jc w:val="both"/>
        <w:rPr>
          <w:snapToGrid w:val="0"/>
          <w:szCs w:val="22"/>
          <w:lang w:val="sr-Latn-ME"/>
        </w:rPr>
      </w:pPr>
      <w:r w:rsidRPr="00E33ED2">
        <w:rPr>
          <w:snapToGrid w:val="0"/>
          <w:szCs w:val="22"/>
          <w:lang w:val="sr-Latn-ME"/>
        </w:rPr>
        <w:t>U terapiji srčane insuficijencije II do IV stepena (NYHA), sa ejekcijskom frakcijom &lt;</w:t>
      </w:r>
      <w:r w:rsidR="00844EA8" w:rsidRPr="00E33ED2">
        <w:rPr>
          <w:snapToGrid w:val="0"/>
          <w:szCs w:val="22"/>
          <w:lang w:val="sr-Latn-ME"/>
        </w:rPr>
        <w:t xml:space="preserve"> </w:t>
      </w:r>
      <w:r w:rsidRPr="00E33ED2">
        <w:rPr>
          <w:snapToGrid w:val="0"/>
          <w:szCs w:val="22"/>
          <w:lang w:val="sr-Latn-ME"/>
        </w:rPr>
        <w:t xml:space="preserve">40% kod pacijenata ranije liječenih ACE inhibitorima i diureticima Henleove petlje, povećan je rizik od nastanka hiperkalijemije, potencijalno smrtonosne, pogotovo pri nepridržavanju preporuka vezanih </w:t>
      </w:r>
      <w:r w:rsidR="00844EA8" w:rsidRPr="00E33ED2">
        <w:rPr>
          <w:snapToGrid w:val="0"/>
          <w:szCs w:val="22"/>
          <w:lang w:val="sr-Latn-ME"/>
        </w:rPr>
        <w:t>za</w:t>
      </w:r>
      <w:r w:rsidRPr="00E33ED2">
        <w:rPr>
          <w:snapToGrid w:val="0"/>
          <w:szCs w:val="22"/>
          <w:lang w:val="sr-Latn-ME"/>
        </w:rPr>
        <w:t xml:space="preserve"> propisivanje ove kombinacije ljekova.</w:t>
      </w:r>
    </w:p>
    <w:p w14:paraId="01987119" w14:textId="77777777" w:rsidR="00F544E1" w:rsidRPr="00E33ED2" w:rsidRDefault="00F544E1">
      <w:pPr>
        <w:jc w:val="both"/>
        <w:rPr>
          <w:snapToGrid w:val="0"/>
          <w:szCs w:val="22"/>
          <w:lang w:val="sr-Latn-ME"/>
        </w:rPr>
      </w:pPr>
      <w:r w:rsidRPr="00E33ED2">
        <w:rPr>
          <w:snapToGrid w:val="0"/>
          <w:szCs w:val="22"/>
          <w:lang w:val="sr-Latn-ME"/>
        </w:rPr>
        <w:t>Prije početka terapije treba provjeriti postoje li hiperkalijemija i oštećenje funkcije bubrega.</w:t>
      </w:r>
    </w:p>
    <w:p w14:paraId="50377238" w14:textId="537E27C4" w:rsidR="00F544E1" w:rsidRPr="00E33ED2" w:rsidRDefault="00F544E1">
      <w:pPr>
        <w:jc w:val="both"/>
        <w:rPr>
          <w:snapToGrid w:val="0"/>
          <w:szCs w:val="22"/>
          <w:lang w:val="sr-Latn-ME"/>
        </w:rPr>
      </w:pPr>
      <w:r w:rsidRPr="00E33ED2">
        <w:rPr>
          <w:snapToGrid w:val="0"/>
          <w:szCs w:val="22"/>
          <w:lang w:val="sr-Latn-ME"/>
        </w:rPr>
        <w:t xml:space="preserve">Preporučuje se pažljivo praćenje kalijemije i kreatinemije i to u prvom mjesecu liječenja jednom </w:t>
      </w:r>
      <w:r w:rsidR="00844EA8" w:rsidRPr="00E33ED2">
        <w:rPr>
          <w:snapToGrid w:val="0"/>
          <w:szCs w:val="22"/>
          <w:lang w:val="sr-Latn-ME"/>
        </w:rPr>
        <w:t>nedjeljno</w:t>
      </w:r>
      <w:r w:rsidRPr="00E33ED2">
        <w:rPr>
          <w:snapToGrid w:val="0"/>
          <w:szCs w:val="22"/>
          <w:lang w:val="sr-Latn-ME"/>
        </w:rPr>
        <w:t>, a nakon toga jednom mjesečno.</w:t>
      </w:r>
    </w:p>
    <w:p w14:paraId="7A25B9A4" w14:textId="77777777" w:rsidR="00C428C2" w:rsidRPr="00E33ED2" w:rsidRDefault="00C428C2" w:rsidP="00AC7873">
      <w:pPr>
        <w:pStyle w:val="NormalWeb"/>
        <w:shd w:val="clear" w:color="auto" w:fill="FFFFFF"/>
        <w:spacing w:before="0" w:beforeAutospacing="0" w:after="0" w:afterAutospacing="0"/>
        <w:jc w:val="both"/>
        <w:rPr>
          <w:color w:val="000000"/>
          <w:sz w:val="22"/>
          <w:szCs w:val="22"/>
          <w:u w:val="single"/>
          <w:lang w:val="sr-Latn-ME"/>
        </w:rPr>
      </w:pPr>
    </w:p>
    <w:p w14:paraId="144FB215" w14:textId="2406F012" w:rsidR="00F544E1" w:rsidRPr="00E33ED2" w:rsidRDefault="00F544E1" w:rsidP="00BA2946">
      <w:pPr>
        <w:jc w:val="both"/>
        <w:rPr>
          <w:snapToGrid w:val="0"/>
          <w:szCs w:val="22"/>
          <w:u w:val="single"/>
          <w:lang w:val="sr-Latn-ME"/>
        </w:rPr>
      </w:pPr>
      <w:r w:rsidRPr="00E33ED2">
        <w:rPr>
          <w:snapToGrid w:val="0"/>
          <w:szCs w:val="22"/>
          <w:u w:val="single"/>
          <w:lang w:val="sr-Latn-ME"/>
        </w:rPr>
        <w:lastRenderedPageBreak/>
        <w:t>Nesteroidni antiinflamatorni ljekovi (NSAIL-i), uključujući acetilsalicilnu kiselinu ≥</w:t>
      </w:r>
      <w:r w:rsidR="00844EA8" w:rsidRPr="00E33ED2">
        <w:rPr>
          <w:snapToGrid w:val="0"/>
          <w:szCs w:val="22"/>
          <w:u w:val="single"/>
          <w:lang w:val="sr-Latn-ME"/>
        </w:rPr>
        <w:t xml:space="preserve"> </w:t>
      </w:r>
      <w:r w:rsidRPr="00E33ED2">
        <w:rPr>
          <w:snapToGrid w:val="0"/>
          <w:szCs w:val="22"/>
          <w:u w:val="single"/>
          <w:lang w:val="sr-Latn-ME"/>
        </w:rPr>
        <w:t>3 g/dnevno:</w:t>
      </w:r>
    </w:p>
    <w:p w14:paraId="506F7983" w14:textId="77777777" w:rsidR="00F544E1" w:rsidRPr="00E33ED2" w:rsidRDefault="00F544E1" w:rsidP="00BA2946">
      <w:pPr>
        <w:pStyle w:val="NormalWeb"/>
        <w:shd w:val="clear" w:color="auto" w:fill="FFFFFF"/>
        <w:spacing w:before="0" w:beforeAutospacing="0" w:after="0" w:afterAutospacing="0"/>
        <w:jc w:val="both"/>
        <w:rPr>
          <w:snapToGrid w:val="0"/>
          <w:sz w:val="22"/>
          <w:szCs w:val="22"/>
          <w:lang w:val="sr-Latn-ME"/>
        </w:rPr>
      </w:pPr>
      <w:r w:rsidRPr="00E33ED2">
        <w:rPr>
          <w:snapToGrid w:val="0"/>
          <w:sz w:val="22"/>
          <w:szCs w:val="22"/>
          <w:lang w:val="sr-Latn-ME"/>
        </w:rPr>
        <w:t>Kod istovremene primjene ACE inhibitora sa nesteroidnim antiinflamatornim ljekovima (tj. acetilsalicilnom kiselinom u dozama koje imaju antiinflamatorno dejstvo, COX-2 inhibitorima i neselektivnim NSAIL-ima), može doći do smanjenja antihipertenzivnog efekta. Istovremena primjena ACE inhibitora i NSAIL-a može dovesti do povećanog rizika od pogoršanja bubrežne funkcije, uključujući moguću akutnu bubrežnu insuficijenciju i porast vrijednosti serumskog kalijuma, pogotovo kod pacijenata sa već postojećom slabom funkcijom bubrega. Ovu kombinaciju treba primjenjivati sa oprezom, pogotovo kod starijih osoba. Pacijenti bi trebalo da budu odgovarajuće hidrirani i trebalo bi pratiti njihovu funkciju bubrega po uvođenju istovremene terapije i periodično tokom terapije.</w:t>
      </w:r>
    </w:p>
    <w:p w14:paraId="5F958508" w14:textId="77777777" w:rsidR="00C428C2" w:rsidRPr="00E33ED2" w:rsidRDefault="00C428C2" w:rsidP="00AC7873">
      <w:pPr>
        <w:pStyle w:val="NormalWeb"/>
        <w:shd w:val="clear" w:color="auto" w:fill="FFFFFF"/>
        <w:spacing w:before="0" w:beforeAutospacing="0" w:after="0" w:afterAutospacing="0"/>
        <w:jc w:val="both"/>
        <w:rPr>
          <w:bCs/>
          <w:iCs/>
          <w:color w:val="000000"/>
          <w:sz w:val="22"/>
          <w:szCs w:val="22"/>
          <w:lang w:val="sr-Latn-ME"/>
        </w:rPr>
      </w:pPr>
    </w:p>
    <w:p w14:paraId="061D7A12" w14:textId="77777777" w:rsidR="00F544E1" w:rsidRPr="00E33ED2" w:rsidRDefault="00F544E1" w:rsidP="00AC7873">
      <w:pPr>
        <w:jc w:val="both"/>
        <w:rPr>
          <w:b/>
          <w:bCs/>
          <w:i/>
          <w:iCs/>
          <w:snapToGrid w:val="0"/>
          <w:szCs w:val="22"/>
          <w:lang w:val="sr-Latn-ME"/>
        </w:rPr>
      </w:pPr>
      <w:r w:rsidRPr="00E33ED2">
        <w:rPr>
          <w:b/>
          <w:bCs/>
          <w:i/>
          <w:iCs/>
          <w:snapToGrid w:val="0"/>
          <w:szCs w:val="22"/>
          <w:lang w:val="sr-Latn-ME"/>
        </w:rPr>
        <w:t>Istovremena primjena koja zahtijeva pažnju:</w:t>
      </w:r>
    </w:p>
    <w:p w14:paraId="33E0C92D" w14:textId="77777777" w:rsidR="00F544E1" w:rsidRPr="00E33ED2" w:rsidRDefault="00F544E1" w:rsidP="00AC7873">
      <w:pPr>
        <w:pStyle w:val="NormalWeb"/>
        <w:shd w:val="clear" w:color="auto" w:fill="FFFFFF"/>
        <w:spacing w:before="0" w:beforeAutospacing="0" w:after="0" w:afterAutospacing="0"/>
        <w:jc w:val="both"/>
        <w:rPr>
          <w:color w:val="000000"/>
          <w:sz w:val="22"/>
          <w:szCs w:val="22"/>
          <w:u w:val="single"/>
          <w:lang w:val="sr-Latn-ME"/>
        </w:rPr>
      </w:pPr>
    </w:p>
    <w:p w14:paraId="51928582" w14:textId="77777777" w:rsidR="00F544E1" w:rsidRPr="00E33ED2" w:rsidRDefault="00F544E1" w:rsidP="00BA2946">
      <w:pPr>
        <w:jc w:val="both"/>
        <w:rPr>
          <w:snapToGrid w:val="0"/>
          <w:szCs w:val="22"/>
          <w:u w:val="single"/>
          <w:lang w:val="sr-Latn-ME"/>
        </w:rPr>
      </w:pPr>
      <w:r w:rsidRPr="00E33ED2">
        <w:rPr>
          <w:snapToGrid w:val="0"/>
          <w:szCs w:val="22"/>
          <w:u w:val="single"/>
          <w:lang w:val="sr-Latn-ME"/>
        </w:rPr>
        <w:t>Antihipertenzivni ljekovi i vazodilatatori:</w:t>
      </w:r>
    </w:p>
    <w:p w14:paraId="7D18B4F9" w14:textId="77777777" w:rsidR="00F544E1" w:rsidRPr="00E33ED2" w:rsidRDefault="00F544E1" w:rsidP="0062605D">
      <w:pPr>
        <w:jc w:val="both"/>
        <w:rPr>
          <w:snapToGrid w:val="0"/>
          <w:szCs w:val="22"/>
          <w:lang w:val="sr-Latn-ME"/>
        </w:rPr>
      </w:pPr>
      <w:r w:rsidRPr="00E33ED2">
        <w:rPr>
          <w:snapToGrid w:val="0"/>
          <w:szCs w:val="22"/>
          <w:lang w:val="sr-Latn-ME"/>
        </w:rPr>
        <w:t>Istovremena primjena ovih ljekova može povećati hipotenzivni efekat perindoprila. Istovremena primjena sa nitroglicerinom i ostalim nitratima ili ostalim vazodilatatorima može još više sniziti krvni pritisak.</w:t>
      </w:r>
    </w:p>
    <w:p w14:paraId="37E3B21D" w14:textId="77777777" w:rsidR="00F544E1" w:rsidRPr="00E33ED2" w:rsidRDefault="00F544E1" w:rsidP="00AC7873">
      <w:pPr>
        <w:pStyle w:val="NormalWeb"/>
        <w:shd w:val="clear" w:color="auto" w:fill="FFFFFF"/>
        <w:spacing w:before="0" w:beforeAutospacing="0" w:after="0" w:afterAutospacing="0"/>
        <w:jc w:val="both"/>
        <w:rPr>
          <w:color w:val="000000"/>
          <w:sz w:val="22"/>
          <w:szCs w:val="22"/>
          <w:lang w:val="sr-Latn-ME"/>
        </w:rPr>
      </w:pPr>
    </w:p>
    <w:p w14:paraId="3534CD8A" w14:textId="77777777" w:rsidR="00F544E1" w:rsidRPr="00E33ED2" w:rsidRDefault="00F544E1" w:rsidP="00BA2946">
      <w:pPr>
        <w:widowControl w:val="0"/>
        <w:jc w:val="both"/>
        <w:rPr>
          <w:szCs w:val="22"/>
          <w:u w:val="single"/>
          <w:lang w:val="sr-Latn-ME"/>
        </w:rPr>
      </w:pPr>
      <w:r w:rsidRPr="00E33ED2">
        <w:rPr>
          <w:szCs w:val="22"/>
          <w:u w:val="single"/>
          <w:lang w:val="sr-Latn-ME"/>
        </w:rPr>
        <w:t>Triciklični antidepresivi/antipsihotici/anestetici:</w:t>
      </w:r>
    </w:p>
    <w:p w14:paraId="45BDFA27" w14:textId="77777777" w:rsidR="00F544E1" w:rsidRPr="00E33ED2" w:rsidRDefault="00F544E1" w:rsidP="0062605D">
      <w:pPr>
        <w:jc w:val="both"/>
        <w:rPr>
          <w:snapToGrid w:val="0"/>
          <w:szCs w:val="22"/>
          <w:lang w:val="sr-Latn-ME"/>
        </w:rPr>
      </w:pPr>
      <w:r w:rsidRPr="00E33ED2">
        <w:rPr>
          <w:snapToGrid w:val="0"/>
          <w:szCs w:val="22"/>
          <w:lang w:val="sr-Latn-ME"/>
        </w:rPr>
        <w:t xml:space="preserve">Istovremena primjena pojedinih anestetika, tricikličkih antidepresiva i antipsihotika sa </w:t>
      </w:r>
      <w:r w:rsidRPr="00E33ED2">
        <w:rPr>
          <w:szCs w:val="22"/>
          <w:lang w:val="sr-Latn-ME"/>
        </w:rPr>
        <w:t xml:space="preserve">ACE inhibitorima može dovesti do daljnjeg sniženja krvnog pritiska </w:t>
      </w:r>
      <w:r w:rsidRPr="00E33ED2">
        <w:rPr>
          <w:snapToGrid w:val="0"/>
          <w:szCs w:val="22"/>
          <w:lang w:val="sr-Latn-ME"/>
        </w:rPr>
        <w:t>(vidjeti dio 4.4).</w:t>
      </w:r>
    </w:p>
    <w:p w14:paraId="24328DE6" w14:textId="77777777" w:rsidR="00F544E1" w:rsidRPr="00E33ED2" w:rsidRDefault="00F544E1" w:rsidP="00AC7873">
      <w:pPr>
        <w:pStyle w:val="NormalWeb"/>
        <w:shd w:val="clear" w:color="auto" w:fill="FFFFFF"/>
        <w:spacing w:before="0" w:beforeAutospacing="0" w:after="0" w:afterAutospacing="0"/>
        <w:jc w:val="both"/>
        <w:rPr>
          <w:color w:val="000000"/>
          <w:sz w:val="22"/>
          <w:szCs w:val="22"/>
          <w:lang w:val="sr-Latn-ME"/>
        </w:rPr>
      </w:pPr>
    </w:p>
    <w:p w14:paraId="427A8154" w14:textId="77777777" w:rsidR="00F544E1" w:rsidRPr="00E33ED2" w:rsidRDefault="00F544E1" w:rsidP="00BA2946">
      <w:pPr>
        <w:pStyle w:val="Norml11"/>
        <w:tabs>
          <w:tab w:val="left" w:pos="567"/>
        </w:tabs>
        <w:jc w:val="both"/>
        <w:rPr>
          <w:snapToGrid w:val="0"/>
          <w:szCs w:val="22"/>
          <w:u w:val="single"/>
          <w:lang w:val="sr-Latn-ME"/>
        </w:rPr>
      </w:pPr>
      <w:r w:rsidRPr="00E33ED2">
        <w:rPr>
          <w:szCs w:val="22"/>
          <w:u w:val="single"/>
          <w:lang w:val="sr-Latn-ME"/>
        </w:rPr>
        <w:t>Simpatomimetici:</w:t>
      </w:r>
    </w:p>
    <w:p w14:paraId="70C04602" w14:textId="77777777" w:rsidR="00F544E1" w:rsidRPr="00E33ED2" w:rsidRDefault="00F544E1" w:rsidP="0062605D">
      <w:pPr>
        <w:jc w:val="both"/>
        <w:rPr>
          <w:snapToGrid w:val="0"/>
          <w:szCs w:val="22"/>
          <w:lang w:val="sr-Latn-ME"/>
        </w:rPr>
      </w:pPr>
      <w:r w:rsidRPr="00E33ED2">
        <w:rPr>
          <w:szCs w:val="22"/>
          <w:lang w:val="sr-Latn-ME"/>
        </w:rPr>
        <w:t xml:space="preserve">Simpatomimetici mogu smanjiti antihipertenzivni efekat </w:t>
      </w:r>
      <w:r w:rsidRPr="00E33ED2">
        <w:rPr>
          <w:snapToGrid w:val="0"/>
          <w:szCs w:val="22"/>
          <w:lang w:val="sr-Latn-ME"/>
        </w:rPr>
        <w:t>ACE inhibitora.</w:t>
      </w:r>
    </w:p>
    <w:p w14:paraId="1B4ABA68" w14:textId="77777777" w:rsidR="00F544E1" w:rsidRPr="00E33ED2" w:rsidRDefault="00F544E1" w:rsidP="00AC7873">
      <w:pPr>
        <w:pStyle w:val="NormalWeb"/>
        <w:shd w:val="clear" w:color="auto" w:fill="FFFFFF"/>
        <w:spacing w:before="0" w:beforeAutospacing="0" w:after="0" w:afterAutospacing="0"/>
        <w:jc w:val="both"/>
        <w:rPr>
          <w:color w:val="000000"/>
          <w:sz w:val="22"/>
          <w:szCs w:val="22"/>
          <w:lang w:val="sr-Latn-ME"/>
        </w:rPr>
      </w:pPr>
    </w:p>
    <w:p w14:paraId="1CDDEF0A" w14:textId="77777777" w:rsidR="00F544E1" w:rsidRPr="00E33ED2" w:rsidRDefault="00F544E1" w:rsidP="00BA2946">
      <w:pPr>
        <w:jc w:val="both"/>
        <w:rPr>
          <w:szCs w:val="22"/>
          <w:u w:val="single"/>
          <w:lang w:val="sr-Latn-ME"/>
        </w:rPr>
      </w:pPr>
      <w:r w:rsidRPr="00E33ED2">
        <w:rPr>
          <w:szCs w:val="22"/>
          <w:u w:val="single"/>
          <w:lang w:val="sr-Latn-ME"/>
        </w:rPr>
        <w:t>Soli zlata:</w:t>
      </w:r>
    </w:p>
    <w:p w14:paraId="09282283" w14:textId="77777777" w:rsidR="00F544E1" w:rsidRPr="00E33ED2" w:rsidRDefault="00F544E1" w:rsidP="0062605D">
      <w:pPr>
        <w:jc w:val="both"/>
        <w:rPr>
          <w:szCs w:val="22"/>
          <w:u w:val="single"/>
          <w:lang w:val="sr-Latn-ME"/>
        </w:rPr>
      </w:pPr>
      <w:r w:rsidRPr="00E33ED2">
        <w:rPr>
          <w:szCs w:val="22"/>
          <w:lang w:val="sr-Latn-ME"/>
        </w:rPr>
        <w:t>Nitritoidne reakcije (simptomi uključuju crvenilo lica uz osjećaj vrućine, mučninu, povraćanje i hipotenziju) rijetko su zabilježene pri istovremenoj primjeni parenteralnih soli zlata (natrijum aurotiomalat) i ACE inhibitora, uključujući i perindopril.</w:t>
      </w:r>
    </w:p>
    <w:p w14:paraId="63C0A0D4" w14:textId="77777777" w:rsidR="001919CC" w:rsidRPr="00E33ED2" w:rsidRDefault="001919CC" w:rsidP="00AC7873">
      <w:pPr>
        <w:jc w:val="both"/>
        <w:rPr>
          <w:bCs/>
          <w:szCs w:val="22"/>
          <w:lang w:val="sr-Latn-ME"/>
        </w:rPr>
      </w:pPr>
    </w:p>
    <w:p w14:paraId="6FE6C96B" w14:textId="77777777" w:rsidR="001919CC" w:rsidRPr="00E33ED2" w:rsidRDefault="001919CC" w:rsidP="00AC7873">
      <w:pPr>
        <w:jc w:val="both"/>
        <w:rPr>
          <w:b/>
          <w:szCs w:val="22"/>
          <w:lang w:val="sr-Latn-ME"/>
        </w:rPr>
      </w:pPr>
      <w:r w:rsidRPr="00E33ED2">
        <w:rPr>
          <w:b/>
          <w:bCs/>
          <w:szCs w:val="22"/>
          <w:lang w:val="sr-Latn-ME"/>
        </w:rPr>
        <w:t xml:space="preserve">4.6. </w:t>
      </w:r>
      <w:r w:rsidRPr="00E33ED2">
        <w:rPr>
          <w:b/>
          <w:bCs/>
          <w:szCs w:val="22"/>
          <w:lang w:val="sr-Latn-ME"/>
        </w:rPr>
        <w:tab/>
      </w:r>
      <w:r w:rsidRPr="00E33ED2">
        <w:rPr>
          <w:b/>
          <w:szCs w:val="22"/>
          <w:lang w:val="sr-Latn-ME"/>
        </w:rPr>
        <w:t>Plodnost, trudnoća i dojenje</w:t>
      </w:r>
    </w:p>
    <w:p w14:paraId="03C9F700" w14:textId="77777777" w:rsidR="001919CC" w:rsidRPr="00E33ED2" w:rsidRDefault="001919CC" w:rsidP="00AC7873">
      <w:pPr>
        <w:jc w:val="both"/>
        <w:rPr>
          <w:szCs w:val="22"/>
          <w:u w:val="single"/>
          <w:lang w:val="sr-Latn-ME"/>
        </w:rPr>
      </w:pPr>
    </w:p>
    <w:p w14:paraId="7615687A" w14:textId="77777777" w:rsidR="001919CC" w:rsidRPr="00E33ED2" w:rsidRDefault="001919CC" w:rsidP="00AC7873">
      <w:pPr>
        <w:jc w:val="both"/>
        <w:rPr>
          <w:szCs w:val="22"/>
          <w:u w:val="single"/>
          <w:lang w:val="sr-Latn-ME"/>
        </w:rPr>
      </w:pPr>
      <w:r w:rsidRPr="00E33ED2">
        <w:rPr>
          <w:szCs w:val="22"/>
          <w:u w:val="single"/>
          <w:lang w:val="sr-Latn-ME"/>
        </w:rPr>
        <w:t>Plodnost</w:t>
      </w:r>
    </w:p>
    <w:p w14:paraId="2E561A57" w14:textId="77777777" w:rsidR="00D26248" w:rsidRPr="00E33ED2" w:rsidRDefault="00D26248" w:rsidP="00BA2946">
      <w:pPr>
        <w:autoSpaceDE w:val="0"/>
        <w:autoSpaceDN w:val="0"/>
        <w:adjustRightInd w:val="0"/>
        <w:jc w:val="both"/>
        <w:rPr>
          <w:szCs w:val="22"/>
          <w:lang w:val="sr-Latn-ME"/>
        </w:rPr>
      </w:pPr>
      <w:r w:rsidRPr="00E33ED2">
        <w:rPr>
          <w:szCs w:val="22"/>
          <w:lang w:val="sr-Latn-ME"/>
        </w:rPr>
        <w:t>Nema dejstava na reproduktivnu sposobnost ili plodnost.</w:t>
      </w:r>
    </w:p>
    <w:p w14:paraId="383D458F" w14:textId="77777777" w:rsidR="00660900" w:rsidRPr="00E33ED2" w:rsidRDefault="00660900" w:rsidP="00AC7873">
      <w:pPr>
        <w:jc w:val="both"/>
        <w:rPr>
          <w:szCs w:val="22"/>
          <w:u w:val="single"/>
          <w:lang w:val="sr-Latn-ME"/>
        </w:rPr>
      </w:pPr>
    </w:p>
    <w:p w14:paraId="21A26381" w14:textId="77777777" w:rsidR="001919CC" w:rsidRPr="00E33ED2" w:rsidRDefault="001919CC" w:rsidP="00AC7873">
      <w:pPr>
        <w:jc w:val="both"/>
        <w:rPr>
          <w:szCs w:val="22"/>
          <w:u w:val="single"/>
          <w:lang w:val="sr-Latn-ME"/>
        </w:rPr>
      </w:pPr>
      <w:r w:rsidRPr="00E33ED2">
        <w:rPr>
          <w:szCs w:val="22"/>
          <w:u w:val="single"/>
          <w:lang w:val="sr-Latn-ME"/>
        </w:rPr>
        <w:t>Trudnoća</w:t>
      </w:r>
    </w:p>
    <w:p w14:paraId="6DD01C8F" w14:textId="77777777" w:rsidR="00D26248" w:rsidRPr="00E33ED2" w:rsidRDefault="00D26248" w:rsidP="00D26248">
      <w:pPr>
        <w:pBdr>
          <w:top w:val="single" w:sz="4" w:space="1" w:color="auto"/>
          <w:left w:val="single" w:sz="4" w:space="4" w:color="auto"/>
          <w:bottom w:val="single" w:sz="4" w:space="1" w:color="auto"/>
          <w:right w:val="single" w:sz="4" w:space="4" w:color="auto"/>
        </w:pBdr>
        <w:autoSpaceDE w:val="0"/>
        <w:autoSpaceDN w:val="0"/>
        <w:adjustRightInd w:val="0"/>
        <w:jc w:val="both"/>
        <w:rPr>
          <w:szCs w:val="22"/>
          <w:lang w:val="sr-Latn-ME"/>
        </w:rPr>
      </w:pPr>
      <w:r w:rsidRPr="00E33ED2">
        <w:rPr>
          <w:szCs w:val="22"/>
          <w:lang w:val="sr-Latn-ME"/>
        </w:rPr>
        <w:t>Ne preporučuje se primjena ACE inhibitora tokom prvog trimestra trudnoće</w:t>
      </w:r>
      <w:r w:rsidRPr="00E33ED2" w:rsidDel="00445342">
        <w:rPr>
          <w:szCs w:val="22"/>
          <w:lang w:val="sr-Latn-ME"/>
        </w:rPr>
        <w:t xml:space="preserve"> </w:t>
      </w:r>
      <w:r w:rsidRPr="00E33ED2">
        <w:rPr>
          <w:szCs w:val="22"/>
          <w:lang w:val="sr-Latn-ME"/>
        </w:rPr>
        <w:t>(vidjeti dio 4.4). Primjena ACE inhibitora kontraindikovana je tokom drugog i trećeg trimestra trudnoće (vidjeti djelove 4.3 i 4.4).</w:t>
      </w:r>
    </w:p>
    <w:p w14:paraId="63E48BD7" w14:textId="77777777" w:rsidR="00C428C2" w:rsidRPr="00E33ED2" w:rsidRDefault="00C428C2" w:rsidP="00C428C2">
      <w:pPr>
        <w:pStyle w:val="Norml11"/>
        <w:rPr>
          <w:szCs w:val="22"/>
          <w:lang w:val="sr-Latn-ME" w:eastAsia="en-US"/>
        </w:rPr>
      </w:pPr>
    </w:p>
    <w:p w14:paraId="51D5948A" w14:textId="77777777" w:rsidR="00D26248" w:rsidRPr="00E33ED2" w:rsidRDefault="00D26248" w:rsidP="00BA2946">
      <w:pPr>
        <w:autoSpaceDE w:val="0"/>
        <w:autoSpaceDN w:val="0"/>
        <w:adjustRightInd w:val="0"/>
        <w:jc w:val="both"/>
        <w:rPr>
          <w:szCs w:val="22"/>
          <w:lang w:val="sr-Latn-ME"/>
        </w:rPr>
      </w:pPr>
      <w:r w:rsidRPr="00E33ED2">
        <w:rPr>
          <w:szCs w:val="22"/>
          <w:lang w:val="sr-Latn-ME"/>
        </w:rPr>
        <w:t>Epidemiološka ispitivanja teratogenosti kao posljedice izloženosti ACE inhibitorima u prvom trimestru trudnoće nijesu donijela jasan zaključak, međutim, ne može se isključiti povećan rizik. Osim u slučaju kada je liječenje ACE inhibitorom neophodno, u terapiji pacijentkinja koje planiraju trudnoću mora se primijeniti alternativno antihipertenzivno liječenje, koje ima utvrđen profil bezbjednosti za primjenu tokom trudnoće. Kada se ustanovi trudnoća, liječenje perindoprilom potrebno je odmah prekinuti i po potrebi preći na liječenje alternativnim lijekom.</w:t>
      </w:r>
    </w:p>
    <w:p w14:paraId="09B05F62" w14:textId="77777777" w:rsidR="00D26248" w:rsidRPr="00E33ED2" w:rsidRDefault="00D26248" w:rsidP="0062605D">
      <w:pPr>
        <w:autoSpaceDE w:val="0"/>
        <w:autoSpaceDN w:val="0"/>
        <w:adjustRightInd w:val="0"/>
        <w:jc w:val="both"/>
        <w:rPr>
          <w:szCs w:val="22"/>
          <w:lang w:val="sr-Latn-ME"/>
        </w:rPr>
      </w:pPr>
      <w:r w:rsidRPr="00E33ED2">
        <w:rPr>
          <w:szCs w:val="22"/>
          <w:lang w:val="sr-Latn-ME"/>
        </w:rPr>
        <w:t>Poznato je da izloženost terapiji ACE inhibitorom tokom drugog i trećeg trimestra trudnoće izaziva fetotoksičnost kod ljudi (oslabljena bubrežna funkcija, oligohidramnion, usporena osifikacija kostiju lobanje) i neonatalnu toksičnost (bubrežna insuficijencija, hipotenzija, hiperkalijemija) (vidjeti dio 5.3). Ako je došlo do izloženosti ACE inhibitoru od drugog trimestra trudnoće nadalje, neophodno je uraditi preglede ultrazvukom zbog procjene bubrežne funkcije i stanja lobanje. Dojenčad majki koje su uzimale ACE inhibitore moraju se pažljivo pratiti zbog mogućnosti pojave hipotenzije (vidjeti djelove 4.3 i 4.4).</w:t>
      </w:r>
    </w:p>
    <w:p w14:paraId="4E47DFA2" w14:textId="77777777" w:rsidR="00C428C2" w:rsidRPr="00E33ED2" w:rsidRDefault="00C428C2" w:rsidP="00AC7873">
      <w:pPr>
        <w:pStyle w:val="Norml11"/>
        <w:jc w:val="both"/>
        <w:rPr>
          <w:snapToGrid w:val="0"/>
          <w:szCs w:val="22"/>
          <w:lang w:val="sr-Latn-ME"/>
        </w:rPr>
      </w:pPr>
    </w:p>
    <w:p w14:paraId="365B2A0F" w14:textId="77777777" w:rsidR="00C428C2" w:rsidRPr="00E33ED2" w:rsidRDefault="00C428C2" w:rsidP="00AC7873">
      <w:pPr>
        <w:widowControl w:val="0"/>
        <w:jc w:val="both"/>
        <w:rPr>
          <w:szCs w:val="22"/>
          <w:u w:val="single"/>
          <w:lang w:val="sr-Latn-ME"/>
        </w:rPr>
      </w:pPr>
      <w:r w:rsidRPr="00E33ED2">
        <w:rPr>
          <w:szCs w:val="22"/>
          <w:u w:val="single"/>
          <w:lang w:val="sr-Latn-ME"/>
        </w:rPr>
        <w:t>Dojenje</w:t>
      </w:r>
    </w:p>
    <w:p w14:paraId="626963FA" w14:textId="77777777" w:rsidR="00D26248" w:rsidRPr="00E33ED2" w:rsidRDefault="00D26248" w:rsidP="00BA2946">
      <w:pPr>
        <w:autoSpaceDE w:val="0"/>
        <w:autoSpaceDN w:val="0"/>
        <w:adjustRightInd w:val="0"/>
        <w:jc w:val="both"/>
        <w:rPr>
          <w:szCs w:val="22"/>
          <w:lang w:val="sr-Latn-ME"/>
        </w:rPr>
      </w:pPr>
      <w:r w:rsidRPr="00E33ED2">
        <w:rPr>
          <w:szCs w:val="22"/>
          <w:lang w:val="sr-Latn-ME"/>
        </w:rPr>
        <w:t>Obzirom da ne postoje podaci o primjeni perindoprila za vrijeme dojenja, ne preporučuje se njegova primjena u toku dojenja i poželjno je liječenje započeti ljekovima koji imaju ustanovljen bolji bezbjednosni profil tokom dojenja, pogotovo kod novorođenčadi i nedonoščadi.</w:t>
      </w:r>
    </w:p>
    <w:p w14:paraId="002D688F" w14:textId="77777777" w:rsidR="001919CC" w:rsidRPr="00E33ED2" w:rsidRDefault="001919CC" w:rsidP="00AC7873">
      <w:pPr>
        <w:jc w:val="both"/>
        <w:rPr>
          <w:b/>
          <w:bCs/>
          <w:szCs w:val="22"/>
          <w:lang w:val="sr-Latn-ME"/>
        </w:rPr>
      </w:pPr>
    </w:p>
    <w:p w14:paraId="6910D74A" w14:textId="77777777" w:rsidR="001919CC" w:rsidRPr="00E33ED2" w:rsidRDefault="001919CC" w:rsidP="00AC7873">
      <w:pPr>
        <w:jc w:val="both"/>
        <w:rPr>
          <w:b/>
          <w:bCs/>
          <w:szCs w:val="22"/>
          <w:lang w:val="sr-Latn-ME"/>
        </w:rPr>
      </w:pPr>
      <w:r w:rsidRPr="00E33ED2">
        <w:rPr>
          <w:b/>
          <w:bCs/>
          <w:szCs w:val="22"/>
          <w:lang w:val="sr-Latn-ME"/>
        </w:rPr>
        <w:lastRenderedPageBreak/>
        <w:t xml:space="preserve">4.7. </w:t>
      </w:r>
      <w:r w:rsidRPr="00E33ED2">
        <w:rPr>
          <w:b/>
          <w:bCs/>
          <w:szCs w:val="22"/>
          <w:lang w:val="sr-Latn-ME"/>
        </w:rPr>
        <w:tab/>
        <w:t>Uticaj na sposobnost upravljanja vozilima i rukovanje mašinama</w:t>
      </w:r>
    </w:p>
    <w:p w14:paraId="46202B91" w14:textId="77777777" w:rsidR="00D26248" w:rsidRPr="00E33ED2" w:rsidRDefault="00D26248" w:rsidP="00BA2946">
      <w:pPr>
        <w:jc w:val="both"/>
        <w:rPr>
          <w:szCs w:val="22"/>
          <w:lang w:val="sr-Latn-ME"/>
        </w:rPr>
      </w:pPr>
    </w:p>
    <w:p w14:paraId="5B34414D" w14:textId="77777777" w:rsidR="00D26248" w:rsidRPr="00E33ED2" w:rsidRDefault="00D26248" w:rsidP="0062605D">
      <w:pPr>
        <w:jc w:val="both"/>
        <w:rPr>
          <w:szCs w:val="22"/>
          <w:lang w:val="sr-Latn-ME"/>
        </w:rPr>
      </w:pPr>
      <w:r w:rsidRPr="00E33ED2">
        <w:rPr>
          <w:szCs w:val="22"/>
          <w:lang w:val="sr-Latn-ME"/>
        </w:rPr>
        <w:t xml:space="preserve">Lijek </w:t>
      </w:r>
      <w:r w:rsidR="00AC6E3D" w:rsidRPr="00E33ED2">
        <w:rPr>
          <w:szCs w:val="22"/>
          <w:lang w:val="sr-Latn-ME"/>
        </w:rPr>
        <w:t>Prenessaneo</w:t>
      </w:r>
      <w:r w:rsidRPr="00E33ED2">
        <w:rPr>
          <w:szCs w:val="22"/>
          <w:lang w:val="sr-Latn-ME"/>
        </w:rPr>
        <w:t xml:space="preserve"> nema direktan uticaj na sposobnost upravljanja vozilima i rukovanja mašinama, ali individualno se kod nekih pacijenata mogu javiti poteškoće zbog sniženja krvnog pritiska, pogotovo na početku liječenja ili u kombinaciji sa drugim antihpertenzivnim ljekovima.</w:t>
      </w:r>
    </w:p>
    <w:p w14:paraId="7EBA08D3" w14:textId="77777777" w:rsidR="00D26248" w:rsidRPr="00E33ED2" w:rsidRDefault="00D26248">
      <w:pPr>
        <w:jc w:val="both"/>
        <w:rPr>
          <w:szCs w:val="22"/>
          <w:lang w:val="sr-Latn-ME"/>
        </w:rPr>
      </w:pPr>
      <w:r w:rsidRPr="00E33ED2">
        <w:rPr>
          <w:szCs w:val="22"/>
          <w:lang w:val="sr-Latn-ME"/>
        </w:rPr>
        <w:t>Posljedica toga može biti smanjenje sposobnosti upravljanja vozilima i rukovanja mašinama.</w:t>
      </w:r>
    </w:p>
    <w:p w14:paraId="41F18F66" w14:textId="77777777" w:rsidR="001919CC" w:rsidRPr="00E33ED2" w:rsidRDefault="001919CC" w:rsidP="00AC7873">
      <w:pPr>
        <w:jc w:val="both"/>
        <w:rPr>
          <w:b/>
          <w:bCs/>
          <w:szCs w:val="22"/>
          <w:lang w:val="sr-Latn-ME"/>
        </w:rPr>
      </w:pPr>
    </w:p>
    <w:p w14:paraId="6B17028F" w14:textId="77777777" w:rsidR="001919CC" w:rsidRPr="00E33ED2" w:rsidRDefault="001919CC" w:rsidP="00AC7873">
      <w:pPr>
        <w:jc w:val="both"/>
        <w:rPr>
          <w:b/>
          <w:bCs/>
          <w:szCs w:val="22"/>
          <w:lang w:val="sr-Latn-ME"/>
        </w:rPr>
      </w:pPr>
      <w:r w:rsidRPr="00E33ED2">
        <w:rPr>
          <w:b/>
          <w:bCs/>
          <w:szCs w:val="22"/>
          <w:lang w:val="sr-Latn-ME"/>
        </w:rPr>
        <w:t xml:space="preserve">4.8. </w:t>
      </w:r>
      <w:r w:rsidRPr="00E33ED2">
        <w:rPr>
          <w:b/>
          <w:bCs/>
          <w:szCs w:val="22"/>
          <w:lang w:val="sr-Latn-ME"/>
        </w:rPr>
        <w:tab/>
        <w:t>Neželjena dejstva</w:t>
      </w:r>
    </w:p>
    <w:p w14:paraId="6CCA253A" w14:textId="77777777" w:rsidR="00660900" w:rsidRPr="00E33ED2" w:rsidRDefault="00660900" w:rsidP="00AC7873">
      <w:pPr>
        <w:widowControl w:val="0"/>
        <w:spacing w:line="240" w:lineRule="auto"/>
        <w:jc w:val="both"/>
        <w:rPr>
          <w:szCs w:val="22"/>
          <w:lang w:val="sr-Latn-ME"/>
        </w:rPr>
      </w:pPr>
    </w:p>
    <w:p w14:paraId="220316E3" w14:textId="29C86518" w:rsidR="00660900" w:rsidRPr="00E33ED2" w:rsidRDefault="00660900" w:rsidP="00AC7873">
      <w:pPr>
        <w:numPr>
          <w:ilvl w:val="0"/>
          <w:numId w:val="27"/>
        </w:numPr>
        <w:tabs>
          <w:tab w:val="clear" w:pos="567"/>
        </w:tabs>
        <w:spacing w:line="240" w:lineRule="auto"/>
        <w:jc w:val="both"/>
        <w:rPr>
          <w:szCs w:val="22"/>
          <w:lang w:val="sr-Latn-ME" w:eastAsia="sl-SI"/>
        </w:rPr>
      </w:pPr>
      <w:r w:rsidRPr="00E33ED2">
        <w:rPr>
          <w:szCs w:val="22"/>
          <w:lang w:val="sr-Latn-ME" w:eastAsia="sl-SI"/>
        </w:rPr>
        <w:t xml:space="preserve">Sažetak </w:t>
      </w:r>
      <w:r w:rsidR="00FF6925" w:rsidRPr="00E33ED2">
        <w:rPr>
          <w:szCs w:val="22"/>
          <w:lang w:val="sr-Latn-ME" w:eastAsia="sl-SI"/>
        </w:rPr>
        <w:t xml:space="preserve">bezbjednosnog </w:t>
      </w:r>
      <w:r w:rsidRPr="00E33ED2">
        <w:rPr>
          <w:szCs w:val="22"/>
          <w:lang w:val="sr-Latn-ME" w:eastAsia="sl-SI"/>
        </w:rPr>
        <w:t>profila</w:t>
      </w:r>
    </w:p>
    <w:p w14:paraId="6B91BCD5" w14:textId="77777777" w:rsidR="00660900" w:rsidRPr="00E33ED2" w:rsidRDefault="00660900" w:rsidP="00AC7873">
      <w:pPr>
        <w:tabs>
          <w:tab w:val="clear" w:pos="567"/>
        </w:tabs>
        <w:spacing w:line="240" w:lineRule="auto"/>
        <w:jc w:val="both"/>
        <w:rPr>
          <w:szCs w:val="22"/>
          <w:lang w:val="sr-Latn-ME" w:eastAsia="sl-SI"/>
        </w:rPr>
      </w:pPr>
    </w:p>
    <w:p w14:paraId="51062453" w14:textId="791602FA" w:rsidR="00660900" w:rsidRPr="00E33ED2" w:rsidRDefault="00FF6925" w:rsidP="00AC7873">
      <w:pPr>
        <w:spacing w:line="240" w:lineRule="auto"/>
        <w:jc w:val="both"/>
        <w:rPr>
          <w:szCs w:val="22"/>
          <w:lang w:val="sr-Latn-ME" w:eastAsia="sl-SI"/>
        </w:rPr>
      </w:pPr>
      <w:r w:rsidRPr="00E33ED2">
        <w:rPr>
          <w:szCs w:val="22"/>
          <w:lang w:val="sr-Latn-ME" w:eastAsia="sl-SI"/>
        </w:rPr>
        <w:t xml:space="preserve">Bezbjednosni </w:t>
      </w:r>
      <w:r w:rsidR="00660900" w:rsidRPr="00E33ED2">
        <w:rPr>
          <w:szCs w:val="22"/>
          <w:lang w:val="sr-Latn-ME" w:eastAsia="sl-SI"/>
        </w:rPr>
        <w:t xml:space="preserve">profil perindoprila u skladu je sa </w:t>
      </w:r>
      <w:r w:rsidRPr="00E33ED2">
        <w:rPr>
          <w:szCs w:val="22"/>
          <w:lang w:val="sr-Latn-ME" w:eastAsia="sl-SI"/>
        </w:rPr>
        <w:t xml:space="preserve">bezbjednosnim </w:t>
      </w:r>
      <w:r w:rsidR="00660900" w:rsidRPr="00E33ED2">
        <w:rPr>
          <w:szCs w:val="22"/>
          <w:lang w:val="sr-Latn-ME" w:eastAsia="sl-SI"/>
        </w:rPr>
        <w:t>profilom ACE inhibitora:</w:t>
      </w:r>
    </w:p>
    <w:p w14:paraId="73AC622F" w14:textId="77777777" w:rsidR="00660900" w:rsidRPr="00E33ED2" w:rsidRDefault="00660900" w:rsidP="00AC7873">
      <w:pPr>
        <w:tabs>
          <w:tab w:val="clear" w:pos="567"/>
        </w:tabs>
        <w:spacing w:line="240" w:lineRule="auto"/>
        <w:jc w:val="both"/>
        <w:rPr>
          <w:szCs w:val="22"/>
          <w:lang w:val="sr-Latn-ME" w:eastAsia="sl-SI"/>
        </w:rPr>
      </w:pPr>
    </w:p>
    <w:p w14:paraId="373FA3B4" w14:textId="67141343" w:rsidR="00660900" w:rsidRPr="00E33ED2" w:rsidRDefault="00660900" w:rsidP="00AC7873">
      <w:pPr>
        <w:spacing w:line="240" w:lineRule="auto"/>
        <w:jc w:val="both"/>
        <w:rPr>
          <w:szCs w:val="22"/>
          <w:lang w:val="sr-Latn-ME" w:eastAsia="sl-SI"/>
        </w:rPr>
      </w:pPr>
      <w:r w:rsidRPr="00E33ED2">
        <w:rPr>
          <w:szCs w:val="22"/>
          <w:lang w:val="sr-Latn-ME" w:eastAsia="sl-SI"/>
        </w:rPr>
        <w:t>Najčešć</w:t>
      </w:r>
      <w:r w:rsidR="00FF6925" w:rsidRPr="00E33ED2">
        <w:rPr>
          <w:szCs w:val="22"/>
          <w:lang w:val="sr-Latn-ME" w:eastAsia="sl-SI"/>
        </w:rPr>
        <w:t>a neželjena dejstva</w:t>
      </w:r>
      <w:r w:rsidRPr="00E33ED2">
        <w:rPr>
          <w:szCs w:val="22"/>
          <w:lang w:val="sr-Latn-ME" w:eastAsia="sl-SI"/>
        </w:rPr>
        <w:t xml:space="preserve"> prijavljen</w:t>
      </w:r>
      <w:r w:rsidR="00FF6925" w:rsidRPr="00E33ED2">
        <w:rPr>
          <w:szCs w:val="22"/>
          <w:lang w:val="sr-Latn-ME" w:eastAsia="sl-SI"/>
        </w:rPr>
        <w:t>a</w:t>
      </w:r>
      <w:r w:rsidRPr="00E33ED2">
        <w:rPr>
          <w:szCs w:val="22"/>
          <w:lang w:val="sr-Latn-ME" w:eastAsia="sl-SI"/>
        </w:rPr>
        <w:t xml:space="preserve"> u kliničkim ispitivanjima i nakon stavljanja lijeka na tržište su: omaglica, glavobolja, parestezije, vrtoglavica, poremećaji vida, tinitus, hipotenzija, kašalj, dispneja, </w:t>
      </w:r>
      <w:r w:rsidR="00FF6925" w:rsidRPr="00E33ED2">
        <w:rPr>
          <w:szCs w:val="22"/>
          <w:lang w:val="sr-Latn-ME" w:eastAsia="sl-SI"/>
        </w:rPr>
        <w:t>bol u abdomenu</w:t>
      </w:r>
      <w:r w:rsidRPr="00E33ED2">
        <w:rPr>
          <w:szCs w:val="22"/>
          <w:lang w:val="sr-Latn-ME" w:eastAsia="sl-SI"/>
        </w:rPr>
        <w:t>, konstipacija, proljev, disgeuzija, dispepsija, mučnina, povraćanje, svr</w:t>
      </w:r>
      <w:r w:rsidR="00FF6925" w:rsidRPr="00E33ED2">
        <w:rPr>
          <w:szCs w:val="22"/>
          <w:lang w:val="sr-Latn-ME" w:eastAsia="sl-SI"/>
        </w:rPr>
        <w:t>ab</w:t>
      </w:r>
      <w:r w:rsidRPr="00E33ED2">
        <w:rPr>
          <w:szCs w:val="22"/>
          <w:lang w:val="sr-Latn-ME" w:eastAsia="sl-SI"/>
        </w:rPr>
        <w:t>, osip, grčevi mišića i astenija.</w:t>
      </w:r>
    </w:p>
    <w:p w14:paraId="1F780955" w14:textId="77777777" w:rsidR="00660900" w:rsidRPr="00E33ED2" w:rsidRDefault="00660900" w:rsidP="00AC7873">
      <w:pPr>
        <w:tabs>
          <w:tab w:val="clear" w:pos="567"/>
        </w:tabs>
        <w:spacing w:line="240" w:lineRule="auto"/>
        <w:jc w:val="both"/>
        <w:rPr>
          <w:szCs w:val="22"/>
          <w:lang w:val="sr-Latn-ME" w:eastAsia="sl-SI"/>
        </w:rPr>
      </w:pPr>
    </w:p>
    <w:p w14:paraId="5B0ACCA8" w14:textId="0833DCB7" w:rsidR="00660900" w:rsidRPr="00E33ED2" w:rsidRDefault="00660900" w:rsidP="00AC7873">
      <w:pPr>
        <w:numPr>
          <w:ilvl w:val="0"/>
          <w:numId w:val="27"/>
        </w:numPr>
        <w:tabs>
          <w:tab w:val="clear" w:pos="567"/>
        </w:tabs>
        <w:spacing w:line="240" w:lineRule="auto"/>
        <w:jc w:val="both"/>
        <w:rPr>
          <w:szCs w:val="22"/>
          <w:lang w:val="sr-Latn-ME" w:eastAsia="sl-SI"/>
        </w:rPr>
      </w:pPr>
      <w:r w:rsidRPr="00E33ED2">
        <w:rPr>
          <w:szCs w:val="22"/>
          <w:lang w:val="sr-Latn-ME" w:eastAsia="sl-SI"/>
        </w:rPr>
        <w:t xml:space="preserve">Tablični popis </w:t>
      </w:r>
      <w:r w:rsidR="00FF6925" w:rsidRPr="00E33ED2">
        <w:rPr>
          <w:szCs w:val="22"/>
          <w:lang w:val="sr-Latn-ME" w:eastAsia="sl-SI"/>
        </w:rPr>
        <w:t>neželjenih dejstava</w:t>
      </w:r>
    </w:p>
    <w:p w14:paraId="485A2D83" w14:textId="77777777" w:rsidR="00660900" w:rsidRPr="00E33ED2" w:rsidRDefault="00660900" w:rsidP="00BA2946">
      <w:pPr>
        <w:tabs>
          <w:tab w:val="clear" w:pos="567"/>
        </w:tabs>
        <w:spacing w:line="240" w:lineRule="auto"/>
        <w:jc w:val="both"/>
        <w:rPr>
          <w:szCs w:val="22"/>
          <w:lang w:val="sr-Latn-ME" w:eastAsia="sl-SI"/>
        </w:rPr>
      </w:pPr>
    </w:p>
    <w:p w14:paraId="4690C452" w14:textId="7341FEB2" w:rsidR="00660900" w:rsidRPr="00E33ED2" w:rsidRDefault="00660900" w:rsidP="00AC7873">
      <w:pPr>
        <w:spacing w:line="240" w:lineRule="auto"/>
        <w:jc w:val="both"/>
        <w:rPr>
          <w:szCs w:val="22"/>
          <w:lang w:val="sr-Latn-ME" w:eastAsia="sl-SI"/>
        </w:rPr>
      </w:pPr>
      <w:r w:rsidRPr="00E33ED2">
        <w:rPr>
          <w:szCs w:val="22"/>
          <w:lang w:val="sr-Latn-ME" w:eastAsia="sl-SI"/>
        </w:rPr>
        <w:t>Niže su naveden</w:t>
      </w:r>
      <w:r w:rsidR="00FF6925" w:rsidRPr="00E33ED2">
        <w:rPr>
          <w:szCs w:val="22"/>
          <w:lang w:val="sr-Latn-ME" w:eastAsia="sl-SI"/>
        </w:rPr>
        <w:t>a</w:t>
      </w:r>
      <w:r w:rsidRPr="00E33ED2">
        <w:rPr>
          <w:szCs w:val="22"/>
          <w:lang w:val="sr-Latn-ME" w:eastAsia="sl-SI"/>
        </w:rPr>
        <w:t xml:space="preserve"> </w:t>
      </w:r>
      <w:r w:rsidR="00FF6925" w:rsidRPr="00E33ED2">
        <w:rPr>
          <w:szCs w:val="22"/>
          <w:lang w:val="sr-Latn-ME" w:eastAsia="sl-SI"/>
        </w:rPr>
        <w:t xml:space="preserve">neželjena dejstva </w:t>
      </w:r>
      <w:r w:rsidRPr="00E33ED2">
        <w:rPr>
          <w:szCs w:val="22"/>
          <w:lang w:val="sr-Latn-ME" w:eastAsia="sl-SI"/>
        </w:rPr>
        <w:t>uočen</w:t>
      </w:r>
      <w:r w:rsidR="00FF6925" w:rsidRPr="00E33ED2">
        <w:rPr>
          <w:szCs w:val="22"/>
          <w:lang w:val="sr-Latn-ME" w:eastAsia="sl-SI"/>
        </w:rPr>
        <w:t>a</w:t>
      </w:r>
      <w:r w:rsidRPr="00E33ED2">
        <w:rPr>
          <w:szCs w:val="22"/>
          <w:lang w:val="sr-Latn-ME" w:eastAsia="sl-SI"/>
        </w:rPr>
        <w:t xml:space="preserve"> pri liječenju perindoprilom t</w:t>
      </w:r>
      <w:r w:rsidR="00FF6925" w:rsidRPr="00E33ED2">
        <w:rPr>
          <w:szCs w:val="22"/>
          <w:lang w:val="sr-Latn-ME" w:eastAsia="sl-SI"/>
        </w:rPr>
        <w:t>o</w:t>
      </w:r>
      <w:r w:rsidRPr="00E33ED2">
        <w:rPr>
          <w:szCs w:val="22"/>
          <w:lang w:val="sr-Latn-ME" w:eastAsia="sl-SI"/>
        </w:rPr>
        <w:t>kom kliničkih ispitivanja i/ili nakon stavljanja lijeka na tržište, koje su prema učestalosti klasifi</w:t>
      </w:r>
      <w:r w:rsidR="00FF6925" w:rsidRPr="00E33ED2">
        <w:rPr>
          <w:szCs w:val="22"/>
          <w:lang w:val="sr-Latn-ME" w:eastAsia="sl-SI"/>
        </w:rPr>
        <w:t>kovane</w:t>
      </w:r>
      <w:r w:rsidRPr="00E33ED2">
        <w:rPr>
          <w:szCs w:val="22"/>
          <w:lang w:val="sr-Latn-ME" w:eastAsia="sl-SI"/>
        </w:rPr>
        <w:t xml:space="preserve"> na sljedeći način:</w:t>
      </w:r>
    </w:p>
    <w:p w14:paraId="3AC84D70" w14:textId="77777777" w:rsidR="00660900" w:rsidRPr="00E33ED2" w:rsidRDefault="00660900" w:rsidP="00AC7873">
      <w:pPr>
        <w:spacing w:line="240" w:lineRule="auto"/>
        <w:jc w:val="both"/>
        <w:rPr>
          <w:szCs w:val="22"/>
          <w:lang w:val="sr-Latn-ME" w:eastAsia="sl-SI"/>
        </w:rPr>
      </w:pPr>
    </w:p>
    <w:p w14:paraId="314F9EC0" w14:textId="13371A43" w:rsidR="00660900" w:rsidRPr="00E33ED2" w:rsidRDefault="00660900" w:rsidP="00AC7873">
      <w:pPr>
        <w:spacing w:line="240" w:lineRule="auto"/>
        <w:jc w:val="both"/>
        <w:rPr>
          <w:szCs w:val="22"/>
          <w:lang w:val="sr-Latn-ME" w:eastAsia="sl-SI"/>
        </w:rPr>
      </w:pPr>
      <w:r w:rsidRPr="00E33ED2">
        <w:rPr>
          <w:szCs w:val="22"/>
          <w:lang w:val="sr-Latn-ME" w:eastAsia="sl-SI"/>
        </w:rPr>
        <w:t>Vrlo često (≥</w:t>
      </w:r>
      <w:r w:rsidR="00FF6925" w:rsidRPr="00E33ED2">
        <w:rPr>
          <w:szCs w:val="22"/>
          <w:lang w:val="sr-Latn-ME" w:eastAsia="sl-SI"/>
        </w:rPr>
        <w:t xml:space="preserve"> </w:t>
      </w:r>
      <w:r w:rsidRPr="00E33ED2">
        <w:rPr>
          <w:szCs w:val="22"/>
          <w:lang w:val="sr-Latn-ME" w:eastAsia="sl-SI"/>
        </w:rPr>
        <w:t>1/10); često (≥</w:t>
      </w:r>
      <w:r w:rsidR="00FF6925" w:rsidRPr="00E33ED2">
        <w:rPr>
          <w:szCs w:val="22"/>
          <w:lang w:val="sr-Latn-ME" w:eastAsia="sl-SI"/>
        </w:rPr>
        <w:t xml:space="preserve"> </w:t>
      </w:r>
      <w:r w:rsidRPr="00E33ED2">
        <w:rPr>
          <w:szCs w:val="22"/>
          <w:lang w:val="sr-Latn-ME" w:eastAsia="sl-SI"/>
        </w:rPr>
        <w:t>1/100 i &lt;</w:t>
      </w:r>
      <w:r w:rsidR="00FF6925" w:rsidRPr="00E33ED2">
        <w:rPr>
          <w:szCs w:val="22"/>
          <w:lang w:val="sr-Latn-ME" w:eastAsia="sl-SI"/>
        </w:rPr>
        <w:t xml:space="preserve"> </w:t>
      </w:r>
      <w:r w:rsidRPr="00E33ED2">
        <w:rPr>
          <w:szCs w:val="22"/>
          <w:lang w:val="sr-Latn-ME" w:eastAsia="sl-SI"/>
        </w:rPr>
        <w:t xml:space="preserve">1/10); </w:t>
      </w:r>
      <w:r w:rsidR="00FF6925" w:rsidRPr="00E33ED2">
        <w:rPr>
          <w:szCs w:val="22"/>
          <w:lang w:val="sr-Latn-ME" w:eastAsia="sl-SI"/>
        </w:rPr>
        <w:t>povremeno</w:t>
      </w:r>
      <w:r w:rsidRPr="00E33ED2">
        <w:rPr>
          <w:szCs w:val="22"/>
          <w:lang w:val="sr-Latn-ME" w:eastAsia="sl-SI"/>
        </w:rPr>
        <w:t xml:space="preserve"> (≥</w:t>
      </w:r>
      <w:r w:rsidR="00FF6925" w:rsidRPr="00E33ED2">
        <w:rPr>
          <w:szCs w:val="22"/>
          <w:lang w:val="sr-Latn-ME" w:eastAsia="sl-SI"/>
        </w:rPr>
        <w:t xml:space="preserve"> </w:t>
      </w:r>
      <w:r w:rsidRPr="00E33ED2">
        <w:rPr>
          <w:szCs w:val="22"/>
          <w:lang w:val="sr-Latn-ME" w:eastAsia="sl-SI"/>
        </w:rPr>
        <w:t>1/1000 i &lt;</w:t>
      </w:r>
      <w:r w:rsidR="00FF6925" w:rsidRPr="00E33ED2">
        <w:rPr>
          <w:szCs w:val="22"/>
          <w:lang w:val="sr-Latn-ME" w:eastAsia="sl-SI"/>
        </w:rPr>
        <w:t xml:space="preserve"> </w:t>
      </w:r>
      <w:r w:rsidRPr="00E33ED2">
        <w:rPr>
          <w:szCs w:val="22"/>
          <w:lang w:val="sr-Latn-ME" w:eastAsia="sl-SI"/>
        </w:rPr>
        <w:t>1/100); rijetko (≥</w:t>
      </w:r>
      <w:r w:rsidR="00FF6925" w:rsidRPr="00E33ED2">
        <w:rPr>
          <w:szCs w:val="22"/>
          <w:lang w:val="sr-Latn-ME" w:eastAsia="sl-SI"/>
        </w:rPr>
        <w:t xml:space="preserve"> </w:t>
      </w:r>
      <w:r w:rsidRPr="00E33ED2">
        <w:rPr>
          <w:szCs w:val="22"/>
          <w:lang w:val="sr-Latn-ME" w:eastAsia="sl-SI"/>
        </w:rPr>
        <w:t>1/10 000 i &lt;</w:t>
      </w:r>
      <w:r w:rsidR="00FF6925" w:rsidRPr="00E33ED2">
        <w:rPr>
          <w:szCs w:val="22"/>
          <w:lang w:val="sr-Latn-ME" w:eastAsia="sl-SI"/>
        </w:rPr>
        <w:t xml:space="preserve"> </w:t>
      </w:r>
      <w:r w:rsidRPr="00E33ED2">
        <w:rPr>
          <w:szCs w:val="22"/>
          <w:lang w:val="sr-Latn-ME" w:eastAsia="sl-SI"/>
        </w:rPr>
        <w:t>1/1000); vrlo rijetko (&lt;</w:t>
      </w:r>
      <w:r w:rsidR="00FF6925" w:rsidRPr="00E33ED2">
        <w:rPr>
          <w:szCs w:val="22"/>
          <w:lang w:val="sr-Latn-ME" w:eastAsia="sl-SI"/>
        </w:rPr>
        <w:t xml:space="preserve"> </w:t>
      </w:r>
      <w:r w:rsidRPr="00E33ED2">
        <w:rPr>
          <w:szCs w:val="22"/>
          <w:lang w:val="sr-Latn-ME" w:eastAsia="sl-SI"/>
        </w:rPr>
        <w:t xml:space="preserve">1/10 000); nepoznato (učestalost se ne može procijeniti na </w:t>
      </w:r>
      <w:r w:rsidR="00FF6925" w:rsidRPr="00E33ED2">
        <w:rPr>
          <w:szCs w:val="22"/>
          <w:lang w:val="sr-Latn-ME" w:eastAsia="sl-SI"/>
        </w:rPr>
        <w:t xml:space="preserve">osnovu </w:t>
      </w:r>
      <w:r w:rsidRPr="00E33ED2">
        <w:rPr>
          <w:szCs w:val="22"/>
          <w:lang w:val="sr-Latn-ME" w:eastAsia="sl-SI"/>
        </w:rPr>
        <w:t>dostupnih podataka).</w:t>
      </w:r>
    </w:p>
    <w:p w14:paraId="5689F627" w14:textId="77777777" w:rsidR="00660900" w:rsidRPr="00E33ED2" w:rsidRDefault="00660900" w:rsidP="00660900">
      <w:pPr>
        <w:widowControl w:val="0"/>
        <w:tabs>
          <w:tab w:val="clear" w:pos="567"/>
        </w:tabs>
        <w:rPr>
          <w:noProof/>
          <w:szCs w:val="22"/>
          <w:lang w:val="sr-Latn-ME" w:eastAsia="sl-SI"/>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11"/>
        <w:gridCol w:w="4133"/>
        <w:gridCol w:w="1811"/>
      </w:tblGrid>
      <w:tr w:rsidR="00563ABC" w:rsidRPr="00E33ED2" w14:paraId="38962F12" w14:textId="77777777" w:rsidTr="00660900">
        <w:trPr>
          <w:tblHeader/>
        </w:trPr>
        <w:tc>
          <w:tcPr>
            <w:tcW w:w="1718" w:type="pct"/>
            <w:tcBorders>
              <w:top w:val="outset" w:sz="6" w:space="0" w:color="auto"/>
              <w:left w:val="outset" w:sz="6" w:space="0" w:color="auto"/>
              <w:bottom w:val="outset" w:sz="6" w:space="0" w:color="auto"/>
              <w:right w:val="outset" w:sz="6" w:space="0" w:color="auto"/>
            </w:tcBorders>
            <w:hideMark/>
          </w:tcPr>
          <w:p w14:paraId="05B51E2C" w14:textId="77777777" w:rsidR="00563ABC" w:rsidRPr="00E33ED2" w:rsidRDefault="00563ABC" w:rsidP="00563ABC">
            <w:pPr>
              <w:widowControl w:val="0"/>
              <w:rPr>
                <w:b/>
                <w:bCs/>
                <w:szCs w:val="22"/>
                <w:lang w:val="sr-Latn-ME"/>
              </w:rPr>
            </w:pPr>
            <w:r w:rsidRPr="00E33ED2">
              <w:rPr>
                <w:b/>
                <w:bCs/>
                <w:szCs w:val="22"/>
                <w:lang w:val="sr-Latn-ME"/>
              </w:rPr>
              <w:t>MedDRA</w:t>
            </w:r>
          </w:p>
          <w:p w14:paraId="105335F6" w14:textId="77777777" w:rsidR="00563ABC" w:rsidRPr="00E33ED2" w:rsidRDefault="00563ABC" w:rsidP="00563ABC">
            <w:pPr>
              <w:widowControl w:val="0"/>
              <w:tabs>
                <w:tab w:val="clear" w:pos="567"/>
              </w:tabs>
              <w:spacing w:line="240" w:lineRule="auto"/>
              <w:rPr>
                <w:spacing w:val="4"/>
                <w:szCs w:val="22"/>
                <w:lang w:val="sr-Latn-ME" w:eastAsia="hu-HU"/>
              </w:rPr>
            </w:pPr>
            <w:r w:rsidRPr="00E33ED2">
              <w:rPr>
                <w:b/>
                <w:bCs/>
                <w:szCs w:val="22"/>
                <w:lang w:val="sr-Latn-ME"/>
              </w:rPr>
              <w:t>Klasa sistema organa</w:t>
            </w:r>
          </w:p>
        </w:tc>
        <w:tc>
          <w:tcPr>
            <w:tcW w:w="2282" w:type="pct"/>
            <w:tcBorders>
              <w:top w:val="outset" w:sz="6" w:space="0" w:color="auto"/>
              <w:left w:val="outset" w:sz="6" w:space="0" w:color="auto"/>
              <w:bottom w:val="outset" w:sz="6" w:space="0" w:color="auto"/>
              <w:right w:val="outset" w:sz="6" w:space="0" w:color="auto"/>
            </w:tcBorders>
            <w:hideMark/>
          </w:tcPr>
          <w:p w14:paraId="6349C5C7" w14:textId="77777777" w:rsidR="00563ABC" w:rsidRPr="00E33ED2" w:rsidRDefault="00563ABC" w:rsidP="00563ABC">
            <w:pPr>
              <w:widowControl w:val="0"/>
              <w:tabs>
                <w:tab w:val="clear" w:pos="567"/>
              </w:tabs>
              <w:spacing w:line="240" w:lineRule="auto"/>
              <w:rPr>
                <w:spacing w:val="4"/>
                <w:szCs w:val="22"/>
                <w:lang w:val="sr-Latn-ME" w:eastAsia="hu-HU"/>
              </w:rPr>
            </w:pPr>
            <w:r w:rsidRPr="00E33ED2">
              <w:rPr>
                <w:b/>
                <w:bCs/>
                <w:szCs w:val="22"/>
                <w:lang w:val="sr-Latn-ME"/>
              </w:rPr>
              <w:t>Neželjena dejstva</w:t>
            </w:r>
          </w:p>
        </w:tc>
        <w:tc>
          <w:tcPr>
            <w:tcW w:w="1000" w:type="pct"/>
            <w:tcBorders>
              <w:top w:val="outset" w:sz="6" w:space="0" w:color="auto"/>
              <w:left w:val="outset" w:sz="6" w:space="0" w:color="auto"/>
              <w:bottom w:val="outset" w:sz="6" w:space="0" w:color="auto"/>
              <w:right w:val="outset" w:sz="6" w:space="0" w:color="auto"/>
            </w:tcBorders>
            <w:hideMark/>
          </w:tcPr>
          <w:p w14:paraId="203551F7" w14:textId="77777777" w:rsidR="00563ABC" w:rsidRPr="00E33ED2" w:rsidRDefault="00563ABC" w:rsidP="00563ABC">
            <w:pPr>
              <w:widowControl w:val="0"/>
              <w:tabs>
                <w:tab w:val="clear" w:pos="567"/>
              </w:tabs>
              <w:spacing w:line="240" w:lineRule="auto"/>
              <w:rPr>
                <w:spacing w:val="4"/>
                <w:szCs w:val="22"/>
                <w:lang w:val="sr-Latn-ME" w:eastAsia="hu-HU"/>
              </w:rPr>
            </w:pPr>
            <w:r w:rsidRPr="00E33ED2">
              <w:rPr>
                <w:b/>
                <w:bCs/>
                <w:spacing w:val="4"/>
                <w:szCs w:val="22"/>
                <w:lang w:val="sr-Latn-ME" w:eastAsia="hu-HU"/>
              </w:rPr>
              <w:t>Učestalost</w:t>
            </w:r>
          </w:p>
        </w:tc>
      </w:tr>
      <w:tr w:rsidR="00660900" w:rsidRPr="00E33ED2" w14:paraId="15B8ED37" w14:textId="77777777" w:rsidTr="00660900">
        <w:tc>
          <w:tcPr>
            <w:tcW w:w="1718" w:type="pct"/>
            <w:vMerge w:val="restart"/>
            <w:tcBorders>
              <w:top w:val="outset" w:sz="6" w:space="0" w:color="auto"/>
              <w:left w:val="outset" w:sz="6" w:space="0" w:color="auto"/>
              <w:bottom w:val="outset" w:sz="6" w:space="0" w:color="auto"/>
              <w:right w:val="outset" w:sz="6" w:space="0" w:color="auto"/>
            </w:tcBorders>
            <w:hideMark/>
          </w:tcPr>
          <w:p w14:paraId="7498A42C" w14:textId="77777777" w:rsidR="00660900" w:rsidRPr="00E33ED2" w:rsidRDefault="00660900" w:rsidP="00563ABC">
            <w:pPr>
              <w:widowControl w:val="0"/>
              <w:tabs>
                <w:tab w:val="clear" w:pos="567"/>
              </w:tabs>
              <w:spacing w:line="240" w:lineRule="auto"/>
              <w:rPr>
                <w:spacing w:val="4"/>
                <w:szCs w:val="22"/>
                <w:lang w:val="sr-Latn-ME" w:eastAsia="hu-HU"/>
              </w:rPr>
            </w:pPr>
            <w:r w:rsidRPr="00E33ED2">
              <w:rPr>
                <w:b/>
                <w:bCs/>
                <w:szCs w:val="22"/>
                <w:lang w:val="sr-Latn-ME" w:eastAsia="sl-SI"/>
              </w:rPr>
              <w:t xml:space="preserve">Poremećaji krvi i limfnog </w:t>
            </w:r>
            <w:r w:rsidR="00563ABC" w:rsidRPr="00E33ED2">
              <w:rPr>
                <w:b/>
                <w:bCs/>
                <w:szCs w:val="22"/>
                <w:lang w:val="sr-Latn-ME" w:eastAsia="sl-SI"/>
              </w:rPr>
              <w:t>sistema</w:t>
            </w:r>
          </w:p>
        </w:tc>
        <w:tc>
          <w:tcPr>
            <w:tcW w:w="2282" w:type="pct"/>
            <w:tcBorders>
              <w:top w:val="outset" w:sz="6" w:space="0" w:color="auto"/>
              <w:left w:val="outset" w:sz="6" w:space="0" w:color="auto"/>
              <w:bottom w:val="outset" w:sz="6" w:space="0" w:color="auto"/>
              <w:right w:val="outset" w:sz="6" w:space="0" w:color="auto"/>
            </w:tcBorders>
            <w:hideMark/>
          </w:tcPr>
          <w:p w14:paraId="1EDF15A3"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Eozinofilija</w:t>
            </w:r>
          </w:p>
        </w:tc>
        <w:tc>
          <w:tcPr>
            <w:tcW w:w="1000" w:type="pct"/>
            <w:tcBorders>
              <w:top w:val="outset" w:sz="6" w:space="0" w:color="auto"/>
              <w:left w:val="outset" w:sz="6" w:space="0" w:color="auto"/>
              <w:bottom w:val="outset" w:sz="6" w:space="0" w:color="auto"/>
              <w:right w:val="outset" w:sz="6" w:space="0" w:color="auto"/>
            </w:tcBorders>
            <w:hideMark/>
          </w:tcPr>
          <w:p w14:paraId="6F4DC62F" w14:textId="43F748EB" w:rsidR="00660900" w:rsidRPr="00E33ED2" w:rsidRDefault="00FF6925" w:rsidP="00660900">
            <w:pPr>
              <w:widowControl w:val="0"/>
              <w:tabs>
                <w:tab w:val="clear" w:pos="567"/>
              </w:tabs>
              <w:spacing w:line="240" w:lineRule="auto"/>
              <w:rPr>
                <w:spacing w:val="4"/>
                <w:szCs w:val="22"/>
                <w:lang w:val="sr-Latn-ME" w:eastAsia="hu-HU"/>
              </w:rPr>
            </w:pPr>
            <w:r w:rsidRPr="00E33ED2">
              <w:rPr>
                <w:spacing w:val="4"/>
                <w:szCs w:val="22"/>
                <w:lang w:val="sr-Latn-ME" w:eastAsia="hu-HU"/>
              </w:rPr>
              <w:t>Povremeno</w:t>
            </w:r>
            <w:r w:rsidR="00660900" w:rsidRPr="00E33ED2">
              <w:rPr>
                <w:spacing w:val="4"/>
                <w:szCs w:val="22"/>
                <w:lang w:val="sr-Latn-ME" w:eastAsia="hu-HU"/>
              </w:rPr>
              <w:t>*</w:t>
            </w:r>
          </w:p>
        </w:tc>
      </w:tr>
      <w:tr w:rsidR="00660900" w:rsidRPr="00E33ED2" w14:paraId="187A507B"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72711F6F"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78CFD7F6"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Agranulocitoza ili pancitopenija</w:t>
            </w:r>
          </w:p>
        </w:tc>
        <w:tc>
          <w:tcPr>
            <w:tcW w:w="1000" w:type="pct"/>
            <w:tcBorders>
              <w:top w:val="outset" w:sz="6" w:space="0" w:color="auto"/>
              <w:left w:val="outset" w:sz="6" w:space="0" w:color="auto"/>
              <w:bottom w:val="outset" w:sz="6" w:space="0" w:color="auto"/>
              <w:right w:val="outset" w:sz="6" w:space="0" w:color="auto"/>
            </w:tcBorders>
            <w:hideMark/>
          </w:tcPr>
          <w:p w14:paraId="589CF545" w14:textId="77777777" w:rsidR="00660900" w:rsidRPr="00E33ED2" w:rsidRDefault="00563ABC" w:rsidP="00660900">
            <w:pPr>
              <w:widowControl w:val="0"/>
              <w:tabs>
                <w:tab w:val="clear" w:pos="567"/>
              </w:tabs>
              <w:spacing w:line="240" w:lineRule="auto"/>
              <w:rPr>
                <w:spacing w:val="4"/>
                <w:szCs w:val="22"/>
                <w:lang w:val="sr-Latn-ME" w:eastAsia="hu-HU"/>
              </w:rPr>
            </w:pPr>
            <w:r w:rsidRPr="00E33ED2">
              <w:rPr>
                <w:szCs w:val="22"/>
                <w:lang w:val="sr-Latn-ME" w:eastAsia="sl-SI"/>
              </w:rPr>
              <w:t>Veoma</w:t>
            </w:r>
            <w:r w:rsidR="00660900" w:rsidRPr="00E33ED2">
              <w:rPr>
                <w:szCs w:val="22"/>
                <w:lang w:val="sr-Latn-ME" w:eastAsia="sl-SI"/>
              </w:rPr>
              <w:t xml:space="preserve"> rijetko</w:t>
            </w:r>
          </w:p>
        </w:tc>
      </w:tr>
      <w:tr w:rsidR="00660900" w:rsidRPr="00E33ED2" w14:paraId="4782A3A7"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276E2E31"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48EEC76C"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Snižena vrijednost hemoglobina i snižena vrijednost hematokrita</w:t>
            </w:r>
          </w:p>
        </w:tc>
        <w:tc>
          <w:tcPr>
            <w:tcW w:w="1000" w:type="pct"/>
            <w:tcBorders>
              <w:top w:val="outset" w:sz="6" w:space="0" w:color="auto"/>
              <w:left w:val="outset" w:sz="6" w:space="0" w:color="auto"/>
              <w:bottom w:val="outset" w:sz="6" w:space="0" w:color="auto"/>
              <w:right w:val="outset" w:sz="6" w:space="0" w:color="auto"/>
            </w:tcBorders>
            <w:hideMark/>
          </w:tcPr>
          <w:p w14:paraId="0B6547DD" w14:textId="77777777" w:rsidR="00660900" w:rsidRPr="00E33ED2" w:rsidRDefault="00563ABC" w:rsidP="00660900">
            <w:pPr>
              <w:widowControl w:val="0"/>
              <w:tabs>
                <w:tab w:val="clear" w:pos="567"/>
              </w:tabs>
              <w:spacing w:line="240" w:lineRule="auto"/>
              <w:rPr>
                <w:spacing w:val="4"/>
                <w:szCs w:val="22"/>
                <w:lang w:val="sr-Latn-ME" w:eastAsia="hu-HU"/>
              </w:rPr>
            </w:pPr>
            <w:r w:rsidRPr="00E33ED2">
              <w:rPr>
                <w:szCs w:val="22"/>
                <w:lang w:val="sr-Latn-ME" w:eastAsia="sl-SI"/>
              </w:rPr>
              <w:t>Veoma</w:t>
            </w:r>
            <w:r w:rsidR="00660900" w:rsidRPr="00E33ED2">
              <w:rPr>
                <w:szCs w:val="22"/>
                <w:lang w:val="sr-Latn-ME" w:eastAsia="sl-SI"/>
              </w:rPr>
              <w:t xml:space="preserve"> rijetko</w:t>
            </w:r>
          </w:p>
        </w:tc>
      </w:tr>
      <w:tr w:rsidR="00660900" w:rsidRPr="00E33ED2" w14:paraId="32B904B7"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79CD2A9C"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4EE8A6EB"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Leukopenija/neutropenija</w:t>
            </w:r>
          </w:p>
        </w:tc>
        <w:tc>
          <w:tcPr>
            <w:tcW w:w="1000" w:type="pct"/>
            <w:tcBorders>
              <w:top w:val="outset" w:sz="6" w:space="0" w:color="auto"/>
              <w:left w:val="outset" w:sz="6" w:space="0" w:color="auto"/>
              <w:bottom w:val="outset" w:sz="6" w:space="0" w:color="auto"/>
              <w:right w:val="outset" w:sz="6" w:space="0" w:color="auto"/>
            </w:tcBorders>
            <w:hideMark/>
          </w:tcPr>
          <w:p w14:paraId="4E587623" w14:textId="77777777" w:rsidR="00660900" w:rsidRPr="00E33ED2" w:rsidRDefault="00563ABC" w:rsidP="00660900">
            <w:pPr>
              <w:widowControl w:val="0"/>
              <w:tabs>
                <w:tab w:val="clear" w:pos="567"/>
              </w:tabs>
              <w:spacing w:line="240" w:lineRule="auto"/>
              <w:rPr>
                <w:spacing w:val="4"/>
                <w:szCs w:val="22"/>
                <w:lang w:val="sr-Latn-ME" w:eastAsia="hu-HU"/>
              </w:rPr>
            </w:pPr>
            <w:r w:rsidRPr="00E33ED2">
              <w:rPr>
                <w:szCs w:val="22"/>
                <w:lang w:val="sr-Latn-ME" w:eastAsia="sl-SI"/>
              </w:rPr>
              <w:t>Veoma</w:t>
            </w:r>
            <w:r w:rsidR="00660900" w:rsidRPr="00E33ED2">
              <w:rPr>
                <w:szCs w:val="22"/>
                <w:lang w:val="sr-Latn-ME" w:eastAsia="sl-SI"/>
              </w:rPr>
              <w:t xml:space="preserve"> rijetko</w:t>
            </w:r>
          </w:p>
        </w:tc>
      </w:tr>
      <w:tr w:rsidR="00660900" w:rsidRPr="00E33ED2" w14:paraId="420D7B1C"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7EF6BED0"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5B0325B3" w14:textId="4149F658" w:rsidR="00660900" w:rsidRPr="00E33ED2" w:rsidRDefault="00660900" w:rsidP="00FF6925">
            <w:pPr>
              <w:widowControl w:val="0"/>
              <w:tabs>
                <w:tab w:val="clear" w:pos="567"/>
              </w:tabs>
              <w:spacing w:line="240" w:lineRule="auto"/>
              <w:rPr>
                <w:spacing w:val="4"/>
                <w:szCs w:val="22"/>
                <w:lang w:val="sr-Latn-ME" w:eastAsia="hu-HU"/>
              </w:rPr>
            </w:pPr>
            <w:r w:rsidRPr="00E33ED2">
              <w:rPr>
                <w:szCs w:val="22"/>
                <w:lang w:val="sr-Latn-ME" w:eastAsia="sl-SI"/>
              </w:rPr>
              <w:t xml:space="preserve">Hemolitična anemija </w:t>
            </w:r>
            <w:r w:rsidR="00FF6925" w:rsidRPr="00E33ED2">
              <w:rPr>
                <w:szCs w:val="22"/>
                <w:lang w:val="sr-Latn-ME" w:eastAsia="sl-SI"/>
              </w:rPr>
              <w:t>kod</w:t>
            </w:r>
            <w:r w:rsidRPr="00E33ED2">
              <w:rPr>
                <w:szCs w:val="22"/>
                <w:lang w:val="sr-Latn-ME" w:eastAsia="sl-SI"/>
              </w:rPr>
              <w:t xml:space="preserve"> </w:t>
            </w:r>
            <w:r w:rsidR="00FF6925" w:rsidRPr="00E33ED2">
              <w:rPr>
                <w:szCs w:val="22"/>
                <w:lang w:val="sr-Latn-ME" w:eastAsia="sl-SI"/>
              </w:rPr>
              <w:t xml:space="preserve">pacijenata </w:t>
            </w:r>
            <w:r w:rsidRPr="00E33ED2">
              <w:rPr>
                <w:szCs w:val="22"/>
                <w:lang w:val="sr-Latn-ME" w:eastAsia="sl-SI"/>
              </w:rPr>
              <w:t>s nasljednim nedostatkom G-6PDH (vidjeti dio 4.4)</w:t>
            </w:r>
          </w:p>
        </w:tc>
        <w:tc>
          <w:tcPr>
            <w:tcW w:w="1000" w:type="pct"/>
            <w:tcBorders>
              <w:top w:val="outset" w:sz="6" w:space="0" w:color="auto"/>
              <w:left w:val="outset" w:sz="6" w:space="0" w:color="auto"/>
              <w:bottom w:val="outset" w:sz="6" w:space="0" w:color="auto"/>
              <w:right w:val="outset" w:sz="6" w:space="0" w:color="auto"/>
            </w:tcBorders>
            <w:hideMark/>
          </w:tcPr>
          <w:p w14:paraId="22CA32D9" w14:textId="77777777" w:rsidR="00660900" w:rsidRPr="00E33ED2" w:rsidRDefault="00563ABC" w:rsidP="00660900">
            <w:pPr>
              <w:widowControl w:val="0"/>
              <w:tabs>
                <w:tab w:val="clear" w:pos="567"/>
              </w:tabs>
              <w:spacing w:line="240" w:lineRule="auto"/>
              <w:rPr>
                <w:spacing w:val="4"/>
                <w:szCs w:val="22"/>
                <w:lang w:val="sr-Latn-ME" w:eastAsia="hu-HU"/>
              </w:rPr>
            </w:pPr>
            <w:r w:rsidRPr="00E33ED2">
              <w:rPr>
                <w:szCs w:val="22"/>
                <w:lang w:val="sr-Latn-ME" w:eastAsia="sl-SI"/>
              </w:rPr>
              <w:t>Veoma</w:t>
            </w:r>
            <w:r w:rsidR="00660900" w:rsidRPr="00E33ED2">
              <w:rPr>
                <w:szCs w:val="22"/>
                <w:lang w:val="sr-Latn-ME" w:eastAsia="sl-SI"/>
              </w:rPr>
              <w:t xml:space="preserve"> rijetko</w:t>
            </w:r>
          </w:p>
        </w:tc>
      </w:tr>
      <w:tr w:rsidR="00660900" w:rsidRPr="00E33ED2" w14:paraId="5B25D155"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1A38B791"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0CE6F9B7"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Trombocitopenija</w:t>
            </w:r>
          </w:p>
        </w:tc>
        <w:tc>
          <w:tcPr>
            <w:tcW w:w="1000" w:type="pct"/>
            <w:tcBorders>
              <w:top w:val="outset" w:sz="6" w:space="0" w:color="auto"/>
              <w:left w:val="outset" w:sz="6" w:space="0" w:color="auto"/>
              <w:bottom w:val="outset" w:sz="6" w:space="0" w:color="auto"/>
              <w:right w:val="outset" w:sz="6" w:space="0" w:color="auto"/>
            </w:tcBorders>
            <w:hideMark/>
          </w:tcPr>
          <w:p w14:paraId="14069243" w14:textId="77777777" w:rsidR="00660900" w:rsidRPr="00E33ED2" w:rsidRDefault="00563ABC" w:rsidP="00660900">
            <w:pPr>
              <w:widowControl w:val="0"/>
              <w:tabs>
                <w:tab w:val="clear" w:pos="567"/>
              </w:tabs>
              <w:spacing w:line="240" w:lineRule="auto"/>
              <w:rPr>
                <w:spacing w:val="4"/>
                <w:szCs w:val="22"/>
                <w:lang w:val="sr-Latn-ME" w:eastAsia="hu-HU"/>
              </w:rPr>
            </w:pPr>
            <w:r w:rsidRPr="00E33ED2">
              <w:rPr>
                <w:szCs w:val="22"/>
                <w:lang w:val="sr-Latn-ME" w:eastAsia="sl-SI"/>
              </w:rPr>
              <w:t>Veoma</w:t>
            </w:r>
            <w:r w:rsidR="00660900" w:rsidRPr="00E33ED2">
              <w:rPr>
                <w:szCs w:val="22"/>
                <w:lang w:val="sr-Latn-ME" w:eastAsia="sl-SI"/>
              </w:rPr>
              <w:t xml:space="preserve"> rijetko</w:t>
            </w:r>
          </w:p>
        </w:tc>
      </w:tr>
      <w:tr w:rsidR="00660900" w:rsidRPr="00E33ED2" w14:paraId="01FC5F31" w14:textId="77777777" w:rsidTr="00660900">
        <w:trPr>
          <w:trHeight w:val="591"/>
        </w:trPr>
        <w:tc>
          <w:tcPr>
            <w:tcW w:w="1718" w:type="pct"/>
            <w:tcBorders>
              <w:top w:val="outset" w:sz="6" w:space="0" w:color="auto"/>
              <w:left w:val="outset" w:sz="6" w:space="0" w:color="auto"/>
              <w:bottom w:val="outset" w:sz="6" w:space="0" w:color="auto"/>
              <w:right w:val="outset" w:sz="6" w:space="0" w:color="auto"/>
            </w:tcBorders>
          </w:tcPr>
          <w:p w14:paraId="54DC7E2C" w14:textId="77777777" w:rsidR="00660900" w:rsidRPr="00E33ED2" w:rsidRDefault="00660900" w:rsidP="00660900">
            <w:pPr>
              <w:widowControl w:val="0"/>
              <w:tabs>
                <w:tab w:val="clear" w:pos="567"/>
              </w:tabs>
              <w:spacing w:line="240" w:lineRule="auto"/>
              <w:rPr>
                <w:b/>
                <w:spacing w:val="4"/>
                <w:szCs w:val="22"/>
                <w:lang w:val="sr-Latn-ME" w:eastAsia="hu-HU"/>
              </w:rPr>
            </w:pPr>
            <w:r w:rsidRPr="00E33ED2">
              <w:rPr>
                <w:b/>
                <w:spacing w:val="4"/>
                <w:szCs w:val="22"/>
                <w:lang w:val="sr-Latn-ME" w:eastAsia="hu-HU"/>
              </w:rPr>
              <w:t>Endokrini poremećaji</w:t>
            </w:r>
          </w:p>
        </w:tc>
        <w:tc>
          <w:tcPr>
            <w:tcW w:w="2282" w:type="pct"/>
            <w:tcBorders>
              <w:top w:val="outset" w:sz="6" w:space="0" w:color="auto"/>
              <w:left w:val="outset" w:sz="6" w:space="0" w:color="auto"/>
              <w:bottom w:val="outset" w:sz="6" w:space="0" w:color="auto"/>
              <w:right w:val="outset" w:sz="6" w:space="0" w:color="auto"/>
            </w:tcBorders>
          </w:tcPr>
          <w:p w14:paraId="29E14516" w14:textId="77777777" w:rsidR="00660900" w:rsidRPr="00E33ED2" w:rsidRDefault="00660900" w:rsidP="00660900">
            <w:pPr>
              <w:widowControl w:val="0"/>
              <w:tabs>
                <w:tab w:val="clear" w:pos="567"/>
              </w:tabs>
              <w:spacing w:line="240" w:lineRule="auto"/>
              <w:rPr>
                <w:szCs w:val="22"/>
                <w:shd w:val="clear" w:color="auto" w:fill="FFFFFF"/>
                <w:lang w:val="sr-Latn-ME" w:eastAsia="sl-SI"/>
              </w:rPr>
            </w:pPr>
            <w:r w:rsidRPr="00E33ED2">
              <w:rPr>
                <w:szCs w:val="22"/>
                <w:shd w:val="clear" w:color="auto" w:fill="FFFFFF"/>
                <w:lang w:val="sr-Latn-ME" w:eastAsia="sl-SI"/>
              </w:rPr>
              <w:t xml:space="preserve">Sindrom </w:t>
            </w:r>
            <w:r w:rsidR="00563ABC" w:rsidRPr="00E33ED2">
              <w:rPr>
                <w:szCs w:val="22"/>
                <w:shd w:val="clear" w:color="auto" w:fill="FFFFFF"/>
                <w:lang w:val="sr-Latn-ME"/>
              </w:rPr>
              <w:t xml:space="preserve">neadekvatnog </w:t>
            </w:r>
            <w:r w:rsidRPr="00E33ED2">
              <w:rPr>
                <w:szCs w:val="22"/>
                <w:shd w:val="clear" w:color="auto" w:fill="FFFFFF"/>
                <w:lang w:val="sr-Latn-ME" w:eastAsia="sl-SI"/>
              </w:rPr>
              <w:t>lučenja antidiuretskog hormona (SIADH)</w:t>
            </w:r>
          </w:p>
        </w:tc>
        <w:tc>
          <w:tcPr>
            <w:tcW w:w="1000" w:type="pct"/>
            <w:tcBorders>
              <w:top w:val="outset" w:sz="6" w:space="0" w:color="auto"/>
              <w:left w:val="outset" w:sz="6" w:space="0" w:color="auto"/>
              <w:bottom w:val="outset" w:sz="6" w:space="0" w:color="auto"/>
              <w:right w:val="outset" w:sz="6" w:space="0" w:color="auto"/>
            </w:tcBorders>
          </w:tcPr>
          <w:p w14:paraId="4224346F"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pacing w:val="4"/>
                <w:szCs w:val="22"/>
                <w:lang w:val="sr-Latn-ME" w:eastAsia="hu-HU"/>
              </w:rPr>
              <w:t>Rijetko</w:t>
            </w:r>
          </w:p>
        </w:tc>
      </w:tr>
      <w:tr w:rsidR="00660900" w:rsidRPr="00E33ED2" w14:paraId="01973F7E" w14:textId="77777777" w:rsidTr="00660900">
        <w:tc>
          <w:tcPr>
            <w:tcW w:w="1718" w:type="pct"/>
            <w:vMerge w:val="restart"/>
            <w:tcBorders>
              <w:top w:val="outset" w:sz="6" w:space="0" w:color="auto"/>
              <w:left w:val="outset" w:sz="6" w:space="0" w:color="auto"/>
              <w:bottom w:val="outset" w:sz="6" w:space="0" w:color="auto"/>
              <w:right w:val="outset" w:sz="6" w:space="0" w:color="auto"/>
            </w:tcBorders>
            <w:hideMark/>
          </w:tcPr>
          <w:p w14:paraId="49DC9E9C"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b/>
                <w:spacing w:val="4"/>
                <w:szCs w:val="22"/>
                <w:lang w:val="sr-Latn-ME" w:eastAsia="sl-SI"/>
              </w:rPr>
              <w:t>Poremećaji metabolizma i prehrane</w:t>
            </w:r>
          </w:p>
        </w:tc>
        <w:tc>
          <w:tcPr>
            <w:tcW w:w="2282" w:type="pct"/>
            <w:tcBorders>
              <w:top w:val="outset" w:sz="6" w:space="0" w:color="auto"/>
              <w:left w:val="outset" w:sz="6" w:space="0" w:color="auto"/>
              <w:bottom w:val="outset" w:sz="6" w:space="0" w:color="auto"/>
              <w:right w:val="outset" w:sz="6" w:space="0" w:color="auto"/>
            </w:tcBorders>
            <w:hideMark/>
          </w:tcPr>
          <w:p w14:paraId="2FBDAF47" w14:textId="4D7C669C"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Hipoglikemija (vidjeti djelove 4.4 i 4.5)</w:t>
            </w:r>
          </w:p>
        </w:tc>
        <w:tc>
          <w:tcPr>
            <w:tcW w:w="1000" w:type="pct"/>
            <w:tcBorders>
              <w:top w:val="outset" w:sz="6" w:space="0" w:color="auto"/>
              <w:left w:val="outset" w:sz="6" w:space="0" w:color="auto"/>
              <w:bottom w:val="outset" w:sz="6" w:space="0" w:color="auto"/>
              <w:right w:val="outset" w:sz="6" w:space="0" w:color="auto"/>
            </w:tcBorders>
            <w:hideMark/>
          </w:tcPr>
          <w:p w14:paraId="1AF9F0CA" w14:textId="38794F68" w:rsidR="00660900" w:rsidRPr="00E33ED2" w:rsidRDefault="00FF6925" w:rsidP="00660900">
            <w:pPr>
              <w:widowControl w:val="0"/>
              <w:tabs>
                <w:tab w:val="clear" w:pos="567"/>
              </w:tabs>
              <w:spacing w:line="240" w:lineRule="auto"/>
              <w:rPr>
                <w:spacing w:val="4"/>
                <w:szCs w:val="22"/>
                <w:lang w:val="sr-Latn-ME" w:eastAsia="hu-HU"/>
              </w:rPr>
            </w:pPr>
            <w:r w:rsidRPr="00E33ED2">
              <w:rPr>
                <w:spacing w:val="4"/>
                <w:szCs w:val="22"/>
                <w:lang w:val="sr-Latn-ME" w:eastAsia="hu-HU"/>
              </w:rPr>
              <w:t>Povremeno</w:t>
            </w:r>
            <w:r w:rsidR="00660900" w:rsidRPr="00E33ED2">
              <w:rPr>
                <w:szCs w:val="22"/>
                <w:lang w:val="sr-Latn-ME" w:eastAsia="sl-SI"/>
              </w:rPr>
              <w:t>*</w:t>
            </w:r>
          </w:p>
        </w:tc>
      </w:tr>
      <w:tr w:rsidR="00660900" w:rsidRPr="00E33ED2" w14:paraId="3B247BE5" w14:textId="77777777" w:rsidTr="00660900">
        <w:tc>
          <w:tcPr>
            <w:tcW w:w="1718" w:type="pct"/>
            <w:vMerge/>
            <w:tcBorders>
              <w:top w:val="outset" w:sz="6" w:space="0" w:color="auto"/>
              <w:left w:val="outset" w:sz="6" w:space="0" w:color="auto"/>
              <w:bottom w:val="outset" w:sz="6" w:space="0" w:color="auto"/>
              <w:right w:val="outset" w:sz="6" w:space="0" w:color="auto"/>
            </w:tcBorders>
            <w:hideMark/>
          </w:tcPr>
          <w:p w14:paraId="226B6A8A"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0DE2F898"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Hiperkalijemija, koja je reverzibilna nakon prekida liječenja (vidjeti dio 4.4)</w:t>
            </w:r>
          </w:p>
        </w:tc>
        <w:tc>
          <w:tcPr>
            <w:tcW w:w="1000" w:type="pct"/>
            <w:tcBorders>
              <w:top w:val="outset" w:sz="6" w:space="0" w:color="auto"/>
              <w:left w:val="outset" w:sz="6" w:space="0" w:color="auto"/>
              <w:bottom w:val="outset" w:sz="6" w:space="0" w:color="auto"/>
              <w:right w:val="outset" w:sz="6" w:space="0" w:color="auto"/>
            </w:tcBorders>
            <w:hideMark/>
          </w:tcPr>
          <w:p w14:paraId="576790A2" w14:textId="20E80F5E" w:rsidR="00660900" w:rsidRPr="00E33ED2" w:rsidRDefault="00FF6925" w:rsidP="00660900">
            <w:pPr>
              <w:widowControl w:val="0"/>
              <w:tabs>
                <w:tab w:val="clear" w:pos="567"/>
              </w:tabs>
              <w:spacing w:line="240" w:lineRule="auto"/>
              <w:rPr>
                <w:spacing w:val="4"/>
                <w:szCs w:val="22"/>
                <w:lang w:val="sr-Latn-ME" w:eastAsia="hu-HU"/>
              </w:rPr>
            </w:pPr>
            <w:r w:rsidRPr="00E33ED2">
              <w:rPr>
                <w:spacing w:val="4"/>
                <w:szCs w:val="22"/>
                <w:lang w:val="sr-Latn-ME" w:eastAsia="hu-HU"/>
              </w:rPr>
              <w:t>Povremeno</w:t>
            </w:r>
            <w:r w:rsidR="00660900" w:rsidRPr="00E33ED2">
              <w:rPr>
                <w:szCs w:val="22"/>
                <w:lang w:val="sr-Latn-ME" w:eastAsia="sl-SI"/>
              </w:rPr>
              <w:t>*</w:t>
            </w:r>
          </w:p>
        </w:tc>
      </w:tr>
      <w:tr w:rsidR="00660900" w:rsidRPr="00E33ED2" w14:paraId="399F8AF9" w14:textId="77777777" w:rsidTr="00660900">
        <w:tc>
          <w:tcPr>
            <w:tcW w:w="1718" w:type="pct"/>
            <w:vMerge/>
            <w:tcBorders>
              <w:top w:val="outset" w:sz="6" w:space="0" w:color="auto"/>
              <w:left w:val="outset" w:sz="6" w:space="0" w:color="auto"/>
              <w:bottom w:val="outset" w:sz="6" w:space="0" w:color="auto"/>
              <w:right w:val="outset" w:sz="6" w:space="0" w:color="auto"/>
            </w:tcBorders>
            <w:hideMark/>
          </w:tcPr>
          <w:p w14:paraId="01B1C4AE"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1BD2FB70"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Hiponatrijemija</w:t>
            </w:r>
          </w:p>
        </w:tc>
        <w:tc>
          <w:tcPr>
            <w:tcW w:w="1000" w:type="pct"/>
            <w:tcBorders>
              <w:top w:val="outset" w:sz="6" w:space="0" w:color="auto"/>
              <w:left w:val="outset" w:sz="6" w:space="0" w:color="auto"/>
              <w:bottom w:val="outset" w:sz="6" w:space="0" w:color="auto"/>
              <w:right w:val="outset" w:sz="6" w:space="0" w:color="auto"/>
            </w:tcBorders>
            <w:hideMark/>
          </w:tcPr>
          <w:p w14:paraId="0804C252" w14:textId="01A240AD" w:rsidR="00660900" w:rsidRPr="00E33ED2" w:rsidRDefault="00FF6925" w:rsidP="00660900">
            <w:pPr>
              <w:widowControl w:val="0"/>
              <w:tabs>
                <w:tab w:val="clear" w:pos="567"/>
              </w:tabs>
              <w:spacing w:line="240" w:lineRule="auto"/>
              <w:rPr>
                <w:spacing w:val="4"/>
                <w:szCs w:val="22"/>
                <w:lang w:val="sr-Latn-ME" w:eastAsia="hu-HU"/>
              </w:rPr>
            </w:pPr>
            <w:r w:rsidRPr="00E33ED2">
              <w:rPr>
                <w:spacing w:val="4"/>
                <w:szCs w:val="22"/>
                <w:lang w:val="sr-Latn-ME" w:eastAsia="hu-HU"/>
              </w:rPr>
              <w:t>Povremeno</w:t>
            </w:r>
            <w:r w:rsidR="00660900" w:rsidRPr="00E33ED2">
              <w:rPr>
                <w:szCs w:val="22"/>
                <w:lang w:val="sr-Latn-ME" w:eastAsia="sl-SI"/>
              </w:rPr>
              <w:t>*</w:t>
            </w:r>
          </w:p>
        </w:tc>
      </w:tr>
      <w:tr w:rsidR="00660900" w:rsidRPr="00E33ED2" w14:paraId="0E3E4B43" w14:textId="77777777" w:rsidTr="00660900">
        <w:tc>
          <w:tcPr>
            <w:tcW w:w="1718" w:type="pct"/>
            <w:vMerge w:val="restart"/>
            <w:tcBorders>
              <w:top w:val="outset" w:sz="6" w:space="0" w:color="auto"/>
              <w:left w:val="outset" w:sz="6" w:space="0" w:color="auto"/>
              <w:right w:val="outset" w:sz="6" w:space="0" w:color="auto"/>
            </w:tcBorders>
            <w:hideMark/>
          </w:tcPr>
          <w:p w14:paraId="38A33B5D"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b/>
                <w:bCs/>
                <w:iCs/>
                <w:szCs w:val="22"/>
                <w:lang w:val="sr-Latn-ME"/>
              </w:rPr>
              <w:t>Psihijatrijski poremećaji</w:t>
            </w:r>
          </w:p>
        </w:tc>
        <w:tc>
          <w:tcPr>
            <w:tcW w:w="2282" w:type="pct"/>
            <w:tcBorders>
              <w:top w:val="outset" w:sz="6" w:space="0" w:color="auto"/>
              <w:left w:val="outset" w:sz="6" w:space="0" w:color="auto"/>
              <w:bottom w:val="outset" w:sz="6" w:space="0" w:color="auto"/>
              <w:right w:val="outset" w:sz="6" w:space="0" w:color="auto"/>
            </w:tcBorders>
            <w:hideMark/>
          </w:tcPr>
          <w:p w14:paraId="69292E82"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Poremećaji raspoloženja</w:t>
            </w:r>
          </w:p>
        </w:tc>
        <w:tc>
          <w:tcPr>
            <w:tcW w:w="1000" w:type="pct"/>
            <w:tcBorders>
              <w:top w:val="outset" w:sz="6" w:space="0" w:color="auto"/>
              <w:left w:val="outset" w:sz="6" w:space="0" w:color="auto"/>
              <w:bottom w:val="outset" w:sz="6" w:space="0" w:color="auto"/>
              <w:right w:val="outset" w:sz="6" w:space="0" w:color="auto"/>
            </w:tcBorders>
            <w:hideMark/>
          </w:tcPr>
          <w:p w14:paraId="6BEA1541" w14:textId="4897D0D0" w:rsidR="00660900" w:rsidRPr="00E33ED2" w:rsidRDefault="00FF6925" w:rsidP="00660900">
            <w:pPr>
              <w:widowControl w:val="0"/>
              <w:tabs>
                <w:tab w:val="clear" w:pos="567"/>
              </w:tabs>
              <w:spacing w:line="240" w:lineRule="auto"/>
              <w:rPr>
                <w:spacing w:val="4"/>
                <w:szCs w:val="22"/>
                <w:lang w:val="sr-Latn-ME" w:eastAsia="hu-HU"/>
              </w:rPr>
            </w:pPr>
            <w:r w:rsidRPr="00E33ED2">
              <w:rPr>
                <w:spacing w:val="4"/>
                <w:szCs w:val="22"/>
                <w:lang w:val="sr-Latn-ME" w:eastAsia="hu-HU"/>
              </w:rPr>
              <w:t>Povremeno</w:t>
            </w:r>
          </w:p>
        </w:tc>
      </w:tr>
      <w:tr w:rsidR="00660900" w:rsidRPr="00E33ED2" w14:paraId="78A2DB7F" w14:textId="77777777" w:rsidTr="00660900">
        <w:tc>
          <w:tcPr>
            <w:tcW w:w="1718" w:type="pct"/>
            <w:vMerge/>
            <w:tcBorders>
              <w:left w:val="outset" w:sz="6" w:space="0" w:color="auto"/>
              <w:right w:val="outset" w:sz="6" w:space="0" w:color="auto"/>
            </w:tcBorders>
            <w:vAlign w:val="center"/>
            <w:hideMark/>
          </w:tcPr>
          <w:p w14:paraId="06DA0B81"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75F8163F"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Poremećaji sna</w:t>
            </w:r>
          </w:p>
        </w:tc>
        <w:tc>
          <w:tcPr>
            <w:tcW w:w="1000" w:type="pct"/>
            <w:tcBorders>
              <w:top w:val="outset" w:sz="6" w:space="0" w:color="auto"/>
              <w:left w:val="outset" w:sz="6" w:space="0" w:color="auto"/>
              <w:bottom w:val="outset" w:sz="6" w:space="0" w:color="auto"/>
              <w:right w:val="outset" w:sz="6" w:space="0" w:color="auto"/>
            </w:tcBorders>
            <w:hideMark/>
          </w:tcPr>
          <w:p w14:paraId="497A6C8B" w14:textId="03329C9A" w:rsidR="00660900" w:rsidRPr="00E33ED2" w:rsidRDefault="00FF6925" w:rsidP="00660900">
            <w:pPr>
              <w:widowControl w:val="0"/>
              <w:tabs>
                <w:tab w:val="clear" w:pos="567"/>
              </w:tabs>
              <w:spacing w:line="240" w:lineRule="auto"/>
              <w:rPr>
                <w:spacing w:val="4"/>
                <w:szCs w:val="22"/>
                <w:lang w:val="sr-Latn-ME" w:eastAsia="hu-HU"/>
              </w:rPr>
            </w:pPr>
            <w:r w:rsidRPr="00E33ED2">
              <w:rPr>
                <w:spacing w:val="4"/>
                <w:szCs w:val="22"/>
                <w:lang w:val="sr-Latn-ME" w:eastAsia="hu-HU"/>
              </w:rPr>
              <w:t>Povremeno</w:t>
            </w:r>
          </w:p>
        </w:tc>
      </w:tr>
      <w:tr w:rsidR="00660900" w:rsidRPr="00E33ED2" w14:paraId="0EF7A5DA" w14:textId="77777777" w:rsidTr="00660900">
        <w:tc>
          <w:tcPr>
            <w:tcW w:w="1718" w:type="pct"/>
            <w:vMerge/>
            <w:tcBorders>
              <w:left w:val="outset" w:sz="6" w:space="0" w:color="auto"/>
              <w:bottom w:val="outset" w:sz="6" w:space="0" w:color="auto"/>
              <w:right w:val="outset" w:sz="6" w:space="0" w:color="auto"/>
            </w:tcBorders>
            <w:vAlign w:val="center"/>
          </w:tcPr>
          <w:p w14:paraId="1ACB9086"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tcPr>
          <w:p w14:paraId="0E74220D"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pacing w:val="4"/>
                <w:szCs w:val="22"/>
                <w:lang w:val="sr-Latn-ME" w:eastAsia="hu-HU"/>
              </w:rPr>
              <w:t>Depresija</w:t>
            </w:r>
          </w:p>
        </w:tc>
        <w:tc>
          <w:tcPr>
            <w:tcW w:w="1000" w:type="pct"/>
            <w:tcBorders>
              <w:top w:val="outset" w:sz="6" w:space="0" w:color="auto"/>
              <w:left w:val="outset" w:sz="6" w:space="0" w:color="auto"/>
              <w:bottom w:val="outset" w:sz="6" w:space="0" w:color="auto"/>
              <w:right w:val="outset" w:sz="6" w:space="0" w:color="auto"/>
            </w:tcBorders>
          </w:tcPr>
          <w:p w14:paraId="184AF723" w14:textId="47AE6123" w:rsidR="00660900" w:rsidRPr="00E33ED2" w:rsidRDefault="00FF6925" w:rsidP="00660900">
            <w:pPr>
              <w:widowControl w:val="0"/>
              <w:tabs>
                <w:tab w:val="clear" w:pos="567"/>
              </w:tabs>
              <w:spacing w:line="240" w:lineRule="auto"/>
              <w:rPr>
                <w:spacing w:val="4"/>
                <w:szCs w:val="22"/>
                <w:lang w:val="sr-Latn-ME" w:eastAsia="hu-HU"/>
              </w:rPr>
            </w:pPr>
            <w:r w:rsidRPr="00E33ED2">
              <w:rPr>
                <w:spacing w:val="4"/>
                <w:szCs w:val="22"/>
                <w:lang w:val="sr-Latn-ME" w:eastAsia="hu-HU"/>
              </w:rPr>
              <w:t>Povremeno</w:t>
            </w:r>
          </w:p>
        </w:tc>
      </w:tr>
      <w:tr w:rsidR="00660900" w:rsidRPr="00E33ED2" w14:paraId="4C44F88A" w14:textId="77777777" w:rsidTr="00660900">
        <w:tc>
          <w:tcPr>
            <w:tcW w:w="1718" w:type="pct"/>
            <w:vMerge w:val="restart"/>
            <w:tcBorders>
              <w:top w:val="outset" w:sz="6" w:space="0" w:color="auto"/>
              <w:left w:val="outset" w:sz="6" w:space="0" w:color="auto"/>
              <w:bottom w:val="outset" w:sz="6" w:space="0" w:color="auto"/>
              <w:right w:val="outset" w:sz="6" w:space="0" w:color="auto"/>
            </w:tcBorders>
            <w:hideMark/>
          </w:tcPr>
          <w:p w14:paraId="4DA24F25"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b/>
                <w:bCs/>
                <w:iCs/>
                <w:szCs w:val="22"/>
                <w:lang w:val="sr-Latn-ME"/>
              </w:rPr>
              <w:t xml:space="preserve">Poremećaji </w:t>
            </w:r>
            <w:r w:rsidR="00563ABC" w:rsidRPr="00E33ED2">
              <w:rPr>
                <w:b/>
                <w:bCs/>
                <w:iCs/>
                <w:szCs w:val="22"/>
                <w:lang w:val="sr-Latn-ME"/>
              </w:rPr>
              <w:t>nervnog sistema</w:t>
            </w:r>
          </w:p>
        </w:tc>
        <w:tc>
          <w:tcPr>
            <w:tcW w:w="2282" w:type="pct"/>
            <w:tcBorders>
              <w:top w:val="outset" w:sz="6" w:space="0" w:color="auto"/>
              <w:left w:val="outset" w:sz="6" w:space="0" w:color="auto"/>
              <w:bottom w:val="outset" w:sz="6" w:space="0" w:color="auto"/>
              <w:right w:val="outset" w:sz="6" w:space="0" w:color="auto"/>
            </w:tcBorders>
            <w:hideMark/>
          </w:tcPr>
          <w:p w14:paraId="66C32C0F" w14:textId="77777777" w:rsidR="00660900" w:rsidRPr="00E33ED2" w:rsidRDefault="00563ABC" w:rsidP="00660900">
            <w:pPr>
              <w:widowControl w:val="0"/>
              <w:tabs>
                <w:tab w:val="clear" w:pos="567"/>
              </w:tabs>
              <w:spacing w:line="240" w:lineRule="auto"/>
              <w:rPr>
                <w:spacing w:val="4"/>
                <w:szCs w:val="22"/>
                <w:lang w:val="sr-Latn-ME" w:eastAsia="hu-HU"/>
              </w:rPr>
            </w:pPr>
            <w:r w:rsidRPr="00E33ED2">
              <w:rPr>
                <w:szCs w:val="22"/>
                <w:lang w:val="sr-Latn-ME" w:eastAsia="sl-SI"/>
              </w:rPr>
              <w:t>Ošamućenost</w:t>
            </w:r>
          </w:p>
        </w:tc>
        <w:tc>
          <w:tcPr>
            <w:tcW w:w="1000" w:type="pct"/>
            <w:tcBorders>
              <w:top w:val="outset" w:sz="6" w:space="0" w:color="auto"/>
              <w:left w:val="outset" w:sz="6" w:space="0" w:color="auto"/>
              <w:bottom w:val="outset" w:sz="6" w:space="0" w:color="auto"/>
              <w:right w:val="outset" w:sz="6" w:space="0" w:color="auto"/>
            </w:tcBorders>
            <w:hideMark/>
          </w:tcPr>
          <w:p w14:paraId="687E31AF"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Često</w:t>
            </w:r>
          </w:p>
        </w:tc>
      </w:tr>
      <w:tr w:rsidR="00660900" w:rsidRPr="00E33ED2" w14:paraId="2369100E"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0CFFAA8A"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473E32E5"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Glavobolja</w:t>
            </w:r>
          </w:p>
        </w:tc>
        <w:tc>
          <w:tcPr>
            <w:tcW w:w="1000" w:type="pct"/>
            <w:tcBorders>
              <w:top w:val="outset" w:sz="6" w:space="0" w:color="auto"/>
              <w:left w:val="outset" w:sz="6" w:space="0" w:color="auto"/>
              <w:bottom w:val="outset" w:sz="6" w:space="0" w:color="auto"/>
              <w:right w:val="outset" w:sz="6" w:space="0" w:color="auto"/>
            </w:tcBorders>
            <w:hideMark/>
          </w:tcPr>
          <w:p w14:paraId="38334EF6"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Često</w:t>
            </w:r>
          </w:p>
        </w:tc>
      </w:tr>
      <w:tr w:rsidR="00660900" w:rsidRPr="00E33ED2" w14:paraId="02686225"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1099B704"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740EC454"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Parestezije</w:t>
            </w:r>
          </w:p>
        </w:tc>
        <w:tc>
          <w:tcPr>
            <w:tcW w:w="1000" w:type="pct"/>
            <w:tcBorders>
              <w:top w:val="outset" w:sz="6" w:space="0" w:color="auto"/>
              <w:left w:val="outset" w:sz="6" w:space="0" w:color="auto"/>
              <w:bottom w:val="outset" w:sz="6" w:space="0" w:color="auto"/>
              <w:right w:val="outset" w:sz="6" w:space="0" w:color="auto"/>
            </w:tcBorders>
            <w:hideMark/>
          </w:tcPr>
          <w:p w14:paraId="758ECD56"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Često</w:t>
            </w:r>
          </w:p>
        </w:tc>
      </w:tr>
      <w:tr w:rsidR="00660900" w:rsidRPr="00E33ED2" w14:paraId="0A7B3E30"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7989C954"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35FD9BF2"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Vrtoglavica</w:t>
            </w:r>
          </w:p>
        </w:tc>
        <w:tc>
          <w:tcPr>
            <w:tcW w:w="1000" w:type="pct"/>
            <w:tcBorders>
              <w:top w:val="outset" w:sz="6" w:space="0" w:color="auto"/>
              <w:left w:val="outset" w:sz="6" w:space="0" w:color="auto"/>
              <w:bottom w:val="outset" w:sz="6" w:space="0" w:color="auto"/>
              <w:right w:val="outset" w:sz="6" w:space="0" w:color="auto"/>
            </w:tcBorders>
            <w:hideMark/>
          </w:tcPr>
          <w:p w14:paraId="5D546A34"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Često</w:t>
            </w:r>
          </w:p>
        </w:tc>
      </w:tr>
      <w:tr w:rsidR="00660900" w:rsidRPr="00E33ED2" w14:paraId="12FB7CDD"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350D5D21"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5CBA7C79"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Somnolencija</w:t>
            </w:r>
          </w:p>
        </w:tc>
        <w:tc>
          <w:tcPr>
            <w:tcW w:w="1000" w:type="pct"/>
            <w:tcBorders>
              <w:top w:val="outset" w:sz="6" w:space="0" w:color="auto"/>
              <w:left w:val="outset" w:sz="6" w:space="0" w:color="auto"/>
              <w:bottom w:val="outset" w:sz="6" w:space="0" w:color="auto"/>
              <w:right w:val="outset" w:sz="6" w:space="0" w:color="auto"/>
            </w:tcBorders>
            <w:hideMark/>
          </w:tcPr>
          <w:p w14:paraId="794624B7" w14:textId="07D16778" w:rsidR="00660900" w:rsidRPr="00E33ED2" w:rsidRDefault="00FF6925" w:rsidP="00660900">
            <w:pPr>
              <w:widowControl w:val="0"/>
              <w:tabs>
                <w:tab w:val="clear" w:pos="567"/>
              </w:tabs>
              <w:spacing w:line="240" w:lineRule="auto"/>
              <w:rPr>
                <w:spacing w:val="4"/>
                <w:szCs w:val="22"/>
                <w:lang w:val="sr-Latn-ME" w:eastAsia="hu-HU"/>
              </w:rPr>
            </w:pPr>
            <w:r w:rsidRPr="00E33ED2">
              <w:rPr>
                <w:spacing w:val="4"/>
                <w:szCs w:val="22"/>
                <w:lang w:val="sr-Latn-ME" w:eastAsia="hu-HU"/>
              </w:rPr>
              <w:t>Povremeno</w:t>
            </w:r>
            <w:r w:rsidR="00660900" w:rsidRPr="00E33ED2">
              <w:rPr>
                <w:szCs w:val="22"/>
                <w:lang w:val="sr-Latn-ME" w:eastAsia="sl-SI"/>
              </w:rPr>
              <w:t>*</w:t>
            </w:r>
          </w:p>
        </w:tc>
      </w:tr>
      <w:tr w:rsidR="00660900" w:rsidRPr="00E33ED2" w14:paraId="53C3DEC0"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54F1F1D7"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60D7B0DA"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Sinkopa</w:t>
            </w:r>
          </w:p>
        </w:tc>
        <w:tc>
          <w:tcPr>
            <w:tcW w:w="1000" w:type="pct"/>
            <w:tcBorders>
              <w:top w:val="outset" w:sz="6" w:space="0" w:color="auto"/>
              <w:left w:val="outset" w:sz="6" w:space="0" w:color="auto"/>
              <w:bottom w:val="outset" w:sz="6" w:space="0" w:color="auto"/>
              <w:right w:val="outset" w:sz="6" w:space="0" w:color="auto"/>
            </w:tcBorders>
            <w:hideMark/>
          </w:tcPr>
          <w:p w14:paraId="4DA87CAD" w14:textId="077B125B" w:rsidR="00660900" w:rsidRPr="00E33ED2" w:rsidRDefault="00FF6925" w:rsidP="00660900">
            <w:pPr>
              <w:widowControl w:val="0"/>
              <w:tabs>
                <w:tab w:val="clear" w:pos="567"/>
              </w:tabs>
              <w:spacing w:line="240" w:lineRule="auto"/>
              <w:rPr>
                <w:spacing w:val="4"/>
                <w:szCs w:val="22"/>
                <w:lang w:val="sr-Latn-ME" w:eastAsia="hu-HU"/>
              </w:rPr>
            </w:pPr>
            <w:r w:rsidRPr="00E33ED2">
              <w:rPr>
                <w:spacing w:val="4"/>
                <w:szCs w:val="22"/>
                <w:lang w:val="sr-Latn-ME" w:eastAsia="hu-HU"/>
              </w:rPr>
              <w:t>Povremeno</w:t>
            </w:r>
            <w:r w:rsidR="00660900" w:rsidRPr="00E33ED2">
              <w:rPr>
                <w:szCs w:val="22"/>
                <w:lang w:val="sr-Latn-ME" w:eastAsia="sl-SI"/>
              </w:rPr>
              <w:t>*</w:t>
            </w:r>
          </w:p>
        </w:tc>
      </w:tr>
      <w:tr w:rsidR="00660900" w:rsidRPr="00E33ED2" w14:paraId="261F92CC"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1C4546CA"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28B98176"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Konfuzija</w:t>
            </w:r>
          </w:p>
        </w:tc>
        <w:tc>
          <w:tcPr>
            <w:tcW w:w="1000" w:type="pct"/>
            <w:tcBorders>
              <w:top w:val="outset" w:sz="6" w:space="0" w:color="auto"/>
              <w:left w:val="outset" w:sz="6" w:space="0" w:color="auto"/>
              <w:bottom w:val="outset" w:sz="6" w:space="0" w:color="auto"/>
              <w:right w:val="outset" w:sz="6" w:space="0" w:color="auto"/>
            </w:tcBorders>
            <w:hideMark/>
          </w:tcPr>
          <w:p w14:paraId="6FA849AE" w14:textId="77777777" w:rsidR="00660900" w:rsidRPr="00E33ED2" w:rsidRDefault="00563ABC" w:rsidP="00660900">
            <w:pPr>
              <w:widowControl w:val="0"/>
              <w:tabs>
                <w:tab w:val="clear" w:pos="567"/>
              </w:tabs>
              <w:spacing w:line="240" w:lineRule="auto"/>
              <w:rPr>
                <w:spacing w:val="4"/>
                <w:szCs w:val="22"/>
                <w:lang w:val="sr-Latn-ME" w:eastAsia="hu-HU"/>
              </w:rPr>
            </w:pPr>
            <w:r w:rsidRPr="00E33ED2">
              <w:rPr>
                <w:szCs w:val="22"/>
                <w:lang w:val="sr-Latn-ME" w:eastAsia="sl-SI"/>
              </w:rPr>
              <w:t>Veoma</w:t>
            </w:r>
            <w:r w:rsidR="00660900" w:rsidRPr="00E33ED2">
              <w:rPr>
                <w:szCs w:val="22"/>
                <w:lang w:val="sr-Latn-ME" w:eastAsia="sl-SI"/>
              </w:rPr>
              <w:t xml:space="preserve"> rijetko</w:t>
            </w:r>
          </w:p>
        </w:tc>
      </w:tr>
      <w:tr w:rsidR="00660900" w:rsidRPr="00E33ED2" w14:paraId="37934A90" w14:textId="77777777" w:rsidTr="00660900">
        <w:tc>
          <w:tcPr>
            <w:tcW w:w="1718" w:type="pct"/>
            <w:tcBorders>
              <w:top w:val="outset" w:sz="6" w:space="0" w:color="auto"/>
              <w:left w:val="outset" w:sz="6" w:space="0" w:color="auto"/>
              <w:bottom w:val="outset" w:sz="6" w:space="0" w:color="auto"/>
              <w:right w:val="outset" w:sz="6" w:space="0" w:color="auto"/>
            </w:tcBorders>
            <w:hideMark/>
          </w:tcPr>
          <w:p w14:paraId="244F55E2"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b/>
                <w:bCs/>
                <w:iCs/>
                <w:szCs w:val="22"/>
                <w:lang w:val="sr-Latn-ME"/>
              </w:rPr>
              <w:t>Poremećaji oka</w:t>
            </w:r>
          </w:p>
        </w:tc>
        <w:tc>
          <w:tcPr>
            <w:tcW w:w="2282" w:type="pct"/>
            <w:tcBorders>
              <w:top w:val="outset" w:sz="6" w:space="0" w:color="auto"/>
              <w:left w:val="outset" w:sz="6" w:space="0" w:color="auto"/>
              <w:bottom w:val="outset" w:sz="6" w:space="0" w:color="auto"/>
              <w:right w:val="outset" w:sz="6" w:space="0" w:color="auto"/>
            </w:tcBorders>
            <w:hideMark/>
          </w:tcPr>
          <w:p w14:paraId="129E744E"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Poremećaji vida</w:t>
            </w:r>
          </w:p>
        </w:tc>
        <w:tc>
          <w:tcPr>
            <w:tcW w:w="1000" w:type="pct"/>
            <w:tcBorders>
              <w:top w:val="outset" w:sz="6" w:space="0" w:color="auto"/>
              <w:left w:val="outset" w:sz="6" w:space="0" w:color="auto"/>
              <w:bottom w:val="outset" w:sz="6" w:space="0" w:color="auto"/>
              <w:right w:val="outset" w:sz="6" w:space="0" w:color="auto"/>
            </w:tcBorders>
            <w:hideMark/>
          </w:tcPr>
          <w:p w14:paraId="63E08676"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Često</w:t>
            </w:r>
          </w:p>
        </w:tc>
      </w:tr>
      <w:tr w:rsidR="00660900" w:rsidRPr="00E33ED2" w14:paraId="4025BC40" w14:textId="77777777" w:rsidTr="00660900">
        <w:tc>
          <w:tcPr>
            <w:tcW w:w="1718" w:type="pct"/>
            <w:tcBorders>
              <w:top w:val="outset" w:sz="6" w:space="0" w:color="auto"/>
              <w:left w:val="outset" w:sz="6" w:space="0" w:color="auto"/>
              <w:bottom w:val="outset" w:sz="6" w:space="0" w:color="auto"/>
              <w:right w:val="outset" w:sz="6" w:space="0" w:color="auto"/>
            </w:tcBorders>
            <w:hideMark/>
          </w:tcPr>
          <w:p w14:paraId="28A04D28"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b/>
                <w:bCs/>
                <w:szCs w:val="22"/>
                <w:lang w:val="sr-Latn-ME" w:eastAsia="sl-SI"/>
              </w:rPr>
              <w:t>Poremećaji uha i labirinta</w:t>
            </w:r>
          </w:p>
        </w:tc>
        <w:tc>
          <w:tcPr>
            <w:tcW w:w="2282" w:type="pct"/>
            <w:tcBorders>
              <w:top w:val="outset" w:sz="6" w:space="0" w:color="auto"/>
              <w:left w:val="outset" w:sz="6" w:space="0" w:color="auto"/>
              <w:bottom w:val="outset" w:sz="6" w:space="0" w:color="auto"/>
              <w:right w:val="outset" w:sz="6" w:space="0" w:color="auto"/>
            </w:tcBorders>
            <w:hideMark/>
          </w:tcPr>
          <w:p w14:paraId="28BCBF04"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Tinitus</w:t>
            </w:r>
          </w:p>
        </w:tc>
        <w:tc>
          <w:tcPr>
            <w:tcW w:w="1000" w:type="pct"/>
            <w:tcBorders>
              <w:top w:val="outset" w:sz="6" w:space="0" w:color="auto"/>
              <w:left w:val="outset" w:sz="6" w:space="0" w:color="auto"/>
              <w:bottom w:val="outset" w:sz="6" w:space="0" w:color="auto"/>
              <w:right w:val="outset" w:sz="6" w:space="0" w:color="auto"/>
            </w:tcBorders>
            <w:hideMark/>
          </w:tcPr>
          <w:p w14:paraId="6BF8BADE"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Često</w:t>
            </w:r>
          </w:p>
        </w:tc>
      </w:tr>
      <w:tr w:rsidR="00660900" w:rsidRPr="00E33ED2" w14:paraId="3FDFDBAF" w14:textId="77777777" w:rsidTr="00660900">
        <w:tc>
          <w:tcPr>
            <w:tcW w:w="1718" w:type="pct"/>
            <w:vMerge w:val="restart"/>
            <w:tcBorders>
              <w:top w:val="outset" w:sz="6" w:space="0" w:color="auto"/>
              <w:left w:val="outset" w:sz="6" w:space="0" w:color="auto"/>
              <w:bottom w:val="outset" w:sz="6" w:space="0" w:color="auto"/>
              <w:right w:val="outset" w:sz="6" w:space="0" w:color="auto"/>
            </w:tcBorders>
            <w:hideMark/>
          </w:tcPr>
          <w:p w14:paraId="02B3C8C8" w14:textId="77777777" w:rsidR="00660900" w:rsidRPr="00E33ED2" w:rsidRDefault="00563ABC" w:rsidP="00660900">
            <w:pPr>
              <w:widowControl w:val="0"/>
              <w:tabs>
                <w:tab w:val="clear" w:pos="567"/>
              </w:tabs>
              <w:spacing w:line="240" w:lineRule="auto"/>
              <w:rPr>
                <w:spacing w:val="4"/>
                <w:szCs w:val="22"/>
                <w:lang w:val="sr-Latn-ME" w:eastAsia="hu-HU"/>
              </w:rPr>
            </w:pPr>
            <w:r w:rsidRPr="00E33ED2">
              <w:rPr>
                <w:b/>
                <w:bCs/>
                <w:iCs/>
                <w:szCs w:val="22"/>
                <w:lang w:val="sr-Latn-ME"/>
              </w:rPr>
              <w:t xml:space="preserve">Kardiološki </w:t>
            </w:r>
            <w:r w:rsidR="00660900" w:rsidRPr="00E33ED2">
              <w:rPr>
                <w:b/>
                <w:bCs/>
                <w:iCs/>
                <w:szCs w:val="22"/>
                <w:lang w:val="sr-Latn-ME"/>
              </w:rPr>
              <w:t>poremećaji</w:t>
            </w:r>
          </w:p>
        </w:tc>
        <w:tc>
          <w:tcPr>
            <w:tcW w:w="2282" w:type="pct"/>
            <w:tcBorders>
              <w:top w:val="outset" w:sz="6" w:space="0" w:color="auto"/>
              <w:left w:val="outset" w:sz="6" w:space="0" w:color="auto"/>
              <w:bottom w:val="outset" w:sz="6" w:space="0" w:color="auto"/>
              <w:right w:val="outset" w:sz="6" w:space="0" w:color="auto"/>
            </w:tcBorders>
            <w:hideMark/>
          </w:tcPr>
          <w:p w14:paraId="462A58DA"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Palpitacije</w:t>
            </w:r>
          </w:p>
        </w:tc>
        <w:tc>
          <w:tcPr>
            <w:tcW w:w="1000" w:type="pct"/>
            <w:tcBorders>
              <w:top w:val="outset" w:sz="6" w:space="0" w:color="auto"/>
              <w:left w:val="outset" w:sz="6" w:space="0" w:color="auto"/>
              <w:bottom w:val="outset" w:sz="6" w:space="0" w:color="auto"/>
              <w:right w:val="outset" w:sz="6" w:space="0" w:color="auto"/>
            </w:tcBorders>
            <w:hideMark/>
          </w:tcPr>
          <w:p w14:paraId="619F85E0" w14:textId="177BE389" w:rsidR="00660900" w:rsidRPr="00E33ED2" w:rsidRDefault="00FF6925" w:rsidP="00660900">
            <w:pPr>
              <w:widowControl w:val="0"/>
              <w:tabs>
                <w:tab w:val="clear" w:pos="567"/>
              </w:tabs>
              <w:spacing w:line="240" w:lineRule="auto"/>
              <w:rPr>
                <w:spacing w:val="4"/>
                <w:szCs w:val="22"/>
                <w:lang w:val="sr-Latn-ME" w:eastAsia="hu-HU"/>
              </w:rPr>
            </w:pPr>
            <w:r w:rsidRPr="00E33ED2">
              <w:rPr>
                <w:spacing w:val="4"/>
                <w:szCs w:val="22"/>
                <w:lang w:val="sr-Latn-ME" w:eastAsia="hu-HU"/>
              </w:rPr>
              <w:t>Povremeno</w:t>
            </w:r>
            <w:r w:rsidR="00660900" w:rsidRPr="00E33ED2">
              <w:rPr>
                <w:szCs w:val="22"/>
                <w:lang w:val="sr-Latn-ME" w:eastAsia="sl-SI"/>
              </w:rPr>
              <w:t>*</w:t>
            </w:r>
          </w:p>
        </w:tc>
      </w:tr>
      <w:tr w:rsidR="00660900" w:rsidRPr="00E33ED2" w14:paraId="74F86F93"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09FBA557"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1602A924"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Tahikardija</w:t>
            </w:r>
          </w:p>
        </w:tc>
        <w:tc>
          <w:tcPr>
            <w:tcW w:w="1000" w:type="pct"/>
            <w:tcBorders>
              <w:top w:val="outset" w:sz="6" w:space="0" w:color="auto"/>
              <w:left w:val="outset" w:sz="6" w:space="0" w:color="auto"/>
              <w:bottom w:val="outset" w:sz="6" w:space="0" w:color="auto"/>
              <w:right w:val="outset" w:sz="6" w:space="0" w:color="auto"/>
            </w:tcBorders>
            <w:hideMark/>
          </w:tcPr>
          <w:p w14:paraId="7F1F75D5" w14:textId="06D4B446" w:rsidR="00660900" w:rsidRPr="00E33ED2" w:rsidRDefault="00FF6925" w:rsidP="00660900">
            <w:pPr>
              <w:widowControl w:val="0"/>
              <w:tabs>
                <w:tab w:val="clear" w:pos="567"/>
              </w:tabs>
              <w:spacing w:line="240" w:lineRule="auto"/>
              <w:rPr>
                <w:spacing w:val="4"/>
                <w:szCs w:val="22"/>
                <w:lang w:val="sr-Latn-ME" w:eastAsia="hu-HU"/>
              </w:rPr>
            </w:pPr>
            <w:r w:rsidRPr="00E33ED2">
              <w:rPr>
                <w:spacing w:val="4"/>
                <w:szCs w:val="22"/>
                <w:lang w:val="sr-Latn-ME" w:eastAsia="hu-HU"/>
              </w:rPr>
              <w:t>Povremeno</w:t>
            </w:r>
            <w:r w:rsidR="00660900" w:rsidRPr="00E33ED2">
              <w:rPr>
                <w:szCs w:val="22"/>
                <w:lang w:val="sr-Latn-ME" w:eastAsia="sl-SI"/>
              </w:rPr>
              <w:t>*</w:t>
            </w:r>
          </w:p>
        </w:tc>
      </w:tr>
      <w:tr w:rsidR="00660900" w:rsidRPr="00E33ED2" w14:paraId="62AC2811"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79DD5CB3"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3C3A3A6F"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Angina pektoris (vidjeti dio 4.4)</w:t>
            </w:r>
          </w:p>
        </w:tc>
        <w:tc>
          <w:tcPr>
            <w:tcW w:w="1000" w:type="pct"/>
            <w:tcBorders>
              <w:top w:val="outset" w:sz="6" w:space="0" w:color="auto"/>
              <w:left w:val="outset" w:sz="6" w:space="0" w:color="auto"/>
              <w:bottom w:val="outset" w:sz="6" w:space="0" w:color="auto"/>
              <w:right w:val="outset" w:sz="6" w:space="0" w:color="auto"/>
            </w:tcBorders>
            <w:hideMark/>
          </w:tcPr>
          <w:p w14:paraId="20E09476" w14:textId="77777777" w:rsidR="00660900" w:rsidRPr="00E33ED2" w:rsidRDefault="00563ABC" w:rsidP="00660900">
            <w:pPr>
              <w:widowControl w:val="0"/>
              <w:tabs>
                <w:tab w:val="clear" w:pos="567"/>
              </w:tabs>
              <w:spacing w:line="240" w:lineRule="auto"/>
              <w:rPr>
                <w:spacing w:val="4"/>
                <w:szCs w:val="22"/>
                <w:lang w:val="sr-Latn-ME" w:eastAsia="hu-HU"/>
              </w:rPr>
            </w:pPr>
            <w:r w:rsidRPr="00E33ED2">
              <w:rPr>
                <w:szCs w:val="22"/>
                <w:lang w:val="sr-Latn-ME" w:eastAsia="sl-SI"/>
              </w:rPr>
              <w:t>Veoma</w:t>
            </w:r>
            <w:r w:rsidR="00660900" w:rsidRPr="00E33ED2">
              <w:rPr>
                <w:szCs w:val="22"/>
                <w:lang w:val="sr-Latn-ME" w:eastAsia="sl-SI"/>
              </w:rPr>
              <w:t xml:space="preserve"> rijetko</w:t>
            </w:r>
          </w:p>
        </w:tc>
      </w:tr>
      <w:tr w:rsidR="00660900" w:rsidRPr="00E33ED2" w14:paraId="41C06988"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0189ECAC"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23492374"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Aritmija</w:t>
            </w:r>
          </w:p>
        </w:tc>
        <w:tc>
          <w:tcPr>
            <w:tcW w:w="1000" w:type="pct"/>
            <w:tcBorders>
              <w:top w:val="outset" w:sz="6" w:space="0" w:color="auto"/>
              <w:left w:val="outset" w:sz="6" w:space="0" w:color="auto"/>
              <w:bottom w:val="outset" w:sz="6" w:space="0" w:color="auto"/>
              <w:right w:val="outset" w:sz="6" w:space="0" w:color="auto"/>
            </w:tcBorders>
            <w:hideMark/>
          </w:tcPr>
          <w:p w14:paraId="47E1EFFC" w14:textId="77777777" w:rsidR="00660900" w:rsidRPr="00E33ED2" w:rsidRDefault="00563ABC" w:rsidP="00660900">
            <w:pPr>
              <w:widowControl w:val="0"/>
              <w:tabs>
                <w:tab w:val="clear" w:pos="567"/>
              </w:tabs>
              <w:spacing w:line="240" w:lineRule="auto"/>
              <w:rPr>
                <w:spacing w:val="4"/>
                <w:szCs w:val="22"/>
                <w:lang w:val="sr-Latn-ME" w:eastAsia="hu-HU"/>
              </w:rPr>
            </w:pPr>
            <w:r w:rsidRPr="00E33ED2">
              <w:rPr>
                <w:szCs w:val="22"/>
                <w:lang w:val="sr-Latn-ME" w:eastAsia="sl-SI"/>
              </w:rPr>
              <w:t>Veoma</w:t>
            </w:r>
            <w:r w:rsidR="00660900" w:rsidRPr="00E33ED2">
              <w:rPr>
                <w:szCs w:val="22"/>
                <w:lang w:val="sr-Latn-ME" w:eastAsia="sl-SI"/>
              </w:rPr>
              <w:t xml:space="preserve"> rijetko</w:t>
            </w:r>
          </w:p>
        </w:tc>
      </w:tr>
      <w:tr w:rsidR="00660900" w:rsidRPr="00E33ED2" w14:paraId="2164C229"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0D9D5370"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679698AC" w14:textId="13DB2E64" w:rsidR="00660900" w:rsidRPr="00E33ED2" w:rsidRDefault="00660900" w:rsidP="00FF6925">
            <w:pPr>
              <w:widowControl w:val="0"/>
              <w:tabs>
                <w:tab w:val="clear" w:pos="567"/>
              </w:tabs>
              <w:spacing w:line="240" w:lineRule="auto"/>
              <w:rPr>
                <w:spacing w:val="4"/>
                <w:szCs w:val="22"/>
                <w:lang w:val="sr-Latn-ME" w:eastAsia="hu-HU"/>
              </w:rPr>
            </w:pPr>
            <w:r w:rsidRPr="00E33ED2">
              <w:rPr>
                <w:szCs w:val="22"/>
                <w:lang w:val="sr-Latn-ME" w:eastAsia="sl-SI"/>
              </w:rPr>
              <w:t xml:space="preserve">Infarkt miokarda, potencijalno kao posljedica pretjerane hipotenzije </w:t>
            </w:r>
            <w:r w:rsidR="00FF6925" w:rsidRPr="00E33ED2">
              <w:rPr>
                <w:szCs w:val="22"/>
                <w:lang w:val="sr-Latn-ME" w:eastAsia="sl-SI"/>
              </w:rPr>
              <w:t>kod</w:t>
            </w:r>
            <w:r w:rsidRPr="00E33ED2">
              <w:rPr>
                <w:szCs w:val="22"/>
                <w:lang w:val="sr-Latn-ME" w:eastAsia="sl-SI"/>
              </w:rPr>
              <w:t xml:space="preserve"> visokorizičnih </w:t>
            </w:r>
            <w:r w:rsidR="00FF6925" w:rsidRPr="00E33ED2">
              <w:rPr>
                <w:szCs w:val="22"/>
                <w:lang w:val="sr-Latn-ME" w:eastAsia="sl-SI"/>
              </w:rPr>
              <w:t xml:space="preserve">pacijenata </w:t>
            </w:r>
            <w:r w:rsidRPr="00E33ED2">
              <w:rPr>
                <w:szCs w:val="22"/>
                <w:lang w:val="sr-Latn-ME" w:eastAsia="sl-SI"/>
              </w:rPr>
              <w:t>(vidjeti dio 4.4)</w:t>
            </w:r>
          </w:p>
        </w:tc>
        <w:tc>
          <w:tcPr>
            <w:tcW w:w="1000" w:type="pct"/>
            <w:tcBorders>
              <w:top w:val="outset" w:sz="6" w:space="0" w:color="auto"/>
              <w:left w:val="outset" w:sz="6" w:space="0" w:color="auto"/>
              <w:bottom w:val="outset" w:sz="6" w:space="0" w:color="auto"/>
              <w:right w:val="outset" w:sz="6" w:space="0" w:color="auto"/>
            </w:tcBorders>
            <w:hideMark/>
          </w:tcPr>
          <w:p w14:paraId="176BE60A" w14:textId="77777777" w:rsidR="00660900" w:rsidRPr="00E33ED2" w:rsidRDefault="00563ABC" w:rsidP="00660900">
            <w:pPr>
              <w:widowControl w:val="0"/>
              <w:tabs>
                <w:tab w:val="clear" w:pos="567"/>
              </w:tabs>
              <w:spacing w:line="240" w:lineRule="auto"/>
              <w:rPr>
                <w:spacing w:val="4"/>
                <w:szCs w:val="22"/>
                <w:lang w:val="sr-Latn-ME" w:eastAsia="hu-HU"/>
              </w:rPr>
            </w:pPr>
            <w:r w:rsidRPr="00E33ED2">
              <w:rPr>
                <w:szCs w:val="22"/>
                <w:lang w:val="sr-Latn-ME" w:eastAsia="sl-SI"/>
              </w:rPr>
              <w:t>Veoma</w:t>
            </w:r>
            <w:r w:rsidR="00660900" w:rsidRPr="00E33ED2">
              <w:rPr>
                <w:szCs w:val="22"/>
                <w:lang w:val="sr-Latn-ME" w:eastAsia="sl-SI"/>
              </w:rPr>
              <w:t xml:space="preserve"> rijetko</w:t>
            </w:r>
          </w:p>
        </w:tc>
      </w:tr>
      <w:tr w:rsidR="00660900" w:rsidRPr="00E33ED2" w14:paraId="1B9401BA" w14:textId="77777777" w:rsidTr="00660900">
        <w:tc>
          <w:tcPr>
            <w:tcW w:w="1718" w:type="pct"/>
            <w:vMerge w:val="restart"/>
            <w:tcBorders>
              <w:top w:val="outset" w:sz="6" w:space="0" w:color="auto"/>
              <w:left w:val="outset" w:sz="6" w:space="0" w:color="auto"/>
              <w:right w:val="outset" w:sz="6" w:space="0" w:color="auto"/>
            </w:tcBorders>
            <w:hideMark/>
          </w:tcPr>
          <w:p w14:paraId="31795F09" w14:textId="77777777" w:rsidR="00660900" w:rsidRPr="00E33ED2" w:rsidRDefault="00563ABC" w:rsidP="00660900">
            <w:pPr>
              <w:widowControl w:val="0"/>
              <w:tabs>
                <w:tab w:val="clear" w:pos="567"/>
              </w:tabs>
              <w:spacing w:line="240" w:lineRule="auto"/>
              <w:rPr>
                <w:spacing w:val="4"/>
                <w:szCs w:val="22"/>
                <w:lang w:val="sr-Latn-ME" w:eastAsia="hu-HU"/>
              </w:rPr>
            </w:pPr>
            <w:r w:rsidRPr="00E33ED2">
              <w:rPr>
                <w:b/>
                <w:bCs/>
                <w:iCs/>
                <w:szCs w:val="22"/>
                <w:lang w:val="sr-Latn-ME"/>
              </w:rPr>
              <w:t xml:space="preserve">Vaskularni </w:t>
            </w:r>
            <w:r w:rsidR="00660900" w:rsidRPr="00E33ED2">
              <w:rPr>
                <w:b/>
                <w:bCs/>
                <w:iCs/>
                <w:szCs w:val="22"/>
                <w:lang w:val="sr-Latn-ME"/>
              </w:rPr>
              <w:t>poremećaji</w:t>
            </w:r>
          </w:p>
        </w:tc>
        <w:tc>
          <w:tcPr>
            <w:tcW w:w="2282" w:type="pct"/>
            <w:tcBorders>
              <w:top w:val="outset" w:sz="6" w:space="0" w:color="auto"/>
              <w:left w:val="outset" w:sz="6" w:space="0" w:color="auto"/>
              <w:bottom w:val="outset" w:sz="6" w:space="0" w:color="auto"/>
              <w:right w:val="outset" w:sz="6" w:space="0" w:color="auto"/>
            </w:tcBorders>
            <w:hideMark/>
          </w:tcPr>
          <w:p w14:paraId="183FA255" w14:textId="77777777" w:rsidR="00660900" w:rsidRPr="00E33ED2" w:rsidRDefault="00660900" w:rsidP="00563ABC">
            <w:pPr>
              <w:widowControl w:val="0"/>
              <w:tabs>
                <w:tab w:val="clear" w:pos="567"/>
              </w:tabs>
              <w:spacing w:line="240" w:lineRule="auto"/>
              <w:rPr>
                <w:spacing w:val="4"/>
                <w:szCs w:val="22"/>
                <w:lang w:val="sr-Latn-ME" w:eastAsia="hu-HU"/>
              </w:rPr>
            </w:pPr>
            <w:r w:rsidRPr="00E33ED2">
              <w:rPr>
                <w:szCs w:val="22"/>
                <w:lang w:val="sr-Latn-ME" w:eastAsia="sl-SI"/>
              </w:rPr>
              <w:t xml:space="preserve">Hipotenzija (i </w:t>
            </w:r>
            <w:r w:rsidR="00563ABC" w:rsidRPr="00E33ED2">
              <w:rPr>
                <w:szCs w:val="22"/>
                <w:lang w:val="sr-Latn-ME" w:eastAsia="sl-SI"/>
              </w:rPr>
              <w:t xml:space="preserve">efekti </w:t>
            </w:r>
            <w:r w:rsidRPr="00E33ED2">
              <w:rPr>
                <w:szCs w:val="22"/>
                <w:lang w:val="sr-Latn-ME" w:eastAsia="sl-SI"/>
              </w:rPr>
              <w:t>povezani s</w:t>
            </w:r>
            <w:r w:rsidR="00563ABC" w:rsidRPr="00E33ED2">
              <w:rPr>
                <w:szCs w:val="22"/>
                <w:lang w:val="sr-Latn-ME" w:eastAsia="sl-SI"/>
              </w:rPr>
              <w:t>a</w:t>
            </w:r>
            <w:r w:rsidRPr="00E33ED2">
              <w:rPr>
                <w:szCs w:val="22"/>
                <w:lang w:val="sr-Latn-ME" w:eastAsia="sl-SI"/>
              </w:rPr>
              <w:t xml:space="preserve"> hipotenzijom)</w:t>
            </w:r>
          </w:p>
        </w:tc>
        <w:tc>
          <w:tcPr>
            <w:tcW w:w="1000" w:type="pct"/>
            <w:tcBorders>
              <w:top w:val="outset" w:sz="6" w:space="0" w:color="auto"/>
              <w:left w:val="outset" w:sz="6" w:space="0" w:color="auto"/>
              <w:bottom w:val="outset" w:sz="6" w:space="0" w:color="auto"/>
              <w:right w:val="outset" w:sz="6" w:space="0" w:color="auto"/>
            </w:tcBorders>
            <w:hideMark/>
          </w:tcPr>
          <w:p w14:paraId="5C4343FC"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Često</w:t>
            </w:r>
          </w:p>
        </w:tc>
      </w:tr>
      <w:tr w:rsidR="00660900" w:rsidRPr="00E33ED2" w14:paraId="4D286834" w14:textId="77777777" w:rsidTr="00660900">
        <w:tc>
          <w:tcPr>
            <w:tcW w:w="1718" w:type="pct"/>
            <w:vMerge/>
            <w:tcBorders>
              <w:left w:val="outset" w:sz="6" w:space="0" w:color="auto"/>
              <w:right w:val="outset" w:sz="6" w:space="0" w:color="auto"/>
            </w:tcBorders>
            <w:vAlign w:val="center"/>
            <w:hideMark/>
          </w:tcPr>
          <w:p w14:paraId="1812F49F"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2A3F2625"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Vaskulitis</w:t>
            </w:r>
          </w:p>
        </w:tc>
        <w:tc>
          <w:tcPr>
            <w:tcW w:w="1000" w:type="pct"/>
            <w:tcBorders>
              <w:top w:val="outset" w:sz="6" w:space="0" w:color="auto"/>
              <w:left w:val="outset" w:sz="6" w:space="0" w:color="auto"/>
              <w:bottom w:val="outset" w:sz="6" w:space="0" w:color="auto"/>
              <w:right w:val="outset" w:sz="6" w:space="0" w:color="auto"/>
            </w:tcBorders>
            <w:hideMark/>
          </w:tcPr>
          <w:p w14:paraId="53A71DA0" w14:textId="5A8F644E" w:rsidR="00660900" w:rsidRPr="00E33ED2" w:rsidRDefault="00FF6925" w:rsidP="00660900">
            <w:pPr>
              <w:widowControl w:val="0"/>
              <w:tabs>
                <w:tab w:val="clear" w:pos="567"/>
              </w:tabs>
              <w:spacing w:line="240" w:lineRule="auto"/>
              <w:rPr>
                <w:spacing w:val="4"/>
                <w:szCs w:val="22"/>
                <w:lang w:val="sr-Latn-ME" w:eastAsia="hu-HU"/>
              </w:rPr>
            </w:pPr>
            <w:r w:rsidRPr="00E33ED2">
              <w:rPr>
                <w:spacing w:val="4"/>
                <w:szCs w:val="22"/>
                <w:lang w:val="sr-Latn-ME" w:eastAsia="hu-HU"/>
              </w:rPr>
              <w:t>Povremeno</w:t>
            </w:r>
            <w:r w:rsidR="00660900" w:rsidRPr="00E33ED2">
              <w:rPr>
                <w:szCs w:val="22"/>
                <w:lang w:val="sr-Latn-ME" w:eastAsia="sl-SI"/>
              </w:rPr>
              <w:t>*</w:t>
            </w:r>
          </w:p>
        </w:tc>
      </w:tr>
      <w:tr w:rsidR="00660900" w:rsidRPr="00E33ED2" w14:paraId="004DC6B4" w14:textId="77777777" w:rsidTr="00660900">
        <w:tc>
          <w:tcPr>
            <w:tcW w:w="1718" w:type="pct"/>
            <w:vMerge/>
            <w:tcBorders>
              <w:left w:val="outset" w:sz="6" w:space="0" w:color="auto"/>
              <w:right w:val="outset" w:sz="6" w:space="0" w:color="auto"/>
            </w:tcBorders>
            <w:vAlign w:val="center"/>
          </w:tcPr>
          <w:p w14:paraId="22326E01"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tcPr>
          <w:p w14:paraId="03B2F169"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pacing w:val="4"/>
                <w:szCs w:val="22"/>
                <w:lang w:val="sr-Latn-ME" w:eastAsia="hu-HU"/>
              </w:rPr>
              <w:t>Crvenilo uz navale vrućine</w:t>
            </w:r>
          </w:p>
        </w:tc>
        <w:tc>
          <w:tcPr>
            <w:tcW w:w="1000" w:type="pct"/>
            <w:tcBorders>
              <w:top w:val="outset" w:sz="6" w:space="0" w:color="auto"/>
              <w:left w:val="outset" w:sz="6" w:space="0" w:color="auto"/>
              <w:bottom w:val="outset" w:sz="6" w:space="0" w:color="auto"/>
              <w:right w:val="outset" w:sz="6" w:space="0" w:color="auto"/>
            </w:tcBorders>
          </w:tcPr>
          <w:p w14:paraId="02E402D8"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pacing w:val="4"/>
                <w:szCs w:val="22"/>
                <w:lang w:val="sr-Latn-ME" w:eastAsia="hu-HU"/>
              </w:rPr>
              <w:t>Rijetko</w:t>
            </w:r>
          </w:p>
        </w:tc>
      </w:tr>
      <w:tr w:rsidR="00660900" w:rsidRPr="00E33ED2" w14:paraId="3A6CC427" w14:textId="77777777" w:rsidTr="00660900">
        <w:tc>
          <w:tcPr>
            <w:tcW w:w="1718" w:type="pct"/>
            <w:vMerge/>
            <w:tcBorders>
              <w:left w:val="outset" w:sz="6" w:space="0" w:color="auto"/>
              <w:right w:val="outset" w:sz="6" w:space="0" w:color="auto"/>
            </w:tcBorders>
            <w:vAlign w:val="center"/>
            <w:hideMark/>
          </w:tcPr>
          <w:p w14:paraId="42CC9DA4"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3EC87A88" w14:textId="77777777" w:rsidR="00660900" w:rsidRPr="00E33ED2" w:rsidRDefault="00660900" w:rsidP="00563ABC">
            <w:pPr>
              <w:widowControl w:val="0"/>
              <w:tabs>
                <w:tab w:val="clear" w:pos="567"/>
              </w:tabs>
              <w:spacing w:line="240" w:lineRule="auto"/>
              <w:rPr>
                <w:spacing w:val="4"/>
                <w:szCs w:val="22"/>
                <w:lang w:val="sr-Latn-ME" w:eastAsia="hu-HU"/>
              </w:rPr>
            </w:pPr>
            <w:r w:rsidRPr="00E33ED2">
              <w:rPr>
                <w:szCs w:val="22"/>
                <w:lang w:val="sr-Latn-ME" w:eastAsia="sl-SI"/>
              </w:rPr>
              <w:t xml:space="preserve">Moždani udar, potencijalno kao posljedica pretjerane hipotenzije </w:t>
            </w:r>
            <w:r w:rsidR="00563ABC" w:rsidRPr="00E33ED2">
              <w:rPr>
                <w:szCs w:val="22"/>
                <w:lang w:val="sr-Latn-ME" w:eastAsia="sl-SI"/>
              </w:rPr>
              <w:t xml:space="preserve">kod </w:t>
            </w:r>
            <w:r w:rsidRPr="00E33ED2">
              <w:rPr>
                <w:szCs w:val="22"/>
                <w:lang w:val="sr-Latn-ME" w:eastAsia="sl-SI"/>
              </w:rPr>
              <w:t xml:space="preserve">visokorizičnih </w:t>
            </w:r>
            <w:r w:rsidR="00563ABC" w:rsidRPr="00E33ED2">
              <w:rPr>
                <w:szCs w:val="22"/>
                <w:lang w:val="sr-Latn-ME" w:eastAsia="sl-SI"/>
              </w:rPr>
              <w:t xml:space="preserve">pacijenata </w:t>
            </w:r>
            <w:r w:rsidRPr="00E33ED2">
              <w:rPr>
                <w:szCs w:val="22"/>
                <w:lang w:val="sr-Latn-ME" w:eastAsia="sl-SI"/>
              </w:rPr>
              <w:t>(vidjeti dio 4.4)</w:t>
            </w:r>
          </w:p>
        </w:tc>
        <w:tc>
          <w:tcPr>
            <w:tcW w:w="1000" w:type="pct"/>
            <w:tcBorders>
              <w:top w:val="outset" w:sz="6" w:space="0" w:color="auto"/>
              <w:left w:val="outset" w:sz="6" w:space="0" w:color="auto"/>
              <w:bottom w:val="outset" w:sz="6" w:space="0" w:color="auto"/>
              <w:right w:val="outset" w:sz="6" w:space="0" w:color="auto"/>
            </w:tcBorders>
            <w:hideMark/>
          </w:tcPr>
          <w:p w14:paraId="2C119ACF" w14:textId="77777777" w:rsidR="00660900" w:rsidRPr="00E33ED2" w:rsidRDefault="00563ABC" w:rsidP="00660900">
            <w:pPr>
              <w:widowControl w:val="0"/>
              <w:tabs>
                <w:tab w:val="clear" w:pos="567"/>
              </w:tabs>
              <w:spacing w:line="240" w:lineRule="auto"/>
              <w:rPr>
                <w:spacing w:val="4"/>
                <w:szCs w:val="22"/>
                <w:lang w:val="sr-Latn-ME" w:eastAsia="hu-HU"/>
              </w:rPr>
            </w:pPr>
            <w:r w:rsidRPr="00E33ED2">
              <w:rPr>
                <w:szCs w:val="22"/>
                <w:lang w:val="sr-Latn-ME" w:eastAsia="sl-SI"/>
              </w:rPr>
              <w:t>Veoma</w:t>
            </w:r>
            <w:r w:rsidR="00660900" w:rsidRPr="00E33ED2">
              <w:rPr>
                <w:szCs w:val="22"/>
                <w:lang w:val="sr-Latn-ME" w:eastAsia="sl-SI"/>
              </w:rPr>
              <w:t xml:space="preserve"> rijetko</w:t>
            </w:r>
          </w:p>
        </w:tc>
      </w:tr>
      <w:tr w:rsidR="00660900" w:rsidRPr="00E33ED2" w14:paraId="3D782A44" w14:textId="77777777" w:rsidTr="00660900">
        <w:tc>
          <w:tcPr>
            <w:tcW w:w="1718" w:type="pct"/>
            <w:vMerge/>
            <w:tcBorders>
              <w:left w:val="outset" w:sz="6" w:space="0" w:color="auto"/>
              <w:bottom w:val="outset" w:sz="6" w:space="0" w:color="auto"/>
              <w:right w:val="outset" w:sz="6" w:space="0" w:color="auto"/>
            </w:tcBorders>
            <w:vAlign w:val="center"/>
          </w:tcPr>
          <w:p w14:paraId="79ADD48C"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tcPr>
          <w:p w14:paraId="1CBFEA89"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noProof/>
                <w:szCs w:val="22"/>
                <w:lang w:val="sr-Latn-ME" w:eastAsia="sl-SI"/>
              </w:rPr>
              <w:t>Raynaudov fenomen</w:t>
            </w:r>
          </w:p>
        </w:tc>
        <w:tc>
          <w:tcPr>
            <w:tcW w:w="1000" w:type="pct"/>
            <w:tcBorders>
              <w:top w:val="outset" w:sz="6" w:space="0" w:color="auto"/>
              <w:left w:val="outset" w:sz="6" w:space="0" w:color="auto"/>
              <w:bottom w:val="outset" w:sz="6" w:space="0" w:color="auto"/>
              <w:right w:val="outset" w:sz="6" w:space="0" w:color="auto"/>
            </w:tcBorders>
          </w:tcPr>
          <w:p w14:paraId="09953E00"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rPr>
              <w:t>Nepoznato</w:t>
            </w:r>
          </w:p>
        </w:tc>
      </w:tr>
      <w:tr w:rsidR="00563ABC" w:rsidRPr="00E33ED2" w14:paraId="49508965" w14:textId="77777777" w:rsidTr="00660900">
        <w:tc>
          <w:tcPr>
            <w:tcW w:w="1718" w:type="pct"/>
            <w:vMerge w:val="restart"/>
            <w:tcBorders>
              <w:top w:val="outset" w:sz="6" w:space="0" w:color="auto"/>
              <w:left w:val="outset" w:sz="6" w:space="0" w:color="auto"/>
              <w:bottom w:val="outset" w:sz="6" w:space="0" w:color="auto"/>
              <w:right w:val="outset" w:sz="6" w:space="0" w:color="auto"/>
            </w:tcBorders>
            <w:hideMark/>
          </w:tcPr>
          <w:p w14:paraId="45FA493F" w14:textId="77777777" w:rsidR="00563ABC" w:rsidRPr="00E33ED2" w:rsidRDefault="00563ABC" w:rsidP="00563ABC">
            <w:pPr>
              <w:widowControl w:val="0"/>
              <w:tabs>
                <w:tab w:val="clear" w:pos="567"/>
              </w:tabs>
              <w:spacing w:line="240" w:lineRule="auto"/>
              <w:rPr>
                <w:spacing w:val="4"/>
                <w:szCs w:val="22"/>
                <w:lang w:val="sr-Latn-ME" w:eastAsia="hu-HU"/>
              </w:rPr>
            </w:pPr>
            <w:r w:rsidRPr="00E33ED2">
              <w:rPr>
                <w:b/>
                <w:bCs/>
                <w:szCs w:val="22"/>
                <w:lang w:val="sr-Latn-ME"/>
              </w:rPr>
              <w:t>Respiratorni, torakalni i medijastinalni poremećaji</w:t>
            </w:r>
          </w:p>
        </w:tc>
        <w:tc>
          <w:tcPr>
            <w:tcW w:w="2282" w:type="pct"/>
            <w:tcBorders>
              <w:top w:val="outset" w:sz="6" w:space="0" w:color="auto"/>
              <w:left w:val="outset" w:sz="6" w:space="0" w:color="auto"/>
              <w:bottom w:val="outset" w:sz="6" w:space="0" w:color="auto"/>
              <w:right w:val="outset" w:sz="6" w:space="0" w:color="auto"/>
            </w:tcBorders>
            <w:hideMark/>
          </w:tcPr>
          <w:p w14:paraId="2DD8C7DC" w14:textId="77777777" w:rsidR="00563ABC" w:rsidRPr="00E33ED2" w:rsidRDefault="00563ABC" w:rsidP="00563ABC">
            <w:pPr>
              <w:widowControl w:val="0"/>
              <w:tabs>
                <w:tab w:val="clear" w:pos="567"/>
              </w:tabs>
              <w:spacing w:line="240" w:lineRule="auto"/>
              <w:rPr>
                <w:spacing w:val="4"/>
                <w:szCs w:val="22"/>
                <w:lang w:val="sr-Latn-ME" w:eastAsia="hu-HU"/>
              </w:rPr>
            </w:pPr>
            <w:r w:rsidRPr="00E33ED2">
              <w:rPr>
                <w:szCs w:val="22"/>
                <w:lang w:val="sr-Latn-ME" w:eastAsia="sl-SI"/>
              </w:rPr>
              <w:t>Kašalj</w:t>
            </w:r>
          </w:p>
        </w:tc>
        <w:tc>
          <w:tcPr>
            <w:tcW w:w="1000" w:type="pct"/>
            <w:tcBorders>
              <w:top w:val="outset" w:sz="6" w:space="0" w:color="auto"/>
              <w:left w:val="outset" w:sz="6" w:space="0" w:color="auto"/>
              <w:bottom w:val="outset" w:sz="6" w:space="0" w:color="auto"/>
              <w:right w:val="outset" w:sz="6" w:space="0" w:color="auto"/>
            </w:tcBorders>
            <w:hideMark/>
          </w:tcPr>
          <w:p w14:paraId="707811D2" w14:textId="77777777" w:rsidR="00563ABC" w:rsidRPr="00E33ED2" w:rsidRDefault="00563ABC" w:rsidP="00563ABC">
            <w:pPr>
              <w:widowControl w:val="0"/>
              <w:tabs>
                <w:tab w:val="clear" w:pos="567"/>
              </w:tabs>
              <w:spacing w:line="240" w:lineRule="auto"/>
              <w:rPr>
                <w:spacing w:val="4"/>
                <w:szCs w:val="22"/>
                <w:lang w:val="sr-Latn-ME" w:eastAsia="hu-HU"/>
              </w:rPr>
            </w:pPr>
            <w:r w:rsidRPr="00E33ED2">
              <w:rPr>
                <w:szCs w:val="22"/>
                <w:lang w:val="sr-Latn-ME" w:eastAsia="sl-SI"/>
              </w:rPr>
              <w:t>Često</w:t>
            </w:r>
          </w:p>
        </w:tc>
      </w:tr>
      <w:tr w:rsidR="00660900" w:rsidRPr="00E33ED2" w14:paraId="76E5A130"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31B3B4F2"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563165CE"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Dispneja</w:t>
            </w:r>
          </w:p>
        </w:tc>
        <w:tc>
          <w:tcPr>
            <w:tcW w:w="1000" w:type="pct"/>
            <w:tcBorders>
              <w:top w:val="outset" w:sz="6" w:space="0" w:color="auto"/>
              <w:left w:val="outset" w:sz="6" w:space="0" w:color="auto"/>
              <w:bottom w:val="outset" w:sz="6" w:space="0" w:color="auto"/>
              <w:right w:val="outset" w:sz="6" w:space="0" w:color="auto"/>
            </w:tcBorders>
            <w:hideMark/>
          </w:tcPr>
          <w:p w14:paraId="401B6B06"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Često</w:t>
            </w:r>
          </w:p>
        </w:tc>
      </w:tr>
      <w:tr w:rsidR="00660900" w:rsidRPr="00E33ED2" w14:paraId="1E64F486"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6265B0BC"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723A17B3"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Bronhospazam</w:t>
            </w:r>
          </w:p>
        </w:tc>
        <w:tc>
          <w:tcPr>
            <w:tcW w:w="1000" w:type="pct"/>
            <w:tcBorders>
              <w:top w:val="outset" w:sz="6" w:space="0" w:color="auto"/>
              <w:left w:val="outset" w:sz="6" w:space="0" w:color="auto"/>
              <w:bottom w:val="outset" w:sz="6" w:space="0" w:color="auto"/>
              <w:right w:val="outset" w:sz="6" w:space="0" w:color="auto"/>
            </w:tcBorders>
            <w:hideMark/>
          </w:tcPr>
          <w:p w14:paraId="39AC3473" w14:textId="4A07E418" w:rsidR="00660900" w:rsidRPr="00E33ED2" w:rsidRDefault="00FF6925" w:rsidP="00660900">
            <w:pPr>
              <w:widowControl w:val="0"/>
              <w:tabs>
                <w:tab w:val="clear" w:pos="567"/>
              </w:tabs>
              <w:spacing w:line="240" w:lineRule="auto"/>
              <w:rPr>
                <w:spacing w:val="4"/>
                <w:szCs w:val="22"/>
                <w:lang w:val="sr-Latn-ME" w:eastAsia="hu-HU"/>
              </w:rPr>
            </w:pPr>
            <w:r w:rsidRPr="00E33ED2">
              <w:rPr>
                <w:spacing w:val="4"/>
                <w:szCs w:val="22"/>
                <w:lang w:val="sr-Latn-ME" w:eastAsia="hu-HU"/>
              </w:rPr>
              <w:t>Povremeno</w:t>
            </w:r>
          </w:p>
        </w:tc>
      </w:tr>
      <w:tr w:rsidR="00660900" w:rsidRPr="00E33ED2" w14:paraId="2139759A"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22057CDE"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47940F5D"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Eozinofilna pneumonija</w:t>
            </w:r>
          </w:p>
        </w:tc>
        <w:tc>
          <w:tcPr>
            <w:tcW w:w="1000" w:type="pct"/>
            <w:tcBorders>
              <w:top w:val="outset" w:sz="6" w:space="0" w:color="auto"/>
              <w:left w:val="outset" w:sz="6" w:space="0" w:color="auto"/>
              <w:bottom w:val="outset" w:sz="6" w:space="0" w:color="auto"/>
              <w:right w:val="outset" w:sz="6" w:space="0" w:color="auto"/>
            </w:tcBorders>
            <w:hideMark/>
          </w:tcPr>
          <w:p w14:paraId="161E3DE7" w14:textId="77777777" w:rsidR="00660900" w:rsidRPr="00E33ED2" w:rsidRDefault="00563ABC" w:rsidP="00660900">
            <w:pPr>
              <w:widowControl w:val="0"/>
              <w:tabs>
                <w:tab w:val="clear" w:pos="567"/>
              </w:tabs>
              <w:spacing w:line="240" w:lineRule="auto"/>
              <w:rPr>
                <w:spacing w:val="4"/>
                <w:szCs w:val="22"/>
                <w:lang w:val="sr-Latn-ME" w:eastAsia="hu-HU"/>
              </w:rPr>
            </w:pPr>
            <w:r w:rsidRPr="00E33ED2">
              <w:rPr>
                <w:szCs w:val="22"/>
                <w:lang w:val="sr-Latn-ME" w:eastAsia="sl-SI"/>
              </w:rPr>
              <w:t>Veoma</w:t>
            </w:r>
            <w:r w:rsidR="00660900" w:rsidRPr="00E33ED2">
              <w:rPr>
                <w:szCs w:val="22"/>
                <w:lang w:val="sr-Latn-ME" w:eastAsia="sl-SI"/>
              </w:rPr>
              <w:t xml:space="preserve"> rijetko</w:t>
            </w:r>
          </w:p>
        </w:tc>
      </w:tr>
      <w:tr w:rsidR="00660900" w:rsidRPr="00E33ED2" w14:paraId="2F6A068A"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34614EA4"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1412BE2D"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Rinitis</w:t>
            </w:r>
          </w:p>
        </w:tc>
        <w:tc>
          <w:tcPr>
            <w:tcW w:w="1000" w:type="pct"/>
            <w:tcBorders>
              <w:top w:val="outset" w:sz="6" w:space="0" w:color="auto"/>
              <w:left w:val="outset" w:sz="6" w:space="0" w:color="auto"/>
              <w:bottom w:val="outset" w:sz="6" w:space="0" w:color="auto"/>
              <w:right w:val="outset" w:sz="6" w:space="0" w:color="auto"/>
            </w:tcBorders>
            <w:hideMark/>
          </w:tcPr>
          <w:p w14:paraId="2E167A99" w14:textId="77777777" w:rsidR="00660900" w:rsidRPr="00E33ED2" w:rsidRDefault="00563ABC" w:rsidP="00660900">
            <w:pPr>
              <w:widowControl w:val="0"/>
              <w:tabs>
                <w:tab w:val="clear" w:pos="567"/>
              </w:tabs>
              <w:spacing w:line="240" w:lineRule="auto"/>
              <w:rPr>
                <w:spacing w:val="4"/>
                <w:szCs w:val="22"/>
                <w:lang w:val="sr-Latn-ME" w:eastAsia="hu-HU"/>
              </w:rPr>
            </w:pPr>
            <w:r w:rsidRPr="00E33ED2">
              <w:rPr>
                <w:szCs w:val="22"/>
                <w:lang w:val="sr-Latn-ME" w:eastAsia="sl-SI"/>
              </w:rPr>
              <w:t>Veoma</w:t>
            </w:r>
            <w:r w:rsidR="00660900" w:rsidRPr="00E33ED2">
              <w:rPr>
                <w:szCs w:val="22"/>
                <w:lang w:val="sr-Latn-ME" w:eastAsia="sl-SI"/>
              </w:rPr>
              <w:t xml:space="preserve"> rijetko</w:t>
            </w:r>
          </w:p>
        </w:tc>
      </w:tr>
      <w:tr w:rsidR="00563ABC" w:rsidRPr="00E33ED2" w14:paraId="035982E3" w14:textId="77777777" w:rsidTr="00660900">
        <w:tc>
          <w:tcPr>
            <w:tcW w:w="1718" w:type="pct"/>
            <w:vMerge w:val="restart"/>
            <w:tcBorders>
              <w:top w:val="outset" w:sz="6" w:space="0" w:color="auto"/>
              <w:left w:val="outset" w:sz="6" w:space="0" w:color="auto"/>
              <w:bottom w:val="outset" w:sz="6" w:space="0" w:color="auto"/>
              <w:right w:val="outset" w:sz="6" w:space="0" w:color="auto"/>
            </w:tcBorders>
            <w:hideMark/>
          </w:tcPr>
          <w:p w14:paraId="1189B680" w14:textId="77777777" w:rsidR="00563ABC" w:rsidRPr="00E33ED2" w:rsidRDefault="00563ABC" w:rsidP="00563ABC">
            <w:pPr>
              <w:widowControl w:val="0"/>
              <w:tabs>
                <w:tab w:val="clear" w:pos="567"/>
              </w:tabs>
              <w:spacing w:line="240" w:lineRule="auto"/>
              <w:rPr>
                <w:spacing w:val="4"/>
                <w:szCs w:val="22"/>
                <w:lang w:val="sr-Latn-ME" w:eastAsia="hu-HU"/>
              </w:rPr>
            </w:pPr>
            <w:r w:rsidRPr="00E33ED2">
              <w:rPr>
                <w:b/>
                <w:bCs/>
                <w:iCs/>
                <w:szCs w:val="22"/>
                <w:lang w:val="sr-Latn-ME"/>
              </w:rPr>
              <w:t>Gastrointestinalni poremećaji</w:t>
            </w:r>
          </w:p>
        </w:tc>
        <w:tc>
          <w:tcPr>
            <w:tcW w:w="2282" w:type="pct"/>
            <w:tcBorders>
              <w:top w:val="outset" w:sz="6" w:space="0" w:color="auto"/>
              <w:left w:val="outset" w:sz="6" w:space="0" w:color="auto"/>
              <w:bottom w:val="outset" w:sz="6" w:space="0" w:color="auto"/>
              <w:right w:val="outset" w:sz="6" w:space="0" w:color="auto"/>
            </w:tcBorders>
            <w:hideMark/>
          </w:tcPr>
          <w:p w14:paraId="6B2B0239" w14:textId="77777777" w:rsidR="00563ABC" w:rsidRPr="00E33ED2" w:rsidRDefault="00563ABC" w:rsidP="00563ABC">
            <w:pPr>
              <w:widowControl w:val="0"/>
              <w:tabs>
                <w:tab w:val="clear" w:pos="567"/>
              </w:tabs>
              <w:spacing w:line="240" w:lineRule="auto"/>
              <w:rPr>
                <w:spacing w:val="4"/>
                <w:szCs w:val="22"/>
                <w:lang w:val="sr-Latn-ME" w:eastAsia="hu-HU"/>
              </w:rPr>
            </w:pPr>
            <w:r w:rsidRPr="00E33ED2">
              <w:rPr>
                <w:szCs w:val="22"/>
                <w:lang w:val="sr-Latn-ME" w:eastAsia="sl-SI"/>
              </w:rPr>
              <w:t>Bolovi u abdomenu</w:t>
            </w:r>
          </w:p>
        </w:tc>
        <w:tc>
          <w:tcPr>
            <w:tcW w:w="1000" w:type="pct"/>
            <w:tcBorders>
              <w:top w:val="outset" w:sz="6" w:space="0" w:color="auto"/>
              <w:left w:val="outset" w:sz="6" w:space="0" w:color="auto"/>
              <w:bottom w:val="outset" w:sz="6" w:space="0" w:color="auto"/>
              <w:right w:val="outset" w:sz="6" w:space="0" w:color="auto"/>
            </w:tcBorders>
            <w:hideMark/>
          </w:tcPr>
          <w:p w14:paraId="6C01279C" w14:textId="77777777" w:rsidR="00563ABC" w:rsidRPr="00E33ED2" w:rsidRDefault="00563ABC" w:rsidP="00563ABC">
            <w:pPr>
              <w:widowControl w:val="0"/>
              <w:tabs>
                <w:tab w:val="clear" w:pos="567"/>
              </w:tabs>
              <w:spacing w:line="240" w:lineRule="auto"/>
              <w:rPr>
                <w:spacing w:val="4"/>
                <w:szCs w:val="22"/>
                <w:lang w:val="sr-Latn-ME" w:eastAsia="hu-HU"/>
              </w:rPr>
            </w:pPr>
            <w:r w:rsidRPr="00E33ED2">
              <w:rPr>
                <w:szCs w:val="22"/>
                <w:lang w:val="sr-Latn-ME" w:eastAsia="sl-SI"/>
              </w:rPr>
              <w:t>Često</w:t>
            </w:r>
          </w:p>
        </w:tc>
      </w:tr>
      <w:tr w:rsidR="00660900" w:rsidRPr="00E33ED2" w14:paraId="379DFC7F"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1BFEF1A5"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1E88FCBE"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Konstipacija</w:t>
            </w:r>
          </w:p>
        </w:tc>
        <w:tc>
          <w:tcPr>
            <w:tcW w:w="1000" w:type="pct"/>
            <w:tcBorders>
              <w:top w:val="outset" w:sz="6" w:space="0" w:color="auto"/>
              <w:left w:val="outset" w:sz="6" w:space="0" w:color="auto"/>
              <w:bottom w:val="outset" w:sz="6" w:space="0" w:color="auto"/>
              <w:right w:val="outset" w:sz="6" w:space="0" w:color="auto"/>
            </w:tcBorders>
            <w:hideMark/>
          </w:tcPr>
          <w:p w14:paraId="0854C88A"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Često</w:t>
            </w:r>
          </w:p>
        </w:tc>
      </w:tr>
      <w:tr w:rsidR="00660900" w:rsidRPr="00E33ED2" w14:paraId="37C4B17C"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42EC6DFA"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0343E17F" w14:textId="77777777" w:rsidR="00660900" w:rsidRPr="00E33ED2" w:rsidRDefault="00563ABC" w:rsidP="00660900">
            <w:pPr>
              <w:widowControl w:val="0"/>
              <w:tabs>
                <w:tab w:val="clear" w:pos="567"/>
              </w:tabs>
              <w:spacing w:line="240" w:lineRule="auto"/>
              <w:rPr>
                <w:spacing w:val="4"/>
                <w:szCs w:val="22"/>
                <w:lang w:val="sr-Latn-ME" w:eastAsia="hu-HU"/>
              </w:rPr>
            </w:pPr>
            <w:r w:rsidRPr="00E33ED2">
              <w:rPr>
                <w:szCs w:val="22"/>
                <w:lang w:val="sr-Latn-ME" w:eastAsia="sl-SI"/>
              </w:rPr>
              <w:t>Dijareja</w:t>
            </w:r>
          </w:p>
        </w:tc>
        <w:tc>
          <w:tcPr>
            <w:tcW w:w="1000" w:type="pct"/>
            <w:tcBorders>
              <w:top w:val="outset" w:sz="6" w:space="0" w:color="auto"/>
              <w:left w:val="outset" w:sz="6" w:space="0" w:color="auto"/>
              <w:bottom w:val="outset" w:sz="6" w:space="0" w:color="auto"/>
              <w:right w:val="outset" w:sz="6" w:space="0" w:color="auto"/>
            </w:tcBorders>
            <w:hideMark/>
          </w:tcPr>
          <w:p w14:paraId="5E2E7829"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Često</w:t>
            </w:r>
          </w:p>
        </w:tc>
      </w:tr>
      <w:tr w:rsidR="00660900" w:rsidRPr="00E33ED2" w14:paraId="48C9872A"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0FD9C4CE"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305FD5C0"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Disgeuzija</w:t>
            </w:r>
          </w:p>
        </w:tc>
        <w:tc>
          <w:tcPr>
            <w:tcW w:w="1000" w:type="pct"/>
            <w:tcBorders>
              <w:top w:val="outset" w:sz="6" w:space="0" w:color="auto"/>
              <w:left w:val="outset" w:sz="6" w:space="0" w:color="auto"/>
              <w:bottom w:val="outset" w:sz="6" w:space="0" w:color="auto"/>
              <w:right w:val="outset" w:sz="6" w:space="0" w:color="auto"/>
            </w:tcBorders>
            <w:hideMark/>
          </w:tcPr>
          <w:p w14:paraId="6797E217"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Često</w:t>
            </w:r>
          </w:p>
        </w:tc>
      </w:tr>
      <w:tr w:rsidR="00660900" w:rsidRPr="00E33ED2" w14:paraId="0893E5D3"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765324EE"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6EBCB405"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Dispepsija</w:t>
            </w:r>
          </w:p>
        </w:tc>
        <w:tc>
          <w:tcPr>
            <w:tcW w:w="1000" w:type="pct"/>
            <w:tcBorders>
              <w:top w:val="outset" w:sz="6" w:space="0" w:color="auto"/>
              <w:left w:val="outset" w:sz="6" w:space="0" w:color="auto"/>
              <w:bottom w:val="outset" w:sz="6" w:space="0" w:color="auto"/>
              <w:right w:val="outset" w:sz="6" w:space="0" w:color="auto"/>
            </w:tcBorders>
            <w:hideMark/>
          </w:tcPr>
          <w:p w14:paraId="585323DE"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Često</w:t>
            </w:r>
          </w:p>
        </w:tc>
      </w:tr>
      <w:tr w:rsidR="00660900" w:rsidRPr="00E33ED2" w14:paraId="67024B30"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2CE491E4"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57BDA12F"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Mučnina</w:t>
            </w:r>
          </w:p>
        </w:tc>
        <w:tc>
          <w:tcPr>
            <w:tcW w:w="1000" w:type="pct"/>
            <w:tcBorders>
              <w:top w:val="outset" w:sz="6" w:space="0" w:color="auto"/>
              <w:left w:val="outset" w:sz="6" w:space="0" w:color="auto"/>
              <w:bottom w:val="outset" w:sz="6" w:space="0" w:color="auto"/>
              <w:right w:val="outset" w:sz="6" w:space="0" w:color="auto"/>
            </w:tcBorders>
            <w:hideMark/>
          </w:tcPr>
          <w:p w14:paraId="20DD5B3F"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Često</w:t>
            </w:r>
          </w:p>
        </w:tc>
      </w:tr>
      <w:tr w:rsidR="00660900" w:rsidRPr="00E33ED2" w14:paraId="29B6301E"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5E0B5F54"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7555131F"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Povraćanje</w:t>
            </w:r>
          </w:p>
        </w:tc>
        <w:tc>
          <w:tcPr>
            <w:tcW w:w="1000" w:type="pct"/>
            <w:tcBorders>
              <w:top w:val="outset" w:sz="6" w:space="0" w:color="auto"/>
              <w:left w:val="outset" w:sz="6" w:space="0" w:color="auto"/>
              <w:bottom w:val="outset" w:sz="6" w:space="0" w:color="auto"/>
              <w:right w:val="outset" w:sz="6" w:space="0" w:color="auto"/>
            </w:tcBorders>
            <w:hideMark/>
          </w:tcPr>
          <w:p w14:paraId="5BCB84E5"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Često</w:t>
            </w:r>
          </w:p>
        </w:tc>
      </w:tr>
      <w:tr w:rsidR="00660900" w:rsidRPr="00E33ED2" w14:paraId="00BFAC5D"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4D60AA17"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106A213B" w14:textId="2BC64BCE"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Su</w:t>
            </w:r>
            <w:r w:rsidR="00563ABC" w:rsidRPr="00E33ED2">
              <w:rPr>
                <w:szCs w:val="22"/>
                <w:lang w:val="sr-Latn-ME" w:eastAsia="sl-SI"/>
              </w:rPr>
              <w:t>v</w:t>
            </w:r>
            <w:r w:rsidR="00A7190B" w:rsidRPr="00E33ED2">
              <w:rPr>
                <w:szCs w:val="22"/>
                <w:lang w:val="sr-Latn-ME" w:eastAsia="sl-SI"/>
              </w:rPr>
              <w:t>a</w:t>
            </w:r>
            <w:r w:rsidRPr="00E33ED2">
              <w:rPr>
                <w:szCs w:val="22"/>
                <w:lang w:val="sr-Latn-ME" w:eastAsia="sl-SI"/>
              </w:rPr>
              <w:t xml:space="preserve"> usta</w:t>
            </w:r>
          </w:p>
        </w:tc>
        <w:tc>
          <w:tcPr>
            <w:tcW w:w="1000" w:type="pct"/>
            <w:tcBorders>
              <w:top w:val="outset" w:sz="6" w:space="0" w:color="auto"/>
              <w:left w:val="outset" w:sz="6" w:space="0" w:color="auto"/>
              <w:bottom w:val="outset" w:sz="6" w:space="0" w:color="auto"/>
              <w:right w:val="outset" w:sz="6" w:space="0" w:color="auto"/>
            </w:tcBorders>
            <w:hideMark/>
          </w:tcPr>
          <w:p w14:paraId="528984FC" w14:textId="7156E491" w:rsidR="00660900" w:rsidRPr="00E33ED2" w:rsidRDefault="00FF6925" w:rsidP="00660900">
            <w:pPr>
              <w:widowControl w:val="0"/>
              <w:tabs>
                <w:tab w:val="clear" w:pos="567"/>
              </w:tabs>
              <w:spacing w:line="240" w:lineRule="auto"/>
              <w:rPr>
                <w:spacing w:val="4"/>
                <w:szCs w:val="22"/>
                <w:lang w:val="sr-Latn-ME" w:eastAsia="hu-HU"/>
              </w:rPr>
            </w:pPr>
            <w:r w:rsidRPr="00E33ED2">
              <w:rPr>
                <w:spacing w:val="4"/>
                <w:szCs w:val="22"/>
                <w:lang w:val="sr-Latn-ME" w:eastAsia="hu-HU"/>
              </w:rPr>
              <w:t>Povremeno</w:t>
            </w:r>
          </w:p>
        </w:tc>
      </w:tr>
      <w:tr w:rsidR="00660900" w:rsidRPr="00E33ED2" w14:paraId="49FF7E93"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54442614"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5575B33E"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Pankreatitis</w:t>
            </w:r>
          </w:p>
        </w:tc>
        <w:tc>
          <w:tcPr>
            <w:tcW w:w="1000" w:type="pct"/>
            <w:tcBorders>
              <w:top w:val="outset" w:sz="6" w:space="0" w:color="auto"/>
              <w:left w:val="outset" w:sz="6" w:space="0" w:color="auto"/>
              <w:bottom w:val="outset" w:sz="6" w:space="0" w:color="auto"/>
              <w:right w:val="outset" w:sz="6" w:space="0" w:color="auto"/>
            </w:tcBorders>
            <w:hideMark/>
          </w:tcPr>
          <w:p w14:paraId="1F6A3EFF" w14:textId="77777777" w:rsidR="00660900" w:rsidRPr="00E33ED2" w:rsidRDefault="00563ABC" w:rsidP="00660900">
            <w:pPr>
              <w:widowControl w:val="0"/>
              <w:tabs>
                <w:tab w:val="clear" w:pos="567"/>
              </w:tabs>
              <w:spacing w:line="240" w:lineRule="auto"/>
              <w:rPr>
                <w:spacing w:val="4"/>
                <w:szCs w:val="22"/>
                <w:lang w:val="sr-Latn-ME" w:eastAsia="hu-HU"/>
              </w:rPr>
            </w:pPr>
            <w:r w:rsidRPr="00E33ED2">
              <w:rPr>
                <w:szCs w:val="22"/>
                <w:lang w:val="sr-Latn-ME" w:eastAsia="sl-SI"/>
              </w:rPr>
              <w:t>Veoma</w:t>
            </w:r>
            <w:r w:rsidR="00660900" w:rsidRPr="00E33ED2">
              <w:rPr>
                <w:szCs w:val="22"/>
                <w:lang w:val="sr-Latn-ME" w:eastAsia="sl-SI"/>
              </w:rPr>
              <w:t xml:space="preserve"> rijetko</w:t>
            </w:r>
          </w:p>
        </w:tc>
      </w:tr>
      <w:tr w:rsidR="00660900" w:rsidRPr="00E33ED2" w14:paraId="195CDF98" w14:textId="77777777" w:rsidTr="00660900">
        <w:tc>
          <w:tcPr>
            <w:tcW w:w="1718" w:type="pct"/>
            <w:tcBorders>
              <w:top w:val="outset" w:sz="6" w:space="0" w:color="auto"/>
              <w:left w:val="outset" w:sz="6" w:space="0" w:color="auto"/>
              <w:bottom w:val="outset" w:sz="6" w:space="0" w:color="auto"/>
              <w:right w:val="outset" w:sz="6" w:space="0" w:color="auto"/>
            </w:tcBorders>
            <w:hideMark/>
          </w:tcPr>
          <w:p w14:paraId="69A7A13F"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b/>
                <w:spacing w:val="4"/>
                <w:szCs w:val="22"/>
                <w:lang w:val="sr-Latn-ME" w:eastAsia="sl-SI"/>
              </w:rPr>
              <w:t>Poremećaji jetre i žuči</w:t>
            </w:r>
          </w:p>
        </w:tc>
        <w:tc>
          <w:tcPr>
            <w:tcW w:w="2282" w:type="pct"/>
            <w:tcBorders>
              <w:top w:val="outset" w:sz="6" w:space="0" w:color="auto"/>
              <w:left w:val="outset" w:sz="6" w:space="0" w:color="auto"/>
              <w:bottom w:val="outset" w:sz="6" w:space="0" w:color="auto"/>
              <w:right w:val="outset" w:sz="6" w:space="0" w:color="auto"/>
            </w:tcBorders>
            <w:hideMark/>
          </w:tcPr>
          <w:p w14:paraId="5EE1D18A"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 xml:space="preserve">Hepatitis, </w:t>
            </w:r>
            <w:r w:rsidR="00563ABC" w:rsidRPr="00E33ED2">
              <w:rPr>
                <w:szCs w:val="22"/>
                <w:lang w:val="sr-Latn-ME"/>
              </w:rPr>
              <w:t xml:space="preserve">citolitički ili holestatski </w:t>
            </w:r>
            <w:r w:rsidRPr="00E33ED2">
              <w:rPr>
                <w:szCs w:val="22"/>
                <w:lang w:val="sr-Latn-ME" w:eastAsia="sl-SI"/>
              </w:rPr>
              <w:t>(vidjeti dio 4.4)</w:t>
            </w:r>
          </w:p>
        </w:tc>
        <w:tc>
          <w:tcPr>
            <w:tcW w:w="1000" w:type="pct"/>
            <w:tcBorders>
              <w:top w:val="outset" w:sz="6" w:space="0" w:color="auto"/>
              <w:left w:val="outset" w:sz="6" w:space="0" w:color="auto"/>
              <w:bottom w:val="outset" w:sz="6" w:space="0" w:color="auto"/>
              <w:right w:val="outset" w:sz="6" w:space="0" w:color="auto"/>
            </w:tcBorders>
            <w:hideMark/>
          </w:tcPr>
          <w:p w14:paraId="18308B4E" w14:textId="77777777" w:rsidR="00660900" w:rsidRPr="00E33ED2" w:rsidRDefault="00563ABC" w:rsidP="00660900">
            <w:pPr>
              <w:widowControl w:val="0"/>
              <w:tabs>
                <w:tab w:val="clear" w:pos="567"/>
              </w:tabs>
              <w:spacing w:line="240" w:lineRule="auto"/>
              <w:rPr>
                <w:spacing w:val="4"/>
                <w:szCs w:val="22"/>
                <w:lang w:val="sr-Latn-ME" w:eastAsia="hu-HU"/>
              </w:rPr>
            </w:pPr>
            <w:r w:rsidRPr="00E33ED2">
              <w:rPr>
                <w:szCs w:val="22"/>
                <w:lang w:val="sr-Latn-ME" w:eastAsia="sl-SI"/>
              </w:rPr>
              <w:t>Veoma</w:t>
            </w:r>
            <w:r w:rsidR="00660900" w:rsidRPr="00E33ED2">
              <w:rPr>
                <w:szCs w:val="22"/>
                <w:lang w:val="sr-Latn-ME" w:eastAsia="sl-SI"/>
              </w:rPr>
              <w:t xml:space="preserve"> rijetko</w:t>
            </w:r>
          </w:p>
        </w:tc>
      </w:tr>
      <w:tr w:rsidR="00660900" w:rsidRPr="00E33ED2" w14:paraId="5966FDA4" w14:textId="77777777" w:rsidTr="00660900">
        <w:tc>
          <w:tcPr>
            <w:tcW w:w="1718" w:type="pct"/>
            <w:vMerge w:val="restart"/>
            <w:tcBorders>
              <w:top w:val="outset" w:sz="6" w:space="0" w:color="auto"/>
              <w:left w:val="outset" w:sz="6" w:space="0" w:color="auto"/>
              <w:bottom w:val="outset" w:sz="6" w:space="0" w:color="auto"/>
              <w:right w:val="outset" w:sz="6" w:space="0" w:color="auto"/>
            </w:tcBorders>
            <w:hideMark/>
          </w:tcPr>
          <w:p w14:paraId="1AFA7CCC"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b/>
                <w:spacing w:val="4"/>
                <w:szCs w:val="22"/>
                <w:lang w:val="sr-Latn-ME" w:eastAsia="sl-SI"/>
              </w:rPr>
              <w:t>Poremećaji kože i potkožnog tkiva</w:t>
            </w:r>
          </w:p>
        </w:tc>
        <w:tc>
          <w:tcPr>
            <w:tcW w:w="2282" w:type="pct"/>
            <w:tcBorders>
              <w:top w:val="outset" w:sz="6" w:space="0" w:color="auto"/>
              <w:left w:val="outset" w:sz="6" w:space="0" w:color="auto"/>
              <w:bottom w:val="outset" w:sz="6" w:space="0" w:color="auto"/>
              <w:right w:val="outset" w:sz="6" w:space="0" w:color="auto"/>
            </w:tcBorders>
            <w:hideMark/>
          </w:tcPr>
          <w:p w14:paraId="169268E4"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Pruritus</w:t>
            </w:r>
          </w:p>
        </w:tc>
        <w:tc>
          <w:tcPr>
            <w:tcW w:w="1000" w:type="pct"/>
            <w:tcBorders>
              <w:top w:val="outset" w:sz="6" w:space="0" w:color="auto"/>
              <w:left w:val="outset" w:sz="6" w:space="0" w:color="auto"/>
              <w:bottom w:val="outset" w:sz="6" w:space="0" w:color="auto"/>
              <w:right w:val="outset" w:sz="6" w:space="0" w:color="auto"/>
            </w:tcBorders>
            <w:hideMark/>
          </w:tcPr>
          <w:p w14:paraId="09CEB0F3"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Često</w:t>
            </w:r>
          </w:p>
        </w:tc>
      </w:tr>
      <w:tr w:rsidR="00660900" w:rsidRPr="00E33ED2" w14:paraId="338A4FEE"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5F1D7297"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07C1E7EC"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Osip</w:t>
            </w:r>
          </w:p>
        </w:tc>
        <w:tc>
          <w:tcPr>
            <w:tcW w:w="1000" w:type="pct"/>
            <w:tcBorders>
              <w:top w:val="outset" w:sz="6" w:space="0" w:color="auto"/>
              <w:left w:val="outset" w:sz="6" w:space="0" w:color="auto"/>
              <w:bottom w:val="outset" w:sz="6" w:space="0" w:color="auto"/>
              <w:right w:val="outset" w:sz="6" w:space="0" w:color="auto"/>
            </w:tcBorders>
            <w:hideMark/>
          </w:tcPr>
          <w:p w14:paraId="34EAECC7"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Često</w:t>
            </w:r>
          </w:p>
        </w:tc>
      </w:tr>
      <w:tr w:rsidR="00660900" w:rsidRPr="00E33ED2" w14:paraId="4C894445"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5C293BCB"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34E7CEE3"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Urtikarija (vidjeti dio 4.4)</w:t>
            </w:r>
          </w:p>
        </w:tc>
        <w:tc>
          <w:tcPr>
            <w:tcW w:w="1000" w:type="pct"/>
            <w:tcBorders>
              <w:top w:val="outset" w:sz="6" w:space="0" w:color="auto"/>
              <w:left w:val="outset" w:sz="6" w:space="0" w:color="auto"/>
              <w:bottom w:val="outset" w:sz="6" w:space="0" w:color="auto"/>
              <w:right w:val="outset" w:sz="6" w:space="0" w:color="auto"/>
            </w:tcBorders>
            <w:hideMark/>
          </w:tcPr>
          <w:p w14:paraId="3BF8A2C5" w14:textId="2D8B7A80" w:rsidR="00660900" w:rsidRPr="00E33ED2" w:rsidRDefault="00FF6925" w:rsidP="00660900">
            <w:pPr>
              <w:widowControl w:val="0"/>
              <w:tabs>
                <w:tab w:val="clear" w:pos="567"/>
              </w:tabs>
              <w:spacing w:line="240" w:lineRule="auto"/>
              <w:rPr>
                <w:spacing w:val="4"/>
                <w:szCs w:val="22"/>
                <w:lang w:val="sr-Latn-ME" w:eastAsia="hu-HU"/>
              </w:rPr>
            </w:pPr>
            <w:r w:rsidRPr="00E33ED2">
              <w:rPr>
                <w:spacing w:val="4"/>
                <w:szCs w:val="22"/>
                <w:lang w:val="sr-Latn-ME" w:eastAsia="hu-HU"/>
              </w:rPr>
              <w:t>Povremeno</w:t>
            </w:r>
          </w:p>
        </w:tc>
      </w:tr>
      <w:tr w:rsidR="00660900" w:rsidRPr="00E33ED2" w14:paraId="348F011C"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490CE9B3"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0F6E61AE" w14:textId="5AE742A9"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 xml:space="preserve">Angioedem lica, </w:t>
            </w:r>
            <w:r w:rsidR="00563ABC" w:rsidRPr="00E33ED2">
              <w:rPr>
                <w:szCs w:val="22"/>
                <w:lang w:val="sr-Latn-ME"/>
              </w:rPr>
              <w:t>ekstremiteta</w:t>
            </w:r>
            <w:r w:rsidRPr="00E33ED2">
              <w:rPr>
                <w:szCs w:val="22"/>
                <w:lang w:val="sr-Latn-ME" w:eastAsia="sl-SI"/>
              </w:rPr>
              <w:t>, usana, sluz</w:t>
            </w:r>
            <w:r w:rsidR="00A7190B" w:rsidRPr="00E33ED2">
              <w:rPr>
                <w:szCs w:val="22"/>
                <w:lang w:val="sr-Latn-ME" w:eastAsia="sl-SI"/>
              </w:rPr>
              <w:t>okože</w:t>
            </w:r>
            <w:r w:rsidRPr="00E33ED2">
              <w:rPr>
                <w:szCs w:val="22"/>
                <w:lang w:val="sr-Latn-ME" w:eastAsia="sl-SI"/>
              </w:rPr>
              <w:t>, jezika, glotisa i/ili grkljana (vidjeti dio 4.4)</w:t>
            </w:r>
          </w:p>
        </w:tc>
        <w:tc>
          <w:tcPr>
            <w:tcW w:w="1000" w:type="pct"/>
            <w:tcBorders>
              <w:top w:val="outset" w:sz="6" w:space="0" w:color="auto"/>
              <w:left w:val="outset" w:sz="6" w:space="0" w:color="auto"/>
              <w:bottom w:val="outset" w:sz="6" w:space="0" w:color="auto"/>
              <w:right w:val="outset" w:sz="6" w:space="0" w:color="auto"/>
            </w:tcBorders>
            <w:hideMark/>
          </w:tcPr>
          <w:p w14:paraId="18A60809" w14:textId="74F53624" w:rsidR="00660900" w:rsidRPr="00E33ED2" w:rsidRDefault="00FF6925" w:rsidP="00660900">
            <w:pPr>
              <w:widowControl w:val="0"/>
              <w:tabs>
                <w:tab w:val="clear" w:pos="567"/>
              </w:tabs>
              <w:spacing w:line="240" w:lineRule="auto"/>
              <w:rPr>
                <w:spacing w:val="4"/>
                <w:szCs w:val="22"/>
                <w:lang w:val="sr-Latn-ME" w:eastAsia="hu-HU"/>
              </w:rPr>
            </w:pPr>
            <w:r w:rsidRPr="00E33ED2">
              <w:rPr>
                <w:spacing w:val="4"/>
                <w:szCs w:val="22"/>
                <w:lang w:val="sr-Latn-ME" w:eastAsia="hu-HU"/>
              </w:rPr>
              <w:t>Povremeno</w:t>
            </w:r>
          </w:p>
        </w:tc>
      </w:tr>
      <w:tr w:rsidR="00660900" w:rsidRPr="00E33ED2" w14:paraId="32938742"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6D2A5FB8"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0DA6F9CD"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Reakcije fotosenzitivnosti</w:t>
            </w:r>
          </w:p>
        </w:tc>
        <w:tc>
          <w:tcPr>
            <w:tcW w:w="1000" w:type="pct"/>
            <w:tcBorders>
              <w:top w:val="outset" w:sz="6" w:space="0" w:color="auto"/>
              <w:left w:val="outset" w:sz="6" w:space="0" w:color="auto"/>
              <w:bottom w:val="outset" w:sz="6" w:space="0" w:color="auto"/>
              <w:right w:val="outset" w:sz="6" w:space="0" w:color="auto"/>
            </w:tcBorders>
            <w:hideMark/>
          </w:tcPr>
          <w:p w14:paraId="59C9ECF0" w14:textId="7E2B00BB" w:rsidR="00660900" w:rsidRPr="00E33ED2" w:rsidRDefault="00FF6925" w:rsidP="00660900">
            <w:pPr>
              <w:widowControl w:val="0"/>
              <w:tabs>
                <w:tab w:val="clear" w:pos="567"/>
              </w:tabs>
              <w:spacing w:line="240" w:lineRule="auto"/>
              <w:rPr>
                <w:spacing w:val="4"/>
                <w:szCs w:val="22"/>
                <w:lang w:val="sr-Latn-ME" w:eastAsia="hu-HU"/>
              </w:rPr>
            </w:pPr>
            <w:r w:rsidRPr="00E33ED2">
              <w:rPr>
                <w:spacing w:val="4"/>
                <w:szCs w:val="22"/>
                <w:lang w:val="sr-Latn-ME" w:eastAsia="hu-HU"/>
              </w:rPr>
              <w:t>Povremeno</w:t>
            </w:r>
            <w:r w:rsidR="00660900" w:rsidRPr="00E33ED2">
              <w:rPr>
                <w:szCs w:val="22"/>
                <w:lang w:val="sr-Latn-ME" w:eastAsia="sl-SI"/>
              </w:rPr>
              <w:t>*</w:t>
            </w:r>
          </w:p>
        </w:tc>
      </w:tr>
      <w:tr w:rsidR="00660900" w:rsidRPr="00E33ED2" w14:paraId="16877B01"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60B8C12C"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2AD798CA"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Pemfigus</w:t>
            </w:r>
          </w:p>
        </w:tc>
        <w:tc>
          <w:tcPr>
            <w:tcW w:w="1000" w:type="pct"/>
            <w:tcBorders>
              <w:top w:val="outset" w:sz="6" w:space="0" w:color="auto"/>
              <w:left w:val="outset" w:sz="6" w:space="0" w:color="auto"/>
              <w:bottom w:val="outset" w:sz="6" w:space="0" w:color="auto"/>
              <w:right w:val="outset" w:sz="6" w:space="0" w:color="auto"/>
            </w:tcBorders>
            <w:hideMark/>
          </w:tcPr>
          <w:p w14:paraId="2C0D5520" w14:textId="5C671811" w:rsidR="00660900" w:rsidRPr="00E33ED2" w:rsidRDefault="00FF6925" w:rsidP="00660900">
            <w:pPr>
              <w:widowControl w:val="0"/>
              <w:tabs>
                <w:tab w:val="clear" w:pos="567"/>
              </w:tabs>
              <w:spacing w:line="240" w:lineRule="auto"/>
              <w:rPr>
                <w:spacing w:val="4"/>
                <w:szCs w:val="22"/>
                <w:lang w:val="sr-Latn-ME" w:eastAsia="hu-HU"/>
              </w:rPr>
            </w:pPr>
            <w:r w:rsidRPr="00E33ED2">
              <w:rPr>
                <w:spacing w:val="4"/>
                <w:szCs w:val="22"/>
                <w:lang w:val="sr-Latn-ME" w:eastAsia="hu-HU"/>
              </w:rPr>
              <w:t>Povremeno</w:t>
            </w:r>
            <w:r w:rsidR="00660900" w:rsidRPr="00E33ED2">
              <w:rPr>
                <w:szCs w:val="22"/>
                <w:lang w:val="sr-Latn-ME" w:eastAsia="sl-SI"/>
              </w:rPr>
              <w:t>*</w:t>
            </w:r>
          </w:p>
        </w:tc>
      </w:tr>
      <w:tr w:rsidR="00660900" w:rsidRPr="00E33ED2" w14:paraId="48523F65"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668688B0"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5236B209"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Hiperhidroza</w:t>
            </w:r>
          </w:p>
        </w:tc>
        <w:tc>
          <w:tcPr>
            <w:tcW w:w="1000" w:type="pct"/>
            <w:tcBorders>
              <w:top w:val="outset" w:sz="6" w:space="0" w:color="auto"/>
              <w:left w:val="outset" w:sz="6" w:space="0" w:color="auto"/>
              <w:bottom w:val="outset" w:sz="6" w:space="0" w:color="auto"/>
              <w:right w:val="outset" w:sz="6" w:space="0" w:color="auto"/>
            </w:tcBorders>
            <w:hideMark/>
          </w:tcPr>
          <w:p w14:paraId="1758E4E7" w14:textId="7A132EDF" w:rsidR="00660900" w:rsidRPr="00E33ED2" w:rsidRDefault="00FF6925" w:rsidP="00660900">
            <w:pPr>
              <w:widowControl w:val="0"/>
              <w:tabs>
                <w:tab w:val="clear" w:pos="567"/>
              </w:tabs>
              <w:spacing w:line="240" w:lineRule="auto"/>
              <w:rPr>
                <w:spacing w:val="4"/>
                <w:szCs w:val="22"/>
                <w:lang w:val="sr-Latn-ME" w:eastAsia="hu-HU"/>
              </w:rPr>
            </w:pPr>
            <w:r w:rsidRPr="00E33ED2">
              <w:rPr>
                <w:spacing w:val="4"/>
                <w:szCs w:val="22"/>
                <w:lang w:val="sr-Latn-ME" w:eastAsia="hu-HU"/>
              </w:rPr>
              <w:t>Povremeno</w:t>
            </w:r>
          </w:p>
        </w:tc>
      </w:tr>
      <w:tr w:rsidR="00660900" w:rsidRPr="00E33ED2" w14:paraId="0B946633"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tcPr>
          <w:p w14:paraId="1656D87D"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tcPr>
          <w:p w14:paraId="1CBC023D" w14:textId="77777777" w:rsidR="00660900" w:rsidRPr="00E33ED2" w:rsidRDefault="00660900" w:rsidP="00660900">
            <w:pPr>
              <w:tabs>
                <w:tab w:val="clear" w:pos="567"/>
              </w:tabs>
              <w:spacing w:line="240" w:lineRule="auto"/>
              <w:rPr>
                <w:szCs w:val="22"/>
                <w:u w:val="single"/>
                <w:lang w:val="sr-Latn-ME" w:eastAsia="sl-SI"/>
              </w:rPr>
            </w:pPr>
            <w:r w:rsidRPr="00E33ED2">
              <w:rPr>
                <w:szCs w:val="22"/>
                <w:lang w:val="sr-Latn-ME" w:eastAsia="sl-SI"/>
              </w:rPr>
              <w:t>Pogoršanje psorijaze</w:t>
            </w:r>
          </w:p>
        </w:tc>
        <w:tc>
          <w:tcPr>
            <w:tcW w:w="1000" w:type="pct"/>
            <w:tcBorders>
              <w:top w:val="outset" w:sz="6" w:space="0" w:color="auto"/>
              <w:left w:val="outset" w:sz="6" w:space="0" w:color="auto"/>
              <w:bottom w:val="outset" w:sz="6" w:space="0" w:color="auto"/>
              <w:right w:val="outset" w:sz="6" w:space="0" w:color="auto"/>
            </w:tcBorders>
          </w:tcPr>
          <w:p w14:paraId="73AE94EE"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pacing w:val="4"/>
                <w:szCs w:val="22"/>
                <w:lang w:val="sr-Latn-ME" w:eastAsia="hu-HU"/>
              </w:rPr>
              <w:t>Rijetko*</w:t>
            </w:r>
          </w:p>
        </w:tc>
      </w:tr>
      <w:tr w:rsidR="00660900" w:rsidRPr="00E33ED2" w14:paraId="00E29D33"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57217031"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38D9F473"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Multiformni eritem</w:t>
            </w:r>
          </w:p>
        </w:tc>
        <w:tc>
          <w:tcPr>
            <w:tcW w:w="1000" w:type="pct"/>
            <w:tcBorders>
              <w:top w:val="outset" w:sz="6" w:space="0" w:color="auto"/>
              <w:left w:val="outset" w:sz="6" w:space="0" w:color="auto"/>
              <w:bottom w:val="outset" w:sz="6" w:space="0" w:color="auto"/>
              <w:right w:val="outset" w:sz="6" w:space="0" w:color="auto"/>
            </w:tcBorders>
            <w:hideMark/>
          </w:tcPr>
          <w:p w14:paraId="1C83A1CB" w14:textId="77777777" w:rsidR="00660900" w:rsidRPr="00E33ED2" w:rsidRDefault="00563ABC" w:rsidP="00660900">
            <w:pPr>
              <w:widowControl w:val="0"/>
              <w:tabs>
                <w:tab w:val="clear" w:pos="567"/>
              </w:tabs>
              <w:spacing w:line="240" w:lineRule="auto"/>
              <w:rPr>
                <w:spacing w:val="4"/>
                <w:szCs w:val="22"/>
                <w:lang w:val="sr-Latn-ME" w:eastAsia="hu-HU"/>
              </w:rPr>
            </w:pPr>
            <w:r w:rsidRPr="00E33ED2">
              <w:rPr>
                <w:spacing w:val="4"/>
                <w:szCs w:val="22"/>
                <w:lang w:val="sr-Latn-ME" w:eastAsia="hu-HU"/>
              </w:rPr>
              <w:t>Veoma</w:t>
            </w:r>
            <w:r w:rsidR="00660900" w:rsidRPr="00E33ED2">
              <w:rPr>
                <w:spacing w:val="4"/>
                <w:szCs w:val="22"/>
                <w:lang w:val="sr-Latn-ME" w:eastAsia="hu-HU"/>
              </w:rPr>
              <w:t xml:space="preserve"> rijetko</w:t>
            </w:r>
          </w:p>
        </w:tc>
      </w:tr>
      <w:tr w:rsidR="00660900" w:rsidRPr="00E33ED2" w14:paraId="59B4F42D" w14:textId="77777777" w:rsidTr="00660900">
        <w:tc>
          <w:tcPr>
            <w:tcW w:w="1718" w:type="pct"/>
            <w:vMerge w:val="restart"/>
            <w:tcBorders>
              <w:top w:val="outset" w:sz="6" w:space="0" w:color="auto"/>
              <w:left w:val="outset" w:sz="6" w:space="0" w:color="auto"/>
              <w:bottom w:val="outset" w:sz="6" w:space="0" w:color="auto"/>
              <w:right w:val="outset" w:sz="6" w:space="0" w:color="auto"/>
            </w:tcBorders>
            <w:hideMark/>
          </w:tcPr>
          <w:p w14:paraId="10B566B3" w14:textId="77777777" w:rsidR="00660900" w:rsidRPr="00E33ED2" w:rsidRDefault="00660900" w:rsidP="00563ABC">
            <w:pPr>
              <w:widowControl w:val="0"/>
              <w:tabs>
                <w:tab w:val="clear" w:pos="567"/>
              </w:tabs>
              <w:spacing w:line="240" w:lineRule="auto"/>
              <w:rPr>
                <w:spacing w:val="4"/>
                <w:szCs w:val="22"/>
                <w:lang w:val="sr-Latn-ME" w:eastAsia="hu-HU"/>
              </w:rPr>
            </w:pPr>
            <w:r w:rsidRPr="00E33ED2">
              <w:rPr>
                <w:b/>
                <w:bCs/>
                <w:szCs w:val="22"/>
                <w:lang w:val="sr-Latn-ME" w:eastAsia="sl-SI"/>
              </w:rPr>
              <w:t xml:space="preserve">Poremećaji mišićno-koštanog </w:t>
            </w:r>
            <w:r w:rsidR="00563ABC" w:rsidRPr="00E33ED2">
              <w:rPr>
                <w:b/>
                <w:bCs/>
                <w:szCs w:val="22"/>
                <w:lang w:val="sr-Latn-ME" w:eastAsia="sl-SI"/>
              </w:rPr>
              <w:t xml:space="preserve">sistema </w:t>
            </w:r>
            <w:r w:rsidRPr="00E33ED2">
              <w:rPr>
                <w:b/>
                <w:bCs/>
                <w:szCs w:val="22"/>
                <w:lang w:val="sr-Latn-ME" w:eastAsia="sl-SI"/>
              </w:rPr>
              <w:t>i vezivnog tkiva</w:t>
            </w:r>
          </w:p>
        </w:tc>
        <w:tc>
          <w:tcPr>
            <w:tcW w:w="2282" w:type="pct"/>
            <w:tcBorders>
              <w:top w:val="outset" w:sz="6" w:space="0" w:color="auto"/>
              <w:left w:val="outset" w:sz="6" w:space="0" w:color="auto"/>
              <w:bottom w:val="outset" w:sz="6" w:space="0" w:color="auto"/>
              <w:right w:val="outset" w:sz="6" w:space="0" w:color="auto"/>
            </w:tcBorders>
            <w:hideMark/>
          </w:tcPr>
          <w:p w14:paraId="1A31AB36"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Grčevi u mišićima</w:t>
            </w:r>
          </w:p>
        </w:tc>
        <w:tc>
          <w:tcPr>
            <w:tcW w:w="1000" w:type="pct"/>
            <w:tcBorders>
              <w:top w:val="outset" w:sz="6" w:space="0" w:color="auto"/>
              <w:left w:val="outset" w:sz="6" w:space="0" w:color="auto"/>
              <w:bottom w:val="outset" w:sz="6" w:space="0" w:color="auto"/>
              <w:right w:val="outset" w:sz="6" w:space="0" w:color="auto"/>
            </w:tcBorders>
            <w:hideMark/>
          </w:tcPr>
          <w:p w14:paraId="7E81EED9"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Često</w:t>
            </w:r>
          </w:p>
        </w:tc>
      </w:tr>
      <w:tr w:rsidR="00660900" w:rsidRPr="00E33ED2" w14:paraId="4EDF0DF5"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0E0855D1"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70D0E2E1"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Artralgija</w:t>
            </w:r>
          </w:p>
        </w:tc>
        <w:tc>
          <w:tcPr>
            <w:tcW w:w="1000" w:type="pct"/>
            <w:tcBorders>
              <w:top w:val="outset" w:sz="6" w:space="0" w:color="auto"/>
              <w:left w:val="outset" w:sz="6" w:space="0" w:color="auto"/>
              <w:bottom w:val="outset" w:sz="6" w:space="0" w:color="auto"/>
              <w:right w:val="outset" w:sz="6" w:space="0" w:color="auto"/>
            </w:tcBorders>
            <w:hideMark/>
          </w:tcPr>
          <w:p w14:paraId="189CB52C" w14:textId="4CFA1407" w:rsidR="00660900" w:rsidRPr="00E33ED2" w:rsidRDefault="00FF6925" w:rsidP="00660900">
            <w:pPr>
              <w:widowControl w:val="0"/>
              <w:tabs>
                <w:tab w:val="clear" w:pos="567"/>
              </w:tabs>
              <w:spacing w:line="240" w:lineRule="auto"/>
              <w:rPr>
                <w:spacing w:val="4"/>
                <w:szCs w:val="22"/>
                <w:lang w:val="sr-Latn-ME" w:eastAsia="hu-HU"/>
              </w:rPr>
            </w:pPr>
            <w:r w:rsidRPr="00E33ED2">
              <w:rPr>
                <w:spacing w:val="4"/>
                <w:szCs w:val="22"/>
                <w:lang w:val="sr-Latn-ME" w:eastAsia="hu-HU"/>
              </w:rPr>
              <w:t>Povremeno</w:t>
            </w:r>
            <w:r w:rsidR="00660900" w:rsidRPr="00E33ED2">
              <w:rPr>
                <w:szCs w:val="22"/>
                <w:lang w:val="sr-Latn-ME" w:eastAsia="sl-SI"/>
              </w:rPr>
              <w:t>*</w:t>
            </w:r>
          </w:p>
        </w:tc>
      </w:tr>
      <w:tr w:rsidR="00660900" w:rsidRPr="00E33ED2" w14:paraId="20C1C86A"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5E2759F3"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26B2B956"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Mialgija</w:t>
            </w:r>
          </w:p>
        </w:tc>
        <w:tc>
          <w:tcPr>
            <w:tcW w:w="1000" w:type="pct"/>
            <w:tcBorders>
              <w:top w:val="outset" w:sz="6" w:space="0" w:color="auto"/>
              <w:left w:val="outset" w:sz="6" w:space="0" w:color="auto"/>
              <w:bottom w:val="outset" w:sz="6" w:space="0" w:color="auto"/>
              <w:right w:val="outset" w:sz="6" w:space="0" w:color="auto"/>
            </w:tcBorders>
            <w:hideMark/>
          </w:tcPr>
          <w:p w14:paraId="317CEDF6" w14:textId="7B614F2B" w:rsidR="00660900" w:rsidRPr="00E33ED2" w:rsidRDefault="00FF6925" w:rsidP="00660900">
            <w:pPr>
              <w:widowControl w:val="0"/>
              <w:tabs>
                <w:tab w:val="clear" w:pos="567"/>
              </w:tabs>
              <w:spacing w:line="240" w:lineRule="auto"/>
              <w:rPr>
                <w:spacing w:val="4"/>
                <w:szCs w:val="22"/>
                <w:lang w:val="sr-Latn-ME" w:eastAsia="hu-HU"/>
              </w:rPr>
            </w:pPr>
            <w:r w:rsidRPr="00E33ED2">
              <w:rPr>
                <w:spacing w:val="4"/>
                <w:szCs w:val="22"/>
                <w:lang w:val="sr-Latn-ME" w:eastAsia="hu-HU"/>
              </w:rPr>
              <w:t>Povremeno</w:t>
            </w:r>
            <w:r w:rsidR="00660900" w:rsidRPr="00E33ED2">
              <w:rPr>
                <w:szCs w:val="22"/>
                <w:lang w:val="sr-Latn-ME" w:eastAsia="sl-SI"/>
              </w:rPr>
              <w:t>*</w:t>
            </w:r>
          </w:p>
        </w:tc>
      </w:tr>
      <w:tr w:rsidR="00660900" w:rsidRPr="00E33ED2" w14:paraId="411D1E98" w14:textId="77777777" w:rsidTr="00660900">
        <w:tc>
          <w:tcPr>
            <w:tcW w:w="1718" w:type="pct"/>
            <w:vMerge w:val="restart"/>
            <w:tcBorders>
              <w:top w:val="outset" w:sz="6" w:space="0" w:color="auto"/>
              <w:left w:val="outset" w:sz="6" w:space="0" w:color="auto"/>
              <w:right w:val="outset" w:sz="6" w:space="0" w:color="auto"/>
            </w:tcBorders>
            <w:hideMark/>
          </w:tcPr>
          <w:p w14:paraId="45326060"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b/>
                <w:bCs/>
                <w:szCs w:val="22"/>
                <w:lang w:val="sr-Latn-ME" w:eastAsia="sl-SI"/>
              </w:rPr>
              <w:t xml:space="preserve">Poremećaji bubrega i </w:t>
            </w:r>
            <w:r w:rsidR="00563ABC" w:rsidRPr="00E33ED2">
              <w:rPr>
                <w:b/>
                <w:bCs/>
                <w:szCs w:val="22"/>
                <w:lang w:val="sr-Latn-ME"/>
              </w:rPr>
              <w:t>urinarnog sistema</w:t>
            </w:r>
          </w:p>
        </w:tc>
        <w:tc>
          <w:tcPr>
            <w:tcW w:w="2282" w:type="pct"/>
            <w:tcBorders>
              <w:top w:val="outset" w:sz="6" w:space="0" w:color="auto"/>
              <w:left w:val="outset" w:sz="6" w:space="0" w:color="auto"/>
              <w:bottom w:val="outset" w:sz="6" w:space="0" w:color="auto"/>
              <w:right w:val="outset" w:sz="6" w:space="0" w:color="auto"/>
            </w:tcBorders>
            <w:hideMark/>
          </w:tcPr>
          <w:p w14:paraId="38A822DC"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Insuficijencija bubrega</w:t>
            </w:r>
          </w:p>
        </w:tc>
        <w:tc>
          <w:tcPr>
            <w:tcW w:w="1000" w:type="pct"/>
            <w:tcBorders>
              <w:top w:val="outset" w:sz="6" w:space="0" w:color="auto"/>
              <w:left w:val="outset" w:sz="6" w:space="0" w:color="auto"/>
              <w:bottom w:val="outset" w:sz="6" w:space="0" w:color="auto"/>
              <w:right w:val="outset" w:sz="6" w:space="0" w:color="auto"/>
            </w:tcBorders>
            <w:hideMark/>
          </w:tcPr>
          <w:p w14:paraId="254E1F8D" w14:textId="5F271FE0" w:rsidR="00660900" w:rsidRPr="00E33ED2" w:rsidRDefault="00FF6925" w:rsidP="00660900">
            <w:pPr>
              <w:widowControl w:val="0"/>
              <w:tabs>
                <w:tab w:val="clear" w:pos="567"/>
              </w:tabs>
              <w:spacing w:line="240" w:lineRule="auto"/>
              <w:rPr>
                <w:spacing w:val="4"/>
                <w:szCs w:val="22"/>
                <w:lang w:val="sr-Latn-ME" w:eastAsia="hu-HU"/>
              </w:rPr>
            </w:pPr>
            <w:r w:rsidRPr="00E33ED2">
              <w:rPr>
                <w:spacing w:val="4"/>
                <w:szCs w:val="22"/>
                <w:lang w:val="sr-Latn-ME" w:eastAsia="hu-HU"/>
              </w:rPr>
              <w:t>Povremeno</w:t>
            </w:r>
          </w:p>
        </w:tc>
      </w:tr>
      <w:tr w:rsidR="00563ABC" w:rsidRPr="00E33ED2" w14:paraId="774B12C7" w14:textId="77777777" w:rsidTr="00660900">
        <w:tc>
          <w:tcPr>
            <w:tcW w:w="1718" w:type="pct"/>
            <w:vMerge/>
            <w:tcBorders>
              <w:left w:val="outset" w:sz="6" w:space="0" w:color="auto"/>
              <w:right w:val="outset" w:sz="6" w:space="0" w:color="auto"/>
            </w:tcBorders>
            <w:vAlign w:val="center"/>
            <w:hideMark/>
          </w:tcPr>
          <w:p w14:paraId="152B73CE" w14:textId="77777777" w:rsidR="00563ABC" w:rsidRPr="00E33ED2" w:rsidRDefault="00563ABC" w:rsidP="00563ABC">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3F065D5C" w14:textId="77777777" w:rsidR="00563ABC" w:rsidRPr="00E33ED2" w:rsidRDefault="00563ABC" w:rsidP="00563ABC">
            <w:pPr>
              <w:widowControl w:val="0"/>
              <w:tabs>
                <w:tab w:val="clear" w:pos="567"/>
              </w:tabs>
              <w:spacing w:line="240" w:lineRule="auto"/>
              <w:rPr>
                <w:spacing w:val="4"/>
                <w:szCs w:val="22"/>
                <w:lang w:val="sr-Latn-ME" w:eastAsia="hu-HU"/>
              </w:rPr>
            </w:pPr>
            <w:r w:rsidRPr="00E33ED2">
              <w:rPr>
                <w:szCs w:val="22"/>
                <w:lang w:val="sr-Latn-ME"/>
              </w:rPr>
              <w:t>Akutna bubrežna insuficijencija</w:t>
            </w:r>
          </w:p>
        </w:tc>
        <w:tc>
          <w:tcPr>
            <w:tcW w:w="1000" w:type="pct"/>
            <w:tcBorders>
              <w:top w:val="outset" w:sz="6" w:space="0" w:color="auto"/>
              <w:left w:val="outset" w:sz="6" w:space="0" w:color="auto"/>
              <w:bottom w:val="outset" w:sz="6" w:space="0" w:color="auto"/>
              <w:right w:val="outset" w:sz="6" w:space="0" w:color="auto"/>
            </w:tcBorders>
            <w:hideMark/>
          </w:tcPr>
          <w:p w14:paraId="72385CBF" w14:textId="77777777" w:rsidR="00563ABC" w:rsidRPr="00E33ED2" w:rsidRDefault="00563ABC" w:rsidP="00563ABC">
            <w:pPr>
              <w:widowControl w:val="0"/>
              <w:tabs>
                <w:tab w:val="clear" w:pos="567"/>
              </w:tabs>
              <w:spacing w:line="240" w:lineRule="auto"/>
              <w:rPr>
                <w:spacing w:val="4"/>
                <w:szCs w:val="22"/>
                <w:lang w:val="sr-Latn-ME" w:eastAsia="hu-HU"/>
              </w:rPr>
            </w:pPr>
            <w:r w:rsidRPr="00E33ED2">
              <w:rPr>
                <w:spacing w:val="4"/>
                <w:szCs w:val="22"/>
                <w:lang w:val="sr-Latn-ME" w:eastAsia="hu-HU"/>
              </w:rPr>
              <w:t>Rijetko</w:t>
            </w:r>
          </w:p>
        </w:tc>
      </w:tr>
      <w:tr w:rsidR="00660900" w:rsidRPr="00E33ED2" w14:paraId="0A86037F" w14:textId="77777777" w:rsidTr="00660900">
        <w:tc>
          <w:tcPr>
            <w:tcW w:w="1718" w:type="pct"/>
            <w:vMerge/>
            <w:tcBorders>
              <w:left w:val="outset" w:sz="6" w:space="0" w:color="auto"/>
              <w:bottom w:val="outset" w:sz="6" w:space="0" w:color="auto"/>
              <w:right w:val="outset" w:sz="6" w:space="0" w:color="auto"/>
            </w:tcBorders>
            <w:vAlign w:val="center"/>
          </w:tcPr>
          <w:p w14:paraId="161C6531"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tcPr>
          <w:p w14:paraId="5A62B6E1"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pacing w:val="4"/>
                <w:szCs w:val="22"/>
                <w:lang w:val="sr-Latn-ME" w:eastAsia="hu-HU"/>
              </w:rPr>
              <w:t>Anurija/oligurija</w:t>
            </w:r>
          </w:p>
        </w:tc>
        <w:tc>
          <w:tcPr>
            <w:tcW w:w="1000" w:type="pct"/>
            <w:tcBorders>
              <w:top w:val="outset" w:sz="6" w:space="0" w:color="auto"/>
              <w:left w:val="outset" w:sz="6" w:space="0" w:color="auto"/>
              <w:bottom w:val="outset" w:sz="6" w:space="0" w:color="auto"/>
              <w:right w:val="outset" w:sz="6" w:space="0" w:color="auto"/>
            </w:tcBorders>
          </w:tcPr>
          <w:p w14:paraId="180ECAC7"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pacing w:val="4"/>
                <w:szCs w:val="22"/>
                <w:lang w:val="sr-Latn-ME" w:eastAsia="hu-HU"/>
              </w:rPr>
              <w:t>Rijetko</w:t>
            </w:r>
          </w:p>
        </w:tc>
      </w:tr>
      <w:tr w:rsidR="00563ABC" w:rsidRPr="00E33ED2" w14:paraId="7F7E100E" w14:textId="77777777" w:rsidTr="00660900">
        <w:tc>
          <w:tcPr>
            <w:tcW w:w="1718" w:type="pct"/>
            <w:tcBorders>
              <w:top w:val="outset" w:sz="6" w:space="0" w:color="auto"/>
              <w:left w:val="outset" w:sz="6" w:space="0" w:color="auto"/>
              <w:bottom w:val="outset" w:sz="6" w:space="0" w:color="auto"/>
              <w:right w:val="outset" w:sz="6" w:space="0" w:color="auto"/>
            </w:tcBorders>
            <w:hideMark/>
          </w:tcPr>
          <w:p w14:paraId="5240D263" w14:textId="77777777" w:rsidR="00563ABC" w:rsidRPr="00E33ED2" w:rsidRDefault="00563ABC" w:rsidP="00563ABC">
            <w:pPr>
              <w:widowControl w:val="0"/>
              <w:tabs>
                <w:tab w:val="clear" w:pos="567"/>
              </w:tabs>
              <w:spacing w:line="240" w:lineRule="auto"/>
              <w:rPr>
                <w:spacing w:val="4"/>
                <w:szCs w:val="22"/>
                <w:lang w:val="sr-Latn-ME" w:eastAsia="hu-HU"/>
              </w:rPr>
            </w:pPr>
            <w:r w:rsidRPr="00E33ED2">
              <w:rPr>
                <w:b/>
                <w:bCs/>
                <w:szCs w:val="22"/>
                <w:lang w:val="sr-Latn-ME"/>
              </w:rPr>
              <w:t>Poremećaji reproduktivnog sistema i dojki</w:t>
            </w:r>
          </w:p>
        </w:tc>
        <w:tc>
          <w:tcPr>
            <w:tcW w:w="2282" w:type="pct"/>
            <w:tcBorders>
              <w:top w:val="outset" w:sz="6" w:space="0" w:color="auto"/>
              <w:left w:val="outset" w:sz="6" w:space="0" w:color="auto"/>
              <w:bottom w:val="outset" w:sz="6" w:space="0" w:color="auto"/>
              <w:right w:val="outset" w:sz="6" w:space="0" w:color="auto"/>
            </w:tcBorders>
            <w:hideMark/>
          </w:tcPr>
          <w:p w14:paraId="1BD40319" w14:textId="77777777" w:rsidR="00563ABC" w:rsidRPr="00E33ED2" w:rsidRDefault="00563ABC" w:rsidP="00563ABC">
            <w:pPr>
              <w:widowControl w:val="0"/>
              <w:tabs>
                <w:tab w:val="clear" w:pos="567"/>
              </w:tabs>
              <w:spacing w:line="240" w:lineRule="auto"/>
              <w:rPr>
                <w:spacing w:val="4"/>
                <w:szCs w:val="22"/>
                <w:lang w:val="sr-Latn-ME" w:eastAsia="hu-HU"/>
              </w:rPr>
            </w:pPr>
            <w:r w:rsidRPr="00E33ED2">
              <w:rPr>
                <w:szCs w:val="22"/>
                <w:lang w:val="sr-Latn-ME" w:eastAsia="sl-SI"/>
              </w:rPr>
              <w:t>Erektilna disfunkcija</w:t>
            </w:r>
          </w:p>
        </w:tc>
        <w:tc>
          <w:tcPr>
            <w:tcW w:w="1000" w:type="pct"/>
            <w:tcBorders>
              <w:top w:val="outset" w:sz="6" w:space="0" w:color="auto"/>
              <w:left w:val="outset" w:sz="6" w:space="0" w:color="auto"/>
              <w:bottom w:val="outset" w:sz="6" w:space="0" w:color="auto"/>
              <w:right w:val="outset" w:sz="6" w:space="0" w:color="auto"/>
            </w:tcBorders>
            <w:hideMark/>
          </w:tcPr>
          <w:p w14:paraId="2F879579" w14:textId="7AFECCEE" w:rsidR="00563ABC" w:rsidRPr="00E33ED2" w:rsidRDefault="00FF6925" w:rsidP="00563ABC">
            <w:pPr>
              <w:widowControl w:val="0"/>
              <w:tabs>
                <w:tab w:val="clear" w:pos="567"/>
              </w:tabs>
              <w:spacing w:line="240" w:lineRule="auto"/>
              <w:rPr>
                <w:spacing w:val="4"/>
                <w:szCs w:val="22"/>
                <w:lang w:val="sr-Latn-ME" w:eastAsia="hu-HU"/>
              </w:rPr>
            </w:pPr>
            <w:r w:rsidRPr="00E33ED2">
              <w:rPr>
                <w:spacing w:val="4"/>
                <w:szCs w:val="22"/>
                <w:lang w:val="sr-Latn-ME" w:eastAsia="hu-HU"/>
              </w:rPr>
              <w:t>Povremeno</w:t>
            </w:r>
          </w:p>
        </w:tc>
      </w:tr>
      <w:tr w:rsidR="00660900" w:rsidRPr="00E33ED2" w14:paraId="2C90E084" w14:textId="77777777" w:rsidTr="00660900">
        <w:tc>
          <w:tcPr>
            <w:tcW w:w="1718" w:type="pct"/>
            <w:vMerge w:val="restart"/>
            <w:tcBorders>
              <w:top w:val="outset" w:sz="6" w:space="0" w:color="auto"/>
              <w:left w:val="outset" w:sz="6" w:space="0" w:color="auto"/>
              <w:bottom w:val="outset" w:sz="6" w:space="0" w:color="auto"/>
              <w:right w:val="outset" w:sz="6" w:space="0" w:color="auto"/>
            </w:tcBorders>
            <w:hideMark/>
          </w:tcPr>
          <w:p w14:paraId="223AE5C5" w14:textId="77777777" w:rsidR="00660900" w:rsidRPr="00E33ED2" w:rsidRDefault="00563ABC" w:rsidP="00660900">
            <w:pPr>
              <w:widowControl w:val="0"/>
              <w:tabs>
                <w:tab w:val="clear" w:pos="567"/>
              </w:tabs>
              <w:spacing w:line="240" w:lineRule="auto"/>
              <w:rPr>
                <w:spacing w:val="4"/>
                <w:szCs w:val="22"/>
                <w:lang w:val="sr-Latn-ME" w:eastAsia="hu-HU"/>
              </w:rPr>
            </w:pPr>
            <w:r w:rsidRPr="00E33ED2">
              <w:rPr>
                <w:b/>
                <w:bCs/>
                <w:szCs w:val="22"/>
                <w:lang w:val="sr-Latn-ME" w:eastAsia="sl-SI"/>
              </w:rPr>
              <w:t xml:space="preserve">Opšti </w:t>
            </w:r>
            <w:r w:rsidR="00660900" w:rsidRPr="00E33ED2">
              <w:rPr>
                <w:b/>
                <w:bCs/>
                <w:szCs w:val="22"/>
                <w:lang w:val="sr-Latn-ME" w:eastAsia="sl-SI"/>
              </w:rPr>
              <w:t>poremećaji i reakcije na mjestu primjene</w:t>
            </w:r>
          </w:p>
        </w:tc>
        <w:tc>
          <w:tcPr>
            <w:tcW w:w="2282" w:type="pct"/>
            <w:tcBorders>
              <w:top w:val="outset" w:sz="6" w:space="0" w:color="auto"/>
              <w:left w:val="outset" w:sz="6" w:space="0" w:color="auto"/>
              <w:bottom w:val="outset" w:sz="6" w:space="0" w:color="auto"/>
              <w:right w:val="outset" w:sz="6" w:space="0" w:color="auto"/>
            </w:tcBorders>
            <w:hideMark/>
          </w:tcPr>
          <w:p w14:paraId="488D73A2"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Astenija</w:t>
            </w:r>
          </w:p>
        </w:tc>
        <w:tc>
          <w:tcPr>
            <w:tcW w:w="1000" w:type="pct"/>
            <w:tcBorders>
              <w:top w:val="outset" w:sz="6" w:space="0" w:color="auto"/>
              <w:left w:val="outset" w:sz="6" w:space="0" w:color="auto"/>
              <w:bottom w:val="outset" w:sz="6" w:space="0" w:color="auto"/>
              <w:right w:val="outset" w:sz="6" w:space="0" w:color="auto"/>
            </w:tcBorders>
            <w:hideMark/>
          </w:tcPr>
          <w:p w14:paraId="7599E91C"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Često</w:t>
            </w:r>
          </w:p>
        </w:tc>
      </w:tr>
      <w:tr w:rsidR="00660900" w:rsidRPr="00E33ED2" w14:paraId="112EB74C"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4D01FFD8"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60C0DDC7"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Bol u prsima</w:t>
            </w:r>
          </w:p>
        </w:tc>
        <w:tc>
          <w:tcPr>
            <w:tcW w:w="1000" w:type="pct"/>
            <w:tcBorders>
              <w:top w:val="outset" w:sz="6" w:space="0" w:color="auto"/>
              <w:left w:val="outset" w:sz="6" w:space="0" w:color="auto"/>
              <w:bottom w:val="outset" w:sz="6" w:space="0" w:color="auto"/>
              <w:right w:val="outset" w:sz="6" w:space="0" w:color="auto"/>
            </w:tcBorders>
            <w:hideMark/>
          </w:tcPr>
          <w:p w14:paraId="6209131A" w14:textId="1C08D0A2" w:rsidR="00660900" w:rsidRPr="00E33ED2" w:rsidRDefault="00FF6925" w:rsidP="00660900">
            <w:pPr>
              <w:widowControl w:val="0"/>
              <w:tabs>
                <w:tab w:val="clear" w:pos="567"/>
              </w:tabs>
              <w:spacing w:line="240" w:lineRule="auto"/>
              <w:rPr>
                <w:spacing w:val="4"/>
                <w:szCs w:val="22"/>
                <w:lang w:val="sr-Latn-ME" w:eastAsia="hu-HU"/>
              </w:rPr>
            </w:pPr>
            <w:r w:rsidRPr="00E33ED2">
              <w:rPr>
                <w:spacing w:val="4"/>
                <w:szCs w:val="22"/>
                <w:lang w:val="sr-Latn-ME" w:eastAsia="hu-HU"/>
              </w:rPr>
              <w:t>Povremeno</w:t>
            </w:r>
            <w:r w:rsidR="00660900" w:rsidRPr="00E33ED2">
              <w:rPr>
                <w:szCs w:val="22"/>
                <w:lang w:val="sr-Latn-ME" w:eastAsia="sl-SI"/>
              </w:rPr>
              <w:t>*</w:t>
            </w:r>
          </w:p>
        </w:tc>
      </w:tr>
      <w:tr w:rsidR="00660900" w:rsidRPr="00E33ED2" w14:paraId="12906810"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483A92D6"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0A1FE660"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Malaksalost</w:t>
            </w:r>
          </w:p>
        </w:tc>
        <w:tc>
          <w:tcPr>
            <w:tcW w:w="1000" w:type="pct"/>
            <w:tcBorders>
              <w:top w:val="outset" w:sz="6" w:space="0" w:color="auto"/>
              <w:left w:val="outset" w:sz="6" w:space="0" w:color="auto"/>
              <w:bottom w:val="outset" w:sz="6" w:space="0" w:color="auto"/>
              <w:right w:val="outset" w:sz="6" w:space="0" w:color="auto"/>
            </w:tcBorders>
            <w:hideMark/>
          </w:tcPr>
          <w:p w14:paraId="04D5A10F" w14:textId="1938883B" w:rsidR="00660900" w:rsidRPr="00E33ED2" w:rsidRDefault="00FF6925" w:rsidP="00660900">
            <w:pPr>
              <w:widowControl w:val="0"/>
              <w:tabs>
                <w:tab w:val="clear" w:pos="567"/>
              </w:tabs>
              <w:spacing w:line="240" w:lineRule="auto"/>
              <w:rPr>
                <w:spacing w:val="4"/>
                <w:szCs w:val="22"/>
                <w:lang w:val="sr-Latn-ME" w:eastAsia="hu-HU"/>
              </w:rPr>
            </w:pPr>
            <w:r w:rsidRPr="00E33ED2">
              <w:rPr>
                <w:spacing w:val="4"/>
                <w:szCs w:val="22"/>
                <w:lang w:val="sr-Latn-ME" w:eastAsia="hu-HU"/>
              </w:rPr>
              <w:t>Povremeno</w:t>
            </w:r>
            <w:r w:rsidR="00660900" w:rsidRPr="00E33ED2">
              <w:rPr>
                <w:szCs w:val="22"/>
                <w:lang w:val="sr-Latn-ME" w:eastAsia="sl-SI"/>
              </w:rPr>
              <w:t>*</w:t>
            </w:r>
          </w:p>
        </w:tc>
      </w:tr>
      <w:tr w:rsidR="00660900" w:rsidRPr="00E33ED2" w14:paraId="596FB484"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48F4D659"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73CFF86F"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Periferni edemi</w:t>
            </w:r>
          </w:p>
        </w:tc>
        <w:tc>
          <w:tcPr>
            <w:tcW w:w="1000" w:type="pct"/>
            <w:tcBorders>
              <w:top w:val="outset" w:sz="6" w:space="0" w:color="auto"/>
              <w:left w:val="outset" w:sz="6" w:space="0" w:color="auto"/>
              <w:bottom w:val="outset" w:sz="6" w:space="0" w:color="auto"/>
              <w:right w:val="outset" w:sz="6" w:space="0" w:color="auto"/>
            </w:tcBorders>
            <w:hideMark/>
          </w:tcPr>
          <w:p w14:paraId="0C7AADF1" w14:textId="28CF0DCF" w:rsidR="00660900" w:rsidRPr="00E33ED2" w:rsidRDefault="00FF6925" w:rsidP="00660900">
            <w:pPr>
              <w:widowControl w:val="0"/>
              <w:tabs>
                <w:tab w:val="clear" w:pos="567"/>
              </w:tabs>
              <w:spacing w:line="240" w:lineRule="auto"/>
              <w:rPr>
                <w:spacing w:val="4"/>
                <w:szCs w:val="22"/>
                <w:lang w:val="sr-Latn-ME" w:eastAsia="hu-HU"/>
              </w:rPr>
            </w:pPr>
            <w:r w:rsidRPr="00E33ED2">
              <w:rPr>
                <w:spacing w:val="4"/>
                <w:szCs w:val="22"/>
                <w:lang w:val="sr-Latn-ME" w:eastAsia="hu-HU"/>
              </w:rPr>
              <w:t>Povremeno</w:t>
            </w:r>
            <w:r w:rsidR="00660900" w:rsidRPr="00E33ED2">
              <w:rPr>
                <w:szCs w:val="22"/>
                <w:lang w:val="sr-Latn-ME" w:eastAsia="sl-SI"/>
              </w:rPr>
              <w:t xml:space="preserve">* </w:t>
            </w:r>
          </w:p>
        </w:tc>
      </w:tr>
      <w:tr w:rsidR="00660900" w:rsidRPr="00E33ED2" w14:paraId="1E3CB713"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2D6D0E1C"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4BC32010"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Pireksija</w:t>
            </w:r>
          </w:p>
        </w:tc>
        <w:tc>
          <w:tcPr>
            <w:tcW w:w="1000" w:type="pct"/>
            <w:tcBorders>
              <w:top w:val="outset" w:sz="6" w:space="0" w:color="auto"/>
              <w:left w:val="outset" w:sz="6" w:space="0" w:color="auto"/>
              <w:bottom w:val="outset" w:sz="6" w:space="0" w:color="auto"/>
              <w:right w:val="outset" w:sz="6" w:space="0" w:color="auto"/>
            </w:tcBorders>
            <w:hideMark/>
          </w:tcPr>
          <w:p w14:paraId="17B1E220" w14:textId="2A5197E4" w:rsidR="00660900" w:rsidRPr="00E33ED2" w:rsidRDefault="00FF6925" w:rsidP="00660900">
            <w:pPr>
              <w:widowControl w:val="0"/>
              <w:tabs>
                <w:tab w:val="clear" w:pos="567"/>
              </w:tabs>
              <w:spacing w:line="240" w:lineRule="auto"/>
              <w:rPr>
                <w:spacing w:val="4"/>
                <w:szCs w:val="22"/>
                <w:lang w:val="sr-Latn-ME" w:eastAsia="hu-HU"/>
              </w:rPr>
            </w:pPr>
            <w:r w:rsidRPr="00E33ED2">
              <w:rPr>
                <w:spacing w:val="4"/>
                <w:szCs w:val="22"/>
                <w:lang w:val="sr-Latn-ME" w:eastAsia="hu-HU"/>
              </w:rPr>
              <w:t>Povremeno</w:t>
            </w:r>
            <w:r w:rsidR="00660900" w:rsidRPr="00E33ED2">
              <w:rPr>
                <w:szCs w:val="22"/>
                <w:lang w:val="sr-Latn-ME" w:eastAsia="sl-SI"/>
              </w:rPr>
              <w:t>*</w:t>
            </w:r>
          </w:p>
        </w:tc>
      </w:tr>
      <w:tr w:rsidR="00660900" w:rsidRPr="00E33ED2" w14:paraId="2CF74686" w14:textId="77777777" w:rsidTr="00660900">
        <w:tc>
          <w:tcPr>
            <w:tcW w:w="1718" w:type="pct"/>
            <w:vMerge w:val="restart"/>
            <w:tcBorders>
              <w:top w:val="outset" w:sz="6" w:space="0" w:color="auto"/>
              <w:left w:val="outset" w:sz="6" w:space="0" w:color="auto"/>
              <w:bottom w:val="outset" w:sz="6" w:space="0" w:color="auto"/>
              <w:right w:val="outset" w:sz="6" w:space="0" w:color="auto"/>
            </w:tcBorders>
            <w:hideMark/>
          </w:tcPr>
          <w:p w14:paraId="1A481864"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b/>
                <w:iCs/>
                <w:szCs w:val="22"/>
                <w:lang w:val="sr-Latn-ME"/>
              </w:rPr>
              <w:t>Pretrage</w:t>
            </w:r>
          </w:p>
        </w:tc>
        <w:tc>
          <w:tcPr>
            <w:tcW w:w="2282" w:type="pct"/>
            <w:tcBorders>
              <w:top w:val="outset" w:sz="6" w:space="0" w:color="auto"/>
              <w:left w:val="outset" w:sz="6" w:space="0" w:color="auto"/>
              <w:bottom w:val="outset" w:sz="6" w:space="0" w:color="auto"/>
              <w:right w:val="outset" w:sz="6" w:space="0" w:color="auto"/>
            </w:tcBorders>
            <w:hideMark/>
          </w:tcPr>
          <w:p w14:paraId="5ADC688D"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Porast vrijednosti ureje u plazmi</w:t>
            </w:r>
          </w:p>
        </w:tc>
        <w:tc>
          <w:tcPr>
            <w:tcW w:w="1000" w:type="pct"/>
            <w:tcBorders>
              <w:top w:val="outset" w:sz="6" w:space="0" w:color="auto"/>
              <w:left w:val="outset" w:sz="6" w:space="0" w:color="auto"/>
              <w:bottom w:val="outset" w:sz="6" w:space="0" w:color="auto"/>
              <w:right w:val="outset" w:sz="6" w:space="0" w:color="auto"/>
            </w:tcBorders>
            <w:hideMark/>
          </w:tcPr>
          <w:p w14:paraId="54A3DA37" w14:textId="173CC991" w:rsidR="00660900" w:rsidRPr="00E33ED2" w:rsidRDefault="00FF6925" w:rsidP="00660900">
            <w:pPr>
              <w:widowControl w:val="0"/>
              <w:tabs>
                <w:tab w:val="clear" w:pos="567"/>
              </w:tabs>
              <w:spacing w:line="240" w:lineRule="auto"/>
              <w:rPr>
                <w:spacing w:val="4"/>
                <w:szCs w:val="22"/>
                <w:lang w:val="sr-Latn-ME" w:eastAsia="hu-HU"/>
              </w:rPr>
            </w:pPr>
            <w:r w:rsidRPr="00E33ED2">
              <w:rPr>
                <w:spacing w:val="4"/>
                <w:szCs w:val="22"/>
                <w:lang w:val="sr-Latn-ME" w:eastAsia="hu-HU"/>
              </w:rPr>
              <w:t>Povremeno</w:t>
            </w:r>
            <w:r w:rsidR="00660900" w:rsidRPr="00E33ED2">
              <w:rPr>
                <w:szCs w:val="22"/>
                <w:lang w:val="sr-Latn-ME" w:eastAsia="sl-SI"/>
              </w:rPr>
              <w:t>*</w:t>
            </w:r>
          </w:p>
        </w:tc>
      </w:tr>
      <w:tr w:rsidR="00660900" w:rsidRPr="00E33ED2" w14:paraId="04860CE9"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255954A7"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6F115991"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Porast vrijednosti kreatinina u plazmi</w:t>
            </w:r>
          </w:p>
        </w:tc>
        <w:tc>
          <w:tcPr>
            <w:tcW w:w="1000" w:type="pct"/>
            <w:tcBorders>
              <w:top w:val="outset" w:sz="6" w:space="0" w:color="auto"/>
              <w:left w:val="outset" w:sz="6" w:space="0" w:color="auto"/>
              <w:bottom w:val="outset" w:sz="6" w:space="0" w:color="auto"/>
              <w:right w:val="outset" w:sz="6" w:space="0" w:color="auto"/>
            </w:tcBorders>
            <w:hideMark/>
          </w:tcPr>
          <w:p w14:paraId="07A5F3C9" w14:textId="120D7AF2" w:rsidR="00660900" w:rsidRPr="00E33ED2" w:rsidRDefault="00FF6925" w:rsidP="00660900">
            <w:pPr>
              <w:widowControl w:val="0"/>
              <w:tabs>
                <w:tab w:val="clear" w:pos="567"/>
              </w:tabs>
              <w:spacing w:line="240" w:lineRule="auto"/>
              <w:rPr>
                <w:spacing w:val="4"/>
                <w:szCs w:val="22"/>
                <w:lang w:val="sr-Latn-ME" w:eastAsia="hu-HU"/>
              </w:rPr>
            </w:pPr>
            <w:r w:rsidRPr="00E33ED2">
              <w:rPr>
                <w:spacing w:val="4"/>
                <w:szCs w:val="22"/>
                <w:lang w:val="sr-Latn-ME" w:eastAsia="hu-HU"/>
              </w:rPr>
              <w:t>Povremeno</w:t>
            </w:r>
            <w:r w:rsidR="00660900" w:rsidRPr="00E33ED2">
              <w:rPr>
                <w:szCs w:val="22"/>
                <w:lang w:val="sr-Latn-ME" w:eastAsia="sl-SI"/>
              </w:rPr>
              <w:t>*</w:t>
            </w:r>
          </w:p>
        </w:tc>
      </w:tr>
      <w:tr w:rsidR="00660900" w:rsidRPr="00E33ED2" w14:paraId="43E3E264"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25AA048A"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067CD6F6"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Povišene vrijednosti serumskog bilirubina</w:t>
            </w:r>
          </w:p>
        </w:tc>
        <w:tc>
          <w:tcPr>
            <w:tcW w:w="1000" w:type="pct"/>
            <w:tcBorders>
              <w:top w:val="outset" w:sz="6" w:space="0" w:color="auto"/>
              <w:left w:val="outset" w:sz="6" w:space="0" w:color="auto"/>
              <w:bottom w:val="outset" w:sz="6" w:space="0" w:color="auto"/>
              <w:right w:val="outset" w:sz="6" w:space="0" w:color="auto"/>
            </w:tcBorders>
            <w:hideMark/>
          </w:tcPr>
          <w:p w14:paraId="7E4F5103"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Rijetko</w:t>
            </w:r>
          </w:p>
        </w:tc>
      </w:tr>
      <w:tr w:rsidR="00660900" w:rsidRPr="00E33ED2" w14:paraId="30607777" w14:textId="77777777" w:rsidTr="00660900">
        <w:tc>
          <w:tcPr>
            <w:tcW w:w="1718" w:type="pct"/>
            <w:vMerge/>
            <w:tcBorders>
              <w:top w:val="outset" w:sz="6" w:space="0" w:color="auto"/>
              <w:left w:val="outset" w:sz="6" w:space="0" w:color="auto"/>
              <w:bottom w:val="outset" w:sz="6" w:space="0" w:color="auto"/>
              <w:right w:val="outset" w:sz="6" w:space="0" w:color="auto"/>
            </w:tcBorders>
            <w:vAlign w:val="center"/>
            <w:hideMark/>
          </w:tcPr>
          <w:p w14:paraId="1870EB60" w14:textId="77777777" w:rsidR="00660900" w:rsidRPr="00E33ED2" w:rsidRDefault="00660900" w:rsidP="00660900">
            <w:pPr>
              <w:widowControl w:val="0"/>
              <w:tabs>
                <w:tab w:val="clear" w:pos="567"/>
              </w:tabs>
              <w:spacing w:line="240" w:lineRule="auto"/>
              <w:rPr>
                <w:spacing w:val="4"/>
                <w:szCs w:val="22"/>
                <w:lang w:val="sr-Latn-ME" w:eastAsia="hu-HU"/>
              </w:rPr>
            </w:pPr>
          </w:p>
        </w:tc>
        <w:tc>
          <w:tcPr>
            <w:tcW w:w="2282" w:type="pct"/>
            <w:tcBorders>
              <w:top w:val="outset" w:sz="6" w:space="0" w:color="auto"/>
              <w:left w:val="outset" w:sz="6" w:space="0" w:color="auto"/>
              <w:bottom w:val="outset" w:sz="6" w:space="0" w:color="auto"/>
              <w:right w:val="outset" w:sz="6" w:space="0" w:color="auto"/>
            </w:tcBorders>
            <w:hideMark/>
          </w:tcPr>
          <w:p w14:paraId="3F027B92"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Povišene vrijednosti jetrenih enzima</w:t>
            </w:r>
          </w:p>
        </w:tc>
        <w:tc>
          <w:tcPr>
            <w:tcW w:w="1000" w:type="pct"/>
            <w:tcBorders>
              <w:top w:val="outset" w:sz="6" w:space="0" w:color="auto"/>
              <w:left w:val="outset" w:sz="6" w:space="0" w:color="auto"/>
              <w:bottom w:val="outset" w:sz="6" w:space="0" w:color="auto"/>
              <w:right w:val="outset" w:sz="6" w:space="0" w:color="auto"/>
            </w:tcBorders>
            <w:hideMark/>
          </w:tcPr>
          <w:p w14:paraId="5D4B64A2"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Rijetko</w:t>
            </w:r>
          </w:p>
        </w:tc>
      </w:tr>
      <w:tr w:rsidR="00660900" w:rsidRPr="00E33ED2" w14:paraId="69EBAAAB" w14:textId="77777777" w:rsidTr="00660900">
        <w:tc>
          <w:tcPr>
            <w:tcW w:w="1718" w:type="pct"/>
            <w:tcBorders>
              <w:top w:val="outset" w:sz="6" w:space="0" w:color="auto"/>
              <w:left w:val="outset" w:sz="6" w:space="0" w:color="auto"/>
              <w:bottom w:val="outset" w:sz="6" w:space="0" w:color="auto"/>
              <w:right w:val="outset" w:sz="6" w:space="0" w:color="auto"/>
            </w:tcBorders>
            <w:hideMark/>
          </w:tcPr>
          <w:p w14:paraId="7FD3D72F" w14:textId="77777777" w:rsidR="00660900" w:rsidRPr="00E33ED2" w:rsidRDefault="00563ABC" w:rsidP="00660900">
            <w:pPr>
              <w:widowControl w:val="0"/>
              <w:tabs>
                <w:tab w:val="clear" w:pos="567"/>
              </w:tabs>
              <w:spacing w:line="240" w:lineRule="auto"/>
              <w:rPr>
                <w:spacing w:val="4"/>
                <w:szCs w:val="22"/>
                <w:lang w:val="sr-Latn-ME" w:eastAsia="hu-HU"/>
              </w:rPr>
            </w:pPr>
            <w:r w:rsidRPr="00E33ED2">
              <w:rPr>
                <w:b/>
                <w:bCs/>
                <w:szCs w:val="22"/>
                <w:lang w:val="sr-Latn-ME" w:eastAsia="sl-SI"/>
              </w:rPr>
              <w:t>vrede</w:t>
            </w:r>
            <w:r w:rsidR="00660900" w:rsidRPr="00E33ED2">
              <w:rPr>
                <w:b/>
                <w:bCs/>
                <w:szCs w:val="22"/>
                <w:lang w:val="sr-Latn-ME" w:eastAsia="sl-SI"/>
              </w:rPr>
              <w:t>, trovanja i proceduralne komplikacije</w:t>
            </w:r>
          </w:p>
        </w:tc>
        <w:tc>
          <w:tcPr>
            <w:tcW w:w="2282" w:type="pct"/>
            <w:tcBorders>
              <w:top w:val="outset" w:sz="6" w:space="0" w:color="auto"/>
              <w:left w:val="outset" w:sz="6" w:space="0" w:color="auto"/>
              <w:bottom w:val="outset" w:sz="6" w:space="0" w:color="auto"/>
              <w:right w:val="outset" w:sz="6" w:space="0" w:color="auto"/>
            </w:tcBorders>
            <w:hideMark/>
          </w:tcPr>
          <w:p w14:paraId="7CF326CC" w14:textId="77777777" w:rsidR="00660900" w:rsidRPr="00E33ED2" w:rsidRDefault="00660900" w:rsidP="00660900">
            <w:pPr>
              <w:widowControl w:val="0"/>
              <w:tabs>
                <w:tab w:val="clear" w:pos="567"/>
              </w:tabs>
              <w:spacing w:line="240" w:lineRule="auto"/>
              <w:rPr>
                <w:spacing w:val="4"/>
                <w:szCs w:val="22"/>
                <w:lang w:val="sr-Latn-ME" w:eastAsia="hu-HU"/>
              </w:rPr>
            </w:pPr>
            <w:r w:rsidRPr="00E33ED2">
              <w:rPr>
                <w:szCs w:val="22"/>
                <w:lang w:val="sr-Latn-ME" w:eastAsia="sl-SI"/>
              </w:rPr>
              <w:t>Padovi</w:t>
            </w:r>
          </w:p>
        </w:tc>
        <w:tc>
          <w:tcPr>
            <w:tcW w:w="1000" w:type="pct"/>
            <w:tcBorders>
              <w:top w:val="outset" w:sz="6" w:space="0" w:color="auto"/>
              <w:left w:val="outset" w:sz="6" w:space="0" w:color="auto"/>
              <w:bottom w:val="outset" w:sz="6" w:space="0" w:color="auto"/>
              <w:right w:val="outset" w:sz="6" w:space="0" w:color="auto"/>
            </w:tcBorders>
            <w:hideMark/>
          </w:tcPr>
          <w:p w14:paraId="172462B6" w14:textId="2A326364" w:rsidR="00660900" w:rsidRPr="00E33ED2" w:rsidRDefault="00FF6925" w:rsidP="00660900">
            <w:pPr>
              <w:widowControl w:val="0"/>
              <w:tabs>
                <w:tab w:val="clear" w:pos="567"/>
              </w:tabs>
              <w:spacing w:line="240" w:lineRule="auto"/>
              <w:rPr>
                <w:spacing w:val="4"/>
                <w:szCs w:val="22"/>
                <w:lang w:val="sr-Latn-ME" w:eastAsia="hu-HU"/>
              </w:rPr>
            </w:pPr>
            <w:r w:rsidRPr="00E33ED2">
              <w:rPr>
                <w:spacing w:val="4"/>
                <w:szCs w:val="22"/>
                <w:lang w:val="sr-Latn-ME" w:eastAsia="hu-HU"/>
              </w:rPr>
              <w:t>Povremeno</w:t>
            </w:r>
            <w:r w:rsidR="00660900" w:rsidRPr="00E33ED2">
              <w:rPr>
                <w:szCs w:val="22"/>
                <w:lang w:val="sr-Latn-ME" w:eastAsia="sl-SI"/>
              </w:rPr>
              <w:t>*</w:t>
            </w:r>
          </w:p>
        </w:tc>
      </w:tr>
    </w:tbl>
    <w:p w14:paraId="10FF5810" w14:textId="77777777" w:rsidR="00563ABC" w:rsidRPr="00E33ED2" w:rsidRDefault="00563ABC" w:rsidP="00AC7873">
      <w:pPr>
        <w:jc w:val="both"/>
        <w:rPr>
          <w:i/>
          <w:spacing w:val="4"/>
          <w:szCs w:val="22"/>
          <w:lang w:val="sr-Latn-ME"/>
        </w:rPr>
      </w:pPr>
      <w:r w:rsidRPr="00E33ED2">
        <w:rPr>
          <w:i/>
          <w:spacing w:val="4"/>
          <w:szCs w:val="22"/>
          <w:lang w:val="sr-Latn-ME"/>
        </w:rPr>
        <w:t>* Učestalost izračunata iz kliničkih ispitivanja za neželjena dejstva otkrivena iz spontanih prijava</w:t>
      </w:r>
    </w:p>
    <w:p w14:paraId="2EE20D8B" w14:textId="77777777" w:rsidR="00660900" w:rsidRPr="00E33ED2" w:rsidRDefault="00660900" w:rsidP="00AC7873">
      <w:pPr>
        <w:tabs>
          <w:tab w:val="clear" w:pos="567"/>
        </w:tabs>
        <w:spacing w:line="240" w:lineRule="auto"/>
        <w:jc w:val="both"/>
        <w:rPr>
          <w:szCs w:val="22"/>
          <w:lang w:val="sr-Latn-ME" w:eastAsia="hu-HU"/>
        </w:rPr>
      </w:pPr>
    </w:p>
    <w:p w14:paraId="312E5C06" w14:textId="77777777" w:rsidR="00660900" w:rsidRPr="00E33ED2" w:rsidRDefault="00660900" w:rsidP="00AC7873">
      <w:pPr>
        <w:keepNext/>
        <w:tabs>
          <w:tab w:val="clear" w:pos="567"/>
        </w:tabs>
        <w:autoSpaceDE w:val="0"/>
        <w:autoSpaceDN w:val="0"/>
        <w:adjustRightInd w:val="0"/>
        <w:spacing w:line="240" w:lineRule="auto"/>
        <w:jc w:val="both"/>
        <w:rPr>
          <w:szCs w:val="22"/>
          <w:lang w:val="sr-Latn-ME" w:eastAsia="sl-SI"/>
        </w:rPr>
      </w:pPr>
      <w:r w:rsidRPr="00E33ED2">
        <w:rPr>
          <w:i/>
          <w:szCs w:val="22"/>
          <w:lang w:val="sr-Latn-ME" w:eastAsia="sl-SI"/>
        </w:rPr>
        <w:t>Klinička ispitivanja</w:t>
      </w:r>
      <w:r w:rsidRPr="00E33ED2">
        <w:rPr>
          <w:szCs w:val="22"/>
          <w:lang w:val="sr-Latn-ME" w:eastAsia="sl-SI"/>
        </w:rPr>
        <w:t>:</w:t>
      </w:r>
    </w:p>
    <w:p w14:paraId="5A8D1371" w14:textId="6A1BC61F" w:rsidR="00BF2246" w:rsidRPr="00E33ED2" w:rsidRDefault="00BF2246" w:rsidP="00BA2946">
      <w:pPr>
        <w:autoSpaceDE w:val="0"/>
        <w:autoSpaceDN w:val="0"/>
        <w:adjustRightInd w:val="0"/>
        <w:jc w:val="both"/>
        <w:rPr>
          <w:szCs w:val="22"/>
          <w:lang w:val="sr-Latn-ME"/>
        </w:rPr>
      </w:pPr>
      <w:r w:rsidRPr="00E33ED2">
        <w:rPr>
          <w:szCs w:val="22"/>
          <w:lang w:val="sr-Latn-ME"/>
        </w:rPr>
        <w:t xml:space="preserve">Tokom randomizovanog perioda EUROPA studije, prikupljeni su samo podaci o ozbiljnim neželjenim </w:t>
      </w:r>
      <w:r w:rsidR="00A7190B" w:rsidRPr="00E33ED2">
        <w:rPr>
          <w:szCs w:val="22"/>
          <w:lang w:val="sr-Latn-ME"/>
        </w:rPr>
        <w:t>dejstvima</w:t>
      </w:r>
      <w:r w:rsidRPr="00E33ED2">
        <w:rPr>
          <w:szCs w:val="22"/>
          <w:lang w:val="sr-Latn-ME"/>
        </w:rPr>
        <w:t>. Nekoliko pacijenata je imalo ozbiljna neželjena dejstva: 16 (0,3%) od 6122 pacijenata koji su primali perindopril i 12 (0,2%) od 6107 pacijenata koji su primali placebo. Među pacijentima liječenim perindoprilom, hipotenzija je zabilježena kod 6 pacijenata, angioedem kod 3 pacijenta i iznenadni srčani zastoj  kod 1 pacijenta. Više je pacijenata prekinulo učešće u ispitivanju zbog kašlja, hipotenzije i drugih oblika intolerancije u grupi koja je dobijala perindopril, nego u grupi koja je dobijala placebo, 6,0% (n=366) prema 2,1% (n=129).</w:t>
      </w:r>
    </w:p>
    <w:p w14:paraId="712FB7E8" w14:textId="77777777" w:rsidR="001919CC" w:rsidRPr="00E33ED2" w:rsidRDefault="001919CC" w:rsidP="00AC7873">
      <w:pPr>
        <w:jc w:val="both"/>
        <w:rPr>
          <w:b/>
          <w:bCs/>
          <w:szCs w:val="22"/>
          <w:lang w:val="sr-Latn-ME"/>
        </w:rPr>
      </w:pPr>
    </w:p>
    <w:p w14:paraId="4EAF21A9" w14:textId="77777777" w:rsidR="001919CC" w:rsidRPr="00E33ED2" w:rsidRDefault="001919CC" w:rsidP="00AC7873">
      <w:pPr>
        <w:jc w:val="both"/>
        <w:rPr>
          <w:szCs w:val="22"/>
          <w:u w:val="single"/>
          <w:lang w:val="sr-Latn-ME"/>
        </w:rPr>
      </w:pPr>
      <w:r w:rsidRPr="00E33ED2">
        <w:rPr>
          <w:szCs w:val="22"/>
          <w:u w:val="single"/>
          <w:lang w:val="sr-Latn-ME"/>
        </w:rPr>
        <w:t>Prijavljivanje sumnji na neželjena dejstva</w:t>
      </w:r>
    </w:p>
    <w:p w14:paraId="2FAB3D44" w14:textId="77777777" w:rsidR="001919CC" w:rsidRPr="00E33ED2" w:rsidRDefault="001919CC" w:rsidP="00AC7873">
      <w:pPr>
        <w:jc w:val="both"/>
        <w:rPr>
          <w:szCs w:val="22"/>
          <w:lang w:val="sr-Latn-ME"/>
        </w:rPr>
      </w:pPr>
      <w:r w:rsidRPr="00E33ED2">
        <w:rPr>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75A309E" w14:textId="77777777" w:rsidR="001919CC" w:rsidRPr="00E33ED2" w:rsidRDefault="001919CC" w:rsidP="00AC7873">
      <w:pPr>
        <w:jc w:val="both"/>
        <w:rPr>
          <w:szCs w:val="22"/>
          <w:lang w:val="sr-Latn-ME"/>
        </w:rPr>
      </w:pPr>
      <w:r w:rsidRPr="00E33ED2">
        <w:rPr>
          <w:szCs w:val="22"/>
          <w:lang w:val="sr-Latn-ME"/>
        </w:rPr>
        <w:t xml:space="preserve">Institut za ljekove i medicinska sredstva </w:t>
      </w:r>
    </w:p>
    <w:p w14:paraId="3A081236" w14:textId="77777777" w:rsidR="001919CC" w:rsidRPr="00E33ED2" w:rsidRDefault="001919CC" w:rsidP="00AC7873">
      <w:pPr>
        <w:jc w:val="both"/>
        <w:rPr>
          <w:szCs w:val="22"/>
          <w:lang w:val="sr-Latn-ME"/>
        </w:rPr>
      </w:pPr>
      <w:r w:rsidRPr="00E33ED2">
        <w:rPr>
          <w:szCs w:val="22"/>
          <w:lang w:val="sr-Latn-ME"/>
        </w:rPr>
        <w:t>Odjeljenje za farmakovigilancu</w:t>
      </w:r>
    </w:p>
    <w:p w14:paraId="62AF8246" w14:textId="77777777" w:rsidR="001919CC" w:rsidRPr="00E33ED2" w:rsidRDefault="001919CC" w:rsidP="00AC7873">
      <w:pPr>
        <w:jc w:val="both"/>
        <w:rPr>
          <w:szCs w:val="22"/>
          <w:lang w:val="sr-Latn-ME"/>
        </w:rPr>
      </w:pPr>
      <w:r w:rsidRPr="00E33ED2">
        <w:rPr>
          <w:szCs w:val="22"/>
          <w:lang w:val="sr-Latn-ME"/>
        </w:rPr>
        <w:t>Bulevar Ivana Crnojevića 64a, 81000 Podgorica</w:t>
      </w:r>
    </w:p>
    <w:p w14:paraId="02259D69" w14:textId="77777777" w:rsidR="001919CC" w:rsidRPr="00E33ED2" w:rsidRDefault="001919CC" w:rsidP="00AC7873">
      <w:pPr>
        <w:jc w:val="both"/>
        <w:rPr>
          <w:szCs w:val="22"/>
          <w:lang w:val="sr-Latn-ME"/>
        </w:rPr>
      </w:pPr>
    </w:p>
    <w:p w14:paraId="781480C9" w14:textId="77777777" w:rsidR="001919CC" w:rsidRPr="00E33ED2" w:rsidRDefault="001919CC" w:rsidP="00AC7873">
      <w:pPr>
        <w:jc w:val="both"/>
        <w:rPr>
          <w:szCs w:val="22"/>
          <w:lang w:val="sr-Latn-ME"/>
        </w:rPr>
      </w:pPr>
      <w:r w:rsidRPr="00E33ED2">
        <w:rPr>
          <w:szCs w:val="22"/>
          <w:lang w:val="sr-Latn-ME"/>
        </w:rPr>
        <w:t>tel: +382 (0) 20 310 280</w:t>
      </w:r>
    </w:p>
    <w:p w14:paraId="459D8F57" w14:textId="77777777" w:rsidR="001919CC" w:rsidRPr="00E33ED2" w:rsidRDefault="001919CC" w:rsidP="00AC7873">
      <w:pPr>
        <w:jc w:val="both"/>
        <w:rPr>
          <w:szCs w:val="22"/>
          <w:lang w:val="sr-Latn-ME"/>
        </w:rPr>
      </w:pPr>
      <w:r w:rsidRPr="00E33ED2">
        <w:rPr>
          <w:szCs w:val="22"/>
          <w:lang w:val="sr-Latn-ME"/>
        </w:rPr>
        <w:t>fax: +382 (0) 20 310 581</w:t>
      </w:r>
      <w:r w:rsidRPr="00E33ED2">
        <w:rPr>
          <w:szCs w:val="22"/>
          <w:lang w:val="sr-Latn-ME"/>
        </w:rPr>
        <w:tab/>
      </w:r>
    </w:p>
    <w:p w14:paraId="4890D1CC" w14:textId="77777777" w:rsidR="001919CC" w:rsidRPr="00E33ED2" w:rsidRDefault="00236FBB" w:rsidP="00AC7873">
      <w:pPr>
        <w:jc w:val="both"/>
        <w:rPr>
          <w:szCs w:val="22"/>
          <w:lang w:val="sr-Latn-ME"/>
        </w:rPr>
      </w:pPr>
      <w:hyperlink r:id="rId7" w:history="1">
        <w:r w:rsidR="001919CC" w:rsidRPr="00E33ED2">
          <w:rPr>
            <w:rStyle w:val="Hyperlink"/>
            <w:szCs w:val="22"/>
            <w:lang w:val="sr-Latn-ME"/>
          </w:rPr>
          <w:t>www.cinmed.me</w:t>
        </w:r>
      </w:hyperlink>
    </w:p>
    <w:p w14:paraId="76CD6D1A" w14:textId="77777777" w:rsidR="001919CC" w:rsidRPr="00E33ED2" w:rsidRDefault="00236FBB" w:rsidP="00AC7873">
      <w:pPr>
        <w:jc w:val="both"/>
        <w:rPr>
          <w:szCs w:val="22"/>
          <w:u w:val="single"/>
          <w:lang w:val="sr-Latn-ME"/>
        </w:rPr>
      </w:pPr>
      <w:hyperlink r:id="rId8" w:history="1">
        <w:r w:rsidR="001919CC" w:rsidRPr="00E33ED2">
          <w:rPr>
            <w:rStyle w:val="Hyperlink"/>
            <w:szCs w:val="22"/>
            <w:lang w:val="sr-Latn-ME"/>
          </w:rPr>
          <w:t>nezeljenadejstva@cinmed.me</w:t>
        </w:r>
      </w:hyperlink>
    </w:p>
    <w:p w14:paraId="41DF7129" w14:textId="77777777" w:rsidR="001919CC" w:rsidRPr="00E33ED2" w:rsidRDefault="001919CC" w:rsidP="00AC7873">
      <w:pPr>
        <w:jc w:val="both"/>
        <w:rPr>
          <w:szCs w:val="22"/>
          <w:lang w:val="sr-Latn-ME"/>
        </w:rPr>
      </w:pPr>
      <w:r w:rsidRPr="00E33ED2">
        <w:rPr>
          <w:szCs w:val="22"/>
          <w:lang w:val="sr-Latn-ME"/>
        </w:rPr>
        <w:t>putem IS zdravstvene zaštite</w:t>
      </w:r>
    </w:p>
    <w:p w14:paraId="34050F55" w14:textId="77777777" w:rsidR="001919CC" w:rsidRPr="00E33ED2" w:rsidRDefault="001919CC" w:rsidP="00AC7873">
      <w:pPr>
        <w:jc w:val="both"/>
        <w:rPr>
          <w:szCs w:val="22"/>
          <w:lang w:val="sr-Latn-ME"/>
        </w:rPr>
      </w:pPr>
      <w:r w:rsidRPr="00E33ED2">
        <w:rPr>
          <w:szCs w:val="22"/>
          <w:lang w:val="sr-Latn-ME"/>
        </w:rPr>
        <w:t>QR kod za online prijavu sumnje na neželjeno dejstvo lijeka:</w:t>
      </w:r>
    </w:p>
    <w:p w14:paraId="4129F6C3" w14:textId="77777777" w:rsidR="001919CC" w:rsidRPr="00E33ED2" w:rsidRDefault="001919CC" w:rsidP="001919CC">
      <w:pPr>
        <w:rPr>
          <w:szCs w:val="22"/>
          <w:lang w:val="sr-Latn-ME"/>
        </w:rPr>
      </w:pPr>
    </w:p>
    <w:p w14:paraId="01EC6A3D" w14:textId="4066601B" w:rsidR="001919CC" w:rsidRPr="00E33ED2" w:rsidRDefault="00E27345" w:rsidP="001919CC">
      <w:pPr>
        <w:rPr>
          <w:szCs w:val="22"/>
          <w:lang w:val="sr-Latn-ME"/>
        </w:rPr>
      </w:pPr>
      <w:r w:rsidRPr="00E33ED2">
        <w:rPr>
          <w:b/>
          <w:bCs/>
          <w:noProof/>
          <w:szCs w:val="22"/>
          <w:lang w:val="sr-Latn-ME"/>
        </w:rPr>
        <w:lastRenderedPageBreak/>
        <w:drawing>
          <wp:anchor distT="0" distB="0" distL="114300" distR="114300" simplePos="0" relativeHeight="251657728" behindDoc="0" locked="0" layoutInCell="1" allowOverlap="1" wp14:anchorId="21CF9D5E" wp14:editId="40A621AA">
            <wp:simplePos x="0" y="0"/>
            <wp:positionH relativeFrom="column">
              <wp:posOffset>3810</wp:posOffset>
            </wp:positionH>
            <wp:positionV relativeFrom="paragraph">
              <wp:posOffset>24130</wp:posOffset>
            </wp:positionV>
            <wp:extent cx="981075" cy="98107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pic:spPr>
                </pic:pic>
              </a:graphicData>
            </a:graphic>
            <wp14:sizeRelH relativeFrom="page">
              <wp14:pctWidth>0</wp14:pctWidth>
            </wp14:sizeRelH>
            <wp14:sizeRelV relativeFrom="page">
              <wp14:pctHeight>0</wp14:pctHeight>
            </wp14:sizeRelV>
          </wp:anchor>
        </w:drawing>
      </w:r>
      <w:hyperlink r:id="rId10" w:history="1"/>
    </w:p>
    <w:p w14:paraId="65B46001" w14:textId="77777777" w:rsidR="001919CC" w:rsidRPr="00E33ED2" w:rsidRDefault="001919CC" w:rsidP="00AC7873">
      <w:pPr>
        <w:jc w:val="both"/>
        <w:rPr>
          <w:b/>
          <w:bCs/>
          <w:szCs w:val="22"/>
          <w:lang w:val="sr-Latn-ME"/>
        </w:rPr>
      </w:pPr>
      <w:r w:rsidRPr="00E33ED2">
        <w:rPr>
          <w:b/>
          <w:bCs/>
          <w:szCs w:val="22"/>
          <w:lang w:val="sr-Latn-ME"/>
        </w:rPr>
        <w:t xml:space="preserve">4.9. </w:t>
      </w:r>
      <w:r w:rsidRPr="00E33ED2">
        <w:rPr>
          <w:b/>
          <w:bCs/>
          <w:szCs w:val="22"/>
          <w:lang w:val="sr-Latn-ME"/>
        </w:rPr>
        <w:tab/>
        <w:t xml:space="preserve">Predoziranje </w:t>
      </w:r>
    </w:p>
    <w:p w14:paraId="53D3E8E5" w14:textId="77777777" w:rsidR="001919CC" w:rsidRPr="00E33ED2" w:rsidRDefault="001919CC" w:rsidP="00AC7873">
      <w:pPr>
        <w:jc w:val="both"/>
        <w:rPr>
          <w:b/>
          <w:bCs/>
          <w:szCs w:val="22"/>
          <w:lang w:val="sr-Latn-ME"/>
        </w:rPr>
      </w:pPr>
    </w:p>
    <w:p w14:paraId="039A8491" w14:textId="77777777" w:rsidR="00BF2246" w:rsidRPr="00E33ED2" w:rsidRDefault="00BF2246" w:rsidP="00BA2946">
      <w:pPr>
        <w:jc w:val="both"/>
        <w:rPr>
          <w:szCs w:val="22"/>
          <w:lang w:val="sr-Latn-ME"/>
        </w:rPr>
      </w:pPr>
      <w:r w:rsidRPr="00E33ED2">
        <w:rPr>
          <w:szCs w:val="22"/>
          <w:lang w:val="sr-Latn-ME"/>
        </w:rPr>
        <w:t>Podaci o predoziranju kod ljudi su ograničeni. Simptomi povezani sa predoziranjem ACE inhibitorima uključuju hipotenziju, cirkulatorni šok, poremećaj elektrolita, oštećenje funkcije bubrega, hiperventilaciju, tahikardiju, palpitacije, bradikardiju, nesvjesticu, anksioznost i kašalj.</w:t>
      </w:r>
    </w:p>
    <w:p w14:paraId="59DC6D51" w14:textId="77777777" w:rsidR="00BF2246" w:rsidRPr="00E33ED2" w:rsidRDefault="00BF2246" w:rsidP="0062605D">
      <w:pPr>
        <w:jc w:val="both"/>
        <w:rPr>
          <w:szCs w:val="22"/>
          <w:lang w:val="sr-Latn-ME"/>
        </w:rPr>
      </w:pPr>
    </w:p>
    <w:p w14:paraId="785A9091" w14:textId="468C8873" w:rsidR="00BF2246" w:rsidRPr="00E33ED2" w:rsidRDefault="00BF2246">
      <w:pPr>
        <w:jc w:val="both"/>
        <w:rPr>
          <w:szCs w:val="22"/>
          <w:lang w:val="sr-Latn-ME"/>
        </w:rPr>
      </w:pPr>
      <w:r w:rsidRPr="00E33ED2">
        <w:rPr>
          <w:szCs w:val="22"/>
          <w:lang w:val="sr-Latn-ME"/>
        </w:rPr>
        <w:t xml:space="preserve">Preporučeno liječenje predoziranja sastoji se od intravenske infuzije fiziološkog rastvora (0,9%-tni rastvor natrijum hlorida). Ako dođe do hipotenzije, pacijenta treba postaviti u položaj predviđen za stanje šoka. Ako postoji mogućnost, potrebno je razmotriti liječenje infuzijom angiotenzina II i/ili intravenskom primjenom kateholamina. Perindopril se iz sistemske cirkulacije može ukloniti hemodijalizom (vidjeti dio 4.4). Liječenje elektrostimulatorom srca indikovano je kod bradikardije koja je otporna na terapiju. Potrebno je neprestano </w:t>
      </w:r>
      <w:r w:rsidR="00A7190B" w:rsidRPr="00E33ED2">
        <w:rPr>
          <w:szCs w:val="22"/>
          <w:lang w:val="sr-Latn-ME"/>
        </w:rPr>
        <w:t xml:space="preserve">pratiti </w:t>
      </w:r>
      <w:r w:rsidRPr="00E33ED2">
        <w:rPr>
          <w:szCs w:val="22"/>
          <w:lang w:val="sr-Latn-ME"/>
        </w:rPr>
        <w:t>vitalne znakove, elektrolite u serumu i koncentraciju kreatinina.</w:t>
      </w:r>
    </w:p>
    <w:p w14:paraId="45690A34" w14:textId="77777777" w:rsidR="001919CC" w:rsidRPr="00E33ED2" w:rsidRDefault="001919CC" w:rsidP="00AC7873">
      <w:pPr>
        <w:jc w:val="both"/>
        <w:rPr>
          <w:b/>
          <w:bCs/>
          <w:szCs w:val="22"/>
          <w:lang w:val="sr-Latn-ME"/>
        </w:rPr>
      </w:pPr>
    </w:p>
    <w:p w14:paraId="69B94CB9" w14:textId="77777777" w:rsidR="0038339D" w:rsidRPr="00E33ED2" w:rsidRDefault="0038339D" w:rsidP="00AC7873">
      <w:pPr>
        <w:jc w:val="both"/>
        <w:rPr>
          <w:b/>
          <w:bCs/>
          <w:szCs w:val="22"/>
          <w:lang w:val="sr-Latn-ME"/>
        </w:rPr>
      </w:pPr>
    </w:p>
    <w:p w14:paraId="04C13B43" w14:textId="77777777" w:rsidR="001919CC" w:rsidRPr="00E33ED2" w:rsidRDefault="001919CC" w:rsidP="00AC7873">
      <w:pPr>
        <w:jc w:val="both"/>
        <w:rPr>
          <w:b/>
          <w:bCs/>
          <w:szCs w:val="22"/>
          <w:lang w:val="sr-Latn-ME"/>
        </w:rPr>
      </w:pPr>
      <w:r w:rsidRPr="00E33ED2">
        <w:rPr>
          <w:b/>
          <w:bCs/>
          <w:szCs w:val="22"/>
          <w:lang w:val="sr-Latn-ME"/>
        </w:rPr>
        <w:t xml:space="preserve">5. </w:t>
      </w:r>
      <w:r w:rsidRPr="00E33ED2">
        <w:rPr>
          <w:b/>
          <w:bCs/>
          <w:szCs w:val="22"/>
          <w:lang w:val="sr-Latn-ME"/>
        </w:rPr>
        <w:tab/>
        <w:t>FARMAKOLOŠKI PODACI</w:t>
      </w:r>
    </w:p>
    <w:p w14:paraId="040B3BF5" w14:textId="77777777" w:rsidR="001919CC" w:rsidRPr="00E33ED2" w:rsidRDefault="001919CC" w:rsidP="00AC7873">
      <w:pPr>
        <w:jc w:val="both"/>
        <w:rPr>
          <w:b/>
          <w:bCs/>
          <w:szCs w:val="22"/>
          <w:lang w:val="sr-Latn-ME"/>
        </w:rPr>
      </w:pPr>
    </w:p>
    <w:p w14:paraId="3E07C579" w14:textId="77777777" w:rsidR="001919CC" w:rsidRPr="00E33ED2" w:rsidRDefault="001919CC" w:rsidP="00AC7873">
      <w:pPr>
        <w:jc w:val="both"/>
        <w:rPr>
          <w:b/>
          <w:bCs/>
          <w:szCs w:val="22"/>
          <w:lang w:val="sr-Latn-ME"/>
        </w:rPr>
      </w:pPr>
      <w:r w:rsidRPr="00E33ED2">
        <w:rPr>
          <w:b/>
          <w:bCs/>
          <w:szCs w:val="22"/>
          <w:lang w:val="sr-Latn-ME"/>
        </w:rPr>
        <w:t xml:space="preserve">5.1. </w:t>
      </w:r>
      <w:r w:rsidRPr="00E33ED2">
        <w:rPr>
          <w:b/>
          <w:bCs/>
          <w:szCs w:val="22"/>
          <w:lang w:val="sr-Latn-ME"/>
        </w:rPr>
        <w:tab/>
        <w:t xml:space="preserve">Farmakodinamski podaci </w:t>
      </w:r>
    </w:p>
    <w:p w14:paraId="4B2F97E3" w14:textId="77777777" w:rsidR="001919CC" w:rsidRPr="00E33ED2" w:rsidRDefault="001919CC" w:rsidP="00AC7873">
      <w:pPr>
        <w:jc w:val="both"/>
        <w:rPr>
          <w:b/>
          <w:bCs/>
          <w:szCs w:val="22"/>
          <w:lang w:val="sr-Latn-ME"/>
        </w:rPr>
      </w:pPr>
    </w:p>
    <w:p w14:paraId="7BE2ACA3" w14:textId="185B80EA" w:rsidR="001919CC" w:rsidRPr="00E33ED2" w:rsidRDefault="001919CC" w:rsidP="00AC7873">
      <w:pPr>
        <w:jc w:val="both"/>
        <w:rPr>
          <w:bCs/>
          <w:szCs w:val="22"/>
          <w:lang w:val="sr-Latn-ME"/>
        </w:rPr>
      </w:pPr>
      <w:r w:rsidRPr="00E33ED2">
        <w:rPr>
          <w:bCs/>
          <w:szCs w:val="22"/>
          <w:lang w:val="sr-Latn-ME"/>
        </w:rPr>
        <w:t>Farmakoterapijska grupa:</w:t>
      </w:r>
      <w:r w:rsidRPr="00E33ED2">
        <w:rPr>
          <w:szCs w:val="22"/>
          <w:lang w:val="sr-Latn-ME"/>
        </w:rPr>
        <w:t xml:space="preserve"> ACE inhibito</w:t>
      </w:r>
      <w:r w:rsidR="00BF2246" w:rsidRPr="00E33ED2">
        <w:rPr>
          <w:szCs w:val="22"/>
          <w:lang w:val="sr-Latn-ME"/>
        </w:rPr>
        <w:t>r</w:t>
      </w:r>
      <w:r w:rsidRPr="00E33ED2">
        <w:rPr>
          <w:szCs w:val="22"/>
          <w:lang w:val="sr-Latn-ME"/>
        </w:rPr>
        <w:t xml:space="preserve">i, </w:t>
      </w:r>
      <w:r w:rsidR="00A7190B" w:rsidRPr="00E33ED2">
        <w:rPr>
          <w:szCs w:val="22"/>
          <w:lang w:val="sr-Latn-ME"/>
        </w:rPr>
        <w:t>čisti</w:t>
      </w:r>
    </w:p>
    <w:p w14:paraId="4205ECDD" w14:textId="77777777" w:rsidR="001919CC" w:rsidRPr="00E33ED2" w:rsidRDefault="001919CC" w:rsidP="00AC7873">
      <w:pPr>
        <w:jc w:val="both"/>
        <w:rPr>
          <w:bCs/>
          <w:szCs w:val="22"/>
          <w:lang w:val="sr-Latn-ME"/>
        </w:rPr>
      </w:pPr>
    </w:p>
    <w:p w14:paraId="785CB9AA" w14:textId="77777777" w:rsidR="001919CC" w:rsidRPr="00E33ED2" w:rsidRDefault="001919CC" w:rsidP="00AC7873">
      <w:pPr>
        <w:jc w:val="both"/>
        <w:rPr>
          <w:bCs/>
          <w:szCs w:val="22"/>
          <w:lang w:val="sr-Latn-ME"/>
        </w:rPr>
      </w:pPr>
      <w:r w:rsidRPr="00E33ED2">
        <w:rPr>
          <w:bCs/>
          <w:szCs w:val="22"/>
          <w:lang w:val="sr-Latn-ME"/>
        </w:rPr>
        <w:t>ATC kod:</w:t>
      </w:r>
      <w:r w:rsidRPr="00E33ED2">
        <w:rPr>
          <w:szCs w:val="22"/>
          <w:lang w:val="sr-Latn-ME"/>
        </w:rPr>
        <w:t xml:space="preserve"> C09AA04</w:t>
      </w:r>
    </w:p>
    <w:p w14:paraId="184BB7BB" w14:textId="77777777" w:rsidR="00BF2246" w:rsidRPr="00E33ED2" w:rsidRDefault="00BF2246" w:rsidP="00AC7873">
      <w:pPr>
        <w:widowControl w:val="0"/>
        <w:autoSpaceDE w:val="0"/>
        <w:autoSpaceDN w:val="0"/>
        <w:adjustRightInd w:val="0"/>
        <w:jc w:val="both"/>
        <w:rPr>
          <w:color w:val="000000"/>
          <w:szCs w:val="22"/>
          <w:u w:val="single"/>
          <w:lang w:val="sr-Latn-ME"/>
        </w:rPr>
      </w:pPr>
    </w:p>
    <w:p w14:paraId="2BD435E9" w14:textId="77777777" w:rsidR="00BF2246" w:rsidRPr="00E33ED2" w:rsidRDefault="00BF2246" w:rsidP="00BA2946">
      <w:pPr>
        <w:widowControl w:val="0"/>
        <w:autoSpaceDE w:val="0"/>
        <w:autoSpaceDN w:val="0"/>
        <w:adjustRightInd w:val="0"/>
        <w:jc w:val="both"/>
        <w:rPr>
          <w:color w:val="000000"/>
          <w:szCs w:val="22"/>
          <w:u w:val="single"/>
          <w:lang w:val="sr-Latn-ME"/>
        </w:rPr>
      </w:pPr>
      <w:r w:rsidRPr="00E33ED2">
        <w:rPr>
          <w:color w:val="000000"/>
          <w:szCs w:val="22"/>
          <w:u w:val="single"/>
          <w:lang w:val="sr-Latn-ME"/>
        </w:rPr>
        <w:t>Mehanizam dejstva</w:t>
      </w:r>
    </w:p>
    <w:p w14:paraId="0724EF3C" w14:textId="77777777" w:rsidR="00660900" w:rsidRPr="00E33ED2" w:rsidRDefault="00660900" w:rsidP="00AC7873">
      <w:pPr>
        <w:jc w:val="both"/>
        <w:rPr>
          <w:szCs w:val="22"/>
          <w:lang w:val="sr-Latn-ME"/>
        </w:rPr>
      </w:pPr>
    </w:p>
    <w:p w14:paraId="2EFA7E21" w14:textId="77777777" w:rsidR="00BF2246" w:rsidRPr="00E33ED2" w:rsidRDefault="00BF2246" w:rsidP="00BA2946">
      <w:pPr>
        <w:jc w:val="both"/>
        <w:rPr>
          <w:szCs w:val="22"/>
          <w:lang w:val="sr-Latn-ME"/>
        </w:rPr>
      </w:pPr>
      <w:r w:rsidRPr="00E33ED2">
        <w:rPr>
          <w:szCs w:val="22"/>
          <w:lang w:val="sr-Latn-ME"/>
        </w:rPr>
        <w:t xml:space="preserve">Perindopril je inhibitor enzima koji pretvara angiotenzin I u angiotenzin II (engl. </w:t>
      </w:r>
      <w:r w:rsidRPr="00E33ED2">
        <w:rPr>
          <w:i/>
          <w:iCs/>
          <w:szCs w:val="22"/>
          <w:lang w:val="sr-Latn-ME"/>
        </w:rPr>
        <w:t>Angiotensin Converting Enzym</w:t>
      </w:r>
      <w:r w:rsidRPr="00E33ED2">
        <w:rPr>
          <w:szCs w:val="22"/>
          <w:lang w:val="sr-Latn-ME"/>
        </w:rPr>
        <w:t>e – ACE). Angiotenzin konvertujući enzim, odnosno kinaza je egzopeptidaza koja omogućava pretvaranje angiotenzina I u vazokonstriktor angiotenzin II, kao i razgradnju vazodilatatora bradikinina u inaktivni heptapeptid. Inhibicija ACE dovodi do smanjenja količine angiotenzina II u plazmi, što dovodi do porasta reninske aktivnosti u plazmi (putem inhibicije negativne povratne sprege pri oslobađanju renina) i smanjenog lučenja aldosterona. Obzirom na to da ACE inaktivira bradikinin, inhibicija ACE takođe dovodi do povećane aktivnosti cirkulišućih i lokalnih kalikrein-kinin sistema (čime se aktivira sistem prostaglandina). Moguće je da ovaj mehanizam doprinosi dejstvu ACE inhibitora na snižavanje krvnog pritiska i da je djelimično odgovoran za njihova određena neželjena dejstva (kašalj).</w:t>
      </w:r>
    </w:p>
    <w:p w14:paraId="5AC58DB4" w14:textId="77777777" w:rsidR="00BF2246" w:rsidRPr="00E33ED2" w:rsidRDefault="00BF2246" w:rsidP="0062605D">
      <w:pPr>
        <w:jc w:val="both"/>
        <w:rPr>
          <w:szCs w:val="22"/>
          <w:lang w:val="sr-Latn-ME"/>
        </w:rPr>
      </w:pPr>
      <w:r w:rsidRPr="00E33ED2">
        <w:rPr>
          <w:szCs w:val="22"/>
          <w:lang w:val="sr-Latn-ME"/>
        </w:rPr>
        <w:t xml:space="preserve">Perindopril djeluje preko svog aktivnog metabolita, perindoprilata. Drugi metaboliti ne inhibiraju ACE aktivnost </w:t>
      </w:r>
      <w:r w:rsidRPr="00E33ED2">
        <w:rPr>
          <w:i/>
          <w:szCs w:val="22"/>
          <w:lang w:val="sr-Latn-ME"/>
        </w:rPr>
        <w:t>in vitro</w:t>
      </w:r>
      <w:r w:rsidRPr="00E33ED2">
        <w:rPr>
          <w:szCs w:val="22"/>
          <w:lang w:val="sr-Latn-ME"/>
        </w:rPr>
        <w:t>.</w:t>
      </w:r>
    </w:p>
    <w:p w14:paraId="67DA2ACC" w14:textId="77777777" w:rsidR="00660900" w:rsidRPr="00E33ED2" w:rsidRDefault="00660900" w:rsidP="00AC7873">
      <w:pPr>
        <w:jc w:val="both"/>
        <w:rPr>
          <w:szCs w:val="22"/>
          <w:lang w:val="sr-Latn-ME"/>
        </w:rPr>
      </w:pPr>
    </w:p>
    <w:p w14:paraId="513E637B" w14:textId="26CC0847" w:rsidR="00BF2246" w:rsidRPr="00E33ED2" w:rsidRDefault="00BF2246" w:rsidP="00BA2946">
      <w:pPr>
        <w:keepNext/>
        <w:jc w:val="both"/>
        <w:rPr>
          <w:szCs w:val="22"/>
          <w:u w:val="single"/>
          <w:lang w:val="sr-Latn-ME"/>
        </w:rPr>
      </w:pPr>
      <w:r w:rsidRPr="00E33ED2">
        <w:rPr>
          <w:szCs w:val="22"/>
          <w:u w:val="single"/>
          <w:lang w:val="sr-Latn-ME"/>
        </w:rPr>
        <w:t xml:space="preserve">Klinička efikasnost i bezbjednost </w:t>
      </w:r>
    </w:p>
    <w:p w14:paraId="7C666135" w14:textId="77777777" w:rsidR="00A7190B" w:rsidRPr="00E33ED2" w:rsidRDefault="00A7190B" w:rsidP="00BA2946">
      <w:pPr>
        <w:keepNext/>
        <w:jc w:val="both"/>
        <w:rPr>
          <w:szCs w:val="22"/>
          <w:lang w:val="sr-Latn-ME"/>
        </w:rPr>
      </w:pPr>
    </w:p>
    <w:p w14:paraId="617B466A" w14:textId="77777777" w:rsidR="00BF2246" w:rsidRPr="00E33ED2" w:rsidRDefault="00BF2246" w:rsidP="0062605D">
      <w:pPr>
        <w:keepNext/>
        <w:jc w:val="both"/>
        <w:rPr>
          <w:i/>
          <w:szCs w:val="22"/>
          <w:lang w:val="sr-Latn-ME"/>
        </w:rPr>
      </w:pPr>
      <w:r w:rsidRPr="00E33ED2">
        <w:rPr>
          <w:i/>
          <w:szCs w:val="22"/>
          <w:lang w:val="sr-Latn-ME"/>
        </w:rPr>
        <w:t>Hipertenzija</w:t>
      </w:r>
    </w:p>
    <w:p w14:paraId="51493D74" w14:textId="3BCC3BED" w:rsidR="00BF2246" w:rsidRPr="00E33ED2" w:rsidRDefault="00BF2246">
      <w:pPr>
        <w:jc w:val="both"/>
        <w:rPr>
          <w:szCs w:val="22"/>
          <w:lang w:val="sr-Latn-ME"/>
        </w:rPr>
      </w:pPr>
      <w:r w:rsidRPr="00E33ED2">
        <w:rPr>
          <w:szCs w:val="22"/>
          <w:lang w:val="sr-Latn-ME"/>
        </w:rPr>
        <w:t>Perindopril je aktivan kod svih stepena hipertenzije: blagoj, umjerenoj, teškoj; dokazano je sniženje i sistolnog i dijastolnog krvnog pritiska u ležećem i u uspravnom položaju. Perindopril smanjuje periferni vaskularni otpor, dovodeći do sniženja krvnog pritiska. Kao posl</w:t>
      </w:r>
      <w:r w:rsidR="00A7190B" w:rsidRPr="00E33ED2">
        <w:rPr>
          <w:szCs w:val="22"/>
          <w:lang w:val="sr-Latn-ME"/>
        </w:rPr>
        <w:t>j</w:t>
      </w:r>
      <w:r w:rsidRPr="00E33ED2">
        <w:rPr>
          <w:szCs w:val="22"/>
          <w:lang w:val="sr-Latn-ME"/>
        </w:rPr>
        <w:t>edica, dolazi do povećanja periferne cirkulacije, bez uticaja na srčani puls.</w:t>
      </w:r>
    </w:p>
    <w:p w14:paraId="01C76908" w14:textId="77777777" w:rsidR="00BF2246" w:rsidRPr="00E33ED2" w:rsidRDefault="00BF2246">
      <w:pPr>
        <w:jc w:val="both"/>
        <w:rPr>
          <w:szCs w:val="22"/>
          <w:lang w:val="sr-Latn-ME"/>
        </w:rPr>
      </w:pPr>
      <w:r w:rsidRPr="00E33ED2">
        <w:rPr>
          <w:szCs w:val="22"/>
          <w:lang w:val="sr-Latn-ME"/>
        </w:rPr>
        <w:t xml:space="preserve">Protok krvi kroz bubrege u pravilu raste, dok se glomerularna filtracija (GFR, od engl. </w:t>
      </w:r>
      <w:r w:rsidRPr="00E33ED2">
        <w:rPr>
          <w:i/>
          <w:iCs/>
          <w:szCs w:val="22"/>
          <w:lang w:val="sr-Latn-ME"/>
        </w:rPr>
        <w:t>glomerular filtration rate</w:t>
      </w:r>
      <w:r w:rsidRPr="00E33ED2">
        <w:rPr>
          <w:szCs w:val="22"/>
          <w:lang w:val="sr-Latn-ME"/>
        </w:rPr>
        <w:t>) obično ne mijenja.</w:t>
      </w:r>
    </w:p>
    <w:p w14:paraId="5A14FBDF" w14:textId="77777777" w:rsidR="00BF2246" w:rsidRPr="00E33ED2" w:rsidRDefault="00BF2246">
      <w:pPr>
        <w:jc w:val="both"/>
        <w:rPr>
          <w:szCs w:val="22"/>
          <w:lang w:val="sr-Latn-ME"/>
        </w:rPr>
      </w:pPr>
      <w:r w:rsidRPr="00E33ED2">
        <w:rPr>
          <w:szCs w:val="22"/>
          <w:lang w:val="sr-Latn-ME"/>
        </w:rPr>
        <w:lastRenderedPageBreak/>
        <w:t>Antihipertenzivna aktivnost je najveća između 4 i 6 sati nakon jedne doze i održava se tokom  24 sata; raspon aktivnosti se kreće od 87% do 100% od maksimalnih dejstava.</w:t>
      </w:r>
    </w:p>
    <w:p w14:paraId="720F7B0B" w14:textId="77777777" w:rsidR="00BF2246" w:rsidRPr="00E33ED2" w:rsidRDefault="00BF2246">
      <w:pPr>
        <w:jc w:val="both"/>
        <w:rPr>
          <w:szCs w:val="22"/>
          <w:lang w:val="sr-Latn-ME"/>
        </w:rPr>
      </w:pPr>
      <w:r w:rsidRPr="00E33ED2">
        <w:rPr>
          <w:szCs w:val="22"/>
          <w:lang w:val="sr-Latn-ME"/>
        </w:rPr>
        <w:t xml:space="preserve">Do smanjenja krvnog pritiska dolazi veoma brzo. Kod pacijenata koji pozitivno reaguju na terapiju, normalizacija se postize u roku od mjesec dana i održava se bez nastanka tahifilakse. Prekid liječenja ne dovodi do reaktivne hipertenzije (engl. </w:t>
      </w:r>
      <w:r w:rsidRPr="00E33ED2">
        <w:rPr>
          <w:i/>
          <w:szCs w:val="22"/>
          <w:lang w:val="sr-Latn-ME"/>
        </w:rPr>
        <w:t>rebound effect</w:t>
      </w:r>
      <w:r w:rsidRPr="00E33ED2">
        <w:rPr>
          <w:szCs w:val="22"/>
          <w:lang w:val="sr-Latn-ME"/>
        </w:rPr>
        <w:t>).</w:t>
      </w:r>
    </w:p>
    <w:p w14:paraId="56F04E74" w14:textId="77777777" w:rsidR="00BF2246" w:rsidRPr="00E33ED2" w:rsidRDefault="00BF2246">
      <w:pPr>
        <w:jc w:val="both"/>
        <w:rPr>
          <w:szCs w:val="22"/>
          <w:lang w:val="sr-Latn-ME"/>
        </w:rPr>
      </w:pPr>
      <w:r w:rsidRPr="00E33ED2">
        <w:rPr>
          <w:szCs w:val="22"/>
          <w:lang w:val="sr-Latn-ME"/>
        </w:rPr>
        <w:t>Perindopril smanjuje hipertrofiju lijeve komore.</w:t>
      </w:r>
    </w:p>
    <w:p w14:paraId="5BFEA2E9" w14:textId="77777777" w:rsidR="00BF2246" w:rsidRPr="00E33ED2" w:rsidRDefault="00BF2246">
      <w:pPr>
        <w:jc w:val="both"/>
        <w:rPr>
          <w:szCs w:val="22"/>
          <w:lang w:val="sr-Latn-ME"/>
        </w:rPr>
      </w:pPr>
      <w:r w:rsidRPr="00E33ED2">
        <w:rPr>
          <w:szCs w:val="22"/>
          <w:lang w:val="sr-Latn-ME"/>
        </w:rPr>
        <w:t>Potvrđeno je da kod ljudi perindopril ima vazodilatatorna svojstva. On poboljšava elastičnost velikih arterija i smanjuje promjer debljine medije i lumena malih arterija.</w:t>
      </w:r>
    </w:p>
    <w:p w14:paraId="52BCBEA1" w14:textId="77777777" w:rsidR="00BF2246" w:rsidRPr="00E33ED2" w:rsidRDefault="00BF2246">
      <w:pPr>
        <w:jc w:val="both"/>
        <w:rPr>
          <w:szCs w:val="22"/>
          <w:lang w:val="sr-Latn-ME"/>
        </w:rPr>
      </w:pPr>
      <w:r w:rsidRPr="00E33ED2">
        <w:rPr>
          <w:szCs w:val="22"/>
          <w:lang w:val="sr-Latn-ME"/>
        </w:rPr>
        <w:t>Kada se daje kao dopunsko liječenje u kombinaciji sa tiazidnim diureticima, postiže se aditivan oblik sinergije. Kombinacijom ACE inhibitora i tiazida, smanjuje se i rizik od hipokalijemije izazvane davanjem diuretika.</w:t>
      </w:r>
    </w:p>
    <w:p w14:paraId="2DE9F53D" w14:textId="77777777" w:rsidR="00660900" w:rsidRPr="00E33ED2" w:rsidRDefault="00660900" w:rsidP="00AC7873">
      <w:pPr>
        <w:autoSpaceDE w:val="0"/>
        <w:autoSpaceDN w:val="0"/>
        <w:adjustRightInd w:val="0"/>
        <w:jc w:val="both"/>
        <w:rPr>
          <w:szCs w:val="22"/>
          <w:lang w:val="sr-Latn-ME"/>
        </w:rPr>
      </w:pPr>
    </w:p>
    <w:p w14:paraId="0371FB55" w14:textId="77777777" w:rsidR="00BF2246" w:rsidRPr="00E33ED2" w:rsidRDefault="00BF2246" w:rsidP="00BA2946">
      <w:pPr>
        <w:autoSpaceDE w:val="0"/>
        <w:autoSpaceDN w:val="0"/>
        <w:adjustRightInd w:val="0"/>
        <w:jc w:val="both"/>
        <w:rPr>
          <w:i/>
          <w:szCs w:val="22"/>
          <w:lang w:val="sr-Latn-ME"/>
        </w:rPr>
      </w:pPr>
      <w:r w:rsidRPr="00E33ED2">
        <w:rPr>
          <w:i/>
          <w:szCs w:val="22"/>
          <w:lang w:val="sr-Latn-ME"/>
        </w:rPr>
        <w:t xml:space="preserve">Pacijenti sa stabilnom koronarnom arterijskom bolešću </w:t>
      </w:r>
    </w:p>
    <w:p w14:paraId="46C39B02" w14:textId="478C0239" w:rsidR="00BF2246" w:rsidRPr="00E33ED2" w:rsidRDefault="00BF2246" w:rsidP="0062605D">
      <w:pPr>
        <w:autoSpaceDE w:val="0"/>
        <w:autoSpaceDN w:val="0"/>
        <w:adjustRightInd w:val="0"/>
        <w:jc w:val="both"/>
        <w:rPr>
          <w:szCs w:val="22"/>
          <w:lang w:val="sr-Latn-ME"/>
        </w:rPr>
      </w:pPr>
      <w:r w:rsidRPr="00E33ED2">
        <w:rPr>
          <w:szCs w:val="22"/>
          <w:lang w:val="sr-Latn-ME"/>
        </w:rPr>
        <w:t>EUROPA studija je bila multicentrična, internacionalna, randomizovana, dvostruko slijepa, placebo kontrolisana klinička studija koja je trajala 4 godine.</w:t>
      </w:r>
      <w:r w:rsidR="00A7190B" w:rsidRPr="00E33ED2">
        <w:rPr>
          <w:szCs w:val="22"/>
          <w:lang w:val="sr-Latn-ME"/>
        </w:rPr>
        <w:t xml:space="preserve"> </w:t>
      </w:r>
      <w:r w:rsidRPr="00E33ED2">
        <w:rPr>
          <w:szCs w:val="22"/>
          <w:lang w:val="sr-Latn-ME"/>
        </w:rPr>
        <w:t xml:space="preserve">12218  pacijenata starijih od 18 godina bilo je randomizovano da dobija perindopril tert-butilamin od 8 mg </w:t>
      </w:r>
      <w:r w:rsidRPr="00E33ED2">
        <w:rPr>
          <w:color w:val="000000"/>
          <w:szCs w:val="22"/>
          <w:lang w:val="sr-Latn-ME"/>
        </w:rPr>
        <w:t xml:space="preserve">(što odgovara 10 mg </w:t>
      </w:r>
      <w:r w:rsidR="008A4FAB" w:rsidRPr="00E33ED2">
        <w:rPr>
          <w:iCs/>
          <w:szCs w:val="22"/>
          <w:lang w:val="sr-Latn-ME"/>
        </w:rPr>
        <w:t>perindopril arginina</w:t>
      </w:r>
      <w:r w:rsidRPr="00E33ED2">
        <w:rPr>
          <w:color w:val="000000"/>
          <w:szCs w:val="22"/>
          <w:lang w:val="sr-Latn-ME"/>
        </w:rPr>
        <w:t>)</w:t>
      </w:r>
      <w:r w:rsidRPr="00E33ED2">
        <w:rPr>
          <w:szCs w:val="22"/>
          <w:lang w:val="sr-Latn-ME"/>
        </w:rPr>
        <w:t xml:space="preserve"> (n=6110) ili placeba (n=6108).</w:t>
      </w:r>
    </w:p>
    <w:p w14:paraId="591E7F3B" w14:textId="4464071E" w:rsidR="00BF2246" w:rsidRPr="00E33ED2" w:rsidRDefault="00BF2246" w:rsidP="00A7190B">
      <w:pPr>
        <w:autoSpaceDE w:val="0"/>
        <w:autoSpaceDN w:val="0"/>
        <w:adjustRightInd w:val="0"/>
        <w:jc w:val="both"/>
        <w:rPr>
          <w:szCs w:val="22"/>
          <w:lang w:val="sr-Latn-ME"/>
        </w:rPr>
      </w:pPr>
      <w:r w:rsidRPr="00E33ED2">
        <w:rPr>
          <w:szCs w:val="22"/>
          <w:lang w:val="sr-Latn-ME"/>
        </w:rPr>
        <w:t xml:space="preserve">Pacijenti ispitivane populacije imali su dokazanu koronarnu arterijsku bolest bez dokazanih kliničkih znakova </w:t>
      </w:r>
      <w:r w:rsidR="00A7190B" w:rsidRPr="00E33ED2">
        <w:rPr>
          <w:szCs w:val="22"/>
          <w:lang w:val="sr-Latn-ME"/>
        </w:rPr>
        <w:t>srčane insuficijencije</w:t>
      </w:r>
      <w:r w:rsidRPr="00E33ED2">
        <w:rPr>
          <w:szCs w:val="22"/>
          <w:lang w:val="sr-Latn-ME"/>
        </w:rPr>
        <w:t>. Od ukupnog broja, 90%  pacijenata je ranije imalo infarkt miokarda i/ili je bilo podvrgnuto koronarnoj revaskularizaciji. Većina pacijenata primila je ispitivani lijek u sklopu uobičajenog liječenja koje je uključivalo inhibitore trombocita, ljekove za sniženje koncentracije lipida u krvi i beta-blokatore.</w:t>
      </w:r>
    </w:p>
    <w:p w14:paraId="0203DCAB" w14:textId="48F572ED" w:rsidR="00BF2246" w:rsidRPr="00E33ED2" w:rsidRDefault="00BF2246" w:rsidP="001B5D02">
      <w:pPr>
        <w:autoSpaceDE w:val="0"/>
        <w:autoSpaceDN w:val="0"/>
        <w:adjustRightInd w:val="0"/>
        <w:jc w:val="both"/>
        <w:rPr>
          <w:szCs w:val="22"/>
          <w:lang w:val="sr-Latn-ME"/>
        </w:rPr>
      </w:pPr>
      <w:r w:rsidRPr="00E33ED2">
        <w:rPr>
          <w:szCs w:val="22"/>
          <w:lang w:val="sr-Latn-ME"/>
        </w:rPr>
        <w:t xml:space="preserve">Glavni kriterijum </w:t>
      </w:r>
      <w:r w:rsidR="001B5D02" w:rsidRPr="00E33ED2">
        <w:rPr>
          <w:szCs w:val="22"/>
          <w:lang w:val="sr-Latn-ME"/>
        </w:rPr>
        <w:t xml:space="preserve">efikasnosti </w:t>
      </w:r>
      <w:r w:rsidRPr="00E33ED2">
        <w:rPr>
          <w:szCs w:val="22"/>
          <w:lang w:val="sr-Latn-ME"/>
        </w:rPr>
        <w:t xml:space="preserve">bila je kardiovaskularna smrtnost, nesmrtonosni infarkt miokarda i/ili srčani zastoj sa uspješnim oživljavanjem. Liječenje sa 8 mg perindopril-tert butilamina (što odgovara 10 mg </w:t>
      </w:r>
      <w:r w:rsidR="008A4FAB" w:rsidRPr="00E33ED2">
        <w:rPr>
          <w:iCs/>
          <w:szCs w:val="22"/>
          <w:lang w:val="sr-Latn-ME"/>
        </w:rPr>
        <w:t>perindopril arginina</w:t>
      </w:r>
      <w:r w:rsidRPr="00E33ED2">
        <w:rPr>
          <w:szCs w:val="22"/>
          <w:lang w:val="sr-Latn-ME"/>
        </w:rPr>
        <w:t>) jednom dnevno dovelo je do značajnog apsolutnog sniženja primarnog ishoda od 1,9% (smanjenje relativnog rizika za 20%, 95% CI [9,4; 28,6] – p&lt;0,001).</w:t>
      </w:r>
    </w:p>
    <w:p w14:paraId="6935449D" w14:textId="77777777" w:rsidR="00BF2246" w:rsidRPr="00E33ED2" w:rsidRDefault="00BF2246">
      <w:pPr>
        <w:pStyle w:val="Norml11"/>
        <w:tabs>
          <w:tab w:val="left" w:pos="567"/>
        </w:tabs>
        <w:jc w:val="both"/>
        <w:rPr>
          <w:szCs w:val="22"/>
          <w:lang w:val="sr-Latn-ME" w:eastAsia="sl-SI"/>
        </w:rPr>
      </w:pPr>
      <w:r w:rsidRPr="00E33ED2">
        <w:rPr>
          <w:szCs w:val="22"/>
          <w:lang w:val="sr-Latn-ME" w:eastAsia="sl-SI"/>
        </w:rPr>
        <w:t xml:space="preserve">Kod pacijenata sa anamnezom infarkta miokarda i/ili revaskularizacijom zabilježeno je apsolutno sniženje od 2,2%, što odgovara RRR-u (relativno smanjenje rizika, engl. </w:t>
      </w:r>
      <w:r w:rsidRPr="00E33ED2">
        <w:rPr>
          <w:i/>
          <w:szCs w:val="22"/>
          <w:lang w:val="sr-Latn-ME" w:eastAsia="sl-SI"/>
        </w:rPr>
        <w:t>relative risk reduction</w:t>
      </w:r>
      <w:r w:rsidRPr="00E33ED2">
        <w:rPr>
          <w:szCs w:val="22"/>
          <w:lang w:val="sr-Latn-ME" w:eastAsia="sl-SI"/>
        </w:rPr>
        <w:t>) od 22,4% (95%CI [12,0; 31,6] – p&lt;0,001) za primarni ishod u poređenju sa placebom.</w:t>
      </w:r>
    </w:p>
    <w:p w14:paraId="3B963998" w14:textId="77777777" w:rsidR="00660900" w:rsidRPr="00E33ED2" w:rsidRDefault="00660900" w:rsidP="00AC7873">
      <w:pPr>
        <w:pStyle w:val="Norml11"/>
        <w:jc w:val="both"/>
        <w:rPr>
          <w:szCs w:val="22"/>
          <w:lang w:val="sr-Latn-ME" w:eastAsia="sl-SI"/>
        </w:rPr>
      </w:pPr>
    </w:p>
    <w:p w14:paraId="0D2C3EAF" w14:textId="77777777" w:rsidR="00BF2246" w:rsidRPr="00E33ED2" w:rsidRDefault="00BF2246" w:rsidP="00BA2946">
      <w:pPr>
        <w:pStyle w:val="Norml11"/>
        <w:keepNext/>
        <w:jc w:val="both"/>
        <w:rPr>
          <w:szCs w:val="22"/>
          <w:lang w:val="sr-Latn-ME"/>
        </w:rPr>
      </w:pPr>
      <w:r w:rsidRPr="00E33ED2">
        <w:rPr>
          <w:szCs w:val="22"/>
          <w:u w:val="single"/>
          <w:lang w:val="sr-Latn-ME"/>
        </w:rPr>
        <w:t>Pedijatrijska populacija:</w:t>
      </w:r>
    </w:p>
    <w:p w14:paraId="756D7778" w14:textId="77777777" w:rsidR="00BF2246" w:rsidRPr="00E33ED2" w:rsidRDefault="00BF2246" w:rsidP="0062605D">
      <w:pPr>
        <w:pStyle w:val="Norml11"/>
        <w:tabs>
          <w:tab w:val="left" w:pos="567"/>
        </w:tabs>
        <w:jc w:val="both"/>
        <w:rPr>
          <w:noProof/>
          <w:szCs w:val="22"/>
          <w:lang w:val="sr-Latn-ME" w:eastAsia="en-US"/>
        </w:rPr>
      </w:pPr>
      <w:r w:rsidRPr="00E33ED2">
        <w:rPr>
          <w:noProof/>
          <w:szCs w:val="22"/>
          <w:lang w:val="sr-Latn-ME" w:eastAsia="en-US"/>
        </w:rPr>
        <w:t>Bezbjednost i efikasnost primjene perindoprila nije utvrđena kod djece i adolescenata mlađih od 18 godina.</w:t>
      </w:r>
    </w:p>
    <w:p w14:paraId="038D23C5" w14:textId="77777777" w:rsidR="00BF2246" w:rsidRPr="00E33ED2" w:rsidRDefault="00BF2246">
      <w:pPr>
        <w:pStyle w:val="Norml11"/>
        <w:tabs>
          <w:tab w:val="left" w:pos="567"/>
        </w:tabs>
        <w:jc w:val="both"/>
        <w:rPr>
          <w:noProof/>
          <w:szCs w:val="22"/>
          <w:lang w:val="sr-Latn-ME" w:eastAsia="en-US"/>
        </w:rPr>
      </w:pPr>
      <w:r w:rsidRPr="00E33ED2">
        <w:rPr>
          <w:noProof/>
          <w:szCs w:val="22"/>
          <w:lang w:val="sr-Latn-ME" w:eastAsia="en-US"/>
        </w:rPr>
        <w:t>U otvorenom ispitivanju nekomparativnog tipa koje je uključilo 62 djece s hipertenzijom uzrasta od 2 do 15 godina (glomerularna filtracija &gt; 30 ml/min/1,73 m</w:t>
      </w:r>
      <w:r w:rsidRPr="00E33ED2">
        <w:rPr>
          <w:noProof/>
          <w:szCs w:val="22"/>
          <w:vertAlign w:val="superscript"/>
          <w:lang w:val="sr-Latn-ME" w:eastAsia="en-US"/>
        </w:rPr>
        <w:t>2</w:t>
      </w:r>
      <w:r w:rsidRPr="00E33ED2">
        <w:rPr>
          <w:noProof/>
          <w:szCs w:val="22"/>
          <w:lang w:val="sr-Latn-ME" w:eastAsia="en-US"/>
        </w:rPr>
        <w:t>), prosječna primljena doza perindoprila bila je 0,07 mg/kg. Doziranje je bilo individualizovano prema profilu ispitanika i odgovoru krvnog pritiska do maksimalne doze od 0,135 mg/kg/dan.</w:t>
      </w:r>
    </w:p>
    <w:p w14:paraId="1D7183FA" w14:textId="3579B379" w:rsidR="00BF2246" w:rsidRPr="00E33ED2" w:rsidRDefault="00BF2246">
      <w:pPr>
        <w:pStyle w:val="Norml11"/>
        <w:tabs>
          <w:tab w:val="left" w:pos="567"/>
        </w:tabs>
        <w:jc w:val="both"/>
        <w:rPr>
          <w:noProof/>
          <w:szCs w:val="22"/>
          <w:lang w:val="sr-Latn-ME" w:eastAsia="en-US"/>
        </w:rPr>
      </w:pPr>
      <w:r w:rsidRPr="00E33ED2">
        <w:rPr>
          <w:noProof/>
          <w:szCs w:val="22"/>
          <w:lang w:val="sr-Latn-ME" w:eastAsia="en-US"/>
        </w:rPr>
        <w:t>59 ispitanika je završilo ispitivanje u trajanju od tri mjeseca, a 36 ispitanika je završilo produženje ispitivanja tj. praćeni su tokom najmanje 24 mjeseca (prosjek trajanja ispitivanja je 44 mjeseca).</w:t>
      </w:r>
      <w:r w:rsidR="001B5D02" w:rsidRPr="00E33ED2">
        <w:rPr>
          <w:noProof/>
          <w:szCs w:val="22"/>
          <w:lang w:val="sr-Latn-ME" w:eastAsia="en-US"/>
        </w:rPr>
        <w:t xml:space="preserve"> </w:t>
      </w:r>
      <w:r w:rsidRPr="00E33ED2">
        <w:rPr>
          <w:noProof/>
          <w:szCs w:val="22"/>
          <w:lang w:val="sr-Latn-ME" w:eastAsia="en-US"/>
        </w:rPr>
        <w:t>Sistolni i dijastolni krvni pritisak  je ostao stabilan od početka ispitivanja do posljednjeg pregleda kod ispitanika koji su ranije liječeni antihipertenzivima, a kod prethodno neliječenih ispitanika se smanjio.</w:t>
      </w:r>
      <w:r w:rsidR="001B5D02" w:rsidRPr="00E33ED2">
        <w:rPr>
          <w:noProof/>
          <w:szCs w:val="22"/>
          <w:lang w:val="sr-Latn-ME" w:eastAsia="en-US"/>
        </w:rPr>
        <w:t xml:space="preserve"> </w:t>
      </w:r>
      <w:r w:rsidRPr="00E33ED2">
        <w:rPr>
          <w:noProof/>
          <w:szCs w:val="22"/>
          <w:lang w:val="sr-Latn-ME" w:eastAsia="en-US"/>
        </w:rPr>
        <w:t>Na posljednjem pregledu više od 75% djece je imalo sistolni i dijastolni pritisak ispod 95%.</w:t>
      </w:r>
    </w:p>
    <w:p w14:paraId="26E0BFB9" w14:textId="77777777" w:rsidR="00BF2246" w:rsidRPr="00E33ED2" w:rsidRDefault="00BF2246">
      <w:pPr>
        <w:pStyle w:val="Norml11"/>
        <w:tabs>
          <w:tab w:val="left" w:pos="567"/>
        </w:tabs>
        <w:jc w:val="both"/>
        <w:rPr>
          <w:noProof/>
          <w:szCs w:val="22"/>
          <w:lang w:val="sr-Latn-ME" w:eastAsia="en-US"/>
        </w:rPr>
      </w:pPr>
      <w:r w:rsidRPr="00E33ED2">
        <w:rPr>
          <w:noProof/>
          <w:szCs w:val="22"/>
          <w:lang w:val="sr-Latn-ME" w:eastAsia="en-US"/>
        </w:rPr>
        <w:t>Bezbjednost primjene je bila zadovoljavajuća i u skladu sa poznatim bezbjednosnim profilom perindoprila.</w:t>
      </w:r>
    </w:p>
    <w:p w14:paraId="1727F500" w14:textId="77777777" w:rsidR="00660900" w:rsidRPr="00E33ED2" w:rsidRDefault="00660900" w:rsidP="00AC7873">
      <w:pPr>
        <w:pStyle w:val="Norml11"/>
        <w:jc w:val="both"/>
        <w:rPr>
          <w:szCs w:val="22"/>
          <w:lang w:val="sr-Latn-ME" w:eastAsia="sl-SI"/>
        </w:rPr>
      </w:pPr>
    </w:p>
    <w:p w14:paraId="72EEBDD7" w14:textId="77777777" w:rsidR="00BF2246" w:rsidRPr="00E33ED2" w:rsidRDefault="00BF2246" w:rsidP="00BA2946">
      <w:pPr>
        <w:pStyle w:val="Norml11"/>
        <w:jc w:val="both"/>
        <w:rPr>
          <w:szCs w:val="22"/>
          <w:u w:val="single"/>
          <w:lang w:val="sr-Latn-ME" w:eastAsia="sl-SI"/>
        </w:rPr>
      </w:pPr>
      <w:r w:rsidRPr="00E33ED2">
        <w:rPr>
          <w:szCs w:val="22"/>
          <w:u w:val="single"/>
          <w:lang w:val="sr-Latn-ME" w:eastAsia="sl-SI"/>
        </w:rPr>
        <w:t>Podaci iz kliničkih ispitivanja dvostruke blokade renin-angiotenzin-aldosteron sistema (RAAS):</w:t>
      </w:r>
    </w:p>
    <w:p w14:paraId="4BF5CDD3" w14:textId="77777777" w:rsidR="00BF2246" w:rsidRPr="00E33ED2" w:rsidRDefault="00BF2246" w:rsidP="0062605D">
      <w:pPr>
        <w:jc w:val="both"/>
        <w:rPr>
          <w:szCs w:val="22"/>
          <w:lang w:val="sr-Latn-ME"/>
        </w:rPr>
      </w:pPr>
      <w:r w:rsidRPr="00E33ED2">
        <w:rPr>
          <w:szCs w:val="22"/>
          <w:lang w:val="sr-Latn-ME"/>
        </w:rPr>
        <w:t>Dva velika randomizovana, kontrolisana ispitivanja</w:t>
      </w:r>
      <w:r w:rsidRPr="00E33ED2" w:rsidDel="002F02C1">
        <w:rPr>
          <w:szCs w:val="22"/>
          <w:lang w:val="sr-Latn-ME"/>
        </w:rPr>
        <w:t xml:space="preserve"> </w:t>
      </w:r>
      <w:r w:rsidRPr="00E33ED2">
        <w:rPr>
          <w:szCs w:val="22"/>
          <w:lang w:val="sr-Latn-ME"/>
        </w:rPr>
        <w:t xml:space="preserve">(ONTARGET (engl. </w:t>
      </w:r>
      <w:r w:rsidRPr="00E33ED2">
        <w:rPr>
          <w:i/>
          <w:szCs w:val="22"/>
          <w:lang w:val="sr-Latn-ME"/>
        </w:rPr>
        <w:t>ONgoing Telmisartan Alone and in combination with Ramipril Global Endpoint Trial</w:t>
      </w:r>
      <w:r w:rsidRPr="00E33ED2">
        <w:rPr>
          <w:szCs w:val="22"/>
          <w:lang w:val="sr-Latn-ME"/>
        </w:rPr>
        <w:t xml:space="preserve">) i VA NEPHRON-D (engl. </w:t>
      </w:r>
      <w:r w:rsidRPr="00E33ED2">
        <w:rPr>
          <w:i/>
          <w:szCs w:val="22"/>
          <w:lang w:val="sr-Latn-ME"/>
        </w:rPr>
        <w:t>The Veterans Affairs Nephropathy in Diabetes</w:t>
      </w:r>
      <w:r w:rsidRPr="00E33ED2">
        <w:rPr>
          <w:szCs w:val="22"/>
          <w:lang w:val="sr-Latn-ME"/>
        </w:rPr>
        <w:t>)) ispitivala su primjenu kombinacije ACE inhibitora sa blokatorom angiotenzin II receptora.</w:t>
      </w:r>
    </w:p>
    <w:p w14:paraId="2FE60712" w14:textId="77777777" w:rsidR="00BF2246" w:rsidRPr="00E33ED2" w:rsidRDefault="00BF2246">
      <w:pPr>
        <w:jc w:val="both"/>
        <w:rPr>
          <w:szCs w:val="22"/>
          <w:lang w:val="sr-Latn-ME"/>
        </w:rPr>
      </w:pPr>
      <w:r w:rsidRPr="00E33ED2">
        <w:rPr>
          <w:szCs w:val="22"/>
          <w:lang w:val="sr-Latn-ME"/>
        </w:rPr>
        <w:t>ONTARGET je bilo ispitivanje sprovedeno kod pacijenata sa kardiovaskularnom ili cerebrovaskularnom bolešću u anamnezi ili sa dijabetesom tipa 2 uz dokaze oštećenja ciljanih organa. VA NEPHRON-D je bilo ispitivanje kod pacijenata sa dijabetesom tipa 2 i dijabetičkom nefropatijom.</w:t>
      </w:r>
    </w:p>
    <w:p w14:paraId="26AA1B34" w14:textId="77777777" w:rsidR="00BF2246" w:rsidRPr="00E33ED2" w:rsidRDefault="00BF2246">
      <w:pPr>
        <w:jc w:val="both"/>
        <w:rPr>
          <w:szCs w:val="22"/>
          <w:lang w:val="sr-Latn-ME"/>
        </w:rPr>
      </w:pPr>
      <w:r w:rsidRPr="00E33ED2">
        <w:rPr>
          <w:szCs w:val="22"/>
          <w:lang w:val="sr-Latn-ME"/>
        </w:rPr>
        <w:t xml:space="preserve">Ta ispitivanja nijesu pokazala nikakav značajan povoljan efekat na bubrežne i/ili kardiovaskularne ishode i smrtnost, a bio je uočen povećani rizik od hiperkalijemije, akutne povrede bubrega i/ili </w:t>
      </w:r>
      <w:r w:rsidRPr="00E33ED2">
        <w:rPr>
          <w:szCs w:val="22"/>
          <w:lang w:val="sr-Latn-ME"/>
        </w:rPr>
        <w:lastRenderedPageBreak/>
        <w:t>hipotenzije u poređenju sa monoterapijom. S obzirom na njihova slična farmakodinamska svojstva, ti rezultati su relevantni i za druge ACE inhibitore i blokatore angiotenzin II receptora.</w:t>
      </w:r>
    </w:p>
    <w:p w14:paraId="66E24F50" w14:textId="77777777" w:rsidR="00BF2246" w:rsidRPr="00E33ED2" w:rsidRDefault="00BF2246">
      <w:pPr>
        <w:jc w:val="both"/>
        <w:rPr>
          <w:szCs w:val="22"/>
          <w:lang w:val="sr-Latn-ME"/>
        </w:rPr>
      </w:pPr>
      <w:r w:rsidRPr="00E33ED2">
        <w:rPr>
          <w:szCs w:val="22"/>
          <w:lang w:val="sr-Latn-ME"/>
        </w:rPr>
        <w:t>ACE inhibitori i blokatori angiotenzin II receptora stoga se ne smiju istovremeno primjenjivati kod pacijenata sa dijabetičkom nefropatijom.</w:t>
      </w:r>
    </w:p>
    <w:p w14:paraId="13099D76" w14:textId="77777777" w:rsidR="00660900" w:rsidRPr="00E33ED2" w:rsidRDefault="00660900" w:rsidP="00AC7873">
      <w:pPr>
        <w:jc w:val="both"/>
        <w:rPr>
          <w:szCs w:val="22"/>
          <w:lang w:val="sr-Latn-ME"/>
        </w:rPr>
      </w:pPr>
    </w:p>
    <w:p w14:paraId="72EA72D5" w14:textId="6F7793E5" w:rsidR="00BF2246" w:rsidRPr="00E33ED2" w:rsidRDefault="00BF2246" w:rsidP="00BA2946">
      <w:pPr>
        <w:jc w:val="both"/>
        <w:rPr>
          <w:szCs w:val="22"/>
          <w:lang w:val="sr-Latn-ME"/>
        </w:rPr>
      </w:pPr>
      <w:r w:rsidRPr="00E33ED2">
        <w:rPr>
          <w:szCs w:val="22"/>
          <w:lang w:val="sr-Latn-ME"/>
        </w:rPr>
        <w:t xml:space="preserve">ALTITUDE (engl. </w:t>
      </w:r>
      <w:r w:rsidRPr="00E33ED2">
        <w:rPr>
          <w:i/>
          <w:szCs w:val="22"/>
          <w:lang w:val="sr-Latn-ME"/>
        </w:rPr>
        <w:t>Aliskiren Trial in Type 2 Diabetes Using Cardiovascular and Renal Disease Endpoints</w:t>
      </w:r>
      <w:r w:rsidRPr="00E33ED2">
        <w:rPr>
          <w:szCs w:val="22"/>
          <w:lang w:val="sr-Latn-ME"/>
        </w:rPr>
        <w:t>) je bilo ispitivanje dizajnirano za testiranje koristi dodavanja aliskirena standardnoj terapiji ACE inhibitorom ili blokatorom angiotenzin</w:t>
      </w:r>
      <w:r w:rsidR="001B5D02" w:rsidRPr="00E33ED2">
        <w:rPr>
          <w:szCs w:val="22"/>
          <w:lang w:val="sr-Latn-ME"/>
        </w:rPr>
        <w:t xml:space="preserve"> </w:t>
      </w:r>
      <w:r w:rsidRPr="00E33ED2">
        <w:rPr>
          <w:szCs w:val="22"/>
          <w:lang w:val="sr-Latn-ME"/>
        </w:rPr>
        <w:t xml:space="preserve">II receptora kod pacijenata sa dijabetesom tip 2 i hroničnom bolešću bubrega, kardiovaskularnom bolešću ili oboje. Ispitivanje je bilo prijevremeno prekinuto zbog povećanog rizika od štetnih ishoda. Kardiovaskularna smrt i moždani udar su </w:t>
      </w:r>
      <w:r w:rsidR="001B5D02" w:rsidRPr="00E33ED2">
        <w:rPr>
          <w:szCs w:val="22"/>
          <w:lang w:val="sr-Latn-ME"/>
        </w:rPr>
        <w:t xml:space="preserve">bili </w:t>
      </w:r>
      <w:r w:rsidRPr="00E33ED2">
        <w:rPr>
          <w:szCs w:val="22"/>
          <w:lang w:val="sr-Latn-ME"/>
        </w:rPr>
        <w:t>numerički učestaliji u grupi koja je primala aliskiren nego u onoj koja je primala placebo, a štetni događaji i ozbiljni štetni događaji od značaja (hiperkalijemija, hipotenzija i bubrežna disfunkcija) bili su učestalije prijavljeni u grupi koja je primala aliskiren nego u onoj koja je primala placebo.</w:t>
      </w:r>
    </w:p>
    <w:p w14:paraId="274453B6" w14:textId="77777777" w:rsidR="001919CC" w:rsidRPr="00E33ED2" w:rsidRDefault="001919CC" w:rsidP="00AC7873">
      <w:pPr>
        <w:jc w:val="both"/>
        <w:rPr>
          <w:b/>
          <w:bCs/>
          <w:szCs w:val="22"/>
          <w:lang w:val="sr-Latn-ME"/>
        </w:rPr>
      </w:pPr>
    </w:p>
    <w:p w14:paraId="034C2A30" w14:textId="77777777" w:rsidR="001919CC" w:rsidRPr="00E33ED2" w:rsidRDefault="001919CC" w:rsidP="00AC7873">
      <w:pPr>
        <w:jc w:val="both"/>
        <w:rPr>
          <w:b/>
          <w:bCs/>
          <w:szCs w:val="22"/>
          <w:lang w:val="sr-Latn-ME"/>
        </w:rPr>
      </w:pPr>
      <w:r w:rsidRPr="00E33ED2">
        <w:rPr>
          <w:b/>
          <w:bCs/>
          <w:szCs w:val="22"/>
          <w:lang w:val="sr-Latn-ME"/>
        </w:rPr>
        <w:t xml:space="preserve">5.2. </w:t>
      </w:r>
      <w:r w:rsidRPr="00E33ED2">
        <w:rPr>
          <w:b/>
          <w:bCs/>
          <w:szCs w:val="22"/>
          <w:lang w:val="sr-Latn-ME"/>
        </w:rPr>
        <w:tab/>
        <w:t xml:space="preserve">Farmakokinetički podaci </w:t>
      </w:r>
    </w:p>
    <w:p w14:paraId="1BFB2857" w14:textId="77777777" w:rsidR="00DB7FE4" w:rsidRPr="00E33ED2" w:rsidRDefault="00DB7FE4" w:rsidP="00AC7873">
      <w:pPr>
        <w:widowControl w:val="0"/>
        <w:numPr>
          <w:ilvl w:val="12"/>
          <w:numId w:val="0"/>
        </w:numPr>
        <w:ind w:right="-2"/>
        <w:jc w:val="both"/>
        <w:rPr>
          <w:iCs/>
          <w:szCs w:val="22"/>
          <w:u w:val="single"/>
          <w:lang w:val="sr-Latn-ME"/>
        </w:rPr>
      </w:pPr>
    </w:p>
    <w:p w14:paraId="0D474E3A" w14:textId="77777777" w:rsidR="00FD0AB8" w:rsidRPr="00E33ED2" w:rsidRDefault="00FD0AB8" w:rsidP="00BA2946">
      <w:pPr>
        <w:jc w:val="both"/>
        <w:rPr>
          <w:iCs/>
          <w:szCs w:val="22"/>
          <w:u w:val="single"/>
          <w:lang w:val="sr-Latn-ME"/>
        </w:rPr>
      </w:pPr>
      <w:r w:rsidRPr="00E33ED2">
        <w:rPr>
          <w:iCs/>
          <w:szCs w:val="22"/>
          <w:u w:val="single"/>
          <w:lang w:val="sr-Latn-ME"/>
        </w:rPr>
        <w:t>Resorpcija</w:t>
      </w:r>
    </w:p>
    <w:p w14:paraId="0390CF88" w14:textId="77777777" w:rsidR="00FD0AB8" w:rsidRPr="00E33ED2" w:rsidRDefault="00FD0AB8" w:rsidP="0062605D">
      <w:pPr>
        <w:jc w:val="both"/>
        <w:rPr>
          <w:szCs w:val="22"/>
          <w:lang w:val="sr-Latn-ME"/>
        </w:rPr>
      </w:pPr>
      <w:r w:rsidRPr="00E33ED2">
        <w:rPr>
          <w:szCs w:val="22"/>
          <w:lang w:val="sr-Latn-ME"/>
        </w:rPr>
        <w:t>Nakon oralne primjene, resorpcija perindoprila je brza i maksimalna koncentracija se postiže nakon jednog sata. Poluvrijeme eliminacije perindoprila u plazmi iznosi 1 sat.</w:t>
      </w:r>
    </w:p>
    <w:p w14:paraId="65763A51" w14:textId="77777777" w:rsidR="00FD0AB8" w:rsidRPr="00E33ED2" w:rsidRDefault="00FD0AB8">
      <w:pPr>
        <w:jc w:val="both"/>
        <w:rPr>
          <w:szCs w:val="22"/>
          <w:lang w:val="sr-Latn-ME"/>
        </w:rPr>
      </w:pPr>
      <w:r w:rsidRPr="00E33ED2">
        <w:rPr>
          <w:szCs w:val="22"/>
          <w:lang w:val="sr-Latn-ME"/>
        </w:rPr>
        <w:t>Perindopril je prolijek. Oko 27% ukupne količine orbovanog perindoprila pretvara se u aktivni metabolit perindoprilat. Uz aktivni perindoprilat, iz perindoprila nastaje još pet neaktivnih metabolita. Maksimalna koncentracija perindoprilata u plazmi postiže se za 3 do 4 sata.</w:t>
      </w:r>
    </w:p>
    <w:p w14:paraId="03A8322F" w14:textId="77777777" w:rsidR="00FD0AB8" w:rsidRPr="00E33ED2" w:rsidRDefault="00FD0AB8">
      <w:pPr>
        <w:jc w:val="both"/>
        <w:rPr>
          <w:szCs w:val="22"/>
          <w:lang w:val="sr-Latn-ME"/>
        </w:rPr>
      </w:pPr>
      <w:r w:rsidRPr="00E33ED2">
        <w:rPr>
          <w:szCs w:val="22"/>
          <w:lang w:val="sr-Latn-ME"/>
        </w:rPr>
        <w:t>Budući da unos hrane smanjuje pretvaranje perindoprila u perindoprilat i time bioraspoloživost, perindopril treba oralno uzimati u obliku jedne dnevne doze prije jutarnjeg obroka.</w:t>
      </w:r>
    </w:p>
    <w:p w14:paraId="6699F91B" w14:textId="34E0A6D2" w:rsidR="00660900" w:rsidRPr="00E33ED2" w:rsidRDefault="00FD0AB8" w:rsidP="00AC7873">
      <w:pPr>
        <w:pStyle w:val="NormalWeb"/>
        <w:shd w:val="clear" w:color="auto" w:fill="FFFFFF"/>
        <w:spacing w:before="0" w:beforeAutospacing="0" w:after="0" w:afterAutospacing="0"/>
        <w:jc w:val="both"/>
        <w:rPr>
          <w:sz w:val="22"/>
          <w:szCs w:val="22"/>
          <w:lang w:val="sr-Latn-ME"/>
        </w:rPr>
      </w:pPr>
      <w:r w:rsidRPr="00E33ED2">
        <w:rPr>
          <w:sz w:val="22"/>
          <w:szCs w:val="22"/>
          <w:lang w:val="sr-Latn-ME"/>
        </w:rPr>
        <w:t>Dokazana je linearna farmakokinetika perindoprila</w:t>
      </w:r>
    </w:p>
    <w:p w14:paraId="296C90C5" w14:textId="77777777" w:rsidR="008D4841" w:rsidRPr="00E33ED2" w:rsidRDefault="008D4841" w:rsidP="00AC7873">
      <w:pPr>
        <w:pStyle w:val="NormalWeb"/>
        <w:shd w:val="clear" w:color="auto" w:fill="FFFFFF"/>
        <w:spacing w:before="0" w:beforeAutospacing="0" w:after="0" w:afterAutospacing="0"/>
        <w:jc w:val="both"/>
        <w:rPr>
          <w:color w:val="000000"/>
          <w:sz w:val="22"/>
          <w:szCs w:val="22"/>
          <w:lang w:val="sr-Latn-ME"/>
        </w:rPr>
      </w:pPr>
    </w:p>
    <w:p w14:paraId="3BF67E50" w14:textId="77777777" w:rsidR="00660900" w:rsidRPr="00E33ED2" w:rsidRDefault="00660900" w:rsidP="00AC7873">
      <w:pPr>
        <w:keepNext/>
        <w:widowControl w:val="0"/>
        <w:numPr>
          <w:ilvl w:val="12"/>
          <w:numId w:val="0"/>
        </w:numPr>
        <w:jc w:val="both"/>
        <w:rPr>
          <w:iCs/>
          <w:szCs w:val="22"/>
          <w:u w:val="single"/>
          <w:lang w:val="sr-Latn-ME"/>
        </w:rPr>
      </w:pPr>
      <w:r w:rsidRPr="00E33ED2">
        <w:rPr>
          <w:iCs/>
          <w:szCs w:val="22"/>
          <w:u w:val="single"/>
          <w:lang w:val="sr-Latn-ME"/>
        </w:rPr>
        <w:t>Distribucija</w:t>
      </w:r>
    </w:p>
    <w:p w14:paraId="7A58A66A" w14:textId="3256BF44" w:rsidR="00FD0AB8" w:rsidRPr="00E33ED2" w:rsidRDefault="00FD0AB8" w:rsidP="00BA2946">
      <w:pPr>
        <w:jc w:val="both"/>
        <w:rPr>
          <w:szCs w:val="22"/>
          <w:lang w:val="sr-Latn-ME"/>
        </w:rPr>
      </w:pPr>
      <w:r w:rsidRPr="00E33ED2">
        <w:rPr>
          <w:szCs w:val="22"/>
          <w:lang w:val="sr-Latn-ME"/>
        </w:rPr>
        <w:t xml:space="preserve">Volumen raspodjele je oko 0,2 l/kg za nevezani perindoprilat. </w:t>
      </w:r>
      <w:r w:rsidR="00B46D38" w:rsidRPr="00E33ED2">
        <w:rPr>
          <w:szCs w:val="22"/>
          <w:lang w:val="sr-Latn-ME"/>
        </w:rPr>
        <w:t>Vezivanje perindoprilata za proteine plazme je 20%, uglavnom za angiotenzin konvertujući enzim, ali je to zavisno od koncentracije.</w:t>
      </w:r>
      <w:r w:rsidR="008D4841" w:rsidRPr="00E33ED2" w:rsidDel="008D4841">
        <w:rPr>
          <w:szCs w:val="22"/>
          <w:lang w:val="sr-Latn-ME"/>
        </w:rPr>
        <w:t xml:space="preserve"> </w:t>
      </w:r>
    </w:p>
    <w:p w14:paraId="35F52B2B" w14:textId="77777777" w:rsidR="00660900" w:rsidRPr="00E33ED2" w:rsidRDefault="00660900" w:rsidP="00AC7873">
      <w:pPr>
        <w:pStyle w:val="NormalWeb"/>
        <w:shd w:val="clear" w:color="auto" w:fill="FFFFFF"/>
        <w:spacing w:before="0" w:beforeAutospacing="0" w:after="0" w:afterAutospacing="0"/>
        <w:jc w:val="both"/>
        <w:rPr>
          <w:color w:val="000000"/>
          <w:sz w:val="22"/>
          <w:szCs w:val="22"/>
          <w:lang w:val="sr-Latn-ME"/>
        </w:rPr>
      </w:pPr>
    </w:p>
    <w:p w14:paraId="1985D170" w14:textId="77777777" w:rsidR="00660900" w:rsidRPr="00E33ED2" w:rsidRDefault="00660900" w:rsidP="00AC7873">
      <w:pPr>
        <w:widowControl w:val="0"/>
        <w:numPr>
          <w:ilvl w:val="12"/>
          <w:numId w:val="0"/>
        </w:numPr>
        <w:jc w:val="both"/>
        <w:rPr>
          <w:iCs/>
          <w:szCs w:val="22"/>
          <w:u w:val="single"/>
          <w:lang w:val="sr-Latn-ME"/>
        </w:rPr>
      </w:pPr>
      <w:r w:rsidRPr="00E33ED2">
        <w:rPr>
          <w:iCs/>
          <w:szCs w:val="22"/>
          <w:u w:val="single"/>
          <w:lang w:val="sr-Latn-ME"/>
        </w:rPr>
        <w:t>Eliminacija</w:t>
      </w:r>
    </w:p>
    <w:p w14:paraId="3DC06DBC" w14:textId="59719FBE" w:rsidR="00FD0AB8" w:rsidRPr="00E33ED2" w:rsidRDefault="00FD0AB8" w:rsidP="00BA2946">
      <w:pPr>
        <w:jc w:val="both"/>
        <w:rPr>
          <w:szCs w:val="22"/>
          <w:lang w:val="sr-Latn-ME"/>
        </w:rPr>
      </w:pPr>
      <w:r w:rsidRPr="00E33ED2">
        <w:rPr>
          <w:szCs w:val="22"/>
          <w:lang w:val="sr-Latn-ME"/>
        </w:rPr>
        <w:t>Perindoprilat se izlučuje urinom i poluvrijeme eliminacije nevezanog perindoprilata</w:t>
      </w:r>
      <w:r w:rsidR="001B5D02" w:rsidRPr="00E33ED2">
        <w:rPr>
          <w:szCs w:val="22"/>
          <w:lang w:val="sr-Latn-ME"/>
        </w:rPr>
        <w:t xml:space="preserve"> </w:t>
      </w:r>
      <w:r w:rsidRPr="00E33ED2">
        <w:rPr>
          <w:szCs w:val="22"/>
          <w:lang w:val="sr-Latn-ME"/>
        </w:rPr>
        <w:t>iznosi oko 17 sati, što rezultuje postizanjem stanja ravnoteže u roku od četiri dana.</w:t>
      </w:r>
    </w:p>
    <w:p w14:paraId="1A3E9A0B" w14:textId="77777777" w:rsidR="00660900" w:rsidRPr="00E33ED2" w:rsidRDefault="00660900" w:rsidP="00AC7873">
      <w:pPr>
        <w:pStyle w:val="NormalWeb"/>
        <w:shd w:val="clear" w:color="auto" w:fill="FFFFFF"/>
        <w:spacing w:before="0" w:beforeAutospacing="0" w:after="0" w:afterAutospacing="0"/>
        <w:jc w:val="both"/>
        <w:rPr>
          <w:color w:val="000000"/>
          <w:sz w:val="22"/>
          <w:szCs w:val="22"/>
          <w:lang w:val="sr-Latn-ME"/>
        </w:rPr>
      </w:pPr>
    </w:p>
    <w:p w14:paraId="6EA85C2E" w14:textId="77777777" w:rsidR="00660900" w:rsidRPr="00E33ED2" w:rsidRDefault="00660900" w:rsidP="00AC7873">
      <w:pPr>
        <w:jc w:val="both"/>
        <w:rPr>
          <w:iCs/>
          <w:szCs w:val="22"/>
          <w:u w:val="single"/>
          <w:lang w:val="sr-Latn-ME"/>
        </w:rPr>
      </w:pPr>
      <w:r w:rsidRPr="00E33ED2">
        <w:rPr>
          <w:iCs/>
          <w:szCs w:val="22"/>
          <w:u w:val="single"/>
          <w:lang w:val="sr-Latn-ME"/>
        </w:rPr>
        <w:t>Posebne populacije</w:t>
      </w:r>
    </w:p>
    <w:p w14:paraId="4BE535CA" w14:textId="77777777" w:rsidR="00FD0AB8" w:rsidRPr="00E33ED2" w:rsidRDefault="00FD0AB8" w:rsidP="00BA2946">
      <w:pPr>
        <w:jc w:val="both"/>
        <w:rPr>
          <w:szCs w:val="22"/>
          <w:lang w:val="sr-Latn-ME"/>
        </w:rPr>
      </w:pPr>
      <w:r w:rsidRPr="00E33ED2">
        <w:rPr>
          <w:szCs w:val="22"/>
          <w:lang w:val="sr-Latn-ME"/>
        </w:rPr>
        <w:t>Izlučivanje perindoprilata sporije je kod starijih osoba kao i kod pacijenata sa bubrežnom i srčanom insuficijencijom. Neophodno je prilagođavanje dozu kod pacijenata sa bubrežnom insuficijencijom, u skladu sa stepenom oštećenja (klirens kreatinina).</w:t>
      </w:r>
    </w:p>
    <w:p w14:paraId="334D6192" w14:textId="77777777" w:rsidR="00FD0AB8" w:rsidRPr="00E33ED2" w:rsidRDefault="00FD0AB8" w:rsidP="0062605D">
      <w:pPr>
        <w:jc w:val="both"/>
        <w:rPr>
          <w:szCs w:val="22"/>
          <w:lang w:val="sr-Latn-ME"/>
        </w:rPr>
      </w:pPr>
      <w:r w:rsidRPr="00E33ED2">
        <w:rPr>
          <w:szCs w:val="22"/>
          <w:lang w:val="sr-Latn-ME"/>
        </w:rPr>
        <w:t>Klirens perindoprilata pri dijalizi iznosi 70 ml/min.</w:t>
      </w:r>
    </w:p>
    <w:p w14:paraId="3AA4FA0D" w14:textId="77777777" w:rsidR="00FD0AB8" w:rsidRPr="00E33ED2" w:rsidRDefault="00FD0AB8">
      <w:pPr>
        <w:jc w:val="both"/>
        <w:rPr>
          <w:szCs w:val="22"/>
          <w:lang w:val="sr-Latn-ME"/>
        </w:rPr>
      </w:pPr>
      <w:r w:rsidRPr="00E33ED2">
        <w:rPr>
          <w:szCs w:val="22"/>
          <w:lang w:val="sr-Latn-ME"/>
        </w:rPr>
        <w:t>Kinetika perindoprila promijenjena je kod pacijenata sa cirozom jetre: hepatički klirens perindoprila smanjen je na pola. Međutim, količina nastalog perindoprilata nije smanjena, pa dozu ne treba prilagođavati (vidjeti djelove 4.2 i 4.4).</w:t>
      </w:r>
    </w:p>
    <w:p w14:paraId="6619A0A8" w14:textId="77777777" w:rsidR="001919CC" w:rsidRPr="00E33ED2" w:rsidRDefault="001919CC" w:rsidP="00AC7873">
      <w:pPr>
        <w:jc w:val="both"/>
        <w:rPr>
          <w:bCs/>
          <w:szCs w:val="22"/>
          <w:lang w:val="sr-Latn-ME"/>
        </w:rPr>
      </w:pPr>
    </w:p>
    <w:p w14:paraId="0035485E" w14:textId="77777777" w:rsidR="001919CC" w:rsidRPr="00E33ED2" w:rsidRDefault="001919CC" w:rsidP="00AC7873">
      <w:pPr>
        <w:jc w:val="both"/>
        <w:rPr>
          <w:b/>
          <w:bCs/>
          <w:szCs w:val="22"/>
          <w:lang w:val="sr-Latn-ME"/>
        </w:rPr>
      </w:pPr>
      <w:r w:rsidRPr="00E33ED2">
        <w:rPr>
          <w:b/>
          <w:bCs/>
          <w:szCs w:val="22"/>
          <w:lang w:val="sr-Latn-ME"/>
        </w:rPr>
        <w:t xml:space="preserve">5.3. </w:t>
      </w:r>
      <w:r w:rsidRPr="00E33ED2">
        <w:rPr>
          <w:b/>
          <w:bCs/>
          <w:szCs w:val="22"/>
          <w:lang w:val="sr-Latn-ME"/>
        </w:rPr>
        <w:tab/>
        <w:t xml:space="preserve">Pretklinički podaci o bezbjednosti </w:t>
      </w:r>
    </w:p>
    <w:p w14:paraId="1725F0E1" w14:textId="77777777" w:rsidR="0038339D" w:rsidRPr="00E33ED2" w:rsidRDefault="0038339D" w:rsidP="00BA2946">
      <w:pPr>
        <w:jc w:val="both"/>
        <w:rPr>
          <w:szCs w:val="22"/>
          <w:lang w:val="sr-Latn-ME"/>
        </w:rPr>
      </w:pPr>
    </w:p>
    <w:p w14:paraId="25969A18" w14:textId="61AE6ACA" w:rsidR="00B13BAD" w:rsidRPr="00E33ED2" w:rsidRDefault="00B13BAD" w:rsidP="0062605D">
      <w:pPr>
        <w:jc w:val="both"/>
        <w:rPr>
          <w:szCs w:val="22"/>
          <w:lang w:val="sr-Latn-ME"/>
        </w:rPr>
      </w:pPr>
      <w:r w:rsidRPr="00E33ED2">
        <w:rPr>
          <w:szCs w:val="22"/>
          <w:lang w:val="sr-Latn-ME"/>
        </w:rPr>
        <w:t>U studijama oralne, hronične toksičnosti sprovedenim na pacovima i majmunima, ciljni organ bio je bubreg, sa reverzibilnim oštećenjem.</w:t>
      </w:r>
      <w:r w:rsidR="001B5D02" w:rsidRPr="00E33ED2">
        <w:rPr>
          <w:szCs w:val="22"/>
          <w:lang w:val="sr-Latn-ME"/>
        </w:rPr>
        <w:t xml:space="preserve"> </w:t>
      </w:r>
      <w:r w:rsidRPr="00E33ED2">
        <w:rPr>
          <w:szCs w:val="22"/>
          <w:lang w:val="sr-Latn-ME"/>
        </w:rPr>
        <w:t xml:space="preserve">Mutagenost nije zabilježena u </w:t>
      </w:r>
      <w:r w:rsidRPr="00E33ED2">
        <w:rPr>
          <w:i/>
          <w:szCs w:val="22"/>
          <w:lang w:val="sr-Latn-ME"/>
        </w:rPr>
        <w:t xml:space="preserve">in vitro </w:t>
      </w:r>
      <w:r w:rsidRPr="00E33ED2">
        <w:rPr>
          <w:szCs w:val="22"/>
          <w:lang w:val="sr-Latn-ME"/>
        </w:rPr>
        <w:t xml:space="preserve">ili </w:t>
      </w:r>
      <w:r w:rsidRPr="00E33ED2">
        <w:rPr>
          <w:i/>
          <w:szCs w:val="22"/>
          <w:lang w:val="sr-Latn-ME"/>
        </w:rPr>
        <w:t xml:space="preserve">in vivo </w:t>
      </w:r>
      <w:r w:rsidRPr="00E33ED2">
        <w:rPr>
          <w:szCs w:val="22"/>
          <w:lang w:val="sr-Latn-ME"/>
        </w:rPr>
        <w:t>studijama.</w:t>
      </w:r>
    </w:p>
    <w:p w14:paraId="1DA24EF6" w14:textId="77777777" w:rsidR="00B13BAD" w:rsidRPr="00E33ED2" w:rsidRDefault="00B13BAD">
      <w:pPr>
        <w:jc w:val="both"/>
        <w:rPr>
          <w:szCs w:val="22"/>
          <w:lang w:val="sr-Latn-ME"/>
        </w:rPr>
      </w:pPr>
      <w:r w:rsidRPr="00E33ED2">
        <w:rPr>
          <w:szCs w:val="22"/>
          <w:lang w:val="sr-Latn-ME"/>
        </w:rPr>
        <w:t>Ispitivanja reproduktivne toksičnosti (na pacovima, miševima, kunićima i majmunima) nijesu pokazala znakove embriotoksičnosti ili teratogenosti. Ipak, pokazalo se da su inhibitori konvertaze angiotenzina, kao grupa, imali neželjena dejstva na kasni fetalni razvoj, uzrokujući smrt ploda i kongenitalne promjene kod glodara i kunića: uočena je pojava žarišta u bubregu i povećana postnatalna smrtnost. Nije bilo uticaja na plodnost mužjaka niti ženke pacova.</w:t>
      </w:r>
    </w:p>
    <w:p w14:paraId="76BC00EA" w14:textId="77777777" w:rsidR="00B13BAD" w:rsidRPr="00E33ED2" w:rsidRDefault="00B13BAD">
      <w:pPr>
        <w:jc w:val="both"/>
        <w:rPr>
          <w:szCs w:val="22"/>
          <w:lang w:val="sr-Latn-ME"/>
        </w:rPr>
      </w:pPr>
      <w:r w:rsidRPr="00E33ED2">
        <w:rPr>
          <w:szCs w:val="22"/>
          <w:lang w:val="sr-Latn-ME"/>
        </w:rPr>
        <w:t>Kancerogenost nije utvrđena u dugotrajnim studijama sprovedenim na pacovima i miševima.</w:t>
      </w:r>
    </w:p>
    <w:p w14:paraId="257C1123" w14:textId="32B24B63" w:rsidR="001919CC" w:rsidRDefault="001919CC" w:rsidP="001919CC">
      <w:pPr>
        <w:rPr>
          <w:b/>
          <w:bCs/>
          <w:szCs w:val="22"/>
          <w:lang w:val="sr-Latn-ME"/>
        </w:rPr>
      </w:pPr>
    </w:p>
    <w:p w14:paraId="7D02EBF4" w14:textId="77777777" w:rsidR="00E33ED2" w:rsidRPr="00E33ED2" w:rsidRDefault="00E33ED2" w:rsidP="001919CC">
      <w:pPr>
        <w:rPr>
          <w:b/>
          <w:bCs/>
          <w:szCs w:val="22"/>
          <w:lang w:val="sr-Latn-ME"/>
        </w:rPr>
      </w:pPr>
    </w:p>
    <w:p w14:paraId="23AA3692" w14:textId="77777777" w:rsidR="005C00B9" w:rsidRPr="00E33ED2" w:rsidRDefault="005C00B9" w:rsidP="001919CC">
      <w:pPr>
        <w:rPr>
          <w:b/>
          <w:bCs/>
          <w:szCs w:val="22"/>
          <w:lang w:val="sr-Latn-ME"/>
        </w:rPr>
      </w:pPr>
    </w:p>
    <w:p w14:paraId="53FC441F" w14:textId="77777777" w:rsidR="001919CC" w:rsidRPr="00E33ED2" w:rsidRDefault="001919CC" w:rsidP="001919CC">
      <w:pPr>
        <w:rPr>
          <w:b/>
          <w:bCs/>
          <w:szCs w:val="22"/>
          <w:lang w:val="sr-Latn-ME"/>
        </w:rPr>
      </w:pPr>
      <w:r w:rsidRPr="00E33ED2">
        <w:rPr>
          <w:b/>
          <w:bCs/>
          <w:szCs w:val="22"/>
          <w:lang w:val="sr-Latn-ME"/>
        </w:rPr>
        <w:lastRenderedPageBreak/>
        <w:t xml:space="preserve">6. </w:t>
      </w:r>
      <w:r w:rsidRPr="00E33ED2">
        <w:rPr>
          <w:b/>
          <w:bCs/>
          <w:szCs w:val="22"/>
          <w:lang w:val="sr-Latn-ME"/>
        </w:rPr>
        <w:tab/>
        <w:t>FARMACEUTSKI PODACI</w:t>
      </w:r>
    </w:p>
    <w:p w14:paraId="0FCE453D" w14:textId="77777777" w:rsidR="001919CC" w:rsidRPr="00E33ED2" w:rsidRDefault="001919CC" w:rsidP="001919CC">
      <w:pPr>
        <w:rPr>
          <w:bCs/>
          <w:szCs w:val="22"/>
          <w:lang w:val="sr-Latn-ME"/>
        </w:rPr>
      </w:pPr>
    </w:p>
    <w:p w14:paraId="7742DED1" w14:textId="77777777" w:rsidR="001919CC" w:rsidRPr="00E33ED2" w:rsidRDefault="001919CC" w:rsidP="001919CC">
      <w:pPr>
        <w:rPr>
          <w:b/>
          <w:bCs/>
          <w:szCs w:val="22"/>
          <w:lang w:val="sr-Latn-ME"/>
        </w:rPr>
      </w:pPr>
      <w:r w:rsidRPr="00E33ED2">
        <w:rPr>
          <w:b/>
          <w:bCs/>
          <w:szCs w:val="22"/>
          <w:lang w:val="sr-Latn-ME"/>
        </w:rPr>
        <w:t xml:space="preserve">6.1. </w:t>
      </w:r>
      <w:r w:rsidRPr="00E33ED2">
        <w:rPr>
          <w:b/>
          <w:bCs/>
          <w:szCs w:val="22"/>
          <w:lang w:val="sr-Latn-ME"/>
        </w:rPr>
        <w:tab/>
        <w:t>Lista pomoćnih supstanci (ekscipijenasa)</w:t>
      </w:r>
    </w:p>
    <w:p w14:paraId="5B6AF7D4" w14:textId="77777777" w:rsidR="001919CC" w:rsidRPr="00E33ED2" w:rsidRDefault="001919CC" w:rsidP="001919CC">
      <w:pPr>
        <w:rPr>
          <w:bCs/>
          <w:szCs w:val="22"/>
          <w:lang w:val="sr-Latn-ME"/>
        </w:rPr>
      </w:pPr>
    </w:p>
    <w:p w14:paraId="31B25C41" w14:textId="770A170F" w:rsidR="00B13BAD" w:rsidRPr="00E33ED2" w:rsidRDefault="00B13BAD" w:rsidP="00B13BAD">
      <w:pPr>
        <w:tabs>
          <w:tab w:val="left" w:pos="540"/>
        </w:tabs>
        <w:jc w:val="both"/>
        <w:rPr>
          <w:bCs/>
          <w:szCs w:val="22"/>
          <w:lang w:val="sr-Latn-ME"/>
        </w:rPr>
      </w:pPr>
      <w:r w:rsidRPr="00E33ED2">
        <w:rPr>
          <w:bCs/>
          <w:szCs w:val="22"/>
          <w:lang w:val="sr-Latn-ME"/>
        </w:rPr>
        <w:t>kalcijum hlorid heksahidrat</w:t>
      </w:r>
    </w:p>
    <w:p w14:paraId="2289F418" w14:textId="77777777" w:rsidR="00B13BAD" w:rsidRPr="00E33ED2" w:rsidRDefault="00B13BAD" w:rsidP="00B13BAD">
      <w:pPr>
        <w:tabs>
          <w:tab w:val="left" w:pos="540"/>
        </w:tabs>
        <w:jc w:val="both"/>
        <w:rPr>
          <w:bCs/>
          <w:szCs w:val="22"/>
          <w:lang w:val="sr-Latn-ME"/>
        </w:rPr>
      </w:pPr>
      <w:r w:rsidRPr="00E33ED2">
        <w:rPr>
          <w:bCs/>
          <w:szCs w:val="22"/>
          <w:lang w:val="sr-Latn-ME"/>
        </w:rPr>
        <w:t>celuloza, mikrokristalna</w:t>
      </w:r>
    </w:p>
    <w:p w14:paraId="21660554" w14:textId="44F44F6C" w:rsidR="00B13BAD" w:rsidRPr="00E33ED2" w:rsidRDefault="00B13BAD" w:rsidP="00B13BAD">
      <w:pPr>
        <w:tabs>
          <w:tab w:val="left" w:pos="540"/>
        </w:tabs>
        <w:jc w:val="both"/>
        <w:rPr>
          <w:bCs/>
          <w:szCs w:val="22"/>
          <w:lang w:val="sr-Latn-ME"/>
        </w:rPr>
      </w:pPr>
      <w:r w:rsidRPr="00E33ED2">
        <w:rPr>
          <w:bCs/>
          <w:szCs w:val="22"/>
          <w:lang w:val="sr-Latn-ME"/>
        </w:rPr>
        <w:t>silicijum</w:t>
      </w:r>
      <w:r w:rsidR="00B46D38" w:rsidRPr="00E33ED2">
        <w:rPr>
          <w:bCs/>
          <w:szCs w:val="22"/>
          <w:lang w:val="sr-Latn-ME"/>
        </w:rPr>
        <w:t xml:space="preserve"> </w:t>
      </w:r>
      <w:r w:rsidRPr="00E33ED2">
        <w:rPr>
          <w:bCs/>
          <w:szCs w:val="22"/>
          <w:lang w:val="sr-Latn-ME"/>
        </w:rPr>
        <w:t>dioksid, koloidni, bezvodni</w:t>
      </w:r>
    </w:p>
    <w:p w14:paraId="61E71B5D" w14:textId="6B97B328" w:rsidR="00B13BAD" w:rsidRPr="00E33ED2" w:rsidRDefault="00B13BAD" w:rsidP="00B13BAD">
      <w:pPr>
        <w:tabs>
          <w:tab w:val="left" w:pos="540"/>
        </w:tabs>
        <w:jc w:val="both"/>
        <w:rPr>
          <w:bCs/>
          <w:szCs w:val="22"/>
          <w:lang w:val="sr-Latn-ME"/>
        </w:rPr>
      </w:pPr>
      <w:r w:rsidRPr="00E33ED2">
        <w:rPr>
          <w:bCs/>
          <w:szCs w:val="22"/>
          <w:lang w:val="sr-Latn-ME"/>
        </w:rPr>
        <w:t>magnezijum</w:t>
      </w:r>
      <w:r w:rsidR="00B46D38" w:rsidRPr="00E33ED2">
        <w:rPr>
          <w:bCs/>
          <w:szCs w:val="22"/>
          <w:lang w:val="sr-Latn-ME"/>
        </w:rPr>
        <w:t xml:space="preserve"> </w:t>
      </w:r>
      <w:r w:rsidRPr="00E33ED2">
        <w:rPr>
          <w:bCs/>
          <w:szCs w:val="22"/>
          <w:lang w:val="sr-Latn-ME"/>
        </w:rPr>
        <w:t>stearat</w:t>
      </w:r>
    </w:p>
    <w:p w14:paraId="7A11B34C" w14:textId="77777777" w:rsidR="001919CC" w:rsidRPr="00E33ED2" w:rsidRDefault="001919CC" w:rsidP="001919CC">
      <w:pPr>
        <w:rPr>
          <w:bCs/>
          <w:szCs w:val="22"/>
          <w:lang w:val="sr-Latn-ME"/>
        </w:rPr>
      </w:pPr>
    </w:p>
    <w:p w14:paraId="141855C3" w14:textId="77777777" w:rsidR="001919CC" w:rsidRPr="00E33ED2" w:rsidRDefault="001919CC" w:rsidP="001919CC">
      <w:pPr>
        <w:rPr>
          <w:b/>
          <w:bCs/>
          <w:szCs w:val="22"/>
          <w:lang w:val="sr-Latn-ME"/>
        </w:rPr>
      </w:pPr>
      <w:r w:rsidRPr="00E33ED2">
        <w:rPr>
          <w:b/>
          <w:bCs/>
          <w:szCs w:val="22"/>
          <w:lang w:val="sr-Latn-ME"/>
        </w:rPr>
        <w:t xml:space="preserve">6.2. </w:t>
      </w:r>
      <w:r w:rsidRPr="00E33ED2">
        <w:rPr>
          <w:b/>
          <w:bCs/>
          <w:szCs w:val="22"/>
          <w:lang w:val="sr-Latn-ME"/>
        </w:rPr>
        <w:tab/>
        <w:t>Inkompatibilnosti</w:t>
      </w:r>
    </w:p>
    <w:p w14:paraId="049EC3BB" w14:textId="77777777" w:rsidR="001919CC" w:rsidRPr="00E33ED2" w:rsidRDefault="001919CC" w:rsidP="001919CC">
      <w:pPr>
        <w:rPr>
          <w:bCs/>
          <w:szCs w:val="22"/>
          <w:lang w:val="sr-Latn-ME"/>
        </w:rPr>
      </w:pPr>
    </w:p>
    <w:p w14:paraId="59C77EA6" w14:textId="74C5F93C" w:rsidR="001919CC" w:rsidRPr="00E33ED2" w:rsidRDefault="001919CC" w:rsidP="001919CC">
      <w:pPr>
        <w:rPr>
          <w:szCs w:val="22"/>
          <w:lang w:val="sr-Latn-ME"/>
        </w:rPr>
      </w:pPr>
      <w:r w:rsidRPr="00E33ED2">
        <w:rPr>
          <w:szCs w:val="22"/>
          <w:lang w:val="sr-Latn-ME"/>
        </w:rPr>
        <w:t>Nije primjen</w:t>
      </w:r>
      <w:r w:rsidR="0003767C" w:rsidRPr="00E33ED2">
        <w:rPr>
          <w:szCs w:val="22"/>
          <w:lang w:val="sr-Latn-ME"/>
        </w:rPr>
        <w:t>l</w:t>
      </w:r>
      <w:r w:rsidRPr="00E33ED2">
        <w:rPr>
          <w:szCs w:val="22"/>
          <w:lang w:val="sr-Latn-ME"/>
        </w:rPr>
        <w:t>jivo.</w:t>
      </w:r>
    </w:p>
    <w:p w14:paraId="55529C77" w14:textId="77777777" w:rsidR="001919CC" w:rsidRPr="00E33ED2" w:rsidRDefault="001919CC" w:rsidP="001919CC">
      <w:pPr>
        <w:rPr>
          <w:bCs/>
          <w:szCs w:val="22"/>
          <w:lang w:val="sr-Latn-ME"/>
        </w:rPr>
      </w:pPr>
    </w:p>
    <w:p w14:paraId="5D496C3A" w14:textId="77777777" w:rsidR="001919CC" w:rsidRPr="00E33ED2" w:rsidRDefault="001919CC" w:rsidP="001919CC">
      <w:pPr>
        <w:rPr>
          <w:b/>
          <w:bCs/>
          <w:szCs w:val="22"/>
          <w:lang w:val="sr-Latn-ME"/>
        </w:rPr>
      </w:pPr>
      <w:r w:rsidRPr="00E33ED2">
        <w:rPr>
          <w:b/>
          <w:bCs/>
          <w:szCs w:val="22"/>
          <w:lang w:val="sr-Latn-ME"/>
        </w:rPr>
        <w:t xml:space="preserve">6.3. </w:t>
      </w:r>
      <w:r w:rsidRPr="00E33ED2">
        <w:rPr>
          <w:b/>
          <w:bCs/>
          <w:szCs w:val="22"/>
          <w:lang w:val="sr-Latn-ME"/>
        </w:rPr>
        <w:tab/>
        <w:t>Rok upotrebe</w:t>
      </w:r>
    </w:p>
    <w:p w14:paraId="64C9D598" w14:textId="77777777" w:rsidR="001919CC" w:rsidRPr="00E33ED2" w:rsidRDefault="001919CC" w:rsidP="001919CC">
      <w:pPr>
        <w:rPr>
          <w:bCs/>
          <w:szCs w:val="22"/>
          <w:lang w:val="sr-Latn-ME"/>
        </w:rPr>
      </w:pPr>
    </w:p>
    <w:p w14:paraId="2E1410F8" w14:textId="0C9C7723" w:rsidR="001919CC" w:rsidRPr="00E33ED2" w:rsidRDefault="001919CC" w:rsidP="001919CC">
      <w:pPr>
        <w:rPr>
          <w:szCs w:val="22"/>
          <w:lang w:val="sr-Latn-ME"/>
        </w:rPr>
      </w:pPr>
      <w:r w:rsidRPr="00E33ED2">
        <w:rPr>
          <w:szCs w:val="22"/>
          <w:lang w:val="sr-Latn-ME"/>
        </w:rPr>
        <w:t>2 godine</w:t>
      </w:r>
      <w:r w:rsidR="0003767C" w:rsidRPr="00E33ED2">
        <w:rPr>
          <w:szCs w:val="22"/>
          <w:lang w:val="sr-Latn-ME"/>
        </w:rPr>
        <w:t>.</w:t>
      </w:r>
    </w:p>
    <w:p w14:paraId="52DBD162" w14:textId="77777777" w:rsidR="001919CC" w:rsidRPr="00E33ED2" w:rsidRDefault="001919CC" w:rsidP="001919CC">
      <w:pPr>
        <w:rPr>
          <w:bCs/>
          <w:szCs w:val="22"/>
          <w:lang w:val="sr-Latn-ME"/>
        </w:rPr>
      </w:pPr>
    </w:p>
    <w:p w14:paraId="55FC8DE4" w14:textId="77777777" w:rsidR="001919CC" w:rsidRPr="00E33ED2" w:rsidRDefault="001919CC" w:rsidP="001919CC">
      <w:pPr>
        <w:rPr>
          <w:b/>
          <w:bCs/>
          <w:szCs w:val="22"/>
          <w:lang w:val="sr-Latn-ME"/>
        </w:rPr>
      </w:pPr>
      <w:r w:rsidRPr="00E33ED2">
        <w:rPr>
          <w:b/>
          <w:bCs/>
          <w:szCs w:val="22"/>
          <w:lang w:val="sr-Latn-ME"/>
        </w:rPr>
        <w:t xml:space="preserve">6.4. </w:t>
      </w:r>
      <w:r w:rsidRPr="00E33ED2">
        <w:rPr>
          <w:b/>
          <w:bCs/>
          <w:szCs w:val="22"/>
          <w:lang w:val="sr-Latn-ME"/>
        </w:rPr>
        <w:tab/>
        <w:t>Posebne mjere upozorenja pri čuvanju lijeka</w:t>
      </w:r>
    </w:p>
    <w:p w14:paraId="54DC563E" w14:textId="77777777" w:rsidR="001919CC" w:rsidRPr="00E33ED2" w:rsidRDefault="001919CC" w:rsidP="001919CC">
      <w:pPr>
        <w:rPr>
          <w:bCs/>
          <w:szCs w:val="22"/>
          <w:lang w:val="sr-Latn-ME"/>
        </w:rPr>
      </w:pPr>
    </w:p>
    <w:p w14:paraId="23E57060" w14:textId="77777777" w:rsidR="00B13BAD" w:rsidRPr="00E33ED2" w:rsidRDefault="00B13BAD" w:rsidP="00B13BAD">
      <w:pPr>
        <w:widowControl w:val="0"/>
        <w:jc w:val="both"/>
        <w:rPr>
          <w:szCs w:val="22"/>
          <w:lang w:val="sr-Latn-ME"/>
        </w:rPr>
      </w:pPr>
      <w:r w:rsidRPr="00E33ED2">
        <w:rPr>
          <w:szCs w:val="22"/>
          <w:lang w:val="sr-Latn-ME"/>
        </w:rPr>
        <w:t>Lijek ne zahtijeva posebne uslove čuvanja.</w:t>
      </w:r>
    </w:p>
    <w:p w14:paraId="3414E346" w14:textId="77777777" w:rsidR="001919CC" w:rsidRPr="00E33ED2" w:rsidRDefault="001919CC" w:rsidP="001919CC">
      <w:pPr>
        <w:rPr>
          <w:bCs/>
          <w:szCs w:val="22"/>
          <w:lang w:val="sr-Latn-ME"/>
        </w:rPr>
      </w:pPr>
    </w:p>
    <w:p w14:paraId="205FCA73" w14:textId="77777777" w:rsidR="001919CC" w:rsidRPr="00E33ED2" w:rsidRDefault="001919CC" w:rsidP="001919CC">
      <w:pPr>
        <w:rPr>
          <w:b/>
          <w:bCs/>
          <w:szCs w:val="22"/>
          <w:lang w:val="sr-Latn-ME"/>
        </w:rPr>
      </w:pPr>
      <w:r w:rsidRPr="00E33ED2">
        <w:rPr>
          <w:b/>
          <w:bCs/>
          <w:szCs w:val="22"/>
          <w:lang w:val="sr-Latn-ME"/>
        </w:rPr>
        <w:t xml:space="preserve">6.5. </w:t>
      </w:r>
      <w:r w:rsidRPr="00E33ED2">
        <w:rPr>
          <w:b/>
          <w:bCs/>
          <w:szCs w:val="22"/>
          <w:lang w:val="sr-Latn-ME"/>
        </w:rPr>
        <w:tab/>
        <w:t xml:space="preserve">Vrsta i sadržaj pakovanja </w:t>
      </w:r>
    </w:p>
    <w:p w14:paraId="15E66556" w14:textId="77777777" w:rsidR="001919CC" w:rsidRPr="00E33ED2" w:rsidRDefault="001919CC" w:rsidP="001919CC">
      <w:pPr>
        <w:rPr>
          <w:bCs/>
          <w:szCs w:val="22"/>
          <w:lang w:val="sr-Latn-ME"/>
        </w:rPr>
      </w:pPr>
    </w:p>
    <w:p w14:paraId="42CA59A0" w14:textId="59238EE3" w:rsidR="001919CC" w:rsidRPr="00E33ED2" w:rsidRDefault="001919CC" w:rsidP="001919CC">
      <w:pPr>
        <w:rPr>
          <w:szCs w:val="22"/>
          <w:lang w:val="sr-Latn-ME"/>
        </w:rPr>
      </w:pPr>
      <w:r w:rsidRPr="00E33ED2">
        <w:rPr>
          <w:szCs w:val="22"/>
          <w:lang w:val="sr-Latn-ME"/>
        </w:rPr>
        <w:t xml:space="preserve">Blister (OPA/Al/PVC//Al): 30 (3x10) tableta, u </w:t>
      </w:r>
      <w:r w:rsidR="0003767C" w:rsidRPr="00E33ED2">
        <w:rPr>
          <w:szCs w:val="22"/>
          <w:lang w:val="sr-Latn-ME"/>
        </w:rPr>
        <w:t xml:space="preserve">kartonskoj </w:t>
      </w:r>
      <w:r w:rsidRPr="00E33ED2">
        <w:rPr>
          <w:szCs w:val="22"/>
          <w:lang w:val="sr-Latn-ME"/>
        </w:rPr>
        <w:t>kutiji.</w:t>
      </w:r>
    </w:p>
    <w:p w14:paraId="67DD309B" w14:textId="77777777" w:rsidR="001919CC" w:rsidRPr="00E33ED2" w:rsidRDefault="001919CC" w:rsidP="001919CC">
      <w:pPr>
        <w:rPr>
          <w:szCs w:val="22"/>
          <w:lang w:val="sr-Latn-ME"/>
        </w:rPr>
      </w:pPr>
    </w:p>
    <w:p w14:paraId="2B9E9036" w14:textId="77777777" w:rsidR="001919CC" w:rsidRPr="00E33ED2" w:rsidRDefault="001919CC" w:rsidP="001919CC">
      <w:pPr>
        <w:rPr>
          <w:b/>
          <w:bCs/>
          <w:szCs w:val="22"/>
          <w:lang w:val="sr-Latn-ME"/>
        </w:rPr>
      </w:pPr>
      <w:r w:rsidRPr="00E33ED2">
        <w:rPr>
          <w:b/>
          <w:bCs/>
          <w:szCs w:val="22"/>
          <w:lang w:val="sr-Latn-ME"/>
        </w:rPr>
        <w:t xml:space="preserve">6.6. </w:t>
      </w:r>
      <w:r w:rsidRPr="00E33ED2">
        <w:rPr>
          <w:b/>
          <w:bCs/>
          <w:szCs w:val="22"/>
          <w:lang w:val="sr-Latn-ME"/>
        </w:rPr>
        <w:tab/>
        <w:t xml:space="preserve">Posebne mjere opreza pri odlaganju materijala koji treba odbaciti nakon primjene lijeka (i druga uputstva za rukovanje lijekom) </w:t>
      </w:r>
    </w:p>
    <w:p w14:paraId="7D0F42A7" w14:textId="77777777" w:rsidR="001919CC" w:rsidRPr="00E33ED2" w:rsidRDefault="001919CC" w:rsidP="001919CC">
      <w:pPr>
        <w:rPr>
          <w:b/>
          <w:bCs/>
          <w:szCs w:val="22"/>
          <w:lang w:val="sr-Latn-ME"/>
        </w:rPr>
      </w:pPr>
    </w:p>
    <w:p w14:paraId="4D7CF51B" w14:textId="77777777" w:rsidR="001919CC" w:rsidRPr="00E33ED2" w:rsidRDefault="001919CC" w:rsidP="001919CC">
      <w:pPr>
        <w:rPr>
          <w:szCs w:val="22"/>
          <w:lang w:val="sr-Latn-ME"/>
        </w:rPr>
      </w:pPr>
      <w:r w:rsidRPr="00E33ED2">
        <w:rPr>
          <w:szCs w:val="22"/>
          <w:lang w:val="sr-Latn-ME"/>
        </w:rPr>
        <w:t>Nema posebnih zahtjeva.</w:t>
      </w:r>
    </w:p>
    <w:p w14:paraId="4DD3F123" w14:textId="77777777" w:rsidR="001919CC" w:rsidRPr="00E33ED2" w:rsidRDefault="001919CC" w:rsidP="001919CC">
      <w:pPr>
        <w:rPr>
          <w:szCs w:val="22"/>
          <w:lang w:val="sr-Latn-ME"/>
        </w:rPr>
      </w:pPr>
      <w:r w:rsidRPr="00E33ED2">
        <w:rPr>
          <w:szCs w:val="22"/>
          <w:lang w:val="sr-Latn-ME"/>
        </w:rPr>
        <w:t>Neupotrijebljeni lijek se uništava u skladu sa važećim propisima.</w:t>
      </w:r>
    </w:p>
    <w:p w14:paraId="56D6ADDF" w14:textId="77777777" w:rsidR="001919CC" w:rsidRPr="00E33ED2" w:rsidRDefault="001919CC" w:rsidP="001919CC">
      <w:pPr>
        <w:rPr>
          <w:szCs w:val="22"/>
          <w:lang w:val="sr-Latn-ME"/>
        </w:rPr>
      </w:pPr>
      <w:bookmarkStart w:id="0" w:name="Tab"/>
      <w:bookmarkEnd w:id="0"/>
    </w:p>
    <w:p w14:paraId="04D91BE8" w14:textId="77777777" w:rsidR="001919CC" w:rsidRPr="00E33ED2" w:rsidRDefault="001919CC" w:rsidP="001919CC">
      <w:pPr>
        <w:rPr>
          <w:bCs/>
          <w:szCs w:val="22"/>
          <w:lang w:val="sr-Latn-ME"/>
        </w:rPr>
      </w:pPr>
    </w:p>
    <w:p w14:paraId="1810493B" w14:textId="77777777" w:rsidR="001919CC" w:rsidRPr="00E33ED2" w:rsidRDefault="001919CC" w:rsidP="001919CC">
      <w:pPr>
        <w:rPr>
          <w:b/>
          <w:bCs/>
          <w:szCs w:val="22"/>
          <w:lang w:val="sr-Latn-ME"/>
        </w:rPr>
      </w:pPr>
      <w:r w:rsidRPr="00E33ED2">
        <w:rPr>
          <w:b/>
          <w:bCs/>
          <w:szCs w:val="22"/>
          <w:lang w:val="sr-Latn-ME"/>
        </w:rPr>
        <w:t xml:space="preserve">7. </w:t>
      </w:r>
      <w:r w:rsidRPr="00E33ED2">
        <w:rPr>
          <w:b/>
          <w:bCs/>
          <w:szCs w:val="22"/>
          <w:lang w:val="sr-Latn-ME"/>
        </w:rPr>
        <w:tab/>
        <w:t xml:space="preserve">NOSILAC DOZVOLE </w:t>
      </w:r>
    </w:p>
    <w:p w14:paraId="43D62DE1" w14:textId="77777777" w:rsidR="001919CC" w:rsidRPr="00E33ED2" w:rsidRDefault="001919CC" w:rsidP="001919CC">
      <w:pPr>
        <w:rPr>
          <w:bCs/>
          <w:szCs w:val="22"/>
          <w:lang w:val="sr-Latn-ME"/>
        </w:rPr>
      </w:pPr>
    </w:p>
    <w:p w14:paraId="0AAAFB97" w14:textId="734B7E84" w:rsidR="001919CC" w:rsidRPr="00E33ED2" w:rsidRDefault="001919CC" w:rsidP="001919CC">
      <w:pPr>
        <w:rPr>
          <w:szCs w:val="22"/>
          <w:lang w:val="sr-Latn-ME"/>
        </w:rPr>
      </w:pPr>
      <w:r w:rsidRPr="00E33ED2">
        <w:rPr>
          <w:szCs w:val="22"/>
          <w:lang w:val="sr-Latn-ME"/>
        </w:rPr>
        <w:t xml:space="preserve">D.S.D. „KRKA d.d., Novo mesto“ </w:t>
      </w:r>
      <w:r w:rsidR="00B46D38" w:rsidRPr="00E33ED2">
        <w:rPr>
          <w:szCs w:val="22"/>
          <w:lang w:val="sr-Latn-ME"/>
        </w:rPr>
        <w:t xml:space="preserve">Slovenija </w:t>
      </w:r>
      <w:r w:rsidRPr="00E33ED2">
        <w:rPr>
          <w:szCs w:val="22"/>
          <w:lang w:val="sr-Latn-ME"/>
        </w:rPr>
        <w:t>- predstavništvo Podgorica</w:t>
      </w:r>
    </w:p>
    <w:p w14:paraId="5C828414" w14:textId="689B6D39" w:rsidR="001919CC" w:rsidRPr="00E33ED2" w:rsidRDefault="001919CC" w:rsidP="001919CC">
      <w:pPr>
        <w:rPr>
          <w:szCs w:val="22"/>
          <w:lang w:val="sr-Latn-ME"/>
        </w:rPr>
      </w:pPr>
      <w:r w:rsidRPr="00E33ED2">
        <w:rPr>
          <w:szCs w:val="22"/>
          <w:lang w:val="sr-Latn-ME"/>
        </w:rPr>
        <w:t>Svetlane Kane Radević br. 3, 81000 Podgorica, Crna Gora</w:t>
      </w:r>
    </w:p>
    <w:p w14:paraId="1611E443" w14:textId="77777777" w:rsidR="001919CC" w:rsidRPr="00E33ED2" w:rsidRDefault="001919CC" w:rsidP="001919CC">
      <w:pPr>
        <w:rPr>
          <w:bCs/>
          <w:szCs w:val="22"/>
          <w:lang w:val="sr-Latn-ME"/>
        </w:rPr>
      </w:pPr>
    </w:p>
    <w:p w14:paraId="476E8E85" w14:textId="77777777" w:rsidR="001919CC" w:rsidRPr="00E33ED2" w:rsidRDefault="001919CC" w:rsidP="001919CC">
      <w:pPr>
        <w:rPr>
          <w:bCs/>
          <w:szCs w:val="22"/>
          <w:lang w:val="sr-Latn-ME"/>
        </w:rPr>
      </w:pPr>
    </w:p>
    <w:p w14:paraId="775E5649" w14:textId="77777777" w:rsidR="001919CC" w:rsidRPr="00E33ED2" w:rsidRDefault="001919CC" w:rsidP="001919CC">
      <w:pPr>
        <w:rPr>
          <w:b/>
          <w:bCs/>
          <w:szCs w:val="22"/>
          <w:lang w:val="sr-Latn-ME"/>
        </w:rPr>
      </w:pPr>
      <w:r w:rsidRPr="00E33ED2">
        <w:rPr>
          <w:b/>
          <w:bCs/>
          <w:szCs w:val="22"/>
          <w:lang w:val="sr-Latn-ME"/>
        </w:rPr>
        <w:t xml:space="preserve">8. </w:t>
      </w:r>
      <w:r w:rsidRPr="00E33ED2">
        <w:rPr>
          <w:b/>
          <w:bCs/>
          <w:szCs w:val="22"/>
          <w:lang w:val="sr-Latn-ME"/>
        </w:rPr>
        <w:tab/>
        <w:t>BROJ DOZVOLE ZA STAVLJANJE LIJEKA U PROMET</w:t>
      </w:r>
    </w:p>
    <w:p w14:paraId="792123C7" w14:textId="7486C831" w:rsidR="001919CC" w:rsidRDefault="001919CC" w:rsidP="001919CC">
      <w:pPr>
        <w:rPr>
          <w:bCs/>
          <w:szCs w:val="22"/>
          <w:lang w:val="sr-Latn-ME"/>
        </w:rPr>
      </w:pPr>
    </w:p>
    <w:p w14:paraId="71BB034C" w14:textId="4134D748" w:rsidR="00E33ED2" w:rsidRPr="00E33ED2" w:rsidRDefault="00E33ED2" w:rsidP="001919CC">
      <w:pPr>
        <w:rPr>
          <w:bCs/>
          <w:szCs w:val="22"/>
          <w:lang w:val="sr-Latn-ME"/>
        </w:rPr>
      </w:pPr>
      <w:r>
        <w:rPr>
          <w:rFonts w:ascii="TimesNewRoman" w:eastAsia="SimSun" w:hAnsi="TimesNewRoman" w:cs="TimesNewRoman"/>
          <w:szCs w:val="22"/>
          <w:lang w:val="en-US" w:eastAsia="sl-SI"/>
        </w:rPr>
        <w:t>2030/24/1091 - 3657</w:t>
      </w:r>
    </w:p>
    <w:p w14:paraId="076693D7" w14:textId="57F46F69" w:rsidR="001919CC" w:rsidRDefault="001919CC" w:rsidP="001919CC">
      <w:pPr>
        <w:rPr>
          <w:bCs/>
          <w:szCs w:val="22"/>
          <w:lang w:val="sr-Latn-ME"/>
        </w:rPr>
      </w:pPr>
    </w:p>
    <w:p w14:paraId="5762EF93" w14:textId="77777777" w:rsidR="00E33ED2" w:rsidRPr="00E33ED2" w:rsidRDefault="00E33ED2" w:rsidP="001919CC">
      <w:pPr>
        <w:rPr>
          <w:bCs/>
          <w:szCs w:val="22"/>
          <w:lang w:val="sr-Latn-ME"/>
        </w:rPr>
      </w:pPr>
    </w:p>
    <w:p w14:paraId="05424D0A" w14:textId="77777777" w:rsidR="001919CC" w:rsidRPr="00E33ED2" w:rsidRDefault="001919CC" w:rsidP="001919CC">
      <w:pPr>
        <w:rPr>
          <w:b/>
          <w:bCs/>
          <w:szCs w:val="22"/>
          <w:lang w:val="sr-Latn-ME"/>
        </w:rPr>
      </w:pPr>
      <w:r w:rsidRPr="00E33ED2">
        <w:rPr>
          <w:b/>
          <w:bCs/>
          <w:szCs w:val="22"/>
          <w:lang w:val="sr-Latn-ME"/>
        </w:rPr>
        <w:t xml:space="preserve">9. </w:t>
      </w:r>
      <w:r w:rsidRPr="00E33ED2">
        <w:rPr>
          <w:b/>
          <w:bCs/>
          <w:szCs w:val="22"/>
          <w:lang w:val="sr-Latn-ME"/>
        </w:rPr>
        <w:tab/>
        <w:t>DATUM PRVE DOZVOLE/OBNOVE DOZVOLE ZA STAVLJANJE LIJEKA U PROMET</w:t>
      </w:r>
    </w:p>
    <w:p w14:paraId="5B92395F" w14:textId="77777777" w:rsidR="001919CC" w:rsidRPr="00E33ED2" w:rsidRDefault="001919CC" w:rsidP="001919CC">
      <w:pPr>
        <w:rPr>
          <w:bCs/>
          <w:szCs w:val="22"/>
          <w:lang w:val="sr-Latn-ME"/>
        </w:rPr>
      </w:pPr>
    </w:p>
    <w:p w14:paraId="13AFC8F5" w14:textId="03E72CAE" w:rsidR="001919CC" w:rsidRDefault="00E33ED2" w:rsidP="001919CC">
      <w:pPr>
        <w:rPr>
          <w:bCs/>
          <w:szCs w:val="22"/>
          <w:lang w:val="sr-Latn-ME"/>
        </w:rPr>
      </w:pPr>
      <w:r w:rsidRPr="00E33ED2">
        <w:rPr>
          <w:bCs/>
          <w:szCs w:val="22"/>
          <w:lang w:val="sr-Latn-ME"/>
        </w:rPr>
        <w:t>28.02.2024. godine</w:t>
      </w:r>
    </w:p>
    <w:p w14:paraId="38B63C21" w14:textId="5A7234DD" w:rsidR="00E33ED2" w:rsidRDefault="00E33ED2" w:rsidP="001919CC">
      <w:pPr>
        <w:rPr>
          <w:bCs/>
          <w:szCs w:val="22"/>
          <w:lang w:val="sr-Latn-ME"/>
        </w:rPr>
      </w:pPr>
    </w:p>
    <w:p w14:paraId="6A62EC62" w14:textId="77777777" w:rsidR="00E33ED2" w:rsidRPr="00E33ED2" w:rsidRDefault="00E33ED2" w:rsidP="001919CC">
      <w:pPr>
        <w:rPr>
          <w:bCs/>
          <w:szCs w:val="22"/>
          <w:lang w:val="sr-Latn-ME"/>
        </w:rPr>
      </w:pPr>
    </w:p>
    <w:p w14:paraId="59BD1181" w14:textId="77777777" w:rsidR="001919CC" w:rsidRPr="00E33ED2" w:rsidRDefault="001919CC" w:rsidP="001919CC">
      <w:pPr>
        <w:rPr>
          <w:bCs/>
          <w:szCs w:val="22"/>
          <w:lang w:val="sr-Latn-ME"/>
        </w:rPr>
      </w:pPr>
      <w:r w:rsidRPr="00E33ED2">
        <w:rPr>
          <w:b/>
          <w:bCs/>
          <w:szCs w:val="22"/>
          <w:lang w:val="sr-Latn-ME"/>
        </w:rPr>
        <w:t xml:space="preserve">10. </w:t>
      </w:r>
      <w:r w:rsidRPr="00E33ED2">
        <w:rPr>
          <w:b/>
          <w:bCs/>
          <w:szCs w:val="22"/>
          <w:lang w:val="sr-Latn-ME"/>
        </w:rPr>
        <w:tab/>
        <w:t xml:space="preserve">DATUM REVIZIJE TEKSTA </w:t>
      </w:r>
    </w:p>
    <w:p w14:paraId="45556C09" w14:textId="77777777" w:rsidR="001919CC" w:rsidRPr="00E33ED2" w:rsidRDefault="001919CC" w:rsidP="001919CC">
      <w:pPr>
        <w:rPr>
          <w:szCs w:val="22"/>
          <w:lang w:val="sr-Latn-ME"/>
        </w:rPr>
      </w:pPr>
    </w:p>
    <w:p w14:paraId="791E7DDE" w14:textId="0B112518" w:rsidR="00812D16" w:rsidRPr="00E33ED2" w:rsidRDefault="00E33ED2" w:rsidP="004E5A77">
      <w:pPr>
        <w:rPr>
          <w:szCs w:val="22"/>
          <w:lang w:val="sr-Latn-ME"/>
        </w:rPr>
      </w:pPr>
      <w:r>
        <w:rPr>
          <w:szCs w:val="22"/>
          <w:lang w:val="sr-Latn-ME"/>
        </w:rPr>
        <w:t>Februar, 2024. godine</w:t>
      </w:r>
      <w:bookmarkStart w:id="1" w:name="_GoBack"/>
      <w:bookmarkEnd w:id="1"/>
    </w:p>
    <w:sectPr w:rsidR="00812D16" w:rsidRPr="00E33ED2" w:rsidSect="001374C5">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6289F" w14:textId="77777777" w:rsidR="00236FBB" w:rsidRDefault="00236FBB">
      <w:pPr>
        <w:spacing w:line="240" w:lineRule="auto"/>
      </w:pPr>
      <w:r>
        <w:separator/>
      </w:r>
    </w:p>
  </w:endnote>
  <w:endnote w:type="continuationSeparator" w:id="0">
    <w:p w14:paraId="1B708C20" w14:textId="77777777" w:rsidR="00236FBB" w:rsidRDefault="00236F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27639" w14:textId="51385D44" w:rsidR="005E0971" w:rsidRDefault="005E0971">
    <w:pPr>
      <w:pStyle w:val="Footer"/>
      <w:tabs>
        <w:tab w:val="right" w:pos="8931"/>
      </w:tabs>
      <w:ind w:right="96"/>
      <w:jc w:val="center"/>
    </w:pPr>
    <w:r>
      <w:fldChar w:fldCharType="begin"/>
    </w:r>
    <w:r>
      <w:instrText xml:space="preserve"> EQ </w:instrText>
    </w:r>
    <w:r>
      <w:fldChar w:fldCharType="end"/>
    </w:r>
    <w:r w:rsidR="0003767C" w:rsidRPr="0084661B">
      <w:rPr>
        <w:rFonts w:ascii="Times New Roman" w:hAnsi="Times New Roman"/>
        <w:sz w:val="22"/>
        <w:szCs w:val="22"/>
      </w:rPr>
      <w:fldChar w:fldCharType="begin"/>
    </w:r>
    <w:r w:rsidR="0003767C" w:rsidRPr="0084661B">
      <w:rPr>
        <w:rFonts w:ascii="Times New Roman" w:hAnsi="Times New Roman"/>
        <w:sz w:val="22"/>
        <w:szCs w:val="22"/>
      </w:rPr>
      <w:instrText xml:space="preserve"> PAGE </w:instrText>
    </w:r>
    <w:r w:rsidR="0003767C" w:rsidRPr="0084661B">
      <w:rPr>
        <w:rFonts w:ascii="Times New Roman" w:hAnsi="Times New Roman"/>
        <w:sz w:val="22"/>
        <w:szCs w:val="22"/>
      </w:rPr>
      <w:fldChar w:fldCharType="separate"/>
    </w:r>
    <w:r w:rsidR="00E33ED2">
      <w:rPr>
        <w:rFonts w:ascii="Times New Roman" w:hAnsi="Times New Roman"/>
        <w:sz w:val="22"/>
        <w:szCs w:val="22"/>
      </w:rPr>
      <w:t>16</w:t>
    </w:r>
    <w:r w:rsidR="0003767C" w:rsidRPr="0084661B">
      <w:rPr>
        <w:rFonts w:ascii="Times New Roman" w:hAnsi="Times New Roman"/>
        <w:sz w:val="22"/>
        <w:szCs w:val="22"/>
      </w:rPr>
      <w:fldChar w:fldCharType="end"/>
    </w:r>
    <w:r w:rsidR="0003767C" w:rsidRPr="0084661B">
      <w:rPr>
        <w:rFonts w:ascii="Times New Roman" w:hAnsi="Times New Roman"/>
        <w:sz w:val="22"/>
        <w:szCs w:val="22"/>
      </w:rPr>
      <w:t xml:space="preserve"> / </w:t>
    </w:r>
    <w:r w:rsidR="0003767C" w:rsidRPr="0084661B">
      <w:rPr>
        <w:rFonts w:ascii="Times New Roman" w:hAnsi="Times New Roman"/>
        <w:sz w:val="22"/>
        <w:szCs w:val="22"/>
      </w:rPr>
      <w:fldChar w:fldCharType="begin"/>
    </w:r>
    <w:r w:rsidR="0003767C" w:rsidRPr="0084661B">
      <w:rPr>
        <w:rFonts w:ascii="Times New Roman" w:hAnsi="Times New Roman"/>
        <w:sz w:val="22"/>
        <w:szCs w:val="22"/>
      </w:rPr>
      <w:instrText xml:space="preserve"> NUMPAGES </w:instrText>
    </w:r>
    <w:r w:rsidR="0003767C" w:rsidRPr="0084661B">
      <w:rPr>
        <w:rFonts w:ascii="Times New Roman" w:hAnsi="Times New Roman"/>
        <w:sz w:val="22"/>
        <w:szCs w:val="22"/>
      </w:rPr>
      <w:fldChar w:fldCharType="separate"/>
    </w:r>
    <w:r w:rsidR="00E33ED2">
      <w:rPr>
        <w:rFonts w:ascii="Times New Roman" w:hAnsi="Times New Roman"/>
        <w:sz w:val="22"/>
        <w:szCs w:val="22"/>
      </w:rPr>
      <w:t>16</w:t>
    </w:r>
    <w:r w:rsidR="0003767C" w:rsidRPr="0084661B">
      <w:rPr>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7F394" w14:textId="7ABBAE81" w:rsidR="005E0971" w:rsidRPr="006C3553" w:rsidRDefault="0003767C" w:rsidP="004E5A77">
    <w:pPr>
      <w:pStyle w:val="Footer"/>
      <w:tabs>
        <w:tab w:val="right" w:pos="8931"/>
      </w:tabs>
      <w:ind w:right="96"/>
      <w:jc w:val="center"/>
      <w:rPr>
        <w:rFonts w:ascii="Times New Roman" w:hAnsi="Times New Roman"/>
        <w:sz w:val="18"/>
        <w:szCs w:val="18"/>
      </w:rPr>
    </w:pPr>
    <w:r w:rsidRPr="0084661B">
      <w:rPr>
        <w:rFonts w:ascii="Times New Roman" w:hAnsi="Times New Roman"/>
        <w:sz w:val="22"/>
        <w:szCs w:val="22"/>
      </w:rPr>
      <w:fldChar w:fldCharType="begin"/>
    </w:r>
    <w:r w:rsidRPr="0084661B">
      <w:rPr>
        <w:rFonts w:ascii="Times New Roman" w:hAnsi="Times New Roman"/>
        <w:sz w:val="22"/>
        <w:szCs w:val="22"/>
      </w:rPr>
      <w:instrText xml:space="preserve"> PAGE </w:instrText>
    </w:r>
    <w:r w:rsidRPr="0084661B">
      <w:rPr>
        <w:rFonts w:ascii="Times New Roman" w:hAnsi="Times New Roman"/>
        <w:sz w:val="22"/>
        <w:szCs w:val="22"/>
      </w:rPr>
      <w:fldChar w:fldCharType="separate"/>
    </w:r>
    <w:r w:rsidR="00E33ED2">
      <w:rPr>
        <w:rFonts w:ascii="Times New Roman" w:hAnsi="Times New Roman"/>
        <w:sz w:val="22"/>
        <w:szCs w:val="22"/>
      </w:rPr>
      <w:t>1</w:t>
    </w:r>
    <w:r w:rsidRPr="0084661B">
      <w:rPr>
        <w:rFonts w:ascii="Times New Roman" w:hAnsi="Times New Roman"/>
        <w:sz w:val="22"/>
        <w:szCs w:val="22"/>
      </w:rPr>
      <w:fldChar w:fldCharType="end"/>
    </w:r>
    <w:r w:rsidRPr="0084661B">
      <w:rPr>
        <w:rFonts w:ascii="Times New Roman" w:hAnsi="Times New Roman"/>
        <w:sz w:val="22"/>
        <w:szCs w:val="22"/>
      </w:rPr>
      <w:t xml:space="preserve"> / </w:t>
    </w:r>
    <w:r w:rsidRPr="0084661B">
      <w:rPr>
        <w:rFonts w:ascii="Times New Roman" w:hAnsi="Times New Roman"/>
        <w:sz w:val="22"/>
        <w:szCs w:val="22"/>
      </w:rPr>
      <w:fldChar w:fldCharType="begin"/>
    </w:r>
    <w:r w:rsidRPr="0084661B">
      <w:rPr>
        <w:rFonts w:ascii="Times New Roman" w:hAnsi="Times New Roman"/>
        <w:sz w:val="22"/>
        <w:szCs w:val="22"/>
      </w:rPr>
      <w:instrText xml:space="preserve"> NUMPAGES </w:instrText>
    </w:r>
    <w:r w:rsidRPr="0084661B">
      <w:rPr>
        <w:rFonts w:ascii="Times New Roman" w:hAnsi="Times New Roman"/>
        <w:sz w:val="22"/>
        <w:szCs w:val="22"/>
      </w:rPr>
      <w:fldChar w:fldCharType="separate"/>
    </w:r>
    <w:r w:rsidR="00E33ED2">
      <w:rPr>
        <w:rFonts w:ascii="Times New Roman" w:hAnsi="Times New Roman"/>
        <w:sz w:val="22"/>
        <w:szCs w:val="22"/>
      </w:rPr>
      <w:t>16</w:t>
    </w:r>
    <w:r w:rsidRPr="0084661B">
      <w:rPr>
        <w:rFonts w:ascii="Times New Roman" w:hAnsi="Times New Roman"/>
        <w:sz w:val="22"/>
        <w:szCs w:val="22"/>
      </w:rPr>
      <w:fldChar w:fldCharType="end"/>
    </w:r>
    <w:r w:rsidR="005E0971">
      <w:fldChar w:fldCharType="begin"/>
    </w:r>
    <w:r w:rsidR="005E0971">
      <w:instrText xml:space="preserve"> EQ </w:instrText>
    </w:r>
    <w:r w:rsidR="005E097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D3406" w14:textId="77777777" w:rsidR="00236FBB" w:rsidRDefault="00236FBB">
      <w:pPr>
        <w:spacing w:line="240" w:lineRule="auto"/>
      </w:pPr>
      <w:r>
        <w:separator/>
      </w:r>
    </w:p>
  </w:footnote>
  <w:footnote w:type="continuationSeparator" w:id="0">
    <w:p w14:paraId="111D17EE" w14:textId="77777777" w:rsidR="00236FBB" w:rsidRDefault="00236F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9450D"/>
    <w:multiLevelType w:val="hybridMultilevel"/>
    <w:tmpl w:val="7928881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9342866"/>
    <w:multiLevelType w:val="hybridMultilevel"/>
    <w:tmpl w:val="0A968812"/>
    <w:lvl w:ilvl="0" w:tplc="C06475DE">
      <w:start w:val="1"/>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62768BE"/>
    <w:multiLevelType w:val="hybridMultilevel"/>
    <w:tmpl w:val="32A8A8DA"/>
    <w:lvl w:ilvl="0" w:tplc="C06475DE">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8"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1"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6"/>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7"/>
  </w:num>
  <w:num w:numId="6">
    <w:abstractNumId w:val="14"/>
  </w:num>
  <w:num w:numId="7">
    <w:abstractNumId w:val="9"/>
  </w:num>
  <w:num w:numId="8">
    <w:abstractNumId w:val="11"/>
  </w:num>
  <w:num w:numId="9">
    <w:abstractNumId w:val="22"/>
  </w:num>
  <w:num w:numId="10">
    <w:abstractNumId w:val="1"/>
  </w:num>
  <w:num w:numId="11">
    <w:abstractNumId w:val="19"/>
  </w:num>
  <w:num w:numId="12">
    <w:abstractNumId w:val="10"/>
  </w:num>
  <w:num w:numId="13">
    <w:abstractNumId w:val="6"/>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20"/>
  </w:num>
  <w:num w:numId="17">
    <w:abstractNumId w:val="12"/>
  </w:num>
  <w:num w:numId="18">
    <w:abstractNumId w:val="13"/>
  </w:num>
  <w:num w:numId="19">
    <w:abstractNumId w:val="23"/>
  </w:num>
  <w:num w:numId="20">
    <w:abstractNumId w:val="15"/>
  </w:num>
  <w:num w:numId="21">
    <w:abstractNumId w:val="21"/>
  </w:num>
  <w:num w:numId="22">
    <w:abstractNumId w:val="18"/>
  </w:num>
  <w:num w:numId="23">
    <w:abstractNumId w:val="8"/>
  </w:num>
  <w:num w:numId="24">
    <w:abstractNumId w:val="21"/>
  </w:num>
  <w:num w:numId="25">
    <w:abstractNumId w:val="3"/>
  </w:num>
  <w:num w:numId="26">
    <w:abstractNumId w:val="5"/>
  </w:num>
  <w:num w:numId="27">
    <w:abstractNumId w:val="4"/>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96D"/>
    <w:rsid w:val="00003AEF"/>
    <w:rsid w:val="00005701"/>
    <w:rsid w:val="00007528"/>
    <w:rsid w:val="0001164F"/>
    <w:rsid w:val="00011B80"/>
    <w:rsid w:val="00014869"/>
    <w:rsid w:val="00014D59"/>
    <w:rsid w:val="000150D3"/>
    <w:rsid w:val="000166C1"/>
    <w:rsid w:val="0002006B"/>
    <w:rsid w:val="00020AE8"/>
    <w:rsid w:val="000212BB"/>
    <w:rsid w:val="00021FB6"/>
    <w:rsid w:val="00023150"/>
    <w:rsid w:val="00023A2C"/>
    <w:rsid w:val="00025EBE"/>
    <w:rsid w:val="00026BF2"/>
    <w:rsid w:val="000271F6"/>
    <w:rsid w:val="00030445"/>
    <w:rsid w:val="000318C7"/>
    <w:rsid w:val="00033D26"/>
    <w:rsid w:val="00033FDB"/>
    <w:rsid w:val="000344F6"/>
    <w:rsid w:val="0003767C"/>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1DAB"/>
    <w:rsid w:val="00092829"/>
    <w:rsid w:val="00092B09"/>
    <w:rsid w:val="0009351E"/>
    <w:rsid w:val="0009479A"/>
    <w:rsid w:val="00094AD6"/>
    <w:rsid w:val="00095D61"/>
    <w:rsid w:val="00095E44"/>
    <w:rsid w:val="00096D8D"/>
    <w:rsid w:val="0009755A"/>
    <w:rsid w:val="000A1232"/>
    <w:rsid w:val="000A18B6"/>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7F49"/>
    <w:rsid w:val="000D1AEE"/>
    <w:rsid w:val="000D1F4F"/>
    <w:rsid w:val="000D4D07"/>
    <w:rsid w:val="000D60E8"/>
    <w:rsid w:val="000D7535"/>
    <w:rsid w:val="000E165D"/>
    <w:rsid w:val="000E1BAF"/>
    <w:rsid w:val="000E223E"/>
    <w:rsid w:val="000E2491"/>
    <w:rsid w:val="000E2EA9"/>
    <w:rsid w:val="000E46A3"/>
    <w:rsid w:val="000E4E88"/>
    <w:rsid w:val="000E5726"/>
    <w:rsid w:val="000E670F"/>
    <w:rsid w:val="000E6C94"/>
    <w:rsid w:val="000F0290"/>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8C5"/>
    <w:rsid w:val="00112EDA"/>
    <w:rsid w:val="00114174"/>
    <w:rsid w:val="00117B4A"/>
    <w:rsid w:val="00117C1D"/>
    <w:rsid w:val="00123688"/>
    <w:rsid w:val="00127F47"/>
    <w:rsid w:val="00133572"/>
    <w:rsid w:val="00134E4A"/>
    <w:rsid w:val="001364FB"/>
    <w:rsid w:val="001365F2"/>
    <w:rsid w:val="00136D7A"/>
    <w:rsid w:val="001374C5"/>
    <w:rsid w:val="00141470"/>
    <w:rsid w:val="00141540"/>
    <w:rsid w:val="001449DF"/>
    <w:rsid w:val="0014569B"/>
    <w:rsid w:val="001461F6"/>
    <w:rsid w:val="001470E0"/>
    <w:rsid w:val="00150060"/>
    <w:rsid w:val="00154C69"/>
    <w:rsid w:val="0015704C"/>
    <w:rsid w:val="00157895"/>
    <w:rsid w:val="00161701"/>
    <w:rsid w:val="00161E87"/>
    <w:rsid w:val="0016566C"/>
    <w:rsid w:val="001727F0"/>
    <w:rsid w:val="00172B06"/>
    <w:rsid w:val="0017347E"/>
    <w:rsid w:val="00173F63"/>
    <w:rsid w:val="001752D8"/>
    <w:rsid w:val="00175931"/>
    <w:rsid w:val="00176B25"/>
    <w:rsid w:val="0018238B"/>
    <w:rsid w:val="00183419"/>
    <w:rsid w:val="0018394A"/>
    <w:rsid w:val="00184DCC"/>
    <w:rsid w:val="00186A9D"/>
    <w:rsid w:val="001874A6"/>
    <w:rsid w:val="0018765B"/>
    <w:rsid w:val="001904AE"/>
    <w:rsid w:val="00190913"/>
    <w:rsid w:val="001919CC"/>
    <w:rsid w:val="0019236A"/>
    <w:rsid w:val="00193535"/>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5D02"/>
    <w:rsid w:val="001B7400"/>
    <w:rsid w:val="001B752A"/>
    <w:rsid w:val="001C12FB"/>
    <w:rsid w:val="001C2DB4"/>
    <w:rsid w:val="001C3228"/>
    <w:rsid w:val="001C35E9"/>
    <w:rsid w:val="001C36BD"/>
    <w:rsid w:val="001C3733"/>
    <w:rsid w:val="001C49B3"/>
    <w:rsid w:val="001C5B30"/>
    <w:rsid w:val="001D2953"/>
    <w:rsid w:val="001D3C05"/>
    <w:rsid w:val="001D4922"/>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5FDA"/>
    <w:rsid w:val="002160C2"/>
    <w:rsid w:val="00222BB9"/>
    <w:rsid w:val="002258D6"/>
    <w:rsid w:val="002274FB"/>
    <w:rsid w:val="002309D2"/>
    <w:rsid w:val="00231B61"/>
    <w:rsid w:val="0023315B"/>
    <w:rsid w:val="002347FE"/>
    <w:rsid w:val="00235595"/>
    <w:rsid w:val="002360D3"/>
    <w:rsid w:val="00236FBB"/>
    <w:rsid w:val="0024178D"/>
    <w:rsid w:val="0024392B"/>
    <w:rsid w:val="002450C6"/>
    <w:rsid w:val="00245DCF"/>
    <w:rsid w:val="00246C65"/>
    <w:rsid w:val="00246EF4"/>
    <w:rsid w:val="0024721F"/>
    <w:rsid w:val="00251A10"/>
    <w:rsid w:val="00252BFF"/>
    <w:rsid w:val="0025349D"/>
    <w:rsid w:val="00253732"/>
    <w:rsid w:val="002542A8"/>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DA6"/>
    <w:rsid w:val="00280F9E"/>
    <w:rsid w:val="00283B02"/>
    <w:rsid w:val="00283C5D"/>
    <w:rsid w:val="002844B0"/>
    <w:rsid w:val="00286322"/>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0DF9"/>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F1F28"/>
    <w:rsid w:val="002F43CA"/>
    <w:rsid w:val="002F57AA"/>
    <w:rsid w:val="002F6EF7"/>
    <w:rsid w:val="002F714C"/>
    <w:rsid w:val="002F77BF"/>
    <w:rsid w:val="003004A2"/>
    <w:rsid w:val="00303928"/>
    <w:rsid w:val="00303DD5"/>
    <w:rsid w:val="00307B74"/>
    <w:rsid w:val="00310764"/>
    <w:rsid w:val="00311BFD"/>
    <w:rsid w:val="00314718"/>
    <w:rsid w:val="0031488A"/>
    <w:rsid w:val="003175E1"/>
    <w:rsid w:val="00320203"/>
    <w:rsid w:val="00322002"/>
    <w:rsid w:val="00322370"/>
    <w:rsid w:val="00324101"/>
    <w:rsid w:val="003247B0"/>
    <w:rsid w:val="00325E81"/>
    <w:rsid w:val="00326948"/>
    <w:rsid w:val="00327052"/>
    <w:rsid w:val="0033486D"/>
    <w:rsid w:val="00335228"/>
    <w:rsid w:val="003367C4"/>
    <w:rsid w:val="00336D8E"/>
    <w:rsid w:val="003376B3"/>
    <w:rsid w:val="00342DBA"/>
    <w:rsid w:val="00344593"/>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339D"/>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C1CA5"/>
    <w:rsid w:val="003C1EC7"/>
    <w:rsid w:val="003C3D8E"/>
    <w:rsid w:val="003C5E61"/>
    <w:rsid w:val="003C64A0"/>
    <w:rsid w:val="003C6F0B"/>
    <w:rsid w:val="003C7BA3"/>
    <w:rsid w:val="003D3642"/>
    <w:rsid w:val="003D4E9C"/>
    <w:rsid w:val="003D5EE8"/>
    <w:rsid w:val="003E0D78"/>
    <w:rsid w:val="003E1CB1"/>
    <w:rsid w:val="003E3A1D"/>
    <w:rsid w:val="003E6CA0"/>
    <w:rsid w:val="003F1F41"/>
    <w:rsid w:val="003F2FDE"/>
    <w:rsid w:val="003F330B"/>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4348"/>
    <w:rsid w:val="00426CD9"/>
    <w:rsid w:val="00430FEB"/>
    <w:rsid w:val="004310EE"/>
    <w:rsid w:val="00433677"/>
    <w:rsid w:val="004340D5"/>
    <w:rsid w:val="00434880"/>
    <w:rsid w:val="00434A21"/>
    <w:rsid w:val="0043526D"/>
    <w:rsid w:val="00437ADA"/>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1F9B"/>
    <w:rsid w:val="004723EE"/>
    <w:rsid w:val="00475A92"/>
    <w:rsid w:val="00477BB9"/>
    <w:rsid w:val="004859EE"/>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994"/>
    <w:rsid w:val="004C6BA5"/>
    <w:rsid w:val="004C70FC"/>
    <w:rsid w:val="004D022C"/>
    <w:rsid w:val="004D2675"/>
    <w:rsid w:val="004D4080"/>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59D"/>
    <w:rsid w:val="005118AE"/>
    <w:rsid w:val="0051212F"/>
    <w:rsid w:val="0051587A"/>
    <w:rsid w:val="005158FA"/>
    <w:rsid w:val="005169AD"/>
    <w:rsid w:val="005208B9"/>
    <w:rsid w:val="005221F0"/>
    <w:rsid w:val="00524807"/>
    <w:rsid w:val="005252FE"/>
    <w:rsid w:val="005257A1"/>
    <w:rsid w:val="00525FF9"/>
    <w:rsid w:val="00532C41"/>
    <w:rsid w:val="00532D3F"/>
    <w:rsid w:val="0053386D"/>
    <w:rsid w:val="00534700"/>
    <w:rsid w:val="0053791F"/>
    <w:rsid w:val="005448F7"/>
    <w:rsid w:val="00546622"/>
    <w:rsid w:val="00547538"/>
    <w:rsid w:val="00553BFA"/>
    <w:rsid w:val="005547AA"/>
    <w:rsid w:val="00554D05"/>
    <w:rsid w:val="0055596B"/>
    <w:rsid w:val="005574AA"/>
    <w:rsid w:val="0056077E"/>
    <w:rsid w:val="00560EDA"/>
    <w:rsid w:val="005629EE"/>
    <w:rsid w:val="00563ABC"/>
    <w:rsid w:val="005648FA"/>
    <w:rsid w:val="00564D50"/>
    <w:rsid w:val="00567346"/>
    <w:rsid w:val="0057371B"/>
    <w:rsid w:val="00575EB8"/>
    <w:rsid w:val="0057613A"/>
    <w:rsid w:val="00582A9B"/>
    <w:rsid w:val="005832AB"/>
    <w:rsid w:val="0058437C"/>
    <w:rsid w:val="005935F4"/>
    <w:rsid w:val="00593E0A"/>
    <w:rsid w:val="005971B0"/>
    <w:rsid w:val="005A167F"/>
    <w:rsid w:val="005A346E"/>
    <w:rsid w:val="005A73CF"/>
    <w:rsid w:val="005B3EB1"/>
    <w:rsid w:val="005B3F6F"/>
    <w:rsid w:val="005B798B"/>
    <w:rsid w:val="005C00B9"/>
    <w:rsid w:val="005C1FAE"/>
    <w:rsid w:val="005C39E8"/>
    <w:rsid w:val="005C5660"/>
    <w:rsid w:val="005C71E4"/>
    <w:rsid w:val="005C72E3"/>
    <w:rsid w:val="005D11B2"/>
    <w:rsid w:val="005D4B68"/>
    <w:rsid w:val="005E0971"/>
    <w:rsid w:val="005E11C1"/>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3148"/>
    <w:rsid w:val="0060417D"/>
    <w:rsid w:val="00606FC7"/>
    <w:rsid w:val="00610456"/>
    <w:rsid w:val="00611473"/>
    <w:rsid w:val="00611B36"/>
    <w:rsid w:val="00613A34"/>
    <w:rsid w:val="00615ADA"/>
    <w:rsid w:val="00617157"/>
    <w:rsid w:val="006221CD"/>
    <w:rsid w:val="00622220"/>
    <w:rsid w:val="0062605D"/>
    <w:rsid w:val="006266A9"/>
    <w:rsid w:val="00630426"/>
    <w:rsid w:val="006316C1"/>
    <w:rsid w:val="00631ED4"/>
    <w:rsid w:val="00633BC7"/>
    <w:rsid w:val="00635AC7"/>
    <w:rsid w:val="00635E9C"/>
    <w:rsid w:val="00636B02"/>
    <w:rsid w:val="0063753F"/>
    <w:rsid w:val="00637B41"/>
    <w:rsid w:val="006414EE"/>
    <w:rsid w:val="00642524"/>
    <w:rsid w:val="00642D0A"/>
    <w:rsid w:val="0064630E"/>
    <w:rsid w:val="00646FE1"/>
    <w:rsid w:val="00647075"/>
    <w:rsid w:val="0065581D"/>
    <w:rsid w:val="00655C2F"/>
    <w:rsid w:val="00660403"/>
    <w:rsid w:val="00660900"/>
    <w:rsid w:val="00661140"/>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16E9"/>
    <w:rsid w:val="006A5450"/>
    <w:rsid w:val="006B0199"/>
    <w:rsid w:val="006B0A32"/>
    <w:rsid w:val="006B0BD8"/>
    <w:rsid w:val="006B4557"/>
    <w:rsid w:val="006B47C5"/>
    <w:rsid w:val="006C0251"/>
    <w:rsid w:val="006C0320"/>
    <w:rsid w:val="006C2B9A"/>
    <w:rsid w:val="006C3553"/>
    <w:rsid w:val="006C39BB"/>
    <w:rsid w:val="006C4502"/>
    <w:rsid w:val="006C6114"/>
    <w:rsid w:val="006D2288"/>
    <w:rsid w:val="006D306A"/>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33D54"/>
    <w:rsid w:val="00734CEE"/>
    <w:rsid w:val="00736A4F"/>
    <w:rsid w:val="0073737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6080E"/>
    <w:rsid w:val="0076411D"/>
    <w:rsid w:val="007670F8"/>
    <w:rsid w:val="007671D4"/>
    <w:rsid w:val="00770A85"/>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120F"/>
    <w:rsid w:val="007E2334"/>
    <w:rsid w:val="007E23CE"/>
    <w:rsid w:val="007E2CE7"/>
    <w:rsid w:val="007E43D0"/>
    <w:rsid w:val="007E4F00"/>
    <w:rsid w:val="007E54F8"/>
    <w:rsid w:val="007E5987"/>
    <w:rsid w:val="007E5BD8"/>
    <w:rsid w:val="007E5C87"/>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0788F"/>
    <w:rsid w:val="0081104C"/>
    <w:rsid w:val="008121F2"/>
    <w:rsid w:val="00812D16"/>
    <w:rsid w:val="00815A46"/>
    <w:rsid w:val="00816C51"/>
    <w:rsid w:val="00821865"/>
    <w:rsid w:val="008225EB"/>
    <w:rsid w:val="0082327D"/>
    <w:rsid w:val="0082433D"/>
    <w:rsid w:val="00826509"/>
    <w:rsid w:val="0083354D"/>
    <w:rsid w:val="00834D64"/>
    <w:rsid w:val="0083561B"/>
    <w:rsid w:val="00837D78"/>
    <w:rsid w:val="00840D79"/>
    <w:rsid w:val="00842939"/>
    <w:rsid w:val="00842A21"/>
    <w:rsid w:val="00844EA8"/>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662E"/>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4FAB"/>
    <w:rsid w:val="008A6A5C"/>
    <w:rsid w:val="008A7316"/>
    <w:rsid w:val="008B454C"/>
    <w:rsid w:val="008B4A1C"/>
    <w:rsid w:val="008B500A"/>
    <w:rsid w:val="008C090B"/>
    <w:rsid w:val="008C1610"/>
    <w:rsid w:val="008C2F1E"/>
    <w:rsid w:val="008C30E5"/>
    <w:rsid w:val="008C3B5B"/>
    <w:rsid w:val="008C409F"/>
    <w:rsid w:val="008C4858"/>
    <w:rsid w:val="008C602D"/>
    <w:rsid w:val="008C6BCC"/>
    <w:rsid w:val="008C78C0"/>
    <w:rsid w:val="008D098D"/>
    <w:rsid w:val="008D135A"/>
    <w:rsid w:val="008D2205"/>
    <w:rsid w:val="008D2331"/>
    <w:rsid w:val="008D347F"/>
    <w:rsid w:val="008D35AD"/>
    <w:rsid w:val="008D36CD"/>
    <w:rsid w:val="008D4380"/>
    <w:rsid w:val="008D4841"/>
    <w:rsid w:val="008D48D1"/>
    <w:rsid w:val="008D6BE8"/>
    <w:rsid w:val="008E27E9"/>
    <w:rsid w:val="008E42DE"/>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793C"/>
    <w:rsid w:val="0096111E"/>
    <w:rsid w:val="00961125"/>
    <w:rsid w:val="009623D8"/>
    <w:rsid w:val="00963362"/>
    <w:rsid w:val="00963BD1"/>
    <w:rsid w:val="00966B1F"/>
    <w:rsid w:val="00970A7E"/>
    <w:rsid w:val="0097116E"/>
    <w:rsid w:val="009738FF"/>
    <w:rsid w:val="00974518"/>
    <w:rsid w:val="00980FE0"/>
    <w:rsid w:val="00985F8B"/>
    <w:rsid w:val="00990B70"/>
    <w:rsid w:val="00990C3B"/>
    <w:rsid w:val="00991CBD"/>
    <w:rsid w:val="009921E6"/>
    <w:rsid w:val="009928B7"/>
    <w:rsid w:val="0099321A"/>
    <w:rsid w:val="00994468"/>
    <w:rsid w:val="009947E8"/>
    <w:rsid w:val="009960B7"/>
    <w:rsid w:val="00996F08"/>
    <w:rsid w:val="009972FE"/>
    <w:rsid w:val="00997A9D"/>
    <w:rsid w:val="009B536C"/>
    <w:rsid w:val="009B5C19"/>
    <w:rsid w:val="009B6496"/>
    <w:rsid w:val="009C01DA"/>
    <w:rsid w:val="009C05AB"/>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1867"/>
    <w:rsid w:val="00A437D9"/>
    <w:rsid w:val="00A43C16"/>
    <w:rsid w:val="00A443A6"/>
    <w:rsid w:val="00A45A1A"/>
    <w:rsid w:val="00A45E61"/>
    <w:rsid w:val="00A47F32"/>
    <w:rsid w:val="00A53220"/>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B31"/>
    <w:rsid w:val="00A7190B"/>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70A"/>
    <w:rsid w:val="00AA0A43"/>
    <w:rsid w:val="00AA0DD3"/>
    <w:rsid w:val="00AA1C07"/>
    <w:rsid w:val="00AA3688"/>
    <w:rsid w:val="00AA4006"/>
    <w:rsid w:val="00AA5887"/>
    <w:rsid w:val="00AB19F8"/>
    <w:rsid w:val="00AB2A61"/>
    <w:rsid w:val="00AB3A12"/>
    <w:rsid w:val="00AB5A8D"/>
    <w:rsid w:val="00AB6642"/>
    <w:rsid w:val="00AC1110"/>
    <w:rsid w:val="00AC26A9"/>
    <w:rsid w:val="00AC2EFE"/>
    <w:rsid w:val="00AC3930"/>
    <w:rsid w:val="00AC3AB1"/>
    <w:rsid w:val="00AC3C88"/>
    <w:rsid w:val="00AC68C6"/>
    <w:rsid w:val="00AC6E3D"/>
    <w:rsid w:val="00AC7612"/>
    <w:rsid w:val="00AC7873"/>
    <w:rsid w:val="00AC79C1"/>
    <w:rsid w:val="00AC7CA4"/>
    <w:rsid w:val="00AD1F03"/>
    <w:rsid w:val="00AD493B"/>
    <w:rsid w:val="00AD4A64"/>
    <w:rsid w:val="00AD4D4E"/>
    <w:rsid w:val="00AD598F"/>
    <w:rsid w:val="00AD6D09"/>
    <w:rsid w:val="00AE07DA"/>
    <w:rsid w:val="00AE098E"/>
    <w:rsid w:val="00AE0A4B"/>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3BAD"/>
    <w:rsid w:val="00B17FAB"/>
    <w:rsid w:val="00B20C23"/>
    <w:rsid w:val="00B21BE7"/>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6D38"/>
    <w:rsid w:val="00B46EC7"/>
    <w:rsid w:val="00B50A91"/>
    <w:rsid w:val="00B5160B"/>
    <w:rsid w:val="00B51761"/>
    <w:rsid w:val="00B51871"/>
    <w:rsid w:val="00B52022"/>
    <w:rsid w:val="00B52187"/>
    <w:rsid w:val="00B54691"/>
    <w:rsid w:val="00B5483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2AA5"/>
    <w:rsid w:val="00B93904"/>
    <w:rsid w:val="00B955FE"/>
    <w:rsid w:val="00B96744"/>
    <w:rsid w:val="00BA0B9F"/>
    <w:rsid w:val="00BA22B1"/>
    <w:rsid w:val="00BA2946"/>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D0E2E"/>
    <w:rsid w:val="00BE3AA0"/>
    <w:rsid w:val="00BE442D"/>
    <w:rsid w:val="00BE4ED6"/>
    <w:rsid w:val="00BE54F3"/>
    <w:rsid w:val="00BE5F67"/>
    <w:rsid w:val="00BE7920"/>
    <w:rsid w:val="00BF1E46"/>
    <w:rsid w:val="00BF2246"/>
    <w:rsid w:val="00BF2A3A"/>
    <w:rsid w:val="00BF2CD1"/>
    <w:rsid w:val="00BF4B6A"/>
    <w:rsid w:val="00BF5135"/>
    <w:rsid w:val="00C00312"/>
    <w:rsid w:val="00C00828"/>
    <w:rsid w:val="00C009F5"/>
    <w:rsid w:val="00C01129"/>
    <w:rsid w:val="00C01B91"/>
    <w:rsid w:val="00C01DD9"/>
    <w:rsid w:val="00C02239"/>
    <w:rsid w:val="00C022E1"/>
    <w:rsid w:val="00C0398D"/>
    <w:rsid w:val="00C0534D"/>
    <w:rsid w:val="00C05C3D"/>
    <w:rsid w:val="00C071AC"/>
    <w:rsid w:val="00C109A2"/>
    <w:rsid w:val="00C11707"/>
    <w:rsid w:val="00C11E4C"/>
    <w:rsid w:val="00C14954"/>
    <w:rsid w:val="00C179B0"/>
    <w:rsid w:val="00C20245"/>
    <w:rsid w:val="00C20CA6"/>
    <w:rsid w:val="00C21AD6"/>
    <w:rsid w:val="00C226F9"/>
    <w:rsid w:val="00C23398"/>
    <w:rsid w:val="00C23B23"/>
    <w:rsid w:val="00C2428B"/>
    <w:rsid w:val="00C26C22"/>
    <w:rsid w:val="00C27B03"/>
    <w:rsid w:val="00C3089B"/>
    <w:rsid w:val="00C34B40"/>
    <w:rsid w:val="00C35836"/>
    <w:rsid w:val="00C41CD3"/>
    <w:rsid w:val="00C428C2"/>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33F7"/>
    <w:rsid w:val="00C7697F"/>
    <w:rsid w:val="00C7716A"/>
    <w:rsid w:val="00C77650"/>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6DD8"/>
    <w:rsid w:val="00CB1582"/>
    <w:rsid w:val="00CB1C6A"/>
    <w:rsid w:val="00CB22B7"/>
    <w:rsid w:val="00CB31DA"/>
    <w:rsid w:val="00CB5032"/>
    <w:rsid w:val="00CB7DF6"/>
    <w:rsid w:val="00CC303F"/>
    <w:rsid w:val="00CC3C96"/>
    <w:rsid w:val="00CD077C"/>
    <w:rsid w:val="00CD342A"/>
    <w:rsid w:val="00CD3940"/>
    <w:rsid w:val="00CE2F14"/>
    <w:rsid w:val="00CE3EE8"/>
    <w:rsid w:val="00CE52B8"/>
    <w:rsid w:val="00CE6A0B"/>
    <w:rsid w:val="00CE7BF6"/>
    <w:rsid w:val="00CF0950"/>
    <w:rsid w:val="00CF3B07"/>
    <w:rsid w:val="00CF4C13"/>
    <w:rsid w:val="00CF62E0"/>
    <w:rsid w:val="00CF6384"/>
    <w:rsid w:val="00CF6902"/>
    <w:rsid w:val="00D02B8F"/>
    <w:rsid w:val="00D0401F"/>
    <w:rsid w:val="00D06E88"/>
    <w:rsid w:val="00D11F90"/>
    <w:rsid w:val="00D13527"/>
    <w:rsid w:val="00D15E4E"/>
    <w:rsid w:val="00D17601"/>
    <w:rsid w:val="00D20D6E"/>
    <w:rsid w:val="00D21300"/>
    <w:rsid w:val="00D22F7B"/>
    <w:rsid w:val="00D230DC"/>
    <w:rsid w:val="00D2583E"/>
    <w:rsid w:val="00D26248"/>
    <w:rsid w:val="00D26C9A"/>
    <w:rsid w:val="00D303E8"/>
    <w:rsid w:val="00D31BA6"/>
    <w:rsid w:val="00D335E1"/>
    <w:rsid w:val="00D3545E"/>
    <w:rsid w:val="00D35FEA"/>
    <w:rsid w:val="00D366E4"/>
    <w:rsid w:val="00D423AC"/>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B7FE4"/>
    <w:rsid w:val="00DC0146"/>
    <w:rsid w:val="00DC03EE"/>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F0FE3"/>
    <w:rsid w:val="00DF2CB1"/>
    <w:rsid w:val="00DF69F9"/>
    <w:rsid w:val="00E02579"/>
    <w:rsid w:val="00E02B50"/>
    <w:rsid w:val="00E04B3F"/>
    <w:rsid w:val="00E060C1"/>
    <w:rsid w:val="00E06B1E"/>
    <w:rsid w:val="00E07787"/>
    <w:rsid w:val="00E10AAF"/>
    <w:rsid w:val="00E10AF3"/>
    <w:rsid w:val="00E11D49"/>
    <w:rsid w:val="00E147D5"/>
    <w:rsid w:val="00E14C0E"/>
    <w:rsid w:val="00E16642"/>
    <w:rsid w:val="00E1787C"/>
    <w:rsid w:val="00E2249E"/>
    <w:rsid w:val="00E22B76"/>
    <w:rsid w:val="00E234F1"/>
    <w:rsid w:val="00E241ED"/>
    <w:rsid w:val="00E24940"/>
    <w:rsid w:val="00E24E3A"/>
    <w:rsid w:val="00E25AF8"/>
    <w:rsid w:val="00E26C55"/>
    <w:rsid w:val="00E26F6C"/>
    <w:rsid w:val="00E27345"/>
    <w:rsid w:val="00E31BD0"/>
    <w:rsid w:val="00E33ED2"/>
    <w:rsid w:val="00E348EA"/>
    <w:rsid w:val="00E34CA3"/>
    <w:rsid w:val="00E35C4A"/>
    <w:rsid w:val="00E37A0F"/>
    <w:rsid w:val="00E37DA6"/>
    <w:rsid w:val="00E37FE3"/>
    <w:rsid w:val="00E40EB7"/>
    <w:rsid w:val="00E43AAA"/>
    <w:rsid w:val="00E44C62"/>
    <w:rsid w:val="00E5275F"/>
    <w:rsid w:val="00E5387C"/>
    <w:rsid w:val="00E54EF2"/>
    <w:rsid w:val="00E60DC5"/>
    <w:rsid w:val="00E63559"/>
    <w:rsid w:val="00E67180"/>
    <w:rsid w:val="00E676E2"/>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967CB"/>
    <w:rsid w:val="00EA05D9"/>
    <w:rsid w:val="00EA1104"/>
    <w:rsid w:val="00EA5257"/>
    <w:rsid w:val="00EA59B6"/>
    <w:rsid w:val="00EA7415"/>
    <w:rsid w:val="00EB0433"/>
    <w:rsid w:val="00EB1B8B"/>
    <w:rsid w:val="00EB24EC"/>
    <w:rsid w:val="00EB3C54"/>
    <w:rsid w:val="00EB4951"/>
    <w:rsid w:val="00EB595B"/>
    <w:rsid w:val="00EC098E"/>
    <w:rsid w:val="00EC0BCB"/>
    <w:rsid w:val="00EC0E71"/>
    <w:rsid w:val="00EC3161"/>
    <w:rsid w:val="00ED613A"/>
    <w:rsid w:val="00ED6CFA"/>
    <w:rsid w:val="00ED6D53"/>
    <w:rsid w:val="00EE029C"/>
    <w:rsid w:val="00EE1855"/>
    <w:rsid w:val="00EE1E1F"/>
    <w:rsid w:val="00EE2B68"/>
    <w:rsid w:val="00EE3733"/>
    <w:rsid w:val="00EE395E"/>
    <w:rsid w:val="00EE6D70"/>
    <w:rsid w:val="00EF1386"/>
    <w:rsid w:val="00EF2491"/>
    <w:rsid w:val="00EF256B"/>
    <w:rsid w:val="00EF5277"/>
    <w:rsid w:val="00EF5CAD"/>
    <w:rsid w:val="00EF611F"/>
    <w:rsid w:val="00EF76E1"/>
    <w:rsid w:val="00F029AF"/>
    <w:rsid w:val="00F04099"/>
    <w:rsid w:val="00F05B66"/>
    <w:rsid w:val="00F1030E"/>
    <w:rsid w:val="00F10925"/>
    <w:rsid w:val="00F12F6C"/>
    <w:rsid w:val="00F13DAE"/>
    <w:rsid w:val="00F157D8"/>
    <w:rsid w:val="00F201AD"/>
    <w:rsid w:val="00F21481"/>
    <w:rsid w:val="00F21B21"/>
    <w:rsid w:val="00F222BB"/>
    <w:rsid w:val="00F2491A"/>
    <w:rsid w:val="00F24EF6"/>
    <w:rsid w:val="00F254E4"/>
    <w:rsid w:val="00F26AAB"/>
    <w:rsid w:val="00F26AAC"/>
    <w:rsid w:val="00F26F5D"/>
    <w:rsid w:val="00F3381E"/>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44E1"/>
    <w:rsid w:val="00F54516"/>
    <w:rsid w:val="00F546FB"/>
    <w:rsid w:val="00F55335"/>
    <w:rsid w:val="00F55CF7"/>
    <w:rsid w:val="00F57D1C"/>
    <w:rsid w:val="00F6077A"/>
    <w:rsid w:val="00F6086A"/>
    <w:rsid w:val="00F6169B"/>
    <w:rsid w:val="00F62824"/>
    <w:rsid w:val="00F62D7C"/>
    <w:rsid w:val="00F634C8"/>
    <w:rsid w:val="00F67155"/>
    <w:rsid w:val="00F7058F"/>
    <w:rsid w:val="00F70D21"/>
    <w:rsid w:val="00F70FEF"/>
    <w:rsid w:val="00F73784"/>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A78FD"/>
    <w:rsid w:val="00FB11BE"/>
    <w:rsid w:val="00FB1357"/>
    <w:rsid w:val="00FB1799"/>
    <w:rsid w:val="00FB1B56"/>
    <w:rsid w:val="00FB27F1"/>
    <w:rsid w:val="00FB4C6F"/>
    <w:rsid w:val="00FC5E76"/>
    <w:rsid w:val="00FC69CF"/>
    <w:rsid w:val="00FC7214"/>
    <w:rsid w:val="00FC7FB3"/>
    <w:rsid w:val="00FD058F"/>
    <w:rsid w:val="00FD0AB8"/>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4C3A"/>
    <w:rsid w:val="00FF57C8"/>
    <w:rsid w:val="00FF62F4"/>
    <w:rsid w:val="00FF6519"/>
    <w:rsid w:val="00FF6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33E0B4"/>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paragraph" w:customStyle="1" w:styleId="Norml11">
    <w:name w:val="Normál 11"/>
    <w:rsid w:val="00C428C2"/>
    <w:rPr>
      <w:rFonts w:eastAsia="Times New Roman"/>
      <w:sz w:val="22"/>
      <w:lang w:val="hu-HU" w:eastAsia="hu-HU"/>
    </w:rPr>
  </w:style>
  <w:style w:type="paragraph" w:styleId="NormalWeb">
    <w:name w:val="Normal (Web)"/>
    <w:basedOn w:val="Normal"/>
    <w:uiPriority w:val="99"/>
    <w:rsid w:val="00C428C2"/>
    <w:pPr>
      <w:tabs>
        <w:tab w:val="clear" w:pos="567"/>
      </w:tabs>
      <w:spacing w:before="100" w:beforeAutospacing="1" w:after="100" w:afterAutospacing="1" w:line="24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rimaryreporting.who-umc.org/M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7299</Words>
  <Characters>41610</Characters>
  <Application>Microsoft Office Word</Application>
  <DocSecurity>0</DocSecurity>
  <Lines>346</Lines>
  <Paragraphs>97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Nevena Mandić</dc:creator>
  <cp:lastModifiedBy>Jovana Jovanovic</cp:lastModifiedBy>
  <cp:revision>3</cp:revision>
  <dcterms:created xsi:type="dcterms:W3CDTF">2024-02-28T09:11:00Z</dcterms:created>
  <dcterms:modified xsi:type="dcterms:W3CDTF">2024-02-28T09:39:00Z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