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B77D9" w14:textId="77777777" w:rsidR="001A5518" w:rsidRDefault="001A5518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2E2B77DA" w14:textId="77777777" w:rsidR="00F91C7B" w:rsidRPr="00786071" w:rsidRDefault="00F91C7B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2E2B77DB" w14:textId="77777777" w:rsidR="002510A5" w:rsidRPr="002510A5" w:rsidRDefault="002510A5" w:rsidP="002510A5">
      <w:pPr>
        <w:jc w:val="center"/>
        <w:rPr>
          <w:b/>
          <w:bCs/>
          <w:iCs/>
          <w:sz w:val="22"/>
          <w:szCs w:val="22"/>
          <w:u w:val="single"/>
        </w:rPr>
      </w:pPr>
      <w:r w:rsidRPr="002510A5">
        <w:rPr>
          <w:b/>
          <w:bCs/>
          <w:iCs/>
          <w:sz w:val="22"/>
          <w:szCs w:val="22"/>
          <w:u w:val="single"/>
        </w:rPr>
        <w:t>SAŽETAK KARAKTERISTIKA LIJEKA</w:t>
      </w:r>
    </w:p>
    <w:p w14:paraId="2E2B77DC" w14:textId="77777777" w:rsidR="002510A5" w:rsidRPr="002510A5" w:rsidRDefault="002510A5" w:rsidP="002510A5">
      <w:pPr>
        <w:rPr>
          <w:b/>
          <w:bCs/>
          <w:i/>
          <w:iCs/>
          <w:sz w:val="22"/>
          <w:szCs w:val="22"/>
          <w:u w:val="single"/>
        </w:rPr>
      </w:pPr>
    </w:p>
    <w:p w14:paraId="2E2B77DD" w14:textId="77777777" w:rsidR="003C17AB" w:rsidRPr="00CA1FEB" w:rsidRDefault="003C17AB" w:rsidP="00CA1FEB">
      <w:pPr>
        <w:rPr>
          <w:sz w:val="22"/>
          <w:szCs w:val="22"/>
          <w:lang w:val="sr-Latn-CS"/>
        </w:rPr>
      </w:pPr>
    </w:p>
    <w:p w14:paraId="2E2B77E1" w14:textId="77777777" w:rsidR="00411B4B" w:rsidRPr="00A27241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hr-HR"/>
        </w:rPr>
      </w:pPr>
      <w:r w:rsidRPr="00A27241">
        <w:rPr>
          <w:b/>
          <w:bCs/>
          <w:sz w:val="22"/>
          <w:szCs w:val="22"/>
          <w:lang w:val="hr-HR"/>
        </w:rPr>
        <w:t>1.</w:t>
      </w:r>
      <w:r w:rsidR="00F5167F" w:rsidRPr="00A27241">
        <w:rPr>
          <w:b/>
          <w:bCs/>
          <w:sz w:val="22"/>
          <w:szCs w:val="22"/>
          <w:lang w:val="hr-HR"/>
        </w:rPr>
        <w:tab/>
      </w:r>
      <w:r w:rsidR="002846DB" w:rsidRPr="00A27241">
        <w:rPr>
          <w:b/>
          <w:bCs/>
          <w:sz w:val="22"/>
          <w:szCs w:val="22"/>
          <w:lang w:val="hr-HR"/>
        </w:rPr>
        <w:t xml:space="preserve">NAZIV </w:t>
      </w:r>
      <w:r w:rsidRPr="00A27241">
        <w:rPr>
          <w:b/>
          <w:bCs/>
          <w:sz w:val="22"/>
          <w:szCs w:val="22"/>
          <w:lang w:val="hr-HR"/>
        </w:rPr>
        <w:t>LIJEKA</w:t>
      </w:r>
    </w:p>
    <w:p w14:paraId="2E2B77E2" w14:textId="77777777" w:rsidR="00EC2532" w:rsidRPr="00786071" w:rsidRDefault="00EC2532">
      <w:pPr>
        <w:rPr>
          <w:sz w:val="22"/>
          <w:szCs w:val="22"/>
          <w:lang w:val="pl-PL"/>
        </w:rPr>
      </w:pPr>
    </w:p>
    <w:p w14:paraId="23AE6B78" w14:textId="2AE00649" w:rsidR="00FE731D" w:rsidRPr="00AA6863" w:rsidRDefault="00FE731D" w:rsidP="003457B5">
      <w:pPr>
        <w:jc w:val="both"/>
        <w:rPr>
          <w:bCs/>
          <w:sz w:val="22"/>
          <w:szCs w:val="22"/>
          <w:lang w:val="sr-Latn-CS"/>
        </w:rPr>
      </w:pPr>
      <w:r w:rsidRPr="00AA6863">
        <w:rPr>
          <w:bCs/>
          <w:sz w:val="22"/>
          <w:szCs w:val="22"/>
          <w:lang w:val="sr-Latn-CS"/>
        </w:rPr>
        <w:t xml:space="preserve">Prilinda, tablete, 2,5 mg </w:t>
      </w:r>
    </w:p>
    <w:p w14:paraId="755DAE10" w14:textId="6F5DF7E8" w:rsidR="00FE731D" w:rsidRPr="00AA6863" w:rsidRDefault="00FE731D" w:rsidP="003457B5">
      <w:pPr>
        <w:jc w:val="both"/>
        <w:rPr>
          <w:bCs/>
          <w:sz w:val="22"/>
          <w:szCs w:val="22"/>
          <w:lang w:val="sr-Latn-CS"/>
        </w:rPr>
      </w:pPr>
      <w:r w:rsidRPr="00AA6863">
        <w:rPr>
          <w:bCs/>
          <w:sz w:val="22"/>
          <w:szCs w:val="22"/>
          <w:lang w:val="sr-Latn-CS"/>
        </w:rPr>
        <w:t>Prilinda, tablete, 5 mg</w:t>
      </w:r>
    </w:p>
    <w:p w14:paraId="25EB82FE" w14:textId="02FC73E0" w:rsidR="00FE731D" w:rsidRPr="00AA6863" w:rsidRDefault="00FE731D" w:rsidP="003457B5">
      <w:pPr>
        <w:jc w:val="both"/>
        <w:rPr>
          <w:bCs/>
          <w:sz w:val="22"/>
          <w:szCs w:val="22"/>
          <w:lang w:val="sr-Latn-CS"/>
        </w:rPr>
      </w:pPr>
      <w:r w:rsidRPr="00AA6863">
        <w:rPr>
          <w:bCs/>
          <w:sz w:val="22"/>
          <w:szCs w:val="22"/>
          <w:lang w:val="sr-Latn-CS"/>
        </w:rPr>
        <w:t xml:space="preserve">Prilinda, tablete, 10 mg, </w:t>
      </w:r>
    </w:p>
    <w:p w14:paraId="570D0265" w14:textId="77777777" w:rsidR="00FE731D" w:rsidRPr="00AA6863" w:rsidRDefault="00FE731D" w:rsidP="003457B5">
      <w:pPr>
        <w:jc w:val="both"/>
        <w:rPr>
          <w:bCs/>
          <w:sz w:val="22"/>
          <w:szCs w:val="22"/>
          <w:lang w:val="sr-Latn-CS"/>
        </w:rPr>
      </w:pPr>
    </w:p>
    <w:p w14:paraId="2921B868" w14:textId="77777777" w:rsidR="00FE731D" w:rsidRPr="00AA6863" w:rsidRDefault="00FE731D" w:rsidP="003457B5">
      <w:pPr>
        <w:jc w:val="both"/>
        <w:rPr>
          <w:sz w:val="22"/>
          <w:szCs w:val="22"/>
          <w:lang w:val="it-IT"/>
        </w:rPr>
      </w:pPr>
      <w:r w:rsidRPr="00AA6863">
        <w:rPr>
          <w:sz w:val="22"/>
          <w:szCs w:val="22"/>
          <w:lang w:val="it-IT"/>
        </w:rPr>
        <w:t>INN: ramipril</w:t>
      </w:r>
    </w:p>
    <w:p w14:paraId="2E2B77E6" w14:textId="77777777" w:rsidR="006D20A5" w:rsidRPr="00786071" w:rsidRDefault="006D20A5">
      <w:pPr>
        <w:rPr>
          <w:bCs/>
          <w:sz w:val="22"/>
          <w:szCs w:val="22"/>
          <w:lang w:val="sv-SE"/>
        </w:rPr>
      </w:pPr>
    </w:p>
    <w:p w14:paraId="2E2B77E7" w14:textId="77777777" w:rsidR="00530BD7" w:rsidRPr="00786071" w:rsidRDefault="00530BD7">
      <w:pPr>
        <w:rPr>
          <w:bCs/>
          <w:sz w:val="22"/>
          <w:szCs w:val="22"/>
          <w:lang w:val="sv-SE"/>
        </w:rPr>
      </w:pPr>
    </w:p>
    <w:p w14:paraId="2E2B77E8" w14:textId="77777777" w:rsidR="00411B4B" w:rsidRPr="004F24BB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it-IT"/>
        </w:rPr>
      </w:pPr>
      <w:r w:rsidRPr="004F24BB">
        <w:rPr>
          <w:b/>
          <w:bCs/>
          <w:sz w:val="22"/>
          <w:szCs w:val="22"/>
          <w:lang w:val="it-IT"/>
        </w:rPr>
        <w:t xml:space="preserve">2. </w:t>
      </w:r>
      <w:r w:rsidR="00F5167F" w:rsidRPr="004F24BB">
        <w:rPr>
          <w:b/>
          <w:bCs/>
          <w:sz w:val="22"/>
          <w:szCs w:val="22"/>
          <w:lang w:val="it-IT"/>
        </w:rPr>
        <w:tab/>
      </w:r>
      <w:r w:rsidRPr="004F24BB">
        <w:rPr>
          <w:b/>
          <w:bCs/>
          <w:sz w:val="22"/>
          <w:szCs w:val="22"/>
          <w:lang w:val="it-IT"/>
        </w:rPr>
        <w:t>KVALITATIVNI I KVANTITATIVNI SASTAV</w:t>
      </w:r>
    </w:p>
    <w:p w14:paraId="2E2B77E9" w14:textId="0FA82F5C" w:rsidR="005A0B2E" w:rsidRDefault="005A0B2E">
      <w:pPr>
        <w:rPr>
          <w:sz w:val="22"/>
          <w:szCs w:val="22"/>
          <w:lang w:val="sr-Latn-CS"/>
        </w:rPr>
      </w:pPr>
    </w:p>
    <w:p w14:paraId="69C549EA" w14:textId="77777777" w:rsidR="00E03944" w:rsidRPr="003457B5" w:rsidRDefault="00E03944" w:rsidP="003457B5">
      <w:pPr>
        <w:jc w:val="both"/>
        <w:rPr>
          <w:i/>
          <w:sz w:val="22"/>
          <w:szCs w:val="22"/>
          <w:u w:val="single"/>
          <w:lang w:val="pl-PL"/>
        </w:rPr>
      </w:pPr>
      <w:bookmarkStart w:id="0" w:name="OLE_LINK1"/>
      <w:bookmarkStart w:id="1" w:name="OLE_LINK2"/>
      <w:r w:rsidRPr="003457B5">
        <w:rPr>
          <w:i/>
          <w:sz w:val="22"/>
          <w:szCs w:val="22"/>
          <w:u w:val="single"/>
          <w:lang w:val="pl-PL"/>
        </w:rPr>
        <w:t>Prilinda, tablete, 2,5 mg:</w:t>
      </w:r>
    </w:p>
    <w:p w14:paraId="3893345E" w14:textId="2225D12B" w:rsidR="00723D55" w:rsidRPr="00AA6863" w:rsidRDefault="00723D55" w:rsidP="00723D55">
      <w:pPr>
        <w:jc w:val="both"/>
        <w:rPr>
          <w:sz w:val="22"/>
          <w:szCs w:val="22"/>
          <w:lang w:val="pl-PL"/>
        </w:rPr>
      </w:pPr>
      <w:r w:rsidRPr="00AA6863">
        <w:rPr>
          <w:sz w:val="22"/>
          <w:szCs w:val="22"/>
          <w:lang w:val="pl-PL"/>
        </w:rPr>
        <w:t>Jedna tableta sadrži</w:t>
      </w:r>
      <w:r>
        <w:rPr>
          <w:sz w:val="22"/>
          <w:szCs w:val="22"/>
          <w:lang w:val="pl-PL"/>
        </w:rPr>
        <w:t xml:space="preserve"> 2,5 mg ramiprila.</w:t>
      </w:r>
    </w:p>
    <w:p w14:paraId="1B302C7B" w14:textId="77777777" w:rsidR="00E03944" w:rsidRPr="00AA6863" w:rsidRDefault="00E03944" w:rsidP="003457B5">
      <w:pPr>
        <w:jc w:val="both"/>
        <w:rPr>
          <w:sz w:val="22"/>
          <w:szCs w:val="22"/>
          <w:lang w:val="pl-PL"/>
        </w:rPr>
      </w:pPr>
    </w:p>
    <w:p w14:paraId="22273D1B" w14:textId="77777777" w:rsidR="00E03944" w:rsidRPr="003457B5" w:rsidRDefault="00E03944" w:rsidP="003457B5">
      <w:pPr>
        <w:jc w:val="both"/>
        <w:rPr>
          <w:i/>
          <w:sz w:val="22"/>
          <w:szCs w:val="22"/>
          <w:u w:val="single"/>
          <w:lang w:val="pl-PL"/>
        </w:rPr>
      </w:pPr>
      <w:r w:rsidRPr="003457B5">
        <w:rPr>
          <w:i/>
          <w:sz w:val="22"/>
          <w:szCs w:val="22"/>
          <w:u w:val="single"/>
          <w:lang w:val="pl-PL"/>
        </w:rPr>
        <w:t>Prilinda, tablete, 5 mg:</w:t>
      </w:r>
    </w:p>
    <w:p w14:paraId="3AD8D66F" w14:textId="219AA6DD" w:rsidR="00723D55" w:rsidRPr="00AA6863" w:rsidRDefault="00723D55" w:rsidP="00723D55">
      <w:pPr>
        <w:jc w:val="both"/>
        <w:rPr>
          <w:sz w:val="22"/>
          <w:szCs w:val="22"/>
          <w:lang w:val="pl-PL"/>
        </w:rPr>
      </w:pPr>
      <w:r w:rsidRPr="00AA6863">
        <w:rPr>
          <w:sz w:val="22"/>
          <w:szCs w:val="22"/>
          <w:lang w:val="pl-PL"/>
        </w:rPr>
        <w:t>Jedna tableta sadrži</w:t>
      </w:r>
      <w:r>
        <w:rPr>
          <w:sz w:val="22"/>
          <w:szCs w:val="22"/>
          <w:lang w:val="pl-PL"/>
        </w:rPr>
        <w:t xml:space="preserve"> 5 mg ramiprila.</w:t>
      </w:r>
    </w:p>
    <w:bookmarkEnd w:id="0"/>
    <w:bookmarkEnd w:id="1"/>
    <w:p w14:paraId="2281E091" w14:textId="77777777" w:rsidR="00E03944" w:rsidRPr="00AA6863" w:rsidRDefault="00E03944" w:rsidP="003457B5">
      <w:pPr>
        <w:jc w:val="both"/>
        <w:rPr>
          <w:sz w:val="22"/>
          <w:szCs w:val="22"/>
          <w:lang w:val="sr-Latn-CS"/>
        </w:rPr>
      </w:pPr>
    </w:p>
    <w:p w14:paraId="6B90ED52" w14:textId="77777777" w:rsidR="00E03944" w:rsidRPr="003457B5" w:rsidRDefault="00E03944" w:rsidP="003457B5">
      <w:pPr>
        <w:jc w:val="both"/>
        <w:rPr>
          <w:i/>
          <w:sz w:val="22"/>
          <w:szCs w:val="22"/>
          <w:u w:val="single"/>
          <w:lang w:val="pl-PL"/>
        </w:rPr>
      </w:pPr>
      <w:r w:rsidRPr="003457B5">
        <w:rPr>
          <w:i/>
          <w:sz w:val="22"/>
          <w:szCs w:val="22"/>
          <w:u w:val="single"/>
          <w:lang w:val="sl-SI"/>
        </w:rPr>
        <w:t>Prilinda</w:t>
      </w:r>
      <w:r w:rsidRPr="003457B5">
        <w:rPr>
          <w:i/>
          <w:sz w:val="22"/>
          <w:szCs w:val="22"/>
          <w:u w:val="single"/>
          <w:lang w:val="pl-PL"/>
        </w:rPr>
        <w:t>, tablete, 10 mg:</w:t>
      </w:r>
    </w:p>
    <w:p w14:paraId="773E4728" w14:textId="2CD4765C" w:rsidR="00E03944" w:rsidRPr="00AA6863" w:rsidRDefault="00E03944" w:rsidP="003457B5">
      <w:pPr>
        <w:jc w:val="both"/>
        <w:rPr>
          <w:sz w:val="22"/>
          <w:szCs w:val="22"/>
          <w:lang w:val="pl-PL"/>
        </w:rPr>
      </w:pPr>
      <w:r w:rsidRPr="00AA6863">
        <w:rPr>
          <w:sz w:val="22"/>
          <w:szCs w:val="22"/>
          <w:lang w:val="pl-PL"/>
        </w:rPr>
        <w:t>Jedna tableta sadrži</w:t>
      </w:r>
      <w:r w:rsidR="00723D55">
        <w:rPr>
          <w:sz w:val="22"/>
          <w:szCs w:val="22"/>
          <w:lang w:val="pl-PL"/>
        </w:rPr>
        <w:t xml:space="preserve"> 10 mg ramiprila.</w:t>
      </w:r>
    </w:p>
    <w:p w14:paraId="3591C381" w14:textId="77777777" w:rsidR="003F6484" w:rsidRPr="00AA6863" w:rsidRDefault="003F6484" w:rsidP="003457B5">
      <w:pPr>
        <w:jc w:val="both"/>
        <w:rPr>
          <w:sz w:val="22"/>
          <w:szCs w:val="22"/>
          <w:lang w:val="pl-PL"/>
        </w:rPr>
      </w:pPr>
    </w:p>
    <w:p w14:paraId="5EE2CFFB" w14:textId="3D2FB2CB" w:rsidR="00723D55" w:rsidRDefault="003F6484" w:rsidP="003457B5">
      <w:pPr>
        <w:jc w:val="both"/>
        <w:rPr>
          <w:sz w:val="22"/>
          <w:szCs w:val="22"/>
          <w:lang w:val="sr-Latn-CS"/>
        </w:rPr>
      </w:pPr>
      <w:r w:rsidRPr="00AA6863">
        <w:rPr>
          <w:sz w:val="22"/>
          <w:szCs w:val="22"/>
          <w:lang w:val="pl-PL"/>
        </w:rPr>
        <w:t>Pomoćna supstanca sa potvrđenim dejstvom: laktoza, monohidrat.</w:t>
      </w:r>
      <w:r w:rsidR="00723D55">
        <w:rPr>
          <w:sz w:val="22"/>
          <w:szCs w:val="22"/>
          <w:lang w:val="sr-Latn-CS"/>
        </w:rPr>
        <w:t xml:space="preserve"> </w:t>
      </w:r>
    </w:p>
    <w:p w14:paraId="067B460D" w14:textId="77777777" w:rsidR="00723D55" w:rsidRDefault="00723D55" w:rsidP="003457B5">
      <w:pPr>
        <w:jc w:val="both"/>
        <w:rPr>
          <w:sz w:val="22"/>
          <w:szCs w:val="22"/>
          <w:lang w:val="sr-Latn-CS"/>
        </w:rPr>
      </w:pPr>
    </w:p>
    <w:p w14:paraId="2E2B77EA" w14:textId="1C2304C9" w:rsidR="0003793F" w:rsidRPr="00786071" w:rsidRDefault="0003793F" w:rsidP="003457B5">
      <w:pPr>
        <w:jc w:val="both"/>
        <w:rPr>
          <w:sz w:val="22"/>
          <w:szCs w:val="22"/>
          <w:lang w:val="sr-Latn-CS"/>
        </w:rPr>
      </w:pPr>
      <w:r w:rsidRPr="00786071">
        <w:rPr>
          <w:sz w:val="22"/>
          <w:szCs w:val="22"/>
          <w:lang w:val="sr-Latn-CS"/>
        </w:rPr>
        <w:t>Za spisak svih ekscipijenasa, pogledati dio 6.1.</w:t>
      </w:r>
    </w:p>
    <w:p w14:paraId="2E2B77EB" w14:textId="77777777" w:rsidR="0003793F" w:rsidRDefault="0003793F">
      <w:pPr>
        <w:rPr>
          <w:sz w:val="22"/>
          <w:szCs w:val="22"/>
          <w:lang w:val="sr-Latn-CS"/>
        </w:rPr>
      </w:pPr>
    </w:p>
    <w:p w14:paraId="2E2B77EC" w14:textId="77777777" w:rsidR="00C37FD7" w:rsidRPr="00786071" w:rsidRDefault="00C37FD7">
      <w:pPr>
        <w:rPr>
          <w:sz w:val="22"/>
          <w:szCs w:val="22"/>
          <w:lang w:val="sr-Latn-CS"/>
        </w:rPr>
      </w:pPr>
    </w:p>
    <w:p w14:paraId="2E2B77ED" w14:textId="77777777" w:rsidR="00411B4B" w:rsidRPr="004F24BB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es-ES"/>
        </w:rPr>
      </w:pPr>
      <w:r w:rsidRPr="004F24BB">
        <w:rPr>
          <w:b/>
          <w:bCs/>
          <w:sz w:val="22"/>
          <w:szCs w:val="22"/>
          <w:lang w:val="es-ES"/>
        </w:rPr>
        <w:t xml:space="preserve">3. </w:t>
      </w:r>
      <w:r w:rsidR="00F5167F" w:rsidRPr="004F24BB">
        <w:rPr>
          <w:b/>
          <w:bCs/>
          <w:sz w:val="22"/>
          <w:szCs w:val="22"/>
          <w:lang w:val="es-ES"/>
        </w:rPr>
        <w:tab/>
      </w:r>
      <w:r w:rsidRPr="004F24BB">
        <w:rPr>
          <w:b/>
          <w:bCs/>
          <w:sz w:val="22"/>
          <w:szCs w:val="22"/>
          <w:lang w:val="es-ES"/>
        </w:rPr>
        <w:t>FARMACEUTSKI OBLIK</w:t>
      </w:r>
      <w:r w:rsidR="009F2D23" w:rsidRPr="004F24BB">
        <w:rPr>
          <w:b/>
          <w:bCs/>
          <w:sz w:val="22"/>
          <w:szCs w:val="22"/>
          <w:lang w:val="es-ES"/>
        </w:rPr>
        <w:t xml:space="preserve"> </w:t>
      </w:r>
    </w:p>
    <w:p w14:paraId="2E2B77EE" w14:textId="64323C4A" w:rsidR="00411B4B" w:rsidRDefault="00411B4B">
      <w:pPr>
        <w:rPr>
          <w:bCs/>
          <w:sz w:val="22"/>
          <w:szCs w:val="22"/>
          <w:lang w:val="sr-Latn-CS"/>
        </w:rPr>
      </w:pPr>
    </w:p>
    <w:p w14:paraId="51FC95FC" w14:textId="77777777" w:rsidR="00746030" w:rsidRPr="00746030" w:rsidRDefault="00746030" w:rsidP="003457B5">
      <w:pPr>
        <w:jc w:val="both"/>
        <w:rPr>
          <w:sz w:val="22"/>
          <w:szCs w:val="22"/>
          <w:lang w:val="pl-PL"/>
        </w:rPr>
      </w:pPr>
      <w:r w:rsidRPr="00746030">
        <w:rPr>
          <w:sz w:val="22"/>
          <w:szCs w:val="22"/>
          <w:lang w:val="pl-PL"/>
        </w:rPr>
        <w:t>Tableta.</w:t>
      </w:r>
    </w:p>
    <w:p w14:paraId="6212B7DE" w14:textId="77777777" w:rsidR="00746030" w:rsidRPr="00746030" w:rsidRDefault="00746030" w:rsidP="003457B5">
      <w:pPr>
        <w:jc w:val="both"/>
        <w:rPr>
          <w:i/>
          <w:sz w:val="22"/>
          <w:szCs w:val="22"/>
          <w:lang w:val="pl-PL"/>
        </w:rPr>
      </w:pPr>
    </w:p>
    <w:p w14:paraId="032498E4" w14:textId="77777777" w:rsidR="00746030" w:rsidRPr="00746030" w:rsidRDefault="00746030" w:rsidP="003457B5">
      <w:pPr>
        <w:jc w:val="both"/>
        <w:rPr>
          <w:i/>
          <w:sz w:val="22"/>
          <w:szCs w:val="22"/>
          <w:lang w:val="pl-PL"/>
        </w:rPr>
      </w:pPr>
      <w:r w:rsidRPr="003457B5">
        <w:rPr>
          <w:i/>
          <w:sz w:val="22"/>
          <w:szCs w:val="22"/>
          <w:u w:val="single"/>
          <w:lang w:val="sl-SI"/>
        </w:rPr>
        <w:t>Prilinda</w:t>
      </w:r>
      <w:r w:rsidRPr="003457B5">
        <w:rPr>
          <w:i/>
          <w:sz w:val="22"/>
          <w:szCs w:val="22"/>
          <w:u w:val="single"/>
          <w:lang w:val="pl-PL"/>
        </w:rPr>
        <w:t>, 2,5 mg, tablete</w:t>
      </w:r>
      <w:r w:rsidRPr="00746030">
        <w:rPr>
          <w:i/>
          <w:sz w:val="22"/>
          <w:szCs w:val="22"/>
          <w:lang w:val="pl-PL"/>
        </w:rPr>
        <w:t>:</w:t>
      </w:r>
    </w:p>
    <w:p w14:paraId="2E0A231E" w14:textId="77777777" w:rsidR="00746030" w:rsidRPr="00746030" w:rsidRDefault="00746030" w:rsidP="003457B5">
      <w:pPr>
        <w:jc w:val="both"/>
        <w:rPr>
          <w:color w:val="FF0000"/>
          <w:sz w:val="22"/>
          <w:szCs w:val="22"/>
          <w:lang w:val="sr-Latn-CS"/>
        </w:rPr>
      </w:pPr>
    </w:p>
    <w:p w14:paraId="5F82A618" w14:textId="69EAF833" w:rsidR="00746030" w:rsidRPr="00746030" w:rsidRDefault="00746030">
      <w:pPr>
        <w:jc w:val="both"/>
        <w:rPr>
          <w:sz w:val="22"/>
          <w:szCs w:val="22"/>
          <w:lang w:val="sr-Latn-CS"/>
        </w:rPr>
      </w:pPr>
      <w:r w:rsidRPr="00746030">
        <w:rPr>
          <w:sz w:val="22"/>
          <w:szCs w:val="22"/>
          <w:lang w:val="en-GB"/>
        </w:rPr>
        <w:t>Ovalna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en-GB"/>
        </w:rPr>
        <w:t>tableta</w:t>
      </w:r>
      <w:r w:rsidRPr="00746030">
        <w:rPr>
          <w:sz w:val="22"/>
          <w:szCs w:val="22"/>
          <w:lang w:val="sr-Latn-CS"/>
        </w:rPr>
        <w:t xml:space="preserve">, </w:t>
      </w:r>
      <w:r w:rsidRPr="00746030">
        <w:rPr>
          <w:sz w:val="22"/>
          <w:szCs w:val="22"/>
          <w:lang w:val="en-GB"/>
        </w:rPr>
        <w:t>ravna</w:t>
      </w:r>
      <w:r w:rsidRPr="00746030">
        <w:rPr>
          <w:sz w:val="22"/>
          <w:szCs w:val="22"/>
          <w:lang w:val="sr-Latn-CS"/>
        </w:rPr>
        <w:t xml:space="preserve">, </w:t>
      </w:r>
      <w:r w:rsidRPr="00746030">
        <w:rPr>
          <w:sz w:val="22"/>
          <w:szCs w:val="22"/>
          <w:lang w:val="en-GB"/>
        </w:rPr>
        <w:t>sv</w:t>
      </w:r>
      <w:r w:rsidR="00136F13">
        <w:rPr>
          <w:sz w:val="22"/>
          <w:szCs w:val="22"/>
          <w:lang w:val="en-GB"/>
        </w:rPr>
        <w:t>ij</w:t>
      </w:r>
      <w:r w:rsidRPr="00746030">
        <w:rPr>
          <w:sz w:val="22"/>
          <w:szCs w:val="22"/>
          <w:lang w:val="en-GB"/>
        </w:rPr>
        <w:t>etlo</w:t>
      </w:r>
      <w:r w:rsidRPr="00746030">
        <w:rPr>
          <w:sz w:val="22"/>
          <w:szCs w:val="22"/>
          <w:lang w:val="sr-Latn-CS"/>
        </w:rPr>
        <w:t>ž</w:t>
      </w:r>
      <w:r w:rsidRPr="00746030">
        <w:rPr>
          <w:sz w:val="22"/>
          <w:szCs w:val="22"/>
          <w:lang w:val="en-GB"/>
        </w:rPr>
        <w:t>ute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en-GB"/>
        </w:rPr>
        <w:t>boje</w:t>
      </w:r>
      <w:r w:rsidRPr="00746030">
        <w:rPr>
          <w:sz w:val="22"/>
          <w:szCs w:val="22"/>
          <w:lang w:val="sr-Latn-CS"/>
        </w:rPr>
        <w:t xml:space="preserve"> </w:t>
      </w:r>
      <w:proofErr w:type="gramStart"/>
      <w:r w:rsidRPr="00746030">
        <w:rPr>
          <w:sz w:val="22"/>
          <w:szCs w:val="22"/>
          <w:lang w:val="en-GB"/>
        </w:rPr>
        <w:t>sa</w:t>
      </w:r>
      <w:proofErr w:type="gramEnd"/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en-GB"/>
        </w:rPr>
        <w:t>podeonom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en-GB"/>
        </w:rPr>
        <w:t>linijom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en-GB"/>
        </w:rPr>
        <w:t>na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en-GB"/>
        </w:rPr>
        <w:t>jednoj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en-GB"/>
        </w:rPr>
        <w:t>strani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en-GB"/>
        </w:rPr>
        <w:t>tablete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en-GB"/>
        </w:rPr>
        <w:t>i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en-GB"/>
        </w:rPr>
        <w:t>na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en-GB"/>
        </w:rPr>
        <w:t>bo</w:t>
      </w:r>
      <w:r w:rsidRPr="00746030">
        <w:rPr>
          <w:sz w:val="22"/>
          <w:szCs w:val="22"/>
          <w:lang w:val="sr-Latn-CS"/>
        </w:rPr>
        <w:t>č</w:t>
      </w:r>
      <w:r w:rsidRPr="00746030">
        <w:rPr>
          <w:sz w:val="22"/>
          <w:szCs w:val="22"/>
          <w:lang w:val="en-GB"/>
        </w:rPr>
        <w:t>nim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en-GB"/>
        </w:rPr>
        <w:t>stranama</w:t>
      </w:r>
      <w:r w:rsidR="00A75117" w:rsidRPr="00A75117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en-GB"/>
        </w:rPr>
        <w:t>tablete</w:t>
      </w:r>
      <w:r w:rsidRPr="00746030">
        <w:rPr>
          <w:sz w:val="22"/>
          <w:szCs w:val="22"/>
          <w:lang w:val="sr-Latn-CS"/>
        </w:rPr>
        <w:t xml:space="preserve">; </w:t>
      </w:r>
      <w:r w:rsidRPr="00746030">
        <w:rPr>
          <w:sz w:val="22"/>
          <w:szCs w:val="22"/>
          <w:lang w:val="en-GB"/>
        </w:rPr>
        <w:t>sa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en-GB"/>
        </w:rPr>
        <w:t>jedne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en-GB"/>
        </w:rPr>
        <w:t>strane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en-GB"/>
        </w:rPr>
        <w:t>podeone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en-GB"/>
        </w:rPr>
        <w:t>linije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en-GB"/>
        </w:rPr>
        <w:t>je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en-GB"/>
        </w:rPr>
        <w:t>utisnuto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rFonts w:ascii="Arial" w:hAnsi="Arial" w:cs="Arial"/>
          <w:sz w:val="22"/>
          <w:szCs w:val="22"/>
          <w:lang w:val="sr-Latn-CS"/>
        </w:rPr>
        <w:t>"</w:t>
      </w:r>
      <w:r w:rsidRPr="00746030">
        <w:rPr>
          <w:sz w:val="22"/>
          <w:szCs w:val="22"/>
          <w:lang w:val="en-GB"/>
        </w:rPr>
        <w:t>R</w:t>
      </w:r>
      <w:r w:rsidRPr="00746030">
        <w:rPr>
          <w:rFonts w:ascii="Arial" w:hAnsi="Arial" w:cs="Arial"/>
          <w:sz w:val="22"/>
          <w:szCs w:val="22"/>
          <w:lang w:val="sr-Latn-CS"/>
        </w:rPr>
        <w:t>"</w:t>
      </w:r>
      <w:r w:rsidRPr="00746030">
        <w:rPr>
          <w:sz w:val="22"/>
          <w:szCs w:val="22"/>
          <w:lang w:val="sr-Latn-CS"/>
        </w:rPr>
        <w:t xml:space="preserve">, </w:t>
      </w:r>
      <w:r w:rsidRPr="00746030">
        <w:rPr>
          <w:sz w:val="22"/>
          <w:szCs w:val="22"/>
          <w:lang w:val="en-GB"/>
        </w:rPr>
        <w:t>a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en-GB"/>
        </w:rPr>
        <w:t>sa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en-GB"/>
        </w:rPr>
        <w:t>druge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en-GB"/>
        </w:rPr>
        <w:t>strane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rFonts w:ascii="Arial" w:hAnsi="Arial" w:cs="Arial"/>
          <w:sz w:val="22"/>
          <w:szCs w:val="22"/>
          <w:lang w:val="sr-Latn-CS"/>
        </w:rPr>
        <w:t>"</w:t>
      </w:r>
      <w:r w:rsidRPr="00746030">
        <w:rPr>
          <w:sz w:val="22"/>
          <w:szCs w:val="22"/>
          <w:lang w:val="sr-Latn-CS"/>
        </w:rPr>
        <w:t>2</w:t>
      </w:r>
      <w:r w:rsidRPr="00746030">
        <w:rPr>
          <w:rFonts w:ascii="Arial" w:hAnsi="Arial" w:cs="Arial"/>
          <w:sz w:val="22"/>
          <w:szCs w:val="22"/>
          <w:lang w:val="sr-Latn-CS"/>
        </w:rPr>
        <w:t>"</w:t>
      </w:r>
      <w:r w:rsidRPr="00746030">
        <w:rPr>
          <w:sz w:val="22"/>
          <w:szCs w:val="22"/>
          <w:lang w:val="sr-Latn-CS"/>
        </w:rPr>
        <w:t xml:space="preserve">. </w:t>
      </w:r>
      <w:r w:rsidRPr="00746030">
        <w:rPr>
          <w:sz w:val="22"/>
          <w:szCs w:val="22"/>
          <w:lang w:val="es-ES"/>
        </w:rPr>
        <w:t>Dimenzije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es-ES"/>
        </w:rPr>
        <w:t>tablete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es-ES"/>
        </w:rPr>
        <w:t>su</w:t>
      </w:r>
      <w:r w:rsidRPr="00746030">
        <w:rPr>
          <w:sz w:val="22"/>
          <w:szCs w:val="22"/>
          <w:lang w:val="sr-Latn-CS"/>
        </w:rPr>
        <w:t xml:space="preserve"> 10,0 </w:t>
      </w:r>
      <w:r w:rsidRPr="00746030">
        <w:rPr>
          <w:sz w:val="22"/>
          <w:szCs w:val="22"/>
          <w:lang w:val="es-ES"/>
        </w:rPr>
        <w:t>x</w:t>
      </w:r>
      <w:r w:rsidRPr="00746030">
        <w:rPr>
          <w:sz w:val="22"/>
          <w:szCs w:val="22"/>
          <w:lang w:val="sr-Latn-CS"/>
        </w:rPr>
        <w:t xml:space="preserve"> 5,0 </w:t>
      </w:r>
      <w:r w:rsidRPr="00746030">
        <w:rPr>
          <w:sz w:val="22"/>
          <w:szCs w:val="22"/>
          <w:lang w:val="es-ES"/>
        </w:rPr>
        <w:t>mm</w:t>
      </w:r>
      <w:r w:rsidRPr="00746030">
        <w:rPr>
          <w:sz w:val="22"/>
          <w:szCs w:val="22"/>
          <w:lang w:val="sr-Latn-CS"/>
        </w:rPr>
        <w:t>.</w:t>
      </w:r>
      <w:r w:rsidR="002500DE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sr-Latn-CS"/>
        </w:rPr>
        <w:t>Tableta se može pod</w:t>
      </w:r>
      <w:r w:rsidR="00136F13">
        <w:rPr>
          <w:sz w:val="22"/>
          <w:szCs w:val="22"/>
          <w:lang w:val="sr-Latn-CS"/>
        </w:rPr>
        <w:t>ij</w:t>
      </w:r>
      <w:r w:rsidRPr="00746030">
        <w:rPr>
          <w:sz w:val="22"/>
          <w:szCs w:val="22"/>
          <w:lang w:val="sr-Latn-CS"/>
        </w:rPr>
        <w:t>eliti na jednake doze.</w:t>
      </w:r>
    </w:p>
    <w:p w14:paraId="322ABEE9" w14:textId="77777777" w:rsidR="00746030" w:rsidRPr="00746030" w:rsidRDefault="00746030" w:rsidP="003457B5">
      <w:pPr>
        <w:jc w:val="both"/>
        <w:rPr>
          <w:i/>
          <w:sz w:val="22"/>
          <w:szCs w:val="22"/>
          <w:lang w:val="sl-SI"/>
        </w:rPr>
      </w:pPr>
    </w:p>
    <w:p w14:paraId="2CEAC278" w14:textId="77777777" w:rsidR="00746030" w:rsidRPr="00746030" w:rsidRDefault="00746030" w:rsidP="003457B5">
      <w:pPr>
        <w:jc w:val="both"/>
        <w:rPr>
          <w:i/>
          <w:sz w:val="22"/>
          <w:szCs w:val="22"/>
          <w:lang w:val="pl-PL"/>
        </w:rPr>
      </w:pPr>
      <w:r w:rsidRPr="003457B5">
        <w:rPr>
          <w:i/>
          <w:sz w:val="22"/>
          <w:szCs w:val="22"/>
          <w:u w:val="single"/>
          <w:lang w:val="sl-SI"/>
        </w:rPr>
        <w:t>Prilinda,</w:t>
      </w:r>
      <w:r w:rsidRPr="003457B5">
        <w:rPr>
          <w:i/>
          <w:sz w:val="22"/>
          <w:szCs w:val="22"/>
          <w:u w:val="single"/>
          <w:lang w:val="pl-PL"/>
        </w:rPr>
        <w:t xml:space="preserve"> 5 mg, tablete</w:t>
      </w:r>
      <w:r w:rsidRPr="00746030">
        <w:rPr>
          <w:i/>
          <w:sz w:val="22"/>
          <w:szCs w:val="22"/>
          <w:lang w:val="pl-PL"/>
        </w:rPr>
        <w:t>:</w:t>
      </w:r>
    </w:p>
    <w:p w14:paraId="4533368E" w14:textId="77777777" w:rsidR="00746030" w:rsidRPr="00746030" w:rsidRDefault="00746030" w:rsidP="003457B5">
      <w:pPr>
        <w:jc w:val="both"/>
        <w:rPr>
          <w:sz w:val="22"/>
          <w:szCs w:val="22"/>
          <w:lang w:val="sr-Latn-CS"/>
        </w:rPr>
      </w:pPr>
    </w:p>
    <w:p w14:paraId="78428A53" w14:textId="7640B04A" w:rsidR="00746030" w:rsidRPr="00746030" w:rsidRDefault="00746030" w:rsidP="003457B5">
      <w:pPr>
        <w:jc w:val="both"/>
        <w:rPr>
          <w:sz w:val="22"/>
          <w:szCs w:val="22"/>
          <w:lang w:val="pl-PL"/>
        </w:rPr>
      </w:pPr>
      <w:r w:rsidRPr="00746030">
        <w:rPr>
          <w:sz w:val="22"/>
          <w:szCs w:val="22"/>
          <w:lang w:val="sl-SI"/>
        </w:rPr>
        <w:t>Ovalna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sl-SI"/>
        </w:rPr>
        <w:t>tableta</w:t>
      </w:r>
      <w:r w:rsidRPr="00746030">
        <w:rPr>
          <w:sz w:val="22"/>
          <w:szCs w:val="22"/>
          <w:lang w:val="sr-Latn-CS"/>
        </w:rPr>
        <w:t xml:space="preserve">, </w:t>
      </w:r>
      <w:r w:rsidRPr="00746030">
        <w:rPr>
          <w:sz w:val="22"/>
          <w:szCs w:val="22"/>
          <w:lang w:val="sl-SI"/>
        </w:rPr>
        <w:t>ravna</w:t>
      </w:r>
      <w:r w:rsidRPr="00746030">
        <w:rPr>
          <w:sz w:val="22"/>
          <w:szCs w:val="22"/>
          <w:lang w:val="sr-Latn-CS"/>
        </w:rPr>
        <w:t xml:space="preserve">, </w:t>
      </w:r>
      <w:r w:rsidRPr="00746030">
        <w:rPr>
          <w:sz w:val="22"/>
          <w:szCs w:val="22"/>
          <w:lang w:val="sl-SI"/>
        </w:rPr>
        <w:t>sv</w:t>
      </w:r>
      <w:r w:rsidR="00136F13">
        <w:rPr>
          <w:sz w:val="22"/>
          <w:szCs w:val="22"/>
          <w:lang w:val="sl-SI"/>
        </w:rPr>
        <w:t>ij</w:t>
      </w:r>
      <w:r w:rsidRPr="00746030">
        <w:rPr>
          <w:sz w:val="22"/>
          <w:szCs w:val="22"/>
          <w:lang w:val="sl-SI"/>
        </w:rPr>
        <w:t>etloru</w:t>
      </w:r>
      <w:r w:rsidRPr="00746030">
        <w:rPr>
          <w:sz w:val="22"/>
          <w:szCs w:val="22"/>
          <w:lang w:val="sr-Latn-CS"/>
        </w:rPr>
        <w:t>ž</w:t>
      </w:r>
      <w:r w:rsidRPr="00746030">
        <w:rPr>
          <w:sz w:val="22"/>
          <w:szCs w:val="22"/>
          <w:lang w:val="sl-SI"/>
        </w:rPr>
        <w:t>i</w:t>
      </w:r>
      <w:r w:rsidRPr="00746030">
        <w:rPr>
          <w:sz w:val="22"/>
          <w:szCs w:val="22"/>
          <w:lang w:val="sr-Latn-CS"/>
        </w:rPr>
        <w:t>č</w:t>
      </w:r>
      <w:r w:rsidRPr="00746030">
        <w:rPr>
          <w:sz w:val="22"/>
          <w:szCs w:val="22"/>
          <w:lang w:val="sl-SI"/>
        </w:rPr>
        <w:t>aste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sl-SI"/>
        </w:rPr>
        <w:t>boje</w:t>
      </w:r>
      <w:r w:rsidRPr="00746030">
        <w:rPr>
          <w:sz w:val="22"/>
          <w:szCs w:val="22"/>
          <w:lang w:val="sr-Latn-CS"/>
        </w:rPr>
        <w:t xml:space="preserve">, </w:t>
      </w:r>
      <w:r w:rsidRPr="00746030">
        <w:rPr>
          <w:sz w:val="22"/>
          <w:szCs w:val="22"/>
          <w:lang w:val="sl-SI"/>
        </w:rPr>
        <w:t>sa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sl-SI"/>
        </w:rPr>
        <w:t>podeonom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sl-SI"/>
        </w:rPr>
        <w:t>linijom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sl-SI"/>
        </w:rPr>
        <w:t>na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sl-SI"/>
        </w:rPr>
        <w:t>jednoj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sl-SI"/>
        </w:rPr>
        <w:t>strani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sl-SI"/>
        </w:rPr>
        <w:t>tablete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sl-SI"/>
        </w:rPr>
        <w:t>i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sl-SI"/>
        </w:rPr>
        <w:t>na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sl-SI"/>
        </w:rPr>
        <w:t>bo</w:t>
      </w:r>
      <w:r w:rsidRPr="00746030">
        <w:rPr>
          <w:sz w:val="22"/>
          <w:szCs w:val="22"/>
          <w:lang w:val="sr-Latn-CS"/>
        </w:rPr>
        <w:t>č</w:t>
      </w:r>
      <w:r w:rsidRPr="00746030">
        <w:rPr>
          <w:sz w:val="22"/>
          <w:szCs w:val="22"/>
          <w:lang w:val="sl-SI"/>
        </w:rPr>
        <w:t>nim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sl-SI"/>
        </w:rPr>
        <w:t>stranama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sl-SI"/>
        </w:rPr>
        <w:t>tablete</w:t>
      </w:r>
      <w:r w:rsidRPr="00746030">
        <w:rPr>
          <w:sz w:val="22"/>
          <w:szCs w:val="22"/>
          <w:lang w:val="sr-Latn-CS"/>
        </w:rPr>
        <w:t xml:space="preserve">; </w:t>
      </w:r>
      <w:r w:rsidRPr="00746030">
        <w:rPr>
          <w:sz w:val="22"/>
          <w:szCs w:val="22"/>
          <w:lang w:val="sl-SI"/>
        </w:rPr>
        <w:t>sa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sl-SI"/>
        </w:rPr>
        <w:t>jedne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sl-SI"/>
        </w:rPr>
        <w:t>strane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sl-SI"/>
        </w:rPr>
        <w:t>podeone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sl-SI"/>
        </w:rPr>
        <w:t>linije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sl-SI"/>
        </w:rPr>
        <w:t>je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sl-SI"/>
        </w:rPr>
        <w:t>utisnuto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rFonts w:ascii="Arial" w:hAnsi="Arial" w:cs="Arial"/>
          <w:sz w:val="22"/>
          <w:szCs w:val="22"/>
          <w:lang w:val="sr-Latn-CS"/>
        </w:rPr>
        <w:t>"</w:t>
      </w:r>
      <w:r w:rsidRPr="00746030">
        <w:rPr>
          <w:sz w:val="22"/>
          <w:szCs w:val="22"/>
          <w:lang w:val="sl-SI"/>
        </w:rPr>
        <w:t>R</w:t>
      </w:r>
      <w:r w:rsidRPr="00746030">
        <w:rPr>
          <w:rFonts w:ascii="Arial" w:hAnsi="Arial" w:cs="Arial"/>
          <w:sz w:val="22"/>
          <w:szCs w:val="22"/>
          <w:lang w:val="sr-Latn-CS"/>
        </w:rPr>
        <w:t>"</w:t>
      </w:r>
      <w:r w:rsidRPr="00746030">
        <w:rPr>
          <w:sz w:val="22"/>
          <w:szCs w:val="22"/>
          <w:lang w:val="sr-Latn-CS"/>
        </w:rPr>
        <w:t xml:space="preserve">, </w:t>
      </w:r>
      <w:r w:rsidRPr="00746030">
        <w:rPr>
          <w:sz w:val="22"/>
          <w:szCs w:val="22"/>
          <w:lang w:val="sl-SI"/>
        </w:rPr>
        <w:t>a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sl-SI"/>
        </w:rPr>
        <w:t>sa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sl-SI"/>
        </w:rPr>
        <w:t>druge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sl-SI"/>
        </w:rPr>
        <w:t>strane</w:t>
      </w:r>
      <w:r w:rsidRPr="00746030">
        <w:rPr>
          <w:sz w:val="22"/>
          <w:szCs w:val="22"/>
          <w:lang w:val="sr-Latn-CS"/>
        </w:rPr>
        <w:t xml:space="preserve"> </w:t>
      </w:r>
      <w:r w:rsidRPr="00746030">
        <w:rPr>
          <w:rFonts w:ascii="Arial" w:hAnsi="Arial" w:cs="Arial"/>
          <w:sz w:val="22"/>
          <w:szCs w:val="22"/>
          <w:lang w:val="sr-Latn-CS"/>
        </w:rPr>
        <w:t>"</w:t>
      </w:r>
      <w:r w:rsidRPr="00746030">
        <w:rPr>
          <w:sz w:val="22"/>
          <w:szCs w:val="22"/>
          <w:lang w:val="sr-Latn-CS"/>
        </w:rPr>
        <w:t>3</w:t>
      </w:r>
      <w:r w:rsidRPr="00746030">
        <w:rPr>
          <w:rFonts w:ascii="Arial" w:hAnsi="Arial" w:cs="Arial"/>
          <w:sz w:val="22"/>
          <w:szCs w:val="22"/>
          <w:lang w:val="sr-Latn-CS"/>
        </w:rPr>
        <w:t>"</w:t>
      </w:r>
      <w:r w:rsidRPr="00746030">
        <w:rPr>
          <w:sz w:val="22"/>
          <w:szCs w:val="22"/>
          <w:lang w:val="sr-Latn-CS"/>
        </w:rPr>
        <w:t xml:space="preserve">. </w:t>
      </w:r>
      <w:r w:rsidRPr="003457B5">
        <w:rPr>
          <w:sz w:val="22"/>
          <w:szCs w:val="22"/>
          <w:lang w:val="es-ES"/>
        </w:rPr>
        <w:t>Dimenzije</w:t>
      </w:r>
      <w:r w:rsidRPr="00746030">
        <w:rPr>
          <w:sz w:val="22"/>
          <w:szCs w:val="22"/>
          <w:lang w:val="sr-Latn-CS"/>
        </w:rPr>
        <w:t xml:space="preserve"> </w:t>
      </w:r>
      <w:r w:rsidRPr="003457B5">
        <w:rPr>
          <w:sz w:val="22"/>
          <w:szCs w:val="22"/>
          <w:lang w:val="es-ES"/>
        </w:rPr>
        <w:t>tableta</w:t>
      </w:r>
      <w:r w:rsidRPr="00746030">
        <w:rPr>
          <w:sz w:val="22"/>
          <w:szCs w:val="22"/>
          <w:lang w:val="sr-Latn-CS"/>
        </w:rPr>
        <w:t xml:space="preserve"> </w:t>
      </w:r>
      <w:r w:rsidRPr="003457B5">
        <w:rPr>
          <w:sz w:val="22"/>
          <w:szCs w:val="22"/>
          <w:lang w:val="es-ES"/>
        </w:rPr>
        <w:t>su</w:t>
      </w:r>
      <w:r w:rsidRPr="00746030">
        <w:rPr>
          <w:sz w:val="22"/>
          <w:szCs w:val="22"/>
          <w:lang w:val="sr-Latn-CS"/>
        </w:rPr>
        <w:t xml:space="preserve"> 8,8 </w:t>
      </w:r>
      <w:r w:rsidRPr="003457B5">
        <w:rPr>
          <w:sz w:val="22"/>
          <w:szCs w:val="22"/>
          <w:lang w:val="es-ES"/>
        </w:rPr>
        <w:t>x</w:t>
      </w:r>
      <w:r w:rsidRPr="00746030">
        <w:rPr>
          <w:sz w:val="22"/>
          <w:szCs w:val="22"/>
          <w:lang w:val="sr-Latn-CS"/>
        </w:rPr>
        <w:t xml:space="preserve"> 4,4 </w:t>
      </w:r>
      <w:r w:rsidRPr="003457B5">
        <w:rPr>
          <w:sz w:val="22"/>
          <w:szCs w:val="22"/>
          <w:lang w:val="es-ES"/>
        </w:rPr>
        <w:t>mm</w:t>
      </w:r>
      <w:r w:rsidRPr="00746030">
        <w:rPr>
          <w:sz w:val="22"/>
          <w:szCs w:val="22"/>
          <w:lang w:val="sr-Latn-CS"/>
        </w:rPr>
        <w:t>.</w:t>
      </w:r>
      <w:r w:rsidR="002500DE">
        <w:rPr>
          <w:sz w:val="22"/>
          <w:szCs w:val="22"/>
          <w:lang w:val="sr-Latn-CS"/>
        </w:rPr>
        <w:t xml:space="preserve"> </w:t>
      </w:r>
      <w:r w:rsidRPr="00746030">
        <w:rPr>
          <w:sz w:val="22"/>
          <w:szCs w:val="22"/>
          <w:lang w:val="sr-Latn-CS"/>
        </w:rPr>
        <w:t>Tableta se može pod</w:t>
      </w:r>
      <w:r w:rsidR="00136F13">
        <w:rPr>
          <w:sz w:val="22"/>
          <w:szCs w:val="22"/>
          <w:lang w:val="sr-Latn-CS"/>
        </w:rPr>
        <w:t>ij</w:t>
      </w:r>
      <w:r w:rsidRPr="00746030">
        <w:rPr>
          <w:sz w:val="22"/>
          <w:szCs w:val="22"/>
          <w:lang w:val="sr-Latn-CS"/>
        </w:rPr>
        <w:t>eliti na jednake doze.</w:t>
      </w:r>
    </w:p>
    <w:p w14:paraId="2BC17D74" w14:textId="77777777" w:rsidR="00746030" w:rsidRPr="00746030" w:rsidRDefault="00746030" w:rsidP="003457B5">
      <w:pPr>
        <w:jc w:val="both"/>
        <w:rPr>
          <w:i/>
          <w:sz w:val="22"/>
          <w:szCs w:val="22"/>
          <w:lang w:val="sl-SI"/>
        </w:rPr>
      </w:pPr>
    </w:p>
    <w:p w14:paraId="38F682D0" w14:textId="77777777" w:rsidR="00746030" w:rsidRPr="00746030" w:rsidRDefault="00746030" w:rsidP="003457B5">
      <w:pPr>
        <w:jc w:val="both"/>
        <w:rPr>
          <w:i/>
          <w:sz w:val="22"/>
          <w:szCs w:val="22"/>
          <w:lang w:val="pl-PL"/>
        </w:rPr>
      </w:pPr>
      <w:r w:rsidRPr="003457B5">
        <w:rPr>
          <w:i/>
          <w:sz w:val="22"/>
          <w:szCs w:val="22"/>
          <w:u w:val="single"/>
          <w:lang w:val="sl-SI"/>
        </w:rPr>
        <w:t>Prilinda</w:t>
      </w:r>
      <w:r w:rsidRPr="003457B5">
        <w:rPr>
          <w:i/>
          <w:sz w:val="22"/>
          <w:szCs w:val="22"/>
          <w:u w:val="single"/>
          <w:lang w:val="pl-PL"/>
        </w:rPr>
        <w:t>, 10 mg, tablete</w:t>
      </w:r>
      <w:r w:rsidRPr="00746030">
        <w:rPr>
          <w:i/>
          <w:sz w:val="22"/>
          <w:szCs w:val="22"/>
          <w:lang w:val="pl-PL"/>
        </w:rPr>
        <w:t>:</w:t>
      </w:r>
    </w:p>
    <w:p w14:paraId="64053DD3" w14:textId="77777777" w:rsidR="00746030" w:rsidRPr="00746030" w:rsidRDefault="00746030" w:rsidP="003457B5">
      <w:pPr>
        <w:jc w:val="both"/>
        <w:rPr>
          <w:sz w:val="22"/>
          <w:szCs w:val="22"/>
          <w:lang w:val="pl-PL"/>
        </w:rPr>
      </w:pPr>
    </w:p>
    <w:p w14:paraId="34725C5B" w14:textId="2AB7F913" w:rsidR="00746030" w:rsidRPr="00847A8A" w:rsidRDefault="00746030" w:rsidP="00A75117">
      <w:pPr>
        <w:jc w:val="both"/>
        <w:rPr>
          <w:sz w:val="22"/>
          <w:szCs w:val="22"/>
          <w:lang w:val="pl-PL"/>
        </w:rPr>
      </w:pPr>
      <w:r w:rsidRPr="00847A8A">
        <w:rPr>
          <w:sz w:val="22"/>
          <w:szCs w:val="22"/>
          <w:lang w:val="pl-PL"/>
        </w:rPr>
        <w:t>Ovalna</w:t>
      </w:r>
      <w:r w:rsidRPr="00847A8A">
        <w:rPr>
          <w:sz w:val="22"/>
          <w:szCs w:val="22"/>
          <w:lang w:val="sr-Latn-CS"/>
        </w:rPr>
        <w:t xml:space="preserve"> </w:t>
      </w:r>
      <w:r w:rsidRPr="00847A8A">
        <w:rPr>
          <w:sz w:val="22"/>
          <w:szCs w:val="22"/>
          <w:lang w:val="pl-PL"/>
        </w:rPr>
        <w:t>tableta</w:t>
      </w:r>
      <w:r w:rsidRPr="00847A8A">
        <w:rPr>
          <w:sz w:val="22"/>
          <w:szCs w:val="22"/>
          <w:lang w:val="sr-Latn-CS"/>
        </w:rPr>
        <w:t xml:space="preserve">, </w:t>
      </w:r>
      <w:r w:rsidRPr="00847A8A">
        <w:rPr>
          <w:sz w:val="22"/>
          <w:szCs w:val="22"/>
          <w:lang w:val="pl-PL"/>
        </w:rPr>
        <w:t>ravna</w:t>
      </w:r>
      <w:r w:rsidRPr="00847A8A">
        <w:rPr>
          <w:sz w:val="22"/>
          <w:szCs w:val="22"/>
          <w:lang w:val="sr-Latn-CS"/>
        </w:rPr>
        <w:t xml:space="preserve">, </w:t>
      </w:r>
      <w:r w:rsidRPr="00847A8A">
        <w:rPr>
          <w:sz w:val="22"/>
          <w:szCs w:val="22"/>
          <w:lang w:val="pl-PL"/>
        </w:rPr>
        <w:t>b</w:t>
      </w:r>
      <w:r w:rsidR="00931078" w:rsidRPr="00847A8A">
        <w:rPr>
          <w:sz w:val="22"/>
          <w:szCs w:val="22"/>
          <w:lang w:val="pl-PL"/>
        </w:rPr>
        <w:t>ij</w:t>
      </w:r>
      <w:r w:rsidRPr="00847A8A">
        <w:rPr>
          <w:sz w:val="22"/>
          <w:szCs w:val="22"/>
          <w:lang w:val="pl-PL"/>
        </w:rPr>
        <w:t>ele</w:t>
      </w:r>
      <w:r w:rsidRPr="00847A8A">
        <w:rPr>
          <w:sz w:val="22"/>
          <w:szCs w:val="22"/>
          <w:lang w:val="sr-Latn-CS"/>
        </w:rPr>
        <w:t xml:space="preserve"> </w:t>
      </w:r>
      <w:r w:rsidRPr="00847A8A">
        <w:rPr>
          <w:sz w:val="22"/>
          <w:szCs w:val="22"/>
          <w:lang w:val="pl-PL"/>
        </w:rPr>
        <w:t>do</w:t>
      </w:r>
      <w:r w:rsidRPr="00847A8A">
        <w:rPr>
          <w:sz w:val="22"/>
          <w:szCs w:val="22"/>
          <w:lang w:val="sr-Latn-CS"/>
        </w:rPr>
        <w:t xml:space="preserve"> </w:t>
      </w:r>
      <w:r w:rsidRPr="00847A8A">
        <w:rPr>
          <w:sz w:val="22"/>
          <w:szCs w:val="22"/>
          <w:lang w:val="pl-PL"/>
        </w:rPr>
        <w:t>skoro</w:t>
      </w:r>
      <w:r w:rsidRPr="00847A8A">
        <w:rPr>
          <w:sz w:val="22"/>
          <w:szCs w:val="22"/>
          <w:lang w:val="sr-Latn-CS"/>
        </w:rPr>
        <w:t xml:space="preserve"> </w:t>
      </w:r>
      <w:r w:rsidRPr="00847A8A">
        <w:rPr>
          <w:sz w:val="22"/>
          <w:szCs w:val="22"/>
          <w:lang w:val="pl-PL"/>
        </w:rPr>
        <w:t>b</w:t>
      </w:r>
      <w:r w:rsidR="00931078" w:rsidRPr="00847A8A">
        <w:rPr>
          <w:sz w:val="22"/>
          <w:szCs w:val="22"/>
          <w:lang w:val="pl-PL"/>
        </w:rPr>
        <w:t>ij</w:t>
      </w:r>
      <w:r w:rsidRPr="00847A8A">
        <w:rPr>
          <w:sz w:val="22"/>
          <w:szCs w:val="22"/>
          <w:lang w:val="pl-PL"/>
        </w:rPr>
        <w:t>ele</w:t>
      </w:r>
      <w:r w:rsidRPr="00847A8A">
        <w:rPr>
          <w:sz w:val="22"/>
          <w:szCs w:val="22"/>
          <w:lang w:val="sr-Latn-CS"/>
        </w:rPr>
        <w:t xml:space="preserve"> </w:t>
      </w:r>
      <w:r w:rsidRPr="00847A8A">
        <w:rPr>
          <w:sz w:val="22"/>
          <w:szCs w:val="22"/>
          <w:lang w:val="pl-PL"/>
        </w:rPr>
        <w:t>boje</w:t>
      </w:r>
      <w:r w:rsidRPr="00847A8A">
        <w:rPr>
          <w:sz w:val="22"/>
          <w:szCs w:val="22"/>
          <w:lang w:val="sr-Latn-CS"/>
        </w:rPr>
        <w:t xml:space="preserve">, </w:t>
      </w:r>
      <w:r w:rsidRPr="00847A8A">
        <w:rPr>
          <w:sz w:val="22"/>
          <w:szCs w:val="22"/>
          <w:lang w:val="pl-PL"/>
        </w:rPr>
        <w:t>sa</w:t>
      </w:r>
      <w:r w:rsidRPr="00847A8A">
        <w:rPr>
          <w:sz w:val="22"/>
          <w:szCs w:val="22"/>
          <w:lang w:val="sr-Latn-CS"/>
        </w:rPr>
        <w:t xml:space="preserve"> </w:t>
      </w:r>
      <w:r w:rsidRPr="00847A8A">
        <w:rPr>
          <w:sz w:val="22"/>
          <w:szCs w:val="22"/>
          <w:lang w:val="pl-PL"/>
        </w:rPr>
        <w:t>podeonom</w:t>
      </w:r>
      <w:r w:rsidRPr="00847A8A">
        <w:rPr>
          <w:sz w:val="22"/>
          <w:szCs w:val="22"/>
          <w:lang w:val="sr-Latn-CS"/>
        </w:rPr>
        <w:t xml:space="preserve"> </w:t>
      </w:r>
      <w:r w:rsidRPr="00847A8A">
        <w:rPr>
          <w:sz w:val="22"/>
          <w:szCs w:val="22"/>
          <w:lang w:val="pl-PL"/>
        </w:rPr>
        <w:t>linijom</w:t>
      </w:r>
      <w:r w:rsidRPr="00847A8A">
        <w:rPr>
          <w:sz w:val="22"/>
          <w:szCs w:val="22"/>
          <w:lang w:val="sr-Latn-CS"/>
        </w:rPr>
        <w:t xml:space="preserve"> </w:t>
      </w:r>
      <w:r w:rsidRPr="00847A8A">
        <w:rPr>
          <w:sz w:val="22"/>
          <w:szCs w:val="22"/>
          <w:lang w:val="pl-PL"/>
        </w:rPr>
        <w:t>na</w:t>
      </w:r>
      <w:r w:rsidRPr="00847A8A">
        <w:rPr>
          <w:sz w:val="22"/>
          <w:szCs w:val="22"/>
          <w:lang w:val="sr-Latn-CS"/>
        </w:rPr>
        <w:t xml:space="preserve"> </w:t>
      </w:r>
      <w:r w:rsidRPr="00847A8A">
        <w:rPr>
          <w:sz w:val="22"/>
          <w:szCs w:val="22"/>
          <w:lang w:val="pl-PL"/>
        </w:rPr>
        <w:t>jednoj</w:t>
      </w:r>
      <w:r w:rsidRPr="00847A8A">
        <w:rPr>
          <w:sz w:val="22"/>
          <w:szCs w:val="22"/>
          <w:lang w:val="sr-Latn-CS"/>
        </w:rPr>
        <w:t xml:space="preserve"> </w:t>
      </w:r>
      <w:r w:rsidRPr="00847A8A">
        <w:rPr>
          <w:sz w:val="22"/>
          <w:szCs w:val="22"/>
          <w:lang w:val="pl-PL"/>
        </w:rPr>
        <w:t>strani</w:t>
      </w:r>
      <w:r w:rsidRPr="00847A8A">
        <w:rPr>
          <w:sz w:val="22"/>
          <w:szCs w:val="22"/>
          <w:lang w:val="sr-Latn-CS"/>
        </w:rPr>
        <w:t xml:space="preserve"> </w:t>
      </w:r>
      <w:r w:rsidRPr="00847A8A">
        <w:rPr>
          <w:sz w:val="22"/>
          <w:szCs w:val="22"/>
          <w:lang w:val="pl-PL"/>
        </w:rPr>
        <w:t>tablete</w:t>
      </w:r>
      <w:r w:rsidRPr="00847A8A">
        <w:rPr>
          <w:sz w:val="22"/>
          <w:szCs w:val="22"/>
          <w:lang w:val="sr-Latn-CS"/>
        </w:rPr>
        <w:t xml:space="preserve"> </w:t>
      </w:r>
      <w:r w:rsidRPr="00847A8A">
        <w:rPr>
          <w:sz w:val="22"/>
          <w:szCs w:val="22"/>
          <w:lang w:val="pl-PL"/>
        </w:rPr>
        <w:t>kao</w:t>
      </w:r>
      <w:r w:rsidRPr="00847A8A">
        <w:rPr>
          <w:sz w:val="22"/>
          <w:szCs w:val="22"/>
          <w:lang w:val="sr-Latn-CS"/>
        </w:rPr>
        <w:t xml:space="preserve"> </w:t>
      </w:r>
      <w:r w:rsidRPr="00847A8A">
        <w:rPr>
          <w:sz w:val="22"/>
          <w:szCs w:val="22"/>
          <w:lang w:val="pl-PL"/>
        </w:rPr>
        <w:t>i</w:t>
      </w:r>
      <w:r w:rsidRPr="00847A8A">
        <w:rPr>
          <w:sz w:val="22"/>
          <w:szCs w:val="22"/>
          <w:lang w:val="sr-Latn-CS"/>
        </w:rPr>
        <w:t xml:space="preserve"> </w:t>
      </w:r>
      <w:r w:rsidRPr="00847A8A">
        <w:rPr>
          <w:sz w:val="22"/>
          <w:szCs w:val="22"/>
          <w:lang w:val="pl-PL"/>
        </w:rPr>
        <w:t>na</w:t>
      </w:r>
      <w:r w:rsidRPr="00847A8A">
        <w:rPr>
          <w:sz w:val="22"/>
          <w:szCs w:val="22"/>
          <w:lang w:val="sr-Latn-CS"/>
        </w:rPr>
        <w:t xml:space="preserve"> </w:t>
      </w:r>
      <w:r w:rsidRPr="00847A8A">
        <w:rPr>
          <w:sz w:val="22"/>
          <w:szCs w:val="22"/>
          <w:lang w:val="pl-PL"/>
        </w:rPr>
        <w:t>bo</w:t>
      </w:r>
      <w:r w:rsidRPr="00847A8A">
        <w:rPr>
          <w:sz w:val="22"/>
          <w:szCs w:val="22"/>
          <w:lang w:val="sr-Latn-CS"/>
        </w:rPr>
        <w:t>č</w:t>
      </w:r>
      <w:r w:rsidRPr="00847A8A">
        <w:rPr>
          <w:sz w:val="22"/>
          <w:szCs w:val="22"/>
          <w:lang w:val="pl-PL"/>
        </w:rPr>
        <w:t>nim</w:t>
      </w:r>
      <w:r w:rsidR="00A75117" w:rsidRPr="00847A8A">
        <w:rPr>
          <w:sz w:val="22"/>
          <w:szCs w:val="22"/>
          <w:lang w:val="pl-PL"/>
        </w:rPr>
        <w:t xml:space="preserve"> </w:t>
      </w:r>
      <w:r w:rsidRPr="00847A8A">
        <w:rPr>
          <w:sz w:val="22"/>
          <w:szCs w:val="22"/>
          <w:lang w:val="pl-PL"/>
        </w:rPr>
        <w:t xml:space="preserve">stranama tablete; sa jedne strane podeone linije je utisnuto </w:t>
      </w:r>
      <w:r w:rsidRPr="003457B5">
        <w:rPr>
          <w:sz w:val="22"/>
          <w:szCs w:val="22"/>
          <w:lang w:val="pl-PL"/>
        </w:rPr>
        <w:t>"</w:t>
      </w:r>
      <w:r w:rsidRPr="00847A8A">
        <w:rPr>
          <w:sz w:val="22"/>
          <w:szCs w:val="22"/>
          <w:lang w:val="pl-PL"/>
        </w:rPr>
        <w:t>R</w:t>
      </w:r>
      <w:r w:rsidRPr="003457B5">
        <w:rPr>
          <w:sz w:val="22"/>
          <w:szCs w:val="22"/>
          <w:lang w:val="pl-PL"/>
        </w:rPr>
        <w:t>"</w:t>
      </w:r>
      <w:r w:rsidRPr="00847A8A">
        <w:rPr>
          <w:sz w:val="22"/>
          <w:szCs w:val="22"/>
          <w:lang w:val="pl-PL"/>
        </w:rPr>
        <w:t xml:space="preserve">, a sa druge strane </w:t>
      </w:r>
      <w:r w:rsidRPr="003457B5">
        <w:rPr>
          <w:sz w:val="22"/>
          <w:szCs w:val="22"/>
          <w:lang w:val="pl-PL"/>
        </w:rPr>
        <w:t>"</w:t>
      </w:r>
      <w:r w:rsidRPr="00847A8A">
        <w:rPr>
          <w:sz w:val="22"/>
          <w:szCs w:val="22"/>
          <w:lang w:val="pl-PL"/>
        </w:rPr>
        <w:t>4</w:t>
      </w:r>
      <w:r w:rsidRPr="003457B5">
        <w:rPr>
          <w:sz w:val="22"/>
          <w:szCs w:val="22"/>
          <w:lang w:val="pl-PL"/>
        </w:rPr>
        <w:t>"</w:t>
      </w:r>
      <w:r w:rsidRPr="00847A8A">
        <w:rPr>
          <w:sz w:val="22"/>
          <w:szCs w:val="22"/>
          <w:lang w:val="pl-PL"/>
        </w:rPr>
        <w:t>. Dimenzije tableta su 11,0 x 5,5 mm.</w:t>
      </w:r>
      <w:r w:rsidR="002500DE">
        <w:rPr>
          <w:sz w:val="22"/>
          <w:szCs w:val="22"/>
          <w:lang w:val="pl-PL"/>
        </w:rPr>
        <w:t xml:space="preserve"> </w:t>
      </w:r>
      <w:r w:rsidRPr="00847A8A">
        <w:rPr>
          <w:sz w:val="22"/>
          <w:szCs w:val="22"/>
          <w:lang w:val="pl-PL"/>
        </w:rPr>
        <w:t>Tableta se može pod</w:t>
      </w:r>
      <w:r w:rsidR="00136F13" w:rsidRPr="00847A8A">
        <w:rPr>
          <w:sz w:val="22"/>
          <w:szCs w:val="22"/>
          <w:lang w:val="pl-PL"/>
        </w:rPr>
        <w:t>ij</w:t>
      </w:r>
      <w:r w:rsidRPr="00847A8A">
        <w:rPr>
          <w:sz w:val="22"/>
          <w:szCs w:val="22"/>
          <w:lang w:val="pl-PL"/>
        </w:rPr>
        <w:t>eliti na jednake doze.</w:t>
      </w:r>
    </w:p>
    <w:p w14:paraId="763FC004" w14:textId="77777777" w:rsidR="00AA6863" w:rsidRPr="00786071" w:rsidRDefault="00AA6863">
      <w:pPr>
        <w:rPr>
          <w:bCs/>
          <w:sz w:val="22"/>
          <w:szCs w:val="22"/>
          <w:lang w:val="sr-Latn-CS"/>
        </w:rPr>
      </w:pPr>
    </w:p>
    <w:p w14:paraId="2E2B77EF" w14:textId="77777777" w:rsidR="00EC2532" w:rsidRPr="00786071" w:rsidRDefault="00EC2532">
      <w:pPr>
        <w:rPr>
          <w:bCs/>
          <w:sz w:val="22"/>
          <w:szCs w:val="22"/>
          <w:lang w:val="sr-Latn-CS"/>
        </w:rPr>
      </w:pPr>
    </w:p>
    <w:p w14:paraId="2E2B77F0" w14:textId="77777777" w:rsidR="00411B4B" w:rsidRPr="00A75117" w:rsidRDefault="00411B4B" w:rsidP="003457B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  <w:r w:rsidRPr="00A75117">
        <w:rPr>
          <w:b/>
          <w:bCs/>
          <w:sz w:val="22"/>
          <w:szCs w:val="22"/>
          <w:lang w:val="pl-PL"/>
        </w:rPr>
        <w:t xml:space="preserve">4. </w:t>
      </w:r>
      <w:r w:rsidR="00480FB1" w:rsidRPr="00A75117">
        <w:rPr>
          <w:b/>
          <w:bCs/>
          <w:sz w:val="22"/>
          <w:szCs w:val="22"/>
          <w:lang w:val="pl-PL"/>
        </w:rPr>
        <w:tab/>
      </w:r>
      <w:r w:rsidRPr="00A75117">
        <w:rPr>
          <w:b/>
          <w:bCs/>
          <w:sz w:val="22"/>
          <w:szCs w:val="22"/>
          <w:lang w:val="pl-PL"/>
        </w:rPr>
        <w:t>KLINIČKI PODACI</w:t>
      </w:r>
    </w:p>
    <w:p w14:paraId="2E2B77F1" w14:textId="77777777" w:rsidR="00CD6F02" w:rsidRPr="00A75117" w:rsidRDefault="00CD6F02" w:rsidP="003457B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l-PL"/>
        </w:rPr>
      </w:pPr>
    </w:p>
    <w:p w14:paraId="2E2B77F2" w14:textId="3D24D62B" w:rsidR="00411B4B" w:rsidRPr="00AB1FCF" w:rsidRDefault="00411B4B" w:rsidP="003457B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AB1FCF">
        <w:rPr>
          <w:b/>
          <w:bCs/>
          <w:sz w:val="22"/>
          <w:szCs w:val="22"/>
          <w:lang w:val="sr-Latn-CS"/>
        </w:rPr>
        <w:t xml:space="preserve">4.1. </w:t>
      </w:r>
      <w:r w:rsidR="00480FB1" w:rsidRPr="00AB1FCF">
        <w:rPr>
          <w:b/>
          <w:bCs/>
          <w:sz w:val="22"/>
          <w:szCs w:val="22"/>
          <w:lang w:val="sr-Latn-CS"/>
        </w:rPr>
        <w:tab/>
      </w:r>
      <w:r w:rsidRPr="00786071">
        <w:rPr>
          <w:b/>
          <w:bCs/>
          <w:sz w:val="22"/>
          <w:szCs w:val="22"/>
        </w:rPr>
        <w:t>Terapijske</w:t>
      </w:r>
      <w:r w:rsidRPr="00AB1FCF">
        <w:rPr>
          <w:b/>
          <w:bCs/>
          <w:sz w:val="22"/>
          <w:szCs w:val="22"/>
          <w:lang w:val="sr-Latn-CS"/>
        </w:rPr>
        <w:t xml:space="preserve"> </w:t>
      </w:r>
      <w:r w:rsidRPr="00786071">
        <w:rPr>
          <w:b/>
          <w:bCs/>
          <w:sz w:val="22"/>
          <w:szCs w:val="22"/>
        </w:rPr>
        <w:t>indikacije</w:t>
      </w:r>
    </w:p>
    <w:p w14:paraId="4938F7A0" w14:textId="2980A452" w:rsidR="001B0567" w:rsidRPr="00AB1FCF" w:rsidRDefault="001B0567" w:rsidP="003457B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</w:p>
    <w:p w14:paraId="2AEB4837" w14:textId="00AAA70A" w:rsidR="001B0567" w:rsidRPr="00AB1FCF" w:rsidRDefault="001B0567" w:rsidP="00AB1FCF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CS" w:eastAsia="zh-TW"/>
        </w:rPr>
      </w:pPr>
      <w:r w:rsidRPr="00CF032E">
        <w:rPr>
          <w:rFonts w:eastAsia="TimesNewRoman"/>
          <w:sz w:val="22"/>
          <w:szCs w:val="22"/>
          <w:lang w:eastAsia="zh-TW"/>
        </w:rPr>
        <w:lastRenderedPageBreak/>
        <w:t>Terapija</w:t>
      </w:r>
      <w:r w:rsidRPr="00AB1FCF">
        <w:rPr>
          <w:rFonts w:eastAsia="TimesNewRoman"/>
          <w:sz w:val="22"/>
          <w:szCs w:val="22"/>
          <w:lang w:val="sr-Latn-CS" w:eastAsia="zh-TW"/>
        </w:rPr>
        <w:t xml:space="preserve"> </w:t>
      </w:r>
      <w:r w:rsidRPr="00CF032E">
        <w:rPr>
          <w:rFonts w:eastAsia="TimesNewRoman"/>
          <w:sz w:val="22"/>
          <w:szCs w:val="22"/>
          <w:lang w:eastAsia="zh-TW"/>
        </w:rPr>
        <w:t>hipertenzije</w:t>
      </w:r>
    </w:p>
    <w:p w14:paraId="1F3E2B84" w14:textId="77777777" w:rsidR="001B0567" w:rsidRPr="00AB1FCF" w:rsidRDefault="001B0567" w:rsidP="003457B5">
      <w:pPr>
        <w:autoSpaceDE w:val="0"/>
        <w:autoSpaceDN w:val="0"/>
        <w:adjustRightInd w:val="0"/>
        <w:ind w:left="720"/>
        <w:jc w:val="both"/>
        <w:rPr>
          <w:rFonts w:eastAsia="TimesNewRoman"/>
          <w:sz w:val="22"/>
          <w:szCs w:val="22"/>
          <w:lang w:val="sr-Latn-CS" w:eastAsia="zh-TW"/>
        </w:rPr>
      </w:pPr>
    </w:p>
    <w:p w14:paraId="2F183002" w14:textId="4110A86B" w:rsidR="001B0567" w:rsidRPr="00CF032E" w:rsidRDefault="001B0567" w:rsidP="00AB1FCF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zh-TW"/>
        </w:rPr>
      </w:pPr>
      <w:r w:rsidRPr="00CF032E">
        <w:rPr>
          <w:rFonts w:eastAsia="TimesNewRoman"/>
          <w:sz w:val="22"/>
          <w:szCs w:val="22"/>
          <w:lang w:eastAsia="zh-TW"/>
        </w:rPr>
        <w:t>Kardiovaskularna prevencija: smanjenje kardiovaskularnog morbiditeta i mortaliteta kod pacijenata:</w:t>
      </w:r>
    </w:p>
    <w:p w14:paraId="4DF69A63" w14:textId="3719DF3F" w:rsidR="001B0567" w:rsidRPr="00CF032E" w:rsidRDefault="009F5507" w:rsidP="003C17A3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zh-TW"/>
        </w:rPr>
      </w:pPr>
      <w:r>
        <w:rPr>
          <w:rFonts w:eastAsia="TimesNewRoman"/>
          <w:sz w:val="22"/>
          <w:szCs w:val="22"/>
          <w:lang w:eastAsia="zh-TW"/>
        </w:rPr>
        <w:t>sa i</w:t>
      </w:r>
      <w:r w:rsidR="001B0567" w:rsidRPr="00CF032E">
        <w:rPr>
          <w:rFonts w:eastAsia="TimesNewRoman"/>
          <w:sz w:val="22"/>
          <w:szCs w:val="22"/>
          <w:lang w:eastAsia="zh-TW"/>
        </w:rPr>
        <w:t xml:space="preserve">zraženim aterotrombotskim kardiovaskularnim oboljenjem (koronarna bolest srca ili moždani udar ili periferna vaskularna bolest u anamnezi) ili </w:t>
      </w:r>
    </w:p>
    <w:p w14:paraId="088DA3C1" w14:textId="76964D93" w:rsidR="001B0567" w:rsidRPr="00CF032E" w:rsidRDefault="001B0567" w:rsidP="003C17A3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zh-TW"/>
        </w:rPr>
      </w:pPr>
      <w:r w:rsidRPr="00CF032E">
        <w:rPr>
          <w:rFonts w:eastAsia="TimesNewRoman"/>
          <w:sz w:val="22"/>
          <w:szCs w:val="22"/>
          <w:lang w:eastAsia="zh-TW"/>
        </w:rPr>
        <w:t>dijabetes melitusom sa najmanje jednim kardiovaskularnim faktorom rizika (</w:t>
      </w:r>
      <w:r w:rsidR="009F5507">
        <w:rPr>
          <w:rFonts w:eastAsia="TimesNewRoman"/>
          <w:sz w:val="22"/>
          <w:szCs w:val="22"/>
          <w:lang w:eastAsia="zh-TW"/>
        </w:rPr>
        <w:t xml:space="preserve">vidjeti </w:t>
      </w:r>
      <w:r w:rsidR="00136F13">
        <w:rPr>
          <w:rFonts w:eastAsia="TimesNewRoman"/>
          <w:sz w:val="22"/>
          <w:szCs w:val="22"/>
          <w:lang w:eastAsia="zh-TW"/>
        </w:rPr>
        <w:t>dio</w:t>
      </w:r>
      <w:r w:rsidRPr="00CF032E">
        <w:rPr>
          <w:rFonts w:eastAsia="TimesNewRoman"/>
          <w:sz w:val="22"/>
          <w:szCs w:val="22"/>
          <w:lang w:eastAsia="zh-TW"/>
        </w:rPr>
        <w:t xml:space="preserve"> 5.1)</w:t>
      </w:r>
    </w:p>
    <w:p w14:paraId="3CCFEA25" w14:textId="77777777" w:rsidR="001B0567" w:rsidRPr="00CF032E" w:rsidRDefault="001B0567" w:rsidP="00D66A5B">
      <w:pPr>
        <w:autoSpaceDE w:val="0"/>
        <w:autoSpaceDN w:val="0"/>
        <w:adjustRightInd w:val="0"/>
        <w:ind w:left="720"/>
        <w:jc w:val="both"/>
        <w:rPr>
          <w:rFonts w:eastAsia="TimesNewRoman"/>
          <w:sz w:val="22"/>
          <w:szCs w:val="22"/>
          <w:lang w:eastAsia="zh-TW"/>
        </w:rPr>
      </w:pPr>
    </w:p>
    <w:p w14:paraId="0F566EC7" w14:textId="77777777" w:rsidR="001B0567" w:rsidRPr="00CF032E" w:rsidRDefault="001B0567" w:rsidP="00AB1FCF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zh-TW"/>
        </w:rPr>
      </w:pPr>
      <w:r w:rsidRPr="00CF032E">
        <w:rPr>
          <w:rFonts w:eastAsia="TimesNewRoman"/>
          <w:sz w:val="22"/>
          <w:szCs w:val="22"/>
          <w:lang w:eastAsia="zh-TW"/>
        </w:rPr>
        <w:t xml:space="preserve">Terapija renalne bolesti: </w:t>
      </w:r>
    </w:p>
    <w:p w14:paraId="01E479E6" w14:textId="77777777" w:rsidR="001B0567" w:rsidRPr="00CF032E" w:rsidRDefault="001B0567">
      <w:pPr>
        <w:numPr>
          <w:ilvl w:val="0"/>
          <w:numId w:val="14"/>
        </w:numPr>
        <w:autoSpaceDE w:val="0"/>
        <w:autoSpaceDN w:val="0"/>
        <w:adjustRightInd w:val="0"/>
        <w:ind w:left="720"/>
        <w:jc w:val="both"/>
        <w:rPr>
          <w:rFonts w:eastAsia="TimesNewRoman"/>
          <w:sz w:val="22"/>
          <w:szCs w:val="22"/>
          <w:lang w:eastAsia="zh-TW"/>
        </w:rPr>
      </w:pPr>
      <w:r w:rsidRPr="00CF032E">
        <w:rPr>
          <w:rFonts w:eastAsia="TimesNewRoman"/>
          <w:sz w:val="22"/>
          <w:szCs w:val="22"/>
          <w:lang w:eastAsia="zh-TW"/>
        </w:rPr>
        <w:t>početna glomerularna dijabetesna nefropatija definisana pojavom mikroalbuminurije,</w:t>
      </w:r>
    </w:p>
    <w:p w14:paraId="35252979" w14:textId="2C731222" w:rsidR="001B0567" w:rsidRPr="00CF032E" w:rsidRDefault="001B0567">
      <w:pPr>
        <w:numPr>
          <w:ilvl w:val="0"/>
          <w:numId w:val="14"/>
        </w:numPr>
        <w:autoSpaceDE w:val="0"/>
        <w:autoSpaceDN w:val="0"/>
        <w:adjustRightInd w:val="0"/>
        <w:ind w:left="720"/>
        <w:jc w:val="both"/>
        <w:rPr>
          <w:rFonts w:eastAsia="TimesNewRoman"/>
          <w:sz w:val="22"/>
          <w:szCs w:val="22"/>
          <w:lang w:eastAsia="zh-TW"/>
        </w:rPr>
      </w:pPr>
      <w:r w:rsidRPr="00CF032E">
        <w:rPr>
          <w:rFonts w:eastAsia="TimesNewRoman"/>
          <w:sz w:val="22"/>
          <w:szCs w:val="22"/>
          <w:lang w:eastAsia="zh-TW"/>
        </w:rPr>
        <w:t>izražena glomerularna dijabetesna nefropatija definisana pojavom makroproteinurije kod pacijenata sa najmanje jednim kardiovaskularnim faktorom rizika (</w:t>
      </w:r>
      <w:r w:rsidR="009F5507">
        <w:rPr>
          <w:rFonts w:eastAsia="TimesNewRoman"/>
          <w:sz w:val="22"/>
          <w:szCs w:val="22"/>
          <w:lang w:eastAsia="zh-TW"/>
        </w:rPr>
        <w:t xml:space="preserve">vidjeti </w:t>
      </w:r>
      <w:r w:rsidR="00136F13">
        <w:rPr>
          <w:rFonts w:eastAsia="TimesNewRoman"/>
          <w:sz w:val="22"/>
          <w:szCs w:val="22"/>
          <w:lang w:eastAsia="zh-TW"/>
        </w:rPr>
        <w:t>dio</w:t>
      </w:r>
      <w:r w:rsidRPr="00CF032E">
        <w:rPr>
          <w:rFonts w:eastAsia="TimesNewRoman"/>
          <w:sz w:val="22"/>
          <w:szCs w:val="22"/>
          <w:lang w:eastAsia="zh-TW"/>
        </w:rPr>
        <w:t xml:space="preserve"> 5.1) </w:t>
      </w:r>
    </w:p>
    <w:p w14:paraId="6DB4D448" w14:textId="558B6FE7" w:rsidR="001B0567" w:rsidRPr="00CF032E" w:rsidRDefault="001B0567">
      <w:pPr>
        <w:numPr>
          <w:ilvl w:val="0"/>
          <w:numId w:val="14"/>
        </w:numPr>
        <w:autoSpaceDE w:val="0"/>
        <w:autoSpaceDN w:val="0"/>
        <w:adjustRightInd w:val="0"/>
        <w:ind w:left="720"/>
        <w:jc w:val="both"/>
        <w:rPr>
          <w:rFonts w:eastAsia="TimesNewRoman"/>
          <w:sz w:val="22"/>
          <w:szCs w:val="22"/>
          <w:lang w:eastAsia="zh-TW"/>
        </w:rPr>
      </w:pPr>
      <w:proofErr w:type="gramStart"/>
      <w:r w:rsidRPr="00CF032E">
        <w:rPr>
          <w:rFonts w:eastAsia="TimesNewRoman"/>
          <w:sz w:val="22"/>
          <w:szCs w:val="22"/>
          <w:lang w:eastAsia="zh-TW"/>
        </w:rPr>
        <w:t>izražena</w:t>
      </w:r>
      <w:proofErr w:type="gramEnd"/>
      <w:r w:rsidRPr="00CF032E">
        <w:rPr>
          <w:rFonts w:eastAsia="TimesNewRoman"/>
          <w:sz w:val="22"/>
          <w:szCs w:val="22"/>
          <w:lang w:eastAsia="zh-TW"/>
        </w:rPr>
        <w:t xml:space="preserve"> glomerularna nedijabetesna nefropatija definisana pojavom makroproteinurije ≥ 3 g/dnevno (</w:t>
      </w:r>
      <w:r w:rsidR="009F5507">
        <w:rPr>
          <w:rFonts w:eastAsia="TimesNewRoman"/>
          <w:sz w:val="22"/>
          <w:szCs w:val="22"/>
          <w:lang w:eastAsia="zh-TW"/>
        </w:rPr>
        <w:t xml:space="preserve">vidjeti </w:t>
      </w:r>
      <w:r w:rsidR="00136F13">
        <w:rPr>
          <w:rFonts w:eastAsia="TimesNewRoman"/>
          <w:sz w:val="22"/>
          <w:szCs w:val="22"/>
          <w:lang w:eastAsia="zh-TW"/>
        </w:rPr>
        <w:t>dio</w:t>
      </w:r>
      <w:r w:rsidRPr="00CF032E">
        <w:rPr>
          <w:rFonts w:eastAsia="TimesNewRoman"/>
          <w:sz w:val="22"/>
          <w:szCs w:val="22"/>
          <w:lang w:eastAsia="zh-TW"/>
        </w:rPr>
        <w:t xml:space="preserve"> 5.1).</w:t>
      </w:r>
    </w:p>
    <w:p w14:paraId="4D40D062" w14:textId="77777777" w:rsidR="001B0567" w:rsidRPr="00CF032E" w:rsidRDefault="001B0567">
      <w:pPr>
        <w:autoSpaceDE w:val="0"/>
        <w:autoSpaceDN w:val="0"/>
        <w:adjustRightInd w:val="0"/>
        <w:ind w:left="720"/>
        <w:jc w:val="both"/>
        <w:rPr>
          <w:rFonts w:eastAsia="TimesNewRoman"/>
          <w:sz w:val="22"/>
          <w:szCs w:val="22"/>
          <w:lang w:eastAsia="zh-TW"/>
        </w:rPr>
      </w:pPr>
    </w:p>
    <w:p w14:paraId="4A870DC0" w14:textId="77777777" w:rsidR="001B0567" w:rsidRPr="00CF032E" w:rsidRDefault="001B0567" w:rsidP="00AB1FCF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eastAsia="zh-TW"/>
        </w:rPr>
      </w:pPr>
      <w:r w:rsidRPr="00CF032E">
        <w:rPr>
          <w:rFonts w:eastAsia="TimesNewRoman"/>
          <w:sz w:val="22"/>
          <w:szCs w:val="22"/>
          <w:lang w:eastAsia="zh-TW"/>
        </w:rPr>
        <w:t>Terapija simptomatske srčane insuficijencije</w:t>
      </w:r>
    </w:p>
    <w:p w14:paraId="3A2769E6" w14:textId="77777777" w:rsidR="001B0567" w:rsidRPr="00CF032E" w:rsidRDefault="001B0567">
      <w:pPr>
        <w:autoSpaceDE w:val="0"/>
        <w:autoSpaceDN w:val="0"/>
        <w:adjustRightInd w:val="0"/>
        <w:ind w:left="720"/>
        <w:jc w:val="both"/>
        <w:rPr>
          <w:rFonts w:eastAsia="TimesNewRoman"/>
          <w:sz w:val="22"/>
          <w:szCs w:val="22"/>
          <w:lang w:eastAsia="zh-TW"/>
        </w:rPr>
      </w:pPr>
    </w:p>
    <w:p w14:paraId="15166CA8" w14:textId="777D0DB5" w:rsidR="001B0567" w:rsidRPr="00CF032E" w:rsidRDefault="001B0567" w:rsidP="00AB1FCF">
      <w:pPr>
        <w:pStyle w:val="Header"/>
        <w:tabs>
          <w:tab w:val="clear" w:pos="4320"/>
          <w:tab w:val="clear" w:pos="8640"/>
          <w:tab w:val="left" w:pos="284"/>
          <w:tab w:val="center" w:pos="4536"/>
          <w:tab w:val="right" w:pos="9072"/>
        </w:tabs>
        <w:jc w:val="both"/>
        <w:rPr>
          <w:sz w:val="22"/>
          <w:szCs w:val="22"/>
          <w:lang w:val="pl-PL"/>
        </w:rPr>
      </w:pPr>
      <w:r w:rsidRPr="00CF032E">
        <w:rPr>
          <w:rFonts w:eastAsia="TimesNewRoman"/>
          <w:sz w:val="22"/>
          <w:szCs w:val="22"/>
          <w:lang w:eastAsia="zh-TW"/>
        </w:rPr>
        <w:t>Sekundarna prevencija posl</w:t>
      </w:r>
      <w:r w:rsidR="00136F13">
        <w:rPr>
          <w:rFonts w:eastAsia="TimesNewRoman"/>
          <w:sz w:val="22"/>
          <w:szCs w:val="22"/>
          <w:lang w:eastAsia="zh-TW"/>
        </w:rPr>
        <w:t>ij</w:t>
      </w:r>
      <w:r w:rsidRPr="00CF032E">
        <w:rPr>
          <w:rFonts w:eastAsia="TimesNewRoman"/>
          <w:sz w:val="22"/>
          <w:szCs w:val="22"/>
          <w:lang w:eastAsia="zh-TW"/>
        </w:rPr>
        <w:t xml:space="preserve">e akutnog infarkta miokarda: smanjenje mortaliteta u akutnoj fazi infarkta miokarda kod pacijenata </w:t>
      </w:r>
      <w:proofErr w:type="gramStart"/>
      <w:r w:rsidRPr="00CF032E">
        <w:rPr>
          <w:rFonts w:eastAsia="TimesNewRoman"/>
          <w:sz w:val="22"/>
          <w:szCs w:val="22"/>
          <w:lang w:eastAsia="zh-TW"/>
        </w:rPr>
        <w:t>sa</w:t>
      </w:r>
      <w:proofErr w:type="gramEnd"/>
      <w:r w:rsidRPr="00CF032E">
        <w:rPr>
          <w:rFonts w:eastAsia="TimesNewRoman"/>
          <w:sz w:val="22"/>
          <w:szCs w:val="22"/>
          <w:lang w:eastAsia="zh-TW"/>
        </w:rPr>
        <w:t xml:space="preserve"> kliničkim znacima </w:t>
      </w:r>
      <w:r w:rsidRPr="00CF032E">
        <w:rPr>
          <w:sz w:val="22"/>
          <w:szCs w:val="22"/>
          <w:lang w:val="pl-PL"/>
        </w:rPr>
        <w:t>srčane insuficijencije,</w:t>
      </w:r>
      <w:r w:rsidRPr="00CF032E">
        <w:rPr>
          <w:b/>
          <w:sz w:val="22"/>
          <w:szCs w:val="22"/>
          <w:lang w:val="pl-PL"/>
        </w:rPr>
        <w:t xml:space="preserve"> </w:t>
      </w:r>
      <w:r w:rsidR="009F5507">
        <w:rPr>
          <w:sz w:val="22"/>
          <w:szCs w:val="22"/>
          <w:lang w:val="pl-PL"/>
        </w:rPr>
        <w:t>ako</w:t>
      </w:r>
      <w:r w:rsidR="009F5507" w:rsidRPr="00CF032E">
        <w:rPr>
          <w:sz w:val="22"/>
          <w:szCs w:val="22"/>
          <w:lang w:val="pl-PL"/>
        </w:rPr>
        <w:t xml:space="preserve"> </w:t>
      </w:r>
      <w:r w:rsidRPr="00CF032E">
        <w:rPr>
          <w:sz w:val="22"/>
          <w:szCs w:val="22"/>
          <w:lang w:val="pl-PL"/>
        </w:rPr>
        <w:t>se</w:t>
      </w:r>
      <w:r w:rsidR="009F5507">
        <w:rPr>
          <w:sz w:val="22"/>
          <w:szCs w:val="22"/>
          <w:lang w:val="pl-PL"/>
        </w:rPr>
        <w:t xml:space="preserve"> terapijom</w:t>
      </w:r>
      <w:r w:rsidRPr="00CF032E">
        <w:rPr>
          <w:sz w:val="22"/>
          <w:szCs w:val="22"/>
          <w:lang w:val="pl-PL"/>
        </w:rPr>
        <w:t xml:space="preserve"> </w:t>
      </w:r>
      <w:r w:rsidR="009F5507">
        <w:rPr>
          <w:sz w:val="22"/>
          <w:szCs w:val="22"/>
          <w:lang w:val="pl-PL"/>
        </w:rPr>
        <w:t>započne</w:t>
      </w:r>
      <w:r w:rsidR="009F5507" w:rsidRPr="00CF032E">
        <w:rPr>
          <w:sz w:val="22"/>
          <w:szCs w:val="22"/>
          <w:lang w:val="pl-PL"/>
        </w:rPr>
        <w:t xml:space="preserve"> </w:t>
      </w:r>
      <w:r w:rsidR="009F5507">
        <w:rPr>
          <w:sz w:val="22"/>
          <w:szCs w:val="22"/>
          <w:lang w:val="pl-PL"/>
        </w:rPr>
        <w:t>nakon</w:t>
      </w:r>
      <w:r w:rsidRPr="00CF032E">
        <w:rPr>
          <w:sz w:val="22"/>
          <w:szCs w:val="22"/>
          <w:lang w:val="pl-PL"/>
        </w:rPr>
        <w:t xml:space="preserve"> </w:t>
      </w:r>
      <w:r w:rsidR="009F5507">
        <w:rPr>
          <w:sz w:val="22"/>
          <w:szCs w:val="22"/>
          <w:lang w:val="pl-PL"/>
        </w:rPr>
        <w:t>više</w:t>
      </w:r>
      <w:r w:rsidR="009F5507" w:rsidRPr="00CF032E">
        <w:rPr>
          <w:sz w:val="22"/>
          <w:szCs w:val="22"/>
          <w:lang w:val="pl-PL"/>
        </w:rPr>
        <w:t xml:space="preserve"> </w:t>
      </w:r>
      <w:r w:rsidRPr="00CF032E">
        <w:rPr>
          <w:sz w:val="22"/>
          <w:szCs w:val="22"/>
          <w:lang w:val="pl-PL"/>
        </w:rPr>
        <w:t>od 48 sati nakon akutnog infarkta miokarda.</w:t>
      </w:r>
    </w:p>
    <w:p w14:paraId="2E2B77F3" w14:textId="77777777" w:rsidR="00411B4B" w:rsidRPr="00786071" w:rsidRDefault="00411B4B" w:rsidP="003457B5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2E2B77F4" w14:textId="77777777" w:rsidR="00411B4B" w:rsidRPr="00786071" w:rsidRDefault="00411B4B" w:rsidP="003457B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4.2.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Doziranje i način primjene</w:t>
      </w:r>
    </w:p>
    <w:p w14:paraId="2E2B77F5" w14:textId="1216BEC4" w:rsidR="0072020E" w:rsidRDefault="0072020E" w:rsidP="003457B5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DA12DE3" w14:textId="6E6ED7EA" w:rsidR="0029635F" w:rsidRDefault="0029635F" w:rsidP="003457B5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AB1FCF">
        <w:rPr>
          <w:bCs/>
          <w:sz w:val="22"/>
          <w:szCs w:val="22"/>
          <w:u w:val="single"/>
        </w:rPr>
        <w:t>Doziranje</w:t>
      </w:r>
    </w:p>
    <w:p w14:paraId="2D5E2F49" w14:textId="77777777" w:rsidR="009350FB" w:rsidRPr="00AB1FCF" w:rsidRDefault="009350FB" w:rsidP="003457B5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</w:p>
    <w:p w14:paraId="77CE9416" w14:textId="77E1C8E4" w:rsidR="00572BA1" w:rsidRPr="00572BA1" w:rsidRDefault="00572BA1" w:rsidP="00AB1FCF">
      <w:pPr>
        <w:pStyle w:val="Header"/>
        <w:tabs>
          <w:tab w:val="left" w:pos="0"/>
        </w:tabs>
        <w:jc w:val="both"/>
        <w:rPr>
          <w:sz w:val="22"/>
          <w:szCs w:val="22"/>
          <w:lang w:val="pl-PL"/>
        </w:rPr>
      </w:pPr>
      <w:r w:rsidRPr="00572BA1">
        <w:rPr>
          <w:sz w:val="22"/>
          <w:szCs w:val="22"/>
          <w:lang w:val="pl-PL"/>
        </w:rPr>
        <w:t xml:space="preserve">Preporučuje se da se </w:t>
      </w:r>
      <w:r w:rsidR="00136F13">
        <w:rPr>
          <w:sz w:val="22"/>
          <w:szCs w:val="22"/>
          <w:lang w:val="pl-PL"/>
        </w:rPr>
        <w:t>lijek</w:t>
      </w:r>
      <w:r w:rsidRPr="00572BA1">
        <w:rPr>
          <w:sz w:val="22"/>
          <w:szCs w:val="22"/>
          <w:lang w:val="pl-PL"/>
        </w:rPr>
        <w:t xml:space="preserve"> Prilinda uzima svakog dana i u isto </w:t>
      </w:r>
      <w:r w:rsidR="00136F13">
        <w:rPr>
          <w:sz w:val="22"/>
          <w:szCs w:val="22"/>
          <w:lang w:val="pl-PL"/>
        </w:rPr>
        <w:t>vrijeme</w:t>
      </w:r>
      <w:r w:rsidRPr="00572BA1">
        <w:rPr>
          <w:sz w:val="22"/>
          <w:szCs w:val="22"/>
          <w:lang w:val="pl-PL"/>
        </w:rPr>
        <w:t xml:space="preserve"> u toku dana.</w:t>
      </w:r>
    </w:p>
    <w:p w14:paraId="4B14154A" w14:textId="1383DFB4" w:rsidR="00572BA1" w:rsidRPr="00572BA1" w:rsidRDefault="00136F13" w:rsidP="00AB1FCF">
      <w:pPr>
        <w:pStyle w:val="Header"/>
        <w:tabs>
          <w:tab w:val="left" w:pos="0"/>
        </w:tabs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Lijek</w:t>
      </w:r>
      <w:r w:rsidR="00572BA1" w:rsidRPr="00572BA1">
        <w:rPr>
          <w:sz w:val="22"/>
          <w:szCs w:val="22"/>
          <w:lang w:val="pl-PL"/>
        </w:rPr>
        <w:t xml:space="preserve"> Prilinda se može uzimati pr</w:t>
      </w:r>
      <w:r w:rsidR="003457B5">
        <w:rPr>
          <w:sz w:val="22"/>
          <w:szCs w:val="22"/>
          <w:lang w:val="pl-PL"/>
        </w:rPr>
        <w:t>ij</w:t>
      </w:r>
      <w:r w:rsidR="00572BA1" w:rsidRPr="00572BA1">
        <w:rPr>
          <w:sz w:val="22"/>
          <w:szCs w:val="22"/>
          <w:lang w:val="pl-PL"/>
        </w:rPr>
        <w:t xml:space="preserve">e, tokom ili </w:t>
      </w:r>
      <w:r w:rsidR="00572BA1" w:rsidRPr="00572BA1">
        <w:rPr>
          <w:bCs/>
          <w:sz w:val="22"/>
          <w:szCs w:val="22"/>
          <w:lang w:val="pl-PL"/>
        </w:rPr>
        <w:t>n</w:t>
      </w:r>
      <w:r w:rsidR="00572BA1" w:rsidRPr="00572BA1">
        <w:rPr>
          <w:sz w:val="22"/>
          <w:szCs w:val="22"/>
          <w:lang w:val="pl-PL"/>
        </w:rPr>
        <w:t xml:space="preserve">akon obroka, jer hrana ne utiče na bioraspoloživost </w:t>
      </w:r>
      <w:r>
        <w:rPr>
          <w:sz w:val="22"/>
          <w:szCs w:val="22"/>
          <w:lang w:val="pl-PL"/>
        </w:rPr>
        <w:t>lijek</w:t>
      </w:r>
      <w:r w:rsidR="00572BA1" w:rsidRPr="00572BA1">
        <w:rPr>
          <w:sz w:val="22"/>
          <w:szCs w:val="22"/>
          <w:lang w:val="pl-PL"/>
        </w:rPr>
        <w:t>a (</w:t>
      </w:r>
      <w:r w:rsidR="009350FB">
        <w:rPr>
          <w:sz w:val="22"/>
          <w:szCs w:val="22"/>
          <w:lang w:val="pl-PL"/>
        </w:rPr>
        <w:t xml:space="preserve">vidjeti </w:t>
      </w:r>
      <w:r>
        <w:rPr>
          <w:sz w:val="22"/>
          <w:szCs w:val="22"/>
          <w:lang w:val="pl-PL"/>
        </w:rPr>
        <w:t>dio</w:t>
      </w:r>
      <w:r w:rsidR="00572BA1" w:rsidRPr="00572BA1">
        <w:rPr>
          <w:sz w:val="22"/>
          <w:szCs w:val="22"/>
          <w:lang w:val="pl-PL"/>
        </w:rPr>
        <w:t xml:space="preserve"> 5.2).</w:t>
      </w:r>
    </w:p>
    <w:p w14:paraId="5C81971E" w14:textId="14BD16CC" w:rsidR="00572BA1" w:rsidRDefault="00136F13" w:rsidP="00AB1FCF">
      <w:pPr>
        <w:pStyle w:val="Header"/>
        <w:tabs>
          <w:tab w:val="left" w:pos="0"/>
        </w:tabs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Lijek</w:t>
      </w:r>
      <w:r w:rsidR="00572BA1" w:rsidRPr="00572BA1">
        <w:rPr>
          <w:sz w:val="22"/>
          <w:szCs w:val="22"/>
          <w:lang w:val="it-IT"/>
        </w:rPr>
        <w:t xml:space="preserve"> Prilinda tablete treba progutati sa tečnošću. Ne </w:t>
      </w:r>
      <w:r>
        <w:rPr>
          <w:sz w:val="22"/>
          <w:szCs w:val="22"/>
          <w:lang w:val="it-IT"/>
        </w:rPr>
        <w:t>smiju</w:t>
      </w:r>
      <w:r w:rsidR="00572BA1" w:rsidRPr="00572BA1">
        <w:rPr>
          <w:sz w:val="22"/>
          <w:szCs w:val="22"/>
          <w:lang w:val="it-IT"/>
        </w:rPr>
        <w:t xml:space="preserve"> se žvakati ni lomiti.</w:t>
      </w:r>
    </w:p>
    <w:p w14:paraId="3520404A" w14:textId="77777777" w:rsidR="009350FB" w:rsidRPr="00AB1FCF" w:rsidRDefault="009350FB" w:rsidP="00AB1FCF">
      <w:pPr>
        <w:pStyle w:val="Header"/>
        <w:tabs>
          <w:tab w:val="left" w:pos="0"/>
        </w:tabs>
        <w:jc w:val="both"/>
        <w:rPr>
          <w:b/>
          <w:sz w:val="22"/>
          <w:szCs w:val="22"/>
          <w:lang w:val="it-IT"/>
        </w:rPr>
      </w:pPr>
    </w:p>
    <w:p w14:paraId="6C70C039" w14:textId="4529B51D" w:rsidR="009350FB" w:rsidRPr="00AB1FCF" w:rsidRDefault="00572BA1" w:rsidP="00AB1FCF">
      <w:pPr>
        <w:pStyle w:val="Header"/>
        <w:tabs>
          <w:tab w:val="left" w:pos="0"/>
        </w:tabs>
        <w:jc w:val="both"/>
        <w:rPr>
          <w:b/>
          <w:sz w:val="22"/>
          <w:szCs w:val="22"/>
          <w:vertAlign w:val="subscript"/>
          <w:lang w:val="it-IT"/>
        </w:rPr>
      </w:pPr>
      <w:r w:rsidRPr="00AB1FCF">
        <w:rPr>
          <w:b/>
          <w:sz w:val="22"/>
          <w:szCs w:val="22"/>
          <w:lang w:val="it-IT"/>
        </w:rPr>
        <w:t>Odrasli pacijenti</w:t>
      </w:r>
    </w:p>
    <w:p w14:paraId="79FA5441" w14:textId="186099E0" w:rsidR="00572BA1" w:rsidRPr="00572BA1" w:rsidRDefault="00572BA1" w:rsidP="00AB1FCF">
      <w:pPr>
        <w:pStyle w:val="Header"/>
        <w:tabs>
          <w:tab w:val="left" w:pos="0"/>
        </w:tabs>
        <w:jc w:val="both"/>
        <w:rPr>
          <w:sz w:val="22"/>
          <w:szCs w:val="22"/>
          <w:u w:val="single"/>
          <w:lang w:val="it-IT"/>
        </w:rPr>
      </w:pPr>
      <w:r w:rsidRPr="00572BA1">
        <w:rPr>
          <w:sz w:val="22"/>
          <w:szCs w:val="22"/>
          <w:u w:val="single"/>
          <w:lang w:val="it-IT"/>
        </w:rPr>
        <w:t>Pacijenti na terapiji diureticima</w:t>
      </w:r>
    </w:p>
    <w:p w14:paraId="137F2AE4" w14:textId="522E9B52" w:rsidR="00572BA1" w:rsidRPr="00572BA1" w:rsidRDefault="00572BA1" w:rsidP="00AB1FCF">
      <w:pPr>
        <w:pStyle w:val="Header"/>
        <w:tabs>
          <w:tab w:val="left" w:pos="0"/>
        </w:tabs>
        <w:jc w:val="both"/>
        <w:rPr>
          <w:sz w:val="22"/>
          <w:szCs w:val="22"/>
          <w:u w:val="single"/>
          <w:lang w:val="it-IT"/>
        </w:rPr>
      </w:pPr>
      <w:r w:rsidRPr="00572BA1">
        <w:rPr>
          <w:sz w:val="22"/>
          <w:szCs w:val="22"/>
          <w:lang w:val="it-IT"/>
        </w:rPr>
        <w:t xml:space="preserve">Na početku terapije </w:t>
      </w:r>
      <w:r w:rsidR="00136F13">
        <w:rPr>
          <w:sz w:val="22"/>
          <w:szCs w:val="22"/>
          <w:lang w:val="it-IT"/>
        </w:rPr>
        <w:t>lijek</w:t>
      </w:r>
      <w:r w:rsidRPr="00572BA1">
        <w:rPr>
          <w:sz w:val="22"/>
          <w:szCs w:val="22"/>
          <w:lang w:val="it-IT"/>
        </w:rPr>
        <w:t xml:space="preserve">om Prilinda može doći do pojave hipotenzije što se češće dešava kod pacijenata koji </w:t>
      </w:r>
      <w:r w:rsidR="00136F13">
        <w:rPr>
          <w:sz w:val="22"/>
          <w:szCs w:val="22"/>
          <w:lang w:val="it-IT"/>
        </w:rPr>
        <w:t>istovremeno</w:t>
      </w:r>
      <w:r w:rsidRPr="00572BA1">
        <w:rPr>
          <w:sz w:val="22"/>
          <w:szCs w:val="22"/>
          <w:lang w:val="it-IT"/>
        </w:rPr>
        <w:t xml:space="preserve"> </w:t>
      </w:r>
      <w:r w:rsidR="00136F13">
        <w:rPr>
          <w:sz w:val="22"/>
          <w:szCs w:val="22"/>
          <w:lang w:val="it-IT"/>
        </w:rPr>
        <w:t>primjenjuju</w:t>
      </w:r>
      <w:r w:rsidRPr="00572BA1">
        <w:rPr>
          <w:sz w:val="22"/>
          <w:szCs w:val="22"/>
          <w:lang w:val="it-IT"/>
        </w:rPr>
        <w:t xml:space="preserve"> diuretike. Zbog toga se preporučuje oprez jer kod ovih pacijenata može doći do gubitka soli i/ili smanjenja volumena tečnosti. </w:t>
      </w:r>
    </w:p>
    <w:p w14:paraId="109D2840" w14:textId="6C15E044" w:rsidR="00572BA1" w:rsidRPr="00572BA1" w:rsidRDefault="00572BA1" w:rsidP="00AB1FCF">
      <w:pPr>
        <w:pStyle w:val="Header"/>
        <w:tabs>
          <w:tab w:val="left" w:pos="0"/>
        </w:tabs>
        <w:jc w:val="both"/>
        <w:rPr>
          <w:sz w:val="22"/>
          <w:szCs w:val="22"/>
          <w:lang w:val="it-IT"/>
        </w:rPr>
      </w:pPr>
      <w:r w:rsidRPr="00572BA1">
        <w:rPr>
          <w:sz w:val="22"/>
          <w:szCs w:val="22"/>
          <w:lang w:val="it-IT"/>
        </w:rPr>
        <w:t>Ukoliko je moguće, terapiju diureticima treba prekinuti 2 do 3 dana pr</w:t>
      </w:r>
      <w:r w:rsidR="00136F13">
        <w:rPr>
          <w:sz w:val="22"/>
          <w:szCs w:val="22"/>
          <w:lang w:val="it-IT"/>
        </w:rPr>
        <w:t>ij</w:t>
      </w:r>
      <w:r w:rsidRPr="00572BA1">
        <w:rPr>
          <w:sz w:val="22"/>
          <w:szCs w:val="22"/>
          <w:lang w:val="it-IT"/>
        </w:rPr>
        <w:t xml:space="preserve">e početka </w:t>
      </w:r>
      <w:r w:rsidR="00136F13">
        <w:rPr>
          <w:sz w:val="22"/>
          <w:szCs w:val="22"/>
          <w:lang w:val="it-IT"/>
        </w:rPr>
        <w:t>primjene</w:t>
      </w:r>
      <w:r w:rsidRPr="00572BA1">
        <w:rPr>
          <w:sz w:val="22"/>
          <w:szCs w:val="22"/>
          <w:lang w:val="it-IT"/>
        </w:rPr>
        <w:t xml:space="preserve"> </w:t>
      </w:r>
      <w:r w:rsidR="00136F13">
        <w:rPr>
          <w:sz w:val="22"/>
          <w:szCs w:val="22"/>
          <w:lang w:val="it-IT"/>
        </w:rPr>
        <w:t>lijek</w:t>
      </w:r>
      <w:r w:rsidRPr="00572BA1">
        <w:rPr>
          <w:sz w:val="22"/>
          <w:szCs w:val="22"/>
          <w:lang w:val="it-IT"/>
        </w:rPr>
        <w:t>a Prilinda (</w:t>
      </w:r>
      <w:r w:rsidR="006902B3">
        <w:rPr>
          <w:sz w:val="22"/>
          <w:szCs w:val="22"/>
          <w:lang w:val="it-IT"/>
        </w:rPr>
        <w:t xml:space="preserve">vidjeti </w:t>
      </w:r>
      <w:r w:rsidR="00136F13">
        <w:rPr>
          <w:sz w:val="22"/>
          <w:szCs w:val="22"/>
          <w:lang w:val="it-IT"/>
        </w:rPr>
        <w:t>dio</w:t>
      </w:r>
      <w:r w:rsidRPr="00572BA1">
        <w:rPr>
          <w:sz w:val="22"/>
          <w:szCs w:val="22"/>
          <w:lang w:val="it-IT"/>
        </w:rPr>
        <w:t xml:space="preserve"> 4.4).</w:t>
      </w:r>
    </w:p>
    <w:p w14:paraId="781DD44C" w14:textId="233B82DF" w:rsidR="00572BA1" w:rsidRPr="00572BA1" w:rsidRDefault="00572BA1" w:rsidP="00AB1FCF">
      <w:pPr>
        <w:pStyle w:val="Header"/>
        <w:tabs>
          <w:tab w:val="left" w:pos="0"/>
        </w:tabs>
        <w:jc w:val="both"/>
        <w:rPr>
          <w:sz w:val="22"/>
          <w:szCs w:val="22"/>
          <w:lang w:val="it-IT"/>
        </w:rPr>
      </w:pPr>
      <w:r w:rsidRPr="00572BA1">
        <w:rPr>
          <w:sz w:val="22"/>
          <w:szCs w:val="22"/>
          <w:lang w:val="it-IT"/>
        </w:rPr>
        <w:t xml:space="preserve">Kod pacijenata sa hipertenzijom kod kojih terapija diureticima nije prekinuta, </w:t>
      </w:r>
      <w:r w:rsidR="00136F13">
        <w:rPr>
          <w:sz w:val="22"/>
          <w:szCs w:val="22"/>
          <w:lang w:val="it-IT"/>
        </w:rPr>
        <w:t>liječenje</w:t>
      </w:r>
      <w:r w:rsidRPr="00572BA1">
        <w:rPr>
          <w:sz w:val="22"/>
          <w:szCs w:val="22"/>
          <w:lang w:val="it-IT"/>
        </w:rPr>
        <w:t xml:space="preserve"> </w:t>
      </w:r>
      <w:r w:rsidR="00136F13">
        <w:rPr>
          <w:sz w:val="22"/>
          <w:szCs w:val="22"/>
          <w:lang w:val="it-IT"/>
        </w:rPr>
        <w:t>lijek</w:t>
      </w:r>
      <w:r w:rsidRPr="00572BA1">
        <w:rPr>
          <w:sz w:val="22"/>
          <w:szCs w:val="22"/>
          <w:lang w:val="it-IT"/>
        </w:rPr>
        <w:t>om Prilinda treba započeti dozom od 1,25 mg. Takođe, je potrebno pratiti bubrežnu funkciju i koncentraciju kalijuma u serumu. Sl</w:t>
      </w:r>
      <w:r w:rsidR="006902B3">
        <w:rPr>
          <w:sz w:val="22"/>
          <w:szCs w:val="22"/>
          <w:lang w:val="it-IT"/>
        </w:rPr>
        <w:t>j</w:t>
      </w:r>
      <w:r w:rsidRPr="00572BA1">
        <w:rPr>
          <w:sz w:val="22"/>
          <w:szCs w:val="22"/>
          <w:lang w:val="it-IT"/>
        </w:rPr>
        <w:t>edeću dozu treba prilagoditi prema ciljn</w:t>
      </w:r>
      <w:r w:rsidR="006902B3">
        <w:rPr>
          <w:sz w:val="22"/>
          <w:szCs w:val="22"/>
          <w:lang w:val="it-IT"/>
        </w:rPr>
        <w:t>om</w:t>
      </w:r>
      <w:r w:rsidRPr="00572BA1">
        <w:rPr>
          <w:sz w:val="22"/>
          <w:szCs w:val="22"/>
          <w:lang w:val="it-IT"/>
        </w:rPr>
        <w:t xml:space="preserve"> krvno</w:t>
      </w:r>
      <w:r w:rsidR="006902B3">
        <w:rPr>
          <w:sz w:val="22"/>
          <w:szCs w:val="22"/>
          <w:lang w:val="it-IT"/>
        </w:rPr>
        <w:t>m</w:t>
      </w:r>
      <w:r w:rsidRPr="00572BA1">
        <w:rPr>
          <w:sz w:val="22"/>
          <w:szCs w:val="22"/>
          <w:lang w:val="it-IT"/>
        </w:rPr>
        <w:t xml:space="preserve"> pritisk</w:t>
      </w:r>
      <w:r w:rsidR="006902B3">
        <w:rPr>
          <w:sz w:val="22"/>
          <w:szCs w:val="22"/>
          <w:lang w:val="it-IT"/>
        </w:rPr>
        <w:t>u</w:t>
      </w:r>
      <w:r w:rsidRPr="00572BA1">
        <w:rPr>
          <w:sz w:val="22"/>
          <w:szCs w:val="22"/>
          <w:lang w:val="it-IT"/>
        </w:rPr>
        <w:t>.</w:t>
      </w:r>
    </w:p>
    <w:p w14:paraId="2B665887" w14:textId="77777777" w:rsidR="00572BA1" w:rsidRPr="00572BA1" w:rsidRDefault="00572BA1" w:rsidP="006902B3">
      <w:pPr>
        <w:jc w:val="both"/>
        <w:rPr>
          <w:rStyle w:val="Emphasis"/>
          <w:sz w:val="22"/>
          <w:szCs w:val="22"/>
          <w:u w:val="single"/>
          <w:lang w:val="it-IT"/>
        </w:rPr>
      </w:pPr>
    </w:p>
    <w:p w14:paraId="105F02B2" w14:textId="77777777" w:rsidR="00572BA1" w:rsidRPr="00572BA1" w:rsidRDefault="00572BA1" w:rsidP="00AB1FCF">
      <w:pPr>
        <w:pStyle w:val="Header"/>
        <w:tabs>
          <w:tab w:val="left" w:pos="570"/>
        </w:tabs>
        <w:jc w:val="both"/>
        <w:rPr>
          <w:b/>
          <w:i/>
          <w:sz w:val="22"/>
          <w:szCs w:val="22"/>
          <w:lang w:val="sr-Latn-CS"/>
        </w:rPr>
      </w:pPr>
      <w:r w:rsidRPr="00572BA1">
        <w:rPr>
          <w:b/>
          <w:i/>
          <w:sz w:val="22"/>
          <w:szCs w:val="22"/>
          <w:lang w:val="sr-Latn-CS"/>
        </w:rPr>
        <w:t>Hipertenzija</w:t>
      </w:r>
    </w:p>
    <w:p w14:paraId="27F71D5D" w14:textId="3D186FF1" w:rsidR="00572BA1" w:rsidRPr="00572BA1" w:rsidRDefault="00572BA1" w:rsidP="00AB1FCF">
      <w:pPr>
        <w:pStyle w:val="Header"/>
        <w:tabs>
          <w:tab w:val="left" w:pos="570"/>
        </w:tabs>
        <w:jc w:val="both"/>
        <w:rPr>
          <w:sz w:val="22"/>
          <w:szCs w:val="22"/>
          <w:lang w:val="sr-Latn-CS"/>
        </w:rPr>
      </w:pPr>
      <w:r w:rsidRPr="00572BA1">
        <w:rPr>
          <w:sz w:val="22"/>
          <w:szCs w:val="22"/>
          <w:lang w:val="sr-Latn-CS"/>
        </w:rPr>
        <w:t>Dozu treba individualno prilagoditi prema profilu svakog pacijenta (</w:t>
      </w:r>
      <w:r w:rsidR="006902B3">
        <w:rPr>
          <w:sz w:val="22"/>
          <w:szCs w:val="22"/>
          <w:lang w:val="sr-Latn-CS"/>
        </w:rPr>
        <w:t xml:space="preserve">vidjeti </w:t>
      </w:r>
      <w:r w:rsidR="00136F13">
        <w:rPr>
          <w:sz w:val="22"/>
          <w:szCs w:val="22"/>
          <w:lang w:val="sr-Latn-CS"/>
        </w:rPr>
        <w:t>dio</w:t>
      </w:r>
      <w:r w:rsidRPr="00572BA1">
        <w:rPr>
          <w:sz w:val="22"/>
          <w:szCs w:val="22"/>
          <w:lang w:val="sr-Latn-CS"/>
        </w:rPr>
        <w:t xml:space="preserve"> 4.4) i mogućnosti kontrole krvnog pritiska.</w:t>
      </w:r>
    </w:p>
    <w:p w14:paraId="4E2E4330" w14:textId="601DADA8" w:rsidR="00572BA1" w:rsidRDefault="00136F13" w:rsidP="00AB1FCF">
      <w:pPr>
        <w:pStyle w:val="Header"/>
        <w:tabs>
          <w:tab w:val="left" w:pos="570"/>
        </w:tabs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Lijek</w:t>
      </w:r>
      <w:r w:rsidR="00572BA1" w:rsidRPr="00572BA1">
        <w:rPr>
          <w:sz w:val="22"/>
          <w:szCs w:val="22"/>
          <w:lang w:val="sr-Latn-CS"/>
        </w:rPr>
        <w:t xml:space="preserve"> Prilinda se može koristiti kao monoterapija ili u kombinaciji sa drugim antihipertenzi</w:t>
      </w:r>
      <w:r w:rsidR="0096791E">
        <w:rPr>
          <w:sz w:val="22"/>
          <w:szCs w:val="22"/>
          <w:lang w:val="sr-Latn-RS"/>
        </w:rPr>
        <w:t>č</w:t>
      </w:r>
      <w:r w:rsidR="00572BA1" w:rsidRPr="00572BA1">
        <w:rPr>
          <w:sz w:val="22"/>
          <w:szCs w:val="22"/>
          <w:lang w:val="sr-Latn-CS"/>
        </w:rPr>
        <w:t xml:space="preserve">nim </w:t>
      </w:r>
      <w:r>
        <w:rPr>
          <w:sz w:val="22"/>
          <w:szCs w:val="22"/>
          <w:lang w:val="sr-Latn-CS"/>
        </w:rPr>
        <w:t>ljekovi</w:t>
      </w:r>
      <w:r w:rsidR="00572BA1" w:rsidRPr="00572BA1">
        <w:rPr>
          <w:sz w:val="22"/>
          <w:szCs w:val="22"/>
          <w:lang w:val="sr-Latn-CS"/>
        </w:rPr>
        <w:t xml:space="preserve">ma </w:t>
      </w:r>
      <w:r w:rsidR="006902B3">
        <w:rPr>
          <w:sz w:val="22"/>
          <w:szCs w:val="22"/>
          <w:lang w:val="sr-Latn-CS"/>
        </w:rPr>
        <w:t>vidjeti</w:t>
      </w:r>
      <w:r>
        <w:rPr>
          <w:sz w:val="22"/>
          <w:szCs w:val="22"/>
          <w:lang w:val="sr-Latn-CS"/>
        </w:rPr>
        <w:t xml:space="preserve"> d</w:t>
      </w:r>
      <w:r w:rsidR="006902B3">
        <w:rPr>
          <w:sz w:val="22"/>
          <w:szCs w:val="22"/>
          <w:lang w:val="sr-Latn-CS"/>
        </w:rPr>
        <w:t>jelove</w:t>
      </w:r>
      <w:r w:rsidR="00572BA1" w:rsidRPr="00572BA1">
        <w:rPr>
          <w:sz w:val="22"/>
          <w:szCs w:val="22"/>
          <w:lang w:val="sr-Latn-CS"/>
        </w:rPr>
        <w:t xml:space="preserve">  4.3, 4.4, 4.5 i 5.1). </w:t>
      </w:r>
    </w:p>
    <w:p w14:paraId="738424F3" w14:textId="77777777" w:rsidR="006902B3" w:rsidRPr="00572BA1" w:rsidRDefault="006902B3" w:rsidP="00AB1FCF">
      <w:pPr>
        <w:pStyle w:val="Header"/>
        <w:tabs>
          <w:tab w:val="left" w:pos="570"/>
        </w:tabs>
        <w:jc w:val="both"/>
        <w:rPr>
          <w:sz w:val="22"/>
          <w:szCs w:val="22"/>
          <w:lang w:val="sr-Latn-CS"/>
        </w:rPr>
      </w:pPr>
    </w:p>
    <w:p w14:paraId="5FD47070" w14:textId="77777777" w:rsidR="00572BA1" w:rsidRPr="00572BA1" w:rsidRDefault="00572BA1" w:rsidP="00AB1FCF">
      <w:pPr>
        <w:pStyle w:val="Header"/>
        <w:tabs>
          <w:tab w:val="left" w:pos="570"/>
        </w:tabs>
        <w:jc w:val="both"/>
        <w:rPr>
          <w:sz w:val="22"/>
          <w:szCs w:val="22"/>
          <w:u w:val="single"/>
          <w:lang w:val="sr-Latn-CS"/>
        </w:rPr>
      </w:pPr>
      <w:r w:rsidRPr="00572BA1">
        <w:rPr>
          <w:sz w:val="22"/>
          <w:szCs w:val="22"/>
          <w:u w:val="single"/>
          <w:lang w:val="sr-Latn-CS"/>
        </w:rPr>
        <w:t>Početna doza</w:t>
      </w:r>
    </w:p>
    <w:p w14:paraId="73EA5705" w14:textId="6D9BE9FC" w:rsidR="00572BA1" w:rsidRPr="00572BA1" w:rsidRDefault="00572BA1" w:rsidP="00AB1FCF">
      <w:pPr>
        <w:pStyle w:val="Header"/>
        <w:tabs>
          <w:tab w:val="left" w:pos="570"/>
        </w:tabs>
        <w:jc w:val="both"/>
        <w:rPr>
          <w:sz w:val="22"/>
          <w:szCs w:val="22"/>
          <w:lang w:val="sr-Latn-CS"/>
        </w:rPr>
      </w:pPr>
      <w:r w:rsidRPr="00572BA1">
        <w:rPr>
          <w:sz w:val="22"/>
          <w:szCs w:val="22"/>
          <w:lang w:val="sr-Latn-CS"/>
        </w:rPr>
        <w:t xml:space="preserve">Terapiju </w:t>
      </w:r>
      <w:r w:rsidR="00136F13">
        <w:rPr>
          <w:sz w:val="22"/>
          <w:szCs w:val="22"/>
          <w:lang w:val="sr-Latn-CS"/>
        </w:rPr>
        <w:t>lijek</w:t>
      </w:r>
      <w:r w:rsidRPr="00572BA1">
        <w:rPr>
          <w:sz w:val="22"/>
          <w:szCs w:val="22"/>
          <w:lang w:val="sr-Latn-CS"/>
        </w:rPr>
        <w:t xml:space="preserve">om Prilinda treba uvoditi postepeno, sa početnom preporučenom dozom od 2,5 mg ramiprila dnevno. </w:t>
      </w:r>
    </w:p>
    <w:p w14:paraId="00194EF6" w14:textId="772CFE32" w:rsidR="00572BA1" w:rsidRPr="00572BA1" w:rsidRDefault="00572BA1" w:rsidP="006902B3">
      <w:pPr>
        <w:pStyle w:val="Header"/>
        <w:tabs>
          <w:tab w:val="left" w:pos="570"/>
        </w:tabs>
        <w:jc w:val="both"/>
        <w:rPr>
          <w:sz w:val="22"/>
          <w:szCs w:val="22"/>
          <w:lang w:val="sr-Latn-CS"/>
        </w:rPr>
      </w:pPr>
      <w:r w:rsidRPr="00572BA1">
        <w:rPr>
          <w:sz w:val="22"/>
          <w:szCs w:val="22"/>
          <w:lang w:val="sr-Latn-CS"/>
        </w:rPr>
        <w:t>Kod pacijenata sa visokom aktivnošću sistema renin-angiotenzin-aldosteron, može doći do prekom</w:t>
      </w:r>
      <w:r w:rsidR="003457B5">
        <w:rPr>
          <w:sz w:val="22"/>
          <w:szCs w:val="22"/>
          <w:lang w:val="sr-Latn-CS"/>
        </w:rPr>
        <w:t>j</w:t>
      </w:r>
      <w:r w:rsidRPr="00572BA1">
        <w:rPr>
          <w:sz w:val="22"/>
          <w:szCs w:val="22"/>
          <w:lang w:val="sr-Latn-CS"/>
        </w:rPr>
        <w:t xml:space="preserve">ernog pada krvnog pritiska nakon </w:t>
      </w:r>
      <w:r w:rsidR="00136F13">
        <w:rPr>
          <w:sz w:val="22"/>
          <w:szCs w:val="22"/>
          <w:lang w:val="sr-Latn-CS"/>
        </w:rPr>
        <w:t>primjene</w:t>
      </w:r>
      <w:r w:rsidRPr="00572BA1">
        <w:rPr>
          <w:sz w:val="22"/>
          <w:szCs w:val="22"/>
          <w:lang w:val="sr-Latn-CS"/>
        </w:rPr>
        <w:t xml:space="preserve"> početne doze. Kod ovih pacijenata preporučuje se početna doza od 1,25 mg i terapiju treba započeti pod medicinskim nadzorom (</w:t>
      </w:r>
      <w:r w:rsidR="006902B3">
        <w:rPr>
          <w:sz w:val="22"/>
          <w:szCs w:val="22"/>
          <w:lang w:val="sr-Latn-CS"/>
        </w:rPr>
        <w:t xml:space="preserve">vidjeti </w:t>
      </w:r>
      <w:r w:rsidR="00136F13">
        <w:rPr>
          <w:sz w:val="22"/>
          <w:szCs w:val="22"/>
          <w:lang w:val="sr-Latn-CS"/>
        </w:rPr>
        <w:t>dio</w:t>
      </w:r>
      <w:r w:rsidRPr="00572BA1">
        <w:rPr>
          <w:sz w:val="22"/>
          <w:szCs w:val="22"/>
          <w:lang w:val="sr-Latn-CS"/>
        </w:rPr>
        <w:t xml:space="preserve">  4.4).</w:t>
      </w:r>
    </w:p>
    <w:p w14:paraId="65F6D575" w14:textId="77777777" w:rsidR="00572BA1" w:rsidRPr="00572BA1" w:rsidRDefault="00572BA1" w:rsidP="000F4D88">
      <w:pPr>
        <w:jc w:val="both"/>
        <w:rPr>
          <w:sz w:val="22"/>
          <w:szCs w:val="22"/>
          <w:u w:val="single"/>
          <w:lang w:val="pl-PL"/>
        </w:rPr>
      </w:pPr>
    </w:p>
    <w:p w14:paraId="4DB9F2A4" w14:textId="1420C978" w:rsidR="000F4D88" w:rsidRPr="00572BA1" w:rsidRDefault="00572BA1" w:rsidP="000F4D88">
      <w:pPr>
        <w:pStyle w:val="Header"/>
        <w:tabs>
          <w:tab w:val="left" w:pos="570"/>
        </w:tabs>
        <w:jc w:val="both"/>
        <w:rPr>
          <w:sz w:val="22"/>
          <w:szCs w:val="22"/>
          <w:u w:val="single"/>
          <w:lang w:val="sr-Latn-CS"/>
        </w:rPr>
      </w:pPr>
      <w:r w:rsidRPr="00572BA1">
        <w:rPr>
          <w:sz w:val="22"/>
          <w:szCs w:val="22"/>
          <w:u w:val="single"/>
          <w:lang w:val="sr-Latn-CS"/>
        </w:rPr>
        <w:t>Titracija i doza održavanja</w:t>
      </w:r>
    </w:p>
    <w:p w14:paraId="30755B79" w14:textId="5286BCE6" w:rsidR="00572BA1" w:rsidRPr="00572BA1" w:rsidRDefault="00572BA1" w:rsidP="00AB1FCF">
      <w:pPr>
        <w:pStyle w:val="Header"/>
        <w:tabs>
          <w:tab w:val="left" w:pos="570"/>
        </w:tabs>
        <w:jc w:val="both"/>
        <w:rPr>
          <w:sz w:val="22"/>
          <w:szCs w:val="22"/>
          <w:lang w:val="sr-Latn-CS"/>
        </w:rPr>
      </w:pPr>
      <w:r w:rsidRPr="00572BA1">
        <w:rPr>
          <w:sz w:val="22"/>
          <w:szCs w:val="22"/>
          <w:lang w:val="sr-Latn-CS"/>
        </w:rPr>
        <w:t>Doza se može udvostručavati svake dv</w:t>
      </w:r>
      <w:r w:rsidR="00136F13">
        <w:rPr>
          <w:sz w:val="22"/>
          <w:szCs w:val="22"/>
          <w:lang w:val="sr-Latn-CS"/>
        </w:rPr>
        <w:t>ij</w:t>
      </w:r>
      <w:r w:rsidRPr="00572BA1">
        <w:rPr>
          <w:sz w:val="22"/>
          <w:szCs w:val="22"/>
          <w:lang w:val="sr-Latn-CS"/>
        </w:rPr>
        <w:t>e do četiri ned</w:t>
      </w:r>
      <w:r w:rsidR="00136F13">
        <w:rPr>
          <w:sz w:val="22"/>
          <w:szCs w:val="22"/>
          <w:lang w:val="sr-Latn-CS"/>
        </w:rPr>
        <w:t>j</w:t>
      </w:r>
      <w:r w:rsidRPr="00572BA1">
        <w:rPr>
          <w:sz w:val="22"/>
          <w:szCs w:val="22"/>
          <w:lang w:val="sr-Latn-CS"/>
        </w:rPr>
        <w:t>elje dok se postepeno ne dostigne željena vr</w:t>
      </w:r>
      <w:r w:rsidR="006902B3">
        <w:rPr>
          <w:sz w:val="22"/>
          <w:szCs w:val="22"/>
          <w:lang w:val="sr-Latn-CS"/>
        </w:rPr>
        <w:t>ij</w:t>
      </w:r>
      <w:r w:rsidRPr="00572BA1">
        <w:rPr>
          <w:sz w:val="22"/>
          <w:szCs w:val="22"/>
          <w:lang w:val="sr-Latn-CS"/>
        </w:rPr>
        <w:t xml:space="preserve">ednost krvnog pritiska; maksimalna dozvoljena doza </w:t>
      </w:r>
      <w:r w:rsidR="00136F13">
        <w:rPr>
          <w:sz w:val="22"/>
          <w:szCs w:val="22"/>
          <w:lang w:val="sr-Latn-CS"/>
        </w:rPr>
        <w:t>lijek</w:t>
      </w:r>
      <w:r w:rsidRPr="00572BA1">
        <w:rPr>
          <w:sz w:val="22"/>
          <w:szCs w:val="22"/>
          <w:lang w:val="sr-Latn-CS"/>
        </w:rPr>
        <w:t xml:space="preserve">a Prilinda je 10 mg dnevno. Obično se </w:t>
      </w:r>
      <w:r w:rsidR="00136F13">
        <w:rPr>
          <w:sz w:val="22"/>
          <w:szCs w:val="22"/>
          <w:lang w:val="sr-Latn-CS"/>
        </w:rPr>
        <w:t>lijek</w:t>
      </w:r>
      <w:r w:rsidRPr="00572BA1">
        <w:rPr>
          <w:sz w:val="22"/>
          <w:szCs w:val="22"/>
          <w:lang w:val="sr-Latn-CS"/>
        </w:rPr>
        <w:t xml:space="preserve"> prim</w:t>
      </w:r>
      <w:r w:rsidR="00136F13">
        <w:rPr>
          <w:sz w:val="22"/>
          <w:szCs w:val="22"/>
          <w:lang w:val="sr-Latn-CS"/>
        </w:rPr>
        <w:t>j</w:t>
      </w:r>
      <w:r w:rsidRPr="00572BA1">
        <w:rPr>
          <w:sz w:val="22"/>
          <w:szCs w:val="22"/>
          <w:lang w:val="sr-Latn-CS"/>
        </w:rPr>
        <w:t>enjuje jednom dnevno.</w:t>
      </w:r>
    </w:p>
    <w:p w14:paraId="2142F73E" w14:textId="77777777" w:rsidR="00572BA1" w:rsidRPr="00572BA1" w:rsidRDefault="00572BA1" w:rsidP="003457B5">
      <w:pPr>
        <w:jc w:val="both"/>
        <w:rPr>
          <w:rStyle w:val="Emphasis"/>
          <w:i w:val="0"/>
          <w:sz w:val="22"/>
          <w:szCs w:val="22"/>
          <w:lang w:val="sr-Latn-CS"/>
        </w:rPr>
      </w:pPr>
    </w:p>
    <w:p w14:paraId="0EDAAD96" w14:textId="48DDAA07" w:rsidR="00572BA1" w:rsidRPr="00572BA1" w:rsidRDefault="00572BA1" w:rsidP="000F4D88">
      <w:pPr>
        <w:jc w:val="both"/>
        <w:rPr>
          <w:rStyle w:val="Emphasis"/>
          <w:b/>
          <w:i w:val="0"/>
          <w:sz w:val="22"/>
          <w:szCs w:val="22"/>
          <w:lang w:val="sr-Latn-CS"/>
        </w:rPr>
      </w:pPr>
      <w:r w:rsidRPr="00572BA1">
        <w:rPr>
          <w:rStyle w:val="Emphasis"/>
          <w:b/>
          <w:sz w:val="22"/>
          <w:szCs w:val="22"/>
        </w:rPr>
        <w:t>Kardiovaskularna</w:t>
      </w:r>
      <w:r w:rsidRPr="00572BA1">
        <w:rPr>
          <w:rStyle w:val="Emphasis"/>
          <w:b/>
          <w:sz w:val="22"/>
          <w:szCs w:val="22"/>
          <w:lang w:val="sr-Latn-CS"/>
        </w:rPr>
        <w:t xml:space="preserve"> </w:t>
      </w:r>
      <w:r w:rsidRPr="00572BA1">
        <w:rPr>
          <w:rStyle w:val="Emphasis"/>
          <w:b/>
          <w:sz w:val="22"/>
          <w:szCs w:val="22"/>
        </w:rPr>
        <w:t>prevencija</w:t>
      </w:r>
    </w:p>
    <w:p w14:paraId="76420CA9" w14:textId="77777777" w:rsidR="00572BA1" w:rsidRPr="00572BA1" w:rsidRDefault="00572BA1">
      <w:pPr>
        <w:pStyle w:val="Header"/>
        <w:tabs>
          <w:tab w:val="left" w:pos="570"/>
        </w:tabs>
        <w:jc w:val="both"/>
        <w:rPr>
          <w:sz w:val="22"/>
          <w:szCs w:val="22"/>
          <w:u w:val="single"/>
          <w:lang w:val="sr-Latn-CS"/>
        </w:rPr>
      </w:pPr>
      <w:r w:rsidRPr="00572BA1">
        <w:rPr>
          <w:sz w:val="22"/>
          <w:szCs w:val="22"/>
          <w:u w:val="single"/>
          <w:lang w:val="sr-Latn-CS"/>
        </w:rPr>
        <w:t>Početna doza</w:t>
      </w:r>
    </w:p>
    <w:p w14:paraId="5EEC9FEF" w14:textId="2CD984A2" w:rsidR="00572BA1" w:rsidRDefault="00572BA1" w:rsidP="00AB1FCF">
      <w:pPr>
        <w:pStyle w:val="Header"/>
        <w:tabs>
          <w:tab w:val="left" w:pos="570"/>
        </w:tabs>
        <w:jc w:val="both"/>
        <w:rPr>
          <w:sz w:val="22"/>
          <w:szCs w:val="22"/>
          <w:lang w:val="sr-Latn-CS"/>
        </w:rPr>
      </w:pPr>
      <w:r w:rsidRPr="00572BA1">
        <w:rPr>
          <w:sz w:val="22"/>
          <w:szCs w:val="22"/>
          <w:lang w:val="sr-Latn-CS"/>
        </w:rPr>
        <w:t xml:space="preserve">Preporučena početna doza </w:t>
      </w:r>
      <w:r w:rsidR="00136F13">
        <w:rPr>
          <w:sz w:val="22"/>
          <w:szCs w:val="22"/>
          <w:lang w:val="sr-Latn-CS"/>
        </w:rPr>
        <w:t>lijek</w:t>
      </w:r>
      <w:r w:rsidRPr="00572BA1">
        <w:rPr>
          <w:sz w:val="22"/>
          <w:szCs w:val="22"/>
          <w:lang w:val="sr-Latn-CS"/>
        </w:rPr>
        <w:t>a Prilinda je 2,5 mg jednom dnevno.</w:t>
      </w:r>
    </w:p>
    <w:p w14:paraId="2FC20DF3" w14:textId="77777777" w:rsidR="000F4D88" w:rsidRPr="00572BA1" w:rsidRDefault="000F4D88" w:rsidP="00AB1FCF">
      <w:pPr>
        <w:pStyle w:val="Header"/>
        <w:tabs>
          <w:tab w:val="left" w:pos="570"/>
        </w:tabs>
        <w:jc w:val="both"/>
        <w:rPr>
          <w:sz w:val="22"/>
          <w:szCs w:val="22"/>
          <w:lang w:val="sr-Latn-CS"/>
        </w:rPr>
      </w:pPr>
    </w:p>
    <w:p w14:paraId="36C08D6F" w14:textId="77777777" w:rsidR="00572BA1" w:rsidRPr="00572BA1" w:rsidRDefault="00572BA1" w:rsidP="00AB1FCF">
      <w:pPr>
        <w:pStyle w:val="Header"/>
        <w:tabs>
          <w:tab w:val="left" w:pos="570"/>
        </w:tabs>
        <w:jc w:val="both"/>
        <w:rPr>
          <w:sz w:val="22"/>
          <w:szCs w:val="22"/>
          <w:u w:val="single"/>
          <w:lang w:val="sr-Latn-CS"/>
        </w:rPr>
      </w:pPr>
      <w:r w:rsidRPr="00572BA1">
        <w:rPr>
          <w:sz w:val="22"/>
          <w:szCs w:val="22"/>
          <w:u w:val="single"/>
          <w:lang w:val="sr-Latn-CS"/>
        </w:rPr>
        <w:t>Titracija i doza održavanja</w:t>
      </w:r>
    </w:p>
    <w:p w14:paraId="13FEAD99" w14:textId="171FF7C1" w:rsidR="00572BA1" w:rsidRDefault="00572BA1" w:rsidP="00AB1FCF">
      <w:pPr>
        <w:pStyle w:val="Header"/>
        <w:tabs>
          <w:tab w:val="left" w:pos="570"/>
        </w:tabs>
        <w:jc w:val="both"/>
        <w:rPr>
          <w:sz w:val="22"/>
          <w:szCs w:val="22"/>
          <w:lang w:val="sr-Latn-CS"/>
        </w:rPr>
      </w:pPr>
      <w:r w:rsidRPr="00572BA1">
        <w:rPr>
          <w:sz w:val="22"/>
          <w:szCs w:val="22"/>
          <w:lang w:val="sr-Latn-CS"/>
        </w:rPr>
        <w:t>U zavisnosti od tolerancije pacijenta na aktivnu supstancu, dozu treba postepeno povećavati. Preporučuje se dupliranje doze nakon prve ili druge ned</w:t>
      </w:r>
      <w:r w:rsidR="00136F13">
        <w:rPr>
          <w:sz w:val="22"/>
          <w:szCs w:val="22"/>
          <w:lang w:val="sr-Latn-CS"/>
        </w:rPr>
        <w:t>j</w:t>
      </w:r>
      <w:r w:rsidRPr="00572BA1">
        <w:rPr>
          <w:sz w:val="22"/>
          <w:szCs w:val="22"/>
          <w:lang w:val="sr-Latn-CS"/>
        </w:rPr>
        <w:t>elje terapije, i nakon sl</w:t>
      </w:r>
      <w:r w:rsidR="000F4D88">
        <w:rPr>
          <w:sz w:val="22"/>
          <w:szCs w:val="22"/>
          <w:lang w:val="sr-Latn-CS"/>
        </w:rPr>
        <w:t>j</w:t>
      </w:r>
      <w:r w:rsidRPr="00572BA1">
        <w:rPr>
          <w:sz w:val="22"/>
          <w:szCs w:val="22"/>
          <w:lang w:val="sr-Latn-CS"/>
        </w:rPr>
        <w:t>edeće dv</w:t>
      </w:r>
      <w:r w:rsidR="00CA30AF">
        <w:rPr>
          <w:sz w:val="22"/>
          <w:szCs w:val="22"/>
          <w:lang w:val="sr-Latn-CS"/>
        </w:rPr>
        <w:t>ij</w:t>
      </w:r>
      <w:r w:rsidRPr="00572BA1">
        <w:rPr>
          <w:sz w:val="22"/>
          <w:szCs w:val="22"/>
          <w:lang w:val="sr-Latn-CS"/>
        </w:rPr>
        <w:t>e do tri ned</w:t>
      </w:r>
      <w:r w:rsidR="00136F13">
        <w:rPr>
          <w:sz w:val="22"/>
          <w:szCs w:val="22"/>
          <w:lang w:val="sr-Latn-CS"/>
        </w:rPr>
        <w:t>j</w:t>
      </w:r>
      <w:r w:rsidRPr="00572BA1">
        <w:rPr>
          <w:sz w:val="22"/>
          <w:szCs w:val="22"/>
          <w:lang w:val="sr-Latn-CS"/>
        </w:rPr>
        <w:t xml:space="preserve">elje  - povećanje doze do ciljne doze održavanja od 10 mg </w:t>
      </w:r>
      <w:r w:rsidR="00136F13">
        <w:rPr>
          <w:sz w:val="22"/>
          <w:szCs w:val="22"/>
          <w:lang w:val="sr-Latn-CS"/>
        </w:rPr>
        <w:t>lijek</w:t>
      </w:r>
      <w:r w:rsidRPr="00572BA1">
        <w:rPr>
          <w:sz w:val="22"/>
          <w:szCs w:val="22"/>
          <w:lang w:val="sr-Latn-CS"/>
        </w:rPr>
        <w:t>a Prilinda jednom dnevno.</w:t>
      </w:r>
    </w:p>
    <w:p w14:paraId="40705DE3" w14:textId="77777777" w:rsidR="000F4D88" w:rsidRPr="00572BA1" w:rsidRDefault="000F4D88" w:rsidP="00AB1FCF">
      <w:pPr>
        <w:pStyle w:val="Header"/>
        <w:tabs>
          <w:tab w:val="left" w:pos="570"/>
        </w:tabs>
        <w:jc w:val="both"/>
        <w:rPr>
          <w:sz w:val="22"/>
          <w:szCs w:val="22"/>
          <w:lang w:val="sr-Latn-CS"/>
        </w:rPr>
      </w:pPr>
    </w:p>
    <w:p w14:paraId="2C568AFE" w14:textId="7C43A476" w:rsidR="00572BA1" w:rsidRPr="00572BA1" w:rsidRDefault="00572BA1" w:rsidP="00AB1FCF">
      <w:pPr>
        <w:pStyle w:val="Header"/>
        <w:tabs>
          <w:tab w:val="left" w:pos="570"/>
        </w:tabs>
        <w:jc w:val="both"/>
        <w:rPr>
          <w:sz w:val="22"/>
          <w:szCs w:val="22"/>
          <w:lang w:val="sr-Latn-CS"/>
        </w:rPr>
      </w:pPr>
      <w:r w:rsidRPr="00572BA1">
        <w:rPr>
          <w:sz w:val="22"/>
          <w:szCs w:val="22"/>
          <w:lang w:val="sr-Latn-CS"/>
        </w:rPr>
        <w:t xml:space="preserve">Pogledati </w:t>
      </w:r>
      <w:r w:rsidR="000F4D88">
        <w:rPr>
          <w:sz w:val="22"/>
          <w:szCs w:val="22"/>
          <w:lang w:val="sr-Latn-CS"/>
        </w:rPr>
        <w:t xml:space="preserve">i </w:t>
      </w:r>
      <w:r w:rsidRPr="00572BA1">
        <w:rPr>
          <w:sz w:val="22"/>
          <w:szCs w:val="22"/>
          <w:lang w:val="sr-Latn-CS"/>
        </w:rPr>
        <w:t>gore navedeno doziranje i način upotrebe kod pacijenata koji su na terapiji diureticima.</w:t>
      </w:r>
    </w:p>
    <w:p w14:paraId="0F1F05E6" w14:textId="77777777" w:rsidR="00572BA1" w:rsidRPr="00572BA1" w:rsidRDefault="00572BA1" w:rsidP="000F4D88">
      <w:pPr>
        <w:jc w:val="both"/>
        <w:rPr>
          <w:rStyle w:val="Emphasis"/>
          <w:sz w:val="22"/>
          <w:szCs w:val="22"/>
          <w:lang w:val="sr-Latn-CS"/>
        </w:rPr>
      </w:pPr>
    </w:p>
    <w:p w14:paraId="3431F0F1" w14:textId="77777777" w:rsidR="00572BA1" w:rsidRPr="00AB1FCF" w:rsidRDefault="00572BA1">
      <w:pPr>
        <w:jc w:val="both"/>
        <w:rPr>
          <w:rStyle w:val="Emphasis"/>
          <w:b/>
          <w:sz w:val="22"/>
          <w:szCs w:val="22"/>
          <w:lang w:val="sr-Latn-CS"/>
        </w:rPr>
      </w:pPr>
      <w:r w:rsidRPr="00572BA1">
        <w:rPr>
          <w:rStyle w:val="Emphasis"/>
          <w:b/>
          <w:sz w:val="22"/>
          <w:szCs w:val="22"/>
          <w:lang w:val="it-IT"/>
        </w:rPr>
        <w:t>Terapija</w:t>
      </w:r>
      <w:r w:rsidRPr="00AB1FCF">
        <w:rPr>
          <w:rStyle w:val="Emphasis"/>
          <w:b/>
          <w:sz w:val="22"/>
          <w:szCs w:val="22"/>
          <w:lang w:val="sr-Latn-CS"/>
        </w:rPr>
        <w:t xml:space="preserve"> </w:t>
      </w:r>
      <w:r w:rsidRPr="00572BA1">
        <w:rPr>
          <w:rStyle w:val="Emphasis"/>
          <w:b/>
          <w:sz w:val="22"/>
          <w:szCs w:val="22"/>
          <w:lang w:val="it-IT"/>
        </w:rPr>
        <w:t>renalne</w:t>
      </w:r>
      <w:r w:rsidRPr="00AB1FCF">
        <w:rPr>
          <w:rStyle w:val="Emphasis"/>
          <w:b/>
          <w:sz w:val="22"/>
          <w:szCs w:val="22"/>
          <w:lang w:val="sr-Latn-CS"/>
        </w:rPr>
        <w:t xml:space="preserve"> </w:t>
      </w:r>
      <w:r w:rsidRPr="00572BA1">
        <w:rPr>
          <w:rStyle w:val="Emphasis"/>
          <w:b/>
          <w:sz w:val="22"/>
          <w:szCs w:val="22"/>
          <w:lang w:val="it-IT"/>
        </w:rPr>
        <w:t>bolesti</w:t>
      </w:r>
    </w:p>
    <w:p w14:paraId="29681F57" w14:textId="77777777" w:rsidR="00572BA1" w:rsidRPr="00AB1FCF" w:rsidRDefault="00572BA1">
      <w:pPr>
        <w:jc w:val="both"/>
        <w:rPr>
          <w:rStyle w:val="Emphasis"/>
          <w:sz w:val="22"/>
          <w:szCs w:val="22"/>
          <w:lang w:val="sr-Latn-CS"/>
        </w:rPr>
      </w:pPr>
      <w:r w:rsidRPr="00AB1FCF">
        <w:rPr>
          <w:rStyle w:val="Emphasis"/>
          <w:sz w:val="22"/>
          <w:szCs w:val="22"/>
          <w:lang w:val="it-IT"/>
        </w:rPr>
        <w:t>Pacijenti</w:t>
      </w:r>
      <w:r w:rsidRPr="00AB1FCF">
        <w:rPr>
          <w:rStyle w:val="Emphasis"/>
          <w:sz w:val="22"/>
          <w:szCs w:val="22"/>
          <w:lang w:val="sr-Latn-CS"/>
        </w:rPr>
        <w:t xml:space="preserve"> </w:t>
      </w:r>
      <w:r w:rsidRPr="00AB1FCF">
        <w:rPr>
          <w:rStyle w:val="Emphasis"/>
          <w:sz w:val="22"/>
          <w:szCs w:val="22"/>
          <w:lang w:val="it-IT"/>
        </w:rPr>
        <w:t>sa</w:t>
      </w:r>
      <w:r w:rsidRPr="00AB1FCF">
        <w:rPr>
          <w:rStyle w:val="Emphasis"/>
          <w:sz w:val="22"/>
          <w:szCs w:val="22"/>
          <w:lang w:val="sr-Latn-CS"/>
        </w:rPr>
        <w:t xml:space="preserve"> </w:t>
      </w:r>
      <w:r w:rsidRPr="00AB1FCF">
        <w:rPr>
          <w:rStyle w:val="Emphasis"/>
          <w:sz w:val="22"/>
          <w:szCs w:val="22"/>
          <w:lang w:val="it-IT"/>
        </w:rPr>
        <w:t>dijabetesom</w:t>
      </w:r>
      <w:r w:rsidRPr="00AB1FCF">
        <w:rPr>
          <w:rStyle w:val="Emphasis"/>
          <w:sz w:val="22"/>
          <w:szCs w:val="22"/>
          <w:lang w:val="sr-Latn-CS"/>
        </w:rPr>
        <w:t xml:space="preserve"> </w:t>
      </w:r>
      <w:r w:rsidRPr="00AB1FCF">
        <w:rPr>
          <w:rStyle w:val="Emphasis"/>
          <w:sz w:val="22"/>
          <w:szCs w:val="22"/>
          <w:lang w:val="it-IT"/>
        </w:rPr>
        <w:t>i</w:t>
      </w:r>
      <w:r w:rsidRPr="00AB1FCF">
        <w:rPr>
          <w:rStyle w:val="Emphasis"/>
          <w:sz w:val="22"/>
          <w:szCs w:val="22"/>
          <w:lang w:val="sr-Latn-CS"/>
        </w:rPr>
        <w:t xml:space="preserve"> </w:t>
      </w:r>
      <w:r w:rsidRPr="00AB1FCF">
        <w:rPr>
          <w:rStyle w:val="Emphasis"/>
          <w:sz w:val="22"/>
          <w:szCs w:val="22"/>
          <w:lang w:val="it-IT"/>
        </w:rPr>
        <w:t>mikroalbuminurijom</w:t>
      </w:r>
    </w:p>
    <w:p w14:paraId="1A8709D3" w14:textId="77777777" w:rsidR="00572BA1" w:rsidRPr="00AB1FCF" w:rsidRDefault="00572BA1">
      <w:pPr>
        <w:jc w:val="both"/>
        <w:rPr>
          <w:rStyle w:val="Emphasis"/>
          <w:i w:val="0"/>
          <w:sz w:val="22"/>
          <w:szCs w:val="22"/>
          <w:u w:val="single"/>
          <w:lang w:val="sr-Latn-CS"/>
        </w:rPr>
      </w:pPr>
    </w:p>
    <w:p w14:paraId="4990A67D" w14:textId="77777777" w:rsidR="00572BA1" w:rsidRPr="00572BA1" w:rsidRDefault="00572BA1" w:rsidP="00AB1FCF">
      <w:pPr>
        <w:pStyle w:val="Header"/>
        <w:tabs>
          <w:tab w:val="left" w:pos="570"/>
        </w:tabs>
        <w:jc w:val="both"/>
        <w:rPr>
          <w:sz w:val="22"/>
          <w:szCs w:val="22"/>
          <w:u w:val="single"/>
          <w:lang w:val="sr-Latn-CS"/>
        </w:rPr>
      </w:pPr>
      <w:r w:rsidRPr="00572BA1">
        <w:rPr>
          <w:sz w:val="22"/>
          <w:szCs w:val="22"/>
          <w:u w:val="single"/>
          <w:lang w:val="sr-Latn-CS"/>
        </w:rPr>
        <w:t>Početna doza</w:t>
      </w:r>
    </w:p>
    <w:p w14:paraId="4D4FE426" w14:textId="05BF5312" w:rsidR="00572BA1" w:rsidRDefault="00572BA1" w:rsidP="003457B5">
      <w:pPr>
        <w:pStyle w:val="Header"/>
        <w:tabs>
          <w:tab w:val="left" w:pos="570"/>
        </w:tabs>
        <w:spacing w:before="120"/>
        <w:jc w:val="both"/>
        <w:rPr>
          <w:sz w:val="22"/>
          <w:szCs w:val="22"/>
          <w:lang w:val="sr-Latn-CS"/>
        </w:rPr>
      </w:pPr>
      <w:r w:rsidRPr="00572BA1">
        <w:rPr>
          <w:sz w:val="22"/>
          <w:szCs w:val="22"/>
          <w:lang w:val="sr-Latn-CS"/>
        </w:rPr>
        <w:t xml:space="preserve">Preporučena početna doza </w:t>
      </w:r>
      <w:r w:rsidR="00136F13">
        <w:rPr>
          <w:sz w:val="22"/>
          <w:szCs w:val="22"/>
          <w:lang w:val="sr-Latn-CS"/>
        </w:rPr>
        <w:t>lijek</w:t>
      </w:r>
      <w:r w:rsidRPr="00572BA1">
        <w:rPr>
          <w:sz w:val="22"/>
          <w:szCs w:val="22"/>
          <w:lang w:val="sr-Latn-CS"/>
        </w:rPr>
        <w:t>a Prilinda je 1,25 mg jednom dnevno.</w:t>
      </w:r>
    </w:p>
    <w:p w14:paraId="17E29F9A" w14:textId="77777777" w:rsidR="000F4D88" w:rsidRPr="00572BA1" w:rsidRDefault="000F4D88" w:rsidP="003457B5">
      <w:pPr>
        <w:pStyle w:val="Header"/>
        <w:tabs>
          <w:tab w:val="left" w:pos="570"/>
        </w:tabs>
        <w:spacing w:before="120"/>
        <w:jc w:val="both"/>
        <w:rPr>
          <w:sz w:val="22"/>
          <w:szCs w:val="22"/>
          <w:lang w:val="sr-Latn-CS"/>
        </w:rPr>
      </w:pPr>
    </w:p>
    <w:p w14:paraId="0CF05E60" w14:textId="77777777" w:rsidR="00572BA1" w:rsidRPr="00572BA1" w:rsidRDefault="00572BA1" w:rsidP="00AB1FCF">
      <w:pPr>
        <w:pStyle w:val="Header"/>
        <w:tabs>
          <w:tab w:val="left" w:pos="570"/>
        </w:tabs>
        <w:jc w:val="both"/>
        <w:rPr>
          <w:sz w:val="22"/>
          <w:szCs w:val="22"/>
          <w:u w:val="single"/>
          <w:lang w:val="sr-Latn-CS"/>
        </w:rPr>
      </w:pPr>
      <w:r w:rsidRPr="00572BA1">
        <w:rPr>
          <w:sz w:val="22"/>
          <w:szCs w:val="22"/>
          <w:u w:val="single"/>
          <w:lang w:val="sr-Latn-CS"/>
        </w:rPr>
        <w:t>Titracija i doza održavanja</w:t>
      </w:r>
    </w:p>
    <w:p w14:paraId="7C6130CF" w14:textId="7AD0B98A" w:rsidR="00572BA1" w:rsidRPr="00572BA1" w:rsidRDefault="00572BA1" w:rsidP="00AB1FCF">
      <w:pPr>
        <w:pStyle w:val="Header"/>
        <w:tabs>
          <w:tab w:val="left" w:pos="570"/>
        </w:tabs>
        <w:jc w:val="both"/>
        <w:rPr>
          <w:sz w:val="22"/>
          <w:szCs w:val="22"/>
          <w:lang w:val="sr-Latn-CS"/>
        </w:rPr>
      </w:pPr>
      <w:r w:rsidRPr="00572BA1">
        <w:rPr>
          <w:sz w:val="22"/>
          <w:szCs w:val="22"/>
          <w:lang w:val="sr-Latn-CS"/>
        </w:rPr>
        <w:t xml:space="preserve">U zavisnosti od tolerancije pacijenta na aktivnu supstancu, dozu treba postepeno povećavati. Preporučuje se dupliranje doze na 2,5 mg jednom dnevno </w:t>
      </w:r>
      <w:r w:rsidR="000F4D88">
        <w:rPr>
          <w:sz w:val="22"/>
          <w:szCs w:val="22"/>
          <w:lang w:val="sr-Latn-CS"/>
        </w:rPr>
        <w:t>nakon</w:t>
      </w:r>
      <w:r w:rsidR="000F4D88" w:rsidRPr="00572BA1">
        <w:rPr>
          <w:sz w:val="22"/>
          <w:szCs w:val="22"/>
          <w:lang w:val="sr-Latn-CS"/>
        </w:rPr>
        <w:t xml:space="preserve"> </w:t>
      </w:r>
      <w:r w:rsidRPr="00572BA1">
        <w:rPr>
          <w:sz w:val="22"/>
          <w:szCs w:val="22"/>
          <w:lang w:val="sr-Latn-CS"/>
        </w:rPr>
        <w:t>prve dv</w:t>
      </w:r>
      <w:r w:rsidR="003457B5">
        <w:rPr>
          <w:sz w:val="22"/>
          <w:szCs w:val="22"/>
          <w:lang w:val="sr-Latn-CS"/>
        </w:rPr>
        <w:t>ij</w:t>
      </w:r>
      <w:r w:rsidRPr="00572BA1">
        <w:rPr>
          <w:sz w:val="22"/>
          <w:szCs w:val="22"/>
          <w:lang w:val="sr-Latn-CS"/>
        </w:rPr>
        <w:t>e ned</w:t>
      </w:r>
      <w:r w:rsidR="000F4D88">
        <w:rPr>
          <w:sz w:val="22"/>
          <w:szCs w:val="22"/>
          <w:lang w:val="sr-Latn-CS"/>
        </w:rPr>
        <w:t>j</w:t>
      </w:r>
      <w:r w:rsidRPr="00572BA1">
        <w:rPr>
          <w:sz w:val="22"/>
          <w:szCs w:val="22"/>
          <w:lang w:val="sr-Latn-CS"/>
        </w:rPr>
        <w:t>elje, a zatim na 5 mg  posl</w:t>
      </w:r>
      <w:r w:rsidR="00136F13">
        <w:rPr>
          <w:sz w:val="22"/>
          <w:szCs w:val="22"/>
          <w:lang w:val="sr-Latn-CS"/>
        </w:rPr>
        <w:t>ij</w:t>
      </w:r>
      <w:r w:rsidRPr="00572BA1">
        <w:rPr>
          <w:sz w:val="22"/>
          <w:szCs w:val="22"/>
          <w:lang w:val="sr-Latn-CS"/>
        </w:rPr>
        <w:t>e sl</w:t>
      </w:r>
      <w:r w:rsidR="000F4D88">
        <w:rPr>
          <w:sz w:val="22"/>
          <w:szCs w:val="22"/>
          <w:lang w:val="sr-Latn-CS"/>
        </w:rPr>
        <w:t>j</w:t>
      </w:r>
      <w:r w:rsidRPr="00572BA1">
        <w:rPr>
          <w:sz w:val="22"/>
          <w:szCs w:val="22"/>
          <w:lang w:val="sr-Latn-CS"/>
        </w:rPr>
        <w:t>edeće dv</w:t>
      </w:r>
      <w:r w:rsidR="00136F13">
        <w:rPr>
          <w:sz w:val="22"/>
          <w:szCs w:val="22"/>
          <w:lang w:val="sr-Latn-CS"/>
        </w:rPr>
        <w:t>ij</w:t>
      </w:r>
      <w:r w:rsidRPr="00572BA1">
        <w:rPr>
          <w:sz w:val="22"/>
          <w:szCs w:val="22"/>
          <w:lang w:val="sr-Latn-CS"/>
        </w:rPr>
        <w:t>e ned</w:t>
      </w:r>
      <w:r w:rsidR="00136F13">
        <w:rPr>
          <w:sz w:val="22"/>
          <w:szCs w:val="22"/>
          <w:lang w:val="sr-Latn-CS"/>
        </w:rPr>
        <w:t>j</w:t>
      </w:r>
      <w:r w:rsidRPr="00572BA1">
        <w:rPr>
          <w:sz w:val="22"/>
          <w:szCs w:val="22"/>
          <w:lang w:val="sr-Latn-CS"/>
        </w:rPr>
        <w:t>elje.</w:t>
      </w:r>
    </w:p>
    <w:p w14:paraId="379A6E49" w14:textId="77777777" w:rsidR="00572BA1" w:rsidRPr="00572BA1" w:rsidRDefault="00572BA1" w:rsidP="003457B5">
      <w:pPr>
        <w:pStyle w:val="Header"/>
        <w:tabs>
          <w:tab w:val="left" w:pos="570"/>
        </w:tabs>
        <w:jc w:val="both"/>
        <w:rPr>
          <w:sz w:val="22"/>
          <w:szCs w:val="22"/>
          <w:lang w:val="sr-Latn-CS"/>
        </w:rPr>
      </w:pPr>
    </w:p>
    <w:p w14:paraId="357F7A22" w14:textId="346ACBA9" w:rsidR="00572BA1" w:rsidRPr="00572BA1" w:rsidRDefault="00572BA1" w:rsidP="000F4D88">
      <w:pPr>
        <w:pStyle w:val="Header"/>
        <w:tabs>
          <w:tab w:val="left" w:pos="570"/>
        </w:tabs>
        <w:jc w:val="both"/>
        <w:rPr>
          <w:i/>
          <w:sz w:val="22"/>
          <w:szCs w:val="22"/>
          <w:u w:val="single"/>
          <w:lang w:val="sr-Latn-CS"/>
        </w:rPr>
      </w:pPr>
      <w:r w:rsidRPr="00AB1FCF">
        <w:rPr>
          <w:i/>
          <w:sz w:val="22"/>
          <w:szCs w:val="22"/>
          <w:lang w:val="sr-Latn-CS"/>
        </w:rPr>
        <w:t>Kod pacijenata sa dijabetesom i najmanje jednim kardiovaskularnim faktorom rizika</w:t>
      </w:r>
    </w:p>
    <w:p w14:paraId="767D3B59" w14:textId="77777777" w:rsidR="00572BA1" w:rsidRPr="00572BA1" w:rsidRDefault="00572BA1">
      <w:pPr>
        <w:pStyle w:val="Header"/>
        <w:tabs>
          <w:tab w:val="left" w:pos="570"/>
        </w:tabs>
        <w:jc w:val="both"/>
        <w:rPr>
          <w:sz w:val="22"/>
          <w:szCs w:val="22"/>
          <w:u w:val="single"/>
          <w:lang w:val="sr-Latn-CS"/>
        </w:rPr>
      </w:pPr>
      <w:r w:rsidRPr="00572BA1">
        <w:rPr>
          <w:sz w:val="22"/>
          <w:szCs w:val="22"/>
          <w:u w:val="single"/>
          <w:lang w:val="sr-Latn-CS"/>
        </w:rPr>
        <w:t>Početna doza</w:t>
      </w:r>
    </w:p>
    <w:p w14:paraId="3D5AACBC" w14:textId="389CD899" w:rsidR="00572BA1" w:rsidRPr="00572BA1" w:rsidRDefault="00572BA1" w:rsidP="00AB1FCF">
      <w:pPr>
        <w:pStyle w:val="Header"/>
        <w:tabs>
          <w:tab w:val="left" w:pos="570"/>
        </w:tabs>
        <w:jc w:val="both"/>
        <w:rPr>
          <w:sz w:val="22"/>
          <w:szCs w:val="22"/>
          <w:lang w:val="sr-Latn-CS"/>
        </w:rPr>
      </w:pPr>
      <w:r w:rsidRPr="00572BA1">
        <w:rPr>
          <w:sz w:val="22"/>
          <w:szCs w:val="22"/>
          <w:lang w:val="sr-Latn-CS"/>
        </w:rPr>
        <w:t xml:space="preserve">Preporučena početna doza </w:t>
      </w:r>
      <w:r w:rsidR="00136F13">
        <w:rPr>
          <w:sz w:val="22"/>
          <w:szCs w:val="22"/>
          <w:lang w:val="sr-Latn-CS"/>
        </w:rPr>
        <w:t>lijek</w:t>
      </w:r>
      <w:r w:rsidRPr="00572BA1">
        <w:rPr>
          <w:sz w:val="22"/>
          <w:szCs w:val="22"/>
          <w:lang w:val="sr-Latn-CS"/>
        </w:rPr>
        <w:t>a Prilinda je 2,5 mg jednom dnevno.</w:t>
      </w:r>
    </w:p>
    <w:p w14:paraId="5AA1753F" w14:textId="77777777" w:rsidR="00572BA1" w:rsidRPr="00572BA1" w:rsidRDefault="00572BA1" w:rsidP="000F4D88">
      <w:pPr>
        <w:pStyle w:val="Header"/>
        <w:tabs>
          <w:tab w:val="left" w:pos="570"/>
        </w:tabs>
        <w:jc w:val="both"/>
        <w:rPr>
          <w:sz w:val="22"/>
          <w:szCs w:val="22"/>
          <w:lang w:val="sr-Latn-CS"/>
        </w:rPr>
      </w:pPr>
    </w:p>
    <w:p w14:paraId="7F1BE0A1" w14:textId="77777777" w:rsidR="00572BA1" w:rsidRPr="00572BA1" w:rsidRDefault="00572BA1">
      <w:pPr>
        <w:pStyle w:val="Header"/>
        <w:tabs>
          <w:tab w:val="left" w:pos="570"/>
        </w:tabs>
        <w:jc w:val="both"/>
        <w:rPr>
          <w:sz w:val="22"/>
          <w:szCs w:val="22"/>
          <w:u w:val="single"/>
          <w:lang w:val="sr-Latn-CS"/>
        </w:rPr>
      </w:pPr>
      <w:r w:rsidRPr="00572BA1">
        <w:rPr>
          <w:sz w:val="22"/>
          <w:szCs w:val="22"/>
          <w:u w:val="single"/>
          <w:lang w:val="sr-Latn-CS"/>
        </w:rPr>
        <w:t>Titracija i doza održavanja</w:t>
      </w:r>
    </w:p>
    <w:p w14:paraId="6B856C28" w14:textId="2E9D83C6" w:rsidR="00572BA1" w:rsidRPr="00572BA1" w:rsidRDefault="00572BA1" w:rsidP="00AB1FCF">
      <w:pPr>
        <w:pStyle w:val="Header"/>
        <w:tabs>
          <w:tab w:val="left" w:pos="570"/>
        </w:tabs>
        <w:jc w:val="both"/>
        <w:rPr>
          <w:sz w:val="22"/>
          <w:szCs w:val="22"/>
          <w:lang w:val="sr-Latn-CS"/>
        </w:rPr>
      </w:pPr>
      <w:r w:rsidRPr="00572BA1">
        <w:rPr>
          <w:sz w:val="22"/>
          <w:szCs w:val="22"/>
          <w:lang w:val="sr-Latn-CS"/>
        </w:rPr>
        <w:t xml:space="preserve">U zavisnosti od tolerancije pacijenta na aktivnu supstancu, dozu treba postepeno povećavati. Preporučuje se dupliranje dnevne doze na 5 mg </w:t>
      </w:r>
      <w:r w:rsidR="00136F13">
        <w:rPr>
          <w:sz w:val="22"/>
          <w:szCs w:val="22"/>
          <w:lang w:val="sr-Latn-CS"/>
        </w:rPr>
        <w:t>lijek</w:t>
      </w:r>
      <w:r w:rsidRPr="00572BA1">
        <w:rPr>
          <w:sz w:val="22"/>
          <w:szCs w:val="22"/>
          <w:lang w:val="sr-Latn-CS"/>
        </w:rPr>
        <w:t>a nakon prve ili druge ned</w:t>
      </w:r>
      <w:r w:rsidR="00136F13">
        <w:rPr>
          <w:sz w:val="22"/>
          <w:szCs w:val="22"/>
          <w:lang w:val="sr-Latn-CS"/>
        </w:rPr>
        <w:t>j</w:t>
      </w:r>
      <w:r w:rsidRPr="00572BA1">
        <w:rPr>
          <w:sz w:val="22"/>
          <w:szCs w:val="22"/>
          <w:lang w:val="sr-Latn-CS"/>
        </w:rPr>
        <w:t>elje terapije a onda, posl</w:t>
      </w:r>
      <w:r w:rsidR="00136F13">
        <w:rPr>
          <w:sz w:val="22"/>
          <w:szCs w:val="22"/>
          <w:lang w:val="sr-Latn-CS"/>
        </w:rPr>
        <w:t>ij</w:t>
      </w:r>
      <w:r w:rsidRPr="00572BA1">
        <w:rPr>
          <w:sz w:val="22"/>
          <w:szCs w:val="22"/>
          <w:lang w:val="sr-Latn-CS"/>
        </w:rPr>
        <w:t>e još dv</w:t>
      </w:r>
      <w:r w:rsidR="00136F13">
        <w:rPr>
          <w:sz w:val="22"/>
          <w:szCs w:val="22"/>
          <w:lang w:val="sr-Latn-CS"/>
        </w:rPr>
        <w:t>ij</w:t>
      </w:r>
      <w:r w:rsidRPr="00572BA1">
        <w:rPr>
          <w:sz w:val="22"/>
          <w:szCs w:val="22"/>
          <w:lang w:val="sr-Latn-CS"/>
        </w:rPr>
        <w:t>e do tri ned</w:t>
      </w:r>
      <w:r w:rsidR="00136F13">
        <w:rPr>
          <w:sz w:val="22"/>
          <w:szCs w:val="22"/>
          <w:lang w:val="sr-Latn-CS"/>
        </w:rPr>
        <w:t>j</w:t>
      </w:r>
      <w:r w:rsidRPr="00572BA1">
        <w:rPr>
          <w:sz w:val="22"/>
          <w:szCs w:val="22"/>
          <w:lang w:val="sr-Latn-CS"/>
        </w:rPr>
        <w:t xml:space="preserve">elje povećanje doze na 10 mg </w:t>
      </w:r>
      <w:r w:rsidR="00136F13">
        <w:rPr>
          <w:sz w:val="22"/>
          <w:szCs w:val="22"/>
          <w:lang w:val="sr-Latn-CS"/>
        </w:rPr>
        <w:t>lijek</w:t>
      </w:r>
      <w:r w:rsidRPr="00572BA1">
        <w:rPr>
          <w:sz w:val="22"/>
          <w:szCs w:val="22"/>
          <w:lang w:val="sr-Latn-CS"/>
        </w:rPr>
        <w:t>a. Ciljna dnevna doza je 10 mg dnevno.</w:t>
      </w:r>
    </w:p>
    <w:p w14:paraId="78933B7B" w14:textId="77777777" w:rsidR="00572BA1" w:rsidRPr="00572BA1" w:rsidRDefault="00572BA1" w:rsidP="000F4D88">
      <w:pPr>
        <w:jc w:val="both"/>
        <w:rPr>
          <w:rStyle w:val="Emphasis"/>
          <w:i w:val="0"/>
          <w:sz w:val="22"/>
          <w:szCs w:val="22"/>
          <w:u w:val="single"/>
          <w:lang w:val="sr-Latn-CS"/>
        </w:rPr>
      </w:pPr>
    </w:p>
    <w:p w14:paraId="435DCEC0" w14:textId="7B41B633" w:rsidR="00572BA1" w:rsidRPr="00AB1FCF" w:rsidRDefault="00572BA1" w:rsidP="000F4D88">
      <w:pPr>
        <w:pStyle w:val="Header"/>
        <w:tabs>
          <w:tab w:val="left" w:pos="570"/>
        </w:tabs>
        <w:jc w:val="both"/>
        <w:rPr>
          <w:i/>
          <w:sz w:val="22"/>
          <w:szCs w:val="22"/>
          <w:lang w:val="sr-Latn-CS"/>
        </w:rPr>
      </w:pPr>
      <w:r w:rsidRPr="00AB1FCF">
        <w:rPr>
          <w:i/>
          <w:sz w:val="22"/>
          <w:szCs w:val="22"/>
          <w:lang w:val="sr-Latn-CS"/>
        </w:rPr>
        <w:t>Kod pacijenata sa nedijabetesnom nefropatijom definisanom pojavom makroproteinurije ≥</w:t>
      </w:r>
      <w:r w:rsidR="000F4D88">
        <w:rPr>
          <w:i/>
          <w:sz w:val="22"/>
          <w:szCs w:val="22"/>
          <w:lang w:val="sr-Latn-CS"/>
        </w:rPr>
        <w:t xml:space="preserve"> </w:t>
      </w:r>
      <w:r w:rsidRPr="00AB1FCF">
        <w:rPr>
          <w:i/>
          <w:sz w:val="22"/>
          <w:szCs w:val="22"/>
          <w:lang w:val="sr-Latn-CS"/>
        </w:rPr>
        <w:t xml:space="preserve">3g/dan </w:t>
      </w:r>
    </w:p>
    <w:p w14:paraId="7F28AD0F" w14:textId="77777777" w:rsidR="00572BA1" w:rsidRPr="00572BA1" w:rsidRDefault="00572BA1" w:rsidP="000F4D88">
      <w:pPr>
        <w:pStyle w:val="Header"/>
        <w:tabs>
          <w:tab w:val="left" w:pos="570"/>
        </w:tabs>
        <w:jc w:val="both"/>
        <w:rPr>
          <w:sz w:val="22"/>
          <w:szCs w:val="22"/>
          <w:u w:val="single"/>
          <w:lang w:val="sr-Latn-CS"/>
        </w:rPr>
      </w:pPr>
      <w:r w:rsidRPr="00572BA1">
        <w:rPr>
          <w:sz w:val="22"/>
          <w:szCs w:val="22"/>
          <w:u w:val="single"/>
          <w:lang w:val="sr-Latn-CS"/>
        </w:rPr>
        <w:t>Početna doza</w:t>
      </w:r>
    </w:p>
    <w:p w14:paraId="568409F7" w14:textId="0C658FCD" w:rsidR="00572BA1" w:rsidRPr="00572BA1" w:rsidRDefault="00572BA1" w:rsidP="00AB1FCF">
      <w:pPr>
        <w:pStyle w:val="Header"/>
        <w:tabs>
          <w:tab w:val="left" w:pos="570"/>
        </w:tabs>
        <w:jc w:val="both"/>
        <w:rPr>
          <w:sz w:val="22"/>
          <w:szCs w:val="22"/>
          <w:lang w:val="sr-Latn-CS"/>
        </w:rPr>
      </w:pPr>
      <w:r w:rsidRPr="00572BA1">
        <w:rPr>
          <w:sz w:val="22"/>
          <w:szCs w:val="22"/>
          <w:lang w:val="sr-Latn-CS"/>
        </w:rPr>
        <w:t xml:space="preserve">Preporučena početna doza </w:t>
      </w:r>
      <w:r w:rsidR="00136F13">
        <w:rPr>
          <w:sz w:val="22"/>
          <w:szCs w:val="22"/>
          <w:lang w:val="sr-Latn-CS"/>
        </w:rPr>
        <w:t>lijek</w:t>
      </w:r>
      <w:r w:rsidRPr="00572BA1">
        <w:rPr>
          <w:sz w:val="22"/>
          <w:szCs w:val="22"/>
          <w:lang w:val="sr-Latn-CS"/>
        </w:rPr>
        <w:t>a je 1,25 mg jednom dnevno.</w:t>
      </w:r>
    </w:p>
    <w:p w14:paraId="227F354E" w14:textId="77777777" w:rsidR="00572BA1" w:rsidRPr="00572BA1" w:rsidRDefault="00572BA1" w:rsidP="000F4D88">
      <w:pPr>
        <w:pStyle w:val="Header"/>
        <w:tabs>
          <w:tab w:val="left" w:pos="570"/>
        </w:tabs>
        <w:jc w:val="both"/>
        <w:rPr>
          <w:sz w:val="22"/>
          <w:szCs w:val="22"/>
          <w:lang w:val="sr-Latn-CS"/>
        </w:rPr>
      </w:pPr>
    </w:p>
    <w:p w14:paraId="052CAC62" w14:textId="77777777" w:rsidR="00572BA1" w:rsidRPr="00572BA1" w:rsidRDefault="00572BA1">
      <w:pPr>
        <w:pStyle w:val="Header"/>
        <w:tabs>
          <w:tab w:val="left" w:pos="570"/>
        </w:tabs>
        <w:jc w:val="both"/>
        <w:rPr>
          <w:sz w:val="22"/>
          <w:szCs w:val="22"/>
          <w:u w:val="single"/>
          <w:lang w:val="sr-Latn-CS"/>
        </w:rPr>
      </w:pPr>
      <w:r w:rsidRPr="00572BA1">
        <w:rPr>
          <w:sz w:val="22"/>
          <w:szCs w:val="22"/>
          <w:u w:val="single"/>
          <w:lang w:val="sr-Latn-CS"/>
        </w:rPr>
        <w:t>Titracija i doza održavanja</w:t>
      </w:r>
    </w:p>
    <w:p w14:paraId="1DDDE42D" w14:textId="52E85A3E" w:rsidR="00572BA1" w:rsidRPr="00572BA1" w:rsidRDefault="00572BA1" w:rsidP="00AB1FCF">
      <w:pPr>
        <w:pStyle w:val="Header"/>
        <w:tabs>
          <w:tab w:val="left" w:pos="570"/>
        </w:tabs>
        <w:jc w:val="both"/>
        <w:rPr>
          <w:sz w:val="22"/>
          <w:szCs w:val="22"/>
          <w:lang w:val="sr-Latn-CS"/>
        </w:rPr>
      </w:pPr>
      <w:r w:rsidRPr="00572BA1">
        <w:rPr>
          <w:sz w:val="22"/>
          <w:szCs w:val="22"/>
          <w:lang w:val="sr-Latn-CS"/>
        </w:rPr>
        <w:t>U zavisnosti od tolerancije pacijenta na aktivnu supstancu, dozu treba postepeno povećavati. Nakon dv</w:t>
      </w:r>
      <w:r w:rsidR="003457B5">
        <w:rPr>
          <w:sz w:val="22"/>
          <w:szCs w:val="22"/>
          <w:lang w:val="sr-Latn-CS"/>
        </w:rPr>
        <w:t>ij</w:t>
      </w:r>
      <w:r w:rsidRPr="00572BA1">
        <w:rPr>
          <w:sz w:val="22"/>
          <w:szCs w:val="22"/>
          <w:lang w:val="sr-Latn-CS"/>
        </w:rPr>
        <w:t>e ned</w:t>
      </w:r>
      <w:r w:rsidR="003457B5">
        <w:rPr>
          <w:sz w:val="22"/>
          <w:szCs w:val="22"/>
          <w:lang w:val="sr-Latn-CS"/>
        </w:rPr>
        <w:t>j</w:t>
      </w:r>
      <w:r w:rsidRPr="00572BA1">
        <w:rPr>
          <w:sz w:val="22"/>
          <w:szCs w:val="22"/>
          <w:lang w:val="sr-Latn-CS"/>
        </w:rPr>
        <w:t>elje preporučuje se dupliranje doze na 2,5 mg jednom dnevno, zatim na 5 mg posl</w:t>
      </w:r>
      <w:r w:rsidR="00136F13">
        <w:rPr>
          <w:sz w:val="22"/>
          <w:szCs w:val="22"/>
          <w:lang w:val="sr-Latn-CS"/>
        </w:rPr>
        <w:t>ij</w:t>
      </w:r>
      <w:r w:rsidRPr="00572BA1">
        <w:rPr>
          <w:sz w:val="22"/>
          <w:szCs w:val="22"/>
          <w:lang w:val="sr-Latn-CS"/>
        </w:rPr>
        <w:t>e sl</w:t>
      </w:r>
      <w:r w:rsidR="000F4D88">
        <w:rPr>
          <w:sz w:val="22"/>
          <w:szCs w:val="22"/>
          <w:lang w:val="sr-Latn-CS"/>
        </w:rPr>
        <w:t>j</w:t>
      </w:r>
      <w:r w:rsidRPr="00572BA1">
        <w:rPr>
          <w:sz w:val="22"/>
          <w:szCs w:val="22"/>
          <w:lang w:val="sr-Latn-CS"/>
        </w:rPr>
        <w:t>edeće dv</w:t>
      </w:r>
      <w:r w:rsidR="00136F13">
        <w:rPr>
          <w:sz w:val="22"/>
          <w:szCs w:val="22"/>
          <w:lang w:val="sr-Latn-CS"/>
        </w:rPr>
        <w:t>ij</w:t>
      </w:r>
      <w:r w:rsidRPr="00572BA1">
        <w:rPr>
          <w:sz w:val="22"/>
          <w:szCs w:val="22"/>
          <w:lang w:val="sr-Latn-CS"/>
        </w:rPr>
        <w:t>e ned</w:t>
      </w:r>
      <w:r w:rsidR="00136F13">
        <w:rPr>
          <w:sz w:val="22"/>
          <w:szCs w:val="22"/>
          <w:lang w:val="sr-Latn-CS"/>
        </w:rPr>
        <w:t>j</w:t>
      </w:r>
      <w:r w:rsidRPr="00572BA1">
        <w:rPr>
          <w:sz w:val="22"/>
          <w:szCs w:val="22"/>
          <w:lang w:val="sr-Latn-CS"/>
        </w:rPr>
        <w:t>elje.</w:t>
      </w:r>
    </w:p>
    <w:p w14:paraId="64874B24" w14:textId="77777777" w:rsidR="00572BA1" w:rsidRPr="00572BA1" w:rsidRDefault="00572BA1" w:rsidP="00AB1FCF">
      <w:pPr>
        <w:pStyle w:val="Header"/>
        <w:tabs>
          <w:tab w:val="left" w:pos="570"/>
        </w:tabs>
        <w:jc w:val="both"/>
        <w:rPr>
          <w:sz w:val="22"/>
          <w:szCs w:val="22"/>
          <w:lang w:val="sr-Latn-CS"/>
        </w:rPr>
      </w:pPr>
    </w:p>
    <w:p w14:paraId="355A9825" w14:textId="77777777" w:rsidR="00572BA1" w:rsidRPr="00572BA1" w:rsidRDefault="00572BA1" w:rsidP="000F4D88">
      <w:pPr>
        <w:pStyle w:val="Header"/>
        <w:jc w:val="both"/>
        <w:rPr>
          <w:b/>
          <w:sz w:val="22"/>
          <w:szCs w:val="22"/>
          <w:lang w:val="sr-Latn-CS"/>
        </w:rPr>
      </w:pPr>
      <w:r w:rsidRPr="00572BA1">
        <w:rPr>
          <w:b/>
          <w:i/>
          <w:sz w:val="22"/>
          <w:szCs w:val="22"/>
          <w:lang w:val="sr-Latn-CS"/>
        </w:rPr>
        <w:t>Simptomatska srčana insuficijencija</w:t>
      </w:r>
    </w:p>
    <w:p w14:paraId="6F8B84C7" w14:textId="77777777" w:rsidR="00572BA1" w:rsidRPr="00572BA1" w:rsidRDefault="00572BA1" w:rsidP="00AB1FCF">
      <w:pPr>
        <w:pStyle w:val="Header"/>
        <w:tabs>
          <w:tab w:val="left" w:pos="570"/>
        </w:tabs>
        <w:jc w:val="both"/>
        <w:rPr>
          <w:sz w:val="22"/>
          <w:szCs w:val="22"/>
          <w:u w:val="single"/>
          <w:lang w:val="sr-Latn-CS"/>
        </w:rPr>
      </w:pPr>
      <w:r w:rsidRPr="00572BA1">
        <w:rPr>
          <w:sz w:val="22"/>
          <w:szCs w:val="22"/>
          <w:u w:val="single"/>
          <w:lang w:val="sr-Latn-CS"/>
        </w:rPr>
        <w:t>Početna doza</w:t>
      </w:r>
    </w:p>
    <w:p w14:paraId="5671AF1E" w14:textId="77777777" w:rsidR="00572BA1" w:rsidRPr="00572BA1" w:rsidRDefault="00572BA1" w:rsidP="00AB1FCF">
      <w:pPr>
        <w:pStyle w:val="Header"/>
        <w:tabs>
          <w:tab w:val="left" w:pos="570"/>
        </w:tabs>
        <w:jc w:val="both"/>
        <w:rPr>
          <w:sz w:val="22"/>
          <w:szCs w:val="22"/>
          <w:lang w:val="sr-Latn-CS"/>
        </w:rPr>
      </w:pPr>
      <w:r w:rsidRPr="00572BA1">
        <w:rPr>
          <w:sz w:val="22"/>
          <w:szCs w:val="22"/>
          <w:lang w:val="sr-Latn-CS"/>
        </w:rPr>
        <w:t>Kod pacijenata koji su stabilizovani pomoću terapije diureticima, preporučena početna doza je 1,25 mg ramiprila dnevno.</w:t>
      </w:r>
    </w:p>
    <w:p w14:paraId="6257F03B" w14:textId="77777777" w:rsidR="00572BA1" w:rsidRPr="00572BA1" w:rsidRDefault="00572BA1" w:rsidP="000F4D88">
      <w:pPr>
        <w:pStyle w:val="Header"/>
        <w:tabs>
          <w:tab w:val="left" w:pos="570"/>
        </w:tabs>
        <w:jc w:val="both"/>
        <w:rPr>
          <w:sz w:val="22"/>
          <w:szCs w:val="22"/>
          <w:u w:val="single"/>
          <w:lang w:val="sr-Latn-CS"/>
        </w:rPr>
      </w:pPr>
    </w:p>
    <w:p w14:paraId="62A7FB92" w14:textId="77777777" w:rsidR="00572BA1" w:rsidRPr="00572BA1" w:rsidRDefault="00572BA1">
      <w:pPr>
        <w:pStyle w:val="Header"/>
        <w:tabs>
          <w:tab w:val="left" w:pos="570"/>
        </w:tabs>
        <w:jc w:val="both"/>
        <w:rPr>
          <w:sz w:val="22"/>
          <w:szCs w:val="22"/>
          <w:u w:val="single"/>
          <w:lang w:val="sr-Latn-CS"/>
        </w:rPr>
      </w:pPr>
      <w:r w:rsidRPr="00572BA1">
        <w:rPr>
          <w:sz w:val="22"/>
          <w:szCs w:val="22"/>
          <w:u w:val="single"/>
          <w:lang w:val="sr-Latn-CS"/>
        </w:rPr>
        <w:t>Titracija i doza održavanja</w:t>
      </w:r>
    </w:p>
    <w:p w14:paraId="616AFEB5" w14:textId="2C993BAA" w:rsidR="00572BA1" w:rsidRPr="00572BA1" w:rsidRDefault="00136F13" w:rsidP="00AB1FCF">
      <w:pPr>
        <w:pStyle w:val="Header"/>
        <w:tabs>
          <w:tab w:val="left" w:pos="570"/>
        </w:tabs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Lijek</w:t>
      </w:r>
      <w:r w:rsidR="00572BA1" w:rsidRPr="00572BA1">
        <w:rPr>
          <w:sz w:val="22"/>
          <w:szCs w:val="22"/>
          <w:lang w:val="sr-Latn-CS"/>
        </w:rPr>
        <w:t xml:space="preserve"> treba titrirati dupliranjem doze na svakih </w:t>
      </w:r>
      <w:r>
        <w:rPr>
          <w:sz w:val="22"/>
          <w:szCs w:val="22"/>
          <w:lang w:val="sr-Latn-CS"/>
        </w:rPr>
        <w:t>nedjelju</w:t>
      </w:r>
      <w:r w:rsidR="00572BA1" w:rsidRPr="00572BA1">
        <w:rPr>
          <w:sz w:val="22"/>
          <w:szCs w:val="22"/>
          <w:lang w:val="sr-Latn-CS"/>
        </w:rPr>
        <w:t xml:space="preserve"> do dve dana do dostizanja maksimalne dnevne doze od 10 mg. Preporučuje se </w:t>
      </w:r>
      <w:r>
        <w:rPr>
          <w:sz w:val="22"/>
          <w:szCs w:val="22"/>
          <w:lang w:val="sr-Latn-CS"/>
        </w:rPr>
        <w:t>primjena</w:t>
      </w:r>
      <w:r w:rsidR="00572BA1" w:rsidRPr="00572BA1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>lijek</w:t>
      </w:r>
      <w:r w:rsidR="00572BA1" w:rsidRPr="00572BA1">
        <w:rPr>
          <w:sz w:val="22"/>
          <w:szCs w:val="22"/>
          <w:lang w:val="sr-Latn-CS"/>
        </w:rPr>
        <w:t>a dva puta dnevno.</w:t>
      </w:r>
    </w:p>
    <w:p w14:paraId="60BA4A75" w14:textId="77777777" w:rsidR="00572BA1" w:rsidRPr="00572BA1" w:rsidRDefault="00572BA1" w:rsidP="000F4D88">
      <w:pPr>
        <w:jc w:val="both"/>
        <w:rPr>
          <w:rStyle w:val="Emphasis"/>
          <w:i w:val="0"/>
          <w:sz w:val="22"/>
          <w:szCs w:val="22"/>
          <w:u w:val="single"/>
          <w:lang w:val="sr-Latn-CS"/>
        </w:rPr>
      </w:pPr>
    </w:p>
    <w:p w14:paraId="294DAD5E" w14:textId="0013D4DC" w:rsidR="00572BA1" w:rsidRPr="00572BA1" w:rsidRDefault="00572BA1" w:rsidP="000F4D88">
      <w:pPr>
        <w:pStyle w:val="Header"/>
        <w:tabs>
          <w:tab w:val="left" w:pos="570"/>
        </w:tabs>
        <w:jc w:val="both"/>
        <w:rPr>
          <w:b/>
          <w:sz w:val="22"/>
          <w:szCs w:val="22"/>
          <w:lang w:val="sr-Latn-CS"/>
        </w:rPr>
      </w:pPr>
      <w:r w:rsidRPr="00AB1FCF">
        <w:rPr>
          <w:b/>
          <w:i/>
          <w:sz w:val="22"/>
          <w:szCs w:val="22"/>
          <w:lang w:val="sr-Latn-CS"/>
        </w:rPr>
        <w:t>Sekundarna prevencija nakon akutnog infarkta miokarda i kod pacijenata sa srčanom insuficijencijom</w:t>
      </w:r>
    </w:p>
    <w:p w14:paraId="018F380F" w14:textId="13D9B3D2" w:rsidR="000F4D88" w:rsidRPr="00572BA1" w:rsidRDefault="00572BA1" w:rsidP="000F4D88">
      <w:pPr>
        <w:pStyle w:val="Header"/>
        <w:tabs>
          <w:tab w:val="left" w:pos="570"/>
        </w:tabs>
        <w:jc w:val="both"/>
        <w:rPr>
          <w:sz w:val="22"/>
          <w:szCs w:val="22"/>
          <w:u w:val="single"/>
          <w:lang w:val="sr-Latn-CS"/>
        </w:rPr>
      </w:pPr>
      <w:r w:rsidRPr="00572BA1">
        <w:rPr>
          <w:sz w:val="22"/>
          <w:szCs w:val="22"/>
          <w:u w:val="single"/>
          <w:lang w:val="sr-Latn-CS"/>
        </w:rPr>
        <w:t>Početna doza</w:t>
      </w:r>
    </w:p>
    <w:p w14:paraId="48125E4C" w14:textId="77777777" w:rsidR="00572BA1" w:rsidRPr="00572BA1" w:rsidRDefault="00572BA1" w:rsidP="00AB1FCF">
      <w:pPr>
        <w:pStyle w:val="Header"/>
        <w:tabs>
          <w:tab w:val="left" w:pos="570"/>
        </w:tabs>
        <w:jc w:val="both"/>
        <w:rPr>
          <w:sz w:val="22"/>
          <w:szCs w:val="22"/>
          <w:lang w:val="sr-Latn-CS"/>
        </w:rPr>
      </w:pPr>
      <w:r w:rsidRPr="00572BA1">
        <w:rPr>
          <w:sz w:val="22"/>
          <w:szCs w:val="22"/>
          <w:lang w:val="sr-Latn-CS"/>
        </w:rPr>
        <w:t xml:space="preserve">Nakon 48 sati od infarkta miokarda kod klinički i hemodinamski stabilnog pacijenta početna doza je 2,5 mg dva puta dnevno, tokom tri dana. Ukoliko se doza od 2,5 mg ne podnosi treba uvesti dozu od 1,25 </w:t>
      </w:r>
      <w:r w:rsidRPr="00572BA1">
        <w:rPr>
          <w:sz w:val="22"/>
          <w:szCs w:val="22"/>
          <w:lang w:val="sr-Latn-CS"/>
        </w:rPr>
        <w:lastRenderedPageBreak/>
        <w:t xml:space="preserve">mg dva puta dnevno, tokom dva dana, pa tek onda povećati dozu na 2,5 mg i 5 mg, dva puta na dan. </w:t>
      </w:r>
      <w:bookmarkStart w:id="2" w:name="OLE_LINK3"/>
      <w:bookmarkStart w:id="3" w:name="OLE_LINK4"/>
      <w:r w:rsidRPr="00572BA1">
        <w:rPr>
          <w:sz w:val="22"/>
          <w:szCs w:val="22"/>
          <w:lang w:val="sr-Latn-CS"/>
        </w:rPr>
        <w:t xml:space="preserve">Ukoliko se doza ne može povećati na 2,5 mg dva puta dnevno, terapiju treba prekinuti. </w:t>
      </w:r>
    </w:p>
    <w:bookmarkEnd w:id="2"/>
    <w:bookmarkEnd w:id="3"/>
    <w:p w14:paraId="03B85A29" w14:textId="77777777" w:rsidR="00572BA1" w:rsidRPr="00572BA1" w:rsidRDefault="00572BA1" w:rsidP="000F4D88">
      <w:pPr>
        <w:pStyle w:val="Header"/>
        <w:tabs>
          <w:tab w:val="left" w:pos="570"/>
        </w:tabs>
        <w:jc w:val="both"/>
        <w:rPr>
          <w:sz w:val="22"/>
          <w:szCs w:val="22"/>
          <w:lang w:val="sr-Latn-CS"/>
        </w:rPr>
      </w:pPr>
    </w:p>
    <w:p w14:paraId="5267947C" w14:textId="77777777" w:rsidR="00572BA1" w:rsidRPr="00572BA1" w:rsidRDefault="00572BA1">
      <w:pPr>
        <w:pStyle w:val="Header"/>
        <w:tabs>
          <w:tab w:val="left" w:pos="570"/>
        </w:tabs>
        <w:jc w:val="both"/>
        <w:rPr>
          <w:sz w:val="22"/>
          <w:szCs w:val="22"/>
          <w:lang w:val="sr-Latn-CS"/>
        </w:rPr>
      </w:pPr>
      <w:r w:rsidRPr="00572BA1">
        <w:rPr>
          <w:sz w:val="22"/>
          <w:szCs w:val="22"/>
          <w:lang w:val="sr-Latn-CS"/>
        </w:rPr>
        <w:t>Pogledati gore navedeno doziranje i način upotrebe kod pacijenata koji su na terapiji diureticima.</w:t>
      </w:r>
    </w:p>
    <w:p w14:paraId="6AB83EB9" w14:textId="77777777" w:rsidR="00572BA1" w:rsidRPr="00572BA1" w:rsidRDefault="00572BA1">
      <w:pPr>
        <w:pStyle w:val="Header"/>
        <w:tabs>
          <w:tab w:val="left" w:pos="570"/>
        </w:tabs>
        <w:jc w:val="both"/>
        <w:rPr>
          <w:sz w:val="22"/>
          <w:szCs w:val="22"/>
          <w:lang w:val="sr-Latn-CS"/>
        </w:rPr>
      </w:pPr>
    </w:p>
    <w:p w14:paraId="394B2BB4" w14:textId="77777777" w:rsidR="00572BA1" w:rsidRPr="00572BA1" w:rsidRDefault="00572BA1">
      <w:pPr>
        <w:pStyle w:val="Header"/>
        <w:tabs>
          <w:tab w:val="left" w:pos="570"/>
        </w:tabs>
        <w:jc w:val="both"/>
        <w:rPr>
          <w:sz w:val="22"/>
          <w:szCs w:val="22"/>
          <w:u w:val="single"/>
          <w:lang w:val="sr-Latn-CS"/>
        </w:rPr>
      </w:pPr>
      <w:bookmarkStart w:id="4" w:name="OLE_LINK13"/>
      <w:bookmarkStart w:id="5" w:name="OLE_LINK14"/>
      <w:r w:rsidRPr="00572BA1">
        <w:rPr>
          <w:sz w:val="22"/>
          <w:szCs w:val="22"/>
          <w:u w:val="single"/>
          <w:lang w:val="sr-Latn-CS"/>
        </w:rPr>
        <w:t>Titracija i doza održavanja</w:t>
      </w:r>
    </w:p>
    <w:bookmarkEnd w:id="4"/>
    <w:bookmarkEnd w:id="5"/>
    <w:p w14:paraId="13D872D5" w14:textId="2310585A" w:rsidR="00572BA1" w:rsidRPr="00572BA1" w:rsidRDefault="00572BA1" w:rsidP="00AB1FCF">
      <w:pPr>
        <w:pStyle w:val="Header"/>
        <w:tabs>
          <w:tab w:val="left" w:pos="570"/>
        </w:tabs>
        <w:jc w:val="both"/>
        <w:rPr>
          <w:sz w:val="22"/>
          <w:szCs w:val="22"/>
          <w:lang w:val="sr-Latn-CS"/>
        </w:rPr>
      </w:pPr>
      <w:r w:rsidRPr="00572BA1">
        <w:rPr>
          <w:sz w:val="22"/>
          <w:szCs w:val="22"/>
          <w:lang w:val="sr-Latn-CS"/>
        </w:rPr>
        <w:t>Dnevna doza se postepeno povećava dupliranjem doze u intervalu od jednog do tri dana dok se ne dostigne željena vr</w:t>
      </w:r>
      <w:r w:rsidR="003457B5">
        <w:rPr>
          <w:sz w:val="22"/>
          <w:szCs w:val="22"/>
          <w:lang w:val="sr-Latn-CS"/>
        </w:rPr>
        <w:t>ij</w:t>
      </w:r>
      <w:r w:rsidRPr="00572BA1">
        <w:rPr>
          <w:sz w:val="22"/>
          <w:szCs w:val="22"/>
          <w:lang w:val="sr-Latn-CS"/>
        </w:rPr>
        <w:t xml:space="preserve">ednost doze održavanja od 5 mg, dva puta </w:t>
      </w:r>
      <w:r w:rsidR="00406D8C">
        <w:rPr>
          <w:sz w:val="22"/>
          <w:szCs w:val="22"/>
          <w:lang w:val="sr-Latn-CS"/>
        </w:rPr>
        <w:t>dnevno</w:t>
      </w:r>
      <w:r w:rsidRPr="00572BA1">
        <w:rPr>
          <w:sz w:val="22"/>
          <w:szCs w:val="22"/>
          <w:lang w:val="sr-Latn-CS"/>
        </w:rPr>
        <w:t>.</w:t>
      </w:r>
    </w:p>
    <w:p w14:paraId="71BA1211" w14:textId="77777777" w:rsidR="00572BA1" w:rsidRPr="00572BA1" w:rsidRDefault="00572BA1" w:rsidP="00AB1FCF">
      <w:pPr>
        <w:pStyle w:val="Header"/>
        <w:tabs>
          <w:tab w:val="left" w:pos="570"/>
        </w:tabs>
        <w:jc w:val="both"/>
        <w:rPr>
          <w:sz w:val="22"/>
          <w:szCs w:val="22"/>
          <w:lang w:val="sr-Latn-CS"/>
        </w:rPr>
      </w:pPr>
    </w:p>
    <w:p w14:paraId="0BE8E8B1" w14:textId="603B54BA" w:rsidR="00572BA1" w:rsidRPr="00572BA1" w:rsidRDefault="00572BA1" w:rsidP="00406D8C">
      <w:pPr>
        <w:pStyle w:val="Header"/>
        <w:tabs>
          <w:tab w:val="left" w:pos="570"/>
        </w:tabs>
        <w:jc w:val="both"/>
        <w:rPr>
          <w:sz w:val="22"/>
          <w:szCs w:val="22"/>
          <w:lang w:val="sr-Latn-CS"/>
        </w:rPr>
      </w:pPr>
      <w:r w:rsidRPr="00572BA1">
        <w:rPr>
          <w:sz w:val="22"/>
          <w:szCs w:val="22"/>
          <w:lang w:val="sr-Latn-CS"/>
        </w:rPr>
        <w:t>Kada je to moguće dozu održavanja treba pod</w:t>
      </w:r>
      <w:r w:rsidR="00136F13">
        <w:rPr>
          <w:sz w:val="22"/>
          <w:szCs w:val="22"/>
          <w:lang w:val="sr-Latn-CS"/>
        </w:rPr>
        <w:t>ij</w:t>
      </w:r>
      <w:r w:rsidRPr="00572BA1">
        <w:rPr>
          <w:sz w:val="22"/>
          <w:szCs w:val="22"/>
          <w:lang w:val="sr-Latn-CS"/>
        </w:rPr>
        <w:t xml:space="preserve">eliti </w:t>
      </w:r>
      <w:r w:rsidR="00406D8C">
        <w:rPr>
          <w:sz w:val="22"/>
          <w:szCs w:val="22"/>
          <w:lang w:val="sr-Latn-CS"/>
        </w:rPr>
        <w:t>i uzeti dnevno u dva puta</w:t>
      </w:r>
      <w:r w:rsidRPr="00572BA1">
        <w:rPr>
          <w:sz w:val="22"/>
          <w:szCs w:val="22"/>
          <w:lang w:val="sr-Latn-CS"/>
        </w:rPr>
        <w:t xml:space="preserve">. Ukoliko se doza ne može povećati na 2,5 mg dva puta dnevno, terapiju treba prekinuti. </w:t>
      </w:r>
    </w:p>
    <w:p w14:paraId="01338AC6" w14:textId="69A3E27A" w:rsidR="00572BA1" w:rsidRDefault="00572BA1" w:rsidP="00406D8C">
      <w:pPr>
        <w:pStyle w:val="Header"/>
        <w:tabs>
          <w:tab w:val="left" w:pos="570"/>
        </w:tabs>
        <w:jc w:val="both"/>
        <w:rPr>
          <w:sz w:val="22"/>
          <w:szCs w:val="22"/>
          <w:lang w:val="sr-Latn-CS"/>
        </w:rPr>
      </w:pPr>
      <w:r w:rsidRPr="00572BA1">
        <w:rPr>
          <w:sz w:val="22"/>
          <w:szCs w:val="22"/>
          <w:lang w:val="sr-Latn-CS"/>
        </w:rPr>
        <w:t>Još uv</w:t>
      </w:r>
      <w:r w:rsidR="00406D8C">
        <w:rPr>
          <w:sz w:val="22"/>
          <w:szCs w:val="22"/>
          <w:lang w:val="sr-Latn-CS"/>
        </w:rPr>
        <w:t>ij</w:t>
      </w:r>
      <w:r w:rsidRPr="00572BA1">
        <w:rPr>
          <w:sz w:val="22"/>
          <w:szCs w:val="22"/>
          <w:lang w:val="sr-Latn-CS"/>
        </w:rPr>
        <w:t>ek nema dovoljno podataka o iskustvima kod pacijenata sa teškom srčanom insuficijencijom (NYHA IV) odmah nakon infarkta miokarda. Ukoliko se donese odluka o uvođenju terapije kod ovih pacijenata, preporuka je da se terapija započne dozom od 1,25 mg jednom dnevno i da se preduzmu posebne m</w:t>
      </w:r>
      <w:r w:rsidR="00136F13">
        <w:rPr>
          <w:sz w:val="22"/>
          <w:szCs w:val="22"/>
          <w:lang w:val="sr-Latn-CS"/>
        </w:rPr>
        <w:t>j</w:t>
      </w:r>
      <w:r w:rsidRPr="00572BA1">
        <w:rPr>
          <w:sz w:val="22"/>
          <w:szCs w:val="22"/>
          <w:lang w:val="sr-Latn-CS"/>
        </w:rPr>
        <w:t>ere opreza pri svakom povećanju doze.</w:t>
      </w:r>
    </w:p>
    <w:p w14:paraId="2586388F" w14:textId="77777777" w:rsidR="00406D8C" w:rsidRPr="00572BA1" w:rsidRDefault="00406D8C">
      <w:pPr>
        <w:pStyle w:val="Header"/>
        <w:tabs>
          <w:tab w:val="left" w:pos="570"/>
        </w:tabs>
        <w:jc w:val="both"/>
        <w:rPr>
          <w:sz w:val="22"/>
          <w:szCs w:val="22"/>
          <w:lang w:val="sr-Latn-CS"/>
        </w:rPr>
      </w:pPr>
    </w:p>
    <w:p w14:paraId="315F7172" w14:textId="564FF1B4" w:rsidR="00572BA1" w:rsidRDefault="00572BA1" w:rsidP="00AB1FCF">
      <w:pPr>
        <w:pStyle w:val="Header"/>
        <w:tabs>
          <w:tab w:val="left" w:pos="570"/>
        </w:tabs>
        <w:jc w:val="both"/>
        <w:rPr>
          <w:b/>
          <w:sz w:val="22"/>
          <w:szCs w:val="22"/>
          <w:lang w:val="sr-Latn-CS"/>
        </w:rPr>
      </w:pPr>
      <w:r w:rsidRPr="00AB1FCF">
        <w:rPr>
          <w:b/>
          <w:sz w:val="22"/>
          <w:szCs w:val="22"/>
          <w:lang w:val="sr-Latn-CS"/>
        </w:rPr>
        <w:t>Posebne populacije</w:t>
      </w:r>
    </w:p>
    <w:p w14:paraId="53F86F24" w14:textId="77777777" w:rsidR="00406D8C" w:rsidRPr="00406D8C" w:rsidRDefault="00406D8C" w:rsidP="00AB1FCF">
      <w:pPr>
        <w:pStyle w:val="Header"/>
        <w:tabs>
          <w:tab w:val="left" w:pos="570"/>
        </w:tabs>
        <w:jc w:val="both"/>
        <w:rPr>
          <w:b/>
          <w:sz w:val="22"/>
          <w:szCs w:val="22"/>
          <w:lang w:val="sr-Latn-CS"/>
        </w:rPr>
      </w:pPr>
    </w:p>
    <w:p w14:paraId="35900000" w14:textId="77777777" w:rsidR="00572BA1" w:rsidRPr="00572BA1" w:rsidRDefault="00572BA1" w:rsidP="00AB1FCF">
      <w:pPr>
        <w:pStyle w:val="Header"/>
        <w:tabs>
          <w:tab w:val="left" w:pos="570"/>
        </w:tabs>
        <w:jc w:val="both"/>
        <w:rPr>
          <w:i/>
          <w:sz w:val="22"/>
          <w:szCs w:val="22"/>
          <w:lang w:val="sr-Latn-CS"/>
        </w:rPr>
      </w:pPr>
      <w:r w:rsidRPr="00572BA1">
        <w:rPr>
          <w:i/>
          <w:sz w:val="22"/>
          <w:szCs w:val="22"/>
          <w:lang w:val="sr-Latn-CS"/>
        </w:rPr>
        <w:t xml:space="preserve">Pacijenti sa oštećenjem bubrežne funkcije </w:t>
      </w:r>
    </w:p>
    <w:p w14:paraId="705CE051" w14:textId="5F2E3E75" w:rsidR="00572BA1" w:rsidRPr="00572BA1" w:rsidRDefault="00572BA1" w:rsidP="00AB1FCF">
      <w:pPr>
        <w:pStyle w:val="Header"/>
        <w:tabs>
          <w:tab w:val="left" w:pos="570"/>
        </w:tabs>
        <w:jc w:val="both"/>
        <w:rPr>
          <w:sz w:val="22"/>
          <w:szCs w:val="22"/>
          <w:lang w:val="sr-Latn-CS"/>
        </w:rPr>
      </w:pPr>
      <w:r w:rsidRPr="00572BA1">
        <w:rPr>
          <w:sz w:val="22"/>
          <w:szCs w:val="22"/>
          <w:lang w:val="sr-Latn-CS"/>
        </w:rPr>
        <w:t>Dnevna doza za pacijente sa oštećenom funkcijom bubrega treba prilagoditi prema klirensu kreatinina (</w:t>
      </w:r>
      <w:r w:rsidR="00406D8C">
        <w:rPr>
          <w:sz w:val="22"/>
          <w:szCs w:val="22"/>
          <w:lang w:val="sr-Latn-CS"/>
        </w:rPr>
        <w:t xml:space="preserve">vidjeti </w:t>
      </w:r>
      <w:r w:rsidR="00136F13">
        <w:rPr>
          <w:sz w:val="22"/>
          <w:szCs w:val="22"/>
          <w:lang w:val="sr-Latn-CS"/>
        </w:rPr>
        <w:t>dio</w:t>
      </w:r>
      <w:r w:rsidRPr="00572BA1">
        <w:rPr>
          <w:sz w:val="22"/>
          <w:szCs w:val="22"/>
          <w:lang w:val="sr-Latn-CS"/>
        </w:rPr>
        <w:t xml:space="preserve"> 5.2):</w:t>
      </w:r>
    </w:p>
    <w:p w14:paraId="3616838E" w14:textId="15668D00" w:rsidR="00572BA1" w:rsidRPr="00572BA1" w:rsidRDefault="00572BA1" w:rsidP="00406D8C">
      <w:pPr>
        <w:pStyle w:val="Header"/>
        <w:tabs>
          <w:tab w:val="left" w:pos="570"/>
        </w:tabs>
        <w:ind w:left="142" w:hanging="142"/>
        <w:jc w:val="both"/>
        <w:rPr>
          <w:sz w:val="22"/>
          <w:szCs w:val="22"/>
          <w:lang w:val="sr-Latn-CS"/>
        </w:rPr>
      </w:pPr>
      <w:r w:rsidRPr="00572BA1">
        <w:rPr>
          <w:sz w:val="22"/>
          <w:szCs w:val="22"/>
          <w:lang w:val="sr-Latn-CS"/>
        </w:rPr>
        <w:t>- ukoliko je  klirens kreatinina ≥</w:t>
      </w:r>
      <w:r w:rsidR="00406D8C">
        <w:rPr>
          <w:sz w:val="22"/>
          <w:szCs w:val="22"/>
          <w:lang w:val="sr-Latn-CS"/>
        </w:rPr>
        <w:t xml:space="preserve"> </w:t>
      </w:r>
      <w:r w:rsidRPr="00572BA1">
        <w:rPr>
          <w:sz w:val="22"/>
          <w:szCs w:val="22"/>
          <w:lang w:val="sr-Latn-CS"/>
        </w:rPr>
        <w:t>60 m</w:t>
      </w:r>
      <w:r w:rsidR="00136F13">
        <w:rPr>
          <w:sz w:val="22"/>
          <w:szCs w:val="22"/>
          <w:lang w:val="sr-Latn-CS"/>
        </w:rPr>
        <w:t>l</w:t>
      </w:r>
      <w:r w:rsidRPr="00572BA1">
        <w:rPr>
          <w:sz w:val="22"/>
          <w:szCs w:val="22"/>
          <w:lang w:val="sr-Latn-CS"/>
        </w:rPr>
        <w:t>/min, nije potrebno prilagođavati početnu dozu (2,5 mg/dan); maksimalna dnevna doza je 10 mg;</w:t>
      </w:r>
    </w:p>
    <w:p w14:paraId="18C1A971" w14:textId="1A1D2A3C" w:rsidR="00572BA1" w:rsidRPr="00572BA1" w:rsidRDefault="00572BA1" w:rsidP="00406D8C">
      <w:pPr>
        <w:pStyle w:val="Header"/>
        <w:tabs>
          <w:tab w:val="left" w:pos="570"/>
        </w:tabs>
        <w:ind w:left="142" w:hanging="142"/>
        <w:jc w:val="both"/>
        <w:rPr>
          <w:sz w:val="22"/>
          <w:szCs w:val="22"/>
          <w:lang w:val="sr-Latn-CS"/>
        </w:rPr>
      </w:pPr>
      <w:r w:rsidRPr="00572BA1">
        <w:rPr>
          <w:sz w:val="22"/>
          <w:szCs w:val="22"/>
          <w:lang w:val="sr-Latn-CS"/>
        </w:rPr>
        <w:t>- ukoliko je klirens kreatinina između 30-60 m</w:t>
      </w:r>
      <w:r w:rsidR="00136F13">
        <w:rPr>
          <w:sz w:val="22"/>
          <w:szCs w:val="22"/>
          <w:lang w:val="sr-Latn-CS"/>
        </w:rPr>
        <w:t>l</w:t>
      </w:r>
      <w:r w:rsidRPr="00572BA1">
        <w:rPr>
          <w:sz w:val="22"/>
          <w:szCs w:val="22"/>
          <w:lang w:val="sr-Latn-CS"/>
        </w:rPr>
        <w:t>/min, nije potrebno prilagođavati početnu dozu (2,5 mg/dan); maksimalna dnevna doza je 5 mg;</w:t>
      </w:r>
    </w:p>
    <w:p w14:paraId="588E1922" w14:textId="0B685C1C" w:rsidR="00572BA1" w:rsidRPr="00572BA1" w:rsidRDefault="00572BA1" w:rsidP="00406D8C">
      <w:pPr>
        <w:pStyle w:val="Header"/>
        <w:tabs>
          <w:tab w:val="left" w:pos="570"/>
        </w:tabs>
        <w:ind w:left="142" w:hanging="142"/>
        <w:jc w:val="both"/>
        <w:rPr>
          <w:sz w:val="22"/>
          <w:szCs w:val="22"/>
          <w:lang w:val="sr-Latn-CS"/>
        </w:rPr>
      </w:pPr>
      <w:r w:rsidRPr="00572BA1">
        <w:rPr>
          <w:sz w:val="22"/>
          <w:szCs w:val="22"/>
          <w:lang w:val="sr-Latn-CS"/>
        </w:rPr>
        <w:t>- ukoliko je klirens kreatinina između 10-30 m</w:t>
      </w:r>
      <w:r w:rsidR="00136F13">
        <w:rPr>
          <w:sz w:val="22"/>
          <w:szCs w:val="22"/>
          <w:lang w:val="sr-Latn-CS"/>
        </w:rPr>
        <w:t>l</w:t>
      </w:r>
      <w:r w:rsidRPr="00572BA1">
        <w:rPr>
          <w:sz w:val="22"/>
          <w:szCs w:val="22"/>
          <w:lang w:val="sr-Latn-CS"/>
        </w:rPr>
        <w:t>/min, početna doza je 1,25 mg/dan a maksimalna dnevna doza je 5 mg;</w:t>
      </w:r>
    </w:p>
    <w:p w14:paraId="5E671952" w14:textId="52F92EF7" w:rsidR="00572BA1" w:rsidRPr="00572BA1" w:rsidRDefault="00572BA1" w:rsidP="00406D8C">
      <w:pPr>
        <w:pStyle w:val="Header"/>
        <w:tabs>
          <w:tab w:val="left" w:pos="570"/>
        </w:tabs>
        <w:ind w:left="142" w:hanging="142"/>
        <w:jc w:val="both"/>
        <w:rPr>
          <w:sz w:val="22"/>
          <w:szCs w:val="22"/>
          <w:lang w:val="sr-Latn-CS"/>
        </w:rPr>
      </w:pPr>
      <w:r w:rsidRPr="00572BA1">
        <w:rPr>
          <w:sz w:val="22"/>
          <w:szCs w:val="22"/>
          <w:lang w:val="sr-Latn-CS"/>
        </w:rPr>
        <w:t xml:space="preserve">- kod pacijenata sa hipertenzijom koji su na hemodijalizi: ramipril se slabo uklanja dijalizom; početna doza iznosi 1,25 mg/dan a maksimalna dnevna doza je 5 mg; </w:t>
      </w:r>
      <w:r w:rsidR="00136F13">
        <w:rPr>
          <w:sz w:val="22"/>
          <w:szCs w:val="22"/>
          <w:lang w:val="sr-Latn-CS"/>
        </w:rPr>
        <w:t>lijek</w:t>
      </w:r>
      <w:r w:rsidRPr="00572BA1">
        <w:rPr>
          <w:sz w:val="22"/>
          <w:szCs w:val="22"/>
          <w:lang w:val="sr-Latn-CS"/>
        </w:rPr>
        <w:t xml:space="preserve"> treba </w:t>
      </w:r>
      <w:r w:rsidR="00136F13">
        <w:rPr>
          <w:sz w:val="22"/>
          <w:szCs w:val="22"/>
          <w:lang w:val="sr-Latn-CS"/>
        </w:rPr>
        <w:t>prim</w:t>
      </w:r>
      <w:r w:rsidR="00406D8C">
        <w:rPr>
          <w:sz w:val="22"/>
          <w:szCs w:val="22"/>
          <w:lang w:val="sr-Latn-CS"/>
        </w:rPr>
        <w:t>i</w:t>
      </w:r>
      <w:r w:rsidR="00136F13">
        <w:rPr>
          <w:sz w:val="22"/>
          <w:szCs w:val="22"/>
          <w:lang w:val="sr-Latn-CS"/>
        </w:rPr>
        <w:t>jeni</w:t>
      </w:r>
      <w:r w:rsidRPr="00572BA1">
        <w:rPr>
          <w:sz w:val="22"/>
          <w:szCs w:val="22"/>
          <w:lang w:val="sr-Latn-CS"/>
        </w:rPr>
        <w:t>ti nekoliko sati nakon završetka hemodijalize.</w:t>
      </w:r>
    </w:p>
    <w:p w14:paraId="3443552D" w14:textId="77777777" w:rsidR="00572BA1" w:rsidRPr="00572BA1" w:rsidRDefault="00572BA1" w:rsidP="003457B5">
      <w:pPr>
        <w:pStyle w:val="Header"/>
        <w:tabs>
          <w:tab w:val="left" w:pos="570"/>
        </w:tabs>
        <w:jc w:val="both"/>
        <w:rPr>
          <w:sz w:val="22"/>
          <w:szCs w:val="22"/>
          <w:lang w:val="sr-Latn-CS"/>
        </w:rPr>
      </w:pPr>
    </w:p>
    <w:p w14:paraId="162778E4" w14:textId="0C1EF502" w:rsidR="00572BA1" w:rsidRPr="00572BA1" w:rsidRDefault="00572BA1" w:rsidP="00406D8C">
      <w:pPr>
        <w:pStyle w:val="Header"/>
        <w:tabs>
          <w:tab w:val="left" w:pos="570"/>
        </w:tabs>
        <w:jc w:val="both"/>
        <w:rPr>
          <w:sz w:val="22"/>
          <w:szCs w:val="22"/>
          <w:lang w:val="sr-Latn-CS"/>
        </w:rPr>
      </w:pPr>
      <w:r w:rsidRPr="00572BA1">
        <w:rPr>
          <w:i/>
          <w:sz w:val="22"/>
          <w:szCs w:val="22"/>
          <w:lang w:val="sr-Latn-CS"/>
        </w:rPr>
        <w:t xml:space="preserve">Pacijenti sa oštećenjem funkcije jetre </w:t>
      </w:r>
      <w:r w:rsidRPr="00572BA1">
        <w:rPr>
          <w:sz w:val="22"/>
          <w:szCs w:val="22"/>
          <w:lang w:val="sr-Latn-CS"/>
        </w:rPr>
        <w:t>(</w:t>
      </w:r>
      <w:r w:rsidR="00406D8C">
        <w:rPr>
          <w:sz w:val="22"/>
          <w:szCs w:val="22"/>
          <w:lang w:val="sr-Latn-CS"/>
        </w:rPr>
        <w:t xml:space="preserve">vidjeti </w:t>
      </w:r>
      <w:r w:rsidR="00136F13">
        <w:rPr>
          <w:sz w:val="22"/>
          <w:szCs w:val="22"/>
          <w:lang w:val="sr-Latn-CS"/>
        </w:rPr>
        <w:t>dio</w:t>
      </w:r>
      <w:r w:rsidRPr="00572BA1">
        <w:rPr>
          <w:sz w:val="22"/>
          <w:szCs w:val="22"/>
          <w:lang w:val="sr-Latn-CS"/>
        </w:rPr>
        <w:t xml:space="preserve"> 5.2)</w:t>
      </w:r>
    </w:p>
    <w:p w14:paraId="035578A1" w14:textId="1AAD6A80" w:rsidR="00572BA1" w:rsidRPr="00572BA1" w:rsidRDefault="00572BA1" w:rsidP="00AB1FCF">
      <w:pPr>
        <w:pStyle w:val="Header"/>
        <w:tabs>
          <w:tab w:val="left" w:pos="570"/>
        </w:tabs>
        <w:jc w:val="both"/>
        <w:rPr>
          <w:sz w:val="22"/>
          <w:szCs w:val="22"/>
          <w:lang w:val="sr-Latn-CS"/>
        </w:rPr>
      </w:pPr>
      <w:r w:rsidRPr="00572BA1">
        <w:rPr>
          <w:sz w:val="22"/>
          <w:szCs w:val="22"/>
          <w:lang w:val="sr-Latn-CS"/>
        </w:rPr>
        <w:t xml:space="preserve">Kod pacijenata sa oštećenjem funkcije jetre, terapija </w:t>
      </w:r>
      <w:r w:rsidR="00136F13">
        <w:rPr>
          <w:sz w:val="22"/>
          <w:szCs w:val="22"/>
          <w:lang w:val="sr-Latn-CS"/>
        </w:rPr>
        <w:t>lijek</w:t>
      </w:r>
      <w:r w:rsidRPr="00572BA1">
        <w:rPr>
          <w:sz w:val="22"/>
          <w:szCs w:val="22"/>
          <w:lang w:val="sr-Latn-CS"/>
        </w:rPr>
        <w:t>om Prilinda se mora započeti pod strogim medicinskim nadzorom, a maksimalna dnevna doza izosi 2,5 mg.</w:t>
      </w:r>
    </w:p>
    <w:p w14:paraId="01017C01" w14:textId="77777777" w:rsidR="00572BA1" w:rsidRPr="00572BA1" w:rsidRDefault="00572BA1" w:rsidP="00406D8C">
      <w:pPr>
        <w:pStyle w:val="Header"/>
        <w:tabs>
          <w:tab w:val="left" w:pos="570"/>
        </w:tabs>
        <w:jc w:val="both"/>
        <w:rPr>
          <w:sz w:val="22"/>
          <w:szCs w:val="22"/>
          <w:lang w:val="sr-Latn-CS"/>
        </w:rPr>
      </w:pPr>
    </w:p>
    <w:p w14:paraId="30FED8BA" w14:textId="77777777" w:rsidR="00572BA1" w:rsidRPr="00572BA1" w:rsidRDefault="00572BA1">
      <w:pPr>
        <w:pStyle w:val="Header"/>
        <w:tabs>
          <w:tab w:val="left" w:pos="570"/>
        </w:tabs>
        <w:jc w:val="both"/>
        <w:rPr>
          <w:i/>
          <w:sz w:val="22"/>
          <w:szCs w:val="22"/>
          <w:lang w:val="sr-Latn-CS"/>
        </w:rPr>
      </w:pPr>
      <w:r w:rsidRPr="00572BA1">
        <w:rPr>
          <w:i/>
          <w:sz w:val="22"/>
          <w:szCs w:val="22"/>
          <w:lang w:val="sr-Latn-CS"/>
        </w:rPr>
        <w:t>Stariji pacijenti</w:t>
      </w:r>
    </w:p>
    <w:p w14:paraId="3BCD3169" w14:textId="24031CA0" w:rsidR="00572BA1" w:rsidRPr="00572BA1" w:rsidRDefault="00572BA1" w:rsidP="00AB1FCF">
      <w:pPr>
        <w:pStyle w:val="Header"/>
        <w:tabs>
          <w:tab w:val="left" w:pos="570"/>
        </w:tabs>
        <w:jc w:val="both"/>
        <w:rPr>
          <w:sz w:val="22"/>
          <w:szCs w:val="22"/>
          <w:lang w:val="sr-Latn-CS"/>
        </w:rPr>
      </w:pPr>
      <w:r w:rsidRPr="00572BA1">
        <w:rPr>
          <w:sz w:val="22"/>
          <w:szCs w:val="22"/>
          <w:lang w:val="sr-Latn-CS"/>
        </w:rPr>
        <w:t>Početne doze treba da budu niže i titracija doze koja sl</w:t>
      </w:r>
      <w:r w:rsidR="00406D8C">
        <w:rPr>
          <w:sz w:val="22"/>
          <w:szCs w:val="22"/>
          <w:lang w:val="sr-Latn-CS"/>
        </w:rPr>
        <w:t>ij</w:t>
      </w:r>
      <w:r w:rsidRPr="00572BA1">
        <w:rPr>
          <w:sz w:val="22"/>
          <w:szCs w:val="22"/>
          <w:lang w:val="sr-Latn-CS"/>
        </w:rPr>
        <w:t>edi treba da bude postepenija zbog veće v</w:t>
      </w:r>
      <w:r w:rsidR="003457B5">
        <w:rPr>
          <w:sz w:val="22"/>
          <w:szCs w:val="22"/>
          <w:lang w:val="sr-Latn-CS"/>
        </w:rPr>
        <w:t>j</w:t>
      </w:r>
      <w:r w:rsidRPr="00572BA1">
        <w:rPr>
          <w:sz w:val="22"/>
          <w:szCs w:val="22"/>
          <w:lang w:val="sr-Latn-CS"/>
        </w:rPr>
        <w:t>erovatnoće za pojavu neželjenih dejstava, posebno kod veoma starih i nemoćnih pacijenata. Kod ovih pacijenata treba razmotriti upotrebu niže početne doze od 1,25 mg.</w:t>
      </w:r>
    </w:p>
    <w:p w14:paraId="49ED6651" w14:textId="77777777" w:rsidR="00572BA1" w:rsidRPr="00572BA1" w:rsidRDefault="00572BA1" w:rsidP="00406D8C">
      <w:pPr>
        <w:pStyle w:val="Header"/>
        <w:tabs>
          <w:tab w:val="left" w:pos="570"/>
        </w:tabs>
        <w:jc w:val="both"/>
        <w:rPr>
          <w:sz w:val="22"/>
          <w:szCs w:val="22"/>
          <w:lang w:val="sr-Latn-CS"/>
        </w:rPr>
      </w:pPr>
    </w:p>
    <w:p w14:paraId="337B196D" w14:textId="77777777" w:rsidR="00572BA1" w:rsidRPr="00572BA1" w:rsidRDefault="00572BA1">
      <w:pPr>
        <w:pStyle w:val="Header"/>
        <w:tabs>
          <w:tab w:val="left" w:pos="570"/>
        </w:tabs>
        <w:jc w:val="both"/>
        <w:rPr>
          <w:i/>
          <w:sz w:val="22"/>
          <w:szCs w:val="22"/>
          <w:lang w:val="sr-Latn-CS"/>
        </w:rPr>
      </w:pPr>
      <w:r w:rsidRPr="00572BA1">
        <w:rPr>
          <w:i/>
          <w:sz w:val="22"/>
          <w:szCs w:val="22"/>
          <w:lang w:val="sr-Latn-CS"/>
        </w:rPr>
        <w:t>Pedijatrijska populacija</w:t>
      </w:r>
    </w:p>
    <w:p w14:paraId="148B48EF" w14:textId="35180B69" w:rsidR="00572BA1" w:rsidRPr="00572BA1" w:rsidRDefault="00572BA1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it-IT" w:eastAsia="zh-TW"/>
        </w:rPr>
      </w:pPr>
      <w:r w:rsidRPr="00572BA1">
        <w:rPr>
          <w:rFonts w:eastAsia="TimesNewRoman"/>
          <w:sz w:val="22"/>
          <w:szCs w:val="22"/>
          <w:lang w:eastAsia="zh-TW"/>
        </w:rPr>
        <w:t>Bezb</w:t>
      </w:r>
      <w:r w:rsidR="00136F13">
        <w:rPr>
          <w:rFonts w:eastAsia="TimesNewRoman"/>
          <w:sz w:val="22"/>
          <w:szCs w:val="22"/>
          <w:lang w:eastAsia="zh-TW"/>
        </w:rPr>
        <w:t>j</w:t>
      </w:r>
      <w:r w:rsidRPr="00572BA1">
        <w:rPr>
          <w:rFonts w:eastAsia="TimesNewRoman"/>
          <w:sz w:val="22"/>
          <w:szCs w:val="22"/>
          <w:lang w:eastAsia="zh-TW"/>
        </w:rPr>
        <w:t>ednost</w:t>
      </w:r>
      <w:r w:rsidRPr="00572BA1">
        <w:rPr>
          <w:rFonts w:eastAsia="TimesNewRoman"/>
          <w:sz w:val="22"/>
          <w:szCs w:val="22"/>
          <w:lang w:val="sr-Latn-CS" w:eastAsia="zh-TW"/>
        </w:rPr>
        <w:t xml:space="preserve"> </w:t>
      </w:r>
      <w:r w:rsidRPr="00572BA1">
        <w:rPr>
          <w:rFonts w:eastAsia="TimesNewRoman"/>
          <w:sz w:val="22"/>
          <w:szCs w:val="22"/>
          <w:lang w:eastAsia="zh-TW"/>
        </w:rPr>
        <w:t>i</w:t>
      </w:r>
      <w:r w:rsidRPr="00572BA1">
        <w:rPr>
          <w:rFonts w:eastAsia="TimesNewRoman"/>
          <w:sz w:val="22"/>
          <w:szCs w:val="22"/>
          <w:lang w:val="sr-Latn-CS" w:eastAsia="zh-TW"/>
        </w:rPr>
        <w:t xml:space="preserve"> </w:t>
      </w:r>
      <w:r w:rsidRPr="00572BA1">
        <w:rPr>
          <w:rFonts w:eastAsia="TimesNewRoman"/>
          <w:sz w:val="22"/>
          <w:szCs w:val="22"/>
          <w:lang w:eastAsia="zh-TW"/>
        </w:rPr>
        <w:t>efikasnost</w:t>
      </w:r>
      <w:r w:rsidRPr="00572BA1">
        <w:rPr>
          <w:rFonts w:eastAsia="TimesNewRoman"/>
          <w:sz w:val="22"/>
          <w:szCs w:val="22"/>
          <w:lang w:val="sr-Latn-CS" w:eastAsia="zh-TW"/>
        </w:rPr>
        <w:t xml:space="preserve"> </w:t>
      </w:r>
      <w:r w:rsidRPr="00572BA1">
        <w:rPr>
          <w:rFonts w:eastAsia="TimesNewRoman"/>
          <w:sz w:val="22"/>
          <w:szCs w:val="22"/>
          <w:lang w:eastAsia="zh-TW"/>
        </w:rPr>
        <w:t>ramiprila</w:t>
      </w:r>
      <w:r w:rsidRPr="00572BA1">
        <w:rPr>
          <w:rFonts w:eastAsia="TimesNewRoman"/>
          <w:sz w:val="22"/>
          <w:szCs w:val="22"/>
          <w:lang w:val="sr-Latn-CS" w:eastAsia="zh-TW"/>
        </w:rPr>
        <w:t xml:space="preserve"> </w:t>
      </w:r>
      <w:r w:rsidRPr="00572BA1">
        <w:rPr>
          <w:rFonts w:eastAsia="TimesNewRoman"/>
          <w:sz w:val="22"/>
          <w:szCs w:val="22"/>
          <w:lang w:eastAsia="zh-TW"/>
        </w:rPr>
        <w:t>kod</w:t>
      </w:r>
      <w:r w:rsidRPr="00572BA1">
        <w:rPr>
          <w:rFonts w:eastAsia="TimesNewRoman"/>
          <w:sz w:val="22"/>
          <w:szCs w:val="22"/>
          <w:lang w:val="sr-Latn-CS" w:eastAsia="zh-TW"/>
        </w:rPr>
        <w:t xml:space="preserve"> </w:t>
      </w:r>
      <w:r w:rsidRPr="00572BA1">
        <w:rPr>
          <w:rFonts w:eastAsia="TimesNewRoman"/>
          <w:sz w:val="22"/>
          <w:szCs w:val="22"/>
          <w:lang w:eastAsia="zh-TW"/>
        </w:rPr>
        <w:t>d</w:t>
      </w:r>
      <w:r w:rsidR="003457B5">
        <w:rPr>
          <w:rFonts w:eastAsia="TimesNewRoman"/>
          <w:sz w:val="22"/>
          <w:szCs w:val="22"/>
          <w:lang w:eastAsia="zh-TW"/>
        </w:rPr>
        <w:t>j</w:t>
      </w:r>
      <w:r w:rsidRPr="00572BA1">
        <w:rPr>
          <w:rFonts w:eastAsia="TimesNewRoman"/>
          <w:sz w:val="22"/>
          <w:szCs w:val="22"/>
          <w:lang w:eastAsia="zh-TW"/>
        </w:rPr>
        <w:t>ece</w:t>
      </w:r>
      <w:r w:rsidRPr="00572BA1">
        <w:rPr>
          <w:rFonts w:eastAsia="TimesNewRoman"/>
          <w:sz w:val="22"/>
          <w:szCs w:val="22"/>
          <w:lang w:val="sr-Latn-CS" w:eastAsia="zh-TW"/>
        </w:rPr>
        <w:t xml:space="preserve"> </w:t>
      </w:r>
      <w:r w:rsidRPr="00572BA1">
        <w:rPr>
          <w:rFonts w:eastAsia="TimesNewRoman"/>
          <w:sz w:val="22"/>
          <w:szCs w:val="22"/>
          <w:lang w:eastAsia="zh-TW"/>
        </w:rPr>
        <w:t>jo</w:t>
      </w:r>
      <w:r w:rsidRPr="00572BA1">
        <w:rPr>
          <w:rFonts w:eastAsia="TimesNewRoman"/>
          <w:sz w:val="22"/>
          <w:szCs w:val="22"/>
          <w:lang w:val="sr-Latn-CS" w:eastAsia="zh-TW"/>
        </w:rPr>
        <w:t xml:space="preserve">š </w:t>
      </w:r>
      <w:r w:rsidRPr="00572BA1">
        <w:rPr>
          <w:rFonts w:eastAsia="TimesNewRoman"/>
          <w:sz w:val="22"/>
          <w:szCs w:val="22"/>
          <w:lang w:eastAsia="zh-TW"/>
        </w:rPr>
        <w:t>nije</w:t>
      </w:r>
      <w:r w:rsidRPr="00572BA1">
        <w:rPr>
          <w:rFonts w:eastAsia="TimesNewRoman"/>
          <w:sz w:val="22"/>
          <w:szCs w:val="22"/>
          <w:lang w:val="sr-Latn-CS" w:eastAsia="zh-TW"/>
        </w:rPr>
        <w:t xml:space="preserve"> </w:t>
      </w:r>
      <w:r w:rsidRPr="00572BA1">
        <w:rPr>
          <w:rFonts w:eastAsia="TimesNewRoman"/>
          <w:sz w:val="22"/>
          <w:szCs w:val="22"/>
          <w:lang w:eastAsia="zh-TW"/>
        </w:rPr>
        <w:t>ustanovljena</w:t>
      </w:r>
      <w:r w:rsidRPr="00572BA1">
        <w:rPr>
          <w:rFonts w:eastAsia="TimesNewRoman"/>
          <w:sz w:val="22"/>
          <w:szCs w:val="22"/>
          <w:lang w:val="sr-Latn-CS" w:eastAsia="zh-TW"/>
        </w:rPr>
        <w:t xml:space="preserve">. </w:t>
      </w:r>
      <w:r w:rsidRPr="00572BA1">
        <w:rPr>
          <w:rFonts w:eastAsia="TimesNewRoman"/>
          <w:sz w:val="22"/>
          <w:szCs w:val="22"/>
          <w:lang w:val="it-IT" w:eastAsia="zh-TW"/>
        </w:rPr>
        <w:t xml:space="preserve">Trenutno dostupni podaci za ramipril su opisani u </w:t>
      </w:r>
      <w:r w:rsidR="00136F13">
        <w:rPr>
          <w:rFonts w:eastAsia="TimesNewRoman"/>
          <w:sz w:val="22"/>
          <w:szCs w:val="22"/>
          <w:lang w:val="it-IT" w:eastAsia="zh-TW"/>
        </w:rPr>
        <w:t>djelovima</w:t>
      </w:r>
      <w:r w:rsidRPr="00572BA1">
        <w:rPr>
          <w:rFonts w:eastAsia="TimesNewRoman"/>
          <w:sz w:val="22"/>
          <w:szCs w:val="22"/>
          <w:lang w:val="it-IT" w:eastAsia="zh-TW"/>
        </w:rPr>
        <w:t xml:space="preserve"> 4.8, 5.1, 5.2 i 5.3, ali se ne mogu dati specifične preporuke o doziranju.</w:t>
      </w:r>
    </w:p>
    <w:p w14:paraId="3E79C69A" w14:textId="77777777" w:rsidR="00572BA1" w:rsidRPr="00572BA1" w:rsidRDefault="00572BA1">
      <w:pPr>
        <w:jc w:val="both"/>
        <w:rPr>
          <w:sz w:val="22"/>
          <w:szCs w:val="22"/>
          <w:lang w:val="it-IT"/>
        </w:rPr>
      </w:pPr>
    </w:p>
    <w:p w14:paraId="60C4CA40" w14:textId="18F93629" w:rsidR="00572BA1" w:rsidRDefault="00572BA1">
      <w:pPr>
        <w:jc w:val="both"/>
        <w:rPr>
          <w:sz w:val="22"/>
          <w:szCs w:val="22"/>
          <w:u w:val="single"/>
          <w:lang w:val="it-IT"/>
        </w:rPr>
      </w:pPr>
      <w:r w:rsidRPr="00572BA1">
        <w:rPr>
          <w:sz w:val="22"/>
          <w:szCs w:val="22"/>
          <w:u w:val="single"/>
          <w:lang w:val="it-IT"/>
        </w:rPr>
        <w:t>Na</w:t>
      </w:r>
      <w:r w:rsidRPr="00572BA1">
        <w:rPr>
          <w:sz w:val="22"/>
          <w:szCs w:val="22"/>
          <w:u w:val="single"/>
          <w:lang w:val="sr-Latn-RS"/>
        </w:rPr>
        <w:t>č</w:t>
      </w:r>
      <w:r w:rsidRPr="00572BA1">
        <w:rPr>
          <w:sz w:val="22"/>
          <w:szCs w:val="22"/>
          <w:u w:val="single"/>
          <w:lang w:val="it-IT"/>
        </w:rPr>
        <w:t>in primjene</w:t>
      </w:r>
    </w:p>
    <w:p w14:paraId="2B9F8342" w14:textId="77777777" w:rsidR="00406D8C" w:rsidRPr="00572BA1" w:rsidRDefault="00406D8C">
      <w:pPr>
        <w:jc w:val="both"/>
        <w:rPr>
          <w:sz w:val="22"/>
          <w:szCs w:val="22"/>
          <w:u w:val="single"/>
          <w:lang w:val="it-IT"/>
        </w:rPr>
      </w:pPr>
    </w:p>
    <w:p w14:paraId="788FDDF3" w14:textId="77777777" w:rsidR="00572BA1" w:rsidRPr="00572BA1" w:rsidRDefault="00572BA1">
      <w:pPr>
        <w:jc w:val="both"/>
        <w:rPr>
          <w:sz w:val="22"/>
          <w:szCs w:val="22"/>
          <w:lang w:val="it-IT"/>
        </w:rPr>
      </w:pPr>
      <w:r w:rsidRPr="00572BA1">
        <w:rPr>
          <w:sz w:val="22"/>
          <w:szCs w:val="22"/>
          <w:lang w:val="it-IT"/>
        </w:rPr>
        <w:t>Oralna upotreba.</w:t>
      </w:r>
    </w:p>
    <w:p w14:paraId="2E2B77F7" w14:textId="77777777" w:rsidR="00452E9D" w:rsidRPr="00786071" w:rsidRDefault="00452E9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</w:p>
    <w:p w14:paraId="2E2B77FA" w14:textId="77777777" w:rsidR="00411B4B" w:rsidRPr="00786071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4.3.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Kontraindikacije</w:t>
      </w:r>
    </w:p>
    <w:p w14:paraId="2E2B77FB" w14:textId="4CFBD834" w:rsidR="0072020E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9AB1576" w14:textId="1AAA13CA" w:rsidR="00250AD4" w:rsidRPr="00250AD4" w:rsidRDefault="00250AD4" w:rsidP="00AB1FCF">
      <w:pPr>
        <w:pStyle w:val="Header"/>
        <w:numPr>
          <w:ilvl w:val="0"/>
          <w:numId w:val="15"/>
        </w:numPr>
        <w:tabs>
          <w:tab w:val="clear" w:pos="4320"/>
          <w:tab w:val="clear" w:pos="8640"/>
          <w:tab w:val="left" w:pos="0"/>
          <w:tab w:val="center" w:pos="4536"/>
          <w:tab w:val="right" w:pos="9072"/>
        </w:tabs>
        <w:jc w:val="both"/>
        <w:rPr>
          <w:sz w:val="22"/>
          <w:szCs w:val="22"/>
          <w:lang w:val="sr-Latn-CS"/>
        </w:rPr>
      </w:pPr>
      <w:r w:rsidRPr="00250AD4">
        <w:rPr>
          <w:sz w:val="22"/>
          <w:szCs w:val="22"/>
          <w:lang w:val="sr-Latn-CS"/>
        </w:rPr>
        <w:t>preos</w:t>
      </w:r>
      <w:r w:rsidR="00136F13">
        <w:rPr>
          <w:sz w:val="22"/>
          <w:szCs w:val="22"/>
          <w:lang w:val="sr-Latn-CS"/>
        </w:rPr>
        <w:t>j</w:t>
      </w:r>
      <w:r w:rsidRPr="00250AD4">
        <w:rPr>
          <w:sz w:val="22"/>
          <w:szCs w:val="22"/>
          <w:lang w:val="sr-Latn-CS"/>
        </w:rPr>
        <w:t xml:space="preserve">etlijivost na aktivnu supstancu, bilo koju pomoćnu supstancu </w:t>
      </w:r>
      <w:r w:rsidR="00136F13">
        <w:rPr>
          <w:sz w:val="22"/>
          <w:szCs w:val="22"/>
          <w:lang w:val="sr-Latn-CS"/>
        </w:rPr>
        <w:t>lijek</w:t>
      </w:r>
      <w:r w:rsidRPr="00250AD4">
        <w:rPr>
          <w:sz w:val="22"/>
          <w:szCs w:val="22"/>
          <w:lang w:val="sr-Latn-CS"/>
        </w:rPr>
        <w:t>a ili na druge ACE inhibitore (inhibitori angiotenzin konvertujućeg enzima) (</w:t>
      </w:r>
      <w:r w:rsidR="00406D8C">
        <w:rPr>
          <w:sz w:val="22"/>
          <w:szCs w:val="22"/>
          <w:lang w:val="sr-Latn-CS"/>
        </w:rPr>
        <w:t xml:space="preserve">vidjeti </w:t>
      </w:r>
      <w:r w:rsidR="00136F13">
        <w:rPr>
          <w:sz w:val="22"/>
          <w:szCs w:val="22"/>
          <w:lang w:val="sr-Latn-CS"/>
        </w:rPr>
        <w:t>dio</w:t>
      </w:r>
      <w:r w:rsidRPr="00250AD4">
        <w:rPr>
          <w:sz w:val="22"/>
          <w:szCs w:val="22"/>
          <w:lang w:val="sr-Latn-CS"/>
        </w:rPr>
        <w:t xml:space="preserve"> 6.1)</w:t>
      </w:r>
    </w:p>
    <w:p w14:paraId="0362FFAD" w14:textId="03E542D9" w:rsidR="00250AD4" w:rsidRPr="00250AD4" w:rsidRDefault="00250AD4" w:rsidP="00406D8C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  <w:jc w:val="both"/>
        <w:rPr>
          <w:sz w:val="22"/>
          <w:szCs w:val="22"/>
          <w:lang w:val="sr-Latn-CS"/>
        </w:rPr>
      </w:pPr>
      <w:r w:rsidRPr="00250AD4">
        <w:rPr>
          <w:sz w:val="22"/>
          <w:szCs w:val="22"/>
          <w:lang w:val="sr-Latn-CS"/>
        </w:rPr>
        <w:t>angioedem u anamnezi (nasl</w:t>
      </w:r>
      <w:r w:rsidR="00406D8C">
        <w:rPr>
          <w:sz w:val="22"/>
          <w:szCs w:val="22"/>
          <w:lang w:val="sr-Latn-CS"/>
        </w:rPr>
        <w:t>j</w:t>
      </w:r>
      <w:r w:rsidRPr="00250AD4">
        <w:rPr>
          <w:sz w:val="22"/>
          <w:szCs w:val="22"/>
          <w:lang w:val="sr-Latn-CS"/>
        </w:rPr>
        <w:t>edni, idiopatski ili angioedem izazvan prethodnom terapijom ACE inhibitorima ili antagonistima receptora angiotenzina II -AIIRA)</w:t>
      </w:r>
    </w:p>
    <w:p w14:paraId="07F73EFB" w14:textId="09C5D97E" w:rsidR="00250AD4" w:rsidRPr="003E06B0" w:rsidRDefault="00136F13" w:rsidP="003E06B0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istovremena</w:t>
      </w:r>
      <w:r w:rsidR="00250AD4" w:rsidRPr="00250AD4">
        <w:rPr>
          <w:sz w:val="22"/>
          <w:szCs w:val="22"/>
          <w:lang w:val="sr-Latn-CS"/>
        </w:rPr>
        <w:t xml:space="preserve"> upotreba sa terapijom sakubitrilom/valsartanom</w:t>
      </w:r>
      <w:r w:rsidR="003E06B0">
        <w:rPr>
          <w:sz w:val="22"/>
          <w:szCs w:val="22"/>
          <w:lang w:val="sr-Latn-CS"/>
        </w:rPr>
        <w:t xml:space="preserve">. </w:t>
      </w:r>
      <w:r w:rsidR="003E06B0" w:rsidRPr="00D44F0E">
        <w:rPr>
          <w:sz w:val="22"/>
          <w:szCs w:val="22"/>
          <w:lang w:val="sr-Latn-CS"/>
        </w:rPr>
        <w:t>Ramipril se ne sm</w:t>
      </w:r>
      <w:r w:rsidR="003457B5">
        <w:rPr>
          <w:sz w:val="22"/>
          <w:szCs w:val="22"/>
          <w:lang w:val="sr-Latn-CS"/>
        </w:rPr>
        <w:t>ij</w:t>
      </w:r>
      <w:r w:rsidR="003E06B0" w:rsidRPr="00D44F0E">
        <w:rPr>
          <w:sz w:val="22"/>
          <w:szCs w:val="22"/>
          <w:lang w:val="sr-Latn-CS"/>
        </w:rPr>
        <w:t>e prim</w:t>
      </w:r>
      <w:r w:rsidR="00406D8C">
        <w:rPr>
          <w:sz w:val="22"/>
          <w:szCs w:val="22"/>
          <w:lang w:val="sr-Latn-CS"/>
        </w:rPr>
        <w:t>i</w:t>
      </w:r>
      <w:r w:rsidR="003E06B0" w:rsidRPr="00D44F0E">
        <w:rPr>
          <w:sz w:val="22"/>
          <w:szCs w:val="22"/>
          <w:lang w:val="sr-Latn-CS"/>
        </w:rPr>
        <w:t>jeniti ukoliko je prošlo manje od 36 sati od posl</w:t>
      </w:r>
      <w:r w:rsidR="00406D8C">
        <w:rPr>
          <w:sz w:val="22"/>
          <w:szCs w:val="22"/>
          <w:lang w:val="sr-Latn-CS"/>
        </w:rPr>
        <w:t>j</w:t>
      </w:r>
      <w:r w:rsidR="003E06B0" w:rsidRPr="00D44F0E">
        <w:rPr>
          <w:sz w:val="22"/>
          <w:szCs w:val="22"/>
          <w:lang w:val="sr-Latn-CS"/>
        </w:rPr>
        <w:t>ednje prim</w:t>
      </w:r>
      <w:r w:rsidR="00406D8C">
        <w:rPr>
          <w:sz w:val="22"/>
          <w:szCs w:val="22"/>
          <w:lang w:val="sr-Latn-CS"/>
        </w:rPr>
        <w:t>ij</w:t>
      </w:r>
      <w:r w:rsidR="003E06B0" w:rsidRPr="00D44F0E">
        <w:rPr>
          <w:sz w:val="22"/>
          <w:szCs w:val="22"/>
          <w:lang w:val="sr-Latn-CS"/>
        </w:rPr>
        <w:t xml:space="preserve">enjene doze lijeka sakubitril/valsartan </w:t>
      </w:r>
      <w:r w:rsidR="003E06B0">
        <w:rPr>
          <w:sz w:val="22"/>
          <w:szCs w:val="22"/>
          <w:lang w:val="sr-Latn-CS"/>
        </w:rPr>
        <w:t xml:space="preserve"> </w:t>
      </w:r>
      <w:r w:rsidR="00250AD4" w:rsidRPr="003E06B0">
        <w:rPr>
          <w:sz w:val="22"/>
          <w:szCs w:val="22"/>
          <w:lang w:val="sr-Latn-CS"/>
        </w:rPr>
        <w:t>(</w:t>
      </w:r>
      <w:r w:rsidR="00406D8C">
        <w:rPr>
          <w:sz w:val="22"/>
          <w:szCs w:val="22"/>
          <w:lang w:val="sr-Latn-CS"/>
        </w:rPr>
        <w:t>vidjeti</w:t>
      </w:r>
      <w:r w:rsidR="00406D8C" w:rsidRPr="003E06B0">
        <w:rPr>
          <w:sz w:val="22"/>
          <w:szCs w:val="22"/>
          <w:lang w:val="sr-Latn-CS"/>
        </w:rPr>
        <w:t xml:space="preserve"> </w:t>
      </w:r>
      <w:r w:rsidRPr="003E06B0">
        <w:rPr>
          <w:sz w:val="22"/>
          <w:szCs w:val="22"/>
          <w:lang w:val="sr-Latn-CS"/>
        </w:rPr>
        <w:t>dio</w:t>
      </w:r>
      <w:r w:rsidR="00250AD4" w:rsidRPr="003E06B0">
        <w:rPr>
          <w:sz w:val="22"/>
          <w:szCs w:val="22"/>
          <w:lang w:val="sr-Latn-CS"/>
        </w:rPr>
        <w:t xml:space="preserve">  4.4 i 4.5)</w:t>
      </w:r>
    </w:p>
    <w:p w14:paraId="3337E054" w14:textId="06357797" w:rsidR="00250AD4" w:rsidRPr="00250AD4" w:rsidRDefault="00250AD4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  <w:jc w:val="both"/>
        <w:rPr>
          <w:sz w:val="22"/>
          <w:szCs w:val="22"/>
          <w:lang w:val="sr-Latn-CS"/>
        </w:rPr>
      </w:pPr>
      <w:bookmarkStart w:id="6" w:name="OLE_LINK6"/>
      <w:bookmarkStart w:id="7" w:name="OLE_LINK7"/>
      <w:r w:rsidRPr="00250AD4">
        <w:rPr>
          <w:sz w:val="22"/>
          <w:szCs w:val="22"/>
          <w:lang w:val="sr-Latn-CS"/>
        </w:rPr>
        <w:lastRenderedPageBreak/>
        <w:t>ekstrakorporalna terapija pri kojoj dolazi do kontakta krvi sa negativno nae</w:t>
      </w:r>
      <w:r w:rsidR="00136F13">
        <w:rPr>
          <w:sz w:val="22"/>
          <w:szCs w:val="22"/>
          <w:lang w:val="sr-Latn-CS"/>
        </w:rPr>
        <w:t>lek</w:t>
      </w:r>
      <w:r w:rsidRPr="00250AD4">
        <w:rPr>
          <w:sz w:val="22"/>
          <w:szCs w:val="22"/>
          <w:lang w:val="sr-Latn-CS"/>
        </w:rPr>
        <w:t xml:space="preserve">trisanim površinama </w:t>
      </w:r>
      <w:bookmarkEnd w:id="6"/>
      <w:bookmarkEnd w:id="7"/>
      <w:r w:rsidRPr="00250AD4">
        <w:rPr>
          <w:sz w:val="22"/>
          <w:szCs w:val="22"/>
          <w:lang w:val="sr-Latn-CS"/>
        </w:rPr>
        <w:t>(</w:t>
      </w:r>
      <w:r w:rsidR="00406D8C">
        <w:rPr>
          <w:sz w:val="22"/>
          <w:szCs w:val="22"/>
          <w:lang w:val="sr-Latn-CS"/>
        </w:rPr>
        <w:t xml:space="preserve">vidjeti </w:t>
      </w:r>
      <w:r w:rsidR="00136F13">
        <w:rPr>
          <w:sz w:val="22"/>
          <w:szCs w:val="22"/>
          <w:lang w:val="sr-Latn-CS"/>
        </w:rPr>
        <w:t>dio</w:t>
      </w:r>
      <w:r w:rsidRPr="00250AD4">
        <w:rPr>
          <w:sz w:val="22"/>
          <w:szCs w:val="22"/>
          <w:lang w:val="sr-Latn-CS"/>
        </w:rPr>
        <w:t xml:space="preserve"> 4.5)</w:t>
      </w:r>
    </w:p>
    <w:p w14:paraId="01A5B263" w14:textId="77777777" w:rsidR="00250AD4" w:rsidRPr="00250AD4" w:rsidRDefault="00250AD4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  <w:jc w:val="both"/>
        <w:rPr>
          <w:sz w:val="22"/>
          <w:szCs w:val="22"/>
          <w:lang w:val="sr-Latn-CS"/>
        </w:rPr>
      </w:pPr>
      <w:r w:rsidRPr="00250AD4">
        <w:rPr>
          <w:sz w:val="22"/>
          <w:szCs w:val="22"/>
          <w:lang w:val="sr-Latn-CS"/>
        </w:rPr>
        <w:t>izražena bilateralna stenoza bubrežne arterije ili stenoza bubrežne arterije u jednom funkcionalnom bubregu.</w:t>
      </w:r>
    </w:p>
    <w:p w14:paraId="4CB93876" w14:textId="4C3993E7" w:rsidR="00250AD4" w:rsidRPr="00250AD4" w:rsidRDefault="00250AD4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  <w:jc w:val="both"/>
        <w:rPr>
          <w:sz w:val="22"/>
          <w:szCs w:val="22"/>
          <w:lang w:val="sr-Latn-CS"/>
        </w:rPr>
      </w:pPr>
      <w:r w:rsidRPr="00250AD4">
        <w:rPr>
          <w:sz w:val="22"/>
          <w:szCs w:val="22"/>
          <w:lang w:val="sr-Latn-CS"/>
        </w:rPr>
        <w:t>drugi i treći trimestar trudnoće (</w:t>
      </w:r>
      <w:r w:rsidR="00406D8C">
        <w:rPr>
          <w:sz w:val="22"/>
          <w:szCs w:val="22"/>
          <w:lang w:val="sr-Latn-CS"/>
        </w:rPr>
        <w:t xml:space="preserve">vidjeti </w:t>
      </w:r>
      <w:r w:rsidR="00136F13">
        <w:rPr>
          <w:sz w:val="22"/>
          <w:szCs w:val="22"/>
          <w:lang w:val="sr-Latn-CS"/>
        </w:rPr>
        <w:t>dio</w:t>
      </w:r>
      <w:r w:rsidRPr="00250AD4">
        <w:rPr>
          <w:sz w:val="22"/>
          <w:szCs w:val="22"/>
          <w:lang w:val="sr-Latn-CS"/>
        </w:rPr>
        <w:t xml:space="preserve">  4.4 i 4.6)</w:t>
      </w:r>
    </w:p>
    <w:p w14:paraId="78B7DF0E" w14:textId="09E79FAC" w:rsidR="00250AD4" w:rsidRPr="00250AD4" w:rsidRDefault="00250AD4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  <w:jc w:val="both"/>
        <w:rPr>
          <w:sz w:val="22"/>
          <w:szCs w:val="22"/>
          <w:lang w:val="sr-Latn-CS"/>
        </w:rPr>
      </w:pPr>
      <w:r w:rsidRPr="00250AD4">
        <w:rPr>
          <w:sz w:val="22"/>
          <w:szCs w:val="22"/>
          <w:lang w:val="sr-Latn-CS"/>
        </w:rPr>
        <w:t xml:space="preserve">ramipril ne </w:t>
      </w:r>
      <w:r w:rsidR="00136F13">
        <w:rPr>
          <w:sz w:val="22"/>
          <w:szCs w:val="22"/>
          <w:lang w:val="sr-Latn-CS"/>
        </w:rPr>
        <w:t>smiju</w:t>
      </w:r>
      <w:r w:rsidRPr="00250AD4">
        <w:rPr>
          <w:sz w:val="22"/>
          <w:szCs w:val="22"/>
          <w:lang w:val="sr-Latn-CS"/>
        </w:rPr>
        <w:t xml:space="preserve"> koristiti pacijenti koji su hipotenzivno ili hemodinamski nestabilni</w:t>
      </w:r>
    </w:p>
    <w:p w14:paraId="40F51FBC" w14:textId="0E0A12F2" w:rsidR="00250AD4" w:rsidRPr="00250AD4" w:rsidRDefault="00136F13" w:rsidP="00406D8C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istovremena</w:t>
      </w:r>
      <w:r w:rsidR="00250AD4" w:rsidRPr="00250AD4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>primjena</w:t>
      </w:r>
      <w:r w:rsidR="00250AD4" w:rsidRPr="00250AD4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>lijek</w:t>
      </w:r>
      <w:r w:rsidR="00250AD4" w:rsidRPr="00250AD4">
        <w:rPr>
          <w:sz w:val="22"/>
          <w:szCs w:val="22"/>
          <w:lang w:val="sr-Latn-CS"/>
        </w:rPr>
        <w:t xml:space="preserve">a Prilinda sa </w:t>
      </w:r>
      <w:r>
        <w:rPr>
          <w:sz w:val="22"/>
          <w:szCs w:val="22"/>
          <w:lang w:val="sr-Latn-CS"/>
        </w:rPr>
        <w:t>ljekovi</w:t>
      </w:r>
      <w:r w:rsidR="00250AD4" w:rsidRPr="00250AD4">
        <w:rPr>
          <w:sz w:val="22"/>
          <w:szCs w:val="22"/>
          <w:lang w:val="sr-Latn-CS"/>
        </w:rPr>
        <w:t>ma koji sadrže aliskiren je kontraindikovana kod pacijenata sa dijabetes melitusom ili oštećenjem funkcije bubrega (GFR &lt; 60 m</w:t>
      </w:r>
      <w:r w:rsidR="00406D8C">
        <w:rPr>
          <w:sz w:val="22"/>
          <w:szCs w:val="22"/>
          <w:lang w:val="sr-Latn-CS"/>
        </w:rPr>
        <w:t>l</w:t>
      </w:r>
      <w:r w:rsidR="00250AD4" w:rsidRPr="00250AD4">
        <w:rPr>
          <w:sz w:val="22"/>
          <w:szCs w:val="22"/>
          <w:lang w:val="sr-Latn-CS"/>
        </w:rPr>
        <w:t>/min/1,73m²) (</w:t>
      </w:r>
      <w:r w:rsidR="00406D8C">
        <w:rPr>
          <w:sz w:val="22"/>
          <w:szCs w:val="22"/>
          <w:lang w:val="sr-Latn-CS"/>
        </w:rPr>
        <w:t xml:space="preserve">vidjeti </w:t>
      </w:r>
      <w:r>
        <w:rPr>
          <w:sz w:val="22"/>
          <w:szCs w:val="22"/>
          <w:lang w:val="sr-Latn-CS"/>
        </w:rPr>
        <w:t>dio</w:t>
      </w:r>
      <w:r w:rsidR="00250AD4" w:rsidRPr="00250AD4">
        <w:rPr>
          <w:sz w:val="22"/>
          <w:szCs w:val="22"/>
          <w:lang w:val="sr-Latn-CS"/>
        </w:rPr>
        <w:t xml:space="preserve">  4.5 i 5.1)</w:t>
      </w:r>
    </w:p>
    <w:p w14:paraId="25286382" w14:textId="77777777" w:rsidR="003E06B0" w:rsidRDefault="003E06B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</w:p>
    <w:p w14:paraId="2E2B77FC" w14:textId="264AF868" w:rsidR="00411B4B" w:rsidRPr="004F24BB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4F24BB">
        <w:rPr>
          <w:b/>
          <w:bCs/>
          <w:sz w:val="22"/>
          <w:szCs w:val="22"/>
          <w:lang w:val="sr-Latn-CS"/>
        </w:rPr>
        <w:t xml:space="preserve">4.4. </w:t>
      </w:r>
      <w:r w:rsidR="00480FB1" w:rsidRPr="004F24BB">
        <w:rPr>
          <w:b/>
          <w:bCs/>
          <w:sz w:val="22"/>
          <w:szCs w:val="22"/>
          <w:lang w:val="sr-Latn-CS"/>
        </w:rPr>
        <w:tab/>
      </w:r>
      <w:r w:rsidRPr="00786071">
        <w:rPr>
          <w:b/>
          <w:bCs/>
          <w:sz w:val="22"/>
          <w:szCs w:val="22"/>
        </w:rPr>
        <w:t>Posebna</w:t>
      </w:r>
      <w:r w:rsidRPr="004F24BB">
        <w:rPr>
          <w:b/>
          <w:bCs/>
          <w:sz w:val="22"/>
          <w:szCs w:val="22"/>
          <w:lang w:val="sr-Latn-CS"/>
        </w:rPr>
        <w:t xml:space="preserve"> </w:t>
      </w:r>
      <w:r w:rsidRPr="00786071">
        <w:rPr>
          <w:b/>
          <w:bCs/>
          <w:sz w:val="22"/>
          <w:szCs w:val="22"/>
        </w:rPr>
        <w:t>upozorenja</w:t>
      </w:r>
      <w:r w:rsidRPr="004F24BB">
        <w:rPr>
          <w:b/>
          <w:bCs/>
          <w:sz w:val="22"/>
          <w:szCs w:val="22"/>
          <w:lang w:val="sr-Latn-CS"/>
        </w:rPr>
        <w:t xml:space="preserve"> </w:t>
      </w:r>
      <w:r w:rsidRPr="00786071">
        <w:rPr>
          <w:b/>
          <w:bCs/>
          <w:sz w:val="22"/>
          <w:szCs w:val="22"/>
        </w:rPr>
        <w:t>i</w:t>
      </w:r>
      <w:r w:rsidRPr="004F24BB">
        <w:rPr>
          <w:b/>
          <w:bCs/>
          <w:sz w:val="22"/>
          <w:szCs w:val="22"/>
          <w:lang w:val="sr-Latn-CS"/>
        </w:rPr>
        <w:t xml:space="preserve"> </w:t>
      </w:r>
      <w:r w:rsidRPr="00786071">
        <w:rPr>
          <w:b/>
          <w:bCs/>
          <w:sz w:val="22"/>
          <w:szCs w:val="22"/>
        </w:rPr>
        <w:t>mjere</w:t>
      </w:r>
      <w:r w:rsidRPr="004F24BB">
        <w:rPr>
          <w:b/>
          <w:bCs/>
          <w:sz w:val="22"/>
          <w:szCs w:val="22"/>
          <w:lang w:val="sr-Latn-CS"/>
        </w:rPr>
        <w:t xml:space="preserve"> </w:t>
      </w:r>
      <w:r w:rsidRPr="00786071">
        <w:rPr>
          <w:b/>
          <w:bCs/>
          <w:sz w:val="22"/>
          <w:szCs w:val="22"/>
        </w:rPr>
        <w:t>opreza</w:t>
      </w:r>
      <w:r w:rsidRPr="004F24BB">
        <w:rPr>
          <w:b/>
          <w:bCs/>
          <w:sz w:val="22"/>
          <w:szCs w:val="22"/>
          <w:lang w:val="sr-Latn-CS"/>
        </w:rPr>
        <w:t xml:space="preserve"> </w:t>
      </w:r>
      <w:r w:rsidRPr="00786071">
        <w:rPr>
          <w:b/>
          <w:bCs/>
          <w:sz w:val="22"/>
          <w:szCs w:val="22"/>
        </w:rPr>
        <w:t>pri</w:t>
      </w:r>
      <w:r w:rsidRPr="004F24BB">
        <w:rPr>
          <w:b/>
          <w:bCs/>
          <w:sz w:val="22"/>
          <w:szCs w:val="22"/>
          <w:lang w:val="sr-Latn-CS"/>
        </w:rPr>
        <w:t xml:space="preserve"> </w:t>
      </w:r>
      <w:r w:rsidRPr="00786071">
        <w:rPr>
          <w:b/>
          <w:bCs/>
          <w:sz w:val="22"/>
          <w:szCs w:val="22"/>
        </w:rPr>
        <w:t>upotrebi</w:t>
      </w:r>
      <w:r w:rsidRPr="004F24BB">
        <w:rPr>
          <w:b/>
          <w:bCs/>
          <w:sz w:val="22"/>
          <w:szCs w:val="22"/>
          <w:lang w:val="sr-Latn-CS"/>
        </w:rPr>
        <w:t xml:space="preserve"> </w:t>
      </w:r>
      <w:r w:rsidRPr="00786071">
        <w:rPr>
          <w:b/>
          <w:bCs/>
          <w:sz w:val="22"/>
          <w:szCs w:val="22"/>
        </w:rPr>
        <w:t>lijeka</w:t>
      </w:r>
    </w:p>
    <w:p w14:paraId="10D41804" w14:textId="77777777" w:rsidR="00250AD4" w:rsidRPr="004F24BB" w:rsidRDefault="00250AD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</w:p>
    <w:p w14:paraId="113CA120" w14:textId="77777777" w:rsidR="00A75117" w:rsidRPr="00AB1FCF" w:rsidRDefault="00A75117" w:rsidP="00AB1FCF">
      <w:pPr>
        <w:pStyle w:val="Header"/>
        <w:tabs>
          <w:tab w:val="left" w:pos="0"/>
        </w:tabs>
        <w:jc w:val="both"/>
        <w:rPr>
          <w:b/>
          <w:sz w:val="22"/>
          <w:szCs w:val="22"/>
          <w:lang w:val="sr-Latn-CS"/>
        </w:rPr>
      </w:pPr>
      <w:r w:rsidRPr="00AB1FCF">
        <w:rPr>
          <w:b/>
          <w:sz w:val="22"/>
          <w:szCs w:val="22"/>
          <w:lang w:val="sr-Latn-CS"/>
        </w:rPr>
        <w:t>Posebne populacije</w:t>
      </w:r>
    </w:p>
    <w:p w14:paraId="5DFDF834" w14:textId="6901E0F7" w:rsidR="00A75117" w:rsidRDefault="00A75117" w:rsidP="00AB1FCF">
      <w:pPr>
        <w:pStyle w:val="Header"/>
        <w:tabs>
          <w:tab w:val="clear" w:pos="4320"/>
          <w:tab w:val="clear" w:pos="8640"/>
          <w:tab w:val="left" w:pos="0"/>
        </w:tabs>
        <w:jc w:val="both"/>
        <w:rPr>
          <w:sz w:val="22"/>
          <w:szCs w:val="22"/>
          <w:lang w:val="sr-Latn-CS"/>
        </w:rPr>
      </w:pPr>
      <w:r w:rsidRPr="00A75117">
        <w:rPr>
          <w:b/>
          <w:i/>
          <w:sz w:val="22"/>
          <w:szCs w:val="22"/>
          <w:lang w:val="sr-Latn-CS"/>
        </w:rPr>
        <w:t>Trudnoća:</w:t>
      </w:r>
      <w:r w:rsidRPr="00A75117">
        <w:rPr>
          <w:i/>
          <w:sz w:val="22"/>
          <w:szCs w:val="22"/>
          <w:lang w:val="sr-Latn-CS"/>
        </w:rPr>
        <w:t xml:space="preserve"> </w:t>
      </w:r>
      <w:r w:rsidRPr="00A75117">
        <w:rPr>
          <w:sz w:val="22"/>
          <w:szCs w:val="22"/>
          <w:lang w:val="sr-Latn-CS"/>
        </w:rPr>
        <w:t>Terapiju</w:t>
      </w:r>
      <w:r w:rsidRPr="00A75117">
        <w:rPr>
          <w:i/>
          <w:sz w:val="22"/>
          <w:szCs w:val="22"/>
          <w:lang w:val="sr-Latn-CS"/>
        </w:rPr>
        <w:t xml:space="preserve"> </w:t>
      </w:r>
      <w:r w:rsidRPr="00A75117">
        <w:rPr>
          <w:sz w:val="22"/>
          <w:szCs w:val="22"/>
          <w:lang w:val="sr-Latn-CS"/>
        </w:rPr>
        <w:t>ACE inhibitorima kao što je ramipril ili blokatorima receptora angiotenzina II (Angiotensin II Receptor Antagonists - AIIRAs) ne treba započinjati tokom trudnoće. Osim u slučajevima u kojima se kontinuirana terapija ACE inhibitorima/blokatorima angiotenzin II receptora smatra neophodnom, pacijentkinje koje planiraju trudnoću treba da pređu na alternativnu antihipertenzivnu terapiju, koja ima ustanovljen bezb</w:t>
      </w:r>
      <w:r w:rsidR="003457B5">
        <w:rPr>
          <w:sz w:val="22"/>
          <w:szCs w:val="22"/>
          <w:lang w:val="sr-Latn-CS"/>
        </w:rPr>
        <w:t>j</w:t>
      </w:r>
      <w:r w:rsidRPr="00A75117">
        <w:rPr>
          <w:sz w:val="22"/>
          <w:szCs w:val="22"/>
          <w:lang w:val="sr-Latn-CS"/>
        </w:rPr>
        <w:t>ednosni profil za prim</w:t>
      </w:r>
      <w:r w:rsidR="003457B5">
        <w:rPr>
          <w:sz w:val="22"/>
          <w:szCs w:val="22"/>
          <w:lang w:val="sr-Latn-CS"/>
        </w:rPr>
        <w:t>j</w:t>
      </w:r>
      <w:r w:rsidRPr="00A75117">
        <w:rPr>
          <w:sz w:val="22"/>
          <w:szCs w:val="22"/>
          <w:lang w:val="sr-Latn-CS"/>
        </w:rPr>
        <w:t>enu u trudnoći. Kada se trudnoća ustanovi, terapiju ACE inhibitorima/blokatorima angiotenzin II receptora treba odmah prekinuti i ukoliko je potrebno započeti alternativnu terapiju (</w:t>
      </w:r>
      <w:r w:rsidR="00AA0C2D">
        <w:rPr>
          <w:sz w:val="22"/>
          <w:szCs w:val="22"/>
          <w:lang w:val="sr-Latn-CS"/>
        </w:rPr>
        <w:t xml:space="preserve">vidjeti </w:t>
      </w:r>
      <w:r w:rsidR="00136F13">
        <w:rPr>
          <w:sz w:val="22"/>
          <w:szCs w:val="22"/>
          <w:lang w:val="sr-Latn-CS"/>
        </w:rPr>
        <w:t>d</w:t>
      </w:r>
      <w:r w:rsidR="00AA0C2D">
        <w:rPr>
          <w:sz w:val="22"/>
          <w:szCs w:val="22"/>
          <w:lang w:val="sr-Latn-CS"/>
        </w:rPr>
        <w:t>jelove</w:t>
      </w:r>
      <w:r w:rsidRPr="00A75117">
        <w:rPr>
          <w:sz w:val="22"/>
          <w:szCs w:val="22"/>
          <w:lang w:val="sr-Latn-CS"/>
        </w:rPr>
        <w:t xml:space="preserve"> 4.3 i 4.6).</w:t>
      </w:r>
    </w:p>
    <w:p w14:paraId="03CABC9A" w14:textId="77777777" w:rsidR="00AA0C2D" w:rsidRPr="00A75117" w:rsidRDefault="00AA0C2D" w:rsidP="00AB1FCF">
      <w:pPr>
        <w:pStyle w:val="Header"/>
        <w:tabs>
          <w:tab w:val="clear" w:pos="4320"/>
          <w:tab w:val="clear" w:pos="8640"/>
          <w:tab w:val="left" w:pos="0"/>
        </w:tabs>
        <w:jc w:val="both"/>
        <w:rPr>
          <w:sz w:val="22"/>
          <w:szCs w:val="22"/>
          <w:lang w:val="sr-Latn-CS"/>
        </w:rPr>
      </w:pPr>
    </w:p>
    <w:p w14:paraId="7327C9D7" w14:textId="77777777" w:rsidR="00A75117" w:rsidRPr="00A75117" w:rsidRDefault="00A75117" w:rsidP="00AB1FCF">
      <w:pPr>
        <w:pStyle w:val="Header"/>
        <w:tabs>
          <w:tab w:val="clear" w:pos="4320"/>
          <w:tab w:val="clear" w:pos="8640"/>
          <w:tab w:val="left" w:pos="0"/>
          <w:tab w:val="center" w:pos="709"/>
          <w:tab w:val="right" w:pos="9072"/>
        </w:tabs>
        <w:jc w:val="both"/>
        <w:rPr>
          <w:b/>
          <w:i/>
          <w:sz w:val="22"/>
          <w:szCs w:val="22"/>
          <w:lang w:val="sr-Latn-CS"/>
        </w:rPr>
      </w:pPr>
      <w:r w:rsidRPr="00A75117">
        <w:rPr>
          <w:b/>
          <w:i/>
          <w:sz w:val="22"/>
          <w:szCs w:val="22"/>
          <w:lang w:val="sr-Latn-CS"/>
        </w:rPr>
        <w:t>Pacijenti sa posebnim rizikom za pojavu hipotenzije</w:t>
      </w:r>
    </w:p>
    <w:p w14:paraId="58772CF9" w14:textId="77777777" w:rsidR="00A75117" w:rsidRPr="00A75117" w:rsidRDefault="00A75117" w:rsidP="00AB1FCF">
      <w:pPr>
        <w:pStyle w:val="Header"/>
        <w:tabs>
          <w:tab w:val="left" w:pos="0"/>
        </w:tabs>
        <w:jc w:val="both"/>
        <w:rPr>
          <w:i/>
          <w:sz w:val="22"/>
          <w:szCs w:val="22"/>
          <w:lang w:val="sr-Latn-CS"/>
        </w:rPr>
      </w:pPr>
      <w:r w:rsidRPr="00A75117">
        <w:rPr>
          <w:i/>
          <w:sz w:val="22"/>
          <w:szCs w:val="22"/>
          <w:lang w:val="sr-Latn-CS"/>
        </w:rPr>
        <w:t>-</w:t>
      </w:r>
      <w:bookmarkStart w:id="8" w:name="OLE_LINK5"/>
      <w:r w:rsidRPr="00A75117">
        <w:rPr>
          <w:i/>
          <w:sz w:val="22"/>
          <w:szCs w:val="22"/>
          <w:lang w:val="sr-Latn-CS"/>
        </w:rPr>
        <w:t>Pacijenti sa snažno aktiviranim renin-angiotenzin-aldosteron sistemom</w:t>
      </w:r>
      <w:bookmarkEnd w:id="8"/>
    </w:p>
    <w:p w14:paraId="6F052DA3" w14:textId="10A755F7" w:rsidR="00A75117" w:rsidRPr="00A75117" w:rsidRDefault="00A75117" w:rsidP="00AB1FCF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  <w:r w:rsidRPr="00A75117">
        <w:rPr>
          <w:sz w:val="22"/>
          <w:szCs w:val="22"/>
          <w:lang w:val="sr-Latn-CS"/>
        </w:rPr>
        <w:t>Kod pacijenata sa snažno aktiviranim renin-angiotenzin-aldosteron sistemom, postoji rizik od izraženog,  akutnog pada krvnog pritiska i poremećaja funkcije bubrega kao posl</w:t>
      </w:r>
      <w:r w:rsidR="00AA0C2D">
        <w:rPr>
          <w:sz w:val="22"/>
          <w:szCs w:val="22"/>
          <w:lang w:val="sr-Latn-CS"/>
        </w:rPr>
        <w:t>j</w:t>
      </w:r>
      <w:r w:rsidRPr="00A75117">
        <w:rPr>
          <w:sz w:val="22"/>
          <w:szCs w:val="22"/>
          <w:lang w:val="sr-Latn-CS"/>
        </w:rPr>
        <w:t xml:space="preserve">edica inhibicije angiotenzin konvertujućeg enzima (ACE)  naročito kada su ACE inhibitor ili </w:t>
      </w:r>
      <w:r w:rsidR="00136F13">
        <w:rPr>
          <w:sz w:val="22"/>
          <w:szCs w:val="22"/>
          <w:lang w:val="sr-Latn-CS"/>
        </w:rPr>
        <w:t>istovremeno</w:t>
      </w:r>
      <w:r w:rsidRPr="00A75117">
        <w:rPr>
          <w:sz w:val="22"/>
          <w:szCs w:val="22"/>
          <w:lang w:val="sr-Latn-CS"/>
        </w:rPr>
        <w:t xml:space="preserve"> uzet diuretik prim</w:t>
      </w:r>
      <w:r w:rsidR="00AA0C2D">
        <w:rPr>
          <w:sz w:val="22"/>
          <w:szCs w:val="22"/>
          <w:lang w:val="sr-Latn-CS"/>
        </w:rPr>
        <w:t>ij</w:t>
      </w:r>
      <w:r w:rsidRPr="00A75117">
        <w:rPr>
          <w:sz w:val="22"/>
          <w:szCs w:val="22"/>
          <w:lang w:val="sr-Latn-CS"/>
        </w:rPr>
        <w:t xml:space="preserve">enjeni </w:t>
      </w:r>
      <w:r w:rsidR="00B81049">
        <w:rPr>
          <w:sz w:val="22"/>
          <w:szCs w:val="22"/>
          <w:lang w:val="sr-Latn-CS"/>
        </w:rPr>
        <w:t xml:space="preserve">po </w:t>
      </w:r>
      <w:r w:rsidRPr="00A75117">
        <w:rPr>
          <w:sz w:val="22"/>
          <w:szCs w:val="22"/>
          <w:lang w:val="sr-Latn-CS"/>
        </w:rPr>
        <w:t>prvi put</w:t>
      </w:r>
      <w:r w:rsidR="00B81049">
        <w:rPr>
          <w:sz w:val="22"/>
          <w:szCs w:val="22"/>
          <w:lang w:val="sr-Latn-CS"/>
        </w:rPr>
        <w:t>, odnosno</w:t>
      </w:r>
      <w:r w:rsidRPr="00A75117">
        <w:rPr>
          <w:sz w:val="22"/>
          <w:szCs w:val="22"/>
          <w:lang w:val="sr-Latn-CS"/>
        </w:rPr>
        <w:t xml:space="preserve"> </w:t>
      </w:r>
      <w:r w:rsidR="00B81049">
        <w:rPr>
          <w:sz w:val="22"/>
          <w:szCs w:val="22"/>
          <w:lang w:val="sr-Latn-CS"/>
        </w:rPr>
        <w:t xml:space="preserve">kod </w:t>
      </w:r>
      <w:r w:rsidRPr="00A75117">
        <w:rPr>
          <w:sz w:val="22"/>
          <w:szCs w:val="22"/>
          <w:lang w:val="sr-Latn-CS"/>
        </w:rPr>
        <w:t xml:space="preserve"> prvo</w:t>
      </w:r>
      <w:r w:rsidR="00B81049">
        <w:rPr>
          <w:sz w:val="22"/>
          <w:szCs w:val="22"/>
          <w:lang w:val="sr-Latn-CS"/>
        </w:rPr>
        <w:t>g</w:t>
      </w:r>
      <w:r w:rsidRPr="00A75117">
        <w:rPr>
          <w:sz w:val="22"/>
          <w:szCs w:val="22"/>
          <w:lang w:val="sr-Latn-CS"/>
        </w:rPr>
        <w:t xml:space="preserve"> povećanj</w:t>
      </w:r>
      <w:r w:rsidR="00B81049">
        <w:rPr>
          <w:sz w:val="22"/>
          <w:szCs w:val="22"/>
          <w:lang w:val="sr-Latn-CS"/>
        </w:rPr>
        <w:t>a</w:t>
      </w:r>
      <w:r w:rsidRPr="00A75117">
        <w:rPr>
          <w:sz w:val="22"/>
          <w:szCs w:val="22"/>
          <w:lang w:val="sr-Latn-CS"/>
        </w:rPr>
        <w:t xml:space="preserve"> doze.</w:t>
      </w:r>
    </w:p>
    <w:p w14:paraId="34B4B69C" w14:textId="7E99997A" w:rsidR="00A75117" w:rsidRPr="00A75117" w:rsidRDefault="00A75117" w:rsidP="00D66A5B">
      <w:pPr>
        <w:pStyle w:val="Header"/>
        <w:tabs>
          <w:tab w:val="left" w:pos="0"/>
        </w:tabs>
        <w:spacing w:before="120"/>
        <w:jc w:val="both"/>
        <w:rPr>
          <w:sz w:val="22"/>
          <w:szCs w:val="22"/>
          <w:lang w:val="sr-Latn-CS"/>
        </w:rPr>
      </w:pPr>
      <w:r w:rsidRPr="00A75117">
        <w:rPr>
          <w:sz w:val="22"/>
          <w:szCs w:val="22"/>
          <w:lang w:val="sr-Latn-CS"/>
        </w:rPr>
        <w:t xml:space="preserve">Značajna aktivacija renin–angiotenzin-aldosteron sistema se može očekivati, pa je neophodno </w:t>
      </w:r>
      <w:r w:rsidR="00B81049">
        <w:rPr>
          <w:sz w:val="22"/>
          <w:szCs w:val="22"/>
          <w:lang w:val="sr-Latn-CS"/>
        </w:rPr>
        <w:t>obezbjediti</w:t>
      </w:r>
      <w:r w:rsidR="00B81049" w:rsidRPr="00A75117">
        <w:rPr>
          <w:sz w:val="22"/>
          <w:szCs w:val="22"/>
          <w:lang w:val="sr-Latn-CS"/>
        </w:rPr>
        <w:t xml:space="preserve"> </w:t>
      </w:r>
      <w:r w:rsidRPr="00A75117">
        <w:rPr>
          <w:sz w:val="22"/>
          <w:szCs w:val="22"/>
          <w:lang w:val="sr-Latn-CS"/>
        </w:rPr>
        <w:t>medicinski nadzor, uključujući praćenje vr</w:t>
      </w:r>
      <w:r w:rsidR="00B81049">
        <w:rPr>
          <w:sz w:val="22"/>
          <w:szCs w:val="22"/>
          <w:lang w:val="sr-Latn-CS"/>
        </w:rPr>
        <w:t>ij</w:t>
      </w:r>
      <w:r w:rsidRPr="00A75117">
        <w:rPr>
          <w:sz w:val="22"/>
          <w:szCs w:val="22"/>
          <w:lang w:val="sr-Latn-CS"/>
        </w:rPr>
        <w:t>ednosti krvnog pritiska kod:</w:t>
      </w:r>
    </w:p>
    <w:p w14:paraId="13CE43D5" w14:textId="77777777" w:rsidR="00A75117" w:rsidRPr="00A75117" w:rsidRDefault="00A75117" w:rsidP="00D66A5B">
      <w:pPr>
        <w:pStyle w:val="Header"/>
        <w:numPr>
          <w:ilvl w:val="0"/>
          <w:numId w:val="16"/>
        </w:numPr>
        <w:tabs>
          <w:tab w:val="clear" w:pos="1497"/>
          <w:tab w:val="clear" w:pos="4320"/>
          <w:tab w:val="clear" w:pos="8640"/>
          <w:tab w:val="num" w:pos="180"/>
        </w:tabs>
        <w:ind w:left="180" w:hanging="180"/>
        <w:jc w:val="both"/>
        <w:rPr>
          <w:sz w:val="22"/>
          <w:szCs w:val="22"/>
        </w:rPr>
      </w:pPr>
      <w:r w:rsidRPr="00A75117">
        <w:rPr>
          <w:sz w:val="22"/>
          <w:szCs w:val="22"/>
        </w:rPr>
        <w:t>pacijenata sa teškom hipertenzijom,</w:t>
      </w:r>
    </w:p>
    <w:p w14:paraId="6B0D0EF4" w14:textId="77777777" w:rsidR="00A75117" w:rsidRPr="00A75117" w:rsidRDefault="00A75117" w:rsidP="003457B5">
      <w:pPr>
        <w:pStyle w:val="Header"/>
        <w:numPr>
          <w:ilvl w:val="0"/>
          <w:numId w:val="16"/>
        </w:numPr>
        <w:tabs>
          <w:tab w:val="clear" w:pos="1497"/>
          <w:tab w:val="clear" w:pos="4320"/>
          <w:tab w:val="clear" w:pos="8640"/>
          <w:tab w:val="num" w:pos="180"/>
        </w:tabs>
        <w:ind w:left="180" w:hanging="180"/>
        <w:jc w:val="both"/>
        <w:rPr>
          <w:sz w:val="22"/>
          <w:szCs w:val="22"/>
        </w:rPr>
      </w:pPr>
      <w:r w:rsidRPr="00A75117">
        <w:rPr>
          <w:sz w:val="22"/>
          <w:szCs w:val="22"/>
        </w:rPr>
        <w:t>pacijenata sa dekompenzovanom kongestivnom srčanom insuficijencijom,</w:t>
      </w:r>
    </w:p>
    <w:p w14:paraId="6F0398E7" w14:textId="13D2E4AF" w:rsidR="00A75117" w:rsidRPr="00A75117" w:rsidRDefault="00A75117" w:rsidP="003457B5">
      <w:pPr>
        <w:pStyle w:val="Header"/>
        <w:numPr>
          <w:ilvl w:val="0"/>
          <w:numId w:val="16"/>
        </w:numPr>
        <w:tabs>
          <w:tab w:val="clear" w:pos="1497"/>
          <w:tab w:val="clear" w:pos="4320"/>
          <w:tab w:val="clear" w:pos="8640"/>
          <w:tab w:val="num" w:pos="180"/>
        </w:tabs>
        <w:ind w:left="180" w:hanging="180"/>
        <w:jc w:val="both"/>
        <w:rPr>
          <w:sz w:val="22"/>
          <w:szCs w:val="22"/>
        </w:rPr>
      </w:pPr>
      <w:r w:rsidRPr="00A75117">
        <w:rPr>
          <w:sz w:val="22"/>
          <w:szCs w:val="22"/>
        </w:rPr>
        <w:t>pacijenata sa hemodinamski značajnom opstrukcijom protoka kroz l</w:t>
      </w:r>
      <w:r w:rsidR="00B81049">
        <w:rPr>
          <w:sz w:val="22"/>
          <w:szCs w:val="22"/>
        </w:rPr>
        <w:t>ij</w:t>
      </w:r>
      <w:r w:rsidRPr="00A75117">
        <w:rPr>
          <w:sz w:val="22"/>
          <w:szCs w:val="22"/>
        </w:rPr>
        <w:t>evu komoru (npr. stenoza aortne ili mitralne valvule),</w:t>
      </w:r>
    </w:p>
    <w:p w14:paraId="780DD644" w14:textId="77777777" w:rsidR="00A75117" w:rsidRPr="00A75117" w:rsidRDefault="00A75117" w:rsidP="003457B5">
      <w:pPr>
        <w:pStyle w:val="Header"/>
        <w:numPr>
          <w:ilvl w:val="0"/>
          <w:numId w:val="16"/>
        </w:numPr>
        <w:tabs>
          <w:tab w:val="clear" w:pos="1497"/>
          <w:tab w:val="clear" w:pos="4320"/>
          <w:tab w:val="clear" w:pos="8640"/>
          <w:tab w:val="num" w:pos="180"/>
        </w:tabs>
        <w:ind w:left="180" w:hanging="180"/>
        <w:jc w:val="both"/>
        <w:rPr>
          <w:sz w:val="22"/>
          <w:szCs w:val="22"/>
          <w:lang w:val="pl-PL"/>
        </w:rPr>
      </w:pPr>
      <w:r w:rsidRPr="00A75117">
        <w:rPr>
          <w:sz w:val="22"/>
          <w:szCs w:val="22"/>
          <w:lang w:val="pl-PL"/>
        </w:rPr>
        <w:t>pacijenata sa unilateralnom stenozom renalne arterije kod kojih je drugi bubreg funkcionalan,</w:t>
      </w:r>
    </w:p>
    <w:p w14:paraId="45E1F4C0" w14:textId="65A1D8BA" w:rsidR="00A75117" w:rsidRPr="00A75117" w:rsidRDefault="00A75117" w:rsidP="003457B5">
      <w:pPr>
        <w:pStyle w:val="Header"/>
        <w:numPr>
          <w:ilvl w:val="0"/>
          <w:numId w:val="16"/>
        </w:numPr>
        <w:tabs>
          <w:tab w:val="clear" w:pos="1497"/>
          <w:tab w:val="clear" w:pos="4320"/>
          <w:tab w:val="clear" w:pos="8640"/>
          <w:tab w:val="num" w:pos="180"/>
        </w:tabs>
        <w:ind w:left="180" w:hanging="180"/>
        <w:jc w:val="both"/>
        <w:rPr>
          <w:sz w:val="22"/>
          <w:szCs w:val="22"/>
          <w:lang w:val="pl-PL"/>
        </w:rPr>
      </w:pPr>
      <w:r w:rsidRPr="00A75117">
        <w:rPr>
          <w:sz w:val="22"/>
          <w:szCs w:val="22"/>
          <w:lang w:val="sr-Latn-CS"/>
        </w:rPr>
        <w:t>pacijenata</w:t>
      </w:r>
      <w:r w:rsidRPr="00A75117">
        <w:rPr>
          <w:sz w:val="22"/>
          <w:szCs w:val="22"/>
          <w:lang w:val="pl-PL"/>
        </w:rPr>
        <w:t xml:space="preserve"> kod kojih postoji ili se može pojaviti gubitak soli i/ili tečnosti (uključujući pacijente koji su na terapiji diureticima)</w:t>
      </w:r>
    </w:p>
    <w:p w14:paraId="087741F2" w14:textId="77777777" w:rsidR="00A75117" w:rsidRPr="00A75117" w:rsidRDefault="00A75117" w:rsidP="003457B5">
      <w:pPr>
        <w:pStyle w:val="Header"/>
        <w:numPr>
          <w:ilvl w:val="0"/>
          <w:numId w:val="16"/>
        </w:numPr>
        <w:tabs>
          <w:tab w:val="clear" w:pos="1497"/>
          <w:tab w:val="clear" w:pos="4320"/>
          <w:tab w:val="clear" w:pos="8640"/>
          <w:tab w:val="num" w:pos="180"/>
        </w:tabs>
        <w:ind w:left="180" w:hanging="180"/>
        <w:jc w:val="both"/>
        <w:rPr>
          <w:sz w:val="22"/>
          <w:szCs w:val="22"/>
          <w:lang w:val="it-IT"/>
        </w:rPr>
      </w:pPr>
      <w:r w:rsidRPr="00A75117">
        <w:rPr>
          <w:sz w:val="22"/>
          <w:szCs w:val="22"/>
          <w:lang w:val="it-IT"/>
        </w:rPr>
        <w:t>pacijenata sa cirozom jetre i/ili ascitesom</w:t>
      </w:r>
    </w:p>
    <w:p w14:paraId="62298C5F" w14:textId="3840D187" w:rsidR="00A75117" w:rsidRDefault="00A75117" w:rsidP="003457B5">
      <w:pPr>
        <w:pStyle w:val="Header"/>
        <w:numPr>
          <w:ilvl w:val="0"/>
          <w:numId w:val="16"/>
        </w:numPr>
        <w:tabs>
          <w:tab w:val="clear" w:pos="1497"/>
          <w:tab w:val="clear" w:pos="4320"/>
          <w:tab w:val="clear" w:pos="8640"/>
          <w:tab w:val="num" w:pos="180"/>
        </w:tabs>
        <w:ind w:left="180" w:hanging="180"/>
        <w:jc w:val="both"/>
        <w:rPr>
          <w:sz w:val="22"/>
          <w:szCs w:val="22"/>
          <w:lang w:val="it-IT"/>
        </w:rPr>
      </w:pPr>
      <w:r w:rsidRPr="00A75117">
        <w:rPr>
          <w:sz w:val="22"/>
          <w:szCs w:val="22"/>
          <w:lang w:val="it-IT"/>
        </w:rPr>
        <w:t>pacijenata koji će biti podvrgnuti većem operativnom zahvatu ili tokom anestezije agensima koji izazivaju hipotenziju.</w:t>
      </w:r>
    </w:p>
    <w:p w14:paraId="29B2E723" w14:textId="77777777" w:rsidR="006A12C7" w:rsidRPr="00A75117" w:rsidRDefault="006A12C7" w:rsidP="003457B5">
      <w:pPr>
        <w:pStyle w:val="Header"/>
        <w:tabs>
          <w:tab w:val="clear" w:pos="4320"/>
          <w:tab w:val="clear" w:pos="8640"/>
        </w:tabs>
        <w:ind w:left="180"/>
        <w:jc w:val="both"/>
        <w:rPr>
          <w:sz w:val="22"/>
          <w:szCs w:val="22"/>
          <w:lang w:val="it-IT"/>
        </w:rPr>
      </w:pPr>
    </w:p>
    <w:p w14:paraId="6EFAFFD6" w14:textId="5E8B368D" w:rsidR="00A75117" w:rsidRPr="00A75117" w:rsidRDefault="00A75117" w:rsidP="006A12C7">
      <w:pPr>
        <w:pStyle w:val="Header"/>
        <w:jc w:val="both"/>
        <w:rPr>
          <w:sz w:val="22"/>
          <w:szCs w:val="22"/>
          <w:lang w:val="it-IT"/>
        </w:rPr>
      </w:pPr>
      <w:r w:rsidRPr="00A75117">
        <w:rPr>
          <w:sz w:val="22"/>
          <w:szCs w:val="22"/>
          <w:lang w:val="it-IT"/>
        </w:rPr>
        <w:t>Generalno, preporučuje se korekcija dehidratacije, hipovolemije ili gubitka soli pr</w:t>
      </w:r>
      <w:r w:rsidR="003457B5">
        <w:rPr>
          <w:sz w:val="22"/>
          <w:szCs w:val="22"/>
          <w:lang w:val="it-IT"/>
        </w:rPr>
        <w:t>iij</w:t>
      </w:r>
      <w:r w:rsidRPr="00A75117">
        <w:rPr>
          <w:sz w:val="22"/>
          <w:szCs w:val="22"/>
          <w:lang w:val="it-IT"/>
        </w:rPr>
        <w:t>e započinjanja terapije (međutim kod pacijenata sa srčanom insuficijencijom takve korektivne aktivnosti se moraju pažljivo odm</w:t>
      </w:r>
      <w:r w:rsidR="003457B5">
        <w:rPr>
          <w:sz w:val="22"/>
          <w:szCs w:val="22"/>
          <w:lang w:val="it-IT"/>
        </w:rPr>
        <w:t>j</w:t>
      </w:r>
      <w:r w:rsidRPr="00A75117">
        <w:rPr>
          <w:sz w:val="22"/>
          <w:szCs w:val="22"/>
          <w:lang w:val="it-IT"/>
        </w:rPr>
        <w:t>eriti u odnosu na rizik od prevelikog preopterećenja volumenom).</w:t>
      </w:r>
    </w:p>
    <w:p w14:paraId="2E35A117" w14:textId="77777777" w:rsidR="00A75117" w:rsidRPr="00A75117" w:rsidRDefault="00A75117" w:rsidP="003457B5">
      <w:pPr>
        <w:tabs>
          <w:tab w:val="center" w:pos="4536"/>
          <w:tab w:val="right" w:pos="9072"/>
        </w:tabs>
        <w:spacing w:before="120"/>
        <w:jc w:val="both"/>
        <w:rPr>
          <w:i/>
          <w:iCs/>
          <w:sz w:val="22"/>
          <w:szCs w:val="22"/>
          <w:lang w:val="it-IT"/>
        </w:rPr>
      </w:pPr>
      <w:r w:rsidRPr="00A75117">
        <w:rPr>
          <w:i/>
          <w:iCs/>
          <w:sz w:val="22"/>
          <w:szCs w:val="22"/>
          <w:lang w:val="it-IT"/>
        </w:rPr>
        <w:t xml:space="preserve">Dvostruka blokada sistema renin-angiotenzin-aldosteron (RAAS) </w:t>
      </w:r>
    </w:p>
    <w:p w14:paraId="5A71BC01" w14:textId="18718BC3" w:rsidR="00A75117" w:rsidRPr="00A75117" w:rsidRDefault="00A75117" w:rsidP="003C17A3">
      <w:pPr>
        <w:pStyle w:val="Header"/>
        <w:jc w:val="both"/>
        <w:rPr>
          <w:sz w:val="22"/>
          <w:szCs w:val="22"/>
          <w:lang w:val="it-IT"/>
        </w:rPr>
      </w:pPr>
      <w:r w:rsidRPr="00A75117">
        <w:rPr>
          <w:sz w:val="22"/>
          <w:szCs w:val="22"/>
          <w:lang w:val="it-IT"/>
        </w:rPr>
        <w:t xml:space="preserve">Postoje dokazi da </w:t>
      </w:r>
      <w:r w:rsidR="00136F13">
        <w:rPr>
          <w:sz w:val="22"/>
          <w:szCs w:val="22"/>
          <w:lang w:val="it-IT"/>
        </w:rPr>
        <w:t>istovremena</w:t>
      </w:r>
      <w:r w:rsidRPr="00A75117">
        <w:rPr>
          <w:sz w:val="22"/>
          <w:szCs w:val="22"/>
          <w:lang w:val="it-IT"/>
        </w:rPr>
        <w:t xml:space="preserve"> </w:t>
      </w:r>
      <w:r w:rsidR="00136F13">
        <w:rPr>
          <w:sz w:val="22"/>
          <w:szCs w:val="22"/>
          <w:lang w:val="it-IT"/>
        </w:rPr>
        <w:t>primjena</w:t>
      </w:r>
      <w:r w:rsidRPr="00A75117">
        <w:rPr>
          <w:sz w:val="22"/>
          <w:szCs w:val="22"/>
          <w:lang w:val="it-IT"/>
        </w:rPr>
        <w:t xml:space="preserve"> ACE inhibitora, blokatora angiotenzin II receptora ili aliskirena povećava rizik </w:t>
      </w:r>
      <w:r w:rsidR="00B81049">
        <w:rPr>
          <w:sz w:val="22"/>
          <w:szCs w:val="22"/>
          <w:lang w:val="it-IT"/>
        </w:rPr>
        <w:t>od</w:t>
      </w:r>
      <w:r w:rsidRPr="00A75117">
        <w:rPr>
          <w:sz w:val="22"/>
          <w:szCs w:val="22"/>
          <w:lang w:val="it-IT"/>
        </w:rPr>
        <w:t xml:space="preserve"> pojav</w:t>
      </w:r>
      <w:r w:rsidR="00B81049">
        <w:rPr>
          <w:sz w:val="22"/>
          <w:szCs w:val="22"/>
          <w:lang w:val="it-IT"/>
        </w:rPr>
        <w:t>e</w:t>
      </w:r>
      <w:r w:rsidRPr="00A75117">
        <w:rPr>
          <w:sz w:val="22"/>
          <w:szCs w:val="22"/>
          <w:lang w:val="it-IT"/>
        </w:rPr>
        <w:t xml:space="preserve"> hipotenzije, hiperkal</w:t>
      </w:r>
      <w:r w:rsidR="00B81049">
        <w:rPr>
          <w:sz w:val="22"/>
          <w:szCs w:val="22"/>
          <w:lang w:val="it-IT"/>
        </w:rPr>
        <w:t>ij</w:t>
      </w:r>
      <w:r w:rsidRPr="00A75117">
        <w:rPr>
          <w:sz w:val="22"/>
          <w:szCs w:val="22"/>
          <w:lang w:val="it-IT"/>
        </w:rPr>
        <w:t>emije i smanjenja funkcije bubrega (uključujući akutnu insuficijenciju bubrega). Dvostruka blokada RAAS kombinovanom upotrebom ACE inhibitora, blokatora angiotenzin II receptora ili aliskirena se stoga ne preporučuje (</w:t>
      </w:r>
      <w:r w:rsidR="00B81049">
        <w:rPr>
          <w:sz w:val="22"/>
          <w:szCs w:val="22"/>
          <w:lang w:val="it-IT"/>
        </w:rPr>
        <w:t xml:space="preserve">vidjeti </w:t>
      </w:r>
      <w:r w:rsidR="00136F13">
        <w:rPr>
          <w:sz w:val="22"/>
          <w:szCs w:val="22"/>
          <w:lang w:val="it-IT"/>
        </w:rPr>
        <w:t>d</w:t>
      </w:r>
      <w:r w:rsidR="00B81049">
        <w:rPr>
          <w:sz w:val="22"/>
          <w:szCs w:val="22"/>
          <w:lang w:val="it-IT"/>
        </w:rPr>
        <w:t>jelove</w:t>
      </w:r>
      <w:r w:rsidRPr="00A75117">
        <w:rPr>
          <w:sz w:val="22"/>
          <w:szCs w:val="22"/>
          <w:lang w:val="it-IT"/>
        </w:rPr>
        <w:t xml:space="preserve"> 4.5 i 5.1).</w:t>
      </w:r>
    </w:p>
    <w:p w14:paraId="209AA261" w14:textId="570B6F49" w:rsidR="00A75117" w:rsidRPr="00A75117" w:rsidRDefault="00A75117" w:rsidP="00AB1FCF">
      <w:pPr>
        <w:pStyle w:val="Header"/>
        <w:jc w:val="both"/>
        <w:rPr>
          <w:sz w:val="22"/>
          <w:szCs w:val="22"/>
          <w:lang w:val="it-IT"/>
        </w:rPr>
      </w:pPr>
      <w:r w:rsidRPr="00A75117">
        <w:rPr>
          <w:sz w:val="22"/>
          <w:szCs w:val="22"/>
          <w:lang w:val="it-IT"/>
        </w:rPr>
        <w:t xml:space="preserve">Ako se terapija dvostrukom blokadom smatra apsolutno neophodnom, treba je sprovoditi samo uz stručni nadzor </w:t>
      </w:r>
      <w:r w:rsidR="00136F13">
        <w:rPr>
          <w:sz w:val="22"/>
          <w:szCs w:val="22"/>
          <w:lang w:val="it-IT"/>
        </w:rPr>
        <w:t>ljekar</w:t>
      </w:r>
      <w:r w:rsidRPr="00A75117">
        <w:rPr>
          <w:sz w:val="22"/>
          <w:szCs w:val="22"/>
          <w:lang w:val="it-IT"/>
        </w:rPr>
        <w:t>a specijaliste i strogim i čestim praćenjem bubrežne funkcije, e</w:t>
      </w:r>
      <w:r w:rsidR="00136F13">
        <w:rPr>
          <w:sz w:val="22"/>
          <w:szCs w:val="22"/>
          <w:lang w:val="it-IT"/>
        </w:rPr>
        <w:t>lek</w:t>
      </w:r>
      <w:r w:rsidRPr="00A75117">
        <w:rPr>
          <w:sz w:val="22"/>
          <w:szCs w:val="22"/>
          <w:lang w:val="it-IT"/>
        </w:rPr>
        <w:t xml:space="preserve">trolita i krvnog pritiska. </w:t>
      </w:r>
    </w:p>
    <w:p w14:paraId="675415E3" w14:textId="3E4688A2" w:rsidR="00A75117" w:rsidRDefault="00A75117" w:rsidP="00AB1FCF">
      <w:pPr>
        <w:pStyle w:val="Header"/>
        <w:jc w:val="both"/>
        <w:rPr>
          <w:sz w:val="22"/>
          <w:szCs w:val="22"/>
          <w:lang w:val="it-IT"/>
        </w:rPr>
      </w:pPr>
      <w:r w:rsidRPr="00A75117">
        <w:rPr>
          <w:sz w:val="22"/>
          <w:szCs w:val="22"/>
          <w:lang w:val="it-IT"/>
        </w:rPr>
        <w:t>ACE inhibitore i blokatore angiotenzin II receptora, ne treba prim</w:t>
      </w:r>
      <w:r w:rsidR="003457B5">
        <w:rPr>
          <w:sz w:val="22"/>
          <w:szCs w:val="22"/>
          <w:lang w:val="it-IT"/>
        </w:rPr>
        <w:t>j</w:t>
      </w:r>
      <w:r w:rsidRPr="00A75117">
        <w:rPr>
          <w:sz w:val="22"/>
          <w:szCs w:val="22"/>
          <w:lang w:val="it-IT"/>
        </w:rPr>
        <w:t xml:space="preserve">enjivati </w:t>
      </w:r>
      <w:r w:rsidR="00136F13">
        <w:rPr>
          <w:sz w:val="22"/>
          <w:szCs w:val="22"/>
          <w:lang w:val="it-IT"/>
        </w:rPr>
        <w:t>istovremeno</w:t>
      </w:r>
      <w:r w:rsidRPr="00A75117">
        <w:rPr>
          <w:sz w:val="22"/>
          <w:szCs w:val="22"/>
          <w:lang w:val="it-IT"/>
        </w:rPr>
        <w:t xml:space="preserve"> kod pacijenata sa dijabetesnom nefropatijom.</w:t>
      </w:r>
    </w:p>
    <w:p w14:paraId="32F496B4" w14:textId="77777777" w:rsidR="00B81049" w:rsidRPr="00A75117" w:rsidRDefault="00B81049" w:rsidP="00AB1FCF">
      <w:pPr>
        <w:pStyle w:val="Header"/>
        <w:jc w:val="both"/>
        <w:rPr>
          <w:sz w:val="22"/>
          <w:szCs w:val="22"/>
          <w:lang w:val="it-IT"/>
        </w:rPr>
      </w:pPr>
    </w:p>
    <w:p w14:paraId="1FD89D94" w14:textId="50809821" w:rsidR="00A75117" w:rsidRPr="00A75117" w:rsidRDefault="00A75117" w:rsidP="003457B5">
      <w:pPr>
        <w:pStyle w:val="Header"/>
        <w:jc w:val="both"/>
        <w:rPr>
          <w:i/>
          <w:sz w:val="22"/>
          <w:szCs w:val="22"/>
          <w:lang w:val="it-IT"/>
        </w:rPr>
      </w:pPr>
      <w:r w:rsidRPr="00A75117">
        <w:rPr>
          <w:i/>
          <w:sz w:val="22"/>
          <w:szCs w:val="22"/>
          <w:lang w:val="it-IT"/>
        </w:rPr>
        <w:t>- Prolazna ili trajna srčana insuficijencija posl</w:t>
      </w:r>
      <w:r w:rsidR="00B81049">
        <w:rPr>
          <w:i/>
          <w:sz w:val="22"/>
          <w:szCs w:val="22"/>
          <w:lang w:val="it-IT"/>
        </w:rPr>
        <w:t>ij</w:t>
      </w:r>
      <w:r w:rsidRPr="00A75117">
        <w:rPr>
          <w:i/>
          <w:sz w:val="22"/>
          <w:szCs w:val="22"/>
          <w:lang w:val="it-IT"/>
        </w:rPr>
        <w:t>e infarkta miokarda</w:t>
      </w:r>
    </w:p>
    <w:p w14:paraId="5421F0C2" w14:textId="77777777" w:rsidR="00A75117" w:rsidRPr="00A75117" w:rsidRDefault="00A75117" w:rsidP="003457B5">
      <w:pPr>
        <w:spacing w:line="230" w:lineRule="exact"/>
        <w:ind w:left="9" w:right="4"/>
        <w:jc w:val="both"/>
        <w:rPr>
          <w:rStyle w:val="Emphasis"/>
          <w:i w:val="0"/>
          <w:sz w:val="22"/>
          <w:szCs w:val="22"/>
          <w:lang w:val="it-IT"/>
        </w:rPr>
      </w:pPr>
    </w:p>
    <w:p w14:paraId="62953A0A" w14:textId="170988AE" w:rsidR="00A75117" w:rsidRPr="00A75117" w:rsidRDefault="00A75117" w:rsidP="003457B5">
      <w:pPr>
        <w:pStyle w:val="Header"/>
        <w:jc w:val="both"/>
        <w:rPr>
          <w:sz w:val="22"/>
          <w:szCs w:val="22"/>
          <w:lang w:val="pl-PL"/>
        </w:rPr>
      </w:pPr>
      <w:r w:rsidRPr="00A75117">
        <w:rPr>
          <w:i/>
          <w:sz w:val="22"/>
          <w:szCs w:val="22"/>
          <w:lang w:val="it-IT"/>
        </w:rPr>
        <w:lastRenderedPageBreak/>
        <w:t>Pacijenti sa rizikom od srčane ili cerebralne ishemije u slučaju akutne hipotenzije</w:t>
      </w:r>
    </w:p>
    <w:p w14:paraId="11E08074" w14:textId="1EB84492" w:rsidR="00A75117" w:rsidRPr="00A75117" w:rsidRDefault="00A75117" w:rsidP="003457B5">
      <w:pPr>
        <w:pStyle w:val="Header"/>
        <w:jc w:val="both"/>
        <w:rPr>
          <w:sz w:val="22"/>
          <w:szCs w:val="22"/>
          <w:lang w:val="pl-PL"/>
        </w:rPr>
      </w:pPr>
      <w:r w:rsidRPr="00A75117">
        <w:rPr>
          <w:sz w:val="22"/>
          <w:szCs w:val="22"/>
          <w:lang w:val="pl-PL"/>
        </w:rPr>
        <w:t>Inicijalna faza terapije zaht</w:t>
      </w:r>
      <w:r w:rsidR="003457B5">
        <w:rPr>
          <w:sz w:val="22"/>
          <w:szCs w:val="22"/>
          <w:lang w:val="pl-PL"/>
        </w:rPr>
        <w:t>ij</w:t>
      </w:r>
      <w:r w:rsidRPr="00A75117">
        <w:rPr>
          <w:sz w:val="22"/>
          <w:szCs w:val="22"/>
          <w:lang w:val="pl-PL"/>
        </w:rPr>
        <w:t>eva specijalni medicinski nadzor.</w:t>
      </w:r>
    </w:p>
    <w:p w14:paraId="6CACAE6A" w14:textId="77777777" w:rsidR="00A75117" w:rsidRPr="00A75117" w:rsidRDefault="00A75117" w:rsidP="003457B5">
      <w:pPr>
        <w:pStyle w:val="Header"/>
        <w:jc w:val="both"/>
        <w:rPr>
          <w:sz w:val="22"/>
          <w:szCs w:val="22"/>
          <w:lang w:val="pl-PL"/>
        </w:rPr>
      </w:pPr>
    </w:p>
    <w:p w14:paraId="37AC1544" w14:textId="77777777" w:rsidR="00A75117" w:rsidRPr="00AB1FCF" w:rsidRDefault="00A75117" w:rsidP="00AB1FCF">
      <w:pPr>
        <w:pStyle w:val="Header"/>
        <w:tabs>
          <w:tab w:val="clear" w:pos="4320"/>
          <w:tab w:val="clear" w:pos="8640"/>
        </w:tabs>
        <w:jc w:val="both"/>
        <w:rPr>
          <w:b/>
          <w:i/>
          <w:sz w:val="22"/>
          <w:szCs w:val="22"/>
          <w:lang w:val="pl-PL"/>
        </w:rPr>
      </w:pPr>
      <w:r w:rsidRPr="00AB1FCF">
        <w:rPr>
          <w:b/>
          <w:i/>
          <w:sz w:val="22"/>
          <w:szCs w:val="22"/>
          <w:lang w:val="pl-PL"/>
        </w:rPr>
        <w:t>Stariji pacijenti</w:t>
      </w:r>
    </w:p>
    <w:p w14:paraId="5FB895D0" w14:textId="63CD3714" w:rsidR="00A75117" w:rsidRPr="00AB1FCF" w:rsidRDefault="00B81049" w:rsidP="003457B5">
      <w:pPr>
        <w:pStyle w:val="Header"/>
        <w:jc w:val="both"/>
        <w:rPr>
          <w:sz w:val="22"/>
          <w:szCs w:val="22"/>
          <w:lang w:val="pl-PL"/>
        </w:rPr>
      </w:pPr>
      <w:r w:rsidRPr="00AB1FCF">
        <w:rPr>
          <w:sz w:val="22"/>
          <w:szCs w:val="22"/>
          <w:lang w:val="pl-PL"/>
        </w:rPr>
        <w:t xml:space="preserve">Vidjeti </w:t>
      </w:r>
      <w:r w:rsidR="00136F13" w:rsidRPr="00AB1FCF">
        <w:rPr>
          <w:sz w:val="22"/>
          <w:szCs w:val="22"/>
          <w:lang w:val="pl-PL"/>
        </w:rPr>
        <w:t>dio</w:t>
      </w:r>
      <w:r w:rsidR="00A75117" w:rsidRPr="00AB1FCF">
        <w:rPr>
          <w:sz w:val="22"/>
          <w:szCs w:val="22"/>
          <w:lang w:val="pl-PL"/>
        </w:rPr>
        <w:t xml:space="preserve"> 4.2</w:t>
      </w:r>
    </w:p>
    <w:p w14:paraId="47582AAC" w14:textId="77777777" w:rsidR="00A75117" w:rsidRPr="00AB1FCF" w:rsidRDefault="00A75117" w:rsidP="003457B5">
      <w:pPr>
        <w:pStyle w:val="Header"/>
        <w:jc w:val="both"/>
        <w:rPr>
          <w:sz w:val="22"/>
          <w:szCs w:val="22"/>
          <w:lang w:val="pl-PL"/>
        </w:rPr>
      </w:pPr>
    </w:p>
    <w:p w14:paraId="1C69E7B9" w14:textId="77777777" w:rsidR="00A75117" w:rsidRPr="00AB1FCF" w:rsidRDefault="00A75117" w:rsidP="003457B5">
      <w:pPr>
        <w:pStyle w:val="Header"/>
        <w:jc w:val="both"/>
        <w:rPr>
          <w:i/>
          <w:sz w:val="22"/>
          <w:szCs w:val="22"/>
          <w:u w:val="single"/>
          <w:lang w:val="pl-PL"/>
        </w:rPr>
      </w:pPr>
      <w:r w:rsidRPr="00AB1FCF">
        <w:rPr>
          <w:i/>
          <w:sz w:val="22"/>
          <w:szCs w:val="22"/>
          <w:u w:val="single"/>
          <w:lang w:val="pl-PL"/>
        </w:rPr>
        <w:t>Hirurške intervencije</w:t>
      </w:r>
    </w:p>
    <w:p w14:paraId="25EB5284" w14:textId="6731347F" w:rsidR="00A75117" w:rsidRPr="00AB1FCF" w:rsidRDefault="00A75117" w:rsidP="00B81049">
      <w:pPr>
        <w:pStyle w:val="Header"/>
        <w:jc w:val="both"/>
        <w:rPr>
          <w:sz w:val="22"/>
          <w:szCs w:val="22"/>
          <w:lang w:val="pl-PL"/>
        </w:rPr>
      </w:pPr>
      <w:r w:rsidRPr="00AB1FCF">
        <w:rPr>
          <w:sz w:val="22"/>
          <w:szCs w:val="22"/>
          <w:lang w:val="pl-PL"/>
        </w:rPr>
        <w:t>Preporučuje se da se terapija inhibitorima angiotenzin konvertujućeg enzima, kao što je ramipril, prekine gd</w:t>
      </w:r>
      <w:r w:rsidR="00B81049" w:rsidRPr="00AB1FCF">
        <w:rPr>
          <w:sz w:val="22"/>
          <w:szCs w:val="22"/>
          <w:lang w:val="pl-PL"/>
        </w:rPr>
        <w:t>j</w:t>
      </w:r>
      <w:r w:rsidRPr="00AB1FCF">
        <w:rPr>
          <w:sz w:val="22"/>
          <w:szCs w:val="22"/>
          <w:lang w:val="pl-PL"/>
        </w:rPr>
        <w:t>e god je to moguće jedan dan pr</w:t>
      </w:r>
      <w:r w:rsidR="003457B5" w:rsidRPr="00AB1FCF">
        <w:rPr>
          <w:sz w:val="22"/>
          <w:szCs w:val="22"/>
          <w:lang w:val="pl-PL"/>
        </w:rPr>
        <w:t>ij</w:t>
      </w:r>
      <w:r w:rsidRPr="00AB1FCF">
        <w:rPr>
          <w:sz w:val="22"/>
          <w:szCs w:val="22"/>
          <w:lang w:val="pl-PL"/>
        </w:rPr>
        <w:t>e operacije.</w:t>
      </w:r>
    </w:p>
    <w:p w14:paraId="4FC94F2B" w14:textId="77777777" w:rsidR="00A75117" w:rsidRPr="00AB1FCF" w:rsidRDefault="00A75117">
      <w:pPr>
        <w:pStyle w:val="Header"/>
        <w:jc w:val="both"/>
        <w:rPr>
          <w:sz w:val="22"/>
          <w:szCs w:val="22"/>
          <w:lang w:val="pl-PL"/>
        </w:rPr>
      </w:pPr>
    </w:p>
    <w:p w14:paraId="78EF0DD1" w14:textId="77777777" w:rsidR="00A75117" w:rsidRPr="00A75117" w:rsidRDefault="00A75117">
      <w:pPr>
        <w:pStyle w:val="Header"/>
        <w:jc w:val="both"/>
        <w:rPr>
          <w:i/>
          <w:sz w:val="22"/>
          <w:szCs w:val="22"/>
          <w:u w:val="single"/>
          <w:lang w:val="it-IT"/>
        </w:rPr>
      </w:pPr>
      <w:r w:rsidRPr="00A75117">
        <w:rPr>
          <w:i/>
          <w:sz w:val="22"/>
          <w:szCs w:val="22"/>
          <w:u w:val="single"/>
          <w:lang w:val="it-IT"/>
        </w:rPr>
        <w:t>Praćenje funkcije bubrega</w:t>
      </w:r>
    </w:p>
    <w:p w14:paraId="05F20C08" w14:textId="52C6D920" w:rsidR="00A75117" w:rsidRDefault="00A75117">
      <w:pPr>
        <w:pStyle w:val="Header"/>
        <w:jc w:val="both"/>
        <w:rPr>
          <w:sz w:val="22"/>
          <w:szCs w:val="22"/>
          <w:lang w:val="it-IT"/>
        </w:rPr>
      </w:pPr>
      <w:r w:rsidRPr="00A75117">
        <w:rPr>
          <w:sz w:val="22"/>
          <w:szCs w:val="22"/>
          <w:lang w:val="it-IT"/>
        </w:rPr>
        <w:t>Funkciju bubrega treba proc</w:t>
      </w:r>
      <w:r w:rsidR="003457B5">
        <w:rPr>
          <w:sz w:val="22"/>
          <w:szCs w:val="22"/>
          <w:lang w:val="it-IT"/>
        </w:rPr>
        <w:t>j</w:t>
      </w:r>
      <w:r w:rsidRPr="00A75117">
        <w:rPr>
          <w:sz w:val="22"/>
          <w:szCs w:val="22"/>
          <w:lang w:val="it-IT"/>
        </w:rPr>
        <w:t>enjivati pr</w:t>
      </w:r>
      <w:r w:rsidR="003457B5">
        <w:rPr>
          <w:sz w:val="22"/>
          <w:szCs w:val="22"/>
          <w:lang w:val="it-IT"/>
        </w:rPr>
        <w:t>ij</w:t>
      </w:r>
      <w:r w:rsidRPr="00A75117">
        <w:rPr>
          <w:sz w:val="22"/>
          <w:szCs w:val="22"/>
          <w:lang w:val="it-IT"/>
        </w:rPr>
        <w:t>e i tokom terapije i prilagoditi doziranje, posebno u prvim ned</w:t>
      </w:r>
      <w:r w:rsidR="003457B5">
        <w:rPr>
          <w:sz w:val="22"/>
          <w:szCs w:val="22"/>
          <w:lang w:val="it-IT"/>
        </w:rPr>
        <w:t>j</w:t>
      </w:r>
      <w:r w:rsidRPr="00A75117">
        <w:rPr>
          <w:sz w:val="22"/>
          <w:szCs w:val="22"/>
          <w:lang w:val="it-IT"/>
        </w:rPr>
        <w:t>eljama terapije. Posebno pažljivo treba pratiti pacijente sa oštećenom funkcijom bubrega (</w:t>
      </w:r>
      <w:r w:rsidR="000474C8">
        <w:rPr>
          <w:sz w:val="22"/>
          <w:szCs w:val="22"/>
          <w:lang w:val="it-IT"/>
        </w:rPr>
        <w:t xml:space="preserve">vidjeti </w:t>
      </w:r>
      <w:r w:rsidR="00136F13">
        <w:rPr>
          <w:sz w:val="22"/>
          <w:szCs w:val="22"/>
          <w:lang w:val="it-IT"/>
        </w:rPr>
        <w:t>dio</w:t>
      </w:r>
      <w:r w:rsidRPr="00A75117">
        <w:rPr>
          <w:sz w:val="22"/>
          <w:szCs w:val="22"/>
          <w:lang w:val="it-IT"/>
        </w:rPr>
        <w:t xml:space="preserve"> 4.2). Postoji rizik od slabljenja funkcije bubrega, posebno kod pacijenata sa kongestivnom srčanom insuficijencijom ili posl</w:t>
      </w:r>
      <w:r w:rsidR="000474C8">
        <w:rPr>
          <w:sz w:val="22"/>
          <w:szCs w:val="22"/>
          <w:lang w:val="it-IT"/>
        </w:rPr>
        <w:t>ij</w:t>
      </w:r>
      <w:r w:rsidRPr="00A75117">
        <w:rPr>
          <w:sz w:val="22"/>
          <w:szCs w:val="22"/>
          <w:lang w:val="it-IT"/>
        </w:rPr>
        <w:t>e transplantacije bubrega.</w:t>
      </w:r>
    </w:p>
    <w:p w14:paraId="2BA4BDFB" w14:textId="77777777" w:rsidR="000474C8" w:rsidRPr="00A75117" w:rsidRDefault="000474C8">
      <w:pPr>
        <w:pStyle w:val="Header"/>
        <w:jc w:val="both"/>
        <w:rPr>
          <w:sz w:val="22"/>
          <w:szCs w:val="22"/>
          <w:lang w:val="it-IT"/>
        </w:rPr>
      </w:pPr>
    </w:p>
    <w:p w14:paraId="31C4412F" w14:textId="77777777" w:rsidR="00A75117" w:rsidRPr="00A75117" w:rsidRDefault="00A75117" w:rsidP="00AB1FCF">
      <w:pPr>
        <w:pStyle w:val="Header"/>
        <w:tabs>
          <w:tab w:val="left" w:pos="0"/>
        </w:tabs>
        <w:jc w:val="both"/>
        <w:rPr>
          <w:i/>
          <w:sz w:val="22"/>
          <w:szCs w:val="22"/>
          <w:u w:val="single"/>
          <w:lang w:val="sr-Latn-CS"/>
        </w:rPr>
      </w:pPr>
      <w:r w:rsidRPr="00A75117">
        <w:rPr>
          <w:i/>
          <w:sz w:val="22"/>
          <w:szCs w:val="22"/>
          <w:u w:val="single"/>
          <w:lang w:val="it-IT"/>
        </w:rPr>
        <w:t>Hipersenzitivnost/Angioedem</w:t>
      </w:r>
    </w:p>
    <w:p w14:paraId="51057D58" w14:textId="318478D1" w:rsidR="00A75117" w:rsidRDefault="00A75117" w:rsidP="00AB1FCF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  <w:r w:rsidRPr="00A75117">
        <w:rPr>
          <w:sz w:val="22"/>
          <w:szCs w:val="22"/>
          <w:lang w:val="sr-Latn-CS"/>
        </w:rPr>
        <w:tab/>
        <w:t>Kod pacijenata na terapiji ACE inhibitorima, uključujući ramipril, prijavljeni su slučajevi  angioedema (</w:t>
      </w:r>
      <w:r w:rsidR="000474C8">
        <w:rPr>
          <w:sz w:val="22"/>
          <w:szCs w:val="22"/>
          <w:lang w:val="sr-Latn-CS"/>
        </w:rPr>
        <w:t xml:space="preserve">vidjeti </w:t>
      </w:r>
      <w:r w:rsidR="00136F13">
        <w:rPr>
          <w:sz w:val="22"/>
          <w:szCs w:val="22"/>
          <w:lang w:val="sr-Latn-CS"/>
        </w:rPr>
        <w:t>dio</w:t>
      </w:r>
      <w:r w:rsidRPr="00A75117">
        <w:rPr>
          <w:sz w:val="22"/>
          <w:szCs w:val="22"/>
          <w:lang w:val="sr-Latn-CS"/>
        </w:rPr>
        <w:t xml:space="preserve"> 4.8). </w:t>
      </w:r>
    </w:p>
    <w:p w14:paraId="3F665C91" w14:textId="77777777" w:rsidR="000474C8" w:rsidRPr="00A75117" w:rsidRDefault="000474C8" w:rsidP="00AB1FCF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</w:p>
    <w:p w14:paraId="5AA66791" w14:textId="421BBBBF" w:rsidR="00A75117" w:rsidRPr="00A75117" w:rsidRDefault="00A75117" w:rsidP="00AB1FCF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  <w:r w:rsidRPr="00A75117">
        <w:rPr>
          <w:sz w:val="22"/>
          <w:szCs w:val="22"/>
          <w:lang w:val="sr-Latn-CS"/>
        </w:rPr>
        <w:t xml:space="preserve">Kontraindikovana je </w:t>
      </w:r>
      <w:r w:rsidR="00136F13">
        <w:rPr>
          <w:sz w:val="22"/>
          <w:szCs w:val="22"/>
          <w:lang w:val="sr-Latn-CS"/>
        </w:rPr>
        <w:t>istovremena</w:t>
      </w:r>
      <w:r w:rsidRPr="00A75117">
        <w:rPr>
          <w:sz w:val="22"/>
          <w:szCs w:val="22"/>
          <w:lang w:val="sr-Latn-CS"/>
        </w:rPr>
        <w:t xml:space="preserve"> </w:t>
      </w:r>
      <w:r w:rsidR="00136F13">
        <w:rPr>
          <w:sz w:val="22"/>
          <w:szCs w:val="22"/>
          <w:lang w:val="sr-Latn-CS"/>
        </w:rPr>
        <w:t>primjena</w:t>
      </w:r>
      <w:r w:rsidRPr="00A75117">
        <w:rPr>
          <w:sz w:val="22"/>
          <w:szCs w:val="22"/>
          <w:lang w:val="sr-Latn-CS"/>
        </w:rPr>
        <w:t xml:space="preserve"> ramiprila sa kombinacijom sakubitril/valsartan zbog povećanog rizika od nastanka angioedema. </w:t>
      </w:r>
      <w:r w:rsidR="00136F13">
        <w:rPr>
          <w:sz w:val="22"/>
          <w:szCs w:val="22"/>
          <w:lang w:val="sr-Latn-CS"/>
        </w:rPr>
        <w:t>Liječenje</w:t>
      </w:r>
      <w:r w:rsidRPr="00A75117">
        <w:rPr>
          <w:sz w:val="22"/>
          <w:szCs w:val="22"/>
          <w:lang w:val="sr-Latn-CS"/>
        </w:rPr>
        <w:t xml:space="preserve"> kombinacijom sakubitril/valsartan ne sm</w:t>
      </w:r>
      <w:r w:rsidR="003457B5">
        <w:rPr>
          <w:sz w:val="22"/>
          <w:szCs w:val="22"/>
          <w:lang w:val="sr-Latn-CS"/>
        </w:rPr>
        <w:t>ij</w:t>
      </w:r>
      <w:r w:rsidRPr="00A75117">
        <w:rPr>
          <w:sz w:val="22"/>
          <w:szCs w:val="22"/>
          <w:lang w:val="sr-Latn-CS"/>
        </w:rPr>
        <w:t>e biti započeto ukoliko nije prošlo najmanje 36 sati od posl</w:t>
      </w:r>
      <w:r w:rsidR="000474C8">
        <w:rPr>
          <w:sz w:val="22"/>
          <w:szCs w:val="22"/>
          <w:lang w:val="sr-Latn-CS"/>
        </w:rPr>
        <w:t>j</w:t>
      </w:r>
      <w:r w:rsidRPr="00A75117">
        <w:rPr>
          <w:sz w:val="22"/>
          <w:szCs w:val="22"/>
          <w:lang w:val="sr-Latn-CS"/>
        </w:rPr>
        <w:t>ednje prim</w:t>
      </w:r>
      <w:r w:rsidR="000474C8">
        <w:rPr>
          <w:sz w:val="22"/>
          <w:szCs w:val="22"/>
          <w:lang w:val="sr-Latn-CS"/>
        </w:rPr>
        <w:t>i</w:t>
      </w:r>
      <w:r w:rsidR="00CA30AF">
        <w:rPr>
          <w:sz w:val="22"/>
          <w:szCs w:val="22"/>
          <w:lang w:val="sr-Latn-CS"/>
        </w:rPr>
        <w:t>j</w:t>
      </w:r>
      <w:r w:rsidRPr="00A75117">
        <w:rPr>
          <w:sz w:val="22"/>
          <w:szCs w:val="22"/>
          <w:lang w:val="sr-Latn-CS"/>
        </w:rPr>
        <w:t xml:space="preserve">enjene doze </w:t>
      </w:r>
      <w:r w:rsidR="00136F13">
        <w:rPr>
          <w:sz w:val="22"/>
          <w:szCs w:val="22"/>
          <w:lang w:val="sr-Latn-CS"/>
        </w:rPr>
        <w:t>lijek</w:t>
      </w:r>
      <w:r w:rsidRPr="00A75117">
        <w:rPr>
          <w:sz w:val="22"/>
          <w:szCs w:val="22"/>
          <w:lang w:val="sr-Latn-CS"/>
        </w:rPr>
        <w:t>a ramipril. Takođe, ramipril se ne sm</w:t>
      </w:r>
      <w:r w:rsidR="000474C8">
        <w:rPr>
          <w:sz w:val="22"/>
          <w:szCs w:val="22"/>
          <w:lang w:val="sr-Latn-CS"/>
        </w:rPr>
        <w:t>ij</w:t>
      </w:r>
      <w:r w:rsidRPr="00A75117">
        <w:rPr>
          <w:sz w:val="22"/>
          <w:szCs w:val="22"/>
          <w:lang w:val="sr-Latn-CS"/>
        </w:rPr>
        <w:t xml:space="preserve">e </w:t>
      </w:r>
      <w:r w:rsidR="00136F13">
        <w:rPr>
          <w:sz w:val="22"/>
          <w:szCs w:val="22"/>
          <w:lang w:val="sr-Latn-CS"/>
        </w:rPr>
        <w:t>primjeni</w:t>
      </w:r>
      <w:r w:rsidRPr="00A75117">
        <w:rPr>
          <w:sz w:val="22"/>
          <w:szCs w:val="22"/>
          <w:lang w:val="sr-Latn-CS"/>
        </w:rPr>
        <w:t>ti ukoliko je prošlo manje 36 sati od posl</w:t>
      </w:r>
      <w:r w:rsidR="000474C8">
        <w:rPr>
          <w:sz w:val="22"/>
          <w:szCs w:val="22"/>
          <w:lang w:val="sr-Latn-CS"/>
        </w:rPr>
        <w:t>j</w:t>
      </w:r>
      <w:r w:rsidRPr="00A75117">
        <w:rPr>
          <w:sz w:val="22"/>
          <w:szCs w:val="22"/>
          <w:lang w:val="sr-Latn-CS"/>
        </w:rPr>
        <w:t>ednje prim</w:t>
      </w:r>
      <w:r w:rsidR="000474C8">
        <w:rPr>
          <w:sz w:val="22"/>
          <w:szCs w:val="22"/>
          <w:lang w:val="sr-Latn-CS"/>
        </w:rPr>
        <w:t>ij</w:t>
      </w:r>
      <w:r w:rsidRPr="00A75117">
        <w:rPr>
          <w:sz w:val="22"/>
          <w:szCs w:val="22"/>
          <w:lang w:val="sr-Latn-CS"/>
        </w:rPr>
        <w:t>enjene doze kombinacije sakubitril/valsartan (</w:t>
      </w:r>
      <w:r w:rsidR="000474C8">
        <w:rPr>
          <w:sz w:val="22"/>
          <w:szCs w:val="22"/>
          <w:lang w:val="sr-Latn-CS"/>
        </w:rPr>
        <w:t xml:space="preserve">vidjeti </w:t>
      </w:r>
      <w:r w:rsidR="00136F13">
        <w:rPr>
          <w:sz w:val="22"/>
          <w:szCs w:val="22"/>
          <w:lang w:val="sr-Latn-CS"/>
        </w:rPr>
        <w:t>dio</w:t>
      </w:r>
      <w:r w:rsidRPr="00A75117">
        <w:rPr>
          <w:sz w:val="22"/>
          <w:szCs w:val="22"/>
          <w:lang w:val="sr-Latn-CS"/>
        </w:rPr>
        <w:t xml:space="preserve"> 4.3 i 4.5). </w:t>
      </w:r>
    </w:p>
    <w:p w14:paraId="3CE01445" w14:textId="3CFE75B7" w:rsidR="00A75117" w:rsidRPr="00A75117" w:rsidRDefault="00136F13" w:rsidP="00D66A5B">
      <w:pPr>
        <w:pStyle w:val="Header"/>
        <w:tabs>
          <w:tab w:val="left" w:pos="0"/>
        </w:tabs>
        <w:spacing w:before="120"/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Istovremena</w:t>
      </w:r>
      <w:r w:rsidR="00A75117" w:rsidRPr="00A75117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>primjena</w:t>
      </w:r>
      <w:r w:rsidR="00A75117" w:rsidRPr="00A75117">
        <w:rPr>
          <w:sz w:val="22"/>
          <w:szCs w:val="22"/>
          <w:lang w:val="sr-Latn-CS"/>
        </w:rPr>
        <w:t xml:space="preserve"> ACE inhibitora sa racekadotrilom, mTOR inhibitorima (npr. sirolimus, everolimus, temsirolimus) i vildagliptinom može dovesti do povećanog rizika od nastanka angioedema (oticanje disajnih puteva ili jezika, sa ili bez respiratorne insuficijencije) (</w:t>
      </w:r>
      <w:r w:rsidR="000474C8">
        <w:rPr>
          <w:sz w:val="22"/>
          <w:szCs w:val="22"/>
          <w:lang w:val="sr-Latn-CS"/>
        </w:rPr>
        <w:t xml:space="preserve">vidjeti </w:t>
      </w:r>
      <w:r>
        <w:rPr>
          <w:sz w:val="22"/>
          <w:szCs w:val="22"/>
          <w:lang w:val="sr-Latn-CS"/>
        </w:rPr>
        <w:t>dio</w:t>
      </w:r>
      <w:r w:rsidR="00A75117" w:rsidRPr="00A75117">
        <w:rPr>
          <w:sz w:val="22"/>
          <w:szCs w:val="22"/>
          <w:lang w:val="sr-Latn-CS"/>
        </w:rPr>
        <w:t xml:space="preserve"> 4.5). Povećan oprez je neophodan ukoliko se započinje terapija sa racekadotrilom, mTOR inhibitorima (npr. sirolimus, everolimus, temsirolimus,) i vildagliptinom kod pacijenata koji već uzimaju neki od ACE inhibitora.  </w:t>
      </w:r>
    </w:p>
    <w:p w14:paraId="7B7678CC" w14:textId="7B4FA8BB" w:rsidR="00A75117" w:rsidRPr="00A75117" w:rsidRDefault="00136F13">
      <w:pPr>
        <w:pStyle w:val="Header"/>
        <w:tabs>
          <w:tab w:val="left" w:pos="0"/>
        </w:tabs>
        <w:spacing w:before="120"/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Istovremena</w:t>
      </w:r>
      <w:r w:rsidR="00A75117" w:rsidRPr="00A75117">
        <w:rPr>
          <w:sz w:val="22"/>
          <w:szCs w:val="22"/>
          <w:lang w:val="sr-Latn-CS"/>
        </w:rPr>
        <w:t xml:space="preserve"> upotreba ramiprila u kombinaciji sa valsartanom i sakubitrilom je kontraindikovana zbog povećanog rizika od pojave angioedema (</w:t>
      </w:r>
      <w:r w:rsidR="000474C8">
        <w:rPr>
          <w:sz w:val="22"/>
          <w:szCs w:val="22"/>
          <w:lang w:val="sr-Latn-CS"/>
        </w:rPr>
        <w:t xml:space="preserve">vidjeti </w:t>
      </w:r>
      <w:r>
        <w:rPr>
          <w:sz w:val="22"/>
          <w:szCs w:val="22"/>
          <w:lang w:val="sr-Latn-CS"/>
        </w:rPr>
        <w:t>d</w:t>
      </w:r>
      <w:r w:rsidR="000474C8">
        <w:rPr>
          <w:sz w:val="22"/>
          <w:szCs w:val="22"/>
          <w:lang w:val="sr-Latn-CS"/>
        </w:rPr>
        <w:t>jelove</w:t>
      </w:r>
      <w:r w:rsidR="00A75117" w:rsidRPr="00A75117">
        <w:rPr>
          <w:sz w:val="22"/>
          <w:szCs w:val="22"/>
          <w:lang w:val="sr-Latn-CS"/>
        </w:rPr>
        <w:t xml:space="preserve"> 4.3 i 4.5).  </w:t>
      </w:r>
    </w:p>
    <w:p w14:paraId="0B05333B" w14:textId="77777777" w:rsidR="00A75117" w:rsidRPr="00A75117" w:rsidRDefault="00A75117">
      <w:pPr>
        <w:pStyle w:val="Header"/>
        <w:jc w:val="both"/>
        <w:rPr>
          <w:sz w:val="22"/>
          <w:szCs w:val="22"/>
          <w:lang w:val="sr-Latn-CS"/>
        </w:rPr>
      </w:pPr>
    </w:p>
    <w:p w14:paraId="720740BE" w14:textId="054E2A79" w:rsidR="000474C8" w:rsidRDefault="00A75117" w:rsidP="00AB1FCF">
      <w:pPr>
        <w:pStyle w:val="Header"/>
        <w:jc w:val="both"/>
        <w:rPr>
          <w:sz w:val="22"/>
          <w:szCs w:val="22"/>
          <w:lang w:val="sr-Latn-CS"/>
        </w:rPr>
      </w:pPr>
      <w:r w:rsidRPr="00A75117">
        <w:rPr>
          <w:sz w:val="22"/>
          <w:szCs w:val="22"/>
          <w:lang w:val="sr-Latn-CS"/>
        </w:rPr>
        <w:t>Ukoliko se u toku terapije pojavi angioedem, upotreba</w:t>
      </w:r>
      <w:r w:rsidRPr="00A75117">
        <w:rPr>
          <w:sz w:val="22"/>
          <w:szCs w:val="22"/>
          <w:lang w:val="pl-PL"/>
        </w:rPr>
        <w:t xml:space="preserve"> </w:t>
      </w:r>
      <w:r w:rsidR="00136F13">
        <w:rPr>
          <w:sz w:val="22"/>
          <w:szCs w:val="22"/>
          <w:lang w:val="pl-PL"/>
        </w:rPr>
        <w:t>lijek</w:t>
      </w:r>
      <w:r w:rsidRPr="00A75117">
        <w:rPr>
          <w:sz w:val="22"/>
          <w:szCs w:val="22"/>
          <w:lang w:val="pl-PL"/>
        </w:rPr>
        <w:t xml:space="preserve">a Prilinda </w:t>
      </w:r>
      <w:r w:rsidRPr="00A75117">
        <w:rPr>
          <w:sz w:val="22"/>
          <w:szCs w:val="22"/>
          <w:lang w:val="sr-Latn-CS"/>
        </w:rPr>
        <w:t xml:space="preserve">se mora odmah prekinuti. Hitna terapija se mora brzo sprovesti. Pacijent mora biti pod </w:t>
      </w:r>
      <w:r w:rsidR="00136F13">
        <w:rPr>
          <w:sz w:val="22"/>
          <w:szCs w:val="22"/>
          <w:lang w:val="sr-Latn-CS"/>
        </w:rPr>
        <w:t>ljekar</w:t>
      </w:r>
      <w:r w:rsidRPr="00A75117">
        <w:rPr>
          <w:sz w:val="22"/>
          <w:szCs w:val="22"/>
          <w:lang w:val="sr-Latn-CS"/>
        </w:rPr>
        <w:t>skim nadzorom najmanje 12 do 24 sata, a  otpušta se tek nakon povlačenja simptoma.</w:t>
      </w:r>
    </w:p>
    <w:p w14:paraId="667D51EE" w14:textId="77777777" w:rsidR="000712DF" w:rsidRPr="00A75117" w:rsidRDefault="000712DF" w:rsidP="00AB1FCF">
      <w:pPr>
        <w:pStyle w:val="Header"/>
        <w:jc w:val="both"/>
        <w:rPr>
          <w:sz w:val="22"/>
          <w:szCs w:val="22"/>
          <w:lang w:val="sr-Latn-CS"/>
        </w:rPr>
      </w:pPr>
    </w:p>
    <w:p w14:paraId="1B4BAB13" w14:textId="22C015DD" w:rsidR="00A75117" w:rsidRDefault="00A75117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  <w:r w:rsidRPr="00A75117">
        <w:rPr>
          <w:sz w:val="22"/>
          <w:szCs w:val="22"/>
          <w:lang w:val="sr-Latn-CS"/>
        </w:rPr>
        <w:t>Intestinalni angioedem je zab</w:t>
      </w:r>
      <w:r w:rsidR="003457B5">
        <w:rPr>
          <w:sz w:val="22"/>
          <w:szCs w:val="22"/>
          <w:lang w:val="sr-Latn-CS"/>
        </w:rPr>
        <w:t>ilj</w:t>
      </w:r>
      <w:r w:rsidRPr="00A75117">
        <w:rPr>
          <w:sz w:val="22"/>
          <w:szCs w:val="22"/>
          <w:lang w:val="sr-Latn-CS"/>
        </w:rPr>
        <w:t xml:space="preserve">ležen kod pacijenata na terapiji ACE inhibitorima uključujući i </w:t>
      </w:r>
      <w:r w:rsidR="00136F13">
        <w:rPr>
          <w:sz w:val="22"/>
          <w:szCs w:val="22"/>
          <w:lang w:val="sr-Latn-CS"/>
        </w:rPr>
        <w:t>lijek</w:t>
      </w:r>
      <w:r w:rsidR="005525D1">
        <w:rPr>
          <w:sz w:val="22"/>
          <w:szCs w:val="22"/>
          <w:lang w:val="sr-Latn-CS"/>
        </w:rPr>
        <w:t xml:space="preserve"> </w:t>
      </w:r>
      <w:r w:rsidRPr="00A75117">
        <w:rPr>
          <w:sz w:val="22"/>
          <w:szCs w:val="22"/>
          <w:lang w:val="sr-Latn-CS"/>
        </w:rPr>
        <w:t>Prilind</w:t>
      </w:r>
      <w:r w:rsidR="005525D1">
        <w:rPr>
          <w:sz w:val="22"/>
          <w:szCs w:val="22"/>
          <w:lang w:val="sr-Latn-CS"/>
        </w:rPr>
        <w:t>a</w:t>
      </w:r>
      <w:r w:rsidRPr="00A75117">
        <w:rPr>
          <w:sz w:val="22"/>
          <w:szCs w:val="22"/>
          <w:lang w:val="sr-Latn-CS"/>
        </w:rPr>
        <w:t xml:space="preserve"> (</w:t>
      </w:r>
      <w:r w:rsidR="000474C8">
        <w:rPr>
          <w:sz w:val="22"/>
          <w:szCs w:val="22"/>
          <w:lang w:val="sr-Latn-CS"/>
        </w:rPr>
        <w:t xml:space="preserve">vidjeti </w:t>
      </w:r>
      <w:r w:rsidR="00136F13">
        <w:rPr>
          <w:sz w:val="22"/>
          <w:szCs w:val="22"/>
          <w:lang w:val="sr-Latn-CS"/>
        </w:rPr>
        <w:t>dio</w:t>
      </w:r>
      <w:r w:rsidRPr="00A75117">
        <w:rPr>
          <w:sz w:val="22"/>
          <w:szCs w:val="22"/>
          <w:lang w:val="sr-Latn-CS"/>
        </w:rPr>
        <w:t xml:space="preserve"> 4.8). Kod ovih pacijenata javio se bol u abdomenu (sa ili bez mučnine ili povraćanja).</w:t>
      </w:r>
    </w:p>
    <w:p w14:paraId="77F5A336" w14:textId="77777777" w:rsidR="000474C8" w:rsidRPr="00A75117" w:rsidRDefault="000474C8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</w:p>
    <w:p w14:paraId="40EEC754" w14:textId="77777777" w:rsidR="00A75117" w:rsidRPr="00A75117" w:rsidRDefault="00A75117" w:rsidP="00AB1FCF">
      <w:pPr>
        <w:pStyle w:val="Header"/>
        <w:tabs>
          <w:tab w:val="left" w:pos="0"/>
        </w:tabs>
        <w:jc w:val="both"/>
        <w:rPr>
          <w:i/>
          <w:sz w:val="22"/>
          <w:szCs w:val="22"/>
          <w:u w:val="single"/>
          <w:lang w:val="sr-Latn-CS"/>
        </w:rPr>
      </w:pPr>
      <w:r w:rsidRPr="00A75117">
        <w:rPr>
          <w:i/>
          <w:sz w:val="22"/>
          <w:szCs w:val="22"/>
          <w:u w:val="single"/>
          <w:lang w:val="sr-Latn-CS"/>
        </w:rPr>
        <w:t>Anafilaktičke reakcije tokom desenzitizacije</w:t>
      </w:r>
    </w:p>
    <w:p w14:paraId="2361A9AC" w14:textId="5BA3D809" w:rsidR="00A75117" w:rsidRDefault="00A75117" w:rsidP="00AB1FCF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  <w:r w:rsidRPr="00A75117">
        <w:rPr>
          <w:sz w:val="22"/>
          <w:szCs w:val="22"/>
          <w:lang w:val="sr-Latn-CS"/>
        </w:rPr>
        <w:t>V</w:t>
      </w:r>
      <w:r w:rsidR="003457B5">
        <w:rPr>
          <w:sz w:val="22"/>
          <w:szCs w:val="22"/>
          <w:lang w:val="sr-Latn-CS"/>
        </w:rPr>
        <w:t>j</w:t>
      </w:r>
      <w:r w:rsidRPr="00A75117">
        <w:rPr>
          <w:sz w:val="22"/>
          <w:szCs w:val="22"/>
          <w:lang w:val="sr-Latn-CS"/>
        </w:rPr>
        <w:t>erovatnoća i težina pojave anafilaktičkih i anafilaktoidnih reakcija na otrov insekata i druge alergene je povećana tokom terapije ACE inhibitorima. Treba razmotriti pri</w:t>
      </w:r>
      <w:r w:rsidR="00136F13">
        <w:rPr>
          <w:sz w:val="22"/>
          <w:szCs w:val="22"/>
          <w:lang w:val="sr-Latn-CS"/>
        </w:rPr>
        <w:t>vreme</w:t>
      </w:r>
      <w:r w:rsidRPr="00A75117">
        <w:rPr>
          <w:sz w:val="22"/>
          <w:szCs w:val="22"/>
          <w:lang w:val="sr-Latn-CS"/>
        </w:rPr>
        <w:t xml:space="preserve">n prekid terapije </w:t>
      </w:r>
      <w:r w:rsidR="00136F13">
        <w:rPr>
          <w:sz w:val="22"/>
          <w:szCs w:val="22"/>
          <w:lang w:val="sr-Latn-CS"/>
        </w:rPr>
        <w:t>lijek</w:t>
      </w:r>
      <w:r w:rsidRPr="00A75117">
        <w:rPr>
          <w:sz w:val="22"/>
          <w:szCs w:val="22"/>
          <w:lang w:val="sr-Latn-CS"/>
        </w:rPr>
        <w:t>om Prilinda pr</w:t>
      </w:r>
      <w:r w:rsidR="003457B5">
        <w:rPr>
          <w:sz w:val="22"/>
          <w:szCs w:val="22"/>
          <w:lang w:val="sr-Latn-CS"/>
        </w:rPr>
        <w:t>ij</w:t>
      </w:r>
      <w:r w:rsidRPr="00A75117">
        <w:rPr>
          <w:sz w:val="22"/>
          <w:szCs w:val="22"/>
          <w:lang w:val="sr-Latn-CS"/>
        </w:rPr>
        <w:t>e desenzitizacije.</w:t>
      </w:r>
    </w:p>
    <w:p w14:paraId="37A3AE55" w14:textId="77777777" w:rsidR="000474C8" w:rsidRPr="00A75117" w:rsidRDefault="000474C8" w:rsidP="00AB1FCF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</w:p>
    <w:p w14:paraId="74B70240" w14:textId="6D11C04F" w:rsidR="00A75117" w:rsidRPr="00A75117" w:rsidRDefault="00A75117" w:rsidP="00AB1FCF">
      <w:pPr>
        <w:pStyle w:val="Header"/>
        <w:tabs>
          <w:tab w:val="left" w:pos="0"/>
        </w:tabs>
        <w:jc w:val="both"/>
        <w:rPr>
          <w:i/>
          <w:sz w:val="22"/>
          <w:szCs w:val="22"/>
          <w:u w:val="single"/>
          <w:lang w:val="sr-Latn-CS"/>
        </w:rPr>
      </w:pPr>
      <w:r w:rsidRPr="00A75117">
        <w:rPr>
          <w:i/>
          <w:sz w:val="22"/>
          <w:szCs w:val="22"/>
          <w:u w:val="single"/>
          <w:lang w:val="sr-Latn-CS"/>
        </w:rPr>
        <w:t>Praćenje e</w:t>
      </w:r>
      <w:r w:rsidR="00136F13">
        <w:rPr>
          <w:i/>
          <w:sz w:val="22"/>
          <w:szCs w:val="22"/>
          <w:u w:val="single"/>
          <w:lang w:val="sr-Latn-CS"/>
        </w:rPr>
        <w:t>lijek</w:t>
      </w:r>
      <w:r w:rsidRPr="00A75117">
        <w:rPr>
          <w:i/>
          <w:sz w:val="22"/>
          <w:szCs w:val="22"/>
          <w:u w:val="single"/>
          <w:lang w:val="sr-Latn-CS"/>
        </w:rPr>
        <w:t>trolita: Hiperkal</w:t>
      </w:r>
      <w:r w:rsidR="000474C8">
        <w:rPr>
          <w:i/>
          <w:sz w:val="22"/>
          <w:szCs w:val="22"/>
          <w:u w:val="single"/>
          <w:lang w:val="sr-Latn-CS"/>
        </w:rPr>
        <w:t>ij</w:t>
      </w:r>
      <w:r w:rsidRPr="00A75117">
        <w:rPr>
          <w:i/>
          <w:sz w:val="22"/>
          <w:szCs w:val="22"/>
          <w:u w:val="single"/>
          <w:lang w:val="sr-Latn-CS"/>
        </w:rPr>
        <w:t>emija</w:t>
      </w:r>
    </w:p>
    <w:p w14:paraId="071C0C9A" w14:textId="4AC36E92" w:rsidR="00A75117" w:rsidRDefault="00A75117" w:rsidP="00AB1FCF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  <w:r w:rsidRPr="00A75117">
        <w:rPr>
          <w:sz w:val="22"/>
          <w:szCs w:val="22"/>
          <w:lang w:val="sr-Latn-CS"/>
        </w:rPr>
        <w:t>Hiperkal</w:t>
      </w:r>
      <w:r w:rsidR="000474C8">
        <w:rPr>
          <w:sz w:val="22"/>
          <w:szCs w:val="22"/>
          <w:lang w:val="sr-Latn-CS"/>
        </w:rPr>
        <w:t>ij</w:t>
      </w:r>
      <w:r w:rsidRPr="00A75117">
        <w:rPr>
          <w:sz w:val="22"/>
          <w:szCs w:val="22"/>
          <w:lang w:val="sr-Latn-CS"/>
        </w:rPr>
        <w:t>emija je zab</w:t>
      </w:r>
      <w:r w:rsidR="003457B5">
        <w:rPr>
          <w:sz w:val="22"/>
          <w:szCs w:val="22"/>
          <w:lang w:val="sr-Latn-CS"/>
        </w:rPr>
        <w:t>i</w:t>
      </w:r>
      <w:r w:rsidRPr="00A75117">
        <w:rPr>
          <w:sz w:val="22"/>
          <w:szCs w:val="22"/>
          <w:lang w:val="sr-Latn-CS"/>
        </w:rPr>
        <w:t>l</w:t>
      </w:r>
      <w:r w:rsidR="003457B5">
        <w:rPr>
          <w:sz w:val="22"/>
          <w:szCs w:val="22"/>
          <w:lang w:val="sr-Latn-CS"/>
        </w:rPr>
        <w:t>j</w:t>
      </w:r>
      <w:r w:rsidRPr="00A75117">
        <w:rPr>
          <w:sz w:val="22"/>
          <w:szCs w:val="22"/>
          <w:lang w:val="sr-Latn-CS"/>
        </w:rPr>
        <w:t xml:space="preserve">ežena kod nekih pacijenata koji su primali ACE inhibitore uključujući i </w:t>
      </w:r>
      <w:r w:rsidR="00136F13">
        <w:rPr>
          <w:sz w:val="22"/>
          <w:szCs w:val="22"/>
          <w:lang w:val="sr-Latn-CS"/>
        </w:rPr>
        <w:t>lijek</w:t>
      </w:r>
      <w:r w:rsidR="00C553F6">
        <w:rPr>
          <w:sz w:val="22"/>
          <w:szCs w:val="22"/>
          <w:lang w:val="sr-Latn-CS"/>
        </w:rPr>
        <w:t xml:space="preserve"> </w:t>
      </w:r>
      <w:r w:rsidRPr="00A75117">
        <w:rPr>
          <w:sz w:val="22"/>
          <w:szCs w:val="22"/>
          <w:lang w:val="sr-Latn-CS"/>
        </w:rPr>
        <w:t>Prilind</w:t>
      </w:r>
      <w:r w:rsidR="00C553F6">
        <w:rPr>
          <w:sz w:val="22"/>
          <w:szCs w:val="22"/>
          <w:lang w:val="sr-Latn-CS"/>
        </w:rPr>
        <w:t>a</w:t>
      </w:r>
      <w:r w:rsidRPr="00A75117">
        <w:rPr>
          <w:sz w:val="22"/>
          <w:szCs w:val="22"/>
          <w:lang w:val="sr-Latn-CS"/>
        </w:rPr>
        <w:t>. Pacijenti sa rizikom za razvoj hiperkal</w:t>
      </w:r>
      <w:r w:rsidR="000474C8">
        <w:rPr>
          <w:sz w:val="22"/>
          <w:szCs w:val="22"/>
          <w:lang w:val="sr-Latn-CS"/>
        </w:rPr>
        <w:t>ij</w:t>
      </w:r>
      <w:r w:rsidRPr="00A75117">
        <w:rPr>
          <w:sz w:val="22"/>
          <w:szCs w:val="22"/>
          <w:lang w:val="sr-Latn-CS"/>
        </w:rPr>
        <w:t xml:space="preserve">emije su pacijenti sa renalnom insuficijencijom, pacijenti starije životne dobi (&gt;70 godina), pacijenti sa nekontrolisanim dijabetesom, ili pacijenti koji koriste soli kalijuma, diuretike koji štede kalijum ili druge aktivne supstance koje povećavaju koncentraciju kalijuma u plazmi, ili stanja kao što su dehidratacija, akutna srčana dekompenzacija, metabolička acidoza. Ukoliko se </w:t>
      </w:r>
      <w:r w:rsidR="00136F13">
        <w:rPr>
          <w:sz w:val="22"/>
          <w:szCs w:val="22"/>
          <w:lang w:val="sr-Latn-CS"/>
        </w:rPr>
        <w:t>istovremena</w:t>
      </w:r>
      <w:r w:rsidRPr="00A75117">
        <w:rPr>
          <w:sz w:val="22"/>
          <w:szCs w:val="22"/>
          <w:lang w:val="sr-Latn-CS"/>
        </w:rPr>
        <w:t xml:space="preserve"> upotreba navedenih </w:t>
      </w:r>
      <w:r w:rsidR="00136F13">
        <w:rPr>
          <w:sz w:val="22"/>
          <w:szCs w:val="22"/>
          <w:lang w:val="sr-Latn-CS"/>
        </w:rPr>
        <w:t>ljek</w:t>
      </w:r>
      <w:r w:rsidRPr="00A75117">
        <w:rPr>
          <w:sz w:val="22"/>
          <w:szCs w:val="22"/>
          <w:lang w:val="sr-Latn-CS"/>
        </w:rPr>
        <w:t>ova smatra prikladnom, preporučuje se redovno praćenje koncentracije kalijuma u serumu (</w:t>
      </w:r>
      <w:r w:rsidR="00A85BA1">
        <w:rPr>
          <w:sz w:val="22"/>
          <w:szCs w:val="22"/>
          <w:lang w:val="sr-Latn-CS"/>
        </w:rPr>
        <w:t xml:space="preserve">vidjeti </w:t>
      </w:r>
      <w:r w:rsidR="00136F13">
        <w:rPr>
          <w:sz w:val="22"/>
          <w:szCs w:val="22"/>
          <w:lang w:val="sr-Latn-CS"/>
        </w:rPr>
        <w:t>dio</w:t>
      </w:r>
      <w:r w:rsidRPr="00A75117">
        <w:rPr>
          <w:sz w:val="22"/>
          <w:szCs w:val="22"/>
          <w:lang w:val="sr-Latn-CS"/>
        </w:rPr>
        <w:t xml:space="preserve"> 4.5).</w:t>
      </w:r>
      <w:r w:rsidR="00A85BA1">
        <w:rPr>
          <w:sz w:val="22"/>
          <w:szCs w:val="22"/>
          <w:lang w:val="sr-Latn-CS"/>
        </w:rPr>
        <w:t xml:space="preserve"> </w:t>
      </w:r>
      <w:r w:rsidRPr="00A75117">
        <w:rPr>
          <w:sz w:val="22"/>
          <w:szCs w:val="22"/>
          <w:lang w:val="sr-Latn-CS"/>
        </w:rPr>
        <w:t>ACE inhibitori mogu da izazovu hiperkal</w:t>
      </w:r>
      <w:r w:rsidR="00A85BA1">
        <w:rPr>
          <w:sz w:val="22"/>
          <w:szCs w:val="22"/>
          <w:lang w:val="sr-Latn-CS"/>
        </w:rPr>
        <w:t>ij</w:t>
      </w:r>
      <w:r w:rsidRPr="00A75117">
        <w:rPr>
          <w:sz w:val="22"/>
          <w:szCs w:val="22"/>
          <w:lang w:val="sr-Latn-CS"/>
        </w:rPr>
        <w:t xml:space="preserve">emiju zbog inhibicije oslobađanja aldosterona. Ovaj efekat obično nije značajan kod pacijenata sa urednom bubrežnom funkcijom. Međutim, kod pacijenata sa oštećenom bubrežnom </w:t>
      </w:r>
      <w:r w:rsidRPr="00A75117">
        <w:rPr>
          <w:sz w:val="22"/>
          <w:szCs w:val="22"/>
          <w:lang w:val="sr-Latn-CS"/>
        </w:rPr>
        <w:lastRenderedPageBreak/>
        <w:t>funkcijom i/ili kod pacijenata koji uzimaju suplemente kalijuma (uključujući dijetetske zam</w:t>
      </w:r>
      <w:r w:rsidR="003457B5">
        <w:rPr>
          <w:sz w:val="22"/>
          <w:szCs w:val="22"/>
          <w:lang w:val="sr-Latn-CS"/>
        </w:rPr>
        <w:t>j</w:t>
      </w:r>
      <w:r w:rsidRPr="00A75117">
        <w:rPr>
          <w:sz w:val="22"/>
          <w:szCs w:val="22"/>
          <w:lang w:val="sr-Latn-CS"/>
        </w:rPr>
        <w:t>ene za so), diuretike koji štede kalijum, trimetoprim ili ko-trimoksazol takođe označen kao trimetoprim/sulfametoksazol a naročito antagoniste aldosterona ili blokatore angiotenzinskih receptora, može doći do hiperkal</w:t>
      </w:r>
      <w:r w:rsidR="00A85BA1">
        <w:rPr>
          <w:sz w:val="22"/>
          <w:szCs w:val="22"/>
          <w:lang w:val="sr-Latn-CS"/>
        </w:rPr>
        <w:t>ij</w:t>
      </w:r>
      <w:r w:rsidRPr="00A75117">
        <w:rPr>
          <w:sz w:val="22"/>
          <w:szCs w:val="22"/>
          <w:lang w:val="sr-Latn-CS"/>
        </w:rPr>
        <w:t>emije. Diuretici koji štede kalijum i blokatori angiotenzinskih receptora, treba da se koriste uz oprez kod pacijenata koji primaju ACE inhibitore, uz redovno praćenje vr</w:t>
      </w:r>
      <w:r w:rsidR="003457B5">
        <w:rPr>
          <w:sz w:val="22"/>
          <w:szCs w:val="22"/>
          <w:lang w:val="sr-Latn-CS"/>
        </w:rPr>
        <w:t>ij</w:t>
      </w:r>
      <w:r w:rsidRPr="00A75117">
        <w:rPr>
          <w:sz w:val="22"/>
          <w:szCs w:val="22"/>
          <w:lang w:val="sr-Latn-CS"/>
        </w:rPr>
        <w:t>ednosti kalijuma u serumu i bubrežne funkcije (</w:t>
      </w:r>
      <w:r w:rsidR="00A85BA1">
        <w:rPr>
          <w:sz w:val="22"/>
          <w:szCs w:val="22"/>
          <w:lang w:val="sr-Latn-CS"/>
        </w:rPr>
        <w:t xml:space="preserve">vidjeti </w:t>
      </w:r>
      <w:r w:rsidR="00136F13">
        <w:rPr>
          <w:sz w:val="22"/>
          <w:szCs w:val="22"/>
          <w:lang w:val="sr-Latn-CS"/>
        </w:rPr>
        <w:t>dio</w:t>
      </w:r>
      <w:r w:rsidRPr="00A75117">
        <w:rPr>
          <w:sz w:val="22"/>
          <w:szCs w:val="22"/>
          <w:lang w:val="sr-Latn-CS"/>
        </w:rPr>
        <w:t xml:space="preserve"> 4.5).</w:t>
      </w:r>
    </w:p>
    <w:p w14:paraId="425CFF9D" w14:textId="77777777" w:rsidR="00A85BA1" w:rsidRPr="00A75117" w:rsidRDefault="00A85BA1" w:rsidP="00AB1FCF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</w:p>
    <w:p w14:paraId="5A1C35C7" w14:textId="35549274" w:rsidR="00A75117" w:rsidRPr="00A75117" w:rsidRDefault="00A75117" w:rsidP="00AB1FCF">
      <w:pPr>
        <w:jc w:val="both"/>
        <w:rPr>
          <w:i/>
          <w:sz w:val="22"/>
          <w:szCs w:val="22"/>
          <w:u w:val="single"/>
          <w:lang w:val="sr-Latn-CS"/>
        </w:rPr>
      </w:pPr>
      <w:r w:rsidRPr="00A75117">
        <w:rPr>
          <w:i/>
          <w:sz w:val="22"/>
          <w:szCs w:val="22"/>
          <w:u w:val="single"/>
          <w:lang w:val="sr-Latn-CS"/>
        </w:rPr>
        <w:t>Praćenje e</w:t>
      </w:r>
      <w:r w:rsidR="00136F13">
        <w:rPr>
          <w:i/>
          <w:sz w:val="22"/>
          <w:szCs w:val="22"/>
          <w:u w:val="single"/>
          <w:lang w:val="sr-Latn-CS"/>
        </w:rPr>
        <w:t>lijek</w:t>
      </w:r>
      <w:r w:rsidRPr="00A75117">
        <w:rPr>
          <w:i/>
          <w:sz w:val="22"/>
          <w:szCs w:val="22"/>
          <w:u w:val="single"/>
          <w:lang w:val="sr-Latn-CS"/>
        </w:rPr>
        <w:t>trolita: Hiponatr</w:t>
      </w:r>
      <w:r w:rsidR="00A85BA1">
        <w:rPr>
          <w:i/>
          <w:sz w:val="22"/>
          <w:szCs w:val="22"/>
          <w:u w:val="single"/>
          <w:lang w:val="sr-Latn-CS"/>
        </w:rPr>
        <w:t>ij</w:t>
      </w:r>
      <w:r w:rsidRPr="00A75117">
        <w:rPr>
          <w:i/>
          <w:sz w:val="22"/>
          <w:szCs w:val="22"/>
          <w:u w:val="single"/>
          <w:lang w:val="sr-Latn-CS"/>
        </w:rPr>
        <w:t>emija</w:t>
      </w:r>
    </w:p>
    <w:p w14:paraId="0747F83A" w14:textId="172FA6D9" w:rsidR="00A75117" w:rsidRPr="00A75117" w:rsidRDefault="00A75117" w:rsidP="00A85BA1">
      <w:pPr>
        <w:jc w:val="both"/>
        <w:rPr>
          <w:b/>
          <w:iCs/>
          <w:sz w:val="22"/>
          <w:szCs w:val="22"/>
          <w:lang w:val="pl-PL"/>
        </w:rPr>
      </w:pPr>
      <w:r w:rsidRPr="00A75117">
        <w:rPr>
          <w:iCs/>
          <w:sz w:val="22"/>
          <w:szCs w:val="22"/>
          <w:lang w:val="pl-PL"/>
        </w:rPr>
        <w:t>Sindrom neodgovarajućeg lučenja antidiuretskog hormona (SIADH) i posl</w:t>
      </w:r>
      <w:r w:rsidR="00B92D04">
        <w:rPr>
          <w:iCs/>
          <w:sz w:val="22"/>
          <w:szCs w:val="22"/>
          <w:lang w:val="pl-PL"/>
        </w:rPr>
        <w:t>j</w:t>
      </w:r>
      <w:r w:rsidRPr="00A75117">
        <w:rPr>
          <w:iCs/>
          <w:sz w:val="22"/>
          <w:szCs w:val="22"/>
          <w:lang w:val="pl-PL"/>
        </w:rPr>
        <w:t>edične hiponatrijemije zab</w:t>
      </w:r>
      <w:r w:rsidR="00136F13">
        <w:rPr>
          <w:iCs/>
          <w:sz w:val="22"/>
          <w:szCs w:val="22"/>
          <w:lang w:val="pl-PL"/>
        </w:rPr>
        <w:t>i</w:t>
      </w:r>
      <w:r w:rsidRPr="00A75117">
        <w:rPr>
          <w:iCs/>
          <w:sz w:val="22"/>
          <w:szCs w:val="22"/>
          <w:lang w:val="pl-PL"/>
        </w:rPr>
        <w:t>l</w:t>
      </w:r>
      <w:r w:rsidR="00136F13">
        <w:rPr>
          <w:iCs/>
          <w:sz w:val="22"/>
          <w:szCs w:val="22"/>
          <w:lang w:val="pl-PL"/>
        </w:rPr>
        <w:t>j</w:t>
      </w:r>
      <w:r w:rsidRPr="00A75117">
        <w:rPr>
          <w:iCs/>
          <w:sz w:val="22"/>
          <w:szCs w:val="22"/>
          <w:lang w:val="pl-PL"/>
        </w:rPr>
        <w:t>ežen je kod nekih pacijenata l</w:t>
      </w:r>
      <w:r w:rsidR="00B92D04">
        <w:rPr>
          <w:iCs/>
          <w:sz w:val="22"/>
          <w:szCs w:val="22"/>
          <w:lang w:val="pl-PL"/>
        </w:rPr>
        <w:t>ij</w:t>
      </w:r>
      <w:r w:rsidRPr="00A75117">
        <w:rPr>
          <w:iCs/>
          <w:sz w:val="22"/>
          <w:szCs w:val="22"/>
          <w:lang w:val="pl-PL"/>
        </w:rPr>
        <w:t>ečenih ramiprilom. Preporučuje se da se koncentracija natrijuma u serumu redovno prati kod starijih pacijenata kao i kod drugih pacijenata kod kojih postoji rizik od hiponatr</w:t>
      </w:r>
      <w:r w:rsidR="00B92D04">
        <w:rPr>
          <w:iCs/>
          <w:sz w:val="22"/>
          <w:szCs w:val="22"/>
          <w:lang w:val="pl-PL"/>
        </w:rPr>
        <w:t>ij</w:t>
      </w:r>
      <w:r w:rsidRPr="00A75117">
        <w:rPr>
          <w:iCs/>
          <w:sz w:val="22"/>
          <w:szCs w:val="22"/>
          <w:lang w:val="pl-PL"/>
        </w:rPr>
        <w:t>emije.</w:t>
      </w:r>
    </w:p>
    <w:p w14:paraId="6F0A6FE1" w14:textId="77777777" w:rsidR="00A75117" w:rsidRPr="00A75117" w:rsidRDefault="00A75117" w:rsidP="00AB1FCF">
      <w:pPr>
        <w:spacing w:line="230" w:lineRule="exact"/>
        <w:ind w:left="9"/>
        <w:jc w:val="both"/>
        <w:rPr>
          <w:rStyle w:val="Emphasis"/>
          <w:i w:val="0"/>
          <w:sz w:val="22"/>
          <w:szCs w:val="22"/>
          <w:lang w:val="pl-PL"/>
        </w:rPr>
      </w:pPr>
    </w:p>
    <w:p w14:paraId="7E730E62" w14:textId="77777777" w:rsidR="00A75117" w:rsidRPr="00A75117" w:rsidRDefault="00A75117" w:rsidP="00AB1FCF">
      <w:pPr>
        <w:pStyle w:val="Header"/>
        <w:tabs>
          <w:tab w:val="left" w:pos="0"/>
        </w:tabs>
        <w:jc w:val="both"/>
        <w:rPr>
          <w:i/>
          <w:sz w:val="22"/>
          <w:szCs w:val="22"/>
          <w:u w:val="single"/>
          <w:lang w:val="sr-Latn-CS"/>
        </w:rPr>
      </w:pPr>
      <w:r w:rsidRPr="00A75117">
        <w:rPr>
          <w:i/>
          <w:sz w:val="22"/>
          <w:szCs w:val="22"/>
          <w:u w:val="single"/>
          <w:lang w:val="sr-Latn-CS"/>
        </w:rPr>
        <w:t>Neutropenija / agranulocitoza</w:t>
      </w:r>
    </w:p>
    <w:p w14:paraId="1EFBCB5A" w14:textId="7F5CF74E" w:rsidR="00A75117" w:rsidRDefault="00136F13" w:rsidP="00AB1FCF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Rijetko</w:t>
      </w:r>
      <w:r w:rsidR="00A75117" w:rsidRPr="00A75117">
        <w:rPr>
          <w:sz w:val="22"/>
          <w:szCs w:val="22"/>
          <w:lang w:val="sr-Latn-CS"/>
        </w:rPr>
        <w:t xml:space="preserve"> je zab</w:t>
      </w:r>
      <w:r>
        <w:rPr>
          <w:sz w:val="22"/>
          <w:szCs w:val="22"/>
          <w:lang w:val="sr-Latn-CS"/>
        </w:rPr>
        <w:t>ilj</w:t>
      </w:r>
      <w:r w:rsidR="00A75117" w:rsidRPr="00A75117">
        <w:rPr>
          <w:sz w:val="22"/>
          <w:szCs w:val="22"/>
          <w:lang w:val="sr-Latn-CS"/>
        </w:rPr>
        <w:t>ežena pojava neutropenije/agranulocitoze, kao i trombocitopenije i anemije, a takođe je prijavljena i depresija ko</w:t>
      </w:r>
      <w:r w:rsidR="00B92D04">
        <w:rPr>
          <w:sz w:val="22"/>
          <w:szCs w:val="22"/>
          <w:lang w:val="sr-Latn-CS"/>
        </w:rPr>
        <w:t>st</w:t>
      </w:r>
      <w:r w:rsidR="00A75117" w:rsidRPr="00A75117">
        <w:rPr>
          <w:sz w:val="22"/>
          <w:szCs w:val="22"/>
          <w:lang w:val="sr-Latn-CS"/>
        </w:rPr>
        <w:t>ne srži. Preporučuje se praćenje broja b</w:t>
      </w:r>
      <w:r>
        <w:rPr>
          <w:sz w:val="22"/>
          <w:szCs w:val="22"/>
          <w:lang w:val="sr-Latn-CS"/>
        </w:rPr>
        <w:t>ij</w:t>
      </w:r>
      <w:r w:rsidR="00A75117" w:rsidRPr="00A75117">
        <w:rPr>
          <w:sz w:val="22"/>
          <w:szCs w:val="22"/>
          <w:lang w:val="sr-Latn-CS"/>
        </w:rPr>
        <w:t xml:space="preserve">elih krvnih </w:t>
      </w:r>
      <w:r w:rsidR="00B92D04">
        <w:rPr>
          <w:sz w:val="22"/>
          <w:szCs w:val="22"/>
          <w:lang w:val="sr-Latn-CS"/>
        </w:rPr>
        <w:t>ćelija</w:t>
      </w:r>
      <w:r w:rsidR="00B92D04" w:rsidRPr="00A75117">
        <w:rPr>
          <w:sz w:val="22"/>
          <w:szCs w:val="22"/>
          <w:lang w:val="sr-Latn-CS"/>
        </w:rPr>
        <w:t xml:space="preserve"> </w:t>
      </w:r>
      <w:r w:rsidR="00A75117" w:rsidRPr="00A75117">
        <w:rPr>
          <w:sz w:val="22"/>
          <w:szCs w:val="22"/>
          <w:lang w:val="sr-Latn-CS"/>
        </w:rPr>
        <w:t>kako bi se detektovala moguća leukopenija. Češće praćenje sav</w:t>
      </w:r>
      <w:r w:rsidR="003457B5">
        <w:rPr>
          <w:sz w:val="22"/>
          <w:szCs w:val="22"/>
          <w:lang w:val="sr-Latn-CS"/>
        </w:rPr>
        <w:t>j</w:t>
      </w:r>
      <w:r w:rsidR="00A75117" w:rsidRPr="00A75117">
        <w:rPr>
          <w:sz w:val="22"/>
          <w:szCs w:val="22"/>
          <w:lang w:val="sr-Latn-CS"/>
        </w:rPr>
        <w:t xml:space="preserve">etuje se u početnoj fazi terapije i kod pacijenata sa oštećenom funkcijom bubrega sa </w:t>
      </w:r>
      <w:r>
        <w:rPr>
          <w:sz w:val="22"/>
          <w:szCs w:val="22"/>
          <w:lang w:val="sr-Latn-CS"/>
        </w:rPr>
        <w:t>istovremeno</w:t>
      </w:r>
      <w:r w:rsidR="00A75117" w:rsidRPr="00A75117">
        <w:rPr>
          <w:sz w:val="22"/>
          <w:szCs w:val="22"/>
          <w:lang w:val="sr-Latn-CS"/>
        </w:rPr>
        <w:t xml:space="preserve"> prisutnom bolešću vezivnog tkiva (npr. </w:t>
      </w:r>
      <w:r w:rsidR="00A75117" w:rsidRPr="00A75117">
        <w:rPr>
          <w:i/>
          <w:sz w:val="22"/>
          <w:szCs w:val="22"/>
          <w:lang w:val="sr-Latn-CS"/>
        </w:rPr>
        <w:t>lupus erithematosus</w:t>
      </w:r>
      <w:r w:rsidR="00A75117" w:rsidRPr="00A75117">
        <w:rPr>
          <w:sz w:val="22"/>
          <w:szCs w:val="22"/>
          <w:lang w:val="sr-Latn-CS"/>
        </w:rPr>
        <w:t xml:space="preserve"> ili </w:t>
      </w:r>
      <w:r w:rsidR="00A75117" w:rsidRPr="00A75117">
        <w:rPr>
          <w:i/>
          <w:sz w:val="22"/>
          <w:szCs w:val="22"/>
          <w:lang w:val="sr-Latn-CS"/>
        </w:rPr>
        <w:t>sklerodermija</w:t>
      </w:r>
      <w:r w:rsidR="00A75117" w:rsidRPr="00A75117">
        <w:rPr>
          <w:sz w:val="22"/>
          <w:szCs w:val="22"/>
          <w:lang w:val="sr-Latn-CS"/>
        </w:rPr>
        <w:t>) i svih pacijenata l</w:t>
      </w:r>
      <w:r>
        <w:rPr>
          <w:sz w:val="22"/>
          <w:szCs w:val="22"/>
          <w:lang w:val="sr-Latn-CS"/>
        </w:rPr>
        <w:t>ij</w:t>
      </w:r>
      <w:r w:rsidR="00A75117" w:rsidRPr="00A75117">
        <w:rPr>
          <w:sz w:val="22"/>
          <w:szCs w:val="22"/>
          <w:lang w:val="sr-Latn-CS"/>
        </w:rPr>
        <w:t xml:space="preserve">ečenih drugim </w:t>
      </w:r>
      <w:r>
        <w:rPr>
          <w:sz w:val="22"/>
          <w:szCs w:val="22"/>
          <w:lang w:val="sr-Latn-CS"/>
        </w:rPr>
        <w:t>ljekovi</w:t>
      </w:r>
      <w:r w:rsidR="00A75117" w:rsidRPr="00A75117">
        <w:rPr>
          <w:sz w:val="22"/>
          <w:szCs w:val="22"/>
          <w:lang w:val="sr-Latn-CS"/>
        </w:rPr>
        <w:t>ma koji mogu prouzrokovati prom</w:t>
      </w:r>
      <w:r>
        <w:rPr>
          <w:sz w:val="22"/>
          <w:szCs w:val="22"/>
          <w:lang w:val="sr-Latn-CS"/>
        </w:rPr>
        <w:t>j</w:t>
      </w:r>
      <w:r w:rsidR="00A75117" w:rsidRPr="00A75117">
        <w:rPr>
          <w:sz w:val="22"/>
          <w:szCs w:val="22"/>
          <w:lang w:val="sr-Latn-CS"/>
        </w:rPr>
        <w:t>ene krvne slike (</w:t>
      </w:r>
      <w:r w:rsidR="00B92D04">
        <w:rPr>
          <w:sz w:val="22"/>
          <w:szCs w:val="22"/>
          <w:lang w:val="sr-Latn-CS"/>
        </w:rPr>
        <w:t xml:space="preserve">vidjeti </w:t>
      </w:r>
      <w:r>
        <w:rPr>
          <w:sz w:val="22"/>
          <w:szCs w:val="22"/>
          <w:lang w:val="sr-Latn-CS"/>
        </w:rPr>
        <w:t>dio</w:t>
      </w:r>
      <w:r w:rsidR="00A75117" w:rsidRPr="00A75117">
        <w:rPr>
          <w:sz w:val="22"/>
          <w:szCs w:val="22"/>
          <w:lang w:val="sr-Latn-CS"/>
        </w:rPr>
        <w:t xml:space="preserve"> 4.5 i 4.8).</w:t>
      </w:r>
    </w:p>
    <w:p w14:paraId="0438E576" w14:textId="77777777" w:rsidR="00A85BA1" w:rsidRPr="00A75117" w:rsidRDefault="00A85BA1" w:rsidP="00AB1FCF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</w:p>
    <w:p w14:paraId="3CB4F803" w14:textId="77777777" w:rsidR="00A75117" w:rsidRPr="00A75117" w:rsidRDefault="00A75117" w:rsidP="00AB1FCF">
      <w:pPr>
        <w:pStyle w:val="Header"/>
        <w:tabs>
          <w:tab w:val="left" w:pos="0"/>
        </w:tabs>
        <w:jc w:val="both"/>
        <w:rPr>
          <w:i/>
          <w:sz w:val="22"/>
          <w:szCs w:val="22"/>
          <w:u w:val="single"/>
          <w:lang w:val="sr-Latn-CS"/>
        </w:rPr>
      </w:pPr>
      <w:r w:rsidRPr="00A75117">
        <w:rPr>
          <w:i/>
          <w:sz w:val="22"/>
          <w:szCs w:val="22"/>
          <w:u w:val="single"/>
          <w:lang w:val="sr-Latn-CS"/>
        </w:rPr>
        <w:t>Etničke razlike</w:t>
      </w:r>
    </w:p>
    <w:p w14:paraId="059B6D66" w14:textId="38693CB5" w:rsidR="00A75117" w:rsidRDefault="00A75117" w:rsidP="00AB1FCF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  <w:r w:rsidRPr="00A75117">
        <w:rPr>
          <w:sz w:val="22"/>
          <w:szCs w:val="22"/>
          <w:lang w:val="sr-Latn-CS"/>
        </w:rPr>
        <w:t>Angioedem izazvan prim</w:t>
      </w:r>
      <w:r w:rsidR="00136F13">
        <w:rPr>
          <w:sz w:val="22"/>
          <w:szCs w:val="22"/>
          <w:lang w:val="sr-Latn-CS"/>
        </w:rPr>
        <w:t>j</w:t>
      </w:r>
      <w:r w:rsidRPr="00A75117">
        <w:rPr>
          <w:sz w:val="22"/>
          <w:szCs w:val="22"/>
          <w:lang w:val="sr-Latn-CS"/>
        </w:rPr>
        <w:t>enom ACE inhibitora češće se javlja kod pacijenata crne rase nego kod pripadnka drugih rasa. Kao i drugi ACE inhibitori, tako i ramipril može biti manje efikasan u snižavanju krvog pritiska kod pripadnika crne rase nego kod pripadnika drugih rasa, v</w:t>
      </w:r>
      <w:r w:rsidR="00136F13">
        <w:rPr>
          <w:sz w:val="22"/>
          <w:szCs w:val="22"/>
          <w:lang w:val="sr-Latn-CS"/>
        </w:rPr>
        <w:t>j</w:t>
      </w:r>
      <w:r w:rsidRPr="00A75117">
        <w:rPr>
          <w:sz w:val="22"/>
          <w:szCs w:val="22"/>
          <w:lang w:val="sr-Latn-CS"/>
        </w:rPr>
        <w:t>erovatno zbog veće prevalence hipertenzije sa niskim nivoom renina hipertenzivnih pacijenata crne rase.</w:t>
      </w:r>
    </w:p>
    <w:p w14:paraId="384AC598" w14:textId="77777777" w:rsidR="00B92D04" w:rsidRPr="00A75117" w:rsidRDefault="00B92D04" w:rsidP="00AB1FCF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</w:p>
    <w:p w14:paraId="36C0A185" w14:textId="77777777" w:rsidR="00A75117" w:rsidRPr="00A75117" w:rsidRDefault="00A75117" w:rsidP="00AB1FCF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  <w:r w:rsidRPr="00A75117">
        <w:rPr>
          <w:i/>
          <w:sz w:val="22"/>
          <w:szCs w:val="22"/>
          <w:u w:val="single"/>
          <w:lang w:val="sr-Latn-CS"/>
        </w:rPr>
        <w:t>Kašalj</w:t>
      </w:r>
      <w:r w:rsidRPr="00A75117">
        <w:rPr>
          <w:sz w:val="22"/>
          <w:szCs w:val="22"/>
          <w:lang w:val="sr-Latn-CS"/>
        </w:rPr>
        <w:t xml:space="preserve"> </w:t>
      </w:r>
    </w:p>
    <w:p w14:paraId="17013F64" w14:textId="2C88779A" w:rsidR="00A75117" w:rsidRPr="00A75117" w:rsidRDefault="00A75117" w:rsidP="00A85BA1">
      <w:pPr>
        <w:jc w:val="both"/>
        <w:rPr>
          <w:sz w:val="22"/>
          <w:szCs w:val="22"/>
          <w:lang w:val="sr-Latn-CS"/>
        </w:rPr>
      </w:pPr>
      <w:r w:rsidRPr="00A75117">
        <w:rPr>
          <w:sz w:val="22"/>
          <w:szCs w:val="22"/>
          <w:lang w:val="sr-Latn-CS"/>
        </w:rPr>
        <w:t xml:space="preserve">Prilikom </w:t>
      </w:r>
      <w:r w:rsidR="00136F13">
        <w:rPr>
          <w:sz w:val="22"/>
          <w:szCs w:val="22"/>
          <w:lang w:val="sr-Latn-CS"/>
        </w:rPr>
        <w:t>primjene</w:t>
      </w:r>
      <w:r w:rsidRPr="00A75117">
        <w:rPr>
          <w:sz w:val="22"/>
          <w:szCs w:val="22"/>
          <w:lang w:val="sr-Latn-CS"/>
        </w:rPr>
        <w:t xml:space="preserve"> ACE inhibitora javlja se kašalj. Karakterističan je suvi, perzistentan, neproduktivni, uporan  kašalj, koji nestaje tek sa prekidom terapije. Kašalj nastao usl</w:t>
      </w:r>
      <w:r w:rsidR="00B92D04">
        <w:rPr>
          <w:sz w:val="22"/>
          <w:szCs w:val="22"/>
          <w:lang w:val="sr-Latn-CS"/>
        </w:rPr>
        <w:t>j</w:t>
      </w:r>
      <w:r w:rsidRPr="00A75117">
        <w:rPr>
          <w:sz w:val="22"/>
          <w:szCs w:val="22"/>
          <w:lang w:val="sr-Latn-CS"/>
        </w:rPr>
        <w:t xml:space="preserve">ed </w:t>
      </w:r>
      <w:r w:rsidR="00136F13">
        <w:rPr>
          <w:sz w:val="22"/>
          <w:szCs w:val="22"/>
          <w:lang w:val="sr-Latn-CS"/>
        </w:rPr>
        <w:t>primjene</w:t>
      </w:r>
      <w:r w:rsidRPr="00A75117">
        <w:rPr>
          <w:sz w:val="22"/>
          <w:szCs w:val="22"/>
          <w:lang w:val="sr-Latn-CS"/>
        </w:rPr>
        <w:t xml:space="preserve"> ACE inhibitora treba posmatrati kao d</w:t>
      </w:r>
      <w:r w:rsidR="00B92D04">
        <w:rPr>
          <w:sz w:val="22"/>
          <w:szCs w:val="22"/>
          <w:lang w:val="sr-Latn-CS"/>
        </w:rPr>
        <w:t>i</w:t>
      </w:r>
      <w:r w:rsidRPr="00A75117">
        <w:rPr>
          <w:sz w:val="22"/>
          <w:szCs w:val="22"/>
          <w:lang w:val="sr-Latn-CS"/>
        </w:rPr>
        <w:t>o diferencijalne dijagnoze kašlja.</w:t>
      </w:r>
    </w:p>
    <w:p w14:paraId="25E98B2A" w14:textId="77777777" w:rsidR="00A75117" w:rsidRPr="00A75117" w:rsidRDefault="00A75117">
      <w:pPr>
        <w:jc w:val="both"/>
        <w:rPr>
          <w:sz w:val="22"/>
          <w:szCs w:val="22"/>
          <w:lang w:val="sr-Latn-CS"/>
        </w:rPr>
      </w:pPr>
    </w:p>
    <w:p w14:paraId="0B8C87B4" w14:textId="77777777" w:rsidR="00A75117" w:rsidRPr="00A75117" w:rsidRDefault="00A75117" w:rsidP="00AB1FCF">
      <w:pPr>
        <w:spacing w:line="230" w:lineRule="exact"/>
        <w:ind w:left="9"/>
        <w:jc w:val="both"/>
        <w:rPr>
          <w:i/>
          <w:sz w:val="22"/>
          <w:szCs w:val="22"/>
          <w:lang w:val="sl-SI"/>
        </w:rPr>
      </w:pPr>
      <w:r w:rsidRPr="00A75117">
        <w:rPr>
          <w:i/>
          <w:sz w:val="22"/>
          <w:szCs w:val="22"/>
          <w:lang w:val="sl-SI"/>
        </w:rPr>
        <w:t>Pomoćne supstance</w:t>
      </w:r>
    </w:p>
    <w:p w14:paraId="293EB5C5" w14:textId="4566BF90" w:rsidR="00A75117" w:rsidRPr="00A75117" w:rsidRDefault="00A75117" w:rsidP="00AB1FCF">
      <w:pPr>
        <w:spacing w:line="230" w:lineRule="exact"/>
        <w:ind w:left="9"/>
        <w:jc w:val="both"/>
        <w:rPr>
          <w:sz w:val="22"/>
          <w:szCs w:val="22"/>
          <w:lang w:val="sl-SI"/>
        </w:rPr>
      </w:pPr>
      <w:r w:rsidRPr="00A75117">
        <w:rPr>
          <w:sz w:val="22"/>
          <w:szCs w:val="22"/>
          <w:lang w:val="sl-SI"/>
        </w:rPr>
        <w:t xml:space="preserve">Ovaj </w:t>
      </w:r>
      <w:r w:rsidR="00136F13">
        <w:rPr>
          <w:sz w:val="22"/>
          <w:szCs w:val="22"/>
          <w:lang w:val="sl-SI"/>
        </w:rPr>
        <w:t>lijek</w:t>
      </w:r>
      <w:r w:rsidRPr="00A75117">
        <w:rPr>
          <w:sz w:val="22"/>
          <w:szCs w:val="22"/>
          <w:lang w:val="sl-SI"/>
        </w:rPr>
        <w:t xml:space="preserve"> sadrži laktozu. Pacijenti sa r</w:t>
      </w:r>
      <w:r w:rsidR="003457B5">
        <w:rPr>
          <w:sz w:val="22"/>
          <w:szCs w:val="22"/>
          <w:lang w:val="sl-SI"/>
        </w:rPr>
        <w:t>ij</w:t>
      </w:r>
      <w:r w:rsidRPr="00A75117">
        <w:rPr>
          <w:sz w:val="22"/>
          <w:szCs w:val="22"/>
          <w:lang w:val="sl-SI"/>
        </w:rPr>
        <w:t>etkim nasl</w:t>
      </w:r>
      <w:r w:rsidR="00B92D04">
        <w:rPr>
          <w:sz w:val="22"/>
          <w:szCs w:val="22"/>
          <w:lang w:val="sl-SI"/>
        </w:rPr>
        <w:t>j</w:t>
      </w:r>
      <w:r w:rsidRPr="00A75117">
        <w:rPr>
          <w:sz w:val="22"/>
          <w:szCs w:val="22"/>
          <w:lang w:val="sl-SI"/>
        </w:rPr>
        <w:t xml:space="preserve">ednim oboljenjem intolerancije na galaktozu, nedostatkom laktaze ili glukozno-galaktoznom malapsorpcijom, ne </w:t>
      </w:r>
      <w:r w:rsidR="00136F13">
        <w:rPr>
          <w:sz w:val="22"/>
          <w:szCs w:val="22"/>
          <w:lang w:val="sl-SI"/>
        </w:rPr>
        <w:t>smiju</w:t>
      </w:r>
      <w:r w:rsidRPr="00A75117">
        <w:rPr>
          <w:sz w:val="22"/>
          <w:szCs w:val="22"/>
          <w:lang w:val="sl-SI"/>
        </w:rPr>
        <w:t xml:space="preserve"> koristiti ovaj </w:t>
      </w:r>
      <w:r w:rsidR="00136F13">
        <w:rPr>
          <w:sz w:val="22"/>
          <w:szCs w:val="22"/>
          <w:lang w:val="sl-SI"/>
        </w:rPr>
        <w:t>lijek</w:t>
      </w:r>
      <w:r w:rsidRPr="00A75117">
        <w:rPr>
          <w:sz w:val="22"/>
          <w:szCs w:val="22"/>
          <w:lang w:val="sl-SI"/>
        </w:rPr>
        <w:t>.</w:t>
      </w:r>
    </w:p>
    <w:p w14:paraId="2E2B77FD" w14:textId="0A6129FD" w:rsidR="0072020E" w:rsidRPr="00A75117" w:rsidRDefault="00A75117" w:rsidP="00AB1FCF">
      <w:pPr>
        <w:jc w:val="both"/>
        <w:rPr>
          <w:bCs/>
          <w:sz w:val="22"/>
          <w:szCs w:val="22"/>
          <w:lang w:val="sl-SI"/>
        </w:rPr>
      </w:pPr>
      <w:r w:rsidRPr="000F4998">
        <w:rPr>
          <w:b/>
          <w:lang w:val="sl-SI"/>
        </w:rPr>
        <w:t xml:space="preserve">       </w:t>
      </w:r>
    </w:p>
    <w:p w14:paraId="2E2B77FE" w14:textId="170B62B4" w:rsidR="00057E35" w:rsidRPr="004F24BB" w:rsidRDefault="00057E35" w:rsidP="00B92D04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l-SI"/>
        </w:rPr>
      </w:pPr>
      <w:r w:rsidRPr="004F24BB">
        <w:rPr>
          <w:sz w:val="22"/>
          <w:szCs w:val="22"/>
          <w:u w:val="single"/>
          <w:lang w:val="sl-SI"/>
        </w:rPr>
        <w:t>Pedijatrijska populacija</w:t>
      </w:r>
    </w:p>
    <w:p w14:paraId="2B1E7CFB" w14:textId="77777777" w:rsidR="00B92D04" w:rsidRPr="00572BA1" w:rsidRDefault="00B92D04" w:rsidP="00B92D04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it-IT" w:eastAsia="zh-TW"/>
        </w:rPr>
      </w:pPr>
      <w:r w:rsidRPr="00AB1FCF">
        <w:rPr>
          <w:rFonts w:eastAsia="TimesNewRoman"/>
          <w:sz w:val="22"/>
          <w:szCs w:val="22"/>
          <w:lang w:val="sl-SI" w:eastAsia="zh-TW"/>
        </w:rPr>
        <w:t>Bezbjednost</w:t>
      </w:r>
      <w:r w:rsidRPr="00572BA1">
        <w:rPr>
          <w:rFonts w:eastAsia="TimesNewRoman"/>
          <w:sz w:val="22"/>
          <w:szCs w:val="22"/>
          <w:lang w:val="sr-Latn-CS" w:eastAsia="zh-TW"/>
        </w:rPr>
        <w:t xml:space="preserve"> </w:t>
      </w:r>
      <w:r w:rsidRPr="00AB1FCF">
        <w:rPr>
          <w:rFonts w:eastAsia="TimesNewRoman"/>
          <w:sz w:val="22"/>
          <w:szCs w:val="22"/>
          <w:lang w:val="sl-SI" w:eastAsia="zh-TW"/>
        </w:rPr>
        <w:t>i</w:t>
      </w:r>
      <w:r w:rsidRPr="00572BA1">
        <w:rPr>
          <w:rFonts w:eastAsia="TimesNewRoman"/>
          <w:sz w:val="22"/>
          <w:szCs w:val="22"/>
          <w:lang w:val="sr-Latn-CS" w:eastAsia="zh-TW"/>
        </w:rPr>
        <w:t xml:space="preserve"> </w:t>
      </w:r>
      <w:r w:rsidRPr="00AB1FCF">
        <w:rPr>
          <w:rFonts w:eastAsia="TimesNewRoman"/>
          <w:sz w:val="22"/>
          <w:szCs w:val="22"/>
          <w:lang w:val="sl-SI" w:eastAsia="zh-TW"/>
        </w:rPr>
        <w:t>efikasnost</w:t>
      </w:r>
      <w:r w:rsidRPr="00572BA1">
        <w:rPr>
          <w:rFonts w:eastAsia="TimesNewRoman"/>
          <w:sz w:val="22"/>
          <w:szCs w:val="22"/>
          <w:lang w:val="sr-Latn-CS" w:eastAsia="zh-TW"/>
        </w:rPr>
        <w:t xml:space="preserve"> </w:t>
      </w:r>
      <w:r w:rsidRPr="00AB1FCF">
        <w:rPr>
          <w:rFonts w:eastAsia="TimesNewRoman"/>
          <w:sz w:val="22"/>
          <w:szCs w:val="22"/>
          <w:lang w:val="sl-SI" w:eastAsia="zh-TW"/>
        </w:rPr>
        <w:t>ramiprila</w:t>
      </w:r>
      <w:r w:rsidRPr="00572BA1">
        <w:rPr>
          <w:rFonts w:eastAsia="TimesNewRoman"/>
          <w:sz w:val="22"/>
          <w:szCs w:val="22"/>
          <w:lang w:val="sr-Latn-CS" w:eastAsia="zh-TW"/>
        </w:rPr>
        <w:t xml:space="preserve"> </w:t>
      </w:r>
      <w:r w:rsidRPr="00AB1FCF">
        <w:rPr>
          <w:rFonts w:eastAsia="TimesNewRoman"/>
          <w:sz w:val="22"/>
          <w:szCs w:val="22"/>
          <w:lang w:val="sl-SI" w:eastAsia="zh-TW"/>
        </w:rPr>
        <w:t>kod</w:t>
      </w:r>
      <w:r w:rsidRPr="00572BA1">
        <w:rPr>
          <w:rFonts w:eastAsia="TimesNewRoman"/>
          <w:sz w:val="22"/>
          <w:szCs w:val="22"/>
          <w:lang w:val="sr-Latn-CS" w:eastAsia="zh-TW"/>
        </w:rPr>
        <w:t xml:space="preserve"> </w:t>
      </w:r>
      <w:r w:rsidRPr="00AB1FCF">
        <w:rPr>
          <w:rFonts w:eastAsia="TimesNewRoman"/>
          <w:sz w:val="22"/>
          <w:szCs w:val="22"/>
          <w:lang w:val="sl-SI" w:eastAsia="zh-TW"/>
        </w:rPr>
        <w:t>djece</w:t>
      </w:r>
      <w:r w:rsidRPr="00572BA1">
        <w:rPr>
          <w:rFonts w:eastAsia="TimesNewRoman"/>
          <w:sz w:val="22"/>
          <w:szCs w:val="22"/>
          <w:lang w:val="sr-Latn-CS" w:eastAsia="zh-TW"/>
        </w:rPr>
        <w:t xml:space="preserve"> </w:t>
      </w:r>
      <w:r w:rsidRPr="00AB1FCF">
        <w:rPr>
          <w:rFonts w:eastAsia="TimesNewRoman"/>
          <w:sz w:val="22"/>
          <w:szCs w:val="22"/>
          <w:lang w:val="sl-SI" w:eastAsia="zh-TW"/>
        </w:rPr>
        <w:t>jo</w:t>
      </w:r>
      <w:r w:rsidRPr="00572BA1">
        <w:rPr>
          <w:rFonts w:eastAsia="TimesNewRoman"/>
          <w:sz w:val="22"/>
          <w:szCs w:val="22"/>
          <w:lang w:val="sr-Latn-CS" w:eastAsia="zh-TW"/>
        </w:rPr>
        <w:t xml:space="preserve">š </w:t>
      </w:r>
      <w:r w:rsidRPr="00AB1FCF">
        <w:rPr>
          <w:rFonts w:eastAsia="TimesNewRoman"/>
          <w:sz w:val="22"/>
          <w:szCs w:val="22"/>
          <w:lang w:val="sl-SI" w:eastAsia="zh-TW"/>
        </w:rPr>
        <w:t>nije</w:t>
      </w:r>
      <w:r w:rsidRPr="00572BA1">
        <w:rPr>
          <w:rFonts w:eastAsia="TimesNewRoman"/>
          <w:sz w:val="22"/>
          <w:szCs w:val="22"/>
          <w:lang w:val="sr-Latn-CS" w:eastAsia="zh-TW"/>
        </w:rPr>
        <w:t xml:space="preserve"> </w:t>
      </w:r>
      <w:r w:rsidRPr="00AB1FCF">
        <w:rPr>
          <w:rFonts w:eastAsia="TimesNewRoman"/>
          <w:sz w:val="22"/>
          <w:szCs w:val="22"/>
          <w:lang w:val="sl-SI" w:eastAsia="zh-TW"/>
        </w:rPr>
        <w:t>ustanovljena</w:t>
      </w:r>
      <w:r w:rsidRPr="00572BA1">
        <w:rPr>
          <w:rFonts w:eastAsia="TimesNewRoman"/>
          <w:sz w:val="22"/>
          <w:szCs w:val="22"/>
          <w:lang w:val="sr-Latn-CS" w:eastAsia="zh-TW"/>
        </w:rPr>
        <w:t xml:space="preserve">. </w:t>
      </w:r>
      <w:r w:rsidRPr="00572BA1">
        <w:rPr>
          <w:rFonts w:eastAsia="TimesNewRoman"/>
          <w:sz w:val="22"/>
          <w:szCs w:val="22"/>
          <w:lang w:val="it-IT" w:eastAsia="zh-TW"/>
        </w:rPr>
        <w:t xml:space="preserve">Trenutno dostupni podaci za ramipril su opisani u </w:t>
      </w:r>
      <w:r>
        <w:rPr>
          <w:rFonts w:eastAsia="TimesNewRoman"/>
          <w:sz w:val="22"/>
          <w:szCs w:val="22"/>
          <w:lang w:val="it-IT" w:eastAsia="zh-TW"/>
        </w:rPr>
        <w:t>djelovima</w:t>
      </w:r>
      <w:r w:rsidRPr="00572BA1">
        <w:rPr>
          <w:rFonts w:eastAsia="TimesNewRoman"/>
          <w:sz w:val="22"/>
          <w:szCs w:val="22"/>
          <w:lang w:val="it-IT" w:eastAsia="zh-TW"/>
        </w:rPr>
        <w:t xml:space="preserve"> 4.8, 5.1, 5.2 i 5.3, ali se ne mogu dati specifične preporuke o doziranju.</w:t>
      </w:r>
    </w:p>
    <w:p w14:paraId="2E2B77FF" w14:textId="77777777" w:rsidR="00057E35" w:rsidRPr="004F24BB" w:rsidRDefault="00057E35" w:rsidP="00B92D04">
      <w:pPr>
        <w:tabs>
          <w:tab w:val="left" w:pos="540"/>
          <w:tab w:val="left" w:pos="569"/>
        </w:tabs>
        <w:rPr>
          <w:bCs/>
          <w:sz w:val="22"/>
          <w:szCs w:val="22"/>
          <w:lang w:val="sl-SI"/>
        </w:rPr>
      </w:pPr>
    </w:p>
    <w:p w14:paraId="2E2B7800" w14:textId="42CAB286" w:rsidR="00411B4B" w:rsidRPr="004F24BB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l-SI"/>
        </w:rPr>
      </w:pPr>
      <w:r w:rsidRPr="004F24BB">
        <w:rPr>
          <w:b/>
          <w:bCs/>
          <w:sz w:val="22"/>
          <w:szCs w:val="22"/>
          <w:lang w:val="sl-SI"/>
        </w:rPr>
        <w:t>4.5.</w:t>
      </w:r>
      <w:r w:rsidR="000D60CC" w:rsidRPr="004F24BB">
        <w:rPr>
          <w:b/>
          <w:bCs/>
          <w:sz w:val="22"/>
          <w:szCs w:val="22"/>
          <w:lang w:val="sl-SI"/>
        </w:rPr>
        <w:tab/>
      </w:r>
      <w:r w:rsidRPr="004F24BB">
        <w:rPr>
          <w:b/>
          <w:bCs/>
          <w:sz w:val="22"/>
          <w:szCs w:val="22"/>
          <w:lang w:val="sl-SI"/>
        </w:rPr>
        <w:t>Interakcije sa drugim ljekovima i druge vrste interakcija</w:t>
      </w:r>
    </w:p>
    <w:p w14:paraId="752F9FC9" w14:textId="3F11CB72" w:rsidR="00E7674D" w:rsidRPr="004F24BB" w:rsidRDefault="00E7674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l-SI"/>
        </w:rPr>
      </w:pPr>
    </w:p>
    <w:p w14:paraId="40915A22" w14:textId="769795F0" w:rsidR="00914B67" w:rsidRDefault="00914B67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  <w:r w:rsidRPr="00914B67">
        <w:rPr>
          <w:sz w:val="22"/>
          <w:szCs w:val="22"/>
          <w:lang w:val="sl-SI"/>
        </w:rPr>
        <w:t xml:space="preserve">Podaci iz </w:t>
      </w:r>
      <w:r w:rsidRPr="00914B67">
        <w:rPr>
          <w:sz w:val="22"/>
          <w:szCs w:val="22"/>
          <w:lang w:val="sr-Latn-CS"/>
        </w:rPr>
        <w:t xml:space="preserve">kliničkih studija su pokazali da je dvostruka blokada sistema renin-angiotenzin-aldosteron (RAAS) pomoću kombinovane upotrebe ACE inhibitora, blokatora angiotenzin II receptora ili aliskirena udružena sa većom učestalošću neželjenih događaja kao što su hipotenzija, hiperkalijemija i smanjena bubrežna funkcija (uključujući akutnu bubrežnu insuficijenciju) u poređenju sa upotrebom bilo kog pojedinačnog </w:t>
      </w:r>
      <w:r w:rsidR="00136F13">
        <w:rPr>
          <w:sz w:val="22"/>
          <w:szCs w:val="22"/>
          <w:lang w:val="sr-Latn-CS"/>
        </w:rPr>
        <w:t>lijek</w:t>
      </w:r>
      <w:r w:rsidRPr="00914B67">
        <w:rPr>
          <w:sz w:val="22"/>
          <w:szCs w:val="22"/>
          <w:lang w:val="sr-Latn-CS"/>
        </w:rPr>
        <w:t>a  koji d</w:t>
      </w:r>
      <w:r w:rsidR="00DC001C">
        <w:rPr>
          <w:sz w:val="22"/>
          <w:szCs w:val="22"/>
          <w:lang w:val="sr-Latn-CS"/>
        </w:rPr>
        <w:t>j</w:t>
      </w:r>
      <w:r w:rsidRPr="00914B67">
        <w:rPr>
          <w:sz w:val="22"/>
          <w:szCs w:val="22"/>
          <w:lang w:val="sr-Latn-CS"/>
        </w:rPr>
        <w:t>eluje na RAAS (</w:t>
      </w:r>
      <w:r w:rsidR="00DC001C">
        <w:rPr>
          <w:sz w:val="22"/>
          <w:szCs w:val="22"/>
          <w:lang w:val="sr-Latn-CS"/>
        </w:rPr>
        <w:t xml:space="preserve">vidjeti </w:t>
      </w:r>
      <w:r w:rsidR="00136F13">
        <w:rPr>
          <w:sz w:val="22"/>
          <w:szCs w:val="22"/>
          <w:lang w:val="sr-Latn-CS"/>
        </w:rPr>
        <w:t>dio</w:t>
      </w:r>
      <w:r w:rsidRPr="00914B67">
        <w:rPr>
          <w:sz w:val="22"/>
          <w:szCs w:val="22"/>
          <w:lang w:val="sr-Latn-CS"/>
        </w:rPr>
        <w:t xml:space="preserve"> 4.3, 4.4 i 5.1).</w:t>
      </w:r>
    </w:p>
    <w:p w14:paraId="54DAEE21" w14:textId="77777777" w:rsidR="00DC001C" w:rsidRPr="00914B67" w:rsidRDefault="00DC001C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</w:p>
    <w:p w14:paraId="233BAC23" w14:textId="5E25A8D0" w:rsidR="00914B67" w:rsidRDefault="00914B67" w:rsidP="00AB1FCF">
      <w:pPr>
        <w:pStyle w:val="Header"/>
        <w:tabs>
          <w:tab w:val="left" w:pos="0"/>
        </w:tabs>
        <w:jc w:val="both"/>
        <w:rPr>
          <w:sz w:val="22"/>
          <w:szCs w:val="22"/>
          <w:u w:val="single"/>
          <w:lang w:val="sr-Latn-CS"/>
        </w:rPr>
      </w:pPr>
      <w:r w:rsidRPr="00914B67">
        <w:rPr>
          <w:sz w:val="22"/>
          <w:szCs w:val="22"/>
          <w:u w:val="single"/>
          <w:lang w:val="sr-Latn-CS"/>
        </w:rPr>
        <w:t>Kontraindikovane kombinacije</w:t>
      </w:r>
    </w:p>
    <w:p w14:paraId="65CA2A66" w14:textId="77777777" w:rsidR="007233C5" w:rsidRPr="00914B67" w:rsidRDefault="007233C5" w:rsidP="00AB1FCF">
      <w:pPr>
        <w:pStyle w:val="Header"/>
        <w:tabs>
          <w:tab w:val="left" w:pos="0"/>
        </w:tabs>
        <w:jc w:val="both"/>
        <w:rPr>
          <w:sz w:val="22"/>
          <w:szCs w:val="22"/>
          <w:u w:val="single"/>
          <w:lang w:val="sr-Latn-CS"/>
        </w:rPr>
      </w:pPr>
    </w:p>
    <w:p w14:paraId="43476FC4" w14:textId="306012C5" w:rsidR="00914B67" w:rsidRDefault="00136F13" w:rsidP="00A85BA1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Istovremena</w:t>
      </w:r>
      <w:r w:rsidR="00914B67" w:rsidRPr="00914B67">
        <w:rPr>
          <w:sz w:val="22"/>
          <w:szCs w:val="22"/>
          <w:lang w:val="sr-Latn-CS"/>
        </w:rPr>
        <w:t xml:space="preserve"> upotreba ACE inhibitora u kombinaciji sa valsartanom, sakubitrilom je kontraindikovana s obzirom na to da dovodi do povećanja rizika od pojave angioedema (</w:t>
      </w:r>
      <w:r w:rsidR="007233C5">
        <w:rPr>
          <w:sz w:val="22"/>
          <w:szCs w:val="22"/>
          <w:lang w:val="sr-Latn-CS"/>
        </w:rPr>
        <w:t>vidjeti djelove</w:t>
      </w:r>
      <w:r w:rsidR="00914B67" w:rsidRPr="00914B67">
        <w:rPr>
          <w:sz w:val="22"/>
          <w:szCs w:val="22"/>
          <w:lang w:val="sr-Latn-CS"/>
        </w:rPr>
        <w:t xml:space="preserve"> 4.3 i 4.4). Terapija ramiprilom ne sm</w:t>
      </w:r>
      <w:r w:rsidR="003457B5">
        <w:rPr>
          <w:sz w:val="22"/>
          <w:szCs w:val="22"/>
          <w:lang w:val="sr-Latn-CS"/>
        </w:rPr>
        <w:t>ij</w:t>
      </w:r>
      <w:r w:rsidR="00914B67" w:rsidRPr="00914B67">
        <w:rPr>
          <w:sz w:val="22"/>
          <w:szCs w:val="22"/>
          <w:lang w:val="sr-Latn-CS"/>
        </w:rPr>
        <w:t>e se započeti dok ne prođe 36 sati nakon uzimanja posl</w:t>
      </w:r>
      <w:r w:rsidR="007233C5">
        <w:rPr>
          <w:sz w:val="22"/>
          <w:szCs w:val="22"/>
          <w:lang w:val="sr-Latn-CS"/>
        </w:rPr>
        <w:t>j</w:t>
      </w:r>
      <w:r w:rsidR="00914B67" w:rsidRPr="00914B67">
        <w:rPr>
          <w:sz w:val="22"/>
          <w:szCs w:val="22"/>
          <w:lang w:val="sr-Latn-CS"/>
        </w:rPr>
        <w:t xml:space="preserve">ednje doze kombinacije valsartan, sakubitril. </w:t>
      </w:r>
      <w:r>
        <w:rPr>
          <w:sz w:val="22"/>
          <w:szCs w:val="22"/>
          <w:lang w:val="sr-Latn-CS"/>
        </w:rPr>
        <w:t>Primjena</w:t>
      </w:r>
      <w:r w:rsidR="00914B67" w:rsidRPr="00914B67">
        <w:rPr>
          <w:sz w:val="22"/>
          <w:szCs w:val="22"/>
          <w:lang w:val="sr-Latn-CS"/>
        </w:rPr>
        <w:t xml:space="preserve"> kombinacije valsartan, sakubitril ne sm</w:t>
      </w:r>
      <w:r w:rsidR="003457B5">
        <w:rPr>
          <w:sz w:val="22"/>
          <w:szCs w:val="22"/>
          <w:lang w:val="sr-Latn-CS"/>
        </w:rPr>
        <w:t>ij</w:t>
      </w:r>
      <w:r w:rsidR="00914B67" w:rsidRPr="00914B67">
        <w:rPr>
          <w:sz w:val="22"/>
          <w:szCs w:val="22"/>
          <w:lang w:val="sr-Latn-CS"/>
        </w:rPr>
        <w:t>e se inicirati pr</w:t>
      </w:r>
      <w:r w:rsidR="003457B5">
        <w:rPr>
          <w:sz w:val="22"/>
          <w:szCs w:val="22"/>
          <w:lang w:val="sr-Latn-CS"/>
        </w:rPr>
        <w:t>ij</w:t>
      </w:r>
      <w:r w:rsidR="00914B67" w:rsidRPr="00914B67">
        <w:rPr>
          <w:sz w:val="22"/>
          <w:szCs w:val="22"/>
          <w:lang w:val="sr-Latn-CS"/>
        </w:rPr>
        <w:t xml:space="preserve">e isteka 36 sati od </w:t>
      </w:r>
      <w:r>
        <w:rPr>
          <w:sz w:val="22"/>
          <w:szCs w:val="22"/>
          <w:lang w:val="sr-Latn-CS"/>
        </w:rPr>
        <w:t>primjene</w:t>
      </w:r>
      <w:r w:rsidR="00914B67" w:rsidRPr="00914B67">
        <w:rPr>
          <w:sz w:val="22"/>
          <w:szCs w:val="22"/>
          <w:lang w:val="sr-Latn-CS"/>
        </w:rPr>
        <w:t xml:space="preserve"> posl</w:t>
      </w:r>
      <w:r w:rsidR="007233C5">
        <w:rPr>
          <w:sz w:val="22"/>
          <w:szCs w:val="22"/>
          <w:lang w:val="sr-Latn-CS"/>
        </w:rPr>
        <w:t>j</w:t>
      </w:r>
      <w:r w:rsidR="00914B67" w:rsidRPr="00914B67">
        <w:rPr>
          <w:sz w:val="22"/>
          <w:szCs w:val="22"/>
          <w:lang w:val="sr-Latn-CS"/>
        </w:rPr>
        <w:t xml:space="preserve">ednje doze </w:t>
      </w:r>
      <w:r>
        <w:rPr>
          <w:sz w:val="22"/>
          <w:szCs w:val="22"/>
          <w:lang w:val="sr-Latn-CS"/>
        </w:rPr>
        <w:t>lijek</w:t>
      </w:r>
      <w:r w:rsidR="00914B67" w:rsidRPr="00914B67">
        <w:rPr>
          <w:sz w:val="22"/>
          <w:szCs w:val="22"/>
          <w:lang w:val="sr-Latn-CS"/>
        </w:rPr>
        <w:t xml:space="preserve">a Prilinda. </w:t>
      </w:r>
    </w:p>
    <w:p w14:paraId="0951898F" w14:textId="77777777" w:rsidR="007233C5" w:rsidRPr="00914B67" w:rsidRDefault="007233C5" w:rsidP="00A85BA1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</w:p>
    <w:p w14:paraId="26977CC2" w14:textId="75FF1B67" w:rsidR="00914B67" w:rsidRDefault="00914B67" w:rsidP="00B92D04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  <w:r w:rsidRPr="00914B67">
        <w:rPr>
          <w:sz w:val="22"/>
          <w:szCs w:val="22"/>
          <w:lang w:val="sr-Latn-CS"/>
        </w:rPr>
        <w:lastRenderedPageBreak/>
        <w:t>Ekstrakorporalna terapija kod koje dolazi do kontakta krvi sa negativno nae</w:t>
      </w:r>
      <w:r w:rsidR="00136F13">
        <w:rPr>
          <w:sz w:val="22"/>
          <w:szCs w:val="22"/>
          <w:lang w:val="sr-Latn-CS"/>
        </w:rPr>
        <w:t>lek</w:t>
      </w:r>
      <w:r w:rsidRPr="00914B67">
        <w:rPr>
          <w:sz w:val="22"/>
          <w:szCs w:val="22"/>
          <w:lang w:val="sr-Latn-CS"/>
        </w:rPr>
        <w:t xml:space="preserve">trisanim površinama, kao što je dijaliza ili hemofiltracija pomoću visokopropustljivih membrana (npr. </w:t>
      </w:r>
      <w:bookmarkStart w:id="9" w:name="OLE_LINK8"/>
      <w:bookmarkStart w:id="10" w:name="OLE_LINK9"/>
      <w:r w:rsidRPr="00914B67">
        <w:rPr>
          <w:sz w:val="22"/>
          <w:szCs w:val="22"/>
          <w:lang w:val="sr-Latn-CS"/>
        </w:rPr>
        <w:t>poliakrilonitrilnih membran</w:t>
      </w:r>
      <w:bookmarkEnd w:id="9"/>
      <w:bookmarkEnd w:id="10"/>
      <w:r w:rsidRPr="00914B67">
        <w:rPr>
          <w:sz w:val="22"/>
          <w:szCs w:val="22"/>
          <w:lang w:val="sr-Latn-CS"/>
        </w:rPr>
        <w:t xml:space="preserve">a) i afereze lipoproteina male gustine pomoću dekstran sulfata zbog povećanog rizika </w:t>
      </w:r>
      <w:r w:rsidR="007233C5">
        <w:rPr>
          <w:sz w:val="22"/>
          <w:szCs w:val="22"/>
          <w:lang w:val="sr-Latn-CS"/>
        </w:rPr>
        <w:t>od</w:t>
      </w:r>
      <w:r w:rsidRPr="00914B67">
        <w:rPr>
          <w:sz w:val="22"/>
          <w:szCs w:val="22"/>
          <w:lang w:val="sr-Latn-CS"/>
        </w:rPr>
        <w:t xml:space="preserve"> pojav</w:t>
      </w:r>
      <w:r w:rsidR="007233C5">
        <w:rPr>
          <w:sz w:val="22"/>
          <w:szCs w:val="22"/>
          <w:lang w:val="sr-Latn-CS"/>
        </w:rPr>
        <w:t>e</w:t>
      </w:r>
      <w:r w:rsidRPr="00914B67">
        <w:rPr>
          <w:sz w:val="22"/>
          <w:szCs w:val="22"/>
          <w:lang w:val="sr-Latn-CS"/>
        </w:rPr>
        <w:t xml:space="preserve"> teških anafilaktoidnih reakcija (</w:t>
      </w:r>
      <w:r w:rsidR="007233C5">
        <w:rPr>
          <w:sz w:val="22"/>
          <w:szCs w:val="22"/>
          <w:lang w:val="sr-Latn-CS"/>
        </w:rPr>
        <w:t xml:space="preserve">vidjeti </w:t>
      </w:r>
      <w:r w:rsidR="00136F13">
        <w:rPr>
          <w:sz w:val="22"/>
          <w:szCs w:val="22"/>
          <w:lang w:val="sr-Latn-CS"/>
        </w:rPr>
        <w:t>dio</w:t>
      </w:r>
      <w:r w:rsidRPr="00914B67">
        <w:rPr>
          <w:sz w:val="22"/>
          <w:szCs w:val="22"/>
          <w:lang w:val="sr-Latn-CS"/>
        </w:rPr>
        <w:t xml:space="preserve"> 4.3). Ukoliko je takvo </w:t>
      </w:r>
      <w:r w:rsidR="00136F13">
        <w:rPr>
          <w:sz w:val="22"/>
          <w:szCs w:val="22"/>
          <w:lang w:val="sr-Latn-CS"/>
        </w:rPr>
        <w:t>liječenje</w:t>
      </w:r>
      <w:r w:rsidRPr="00914B67">
        <w:rPr>
          <w:sz w:val="22"/>
          <w:szCs w:val="22"/>
          <w:lang w:val="sr-Latn-CS"/>
        </w:rPr>
        <w:t xml:space="preserve"> neophodno treba razmotriti upotrebu drugih tipova membrana za dijalizu ili drugu klasu antihipertenzivnih </w:t>
      </w:r>
      <w:r w:rsidR="00136F13">
        <w:rPr>
          <w:sz w:val="22"/>
          <w:szCs w:val="22"/>
          <w:lang w:val="sr-Latn-CS"/>
        </w:rPr>
        <w:t>lijek</w:t>
      </w:r>
      <w:r w:rsidRPr="00914B67">
        <w:rPr>
          <w:sz w:val="22"/>
          <w:szCs w:val="22"/>
          <w:lang w:val="sr-Latn-CS"/>
        </w:rPr>
        <w:t>ova.</w:t>
      </w:r>
    </w:p>
    <w:p w14:paraId="7171409D" w14:textId="77777777" w:rsidR="007233C5" w:rsidRPr="00914B67" w:rsidRDefault="007233C5" w:rsidP="00B92D04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</w:p>
    <w:p w14:paraId="1C99EE0E" w14:textId="263ADE2F" w:rsidR="00914B67" w:rsidRDefault="00914B67" w:rsidP="00AB1FCF">
      <w:pPr>
        <w:pStyle w:val="Header"/>
        <w:tabs>
          <w:tab w:val="left" w:pos="0"/>
        </w:tabs>
        <w:jc w:val="both"/>
        <w:rPr>
          <w:sz w:val="22"/>
          <w:szCs w:val="22"/>
          <w:u w:val="single"/>
          <w:lang w:val="sr-Latn-CS"/>
        </w:rPr>
      </w:pPr>
      <w:r w:rsidRPr="00914B67">
        <w:rPr>
          <w:sz w:val="22"/>
          <w:szCs w:val="22"/>
          <w:u w:val="single"/>
          <w:lang w:val="sr-Latn-CS"/>
        </w:rPr>
        <w:t>M</w:t>
      </w:r>
      <w:r w:rsidR="00136F13">
        <w:rPr>
          <w:sz w:val="22"/>
          <w:szCs w:val="22"/>
          <w:u w:val="single"/>
          <w:lang w:val="sr-Latn-CS"/>
        </w:rPr>
        <w:t>j</w:t>
      </w:r>
      <w:r w:rsidRPr="00914B67">
        <w:rPr>
          <w:sz w:val="22"/>
          <w:szCs w:val="22"/>
          <w:u w:val="single"/>
          <w:lang w:val="sr-Latn-CS"/>
        </w:rPr>
        <w:t>ere opreza pri upotrebi</w:t>
      </w:r>
      <w:r w:rsidR="003457B5">
        <w:rPr>
          <w:sz w:val="22"/>
          <w:szCs w:val="22"/>
          <w:u w:val="single"/>
          <w:lang w:val="sr-Latn-CS"/>
        </w:rPr>
        <w:t xml:space="preserve"> lijeka</w:t>
      </w:r>
    </w:p>
    <w:p w14:paraId="3B6A6D64" w14:textId="77777777" w:rsidR="007233C5" w:rsidRPr="00914B67" w:rsidRDefault="007233C5" w:rsidP="00AB1FCF">
      <w:pPr>
        <w:pStyle w:val="Header"/>
        <w:tabs>
          <w:tab w:val="left" w:pos="0"/>
        </w:tabs>
        <w:jc w:val="both"/>
        <w:rPr>
          <w:sz w:val="22"/>
          <w:szCs w:val="22"/>
          <w:u w:val="single"/>
          <w:lang w:val="sr-Latn-CS"/>
        </w:rPr>
      </w:pPr>
    </w:p>
    <w:p w14:paraId="584E3ED0" w14:textId="77777777" w:rsidR="00914B67" w:rsidRPr="00914B67" w:rsidRDefault="00914B67" w:rsidP="00AB1FCF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  <w:r w:rsidRPr="00914B67">
        <w:rPr>
          <w:i/>
          <w:sz w:val="22"/>
          <w:szCs w:val="22"/>
          <w:lang w:val="sr-Latn-CS"/>
        </w:rPr>
        <w:t>Kalijumove soli, heparin, diuretici koji štede kalijum i druge aktivne supstance koje povećavaju koncentraciju kalijuma u krvi (uključujući antagoniste angiotenzina II, trimetoprim,</w:t>
      </w:r>
      <w:r w:rsidRPr="00914B67">
        <w:rPr>
          <w:sz w:val="22"/>
          <w:szCs w:val="22"/>
          <w:lang w:val="sr-Latn-CS"/>
        </w:rPr>
        <w:t xml:space="preserve"> kao i fiksnu kombinaciju sa sulfametoksazolom, </w:t>
      </w:r>
      <w:r w:rsidRPr="00914B67">
        <w:rPr>
          <w:i/>
          <w:sz w:val="22"/>
          <w:szCs w:val="22"/>
          <w:lang w:val="sr-Latn-CS"/>
        </w:rPr>
        <w:t>takrolimus, ciklosporin):</w:t>
      </w:r>
      <w:r w:rsidRPr="00914B67">
        <w:rPr>
          <w:sz w:val="22"/>
          <w:szCs w:val="22"/>
          <w:lang w:val="sr-Latn-CS"/>
        </w:rPr>
        <w:t xml:space="preserve"> </w:t>
      </w:r>
    </w:p>
    <w:p w14:paraId="4CCCA673" w14:textId="5768EEE2" w:rsidR="00914B67" w:rsidRDefault="00914B67" w:rsidP="00AB1FCF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  <w:r w:rsidRPr="00914B67">
        <w:rPr>
          <w:sz w:val="22"/>
          <w:szCs w:val="22"/>
          <w:lang w:val="sr-Latn-CS"/>
        </w:rPr>
        <w:t>Zbog mogućnosti pojave hiperkal</w:t>
      </w:r>
      <w:r w:rsidR="007233C5">
        <w:rPr>
          <w:sz w:val="22"/>
          <w:szCs w:val="22"/>
          <w:lang w:val="sr-Latn-CS"/>
        </w:rPr>
        <w:t>ij</w:t>
      </w:r>
      <w:r w:rsidRPr="00914B67">
        <w:rPr>
          <w:sz w:val="22"/>
          <w:szCs w:val="22"/>
          <w:lang w:val="sr-Latn-CS"/>
        </w:rPr>
        <w:t xml:space="preserve">emije potrebno je pažljivo praćenje koncentracije kalijuma u serumu. </w:t>
      </w:r>
    </w:p>
    <w:p w14:paraId="6FA138CD" w14:textId="77777777" w:rsidR="007233C5" w:rsidRPr="00914B67" w:rsidRDefault="007233C5" w:rsidP="00AB1FCF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</w:p>
    <w:p w14:paraId="621A7167" w14:textId="77777777" w:rsidR="00914B67" w:rsidRPr="00914B67" w:rsidRDefault="00914B67" w:rsidP="00AB1FCF">
      <w:pPr>
        <w:pStyle w:val="Header"/>
        <w:tabs>
          <w:tab w:val="left" w:pos="0"/>
        </w:tabs>
        <w:jc w:val="both"/>
        <w:rPr>
          <w:i/>
          <w:sz w:val="22"/>
          <w:szCs w:val="22"/>
          <w:lang w:val="sr-Latn-CS"/>
        </w:rPr>
      </w:pPr>
      <w:r w:rsidRPr="00914B67">
        <w:rPr>
          <w:i/>
          <w:sz w:val="22"/>
          <w:szCs w:val="22"/>
          <w:lang w:val="sr-Latn-CS"/>
        </w:rPr>
        <w:t xml:space="preserve">Antihipertenzivi (npr.diuretici) i ostale supstance koje mogu sniziti krvni pritisak (npr. nitrati, triciklični antidepresivi, anestetici, akutni alkoholizam, baklofen, alfuzosin, doksazosin, prazosin, tamsulosin, terazosin): </w:t>
      </w:r>
    </w:p>
    <w:p w14:paraId="2B7D5E47" w14:textId="56CB3361" w:rsidR="00914B67" w:rsidRDefault="00914B67" w:rsidP="00AB1FCF">
      <w:pPr>
        <w:pStyle w:val="Header"/>
        <w:tabs>
          <w:tab w:val="left" w:pos="0"/>
        </w:tabs>
        <w:jc w:val="both"/>
        <w:rPr>
          <w:i/>
          <w:sz w:val="22"/>
          <w:szCs w:val="22"/>
          <w:lang w:val="sr-Latn-CS"/>
        </w:rPr>
      </w:pPr>
      <w:r w:rsidRPr="00914B67">
        <w:rPr>
          <w:sz w:val="22"/>
          <w:szCs w:val="22"/>
          <w:lang w:val="sr-Latn-CS"/>
        </w:rPr>
        <w:t>Treba</w:t>
      </w:r>
      <w:r w:rsidRPr="00914B67">
        <w:rPr>
          <w:i/>
          <w:sz w:val="22"/>
          <w:szCs w:val="22"/>
          <w:lang w:val="sr-Latn-CS"/>
        </w:rPr>
        <w:t xml:space="preserve"> </w:t>
      </w:r>
      <w:r w:rsidRPr="00914B67">
        <w:rPr>
          <w:sz w:val="22"/>
          <w:szCs w:val="22"/>
          <w:lang w:val="sr-Latn-CS"/>
        </w:rPr>
        <w:t>očekivati potencijalni povećani rizik za pojavu hipotenzije (</w:t>
      </w:r>
      <w:r w:rsidR="007233C5">
        <w:rPr>
          <w:sz w:val="22"/>
          <w:szCs w:val="22"/>
          <w:lang w:val="sr-Latn-CS"/>
        </w:rPr>
        <w:t xml:space="preserve">vidjeti </w:t>
      </w:r>
      <w:r w:rsidR="00136F13">
        <w:rPr>
          <w:sz w:val="22"/>
          <w:szCs w:val="22"/>
          <w:lang w:val="sr-Latn-CS"/>
        </w:rPr>
        <w:t>dio</w:t>
      </w:r>
      <w:r w:rsidRPr="00914B67">
        <w:rPr>
          <w:sz w:val="22"/>
          <w:szCs w:val="22"/>
          <w:lang w:val="sr-Latn-CS"/>
        </w:rPr>
        <w:t xml:space="preserve">  4.2 za diuretike).</w:t>
      </w:r>
      <w:r w:rsidRPr="00914B67">
        <w:rPr>
          <w:i/>
          <w:sz w:val="22"/>
          <w:szCs w:val="22"/>
          <w:lang w:val="sr-Latn-CS"/>
        </w:rPr>
        <w:t xml:space="preserve"> </w:t>
      </w:r>
    </w:p>
    <w:p w14:paraId="65613CE0" w14:textId="77777777" w:rsidR="007233C5" w:rsidRPr="00914B67" w:rsidRDefault="007233C5" w:rsidP="00AB1FCF">
      <w:pPr>
        <w:pStyle w:val="Header"/>
        <w:tabs>
          <w:tab w:val="left" w:pos="0"/>
        </w:tabs>
        <w:jc w:val="both"/>
        <w:rPr>
          <w:i/>
          <w:sz w:val="22"/>
          <w:szCs w:val="22"/>
          <w:lang w:val="sr-Latn-CS"/>
        </w:rPr>
      </w:pPr>
    </w:p>
    <w:p w14:paraId="039685D1" w14:textId="4B2DE618" w:rsidR="00914B67" w:rsidRPr="00914B67" w:rsidRDefault="00914B67" w:rsidP="00AB1FCF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  <w:r w:rsidRPr="00914B67">
        <w:rPr>
          <w:i/>
          <w:sz w:val="22"/>
          <w:szCs w:val="22"/>
          <w:lang w:val="sr-Latn-CS"/>
        </w:rPr>
        <w:t xml:space="preserve">Vazopresorni simpatikomimetici i ostale supstance (npr. izoproterenol, dobutamin, dopamin, epinefrin) koje mogu smanjiti antihipertenzivno dejstvo </w:t>
      </w:r>
      <w:r w:rsidR="00136F13">
        <w:rPr>
          <w:i/>
          <w:sz w:val="22"/>
          <w:szCs w:val="22"/>
          <w:lang w:val="sr-Latn-CS"/>
        </w:rPr>
        <w:t>lijek</w:t>
      </w:r>
      <w:r w:rsidRPr="00914B67">
        <w:rPr>
          <w:i/>
          <w:sz w:val="22"/>
          <w:szCs w:val="22"/>
          <w:lang w:val="sr-Latn-CS"/>
        </w:rPr>
        <w:t>a Prilinda:</w:t>
      </w:r>
      <w:r w:rsidRPr="00914B67">
        <w:rPr>
          <w:sz w:val="22"/>
          <w:szCs w:val="22"/>
          <w:lang w:val="sr-Latn-CS"/>
        </w:rPr>
        <w:t xml:space="preserve"> </w:t>
      </w:r>
    </w:p>
    <w:p w14:paraId="409842FF" w14:textId="765D6488" w:rsidR="00914B67" w:rsidRDefault="00914B67" w:rsidP="00AB1FCF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  <w:r w:rsidRPr="00914B67">
        <w:rPr>
          <w:sz w:val="22"/>
          <w:szCs w:val="22"/>
          <w:lang w:val="sr-Latn-CS"/>
        </w:rPr>
        <w:t>Preporučuje se praćenje krvnog pritiska.</w:t>
      </w:r>
    </w:p>
    <w:p w14:paraId="77E6B9CD" w14:textId="77777777" w:rsidR="007233C5" w:rsidRPr="00914B67" w:rsidRDefault="007233C5" w:rsidP="00AB1FCF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</w:p>
    <w:p w14:paraId="2C4F0096" w14:textId="6DB1D442" w:rsidR="00914B67" w:rsidRPr="00914B67" w:rsidRDefault="00914B67" w:rsidP="00AB1FCF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  <w:r w:rsidRPr="00914B67">
        <w:rPr>
          <w:i/>
          <w:sz w:val="22"/>
          <w:szCs w:val="22"/>
          <w:lang w:val="sr-Latn-CS"/>
        </w:rPr>
        <w:t xml:space="preserve">Alopurinol, imunosupresivi, kortikosteroidi, prokainamid, citostatici i drugi </w:t>
      </w:r>
      <w:r w:rsidR="00136F13">
        <w:rPr>
          <w:i/>
          <w:sz w:val="22"/>
          <w:szCs w:val="22"/>
          <w:lang w:val="sr-Latn-CS"/>
        </w:rPr>
        <w:t>ljekovi</w:t>
      </w:r>
      <w:r w:rsidRPr="00914B67">
        <w:rPr>
          <w:i/>
          <w:sz w:val="22"/>
          <w:szCs w:val="22"/>
          <w:lang w:val="sr-Latn-CS"/>
        </w:rPr>
        <w:t xml:space="preserve"> koji mogu da dovedu do prom</w:t>
      </w:r>
      <w:r w:rsidR="003457B5">
        <w:rPr>
          <w:i/>
          <w:sz w:val="22"/>
          <w:szCs w:val="22"/>
          <w:lang w:val="sr-Latn-CS"/>
        </w:rPr>
        <w:t>j</w:t>
      </w:r>
      <w:r w:rsidRPr="00914B67">
        <w:rPr>
          <w:i/>
          <w:sz w:val="22"/>
          <w:szCs w:val="22"/>
          <w:lang w:val="sr-Latn-CS"/>
        </w:rPr>
        <w:t>ene krvne slike:</w:t>
      </w:r>
      <w:r w:rsidRPr="00914B67">
        <w:rPr>
          <w:sz w:val="22"/>
          <w:szCs w:val="22"/>
          <w:lang w:val="sr-Latn-CS"/>
        </w:rPr>
        <w:t xml:space="preserve"> </w:t>
      </w:r>
    </w:p>
    <w:p w14:paraId="6DD64D10" w14:textId="4C7EFEE8" w:rsidR="00914B67" w:rsidRDefault="00914B67" w:rsidP="00AB1FCF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  <w:r w:rsidRPr="00914B67">
        <w:rPr>
          <w:sz w:val="22"/>
          <w:szCs w:val="22"/>
          <w:lang w:val="sr-Latn-CS"/>
        </w:rPr>
        <w:t>Povećana v</w:t>
      </w:r>
      <w:r w:rsidR="003457B5">
        <w:rPr>
          <w:sz w:val="22"/>
          <w:szCs w:val="22"/>
          <w:lang w:val="sr-Latn-CS"/>
        </w:rPr>
        <w:t>j</w:t>
      </w:r>
      <w:r w:rsidRPr="00914B67">
        <w:rPr>
          <w:sz w:val="22"/>
          <w:szCs w:val="22"/>
          <w:lang w:val="sr-Latn-CS"/>
        </w:rPr>
        <w:t>erovatnoća hematoloških reakcija (</w:t>
      </w:r>
      <w:r w:rsidR="007233C5">
        <w:rPr>
          <w:sz w:val="22"/>
          <w:szCs w:val="22"/>
          <w:lang w:val="sr-Latn-CS"/>
        </w:rPr>
        <w:t xml:space="preserve">vidjeti </w:t>
      </w:r>
      <w:r w:rsidR="00136F13">
        <w:rPr>
          <w:sz w:val="22"/>
          <w:szCs w:val="22"/>
          <w:lang w:val="sr-Latn-CS"/>
        </w:rPr>
        <w:t>dio</w:t>
      </w:r>
      <w:r w:rsidRPr="00914B67">
        <w:rPr>
          <w:sz w:val="22"/>
          <w:szCs w:val="22"/>
          <w:lang w:val="sr-Latn-CS"/>
        </w:rPr>
        <w:t xml:space="preserve"> 4.4)</w:t>
      </w:r>
      <w:r w:rsidR="007233C5">
        <w:rPr>
          <w:sz w:val="22"/>
          <w:szCs w:val="22"/>
          <w:lang w:val="sr-Latn-CS"/>
        </w:rPr>
        <w:t>.</w:t>
      </w:r>
    </w:p>
    <w:p w14:paraId="7E7F1585" w14:textId="77777777" w:rsidR="007233C5" w:rsidRPr="00914B67" w:rsidRDefault="007233C5" w:rsidP="00AB1FCF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</w:p>
    <w:p w14:paraId="51573F18" w14:textId="77777777" w:rsidR="00914B67" w:rsidRPr="00914B67" w:rsidRDefault="00914B67" w:rsidP="00AB1FCF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  <w:r w:rsidRPr="00914B67">
        <w:rPr>
          <w:i/>
          <w:sz w:val="22"/>
          <w:szCs w:val="22"/>
          <w:lang w:val="sr-Latn-CS"/>
        </w:rPr>
        <w:t>Soli litijuma:</w:t>
      </w:r>
      <w:r w:rsidRPr="00914B67">
        <w:rPr>
          <w:sz w:val="22"/>
          <w:szCs w:val="22"/>
          <w:lang w:val="sr-Latn-CS"/>
        </w:rPr>
        <w:t xml:space="preserve"> </w:t>
      </w:r>
    </w:p>
    <w:p w14:paraId="1B1C654C" w14:textId="33C51974" w:rsidR="00914B67" w:rsidRDefault="00914B67" w:rsidP="00AB1FCF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  <w:r w:rsidRPr="00914B67">
        <w:rPr>
          <w:sz w:val="22"/>
          <w:szCs w:val="22"/>
          <w:lang w:val="sr-Latn-CS"/>
        </w:rPr>
        <w:t>ACE inhibitori mogu da smanje izlučivanje litijuma, pa se stoga može povećati toksično dejstvo. Koncentracija litijuma se mora redovno pratiti.</w:t>
      </w:r>
    </w:p>
    <w:p w14:paraId="2B6E4990" w14:textId="77777777" w:rsidR="007233C5" w:rsidRPr="00914B67" w:rsidRDefault="007233C5" w:rsidP="00AB1FCF">
      <w:pPr>
        <w:pStyle w:val="Header"/>
        <w:tabs>
          <w:tab w:val="left" w:pos="0"/>
        </w:tabs>
        <w:jc w:val="both"/>
        <w:rPr>
          <w:i/>
          <w:sz w:val="22"/>
          <w:szCs w:val="22"/>
          <w:lang w:val="sr-Latn-CS"/>
        </w:rPr>
      </w:pPr>
    </w:p>
    <w:p w14:paraId="2B66C577" w14:textId="77777777" w:rsidR="00914B67" w:rsidRPr="00914B67" w:rsidRDefault="00914B67" w:rsidP="00AB1FCF">
      <w:pPr>
        <w:pStyle w:val="Header"/>
        <w:tabs>
          <w:tab w:val="left" w:pos="0"/>
        </w:tabs>
        <w:jc w:val="both"/>
        <w:rPr>
          <w:i/>
          <w:sz w:val="22"/>
          <w:szCs w:val="22"/>
          <w:lang w:val="sr-Latn-CS"/>
        </w:rPr>
      </w:pPr>
      <w:r w:rsidRPr="00914B67">
        <w:rPr>
          <w:i/>
          <w:sz w:val="22"/>
          <w:szCs w:val="22"/>
          <w:lang w:val="sr-Latn-CS"/>
        </w:rPr>
        <w:t>Antidijabetici uključujući insulin:</w:t>
      </w:r>
    </w:p>
    <w:p w14:paraId="20B22A31" w14:textId="3649423C" w:rsidR="00914B67" w:rsidRDefault="00914B67" w:rsidP="00AB1FCF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  <w:r w:rsidRPr="00914B67">
        <w:rPr>
          <w:iCs/>
          <w:sz w:val="22"/>
          <w:szCs w:val="22"/>
          <w:lang w:val="sr-Latn-CS"/>
        </w:rPr>
        <w:t>Mo</w:t>
      </w:r>
      <w:r w:rsidRPr="00914B67">
        <w:rPr>
          <w:sz w:val="22"/>
          <w:szCs w:val="22"/>
          <w:lang w:val="sr-Latn-CS"/>
        </w:rPr>
        <w:t>guće su hipoglikemijske reakcije. Preporučuje se praćenje glukoze u krvi.</w:t>
      </w:r>
    </w:p>
    <w:p w14:paraId="337EB637" w14:textId="77777777" w:rsidR="007233C5" w:rsidRPr="00914B67" w:rsidRDefault="007233C5" w:rsidP="00AB1FCF">
      <w:pPr>
        <w:pStyle w:val="Header"/>
        <w:tabs>
          <w:tab w:val="left" w:pos="0"/>
        </w:tabs>
        <w:jc w:val="both"/>
        <w:rPr>
          <w:i/>
          <w:sz w:val="22"/>
          <w:szCs w:val="22"/>
          <w:lang w:val="sr-Latn-CS"/>
        </w:rPr>
      </w:pPr>
    </w:p>
    <w:p w14:paraId="6E0969F9" w14:textId="58316D75" w:rsidR="00914B67" w:rsidRPr="00914B67" w:rsidRDefault="00914B67" w:rsidP="00AB1FCF">
      <w:pPr>
        <w:pStyle w:val="Header"/>
        <w:tabs>
          <w:tab w:val="left" w:pos="0"/>
        </w:tabs>
        <w:jc w:val="both"/>
        <w:rPr>
          <w:i/>
          <w:sz w:val="22"/>
          <w:szCs w:val="22"/>
          <w:lang w:val="sr-Latn-CS"/>
        </w:rPr>
      </w:pPr>
      <w:r w:rsidRPr="00914B67">
        <w:rPr>
          <w:i/>
          <w:sz w:val="22"/>
          <w:szCs w:val="22"/>
          <w:lang w:val="sr-Latn-CS"/>
        </w:rPr>
        <w:t xml:space="preserve">Nesteroidni antiinflamatorni </w:t>
      </w:r>
      <w:r w:rsidR="00136F13">
        <w:rPr>
          <w:i/>
          <w:sz w:val="22"/>
          <w:szCs w:val="22"/>
          <w:lang w:val="sr-Latn-CS"/>
        </w:rPr>
        <w:t>ljekovi</w:t>
      </w:r>
      <w:r w:rsidRPr="00914B67">
        <w:rPr>
          <w:i/>
          <w:sz w:val="22"/>
          <w:szCs w:val="22"/>
          <w:lang w:val="sr-Latn-CS"/>
        </w:rPr>
        <w:t xml:space="preserve"> i acetilsalicilna kiselina: </w:t>
      </w:r>
    </w:p>
    <w:p w14:paraId="7A335CEE" w14:textId="45C790D0" w:rsidR="00914B67" w:rsidRDefault="00914B67" w:rsidP="00AB1FCF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  <w:r w:rsidRPr="00914B67">
        <w:rPr>
          <w:sz w:val="22"/>
          <w:szCs w:val="22"/>
          <w:lang w:val="sr-Latn-CS"/>
        </w:rPr>
        <w:t xml:space="preserve">Može se očekivati slabljenje antihipertenzivnog dejstva </w:t>
      </w:r>
      <w:r w:rsidR="00136F13">
        <w:rPr>
          <w:sz w:val="22"/>
          <w:szCs w:val="22"/>
          <w:lang w:val="sr-Latn-CS"/>
        </w:rPr>
        <w:t>lijek</w:t>
      </w:r>
      <w:r w:rsidRPr="00914B67">
        <w:rPr>
          <w:sz w:val="22"/>
          <w:szCs w:val="22"/>
          <w:lang w:val="sr-Latn-CS"/>
        </w:rPr>
        <w:t xml:space="preserve">a Prilinda. Pored toga, </w:t>
      </w:r>
      <w:r w:rsidR="00136F13">
        <w:rPr>
          <w:sz w:val="22"/>
          <w:szCs w:val="22"/>
          <w:lang w:val="sr-Latn-CS"/>
        </w:rPr>
        <w:t>istovremena</w:t>
      </w:r>
      <w:r w:rsidRPr="00914B67">
        <w:rPr>
          <w:sz w:val="22"/>
          <w:szCs w:val="22"/>
          <w:lang w:val="sr-Latn-CS"/>
        </w:rPr>
        <w:t xml:space="preserve"> </w:t>
      </w:r>
      <w:r w:rsidR="00136F13">
        <w:rPr>
          <w:sz w:val="22"/>
          <w:szCs w:val="22"/>
          <w:lang w:val="sr-Latn-CS"/>
        </w:rPr>
        <w:t>primjena</w:t>
      </w:r>
      <w:r w:rsidRPr="00914B67">
        <w:rPr>
          <w:sz w:val="22"/>
          <w:szCs w:val="22"/>
          <w:lang w:val="sr-Latn-CS"/>
        </w:rPr>
        <w:t xml:space="preserve"> ACE inhibitora i nesteroidnih antiinflamatornih </w:t>
      </w:r>
      <w:r w:rsidR="00136F13">
        <w:rPr>
          <w:sz w:val="22"/>
          <w:szCs w:val="22"/>
          <w:lang w:val="sr-Latn-CS"/>
        </w:rPr>
        <w:t>lijek</w:t>
      </w:r>
      <w:r w:rsidRPr="00914B67">
        <w:rPr>
          <w:sz w:val="22"/>
          <w:szCs w:val="22"/>
          <w:lang w:val="sr-Latn-CS"/>
        </w:rPr>
        <w:t>ova (NSAIL) može povećati rizik od daljeg pogoršanja bubrežne funkcije i povećanja kal</w:t>
      </w:r>
      <w:r w:rsidR="007233C5">
        <w:rPr>
          <w:sz w:val="22"/>
          <w:szCs w:val="22"/>
          <w:lang w:val="sr-Latn-CS"/>
        </w:rPr>
        <w:t>ij</w:t>
      </w:r>
      <w:r w:rsidRPr="00914B67">
        <w:rPr>
          <w:sz w:val="22"/>
          <w:szCs w:val="22"/>
          <w:lang w:val="sr-Latn-CS"/>
        </w:rPr>
        <w:t>emije.</w:t>
      </w:r>
    </w:p>
    <w:p w14:paraId="5E6884C1" w14:textId="77777777" w:rsidR="007233C5" w:rsidRPr="00914B67" w:rsidRDefault="007233C5" w:rsidP="00AB1FCF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</w:p>
    <w:p w14:paraId="1F8110D2" w14:textId="08672017" w:rsidR="00914B67" w:rsidRPr="00914B67" w:rsidRDefault="00136F13" w:rsidP="00AB1FCF">
      <w:pPr>
        <w:pStyle w:val="Header"/>
        <w:tabs>
          <w:tab w:val="left" w:pos="0"/>
        </w:tabs>
        <w:jc w:val="both"/>
        <w:rPr>
          <w:sz w:val="22"/>
          <w:szCs w:val="22"/>
          <w:u w:val="single"/>
          <w:lang w:val="sr-Latn-CS"/>
        </w:rPr>
      </w:pPr>
      <w:r>
        <w:rPr>
          <w:sz w:val="22"/>
          <w:szCs w:val="22"/>
          <w:u w:val="single"/>
          <w:lang w:val="sr-Latn-CS"/>
        </w:rPr>
        <w:t>Ljekovi</w:t>
      </w:r>
      <w:r w:rsidR="00914B67" w:rsidRPr="00914B67">
        <w:rPr>
          <w:sz w:val="22"/>
          <w:szCs w:val="22"/>
          <w:u w:val="single"/>
          <w:lang w:val="sr-Latn-CS"/>
        </w:rPr>
        <w:t xml:space="preserve"> koji povećavaju rizik od angioedema</w:t>
      </w:r>
    </w:p>
    <w:p w14:paraId="356F1398" w14:textId="61AE182E" w:rsidR="00914B67" w:rsidRPr="00914B67" w:rsidRDefault="00914B67" w:rsidP="00AB1FCF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  <w:r w:rsidRPr="00914B67">
        <w:rPr>
          <w:sz w:val="22"/>
          <w:szCs w:val="22"/>
          <w:lang w:val="sr-Latn-CS"/>
        </w:rPr>
        <w:t xml:space="preserve">Kontraindikovana je </w:t>
      </w:r>
      <w:r w:rsidR="00136F13">
        <w:rPr>
          <w:sz w:val="22"/>
          <w:szCs w:val="22"/>
          <w:lang w:val="sr-Latn-CS"/>
        </w:rPr>
        <w:t>istovremena</w:t>
      </w:r>
      <w:r w:rsidRPr="00914B67">
        <w:rPr>
          <w:sz w:val="22"/>
          <w:szCs w:val="22"/>
          <w:lang w:val="sr-Latn-CS"/>
        </w:rPr>
        <w:t xml:space="preserve"> </w:t>
      </w:r>
      <w:r w:rsidR="00136F13">
        <w:rPr>
          <w:sz w:val="22"/>
          <w:szCs w:val="22"/>
          <w:lang w:val="sr-Latn-CS"/>
        </w:rPr>
        <w:t>primjena</w:t>
      </w:r>
      <w:r w:rsidRPr="00914B67">
        <w:rPr>
          <w:sz w:val="22"/>
          <w:szCs w:val="22"/>
          <w:lang w:val="sr-Latn-CS"/>
        </w:rPr>
        <w:t xml:space="preserve"> ramiprila sa kombinacijom sakubitril/valsartan zbog povećanog rizika od nastanka angioedema (</w:t>
      </w:r>
      <w:r w:rsidR="007233C5">
        <w:rPr>
          <w:sz w:val="22"/>
          <w:szCs w:val="22"/>
          <w:lang w:val="sr-Latn-CS"/>
        </w:rPr>
        <w:t xml:space="preserve">vidjeti </w:t>
      </w:r>
      <w:r w:rsidR="00136F13">
        <w:rPr>
          <w:sz w:val="22"/>
          <w:szCs w:val="22"/>
          <w:lang w:val="sr-Latn-CS"/>
        </w:rPr>
        <w:t>d</w:t>
      </w:r>
      <w:r w:rsidR="007233C5">
        <w:rPr>
          <w:sz w:val="22"/>
          <w:szCs w:val="22"/>
          <w:lang w:val="sr-Latn-CS"/>
        </w:rPr>
        <w:t>jelove</w:t>
      </w:r>
      <w:r w:rsidRPr="00914B67">
        <w:rPr>
          <w:sz w:val="22"/>
          <w:szCs w:val="22"/>
          <w:lang w:val="sr-Latn-CS"/>
        </w:rPr>
        <w:t xml:space="preserve"> 4.3 i 4.4).</w:t>
      </w:r>
    </w:p>
    <w:p w14:paraId="014F76C1" w14:textId="6EE2865B" w:rsidR="00914B67" w:rsidRPr="00914B67" w:rsidRDefault="00914B67" w:rsidP="00AB1FCF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  <w:r w:rsidRPr="00914B67">
        <w:rPr>
          <w:sz w:val="22"/>
          <w:szCs w:val="22"/>
          <w:lang w:val="sr-Latn-CS"/>
        </w:rPr>
        <w:t xml:space="preserve">Pacijenti koji u isto </w:t>
      </w:r>
      <w:r w:rsidR="00136F13">
        <w:rPr>
          <w:sz w:val="22"/>
          <w:szCs w:val="22"/>
          <w:lang w:val="sr-Latn-CS"/>
        </w:rPr>
        <w:t>vrijeme</w:t>
      </w:r>
      <w:r w:rsidRPr="00914B67">
        <w:rPr>
          <w:sz w:val="22"/>
          <w:szCs w:val="22"/>
          <w:lang w:val="sr-Latn-CS"/>
        </w:rPr>
        <w:t xml:space="preserve"> uzimaju racekadotril, mTOR inhibitore (npr. sirolimus, everolimus, temsirolimus) i vildagliptin imaju veći rizik od nastanka angioedema (</w:t>
      </w:r>
      <w:r w:rsidR="007233C5">
        <w:rPr>
          <w:sz w:val="22"/>
          <w:szCs w:val="22"/>
          <w:lang w:val="sr-Latn-CS"/>
        </w:rPr>
        <w:t xml:space="preserve">vidjeti </w:t>
      </w:r>
      <w:r w:rsidR="00136F13">
        <w:rPr>
          <w:sz w:val="22"/>
          <w:szCs w:val="22"/>
          <w:lang w:val="sr-Latn-CS"/>
        </w:rPr>
        <w:t>dio</w:t>
      </w:r>
      <w:r w:rsidRPr="00914B67">
        <w:rPr>
          <w:sz w:val="22"/>
          <w:szCs w:val="22"/>
          <w:lang w:val="sr-Latn-CS"/>
        </w:rPr>
        <w:t xml:space="preserve"> 4.4).</w:t>
      </w:r>
    </w:p>
    <w:p w14:paraId="608B76FE" w14:textId="77777777" w:rsidR="00914B67" w:rsidRPr="00914B67" w:rsidRDefault="00914B67" w:rsidP="00110E22">
      <w:pPr>
        <w:jc w:val="both"/>
        <w:rPr>
          <w:bCs/>
          <w:iCs/>
          <w:sz w:val="22"/>
          <w:szCs w:val="22"/>
          <w:lang w:val="sr-Latn-CS"/>
        </w:rPr>
      </w:pPr>
    </w:p>
    <w:p w14:paraId="6160E6E8" w14:textId="0349559C" w:rsidR="00914B67" w:rsidRPr="00914B67" w:rsidRDefault="00914B67">
      <w:pPr>
        <w:jc w:val="both"/>
        <w:rPr>
          <w:bCs/>
          <w:iCs/>
          <w:sz w:val="22"/>
          <w:szCs w:val="22"/>
          <w:lang w:val="sr-Latn-CS"/>
        </w:rPr>
      </w:pPr>
      <w:r w:rsidRPr="00914B67">
        <w:rPr>
          <w:bCs/>
          <w:iCs/>
          <w:sz w:val="22"/>
          <w:szCs w:val="22"/>
          <w:lang w:val="sr-Latn-CS"/>
        </w:rPr>
        <w:t xml:space="preserve">Potencijalno povećan rizik od pojave angioedema prijavljen je kod </w:t>
      </w:r>
      <w:r w:rsidR="00136F13">
        <w:rPr>
          <w:bCs/>
          <w:iCs/>
          <w:sz w:val="22"/>
          <w:szCs w:val="22"/>
          <w:lang w:val="sr-Latn-CS"/>
        </w:rPr>
        <w:t>istovremene</w:t>
      </w:r>
      <w:r w:rsidRPr="00914B67">
        <w:rPr>
          <w:bCs/>
          <w:iCs/>
          <w:sz w:val="22"/>
          <w:szCs w:val="22"/>
          <w:lang w:val="sr-Latn-CS"/>
        </w:rPr>
        <w:t xml:space="preserve"> upotrebe ACE inhibitora i NEP inhibitora kao što je racekadotril (</w:t>
      </w:r>
      <w:r w:rsidR="007233C5">
        <w:rPr>
          <w:bCs/>
          <w:iCs/>
          <w:sz w:val="22"/>
          <w:szCs w:val="22"/>
          <w:lang w:val="sr-Latn-CS"/>
        </w:rPr>
        <w:t xml:space="preserve">vidjeti </w:t>
      </w:r>
      <w:r w:rsidR="00136F13">
        <w:rPr>
          <w:bCs/>
          <w:iCs/>
          <w:sz w:val="22"/>
          <w:szCs w:val="22"/>
          <w:lang w:val="sr-Latn-CS"/>
        </w:rPr>
        <w:t>dio</w:t>
      </w:r>
      <w:r w:rsidRPr="00914B67">
        <w:rPr>
          <w:bCs/>
          <w:iCs/>
          <w:sz w:val="22"/>
          <w:szCs w:val="22"/>
          <w:lang w:val="sr-Latn-CS"/>
        </w:rPr>
        <w:t xml:space="preserve"> 4.4)</w:t>
      </w:r>
      <w:r>
        <w:rPr>
          <w:bCs/>
          <w:iCs/>
          <w:sz w:val="22"/>
          <w:szCs w:val="22"/>
          <w:lang w:val="sr-Latn-CS"/>
        </w:rPr>
        <w:t>.</w:t>
      </w:r>
    </w:p>
    <w:p w14:paraId="5D874884" w14:textId="77777777" w:rsidR="00914B67" w:rsidRPr="00914B67" w:rsidRDefault="00914B67">
      <w:pPr>
        <w:jc w:val="both"/>
        <w:rPr>
          <w:bCs/>
          <w:iCs/>
          <w:color w:val="FF0000"/>
          <w:sz w:val="22"/>
          <w:szCs w:val="22"/>
          <w:lang w:val="sr-Latn-CS"/>
        </w:rPr>
      </w:pPr>
    </w:p>
    <w:p w14:paraId="29F5E1EC" w14:textId="77777777" w:rsidR="00914B67" w:rsidRPr="00CC39D0" w:rsidRDefault="00914B67">
      <w:pPr>
        <w:tabs>
          <w:tab w:val="left" w:pos="1080"/>
        </w:tabs>
        <w:rPr>
          <w:sz w:val="22"/>
          <w:szCs w:val="22"/>
          <w:u w:val="single"/>
          <w:lang w:val="sr-Latn-CS"/>
        </w:rPr>
      </w:pPr>
      <w:r w:rsidRPr="00CC39D0">
        <w:rPr>
          <w:sz w:val="22"/>
          <w:szCs w:val="22"/>
          <w:u w:val="single"/>
        </w:rPr>
        <w:t>Diuretici</w:t>
      </w:r>
      <w:r w:rsidRPr="00CC39D0">
        <w:rPr>
          <w:sz w:val="22"/>
          <w:szCs w:val="22"/>
          <w:u w:val="single"/>
          <w:lang w:val="sr-Latn-CS"/>
        </w:rPr>
        <w:t xml:space="preserve"> </w:t>
      </w:r>
      <w:r w:rsidRPr="00CC39D0">
        <w:rPr>
          <w:sz w:val="22"/>
          <w:szCs w:val="22"/>
          <w:u w:val="single"/>
        </w:rPr>
        <w:t>koji</w:t>
      </w:r>
      <w:r w:rsidRPr="00CC39D0">
        <w:rPr>
          <w:sz w:val="22"/>
          <w:szCs w:val="22"/>
          <w:u w:val="single"/>
          <w:lang w:val="sr-Latn-CS"/>
        </w:rPr>
        <w:t xml:space="preserve"> š</w:t>
      </w:r>
      <w:r w:rsidRPr="00CC39D0">
        <w:rPr>
          <w:sz w:val="22"/>
          <w:szCs w:val="22"/>
          <w:u w:val="single"/>
        </w:rPr>
        <w:t>tede</w:t>
      </w:r>
      <w:r w:rsidRPr="00CC39D0">
        <w:rPr>
          <w:sz w:val="22"/>
          <w:szCs w:val="22"/>
          <w:u w:val="single"/>
          <w:lang w:val="sr-Latn-CS"/>
        </w:rPr>
        <w:t xml:space="preserve"> </w:t>
      </w:r>
      <w:r w:rsidRPr="00CC39D0">
        <w:rPr>
          <w:sz w:val="22"/>
          <w:szCs w:val="22"/>
          <w:u w:val="single"/>
        </w:rPr>
        <w:t>kalijum</w:t>
      </w:r>
      <w:r w:rsidRPr="00CC39D0">
        <w:rPr>
          <w:sz w:val="22"/>
          <w:szCs w:val="22"/>
          <w:u w:val="single"/>
          <w:lang w:val="sr-Latn-CS"/>
        </w:rPr>
        <w:t xml:space="preserve">, </w:t>
      </w:r>
      <w:r w:rsidRPr="00CC39D0">
        <w:rPr>
          <w:sz w:val="22"/>
          <w:szCs w:val="22"/>
          <w:u w:val="single"/>
        </w:rPr>
        <w:t>suplementi</w:t>
      </w:r>
      <w:r w:rsidRPr="00CC39D0">
        <w:rPr>
          <w:sz w:val="22"/>
          <w:szCs w:val="22"/>
          <w:u w:val="single"/>
          <w:lang w:val="sr-Latn-CS"/>
        </w:rPr>
        <w:t xml:space="preserve"> </w:t>
      </w:r>
      <w:r w:rsidRPr="00CC39D0">
        <w:rPr>
          <w:sz w:val="22"/>
          <w:szCs w:val="22"/>
          <w:u w:val="single"/>
        </w:rPr>
        <w:t>kalijuma</w:t>
      </w:r>
      <w:r w:rsidRPr="00CC39D0">
        <w:rPr>
          <w:sz w:val="22"/>
          <w:szCs w:val="22"/>
          <w:u w:val="single"/>
          <w:lang w:val="sr-Latn-CS"/>
        </w:rPr>
        <w:t xml:space="preserve"> </w:t>
      </w:r>
      <w:r w:rsidRPr="00CC39D0">
        <w:rPr>
          <w:sz w:val="22"/>
          <w:szCs w:val="22"/>
          <w:u w:val="single"/>
        </w:rPr>
        <w:t>i</w:t>
      </w:r>
      <w:r w:rsidRPr="00CC39D0">
        <w:rPr>
          <w:sz w:val="22"/>
          <w:szCs w:val="22"/>
          <w:u w:val="single"/>
          <w:lang w:val="sr-Latn-CS"/>
        </w:rPr>
        <w:t xml:space="preserve"> </w:t>
      </w:r>
      <w:r w:rsidRPr="00CC39D0">
        <w:rPr>
          <w:sz w:val="22"/>
          <w:szCs w:val="22"/>
          <w:u w:val="single"/>
        </w:rPr>
        <w:t>soli</w:t>
      </w:r>
      <w:r w:rsidRPr="00CC39D0">
        <w:rPr>
          <w:sz w:val="22"/>
          <w:szCs w:val="22"/>
          <w:u w:val="single"/>
          <w:lang w:val="sr-Latn-CS"/>
        </w:rPr>
        <w:t xml:space="preserve"> </w:t>
      </w:r>
      <w:r w:rsidRPr="00CC39D0">
        <w:rPr>
          <w:sz w:val="22"/>
          <w:szCs w:val="22"/>
          <w:u w:val="single"/>
        </w:rPr>
        <w:t>koje</w:t>
      </w:r>
      <w:r w:rsidRPr="00CC39D0">
        <w:rPr>
          <w:sz w:val="22"/>
          <w:szCs w:val="22"/>
          <w:u w:val="single"/>
          <w:lang w:val="sr-Latn-CS"/>
        </w:rPr>
        <w:t xml:space="preserve"> </w:t>
      </w:r>
      <w:r w:rsidRPr="00CC39D0">
        <w:rPr>
          <w:sz w:val="22"/>
          <w:szCs w:val="22"/>
          <w:u w:val="single"/>
        </w:rPr>
        <w:t>sadr</w:t>
      </w:r>
      <w:r w:rsidRPr="00CC39D0">
        <w:rPr>
          <w:sz w:val="22"/>
          <w:szCs w:val="22"/>
          <w:u w:val="single"/>
          <w:lang w:val="sr-Latn-CS"/>
        </w:rPr>
        <w:t>ž</w:t>
      </w:r>
      <w:r w:rsidRPr="00CC39D0">
        <w:rPr>
          <w:sz w:val="22"/>
          <w:szCs w:val="22"/>
          <w:u w:val="single"/>
        </w:rPr>
        <w:t>e</w:t>
      </w:r>
      <w:r w:rsidRPr="00CC39D0">
        <w:rPr>
          <w:sz w:val="22"/>
          <w:szCs w:val="22"/>
          <w:u w:val="single"/>
          <w:lang w:val="sr-Latn-CS"/>
        </w:rPr>
        <w:t xml:space="preserve"> </w:t>
      </w:r>
      <w:r w:rsidRPr="00CC39D0">
        <w:rPr>
          <w:sz w:val="22"/>
          <w:szCs w:val="22"/>
          <w:u w:val="single"/>
        </w:rPr>
        <w:t>kalijum</w:t>
      </w:r>
      <w:r w:rsidRPr="00CC39D0">
        <w:rPr>
          <w:sz w:val="22"/>
          <w:szCs w:val="22"/>
          <w:u w:val="single"/>
          <w:lang w:val="sr-Latn-CS"/>
        </w:rPr>
        <w:t xml:space="preserve"> </w:t>
      </w:r>
    </w:p>
    <w:p w14:paraId="58E8D8C6" w14:textId="59676CF3" w:rsidR="00914B67" w:rsidRPr="00CC39D0" w:rsidRDefault="00914B67">
      <w:pPr>
        <w:tabs>
          <w:tab w:val="left" w:pos="1080"/>
        </w:tabs>
        <w:jc w:val="both"/>
        <w:rPr>
          <w:sz w:val="22"/>
          <w:szCs w:val="22"/>
          <w:lang w:val="it-IT"/>
        </w:rPr>
      </w:pPr>
      <w:r w:rsidRPr="00CC39D0">
        <w:rPr>
          <w:sz w:val="22"/>
          <w:szCs w:val="22"/>
        </w:rPr>
        <w:t>Iako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vr</w:t>
      </w:r>
      <w:r w:rsidR="007233C5">
        <w:rPr>
          <w:sz w:val="22"/>
          <w:szCs w:val="22"/>
        </w:rPr>
        <w:t>ij</w:t>
      </w:r>
      <w:r w:rsidRPr="00CC39D0">
        <w:rPr>
          <w:sz w:val="22"/>
          <w:szCs w:val="22"/>
        </w:rPr>
        <w:t>ednosti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kalijuma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obi</w:t>
      </w:r>
      <w:r w:rsidRPr="00CC39D0">
        <w:rPr>
          <w:sz w:val="22"/>
          <w:szCs w:val="22"/>
          <w:lang w:val="sr-Latn-CS"/>
        </w:rPr>
        <w:t>č</w:t>
      </w:r>
      <w:r w:rsidRPr="00CC39D0">
        <w:rPr>
          <w:sz w:val="22"/>
          <w:szCs w:val="22"/>
        </w:rPr>
        <w:t>no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ostaju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unutar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normalnog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opsega</w:t>
      </w:r>
      <w:r w:rsidRPr="00CC39D0">
        <w:rPr>
          <w:sz w:val="22"/>
          <w:szCs w:val="22"/>
          <w:lang w:val="sr-Latn-CS"/>
        </w:rPr>
        <w:t xml:space="preserve">, </w:t>
      </w:r>
      <w:r w:rsidRPr="00CC39D0">
        <w:rPr>
          <w:sz w:val="22"/>
          <w:szCs w:val="22"/>
        </w:rPr>
        <w:t>kod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nekih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pacijenata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koji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primaju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ramipril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mo</w:t>
      </w:r>
      <w:r w:rsidRPr="00CC39D0">
        <w:rPr>
          <w:sz w:val="22"/>
          <w:szCs w:val="22"/>
          <w:lang w:val="sr-Latn-CS"/>
        </w:rPr>
        <w:t>ž</w:t>
      </w:r>
      <w:r w:rsidRPr="00CC39D0">
        <w:rPr>
          <w:sz w:val="22"/>
          <w:szCs w:val="22"/>
        </w:rPr>
        <w:t>e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do</w:t>
      </w:r>
      <w:r w:rsidRPr="00CC39D0">
        <w:rPr>
          <w:sz w:val="22"/>
          <w:szCs w:val="22"/>
          <w:lang w:val="sr-Latn-CS"/>
        </w:rPr>
        <w:t>ć</w:t>
      </w:r>
      <w:r w:rsidRPr="00CC39D0">
        <w:rPr>
          <w:sz w:val="22"/>
          <w:szCs w:val="22"/>
        </w:rPr>
        <w:t>i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do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hiperkal</w:t>
      </w:r>
      <w:r w:rsidR="007233C5">
        <w:rPr>
          <w:sz w:val="22"/>
          <w:szCs w:val="22"/>
        </w:rPr>
        <w:t>ij</w:t>
      </w:r>
      <w:r w:rsidRPr="00CC39D0">
        <w:rPr>
          <w:sz w:val="22"/>
          <w:szCs w:val="22"/>
        </w:rPr>
        <w:t>emije</w:t>
      </w:r>
      <w:r w:rsidRPr="00CC39D0">
        <w:rPr>
          <w:sz w:val="22"/>
          <w:szCs w:val="22"/>
          <w:lang w:val="sr-Latn-CS"/>
        </w:rPr>
        <w:t xml:space="preserve">. </w:t>
      </w:r>
      <w:r w:rsidRPr="00CC39D0">
        <w:rPr>
          <w:sz w:val="22"/>
          <w:szCs w:val="22"/>
        </w:rPr>
        <w:t>Diuretici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koji</w:t>
      </w:r>
      <w:r w:rsidRPr="00CC39D0">
        <w:rPr>
          <w:sz w:val="22"/>
          <w:szCs w:val="22"/>
          <w:lang w:val="sr-Latn-CS"/>
        </w:rPr>
        <w:t xml:space="preserve"> š</w:t>
      </w:r>
      <w:r w:rsidRPr="00CC39D0">
        <w:rPr>
          <w:sz w:val="22"/>
          <w:szCs w:val="22"/>
        </w:rPr>
        <w:t>tede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kalijum</w:t>
      </w:r>
      <w:r w:rsidRPr="00CC39D0">
        <w:rPr>
          <w:sz w:val="22"/>
          <w:szCs w:val="22"/>
          <w:lang w:val="sr-Latn-CS"/>
        </w:rPr>
        <w:t xml:space="preserve"> (</w:t>
      </w:r>
      <w:r w:rsidRPr="00CC39D0">
        <w:rPr>
          <w:sz w:val="22"/>
          <w:szCs w:val="22"/>
        </w:rPr>
        <w:t>npr</w:t>
      </w:r>
      <w:r w:rsidRPr="00CC39D0">
        <w:rPr>
          <w:sz w:val="22"/>
          <w:szCs w:val="22"/>
          <w:lang w:val="sr-Latn-CS"/>
        </w:rPr>
        <w:t xml:space="preserve">. </w:t>
      </w:r>
      <w:r w:rsidRPr="00CC39D0">
        <w:rPr>
          <w:sz w:val="22"/>
          <w:szCs w:val="22"/>
        </w:rPr>
        <w:t>spironolakton</w:t>
      </w:r>
      <w:r w:rsidRPr="00CC39D0">
        <w:rPr>
          <w:sz w:val="22"/>
          <w:szCs w:val="22"/>
          <w:lang w:val="sr-Latn-CS"/>
        </w:rPr>
        <w:t xml:space="preserve">, </w:t>
      </w:r>
      <w:r w:rsidRPr="00CC39D0">
        <w:rPr>
          <w:sz w:val="22"/>
          <w:szCs w:val="22"/>
        </w:rPr>
        <w:t>triamteren</w:t>
      </w:r>
      <w:r w:rsidRPr="00CC39D0">
        <w:rPr>
          <w:sz w:val="22"/>
          <w:szCs w:val="22"/>
          <w:lang w:val="sr-Latn-CS"/>
        </w:rPr>
        <w:t xml:space="preserve"> </w:t>
      </w:r>
      <w:proofErr w:type="gramStart"/>
      <w:r w:rsidRPr="00CC39D0">
        <w:rPr>
          <w:sz w:val="22"/>
          <w:szCs w:val="22"/>
        </w:rPr>
        <w:t>ili</w:t>
      </w:r>
      <w:proofErr w:type="gramEnd"/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amilorid</w:t>
      </w:r>
      <w:r w:rsidRPr="00CC39D0">
        <w:rPr>
          <w:sz w:val="22"/>
          <w:szCs w:val="22"/>
          <w:lang w:val="sr-Latn-CS"/>
        </w:rPr>
        <w:t xml:space="preserve">), </w:t>
      </w:r>
      <w:r w:rsidRPr="00CC39D0">
        <w:rPr>
          <w:sz w:val="22"/>
          <w:szCs w:val="22"/>
        </w:rPr>
        <w:t>suplementi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kalijuma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ili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soli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koje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sadr</w:t>
      </w:r>
      <w:r w:rsidRPr="00CC39D0">
        <w:rPr>
          <w:sz w:val="22"/>
          <w:szCs w:val="22"/>
          <w:lang w:val="sr-Latn-CS"/>
        </w:rPr>
        <w:t>ž</w:t>
      </w:r>
      <w:r w:rsidRPr="00CC39D0">
        <w:rPr>
          <w:sz w:val="22"/>
          <w:szCs w:val="22"/>
        </w:rPr>
        <w:t>e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kalijum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mogu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u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zna</w:t>
      </w:r>
      <w:r w:rsidRPr="00CC39D0">
        <w:rPr>
          <w:sz w:val="22"/>
          <w:szCs w:val="22"/>
          <w:lang w:val="sr-Latn-CS"/>
        </w:rPr>
        <w:t>č</w:t>
      </w:r>
      <w:r w:rsidRPr="00CC39D0">
        <w:rPr>
          <w:sz w:val="22"/>
          <w:szCs w:val="22"/>
        </w:rPr>
        <w:t>ajnoj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m</w:t>
      </w:r>
      <w:r w:rsidR="00136F13" w:rsidRPr="00CC39D0">
        <w:rPr>
          <w:sz w:val="22"/>
          <w:szCs w:val="22"/>
        </w:rPr>
        <w:t>j</w:t>
      </w:r>
      <w:r w:rsidRPr="00CC39D0">
        <w:rPr>
          <w:sz w:val="22"/>
          <w:szCs w:val="22"/>
        </w:rPr>
        <w:t>eri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da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pove</w:t>
      </w:r>
      <w:r w:rsidRPr="00CC39D0">
        <w:rPr>
          <w:sz w:val="22"/>
          <w:szCs w:val="22"/>
          <w:lang w:val="sr-Latn-CS"/>
        </w:rPr>
        <w:t>ć</w:t>
      </w:r>
      <w:r w:rsidRPr="00CC39D0">
        <w:rPr>
          <w:sz w:val="22"/>
          <w:szCs w:val="22"/>
        </w:rPr>
        <w:t>aju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koncentracije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kalijuma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u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serumu</w:t>
      </w:r>
      <w:r w:rsidRPr="00CC39D0">
        <w:rPr>
          <w:sz w:val="22"/>
          <w:szCs w:val="22"/>
          <w:lang w:val="sr-Latn-CS"/>
        </w:rPr>
        <w:t xml:space="preserve">. </w:t>
      </w:r>
      <w:r w:rsidRPr="00CC39D0">
        <w:rPr>
          <w:sz w:val="22"/>
          <w:szCs w:val="22"/>
        </w:rPr>
        <w:t>Tako</w:t>
      </w:r>
      <w:r w:rsidRPr="00CC39D0">
        <w:rPr>
          <w:sz w:val="22"/>
          <w:szCs w:val="22"/>
          <w:lang w:val="sr-Latn-CS"/>
        </w:rPr>
        <w:t>đ</w:t>
      </w:r>
      <w:r w:rsidRPr="00CC39D0">
        <w:rPr>
          <w:sz w:val="22"/>
          <w:szCs w:val="22"/>
        </w:rPr>
        <w:t>e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je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potreban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oprez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kada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se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ramipril</w:t>
      </w:r>
      <w:r w:rsidRPr="00CC39D0">
        <w:rPr>
          <w:sz w:val="22"/>
          <w:szCs w:val="22"/>
          <w:lang w:val="sr-Latn-CS"/>
        </w:rPr>
        <w:t xml:space="preserve"> </w:t>
      </w:r>
      <w:r w:rsidR="00136F13" w:rsidRPr="00CC39D0">
        <w:rPr>
          <w:sz w:val="22"/>
          <w:szCs w:val="22"/>
        </w:rPr>
        <w:t>istovremeno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prim</w:t>
      </w:r>
      <w:r w:rsidR="00136F13" w:rsidRPr="00CC39D0">
        <w:rPr>
          <w:sz w:val="22"/>
          <w:szCs w:val="22"/>
        </w:rPr>
        <w:t>j</w:t>
      </w:r>
      <w:r w:rsidRPr="00CC39D0">
        <w:rPr>
          <w:sz w:val="22"/>
          <w:szCs w:val="22"/>
        </w:rPr>
        <w:t>enjuje</w:t>
      </w:r>
      <w:r w:rsidRPr="00CC39D0">
        <w:rPr>
          <w:sz w:val="22"/>
          <w:szCs w:val="22"/>
          <w:lang w:val="sr-Latn-CS"/>
        </w:rPr>
        <w:t xml:space="preserve"> </w:t>
      </w:r>
      <w:proofErr w:type="gramStart"/>
      <w:r w:rsidRPr="00CC39D0">
        <w:rPr>
          <w:sz w:val="22"/>
          <w:szCs w:val="22"/>
        </w:rPr>
        <w:t>sa</w:t>
      </w:r>
      <w:proofErr w:type="gramEnd"/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drugim</w:t>
      </w:r>
      <w:r w:rsidRPr="00CC39D0">
        <w:rPr>
          <w:sz w:val="22"/>
          <w:szCs w:val="22"/>
          <w:lang w:val="sr-Latn-CS"/>
        </w:rPr>
        <w:t xml:space="preserve"> </w:t>
      </w:r>
      <w:r w:rsidR="00136F13" w:rsidRPr="00CC39D0">
        <w:rPr>
          <w:sz w:val="22"/>
          <w:szCs w:val="22"/>
        </w:rPr>
        <w:t>ljekovi</w:t>
      </w:r>
      <w:r w:rsidRPr="00CC39D0">
        <w:rPr>
          <w:sz w:val="22"/>
          <w:szCs w:val="22"/>
        </w:rPr>
        <w:t>ma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koji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pove</w:t>
      </w:r>
      <w:r w:rsidRPr="00CC39D0">
        <w:rPr>
          <w:sz w:val="22"/>
          <w:szCs w:val="22"/>
          <w:lang w:val="sr-Latn-CS"/>
        </w:rPr>
        <w:t>ć</w:t>
      </w:r>
      <w:r w:rsidRPr="00CC39D0">
        <w:rPr>
          <w:sz w:val="22"/>
          <w:szCs w:val="22"/>
        </w:rPr>
        <w:t>avaju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koncentraciju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kalijuma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u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serumu</w:t>
      </w:r>
      <w:r w:rsidRPr="00CC39D0">
        <w:rPr>
          <w:sz w:val="22"/>
          <w:szCs w:val="22"/>
          <w:lang w:val="sr-Latn-CS"/>
        </w:rPr>
        <w:t xml:space="preserve">, </w:t>
      </w:r>
      <w:r w:rsidRPr="00CC39D0">
        <w:rPr>
          <w:sz w:val="22"/>
          <w:szCs w:val="22"/>
        </w:rPr>
        <w:t>kao</w:t>
      </w:r>
      <w:r w:rsidRPr="00CC39D0">
        <w:rPr>
          <w:sz w:val="22"/>
          <w:szCs w:val="22"/>
          <w:lang w:val="sr-Latn-CS"/>
        </w:rPr>
        <w:t xml:space="preserve"> š</w:t>
      </w:r>
      <w:r w:rsidRPr="00CC39D0">
        <w:rPr>
          <w:sz w:val="22"/>
          <w:szCs w:val="22"/>
        </w:rPr>
        <w:t>to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su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trimetoprim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i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kotrimoksazol</w:t>
      </w:r>
      <w:r w:rsidRPr="00CC39D0">
        <w:rPr>
          <w:sz w:val="22"/>
          <w:szCs w:val="22"/>
          <w:lang w:val="sr-Latn-CS"/>
        </w:rPr>
        <w:t xml:space="preserve"> (</w:t>
      </w:r>
      <w:r w:rsidRPr="00CC39D0">
        <w:rPr>
          <w:sz w:val="22"/>
          <w:szCs w:val="22"/>
        </w:rPr>
        <w:t>trimetoprim</w:t>
      </w:r>
      <w:r w:rsidRPr="00CC39D0">
        <w:rPr>
          <w:sz w:val="22"/>
          <w:szCs w:val="22"/>
          <w:lang w:val="sr-Latn-CS"/>
        </w:rPr>
        <w:t>/</w:t>
      </w:r>
      <w:r w:rsidRPr="00CC39D0">
        <w:rPr>
          <w:sz w:val="22"/>
          <w:szCs w:val="22"/>
        </w:rPr>
        <w:t>sulfametoksazol</w:t>
      </w:r>
      <w:r w:rsidRPr="00CC39D0">
        <w:rPr>
          <w:sz w:val="22"/>
          <w:szCs w:val="22"/>
          <w:lang w:val="sr-Latn-CS"/>
        </w:rPr>
        <w:t xml:space="preserve">) </w:t>
      </w:r>
      <w:r w:rsidRPr="00CC39D0">
        <w:rPr>
          <w:sz w:val="22"/>
          <w:szCs w:val="22"/>
        </w:rPr>
        <w:t>jer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je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poznato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da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trimetoprim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d</w:t>
      </w:r>
      <w:r w:rsidR="00136F13" w:rsidRPr="00CC39D0">
        <w:rPr>
          <w:sz w:val="22"/>
          <w:szCs w:val="22"/>
        </w:rPr>
        <w:t>j</w:t>
      </w:r>
      <w:r w:rsidRPr="00CC39D0">
        <w:rPr>
          <w:sz w:val="22"/>
          <w:szCs w:val="22"/>
        </w:rPr>
        <w:t>eluje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kao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diuretik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koji</w:t>
      </w:r>
      <w:r w:rsidRPr="00CC39D0">
        <w:rPr>
          <w:sz w:val="22"/>
          <w:szCs w:val="22"/>
          <w:lang w:val="sr-Latn-CS"/>
        </w:rPr>
        <w:t xml:space="preserve"> š</w:t>
      </w:r>
      <w:r w:rsidRPr="00CC39D0">
        <w:rPr>
          <w:sz w:val="22"/>
          <w:szCs w:val="22"/>
        </w:rPr>
        <w:t>tedi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kalijum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odnosno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kao</w:t>
      </w:r>
      <w:r w:rsidRPr="00CC39D0">
        <w:rPr>
          <w:sz w:val="22"/>
          <w:szCs w:val="22"/>
          <w:lang w:val="sr-Latn-CS"/>
        </w:rPr>
        <w:t xml:space="preserve"> </w:t>
      </w:r>
      <w:r w:rsidRPr="00CC39D0">
        <w:rPr>
          <w:sz w:val="22"/>
          <w:szCs w:val="22"/>
        </w:rPr>
        <w:t>amilorid</w:t>
      </w:r>
      <w:r w:rsidRPr="00CC39D0">
        <w:rPr>
          <w:sz w:val="22"/>
          <w:szCs w:val="22"/>
          <w:lang w:val="sr-Latn-CS"/>
        </w:rPr>
        <w:t xml:space="preserve">. </w:t>
      </w:r>
      <w:r w:rsidRPr="00CC39D0">
        <w:rPr>
          <w:sz w:val="22"/>
          <w:szCs w:val="22"/>
          <w:lang w:val="it-IT"/>
        </w:rPr>
        <w:t xml:space="preserve">Prema tome, ne preporučuje se kombinovana </w:t>
      </w:r>
      <w:r w:rsidR="00136F13" w:rsidRPr="00CC39D0">
        <w:rPr>
          <w:sz w:val="22"/>
          <w:szCs w:val="22"/>
          <w:lang w:val="it-IT"/>
        </w:rPr>
        <w:t>primjena</w:t>
      </w:r>
      <w:r w:rsidRPr="00CC39D0">
        <w:rPr>
          <w:sz w:val="22"/>
          <w:szCs w:val="22"/>
          <w:lang w:val="it-IT"/>
        </w:rPr>
        <w:t xml:space="preserve"> ramiprila sa navedenim </w:t>
      </w:r>
      <w:r w:rsidR="00136F13" w:rsidRPr="00CC39D0">
        <w:rPr>
          <w:sz w:val="22"/>
          <w:szCs w:val="22"/>
          <w:lang w:val="it-IT"/>
        </w:rPr>
        <w:t>ljekovi</w:t>
      </w:r>
      <w:r w:rsidRPr="00CC39D0">
        <w:rPr>
          <w:sz w:val="22"/>
          <w:szCs w:val="22"/>
          <w:lang w:val="it-IT"/>
        </w:rPr>
        <w:t xml:space="preserve">ma. Ukoliko je indikovana njihova </w:t>
      </w:r>
      <w:r w:rsidR="00136F13" w:rsidRPr="00CC39D0">
        <w:rPr>
          <w:sz w:val="22"/>
          <w:szCs w:val="22"/>
          <w:lang w:val="it-IT"/>
        </w:rPr>
        <w:t>istovremena</w:t>
      </w:r>
      <w:r w:rsidRPr="00CC39D0">
        <w:rPr>
          <w:sz w:val="22"/>
          <w:szCs w:val="22"/>
          <w:lang w:val="it-IT"/>
        </w:rPr>
        <w:t xml:space="preserve"> </w:t>
      </w:r>
      <w:r w:rsidR="00136F13" w:rsidRPr="00CC39D0">
        <w:rPr>
          <w:sz w:val="22"/>
          <w:szCs w:val="22"/>
          <w:lang w:val="it-IT"/>
        </w:rPr>
        <w:t>primjena</w:t>
      </w:r>
      <w:r w:rsidRPr="00CC39D0">
        <w:rPr>
          <w:sz w:val="22"/>
          <w:szCs w:val="22"/>
          <w:lang w:val="it-IT"/>
        </w:rPr>
        <w:t xml:space="preserve">, treba ih koristiti uz oprez i često praćenje koncentracije kalijuma u serumu. </w:t>
      </w:r>
    </w:p>
    <w:p w14:paraId="77D10D0D" w14:textId="77777777" w:rsidR="00914B67" w:rsidRPr="00CC39D0" w:rsidRDefault="00914B67">
      <w:pPr>
        <w:rPr>
          <w:sz w:val="22"/>
          <w:szCs w:val="22"/>
          <w:lang w:val="it-IT"/>
        </w:rPr>
      </w:pPr>
    </w:p>
    <w:p w14:paraId="29EEA5DC" w14:textId="77777777" w:rsidR="00914B67" w:rsidRPr="00CC39D0" w:rsidRDefault="00914B67">
      <w:pPr>
        <w:tabs>
          <w:tab w:val="left" w:pos="1080"/>
        </w:tabs>
        <w:rPr>
          <w:sz w:val="22"/>
          <w:szCs w:val="22"/>
          <w:u w:val="single"/>
          <w:lang w:val="it-IT"/>
        </w:rPr>
      </w:pPr>
      <w:r w:rsidRPr="00CC39D0">
        <w:rPr>
          <w:sz w:val="22"/>
          <w:szCs w:val="22"/>
          <w:u w:val="single"/>
          <w:lang w:val="it-IT"/>
        </w:rPr>
        <w:t>Ciklosporin</w:t>
      </w:r>
    </w:p>
    <w:p w14:paraId="435D9F65" w14:textId="5ECEEC7B" w:rsidR="00914B67" w:rsidRPr="00CC39D0" w:rsidRDefault="00914B67">
      <w:pPr>
        <w:jc w:val="both"/>
        <w:rPr>
          <w:b/>
          <w:sz w:val="22"/>
          <w:szCs w:val="22"/>
          <w:lang w:val="it-IT"/>
        </w:rPr>
      </w:pPr>
      <w:r w:rsidRPr="00CC39D0">
        <w:rPr>
          <w:sz w:val="22"/>
          <w:szCs w:val="22"/>
          <w:lang w:val="it-IT"/>
        </w:rPr>
        <w:t xml:space="preserve">U toku </w:t>
      </w:r>
      <w:r w:rsidR="00136F13" w:rsidRPr="00CC39D0">
        <w:rPr>
          <w:sz w:val="22"/>
          <w:szCs w:val="22"/>
          <w:lang w:val="it-IT"/>
        </w:rPr>
        <w:t>istovremene</w:t>
      </w:r>
      <w:r w:rsidRPr="00CC39D0">
        <w:rPr>
          <w:sz w:val="22"/>
          <w:szCs w:val="22"/>
          <w:lang w:val="it-IT"/>
        </w:rPr>
        <w:t xml:space="preserve"> </w:t>
      </w:r>
      <w:r w:rsidR="00136F13" w:rsidRPr="00CC39D0">
        <w:rPr>
          <w:sz w:val="22"/>
          <w:szCs w:val="22"/>
          <w:lang w:val="it-IT"/>
        </w:rPr>
        <w:t>primjene</w:t>
      </w:r>
      <w:r w:rsidRPr="00CC39D0">
        <w:rPr>
          <w:sz w:val="22"/>
          <w:szCs w:val="22"/>
          <w:lang w:val="it-IT"/>
        </w:rPr>
        <w:t xml:space="preserve"> ACE inhibitora i ciklosporina, moguća je pojava hiperkal</w:t>
      </w:r>
      <w:r w:rsidR="007233C5">
        <w:rPr>
          <w:sz w:val="22"/>
          <w:szCs w:val="22"/>
          <w:lang w:val="it-IT"/>
        </w:rPr>
        <w:t>ij</w:t>
      </w:r>
      <w:r w:rsidRPr="00CC39D0">
        <w:rPr>
          <w:sz w:val="22"/>
          <w:szCs w:val="22"/>
          <w:lang w:val="it-IT"/>
        </w:rPr>
        <w:t>emije.</w:t>
      </w:r>
      <w:r w:rsidRPr="00CC39D0">
        <w:rPr>
          <w:b/>
          <w:sz w:val="22"/>
          <w:szCs w:val="22"/>
          <w:lang w:val="it-IT"/>
        </w:rPr>
        <w:t xml:space="preserve"> </w:t>
      </w:r>
      <w:r w:rsidRPr="00CC39D0">
        <w:rPr>
          <w:sz w:val="22"/>
          <w:szCs w:val="22"/>
          <w:lang w:val="it-IT"/>
        </w:rPr>
        <w:t>Preporučuje</w:t>
      </w:r>
      <w:r w:rsidRPr="00CC39D0">
        <w:rPr>
          <w:b/>
          <w:sz w:val="22"/>
          <w:szCs w:val="22"/>
          <w:lang w:val="it-IT"/>
        </w:rPr>
        <w:t xml:space="preserve"> </w:t>
      </w:r>
      <w:r w:rsidRPr="00CC39D0">
        <w:rPr>
          <w:sz w:val="22"/>
          <w:szCs w:val="22"/>
          <w:lang w:val="it-IT"/>
        </w:rPr>
        <w:t>se praćenje vr</w:t>
      </w:r>
      <w:r w:rsidR="003457B5">
        <w:rPr>
          <w:sz w:val="22"/>
          <w:szCs w:val="22"/>
          <w:lang w:val="it-IT"/>
        </w:rPr>
        <w:t>ij</w:t>
      </w:r>
      <w:r w:rsidRPr="00CC39D0">
        <w:rPr>
          <w:sz w:val="22"/>
          <w:szCs w:val="22"/>
          <w:lang w:val="it-IT"/>
        </w:rPr>
        <w:t>ednosti kalijuma u serumu.</w:t>
      </w:r>
    </w:p>
    <w:p w14:paraId="79B8C18D" w14:textId="77777777" w:rsidR="00914B67" w:rsidRPr="00CC39D0" w:rsidRDefault="00914B67">
      <w:pPr>
        <w:tabs>
          <w:tab w:val="left" w:pos="1080"/>
        </w:tabs>
        <w:rPr>
          <w:sz w:val="22"/>
          <w:szCs w:val="22"/>
          <w:lang w:val="it-IT"/>
        </w:rPr>
      </w:pPr>
    </w:p>
    <w:p w14:paraId="3FE63296" w14:textId="77777777" w:rsidR="00914B67" w:rsidRPr="00CC39D0" w:rsidRDefault="00914B67">
      <w:pPr>
        <w:tabs>
          <w:tab w:val="left" w:pos="1080"/>
        </w:tabs>
        <w:rPr>
          <w:sz w:val="22"/>
          <w:szCs w:val="22"/>
          <w:u w:val="single"/>
          <w:lang w:val="it-IT"/>
        </w:rPr>
      </w:pPr>
      <w:r w:rsidRPr="00CC39D0">
        <w:rPr>
          <w:sz w:val="22"/>
          <w:szCs w:val="22"/>
          <w:u w:val="single"/>
          <w:lang w:val="it-IT"/>
        </w:rPr>
        <w:t>Heparin</w:t>
      </w:r>
    </w:p>
    <w:p w14:paraId="7D2F81C6" w14:textId="33D58135" w:rsidR="00914B67" w:rsidRPr="00914B67" w:rsidRDefault="00914B67">
      <w:pPr>
        <w:tabs>
          <w:tab w:val="left" w:pos="1080"/>
        </w:tabs>
        <w:jc w:val="both"/>
        <w:rPr>
          <w:b/>
          <w:sz w:val="22"/>
          <w:szCs w:val="22"/>
          <w:lang w:val="it-IT"/>
        </w:rPr>
      </w:pPr>
      <w:r w:rsidRPr="00CC39D0">
        <w:rPr>
          <w:sz w:val="22"/>
          <w:szCs w:val="22"/>
          <w:lang w:val="it-IT"/>
        </w:rPr>
        <w:t xml:space="preserve">U toku </w:t>
      </w:r>
      <w:r w:rsidR="00136F13" w:rsidRPr="00CC39D0">
        <w:rPr>
          <w:sz w:val="22"/>
          <w:szCs w:val="22"/>
          <w:lang w:val="it-IT"/>
        </w:rPr>
        <w:t>istovremene</w:t>
      </w:r>
      <w:r w:rsidRPr="00CC39D0">
        <w:rPr>
          <w:sz w:val="22"/>
          <w:szCs w:val="22"/>
          <w:lang w:val="it-IT"/>
        </w:rPr>
        <w:t xml:space="preserve"> </w:t>
      </w:r>
      <w:r w:rsidR="00136F13" w:rsidRPr="00CC39D0">
        <w:rPr>
          <w:sz w:val="22"/>
          <w:szCs w:val="22"/>
          <w:lang w:val="it-IT"/>
        </w:rPr>
        <w:t>primjene</w:t>
      </w:r>
      <w:r w:rsidRPr="00CC39D0">
        <w:rPr>
          <w:sz w:val="22"/>
          <w:szCs w:val="22"/>
          <w:lang w:val="it-IT"/>
        </w:rPr>
        <w:t xml:space="preserve"> ACE inhibitora i heparina, moguća je pojava hiperkal</w:t>
      </w:r>
      <w:r w:rsidR="007233C5">
        <w:rPr>
          <w:sz w:val="22"/>
          <w:szCs w:val="22"/>
          <w:lang w:val="it-IT"/>
        </w:rPr>
        <w:t>ij</w:t>
      </w:r>
      <w:r w:rsidRPr="00CC39D0">
        <w:rPr>
          <w:sz w:val="22"/>
          <w:szCs w:val="22"/>
          <w:lang w:val="it-IT"/>
        </w:rPr>
        <w:t>emije.</w:t>
      </w:r>
      <w:r w:rsidRPr="00CC39D0">
        <w:rPr>
          <w:b/>
          <w:sz w:val="22"/>
          <w:szCs w:val="22"/>
          <w:lang w:val="it-IT"/>
        </w:rPr>
        <w:t xml:space="preserve"> </w:t>
      </w:r>
      <w:r w:rsidRPr="00CC39D0">
        <w:rPr>
          <w:sz w:val="22"/>
          <w:szCs w:val="22"/>
          <w:lang w:val="it-IT"/>
        </w:rPr>
        <w:t>Preporučuje</w:t>
      </w:r>
      <w:r w:rsidRPr="00CC39D0">
        <w:rPr>
          <w:b/>
          <w:sz w:val="22"/>
          <w:szCs w:val="22"/>
          <w:lang w:val="it-IT"/>
        </w:rPr>
        <w:t xml:space="preserve"> </w:t>
      </w:r>
      <w:r w:rsidRPr="00CC39D0">
        <w:rPr>
          <w:sz w:val="22"/>
          <w:szCs w:val="22"/>
          <w:lang w:val="it-IT"/>
        </w:rPr>
        <w:t>se praćenje vr</w:t>
      </w:r>
      <w:r w:rsidR="003457B5">
        <w:rPr>
          <w:sz w:val="22"/>
          <w:szCs w:val="22"/>
          <w:lang w:val="it-IT"/>
        </w:rPr>
        <w:t>ij</w:t>
      </w:r>
      <w:r w:rsidRPr="00CC39D0">
        <w:rPr>
          <w:sz w:val="22"/>
          <w:szCs w:val="22"/>
          <w:lang w:val="it-IT"/>
        </w:rPr>
        <w:t>ednosti kalijuma u serumu.</w:t>
      </w:r>
    </w:p>
    <w:p w14:paraId="2E2B7801" w14:textId="77777777" w:rsidR="0072020E" w:rsidRPr="00914B67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</w:p>
    <w:p w14:paraId="2E2B7802" w14:textId="77777777" w:rsidR="0072020E" w:rsidRDefault="0072020E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CS"/>
        </w:rPr>
      </w:pPr>
      <w:r w:rsidRPr="004F24BB">
        <w:rPr>
          <w:b/>
          <w:bCs/>
          <w:sz w:val="22"/>
          <w:szCs w:val="22"/>
          <w:lang w:val="it-IT"/>
        </w:rPr>
        <w:t xml:space="preserve">4.6. </w:t>
      </w:r>
      <w:r w:rsidR="00480FB1" w:rsidRPr="004F24BB">
        <w:rPr>
          <w:b/>
          <w:bCs/>
          <w:sz w:val="22"/>
          <w:szCs w:val="22"/>
          <w:lang w:val="it-IT"/>
        </w:rPr>
        <w:tab/>
      </w:r>
      <w:r w:rsidR="006D20A5">
        <w:rPr>
          <w:b/>
          <w:sz w:val="22"/>
          <w:szCs w:val="22"/>
          <w:lang w:val="sr-Latn-CS"/>
        </w:rPr>
        <w:t>Plodnost, trudnoća i dojenje</w:t>
      </w:r>
    </w:p>
    <w:p w14:paraId="2E2B7803" w14:textId="77777777" w:rsidR="002031B3" w:rsidRPr="004F24BB" w:rsidRDefault="002031B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it-IT"/>
        </w:rPr>
      </w:pPr>
    </w:p>
    <w:p w14:paraId="6D77FA6A" w14:textId="77777777" w:rsidR="00C068FC" w:rsidRPr="00C068FC" w:rsidRDefault="00C068FC">
      <w:pPr>
        <w:jc w:val="both"/>
        <w:rPr>
          <w:i/>
          <w:sz w:val="22"/>
          <w:szCs w:val="22"/>
          <w:lang w:val="pl-PL"/>
        </w:rPr>
      </w:pPr>
      <w:r w:rsidRPr="00C068FC">
        <w:rPr>
          <w:i/>
          <w:sz w:val="22"/>
          <w:szCs w:val="22"/>
          <w:lang w:val="pl-PL"/>
        </w:rPr>
        <w:t>Trudnoća</w:t>
      </w:r>
    </w:p>
    <w:p w14:paraId="2ECEB1CA" w14:textId="7757AF02" w:rsidR="00C068FC" w:rsidRPr="00C068FC" w:rsidRDefault="00136F13">
      <w:pPr>
        <w:jc w:val="both"/>
        <w:rPr>
          <w:sz w:val="22"/>
          <w:szCs w:val="22"/>
          <w:u w:val="single"/>
          <w:lang w:val="pl-PL"/>
        </w:rPr>
      </w:pPr>
      <w:r>
        <w:rPr>
          <w:sz w:val="22"/>
          <w:szCs w:val="22"/>
          <w:u w:val="single"/>
          <w:lang w:val="pl-PL"/>
        </w:rPr>
        <w:t>Primjena</w:t>
      </w:r>
      <w:r w:rsidR="00C068FC" w:rsidRPr="00C068FC">
        <w:rPr>
          <w:sz w:val="22"/>
          <w:szCs w:val="22"/>
          <w:u w:val="single"/>
          <w:lang w:val="pl-PL"/>
        </w:rPr>
        <w:t xml:space="preserve"> ramiprila se ne preporučuje u toku prvog trimestra trudnoće (</w:t>
      </w:r>
      <w:r w:rsidR="007233C5">
        <w:rPr>
          <w:sz w:val="22"/>
          <w:szCs w:val="22"/>
          <w:u w:val="single"/>
          <w:lang w:val="pl-PL"/>
        </w:rPr>
        <w:t xml:space="preserve">vidjeti </w:t>
      </w:r>
      <w:r>
        <w:rPr>
          <w:sz w:val="22"/>
          <w:szCs w:val="22"/>
          <w:u w:val="single"/>
          <w:lang w:val="pl-PL"/>
        </w:rPr>
        <w:t>dio</w:t>
      </w:r>
      <w:r w:rsidR="00C068FC" w:rsidRPr="00C068FC">
        <w:rPr>
          <w:sz w:val="22"/>
          <w:szCs w:val="22"/>
          <w:u w:val="single"/>
          <w:lang w:val="pl-PL"/>
        </w:rPr>
        <w:t xml:space="preserve"> 4.4), a kontraindikovana je tokom drugog i trećeg trimestra trudnoće (</w:t>
      </w:r>
      <w:r w:rsidR="007233C5">
        <w:rPr>
          <w:sz w:val="22"/>
          <w:szCs w:val="22"/>
          <w:u w:val="single"/>
          <w:lang w:val="pl-PL"/>
        </w:rPr>
        <w:t xml:space="preserve">vidjeti </w:t>
      </w:r>
      <w:r>
        <w:rPr>
          <w:sz w:val="22"/>
          <w:szCs w:val="22"/>
          <w:u w:val="single"/>
          <w:lang w:val="pl-PL"/>
        </w:rPr>
        <w:t>dio</w:t>
      </w:r>
      <w:r w:rsidR="00C068FC" w:rsidRPr="00C068FC">
        <w:rPr>
          <w:sz w:val="22"/>
          <w:szCs w:val="22"/>
          <w:u w:val="single"/>
          <w:lang w:val="pl-PL"/>
        </w:rPr>
        <w:t xml:space="preserve"> 4.3).</w:t>
      </w:r>
    </w:p>
    <w:p w14:paraId="4A8760D5" w14:textId="77777777" w:rsidR="00C068FC" w:rsidRPr="00C068FC" w:rsidRDefault="00C068FC">
      <w:pPr>
        <w:jc w:val="both"/>
        <w:rPr>
          <w:sz w:val="22"/>
          <w:szCs w:val="22"/>
          <w:u w:val="single"/>
          <w:lang w:val="pl-PL"/>
        </w:rPr>
      </w:pPr>
    </w:p>
    <w:p w14:paraId="469AAC09" w14:textId="79671218" w:rsidR="00C068FC" w:rsidRDefault="00C068FC" w:rsidP="00AB1FCF">
      <w:pPr>
        <w:autoSpaceDE w:val="0"/>
        <w:autoSpaceDN w:val="0"/>
        <w:jc w:val="both"/>
        <w:rPr>
          <w:sz w:val="22"/>
          <w:szCs w:val="22"/>
          <w:lang w:val="sr-Latn-CS"/>
        </w:rPr>
      </w:pPr>
      <w:r w:rsidRPr="00C068FC">
        <w:rPr>
          <w:sz w:val="22"/>
          <w:szCs w:val="22"/>
          <w:lang w:val="cs-CZ"/>
        </w:rPr>
        <w:t>Epidemiološki podaci koji se odnose na rizik od teratogenog dejstva nakon upotrebe ACE inhibitora tokom prvog trimestra trudnoće ni</w:t>
      </w:r>
      <w:r w:rsidR="007233C5">
        <w:rPr>
          <w:sz w:val="22"/>
          <w:szCs w:val="22"/>
          <w:lang w:val="cs-CZ"/>
        </w:rPr>
        <w:t>je</w:t>
      </w:r>
      <w:r w:rsidRPr="00C068FC">
        <w:rPr>
          <w:sz w:val="22"/>
          <w:szCs w:val="22"/>
          <w:lang w:val="cs-CZ"/>
        </w:rPr>
        <w:t>su dovoljni za donošenje zaključaka; međutim, mali porast rizika ipak ne može biti isključen. Osim ako se nastavak terapije ACE inhibitorima smatra neophodnim, terapiju ACE inhibitorima kod pacijentkinja koje planiraju trudnoću treba zam</w:t>
      </w:r>
      <w:r w:rsidR="00136F13">
        <w:rPr>
          <w:sz w:val="22"/>
          <w:szCs w:val="22"/>
          <w:lang w:val="cs-CZ"/>
        </w:rPr>
        <w:t>ij</w:t>
      </w:r>
      <w:r w:rsidRPr="00C068FC">
        <w:rPr>
          <w:sz w:val="22"/>
          <w:szCs w:val="22"/>
          <w:lang w:val="cs-CZ"/>
        </w:rPr>
        <w:t>eniti alternativnom antihipertenzivnom terapijom koja ima utvrđen bezb</w:t>
      </w:r>
      <w:r w:rsidR="00136F13">
        <w:rPr>
          <w:sz w:val="22"/>
          <w:szCs w:val="22"/>
          <w:lang w:val="cs-CZ"/>
        </w:rPr>
        <w:t>j</w:t>
      </w:r>
      <w:r w:rsidRPr="00C068FC">
        <w:rPr>
          <w:sz w:val="22"/>
          <w:szCs w:val="22"/>
          <w:lang w:val="cs-CZ"/>
        </w:rPr>
        <w:t>ednosni profil za upotrebu tokom trudnoće. Terapiju ACE inhibitorima treba prekinuti odmah nakon utvrđivanja trudnoće i ako je potrebno, započeti adekvatnu alternativnu terapiju</w:t>
      </w:r>
      <w:r w:rsidRPr="00C068FC">
        <w:rPr>
          <w:sz w:val="22"/>
          <w:szCs w:val="22"/>
          <w:lang w:val="sr-Latn-CS"/>
        </w:rPr>
        <w:t>.</w:t>
      </w:r>
    </w:p>
    <w:p w14:paraId="0BF7F756" w14:textId="77777777" w:rsidR="007233C5" w:rsidRPr="00C068FC" w:rsidRDefault="007233C5" w:rsidP="00AB1FCF">
      <w:pPr>
        <w:autoSpaceDE w:val="0"/>
        <w:autoSpaceDN w:val="0"/>
        <w:jc w:val="both"/>
        <w:rPr>
          <w:sz w:val="22"/>
          <w:szCs w:val="22"/>
          <w:lang w:val="sr-Latn-CS"/>
        </w:rPr>
      </w:pPr>
    </w:p>
    <w:p w14:paraId="36C6BB3F" w14:textId="2AB6203A" w:rsidR="00C068FC" w:rsidRDefault="00C068FC" w:rsidP="00AB1FCF">
      <w:pPr>
        <w:autoSpaceDE w:val="0"/>
        <w:autoSpaceDN w:val="0"/>
        <w:jc w:val="both"/>
        <w:rPr>
          <w:sz w:val="22"/>
          <w:szCs w:val="22"/>
          <w:lang w:val="sr-Latn-CS"/>
        </w:rPr>
      </w:pPr>
      <w:r w:rsidRPr="00C068FC">
        <w:rPr>
          <w:sz w:val="22"/>
          <w:szCs w:val="22"/>
          <w:lang w:val="sr-Latn-CS"/>
        </w:rPr>
        <w:t>Poznato je da izloženost ACE inhibitorima/blokatorima angiotenzina II receptora (AIIRA) tokom drugog i trećeg trimestra trudnoće indukuje fetotoksičnost (smanjena bubrežna funkcija, oligohidramnion, odložena osifikacija lobanje) i neonatalnu toksičnost (insuficijencija bubrega, hipotenzija, hiperkal</w:t>
      </w:r>
      <w:r w:rsidR="007233C5">
        <w:rPr>
          <w:sz w:val="22"/>
          <w:szCs w:val="22"/>
          <w:lang w:val="sr-Latn-CS"/>
        </w:rPr>
        <w:t>ij</w:t>
      </w:r>
      <w:r w:rsidRPr="00C068FC">
        <w:rPr>
          <w:sz w:val="22"/>
          <w:szCs w:val="22"/>
          <w:lang w:val="sr-Latn-CS"/>
        </w:rPr>
        <w:t>emija) kod ljudi (</w:t>
      </w:r>
      <w:r w:rsidR="007233C5">
        <w:rPr>
          <w:sz w:val="22"/>
          <w:szCs w:val="22"/>
          <w:lang w:val="sr-Latn-CS"/>
        </w:rPr>
        <w:t xml:space="preserve">vidjeti </w:t>
      </w:r>
      <w:r w:rsidR="00136F13">
        <w:rPr>
          <w:sz w:val="22"/>
          <w:szCs w:val="22"/>
          <w:lang w:val="sr-Latn-CS"/>
        </w:rPr>
        <w:t>dio</w:t>
      </w:r>
      <w:r w:rsidRPr="00C068FC">
        <w:rPr>
          <w:sz w:val="22"/>
          <w:szCs w:val="22"/>
          <w:lang w:val="sr-Latn-CS"/>
        </w:rPr>
        <w:t xml:space="preserve"> 5.3 "Pretklinički podaci o bezb</w:t>
      </w:r>
      <w:r w:rsidR="00136F13">
        <w:rPr>
          <w:sz w:val="22"/>
          <w:szCs w:val="22"/>
          <w:lang w:val="sr-Latn-CS"/>
        </w:rPr>
        <w:t>j</w:t>
      </w:r>
      <w:r w:rsidRPr="00C068FC">
        <w:rPr>
          <w:sz w:val="22"/>
          <w:szCs w:val="22"/>
          <w:lang w:val="sr-Latn-CS"/>
        </w:rPr>
        <w:t xml:space="preserve">ednosti </w:t>
      </w:r>
      <w:r w:rsidR="00136F13">
        <w:rPr>
          <w:sz w:val="22"/>
          <w:szCs w:val="22"/>
          <w:lang w:val="sr-Latn-CS"/>
        </w:rPr>
        <w:t>lijek</w:t>
      </w:r>
      <w:r w:rsidRPr="00C068FC">
        <w:rPr>
          <w:sz w:val="22"/>
          <w:szCs w:val="22"/>
          <w:lang w:val="sr-Latn-CS"/>
        </w:rPr>
        <w:t>a"). Ukoliko je izloženost ACE inhibitorima nastupila u drugom ili trećem trimestru trudnoće preporučuje se ultrazvučni pregled funkcije bubrega i kostiju lobanje. Novorođenčad, čije su majke uzimale ACE inhibitore, treba posebno pratiti zbog mogućnosti pojave hipotenzije, oligurije i hiperkal</w:t>
      </w:r>
      <w:r w:rsidR="007233C5">
        <w:rPr>
          <w:sz w:val="22"/>
          <w:szCs w:val="22"/>
          <w:lang w:val="sr-Latn-CS"/>
        </w:rPr>
        <w:t>ij</w:t>
      </w:r>
      <w:r w:rsidRPr="00C068FC">
        <w:rPr>
          <w:sz w:val="22"/>
          <w:szCs w:val="22"/>
          <w:lang w:val="sr-Latn-CS"/>
        </w:rPr>
        <w:t>emije (</w:t>
      </w:r>
      <w:r w:rsidR="007233C5">
        <w:rPr>
          <w:sz w:val="22"/>
          <w:szCs w:val="22"/>
          <w:lang w:val="sr-Latn-CS"/>
        </w:rPr>
        <w:t>vidjeti djelove</w:t>
      </w:r>
      <w:r w:rsidRPr="00C068FC">
        <w:rPr>
          <w:sz w:val="22"/>
          <w:szCs w:val="22"/>
          <w:lang w:val="sr-Latn-CS"/>
        </w:rPr>
        <w:t xml:space="preserve"> 4.3 i 4.4).</w:t>
      </w:r>
    </w:p>
    <w:p w14:paraId="2B3F3C89" w14:textId="77777777" w:rsidR="007233C5" w:rsidRPr="00C068FC" w:rsidRDefault="007233C5" w:rsidP="00AB1FCF">
      <w:pPr>
        <w:autoSpaceDE w:val="0"/>
        <w:autoSpaceDN w:val="0"/>
        <w:jc w:val="both"/>
        <w:rPr>
          <w:sz w:val="22"/>
          <w:szCs w:val="22"/>
          <w:lang w:val="sr-Latn-CS"/>
        </w:rPr>
      </w:pPr>
    </w:p>
    <w:p w14:paraId="010A41E6" w14:textId="77777777" w:rsidR="00C068FC" w:rsidRPr="00C068FC" w:rsidRDefault="00C068FC" w:rsidP="00AB1FCF">
      <w:pPr>
        <w:autoSpaceDE w:val="0"/>
        <w:autoSpaceDN w:val="0"/>
        <w:jc w:val="both"/>
        <w:rPr>
          <w:i/>
          <w:sz w:val="22"/>
          <w:szCs w:val="22"/>
          <w:lang w:val="sr-Latn-CS"/>
        </w:rPr>
      </w:pPr>
      <w:r w:rsidRPr="00C068FC">
        <w:rPr>
          <w:i/>
          <w:sz w:val="22"/>
          <w:szCs w:val="22"/>
          <w:lang w:val="sr-Latn-CS"/>
        </w:rPr>
        <w:t>Dojenje</w:t>
      </w:r>
    </w:p>
    <w:p w14:paraId="018EB826" w14:textId="27FF158E" w:rsidR="00C068FC" w:rsidRPr="00C068FC" w:rsidRDefault="00C068FC" w:rsidP="00110E22">
      <w:pPr>
        <w:jc w:val="both"/>
        <w:rPr>
          <w:sz w:val="22"/>
          <w:szCs w:val="22"/>
          <w:lang w:val="sr-Latn-CS"/>
        </w:rPr>
      </w:pPr>
      <w:r w:rsidRPr="00C068FC">
        <w:rPr>
          <w:sz w:val="22"/>
          <w:szCs w:val="22"/>
          <w:lang w:val="sr-Latn-CS"/>
        </w:rPr>
        <w:t xml:space="preserve">S obzirom na to da su dostupni podaci o </w:t>
      </w:r>
      <w:r w:rsidR="00136F13">
        <w:rPr>
          <w:sz w:val="22"/>
          <w:szCs w:val="22"/>
          <w:lang w:val="sr-Latn-CS"/>
        </w:rPr>
        <w:t>primjeni</w:t>
      </w:r>
      <w:r w:rsidRPr="00C068FC">
        <w:rPr>
          <w:sz w:val="22"/>
          <w:szCs w:val="22"/>
          <w:lang w:val="sr-Latn-CS"/>
        </w:rPr>
        <w:t xml:space="preserve"> ramiprila tokom dojenja nedovoljni (</w:t>
      </w:r>
      <w:r w:rsidR="005862B0">
        <w:rPr>
          <w:sz w:val="22"/>
          <w:szCs w:val="22"/>
          <w:lang w:val="sr-Latn-CS"/>
        </w:rPr>
        <w:t xml:space="preserve">vidjeti </w:t>
      </w:r>
      <w:r w:rsidR="00136F13">
        <w:rPr>
          <w:sz w:val="22"/>
          <w:szCs w:val="22"/>
          <w:lang w:val="sr-Latn-CS"/>
        </w:rPr>
        <w:t>dio</w:t>
      </w:r>
      <w:r w:rsidRPr="00C068FC">
        <w:rPr>
          <w:sz w:val="22"/>
          <w:szCs w:val="22"/>
          <w:lang w:val="sr-Latn-CS"/>
        </w:rPr>
        <w:t xml:space="preserve"> 5.2), ne preporučuje se </w:t>
      </w:r>
      <w:r w:rsidR="00136F13">
        <w:rPr>
          <w:sz w:val="22"/>
          <w:szCs w:val="22"/>
          <w:lang w:val="sr-Latn-CS"/>
        </w:rPr>
        <w:t>primjena</w:t>
      </w:r>
      <w:r w:rsidRPr="00C068FC">
        <w:rPr>
          <w:sz w:val="22"/>
          <w:szCs w:val="22"/>
          <w:lang w:val="sr-Latn-CS"/>
        </w:rPr>
        <w:t xml:space="preserve"> </w:t>
      </w:r>
      <w:r w:rsidR="00136F13">
        <w:rPr>
          <w:sz w:val="22"/>
          <w:szCs w:val="22"/>
          <w:lang w:val="sr-Latn-CS"/>
        </w:rPr>
        <w:t>lijek</w:t>
      </w:r>
      <w:r w:rsidRPr="00C068FC">
        <w:rPr>
          <w:sz w:val="22"/>
          <w:szCs w:val="22"/>
          <w:lang w:val="sr-Latn-CS"/>
        </w:rPr>
        <w:t xml:space="preserve">a Prilinda, pa je za </w:t>
      </w:r>
      <w:r w:rsidR="00136F13">
        <w:rPr>
          <w:sz w:val="22"/>
          <w:szCs w:val="22"/>
          <w:lang w:val="sr-Latn-CS"/>
        </w:rPr>
        <w:t>vrijeme</w:t>
      </w:r>
      <w:r w:rsidRPr="00C068FC">
        <w:rPr>
          <w:sz w:val="22"/>
          <w:szCs w:val="22"/>
          <w:lang w:val="sr-Latn-CS"/>
        </w:rPr>
        <w:t xml:space="preserve"> dojenja poželjno koristiti druge vidove terapije sa bolje ustanovljenim bezb</w:t>
      </w:r>
      <w:r w:rsidR="00136F13">
        <w:rPr>
          <w:sz w:val="22"/>
          <w:szCs w:val="22"/>
          <w:lang w:val="sr-Latn-CS"/>
        </w:rPr>
        <w:t>j</w:t>
      </w:r>
      <w:r w:rsidRPr="00C068FC">
        <w:rPr>
          <w:sz w:val="22"/>
          <w:szCs w:val="22"/>
          <w:lang w:val="sr-Latn-CS"/>
        </w:rPr>
        <w:t>ednosnim profilima tokom dojenja, posebno kada se radi o dojenju novorođenčeta ili nedonoščeta.</w:t>
      </w:r>
    </w:p>
    <w:p w14:paraId="2E2B7809" w14:textId="77777777" w:rsidR="00227BDB" w:rsidRPr="00C068FC" w:rsidRDefault="00227BDB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CS"/>
        </w:rPr>
      </w:pPr>
    </w:p>
    <w:p w14:paraId="2E2B780A" w14:textId="0C7D1633" w:rsidR="0072020E" w:rsidRPr="004F24BB" w:rsidRDefault="0072020E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CS"/>
        </w:rPr>
      </w:pPr>
      <w:r w:rsidRPr="004F24BB">
        <w:rPr>
          <w:b/>
          <w:bCs/>
          <w:sz w:val="22"/>
          <w:szCs w:val="22"/>
          <w:lang w:val="sr-Latn-CS"/>
        </w:rPr>
        <w:t xml:space="preserve">4.7. </w:t>
      </w:r>
      <w:r w:rsidR="00480FB1" w:rsidRPr="004F24BB">
        <w:rPr>
          <w:b/>
          <w:bCs/>
          <w:sz w:val="22"/>
          <w:szCs w:val="22"/>
          <w:lang w:val="sr-Latn-CS"/>
        </w:rPr>
        <w:tab/>
      </w:r>
      <w:r w:rsidRPr="00786071">
        <w:rPr>
          <w:b/>
          <w:bCs/>
          <w:sz w:val="22"/>
          <w:szCs w:val="22"/>
        </w:rPr>
        <w:t>Uticaj</w:t>
      </w:r>
      <w:r w:rsidRPr="004F24BB">
        <w:rPr>
          <w:b/>
          <w:bCs/>
          <w:sz w:val="22"/>
          <w:szCs w:val="22"/>
          <w:lang w:val="sr-Latn-CS"/>
        </w:rPr>
        <w:t xml:space="preserve"> </w:t>
      </w:r>
      <w:proofErr w:type="gramStart"/>
      <w:r w:rsidRPr="00786071">
        <w:rPr>
          <w:b/>
          <w:bCs/>
          <w:sz w:val="22"/>
          <w:szCs w:val="22"/>
        </w:rPr>
        <w:t>na</w:t>
      </w:r>
      <w:proofErr w:type="gramEnd"/>
      <w:r w:rsidRPr="004F24BB">
        <w:rPr>
          <w:b/>
          <w:bCs/>
          <w:sz w:val="22"/>
          <w:szCs w:val="22"/>
          <w:lang w:val="sr-Latn-CS"/>
        </w:rPr>
        <w:t xml:space="preserve"> </w:t>
      </w:r>
      <w:r w:rsidR="002031B3">
        <w:rPr>
          <w:b/>
          <w:bCs/>
          <w:sz w:val="22"/>
          <w:szCs w:val="22"/>
        </w:rPr>
        <w:t>sposobnost</w:t>
      </w:r>
      <w:r w:rsidR="002031B3" w:rsidRPr="004F24BB">
        <w:rPr>
          <w:b/>
          <w:bCs/>
          <w:sz w:val="22"/>
          <w:szCs w:val="22"/>
          <w:lang w:val="sr-Latn-CS"/>
        </w:rPr>
        <w:t xml:space="preserve"> </w:t>
      </w:r>
      <w:r w:rsidR="00F34554" w:rsidRPr="00786071">
        <w:rPr>
          <w:b/>
          <w:bCs/>
          <w:sz w:val="22"/>
          <w:szCs w:val="22"/>
        </w:rPr>
        <w:t>upravljanja</w:t>
      </w:r>
      <w:r w:rsidR="00F34554" w:rsidRPr="004F24BB">
        <w:rPr>
          <w:b/>
          <w:bCs/>
          <w:sz w:val="22"/>
          <w:szCs w:val="22"/>
          <w:lang w:val="sr-Latn-CS"/>
        </w:rPr>
        <w:t xml:space="preserve"> </w:t>
      </w:r>
      <w:r w:rsidR="00F34554" w:rsidRPr="00786071">
        <w:rPr>
          <w:b/>
          <w:bCs/>
          <w:sz w:val="22"/>
          <w:szCs w:val="22"/>
        </w:rPr>
        <w:t>vozili</w:t>
      </w:r>
      <w:r w:rsidRPr="00786071">
        <w:rPr>
          <w:b/>
          <w:bCs/>
          <w:sz w:val="22"/>
          <w:szCs w:val="22"/>
        </w:rPr>
        <w:t>m</w:t>
      </w:r>
      <w:r w:rsidR="00F34554" w:rsidRPr="00786071">
        <w:rPr>
          <w:b/>
          <w:bCs/>
          <w:sz w:val="22"/>
          <w:szCs w:val="22"/>
        </w:rPr>
        <w:t>a</w:t>
      </w:r>
      <w:r w:rsidRPr="004F24BB">
        <w:rPr>
          <w:b/>
          <w:bCs/>
          <w:sz w:val="22"/>
          <w:szCs w:val="22"/>
          <w:lang w:val="sr-Latn-CS"/>
        </w:rPr>
        <w:t xml:space="preserve"> </w:t>
      </w:r>
      <w:r w:rsidRPr="00786071">
        <w:rPr>
          <w:b/>
          <w:bCs/>
          <w:sz w:val="22"/>
          <w:szCs w:val="22"/>
        </w:rPr>
        <w:t>i</w:t>
      </w:r>
      <w:r w:rsidRPr="004F24BB">
        <w:rPr>
          <w:b/>
          <w:bCs/>
          <w:sz w:val="22"/>
          <w:szCs w:val="22"/>
          <w:lang w:val="sr-Latn-CS"/>
        </w:rPr>
        <w:t xml:space="preserve"> </w:t>
      </w:r>
      <w:r w:rsidR="000D3449" w:rsidRPr="00786071">
        <w:rPr>
          <w:b/>
          <w:bCs/>
          <w:sz w:val="22"/>
          <w:szCs w:val="22"/>
        </w:rPr>
        <w:t>rukovanj</w:t>
      </w:r>
      <w:r w:rsidR="000D3449">
        <w:rPr>
          <w:b/>
          <w:bCs/>
          <w:sz w:val="22"/>
          <w:szCs w:val="22"/>
        </w:rPr>
        <w:t>e</w:t>
      </w:r>
      <w:r w:rsidR="000D3449" w:rsidRPr="004F24BB">
        <w:rPr>
          <w:b/>
          <w:bCs/>
          <w:sz w:val="22"/>
          <w:szCs w:val="22"/>
          <w:lang w:val="sr-Latn-CS"/>
        </w:rPr>
        <w:t xml:space="preserve"> </w:t>
      </w:r>
      <w:r w:rsidRPr="00786071">
        <w:rPr>
          <w:b/>
          <w:bCs/>
          <w:sz w:val="22"/>
          <w:szCs w:val="22"/>
        </w:rPr>
        <w:t>ma</w:t>
      </w:r>
      <w:r w:rsidRPr="004F24BB">
        <w:rPr>
          <w:b/>
          <w:bCs/>
          <w:sz w:val="22"/>
          <w:szCs w:val="22"/>
          <w:lang w:val="sr-Latn-CS"/>
        </w:rPr>
        <w:t>š</w:t>
      </w:r>
      <w:r w:rsidRPr="00786071">
        <w:rPr>
          <w:b/>
          <w:bCs/>
          <w:sz w:val="22"/>
          <w:szCs w:val="22"/>
        </w:rPr>
        <w:t>inama</w:t>
      </w:r>
    </w:p>
    <w:p w14:paraId="35C95182" w14:textId="0748BDCC" w:rsidR="00C068FC" w:rsidRPr="004F24BB" w:rsidRDefault="00C068FC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CS"/>
        </w:rPr>
      </w:pPr>
    </w:p>
    <w:p w14:paraId="32685C44" w14:textId="77777777" w:rsidR="006D17DA" w:rsidRPr="006D17DA" w:rsidRDefault="006D17DA">
      <w:pPr>
        <w:pStyle w:val="Header"/>
        <w:tabs>
          <w:tab w:val="left" w:pos="570"/>
        </w:tabs>
        <w:jc w:val="both"/>
        <w:rPr>
          <w:rFonts w:cs="Arial"/>
          <w:sz w:val="22"/>
          <w:szCs w:val="22"/>
          <w:lang w:val="sr-Latn-CS"/>
        </w:rPr>
      </w:pPr>
      <w:r w:rsidRPr="006D17DA">
        <w:rPr>
          <w:rFonts w:cs="Arial"/>
          <w:sz w:val="22"/>
          <w:szCs w:val="22"/>
          <w:lang w:val="sr-Latn-CS"/>
        </w:rPr>
        <w:t>Neka neželjena dejstva (npr. simptomi smanjenja krvnog pritiska kao što je vrtoglavica) mogu smanjiti koncentraciju i sposobnost pacijenta da reaguje i zbog toga predstavljaju opasnost u situacijama u kojima su ove sposobnosti od posebnog značaja (npr. upravljanje vozilom ili rukovanje mašinama).</w:t>
      </w:r>
    </w:p>
    <w:p w14:paraId="0CA5FF39" w14:textId="7FEAC32C" w:rsidR="00C068FC" w:rsidRPr="006D17DA" w:rsidRDefault="006D17DA">
      <w:pPr>
        <w:tabs>
          <w:tab w:val="left" w:pos="0"/>
          <w:tab w:val="left" w:pos="540"/>
        </w:tabs>
        <w:jc w:val="both"/>
        <w:rPr>
          <w:b/>
          <w:bCs/>
          <w:sz w:val="22"/>
          <w:szCs w:val="22"/>
          <w:lang w:val="sr-Latn-CS"/>
        </w:rPr>
      </w:pPr>
      <w:r w:rsidRPr="006D17DA">
        <w:rPr>
          <w:rFonts w:cs="Arial"/>
          <w:sz w:val="22"/>
          <w:szCs w:val="22"/>
          <w:lang w:val="sr-Latn-CS"/>
        </w:rPr>
        <w:t xml:space="preserve">To se može dogoditi posebno na početku terapije ili pri prelasku sa terapije drugim </w:t>
      </w:r>
      <w:r w:rsidR="00136F13">
        <w:rPr>
          <w:rFonts w:cs="Arial"/>
          <w:sz w:val="22"/>
          <w:szCs w:val="22"/>
          <w:lang w:val="sr-Latn-CS"/>
        </w:rPr>
        <w:t>ljekovi</w:t>
      </w:r>
      <w:r w:rsidRPr="006D17DA">
        <w:rPr>
          <w:rFonts w:cs="Arial"/>
          <w:sz w:val="22"/>
          <w:szCs w:val="22"/>
          <w:lang w:val="sr-Latn-CS"/>
        </w:rPr>
        <w:t>ma na</w:t>
      </w:r>
      <w:r>
        <w:rPr>
          <w:rFonts w:cs="Arial"/>
          <w:sz w:val="22"/>
          <w:szCs w:val="22"/>
          <w:lang w:val="sr-Latn-CS"/>
        </w:rPr>
        <w:t xml:space="preserve"> </w:t>
      </w:r>
      <w:r w:rsidRPr="006D17DA">
        <w:rPr>
          <w:rFonts w:cs="Arial"/>
          <w:sz w:val="22"/>
          <w:szCs w:val="22"/>
          <w:lang w:val="sr-Latn-CS"/>
        </w:rPr>
        <w:t>ramipril. Nakon uzimanja i kod svakog naknadnog povećanja doze nije preporučljivo voziti ili upravljati mašinama tokom nekoliko sati.</w:t>
      </w:r>
    </w:p>
    <w:p w14:paraId="2E2B780B" w14:textId="77777777" w:rsidR="0072020E" w:rsidRPr="006D17DA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</w:p>
    <w:p w14:paraId="2E2B780C" w14:textId="77777777" w:rsidR="0072020E" w:rsidRPr="004F24BB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4F24BB">
        <w:rPr>
          <w:b/>
          <w:bCs/>
          <w:sz w:val="22"/>
          <w:szCs w:val="22"/>
          <w:lang w:val="sr-Latn-CS"/>
        </w:rPr>
        <w:t xml:space="preserve">4.8. </w:t>
      </w:r>
      <w:r w:rsidR="00480FB1" w:rsidRPr="004F24BB">
        <w:rPr>
          <w:b/>
          <w:bCs/>
          <w:sz w:val="22"/>
          <w:szCs w:val="22"/>
          <w:lang w:val="sr-Latn-CS"/>
        </w:rPr>
        <w:tab/>
      </w:r>
      <w:r w:rsidRPr="00786071">
        <w:rPr>
          <w:b/>
          <w:bCs/>
          <w:sz w:val="22"/>
          <w:szCs w:val="22"/>
        </w:rPr>
        <w:t>Ne</w:t>
      </w:r>
      <w:r w:rsidRPr="004F24BB">
        <w:rPr>
          <w:b/>
          <w:bCs/>
          <w:sz w:val="22"/>
          <w:szCs w:val="22"/>
          <w:lang w:val="sr-Latn-CS"/>
        </w:rPr>
        <w:t>ž</w:t>
      </w:r>
      <w:r w:rsidRPr="00786071">
        <w:rPr>
          <w:b/>
          <w:bCs/>
          <w:sz w:val="22"/>
          <w:szCs w:val="22"/>
        </w:rPr>
        <w:t>eljena</w:t>
      </w:r>
      <w:r w:rsidRPr="004F24BB">
        <w:rPr>
          <w:b/>
          <w:bCs/>
          <w:sz w:val="22"/>
          <w:szCs w:val="22"/>
          <w:lang w:val="sr-Latn-CS"/>
        </w:rPr>
        <w:t xml:space="preserve"> </w:t>
      </w:r>
      <w:r w:rsidRPr="00786071">
        <w:rPr>
          <w:b/>
          <w:bCs/>
          <w:sz w:val="22"/>
          <w:szCs w:val="22"/>
        </w:rPr>
        <w:t>dejstva</w:t>
      </w:r>
    </w:p>
    <w:p w14:paraId="2E2B780D" w14:textId="684F3B7A" w:rsidR="004E70AD" w:rsidRPr="004F24BB" w:rsidRDefault="004E70A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</w:p>
    <w:p w14:paraId="07318E20" w14:textId="60AB258D" w:rsidR="0099185C" w:rsidRPr="0099185C" w:rsidRDefault="0099185C">
      <w:pPr>
        <w:jc w:val="both"/>
        <w:rPr>
          <w:i/>
          <w:sz w:val="22"/>
          <w:szCs w:val="22"/>
          <w:u w:val="single"/>
          <w:lang w:val="sr-Latn-CS"/>
        </w:rPr>
      </w:pPr>
      <w:r w:rsidRPr="0099185C">
        <w:rPr>
          <w:i/>
          <w:sz w:val="22"/>
          <w:szCs w:val="22"/>
          <w:u w:val="single"/>
        </w:rPr>
        <w:t>Sa</w:t>
      </w:r>
      <w:r w:rsidRPr="0099185C">
        <w:rPr>
          <w:i/>
          <w:sz w:val="22"/>
          <w:szCs w:val="22"/>
          <w:u w:val="single"/>
          <w:lang w:val="sr-Latn-CS"/>
        </w:rPr>
        <w:t>ž</w:t>
      </w:r>
      <w:r w:rsidRPr="0099185C">
        <w:rPr>
          <w:i/>
          <w:sz w:val="22"/>
          <w:szCs w:val="22"/>
          <w:u w:val="single"/>
        </w:rPr>
        <w:t>etak</w:t>
      </w:r>
      <w:r w:rsidRPr="0099185C">
        <w:rPr>
          <w:i/>
          <w:sz w:val="22"/>
          <w:szCs w:val="22"/>
          <w:u w:val="single"/>
          <w:lang w:val="sr-Latn-CS"/>
        </w:rPr>
        <w:t xml:space="preserve"> </w:t>
      </w:r>
      <w:r w:rsidRPr="0099185C">
        <w:rPr>
          <w:i/>
          <w:sz w:val="22"/>
          <w:szCs w:val="22"/>
          <w:u w:val="single"/>
        </w:rPr>
        <w:t>bezb</w:t>
      </w:r>
      <w:r w:rsidR="00136F13">
        <w:rPr>
          <w:i/>
          <w:sz w:val="22"/>
          <w:szCs w:val="22"/>
          <w:u w:val="single"/>
        </w:rPr>
        <w:t>j</w:t>
      </w:r>
      <w:r w:rsidRPr="0099185C">
        <w:rPr>
          <w:i/>
          <w:sz w:val="22"/>
          <w:szCs w:val="22"/>
          <w:u w:val="single"/>
        </w:rPr>
        <w:t>ednosnog</w:t>
      </w:r>
      <w:r w:rsidRPr="0099185C">
        <w:rPr>
          <w:i/>
          <w:sz w:val="22"/>
          <w:szCs w:val="22"/>
          <w:u w:val="single"/>
          <w:lang w:val="sr-Latn-CS"/>
        </w:rPr>
        <w:t xml:space="preserve"> </w:t>
      </w:r>
      <w:r w:rsidRPr="0099185C">
        <w:rPr>
          <w:i/>
          <w:sz w:val="22"/>
          <w:szCs w:val="22"/>
          <w:u w:val="single"/>
        </w:rPr>
        <w:t>profila</w:t>
      </w:r>
    </w:p>
    <w:p w14:paraId="132617A7" w14:textId="6C4E5FF9" w:rsidR="0099185C" w:rsidRDefault="0099185C" w:rsidP="00AB1FCF">
      <w:pPr>
        <w:jc w:val="both"/>
        <w:rPr>
          <w:sz w:val="22"/>
          <w:szCs w:val="22"/>
          <w:lang w:val="sr-Latn-CS"/>
        </w:rPr>
      </w:pPr>
      <w:r w:rsidRPr="0099185C">
        <w:rPr>
          <w:sz w:val="22"/>
          <w:szCs w:val="22"/>
        </w:rPr>
        <w:t>Bezb</w:t>
      </w:r>
      <w:r w:rsidR="003457B5">
        <w:rPr>
          <w:sz w:val="22"/>
          <w:szCs w:val="22"/>
        </w:rPr>
        <w:t>j</w:t>
      </w:r>
      <w:r w:rsidRPr="0099185C">
        <w:rPr>
          <w:sz w:val="22"/>
          <w:szCs w:val="22"/>
        </w:rPr>
        <w:t>ednosni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profil</w:t>
      </w:r>
      <w:r w:rsidRPr="0099185C">
        <w:rPr>
          <w:sz w:val="22"/>
          <w:szCs w:val="22"/>
          <w:lang w:val="sr-Latn-CS"/>
        </w:rPr>
        <w:t xml:space="preserve"> </w:t>
      </w:r>
      <w:r w:rsidR="00136F13">
        <w:rPr>
          <w:sz w:val="22"/>
          <w:szCs w:val="22"/>
        </w:rPr>
        <w:t>primjene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ramiprila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uklju</w:t>
      </w:r>
      <w:r w:rsidRPr="0099185C">
        <w:rPr>
          <w:sz w:val="22"/>
          <w:szCs w:val="22"/>
          <w:lang w:val="sr-Latn-CS"/>
        </w:rPr>
        <w:t>č</w:t>
      </w:r>
      <w:r w:rsidRPr="0099185C">
        <w:rPr>
          <w:sz w:val="22"/>
          <w:szCs w:val="22"/>
        </w:rPr>
        <w:t>uje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uporan</w:t>
      </w:r>
      <w:r w:rsidRPr="0099185C">
        <w:rPr>
          <w:sz w:val="22"/>
          <w:szCs w:val="22"/>
          <w:lang w:val="sr-Latn-CS"/>
        </w:rPr>
        <w:t xml:space="preserve">, </w:t>
      </w:r>
      <w:r w:rsidRPr="0099185C">
        <w:rPr>
          <w:sz w:val="22"/>
          <w:szCs w:val="22"/>
        </w:rPr>
        <w:t>suvi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ka</w:t>
      </w:r>
      <w:r w:rsidRPr="0099185C">
        <w:rPr>
          <w:sz w:val="22"/>
          <w:szCs w:val="22"/>
          <w:lang w:val="sr-Latn-CS"/>
        </w:rPr>
        <w:t>š</w:t>
      </w:r>
      <w:r w:rsidRPr="0099185C">
        <w:rPr>
          <w:sz w:val="22"/>
          <w:szCs w:val="22"/>
        </w:rPr>
        <w:t>alj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i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reakcije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uzrokovane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hipotenzijom</w:t>
      </w:r>
      <w:r w:rsidRPr="0099185C">
        <w:rPr>
          <w:sz w:val="22"/>
          <w:szCs w:val="22"/>
          <w:lang w:val="sr-Latn-CS"/>
        </w:rPr>
        <w:t xml:space="preserve">. </w:t>
      </w:r>
      <w:r w:rsidRPr="0099185C">
        <w:rPr>
          <w:sz w:val="22"/>
          <w:szCs w:val="22"/>
        </w:rPr>
        <w:t>Ozbiljne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ne</w:t>
      </w:r>
      <w:r w:rsidRPr="0099185C">
        <w:rPr>
          <w:sz w:val="22"/>
          <w:szCs w:val="22"/>
          <w:lang w:val="sr-Latn-CS"/>
        </w:rPr>
        <w:t>ž</w:t>
      </w:r>
      <w:r w:rsidRPr="0099185C">
        <w:rPr>
          <w:sz w:val="22"/>
          <w:szCs w:val="22"/>
        </w:rPr>
        <w:t>eljene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reakcije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obuhvataju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angioedem</w:t>
      </w:r>
      <w:r w:rsidRPr="0099185C">
        <w:rPr>
          <w:sz w:val="22"/>
          <w:szCs w:val="22"/>
          <w:lang w:val="sr-Latn-CS"/>
        </w:rPr>
        <w:t xml:space="preserve">, </w:t>
      </w:r>
      <w:r w:rsidRPr="0099185C">
        <w:rPr>
          <w:sz w:val="22"/>
          <w:szCs w:val="22"/>
        </w:rPr>
        <w:t>hiperkal</w:t>
      </w:r>
      <w:r w:rsidR="005862B0">
        <w:rPr>
          <w:sz w:val="22"/>
          <w:szCs w:val="22"/>
        </w:rPr>
        <w:t>ij</w:t>
      </w:r>
      <w:r w:rsidRPr="0099185C">
        <w:rPr>
          <w:sz w:val="22"/>
          <w:szCs w:val="22"/>
        </w:rPr>
        <w:t>emiju</w:t>
      </w:r>
      <w:r w:rsidRPr="0099185C">
        <w:rPr>
          <w:sz w:val="22"/>
          <w:szCs w:val="22"/>
          <w:lang w:val="sr-Latn-CS"/>
        </w:rPr>
        <w:t xml:space="preserve">, </w:t>
      </w:r>
      <w:r w:rsidRPr="0099185C">
        <w:rPr>
          <w:sz w:val="22"/>
          <w:szCs w:val="22"/>
        </w:rPr>
        <w:t>oslabljenu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funkciju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bubrega</w:t>
      </w:r>
      <w:r w:rsidRPr="0099185C">
        <w:rPr>
          <w:sz w:val="22"/>
          <w:szCs w:val="22"/>
          <w:lang w:val="sr-Latn-CS"/>
        </w:rPr>
        <w:t xml:space="preserve"> </w:t>
      </w:r>
      <w:proofErr w:type="gramStart"/>
      <w:r w:rsidRPr="0099185C">
        <w:rPr>
          <w:sz w:val="22"/>
          <w:szCs w:val="22"/>
        </w:rPr>
        <w:t>ili</w:t>
      </w:r>
      <w:proofErr w:type="gramEnd"/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jetre</w:t>
      </w:r>
      <w:r w:rsidRPr="0099185C">
        <w:rPr>
          <w:sz w:val="22"/>
          <w:szCs w:val="22"/>
          <w:lang w:val="sr-Latn-CS"/>
        </w:rPr>
        <w:t xml:space="preserve">, </w:t>
      </w:r>
      <w:r w:rsidRPr="0099185C">
        <w:rPr>
          <w:sz w:val="22"/>
          <w:szCs w:val="22"/>
        </w:rPr>
        <w:t>pankreatitis</w:t>
      </w:r>
      <w:r w:rsidRPr="0099185C">
        <w:rPr>
          <w:sz w:val="22"/>
          <w:szCs w:val="22"/>
          <w:lang w:val="sr-Latn-CS"/>
        </w:rPr>
        <w:t xml:space="preserve">, </w:t>
      </w:r>
      <w:r w:rsidRPr="0099185C">
        <w:rPr>
          <w:sz w:val="22"/>
          <w:szCs w:val="22"/>
        </w:rPr>
        <w:t>te</w:t>
      </w:r>
      <w:r w:rsidRPr="0099185C">
        <w:rPr>
          <w:sz w:val="22"/>
          <w:szCs w:val="22"/>
          <w:lang w:val="sr-Latn-CS"/>
        </w:rPr>
        <w:t>š</w:t>
      </w:r>
      <w:r w:rsidRPr="0099185C">
        <w:rPr>
          <w:sz w:val="22"/>
          <w:szCs w:val="22"/>
        </w:rPr>
        <w:t>ke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ko</w:t>
      </w:r>
      <w:r w:rsidRPr="0099185C">
        <w:rPr>
          <w:sz w:val="22"/>
          <w:szCs w:val="22"/>
          <w:lang w:val="sr-Latn-CS"/>
        </w:rPr>
        <w:t>ž</w:t>
      </w:r>
      <w:r w:rsidRPr="0099185C">
        <w:rPr>
          <w:sz w:val="22"/>
          <w:szCs w:val="22"/>
        </w:rPr>
        <w:t>ne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reakcije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i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neutropeniju</w:t>
      </w:r>
      <w:r w:rsidRPr="0099185C">
        <w:rPr>
          <w:sz w:val="22"/>
          <w:szCs w:val="22"/>
          <w:lang w:val="sr-Latn-CS"/>
        </w:rPr>
        <w:t>/</w:t>
      </w:r>
      <w:r w:rsidRPr="0099185C">
        <w:rPr>
          <w:sz w:val="22"/>
          <w:szCs w:val="22"/>
        </w:rPr>
        <w:t>agranulocitozu</w:t>
      </w:r>
      <w:r w:rsidRPr="0099185C">
        <w:rPr>
          <w:sz w:val="22"/>
          <w:szCs w:val="22"/>
          <w:lang w:val="sr-Latn-CS"/>
        </w:rPr>
        <w:t>.</w:t>
      </w:r>
    </w:p>
    <w:p w14:paraId="684C85F5" w14:textId="77777777" w:rsidR="005862B0" w:rsidRPr="0099185C" w:rsidRDefault="005862B0" w:rsidP="00AB1FCF">
      <w:pPr>
        <w:jc w:val="both"/>
        <w:rPr>
          <w:sz w:val="22"/>
          <w:szCs w:val="22"/>
          <w:lang w:val="sr-Latn-CS"/>
        </w:rPr>
      </w:pPr>
    </w:p>
    <w:p w14:paraId="376613B9" w14:textId="559286A9" w:rsidR="0099185C" w:rsidRPr="0099185C" w:rsidRDefault="0099185C" w:rsidP="00AB1FCF">
      <w:pPr>
        <w:jc w:val="both"/>
        <w:rPr>
          <w:i/>
          <w:sz w:val="22"/>
          <w:szCs w:val="22"/>
          <w:u w:val="single"/>
          <w:lang w:val="sr-Latn-CS"/>
        </w:rPr>
      </w:pPr>
      <w:r w:rsidRPr="0099185C">
        <w:rPr>
          <w:i/>
          <w:sz w:val="22"/>
          <w:szCs w:val="22"/>
          <w:u w:val="single"/>
        </w:rPr>
        <w:t>Tabelarni</w:t>
      </w:r>
      <w:r w:rsidRPr="0099185C">
        <w:rPr>
          <w:i/>
          <w:sz w:val="22"/>
          <w:szCs w:val="22"/>
          <w:u w:val="single"/>
          <w:lang w:val="sr-Latn-CS"/>
        </w:rPr>
        <w:t xml:space="preserve"> </w:t>
      </w:r>
      <w:r w:rsidRPr="0099185C">
        <w:rPr>
          <w:i/>
          <w:sz w:val="22"/>
          <w:szCs w:val="22"/>
          <w:u w:val="single"/>
        </w:rPr>
        <w:t>prikaz</w:t>
      </w:r>
      <w:r w:rsidRPr="0099185C">
        <w:rPr>
          <w:i/>
          <w:sz w:val="22"/>
          <w:szCs w:val="22"/>
          <w:u w:val="single"/>
          <w:lang w:val="sr-Latn-CS"/>
        </w:rPr>
        <w:t xml:space="preserve"> </w:t>
      </w:r>
      <w:r w:rsidRPr="0099185C">
        <w:rPr>
          <w:i/>
          <w:sz w:val="22"/>
          <w:szCs w:val="22"/>
          <w:u w:val="single"/>
        </w:rPr>
        <w:t>ne</w:t>
      </w:r>
      <w:r w:rsidRPr="0099185C">
        <w:rPr>
          <w:i/>
          <w:sz w:val="22"/>
          <w:szCs w:val="22"/>
          <w:u w:val="single"/>
          <w:lang w:val="sr-Latn-CS"/>
        </w:rPr>
        <w:t>ž</w:t>
      </w:r>
      <w:r w:rsidRPr="0099185C">
        <w:rPr>
          <w:i/>
          <w:sz w:val="22"/>
          <w:szCs w:val="22"/>
          <w:u w:val="single"/>
        </w:rPr>
        <w:t>eljenih</w:t>
      </w:r>
      <w:r w:rsidRPr="0099185C">
        <w:rPr>
          <w:i/>
          <w:sz w:val="22"/>
          <w:szCs w:val="22"/>
          <w:u w:val="single"/>
          <w:lang w:val="sr-Latn-CS"/>
        </w:rPr>
        <w:t xml:space="preserve"> </w:t>
      </w:r>
      <w:r w:rsidRPr="0099185C">
        <w:rPr>
          <w:i/>
          <w:sz w:val="22"/>
          <w:szCs w:val="22"/>
          <w:u w:val="single"/>
        </w:rPr>
        <w:t>dejstava</w:t>
      </w:r>
      <w:r w:rsidRPr="0099185C">
        <w:rPr>
          <w:i/>
          <w:sz w:val="22"/>
          <w:szCs w:val="22"/>
          <w:u w:val="single"/>
          <w:lang w:val="sr-Latn-CS"/>
        </w:rPr>
        <w:t xml:space="preserve"> </w:t>
      </w:r>
      <w:r w:rsidR="00136F13">
        <w:rPr>
          <w:i/>
          <w:sz w:val="22"/>
          <w:szCs w:val="22"/>
          <w:u w:val="single"/>
        </w:rPr>
        <w:t>lijek</w:t>
      </w:r>
      <w:r w:rsidRPr="0099185C">
        <w:rPr>
          <w:i/>
          <w:sz w:val="22"/>
          <w:szCs w:val="22"/>
          <w:u w:val="single"/>
        </w:rPr>
        <w:t>a</w:t>
      </w:r>
    </w:p>
    <w:p w14:paraId="620F6092" w14:textId="390898F1" w:rsidR="0099185C" w:rsidRPr="0099185C" w:rsidRDefault="0099185C" w:rsidP="00AB1FCF">
      <w:pPr>
        <w:jc w:val="both"/>
        <w:rPr>
          <w:sz w:val="22"/>
          <w:szCs w:val="22"/>
          <w:lang w:val="sr-Latn-CS"/>
        </w:rPr>
      </w:pPr>
      <w:r w:rsidRPr="0099185C">
        <w:rPr>
          <w:sz w:val="22"/>
          <w:szCs w:val="22"/>
        </w:rPr>
        <w:t>U</w:t>
      </w:r>
      <w:r w:rsidRPr="0099185C">
        <w:rPr>
          <w:sz w:val="22"/>
          <w:szCs w:val="22"/>
          <w:lang w:val="sr-Latn-CS"/>
        </w:rPr>
        <w:t>č</w:t>
      </w:r>
      <w:r w:rsidRPr="0099185C">
        <w:rPr>
          <w:sz w:val="22"/>
          <w:szCs w:val="22"/>
        </w:rPr>
        <w:t>estalost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ne</w:t>
      </w:r>
      <w:r w:rsidRPr="0099185C">
        <w:rPr>
          <w:sz w:val="22"/>
          <w:szCs w:val="22"/>
          <w:lang w:val="sr-Latn-CS"/>
        </w:rPr>
        <w:t>ž</w:t>
      </w:r>
      <w:r w:rsidRPr="0099185C">
        <w:rPr>
          <w:sz w:val="22"/>
          <w:szCs w:val="22"/>
        </w:rPr>
        <w:t>eljenih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reakcija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definisana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je</w:t>
      </w:r>
      <w:r w:rsidRPr="0099185C">
        <w:rPr>
          <w:sz w:val="22"/>
          <w:szCs w:val="22"/>
          <w:lang w:val="sr-Latn-CS"/>
        </w:rPr>
        <w:t xml:space="preserve"> </w:t>
      </w:r>
      <w:proofErr w:type="gramStart"/>
      <w:r w:rsidRPr="0099185C">
        <w:rPr>
          <w:sz w:val="22"/>
          <w:szCs w:val="22"/>
        </w:rPr>
        <w:t>na</w:t>
      </w:r>
      <w:proofErr w:type="gramEnd"/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sl</w:t>
      </w:r>
      <w:r w:rsidR="005862B0">
        <w:rPr>
          <w:sz w:val="22"/>
          <w:szCs w:val="22"/>
        </w:rPr>
        <w:t>j</w:t>
      </w:r>
      <w:r w:rsidRPr="0099185C">
        <w:rPr>
          <w:sz w:val="22"/>
          <w:szCs w:val="22"/>
        </w:rPr>
        <w:t>ede</w:t>
      </w:r>
      <w:r w:rsidRPr="0099185C">
        <w:rPr>
          <w:sz w:val="22"/>
          <w:szCs w:val="22"/>
          <w:lang w:val="sr-Latn-CS"/>
        </w:rPr>
        <w:t>ć</w:t>
      </w:r>
      <w:r w:rsidRPr="0099185C">
        <w:rPr>
          <w:sz w:val="22"/>
          <w:szCs w:val="22"/>
        </w:rPr>
        <w:t>i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na</w:t>
      </w:r>
      <w:r w:rsidRPr="0099185C">
        <w:rPr>
          <w:sz w:val="22"/>
          <w:szCs w:val="22"/>
          <w:lang w:val="sr-Latn-CS"/>
        </w:rPr>
        <w:t>č</w:t>
      </w:r>
      <w:r w:rsidRPr="0099185C">
        <w:rPr>
          <w:sz w:val="22"/>
          <w:szCs w:val="22"/>
        </w:rPr>
        <w:t>in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u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tabeli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i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definisana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je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sl</w:t>
      </w:r>
      <w:r w:rsidR="005862B0">
        <w:rPr>
          <w:sz w:val="22"/>
          <w:szCs w:val="22"/>
        </w:rPr>
        <w:t>j</w:t>
      </w:r>
      <w:r w:rsidRPr="0099185C">
        <w:rPr>
          <w:sz w:val="22"/>
          <w:szCs w:val="22"/>
        </w:rPr>
        <w:t>ede</w:t>
      </w:r>
      <w:r w:rsidRPr="0099185C">
        <w:rPr>
          <w:sz w:val="22"/>
          <w:szCs w:val="22"/>
          <w:lang w:val="sr-Latn-CS"/>
        </w:rPr>
        <w:t>ć</w:t>
      </w:r>
      <w:r w:rsidRPr="0099185C">
        <w:rPr>
          <w:sz w:val="22"/>
          <w:szCs w:val="22"/>
        </w:rPr>
        <w:t>om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konvencijom</w:t>
      </w:r>
      <w:r w:rsidRPr="0099185C">
        <w:rPr>
          <w:sz w:val="22"/>
          <w:szCs w:val="22"/>
          <w:lang w:val="sr-Latn-CS"/>
        </w:rPr>
        <w:t xml:space="preserve">: </w:t>
      </w:r>
      <w:r w:rsidRPr="0099185C">
        <w:rPr>
          <w:sz w:val="22"/>
          <w:szCs w:val="22"/>
        </w:rPr>
        <w:t>veoma</w:t>
      </w:r>
      <w:r w:rsidRPr="0099185C">
        <w:rPr>
          <w:sz w:val="22"/>
          <w:szCs w:val="22"/>
          <w:lang w:val="sr-Latn-CS"/>
        </w:rPr>
        <w:t xml:space="preserve"> č</w:t>
      </w:r>
      <w:r w:rsidRPr="0099185C">
        <w:rPr>
          <w:sz w:val="22"/>
          <w:szCs w:val="22"/>
        </w:rPr>
        <w:t>esto</w:t>
      </w:r>
      <w:r w:rsidRPr="0099185C">
        <w:rPr>
          <w:sz w:val="22"/>
          <w:szCs w:val="22"/>
          <w:lang w:val="sr-Latn-CS"/>
        </w:rPr>
        <w:t xml:space="preserve"> (≥ 1/10), č</w:t>
      </w:r>
      <w:r w:rsidRPr="0099185C">
        <w:rPr>
          <w:sz w:val="22"/>
          <w:szCs w:val="22"/>
        </w:rPr>
        <w:t>esto</w:t>
      </w:r>
      <w:r w:rsidRPr="0099185C">
        <w:rPr>
          <w:sz w:val="22"/>
          <w:szCs w:val="22"/>
          <w:lang w:val="sr-Latn-CS"/>
        </w:rPr>
        <w:t xml:space="preserve"> (≥ 1/100 </w:t>
      </w:r>
      <w:r w:rsidRPr="0099185C">
        <w:rPr>
          <w:sz w:val="22"/>
          <w:szCs w:val="22"/>
        </w:rPr>
        <w:t>do</w:t>
      </w:r>
      <w:r w:rsidRPr="0099185C">
        <w:rPr>
          <w:sz w:val="22"/>
          <w:szCs w:val="22"/>
          <w:lang w:val="sr-Latn-CS"/>
        </w:rPr>
        <w:t xml:space="preserve"> &lt; 1/10); </w:t>
      </w:r>
      <w:r w:rsidRPr="0099185C">
        <w:rPr>
          <w:sz w:val="22"/>
          <w:szCs w:val="22"/>
        </w:rPr>
        <w:t>po</w:t>
      </w:r>
      <w:r w:rsidR="00136F13">
        <w:rPr>
          <w:sz w:val="22"/>
          <w:szCs w:val="22"/>
        </w:rPr>
        <w:t>vreme</w:t>
      </w:r>
      <w:r w:rsidRPr="0099185C">
        <w:rPr>
          <w:sz w:val="22"/>
          <w:szCs w:val="22"/>
        </w:rPr>
        <w:t>no</w:t>
      </w:r>
      <w:r w:rsidRPr="0099185C">
        <w:rPr>
          <w:sz w:val="22"/>
          <w:szCs w:val="22"/>
          <w:lang w:val="sr-Latn-CS"/>
        </w:rPr>
        <w:t xml:space="preserve"> (≥ 1/1000 </w:t>
      </w:r>
      <w:r w:rsidRPr="0099185C">
        <w:rPr>
          <w:sz w:val="22"/>
          <w:szCs w:val="22"/>
        </w:rPr>
        <w:t>do</w:t>
      </w:r>
      <w:r w:rsidRPr="0099185C">
        <w:rPr>
          <w:sz w:val="22"/>
          <w:szCs w:val="22"/>
          <w:lang w:val="sr-Latn-CS"/>
        </w:rPr>
        <w:t xml:space="preserve"> &lt; 1/100); </w:t>
      </w:r>
      <w:r w:rsidR="00136F13">
        <w:rPr>
          <w:sz w:val="22"/>
          <w:szCs w:val="22"/>
        </w:rPr>
        <w:t>rijetko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  <w:lang w:val="sr-Latn-CS"/>
        </w:rPr>
        <w:lastRenderedPageBreak/>
        <w:t>(≥</w:t>
      </w:r>
      <w:r w:rsidR="005862B0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  <w:lang w:val="sr-Latn-CS"/>
        </w:rPr>
        <w:t>1/10</w:t>
      </w:r>
      <w:r w:rsidR="005862B0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  <w:lang w:val="sr-Latn-CS"/>
        </w:rPr>
        <w:t xml:space="preserve">000 </w:t>
      </w:r>
      <w:r w:rsidRPr="0099185C">
        <w:rPr>
          <w:sz w:val="22"/>
          <w:szCs w:val="22"/>
        </w:rPr>
        <w:t>do</w:t>
      </w:r>
      <w:r w:rsidRPr="0099185C">
        <w:rPr>
          <w:sz w:val="22"/>
          <w:szCs w:val="22"/>
          <w:lang w:val="sr-Latn-CS"/>
        </w:rPr>
        <w:t xml:space="preserve"> &lt;</w:t>
      </w:r>
      <w:r w:rsidR="005862B0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  <w:lang w:val="sr-Latn-CS"/>
        </w:rPr>
        <w:t xml:space="preserve">1/1000), </w:t>
      </w:r>
      <w:r w:rsidRPr="0099185C">
        <w:rPr>
          <w:sz w:val="22"/>
          <w:szCs w:val="22"/>
        </w:rPr>
        <w:t>veoma</w:t>
      </w:r>
      <w:r w:rsidRPr="0099185C">
        <w:rPr>
          <w:sz w:val="22"/>
          <w:szCs w:val="22"/>
          <w:lang w:val="sr-Latn-CS"/>
        </w:rPr>
        <w:t xml:space="preserve"> </w:t>
      </w:r>
      <w:r w:rsidR="00136F13">
        <w:rPr>
          <w:sz w:val="22"/>
          <w:szCs w:val="22"/>
        </w:rPr>
        <w:t>rijetko</w:t>
      </w:r>
      <w:r w:rsidRPr="0099185C">
        <w:rPr>
          <w:sz w:val="22"/>
          <w:szCs w:val="22"/>
          <w:lang w:val="sr-Latn-CS"/>
        </w:rPr>
        <w:t xml:space="preserve"> (&lt;</w:t>
      </w:r>
      <w:r w:rsidR="005862B0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  <w:lang w:val="sr-Latn-CS"/>
        </w:rPr>
        <w:t>1/10</w:t>
      </w:r>
      <w:r w:rsidR="005862B0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  <w:lang w:val="sr-Latn-CS"/>
        </w:rPr>
        <w:t xml:space="preserve">000) </w:t>
      </w:r>
      <w:r w:rsidRPr="0099185C">
        <w:rPr>
          <w:sz w:val="22"/>
          <w:szCs w:val="22"/>
        </w:rPr>
        <w:t>i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nepoznato</w:t>
      </w:r>
      <w:r w:rsidRPr="0099185C">
        <w:rPr>
          <w:sz w:val="22"/>
          <w:szCs w:val="22"/>
          <w:lang w:val="sr-Latn-CS"/>
        </w:rPr>
        <w:t xml:space="preserve"> (</w:t>
      </w:r>
      <w:r w:rsidRPr="0099185C">
        <w:rPr>
          <w:sz w:val="22"/>
          <w:szCs w:val="22"/>
        </w:rPr>
        <w:t>ne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mo</w:t>
      </w:r>
      <w:r w:rsidRPr="0099185C">
        <w:rPr>
          <w:sz w:val="22"/>
          <w:szCs w:val="22"/>
          <w:lang w:val="sr-Latn-CS"/>
        </w:rPr>
        <w:t>ž</w:t>
      </w:r>
      <w:r w:rsidRPr="0099185C">
        <w:rPr>
          <w:sz w:val="22"/>
          <w:szCs w:val="22"/>
        </w:rPr>
        <w:t>e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se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proc</w:t>
      </w:r>
      <w:r w:rsidR="00136F13">
        <w:rPr>
          <w:sz w:val="22"/>
          <w:szCs w:val="22"/>
        </w:rPr>
        <w:t>j</w:t>
      </w:r>
      <w:r w:rsidRPr="0099185C">
        <w:rPr>
          <w:sz w:val="22"/>
          <w:szCs w:val="22"/>
        </w:rPr>
        <w:t>eniti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na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osnovu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dostupnih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podataka</w:t>
      </w:r>
      <w:r w:rsidRPr="0099185C">
        <w:rPr>
          <w:sz w:val="22"/>
          <w:szCs w:val="22"/>
          <w:lang w:val="sr-Latn-CS"/>
        </w:rPr>
        <w:t>).</w:t>
      </w:r>
    </w:p>
    <w:p w14:paraId="02F89C02" w14:textId="1B15C889" w:rsidR="0099185C" w:rsidRDefault="0099185C" w:rsidP="00AB1FCF">
      <w:pPr>
        <w:jc w:val="both"/>
        <w:rPr>
          <w:sz w:val="22"/>
          <w:szCs w:val="22"/>
          <w:lang w:val="sr-Latn-CS"/>
        </w:rPr>
      </w:pPr>
      <w:r w:rsidRPr="0099185C">
        <w:rPr>
          <w:sz w:val="22"/>
          <w:szCs w:val="22"/>
        </w:rPr>
        <w:t>U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okviru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svake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grupe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u</w:t>
      </w:r>
      <w:r w:rsidRPr="0099185C">
        <w:rPr>
          <w:sz w:val="22"/>
          <w:szCs w:val="22"/>
          <w:lang w:val="sr-Latn-CS"/>
        </w:rPr>
        <w:t>č</w:t>
      </w:r>
      <w:r w:rsidRPr="0099185C">
        <w:rPr>
          <w:sz w:val="22"/>
          <w:szCs w:val="22"/>
        </w:rPr>
        <w:t>estalosti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ne</w:t>
      </w:r>
      <w:r w:rsidRPr="0099185C">
        <w:rPr>
          <w:sz w:val="22"/>
          <w:szCs w:val="22"/>
          <w:lang w:val="sr-Latn-CS"/>
        </w:rPr>
        <w:t>ž</w:t>
      </w:r>
      <w:r w:rsidRPr="0099185C">
        <w:rPr>
          <w:sz w:val="22"/>
          <w:szCs w:val="22"/>
        </w:rPr>
        <w:t>eljena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dejstva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su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prikazana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po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opadaju</w:t>
      </w:r>
      <w:r w:rsidRPr="0099185C">
        <w:rPr>
          <w:sz w:val="22"/>
          <w:szCs w:val="22"/>
          <w:lang w:val="sr-Latn-CS"/>
        </w:rPr>
        <w:t>ć</w:t>
      </w:r>
      <w:r w:rsidRPr="0099185C">
        <w:rPr>
          <w:sz w:val="22"/>
          <w:szCs w:val="22"/>
        </w:rPr>
        <w:t>oj</w:t>
      </w:r>
      <w:r w:rsidRPr="0099185C">
        <w:rPr>
          <w:sz w:val="22"/>
          <w:szCs w:val="22"/>
          <w:lang w:val="sr-Latn-CS"/>
        </w:rPr>
        <w:t xml:space="preserve"> </w:t>
      </w:r>
      <w:r w:rsidRPr="0099185C">
        <w:rPr>
          <w:sz w:val="22"/>
          <w:szCs w:val="22"/>
        </w:rPr>
        <w:t>ozbiljnosti</w:t>
      </w:r>
      <w:r w:rsidRPr="0099185C">
        <w:rPr>
          <w:sz w:val="22"/>
          <w:szCs w:val="22"/>
          <w:lang w:val="sr-Latn-CS"/>
        </w:rPr>
        <w:t>.</w:t>
      </w:r>
    </w:p>
    <w:p w14:paraId="16859979" w14:textId="77777777" w:rsidR="0099185C" w:rsidRPr="0099185C" w:rsidRDefault="0099185C" w:rsidP="00110E22">
      <w:pPr>
        <w:rPr>
          <w:rStyle w:val="Emphasis"/>
          <w:i w:val="0"/>
          <w:sz w:val="22"/>
          <w:szCs w:val="22"/>
          <w:lang w:val="sr-Latn-CS"/>
        </w:rPr>
      </w:pPr>
    </w:p>
    <w:tbl>
      <w:tblPr>
        <w:tblW w:w="990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980"/>
        <w:gridCol w:w="1620"/>
        <w:gridCol w:w="1710"/>
        <w:gridCol w:w="1202"/>
        <w:gridCol w:w="1498"/>
      </w:tblGrid>
      <w:tr w:rsidR="0099185C" w:rsidRPr="0099185C" w14:paraId="24CFB39C" w14:textId="77777777" w:rsidTr="00AB1FCF">
        <w:tc>
          <w:tcPr>
            <w:tcW w:w="1890" w:type="dxa"/>
          </w:tcPr>
          <w:p w14:paraId="1E5D78E6" w14:textId="77777777" w:rsidR="0099185C" w:rsidRPr="0099185C" w:rsidRDefault="0099185C" w:rsidP="003C17A3">
            <w:pPr>
              <w:jc w:val="center"/>
              <w:rPr>
                <w:rStyle w:val="Emphasis"/>
                <w:b/>
                <w:i w:val="0"/>
                <w:sz w:val="22"/>
                <w:szCs w:val="22"/>
              </w:rPr>
            </w:pPr>
            <w:r w:rsidRPr="0099185C">
              <w:rPr>
                <w:rStyle w:val="Emphasis"/>
                <w:b/>
                <w:sz w:val="22"/>
                <w:szCs w:val="22"/>
              </w:rPr>
              <w:t>Organski sistem</w:t>
            </w:r>
          </w:p>
        </w:tc>
        <w:tc>
          <w:tcPr>
            <w:tcW w:w="1980" w:type="dxa"/>
          </w:tcPr>
          <w:p w14:paraId="02F3D40B" w14:textId="77777777" w:rsidR="0099185C" w:rsidRPr="0099185C" w:rsidRDefault="0099185C" w:rsidP="003C17A3">
            <w:pPr>
              <w:jc w:val="center"/>
              <w:rPr>
                <w:rStyle w:val="Emphasis"/>
                <w:b/>
                <w:i w:val="0"/>
                <w:sz w:val="22"/>
                <w:szCs w:val="22"/>
              </w:rPr>
            </w:pPr>
            <w:r w:rsidRPr="0099185C">
              <w:rPr>
                <w:rStyle w:val="Emphasis"/>
                <w:b/>
                <w:sz w:val="22"/>
                <w:szCs w:val="22"/>
              </w:rPr>
              <w:t>Često</w:t>
            </w:r>
          </w:p>
        </w:tc>
        <w:tc>
          <w:tcPr>
            <w:tcW w:w="1620" w:type="dxa"/>
          </w:tcPr>
          <w:p w14:paraId="5F1A5E38" w14:textId="15C4D05E" w:rsidR="0099185C" w:rsidRPr="0099185C" w:rsidRDefault="0099185C" w:rsidP="003C17A3">
            <w:pPr>
              <w:jc w:val="center"/>
              <w:rPr>
                <w:rStyle w:val="Emphasis"/>
                <w:b/>
                <w:i w:val="0"/>
                <w:sz w:val="22"/>
                <w:szCs w:val="22"/>
              </w:rPr>
            </w:pPr>
            <w:r w:rsidRPr="0099185C">
              <w:rPr>
                <w:rStyle w:val="Emphasis"/>
                <w:b/>
                <w:sz w:val="22"/>
                <w:szCs w:val="22"/>
              </w:rPr>
              <w:t>Po</w:t>
            </w:r>
            <w:r w:rsidR="00136F13">
              <w:rPr>
                <w:rStyle w:val="Emphasis"/>
                <w:b/>
                <w:sz w:val="22"/>
                <w:szCs w:val="22"/>
              </w:rPr>
              <w:t>vreme</w:t>
            </w:r>
            <w:r w:rsidRPr="0099185C">
              <w:rPr>
                <w:rStyle w:val="Emphasis"/>
                <w:b/>
                <w:sz w:val="22"/>
                <w:szCs w:val="22"/>
              </w:rPr>
              <w:t>no</w:t>
            </w:r>
          </w:p>
        </w:tc>
        <w:tc>
          <w:tcPr>
            <w:tcW w:w="1710" w:type="dxa"/>
          </w:tcPr>
          <w:p w14:paraId="119D7B57" w14:textId="23E1A1F0" w:rsidR="0099185C" w:rsidRPr="0099185C" w:rsidRDefault="00136F13" w:rsidP="003C17A3">
            <w:pPr>
              <w:jc w:val="center"/>
              <w:rPr>
                <w:rStyle w:val="Emphasis"/>
                <w:b/>
                <w:i w:val="0"/>
                <w:sz w:val="22"/>
                <w:szCs w:val="22"/>
              </w:rPr>
            </w:pPr>
            <w:r>
              <w:rPr>
                <w:rStyle w:val="Emphasis"/>
                <w:b/>
                <w:sz w:val="22"/>
                <w:szCs w:val="22"/>
              </w:rPr>
              <w:t>Rijetko</w:t>
            </w:r>
          </w:p>
        </w:tc>
        <w:tc>
          <w:tcPr>
            <w:tcW w:w="1202" w:type="dxa"/>
          </w:tcPr>
          <w:p w14:paraId="61917FC9" w14:textId="184D45CE" w:rsidR="0099185C" w:rsidRPr="0099185C" w:rsidRDefault="0099185C" w:rsidP="003C17A3">
            <w:pPr>
              <w:jc w:val="center"/>
              <w:rPr>
                <w:rStyle w:val="Emphasis"/>
                <w:b/>
                <w:i w:val="0"/>
                <w:sz w:val="22"/>
                <w:szCs w:val="22"/>
              </w:rPr>
            </w:pPr>
            <w:r w:rsidRPr="0099185C">
              <w:rPr>
                <w:rStyle w:val="Emphasis"/>
                <w:b/>
                <w:sz w:val="22"/>
                <w:szCs w:val="22"/>
              </w:rPr>
              <w:t xml:space="preserve">Vrlo </w:t>
            </w:r>
            <w:r w:rsidR="00136F13">
              <w:rPr>
                <w:rStyle w:val="Emphasis"/>
                <w:b/>
                <w:sz w:val="22"/>
                <w:szCs w:val="22"/>
              </w:rPr>
              <w:t>rijetko</w:t>
            </w:r>
          </w:p>
        </w:tc>
        <w:tc>
          <w:tcPr>
            <w:tcW w:w="1498" w:type="dxa"/>
          </w:tcPr>
          <w:p w14:paraId="25E0314A" w14:textId="77777777" w:rsidR="0099185C" w:rsidRPr="0099185C" w:rsidRDefault="0099185C" w:rsidP="003C17A3">
            <w:pPr>
              <w:jc w:val="center"/>
              <w:rPr>
                <w:rStyle w:val="Emphasis"/>
                <w:b/>
                <w:i w:val="0"/>
                <w:sz w:val="22"/>
                <w:szCs w:val="22"/>
              </w:rPr>
            </w:pPr>
            <w:r w:rsidRPr="0099185C">
              <w:rPr>
                <w:rStyle w:val="Emphasis"/>
                <w:b/>
                <w:sz w:val="22"/>
                <w:szCs w:val="22"/>
              </w:rPr>
              <w:t>Nepoznato</w:t>
            </w:r>
          </w:p>
        </w:tc>
      </w:tr>
      <w:tr w:rsidR="0099185C" w:rsidRPr="0099185C" w14:paraId="62C2A3F6" w14:textId="77777777" w:rsidTr="00AB1FCF">
        <w:tc>
          <w:tcPr>
            <w:tcW w:w="1890" w:type="dxa"/>
          </w:tcPr>
          <w:p w14:paraId="4F2A2556" w14:textId="77777777" w:rsidR="0099185C" w:rsidRPr="0099185C" w:rsidRDefault="0099185C" w:rsidP="003C17A3">
            <w:pPr>
              <w:rPr>
                <w:rStyle w:val="Emphasis"/>
                <w:sz w:val="22"/>
                <w:szCs w:val="22"/>
                <w:lang w:val="it-IT"/>
              </w:rPr>
            </w:pPr>
            <w:r w:rsidRPr="0099185C">
              <w:rPr>
                <w:rStyle w:val="Emphasis"/>
                <w:sz w:val="22"/>
                <w:szCs w:val="22"/>
                <w:lang w:val="it-IT"/>
              </w:rPr>
              <w:t>Poremećaji krvi i limfnog sistema</w:t>
            </w:r>
          </w:p>
        </w:tc>
        <w:tc>
          <w:tcPr>
            <w:tcW w:w="1980" w:type="dxa"/>
          </w:tcPr>
          <w:p w14:paraId="1EE740E4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1620" w:type="dxa"/>
          </w:tcPr>
          <w:p w14:paraId="28B12CD7" w14:textId="77777777" w:rsidR="0099185C" w:rsidRPr="005862B0" w:rsidRDefault="0099185C" w:rsidP="003C17A3">
            <w:pPr>
              <w:jc w:val="center"/>
              <w:rPr>
                <w:rStyle w:val="Emphasis"/>
                <w:i w:val="0"/>
                <w:sz w:val="22"/>
                <w:szCs w:val="22"/>
              </w:rPr>
            </w:pPr>
            <w:r w:rsidRPr="00AB1FCF">
              <w:rPr>
                <w:rStyle w:val="Emphasis"/>
                <w:i w:val="0"/>
                <w:sz w:val="22"/>
                <w:szCs w:val="22"/>
              </w:rPr>
              <w:t>Eozinofilija</w:t>
            </w:r>
          </w:p>
        </w:tc>
        <w:tc>
          <w:tcPr>
            <w:tcW w:w="1710" w:type="dxa"/>
          </w:tcPr>
          <w:p w14:paraId="30120EEB" w14:textId="4EC454DC" w:rsidR="0099185C" w:rsidRPr="005862B0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  <w:r w:rsidRPr="00AB1FCF">
              <w:rPr>
                <w:rStyle w:val="Emphasis"/>
                <w:i w:val="0"/>
                <w:sz w:val="22"/>
                <w:szCs w:val="22"/>
              </w:rPr>
              <w:t xml:space="preserve">Smanjenje broja belih krvnih ćelija (uključujući neutropeniju ili agranulocitozu), smanjenje broja crvenih krvnih ćelija, smanjenje koncentracije hemoglobina, smanjenje broja trombocita </w:t>
            </w:r>
          </w:p>
        </w:tc>
        <w:tc>
          <w:tcPr>
            <w:tcW w:w="1202" w:type="dxa"/>
          </w:tcPr>
          <w:p w14:paraId="3FD32CE8" w14:textId="77777777" w:rsidR="0099185C" w:rsidRPr="005862B0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</w:p>
        </w:tc>
        <w:tc>
          <w:tcPr>
            <w:tcW w:w="1498" w:type="dxa"/>
          </w:tcPr>
          <w:p w14:paraId="236E8A76" w14:textId="01A22E40" w:rsidR="0099185C" w:rsidRPr="005862B0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  <w:r w:rsidRPr="00AB1FCF">
              <w:rPr>
                <w:rStyle w:val="Emphasis"/>
                <w:i w:val="0"/>
                <w:sz w:val="22"/>
                <w:szCs w:val="22"/>
              </w:rPr>
              <w:t>Depresija ko</w:t>
            </w:r>
            <w:r w:rsidR="005862B0" w:rsidRPr="00AB1FCF">
              <w:rPr>
                <w:rStyle w:val="Emphasis"/>
                <w:i w:val="0"/>
                <w:sz w:val="22"/>
                <w:szCs w:val="22"/>
              </w:rPr>
              <w:t>st</w:t>
            </w:r>
            <w:r w:rsidRPr="00AB1FCF">
              <w:rPr>
                <w:rStyle w:val="Emphasis"/>
                <w:i w:val="0"/>
                <w:sz w:val="22"/>
                <w:szCs w:val="22"/>
              </w:rPr>
              <w:t>ne srži, pancitopenija, hemolitička anemija</w:t>
            </w:r>
          </w:p>
        </w:tc>
      </w:tr>
      <w:tr w:rsidR="0099185C" w:rsidRPr="0099185C" w14:paraId="7A933E2C" w14:textId="77777777" w:rsidTr="00AB1FCF">
        <w:tc>
          <w:tcPr>
            <w:tcW w:w="1890" w:type="dxa"/>
          </w:tcPr>
          <w:p w14:paraId="6018FF10" w14:textId="77777777" w:rsidR="0099185C" w:rsidRPr="0099185C" w:rsidRDefault="0099185C" w:rsidP="003C17A3">
            <w:pPr>
              <w:rPr>
                <w:rStyle w:val="Emphasis"/>
                <w:sz w:val="22"/>
                <w:szCs w:val="22"/>
              </w:rPr>
            </w:pPr>
            <w:r w:rsidRPr="0099185C">
              <w:rPr>
                <w:rStyle w:val="Emphasis"/>
                <w:sz w:val="22"/>
                <w:szCs w:val="22"/>
              </w:rPr>
              <w:t>P</w:t>
            </w:r>
            <w:r w:rsidRPr="0099185C">
              <w:rPr>
                <w:i/>
                <w:sz w:val="22"/>
                <w:szCs w:val="22"/>
                <w:lang w:val="sr-Latn-CS"/>
              </w:rPr>
              <w:t>oremećaji imunskog sistema</w:t>
            </w:r>
          </w:p>
        </w:tc>
        <w:tc>
          <w:tcPr>
            <w:tcW w:w="1980" w:type="dxa"/>
          </w:tcPr>
          <w:p w14:paraId="39FDFBD4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FB2C6E2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</w:p>
        </w:tc>
        <w:tc>
          <w:tcPr>
            <w:tcW w:w="1710" w:type="dxa"/>
          </w:tcPr>
          <w:p w14:paraId="6884C841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</w:p>
        </w:tc>
        <w:tc>
          <w:tcPr>
            <w:tcW w:w="1202" w:type="dxa"/>
          </w:tcPr>
          <w:p w14:paraId="490364FE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</w:p>
        </w:tc>
        <w:tc>
          <w:tcPr>
            <w:tcW w:w="1498" w:type="dxa"/>
          </w:tcPr>
          <w:p w14:paraId="22463606" w14:textId="126EEBE8" w:rsidR="0099185C" w:rsidRPr="005862B0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  <w:r w:rsidRPr="00AB1FCF">
              <w:rPr>
                <w:rStyle w:val="Emphasis"/>
                <w:i w:val="0"/>
                <w:sz w:val="22"/>
                <w:szCs w:val="22"/>
              </w:rPr>
              <w:t>Anafilaktičke ili anafilaktoidne reakcije, povećanje antinuklearnih antit</w:t>
            </w:r>
            <w:r w:rsidR="003457B5" w:rsidRPr="00AB1FCF">
              <w:rPr>
                <w:rStyle w:val="Emphasis"/>
                <w:i w:val="0"/>
                <w:sz w:val="22"/>
                <w:szCs w:val="22"/>
              </w:rPr>
              <w:t>j</w:t>
            </w:r>
            <w:r w:rsidRPr="00AB1FCF">
              <w:rPr>
                <w:rStyle w:val="Emphasis"/>
                <w:i w:val="0"/>
                <w:sz w:val="22"/>
                <w:szCs w:val="22"/>
              </w:rPr>
              <w:t>ela</w:t>
            </w:r>
          </w:p>
        </w:tc>
      </w:tr>
      <w:tr w:rsidR="0099185C" w:rsidRPr="0099185C" w14:paraId="638B74EC" w14:textId="77777777" w:rsidTr="00AB1FCF">
        <w:tc>
          <w:tcPr>
            <w:tcW w:w="1890" w:type="dxa"/>
          </w:tcPr>
          <w:p w14:paraId="7DC50E73" w14:textId="77777777" w:rsidR="0099185C" w:rsidRPr="0099185C" w:rsidRDefault="0099185C" w:rsidP="003C17A3">
            <w:pPr>
              <w:rPr>
                <w:rStyle w:val="Emphasis"/>
                <w:sz w:val="22"/>
                <w:szCs w:val="22"/>
              </w:rPr>
            </w:pPr>
            <w:r w:rsidRPr="0099185C">
              <w:rPr>
                <w:rStyle w:val="Emphasis"/>
                <w:sz w:val="22"/>
                <w:szCs w:val="22"/>
              </w:rPr>
              <w:t>Endokrini poremećaji</w:t>
            </w:r>
          </w:p>
        </w:tc>
        <w:tc>
          <w:tcPr>
            <w:tcW w:w="1980" w:type="dxa"/>
          </w:tcPr>
          <w:p w14:paraId="0BC84459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CF2B378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</w:p>
        </w:tc>
        <w:tc>
          <w:tcPr>
            <w:tcW w:w="1710" w:type="dxa"/>
          </w:tcPr>
          <w:p w14:paraId="25DBD1B8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</w:p>
        </w:tc>
        <w:tc>
          <w:tcPr>
            <w:tcW w:w="1202" w:type="dxa"/>
          </w:tcPr>
          <w:p w14:paraId="7D09527C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</w:p>
        </w:tc>
        <w:tc>
          <w:tcPr>
            <w:tcW w:w="1498" w:type="dxa"/>
          </w:tcPr>
          <w:p w14:paraId="69AE6CA9" w14:textId="77777777" w:rsidR="0099185C" w:rsidRPr="005862B0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  <w:r w:rsidRPr="00AB1FCF">
              <w:rPr>
                <w:rStyle w:val="Emphasis"/>
                <w:i w:val="0"/>
                <w:sz w:val="22"/>
                <w:szCs w:val="22"/>
              </w:rPr>
              <w:t>Sindrom nedovoljnog lučenja anti-diuretskog hormona (SIADH)</w:t>
            </w:r>
          </w:p>
        </w:tc>
      </w:tr>
      <w:tr w:rsidR="0099185C" w:rsidRPr="00AB1FCF" w14:paraId="080A6A93" w14:textId="77777777" w:rsidTr="00AB1FCF">
        <w:tc>
          <w:tcPr>
            <w:tcW w:w="1890" w:type="dxa"/>
          </w:tcPr>
          <w:p w14:paraId="7811604A" w14:textId="77777777" w:rsidR="0099185C" w:rsidRPr="0099185C" w:rsidRDefault="0099185C" w:rsidP="003C17A3">
            <w:pPr>
              <w:rPr>
                <w:rStyle w:val="Emphasis"/>
                <w:iCs w:val="0"/>
                <w:sz w:val="22"/>
                <w:szCs w:val="22"/>
              </w:rPr>
            </w:pPr>
            <w:r w:rsidRPr="0099185C">
              <w:rPr>
                <w:rStyle w:val="Emphasis"/>
                <w:sz w:val="22"/>
                <w:szCs w:val="22"/>
              </w:rPr>
              <w:t>Poremećaji metabolizma i ishrane</w:t>
            </w:r>
          </w:p>
        </w:tc>
        <w:tc>
          <w:tcPr>
            <w:tcW w:w="1980" w:type="dxa"/>
          </w:tcPr>
          <w:p w14:paraId="4DA7FFED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  <w:r w:rsidRPr="0099185C">
              <w:rPr>
                <w:sz w:val="22"/>
                <w:szCs w:val="22"/>
                <w:lang w:val="pl-PL"/>
              </w:rPr>
              <w:t>Povećana koncentracija kalijuma u krvi</w:t>
            </w:r>
            <w:r w:rsidRPr="0099185C">
              <w:rPr>
                <w:rStyle w:val="HeaderChar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</w:tcPr>
          <w:p w14:paraId="4112097B" w14:textId="77777777" w:rsidR="0099185C" w:rsidRPr="005862B0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  <w:r w:rsidRPr="00AB1FCF">
              <w:rPr>
                <w:rStyle w:val="Emphasis"/>
                <w:i w:val="0"/>
                <w:sz w:val="22"/>
                <w:szCs w:val="22"/>
              </w:rPr>
              <w:t>Anoreksija, smanjenje apetita</w:t>
            </w:r>
          </w:p>
        </w:tc>
        <w:tc>
          <w:tcPr>
            <w:tcW w:w="1710" w:type="dxa"/>
          </w:tcPr>
          <w:p w14:paraId="6C027A1D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</w:p>
        </w:tc>
        <w:tc>
          <w:tcPr>
            <w:tcW w:w="1202" w:type="dxa"/>
          </w:tcPr>
          <w:p w14:paraId="3613A0D9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</w:p>
        </w:tc>
        <w:tc>
          <w:tcPr>
            <w:tcW w:w="1498" w:type="dxa"/>
          </w:tcPr>
          <w:p w14:paraId="2A0E777B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  <w:lang w:val="es-ES"/>
              </w:rPr>
            </w:pPr>
            <w:r w:rsidRPr="0099185C">
              <w:rPr>
                <w:sz w:val="22"/>
                <w:szCs w:val="22"/>
                <w:lang w:val="pl-PL"/>
              </w:rPr>
              <w:t>Smanjena koncentracija natrijuma u krvi</w:t>
            </w:r>
            <w:r w:rsidRPr="0099185C">
              <w:rPr>
                <w:rStyle w:val="HeaderChar"/>
                <w:i/>
                <w:sz w:val="22"/>
                <w:szCs w:val="22"/>
                <w:lang w:val="es-ES"/>
              </w:rPr>
              <w:t xml:space="preserve"> </w:t>
            </w:r>
          </w:p>
        </w:tc>
      </w:tr>
      <w:tr w:rsidR="0099185C" w:rsidRPr="0099185C" w14:paraId="56FF6201" w14:textId="77777777" w:rsidTr="00AB1FCF">
        <w:tc>
          <w:tcPr>
            <w:tcW w:w="1890" w:type="dxa"/>
          </w:tcPr>
          <w:p w14:paraId="12A7486C" w14:textId="77777777" w:rsidR="0099185C" w:rsidRPr="0099185C" w:rsidRDefault="0099185C" w:rsidP="003C17A3">
            <w:pPr>
              <w:rPr>
                <w:rStyle w:val="Emphasis"/>
                <w:sz w:val="22"/>
                <w:szCs w:val="22"/>
              </w:rPr>
            </w:pPr>
            <w:r w:rsidRPr="0099185C">
              <w:rPr>
                <w:rStyle w:val="Emphasis"/>
                <w:sz w:val="22"/>
                <w:szCs w:val="22"/>
              </w:rPr>
              <w:t>Psihijatrijski poremećaji</w:t>
            </w:r>
          </w:p>
        </w:tc>
        <w:tc>
          <w:tcPr>
            <w:tcW w:w="1980" w:type="dxa"/>
          </w:tcPr>
          <w:p w14:paraId="3692017F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A5029B3" w14:textId="77777777" w:rsidR="0099185C" w:rsidRPr="005862B0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  <w:r w:rsidRPr="00AB1FCF">
              <w:rPr>
                <w:rStyle w:val="Emphasis"/>
                <w:i w:val="0"/>
                <w:sz w:val="22"/>
                <w:szCs w:val="22"/>
              </w:rPr>
              <w:t>Depresivno raspoloženje, anksioznost, nervoza, nemir, poremećaj spavanja uključujući somnolenciju</w:t>
            </w:r>
          </w:p>
        </w:tc>
        <w:tc>
          <w:tcPr>
            <w:tcW w:w="1710" w:type="dxa"/>
          </w:tcPr>
          <w:p w14:paraId="105C7339" w14:textId="77777777" w:rsidR="0099185C" w:rsidRPr="005862B0" w:rsidRDefault="0099185C" w:rsidP="003C17A3">
            <w:pPr>
              <w:jc w:val="center"/>
              <w:rPr>
                <w:rStyle w:val="Emphasis"/>
                <w:i w:val="0"/>
                <w:sz w:val="22"/>
                <w:szCs w:val="22"/>
              </w:rPr>
            </w:pPr>
            <w:r w:rsidRPr="00AB1FCF">
              <w:rPr>
                <w:rStyle w:val="Emphasis"/>
                <w:i w:val="0"/>
                <w:sz w:val="22"/>
                <w:szCs w:val="22"/>
              </w:rPr>
              <w:t>Stanje konfuzije</w:t>
            </w:r>
          </w:p>
        </w:tc>
        <w:tc>
          <w:tcPr>
            <w:tcW w:w="1202" w:type="dxa"/>
          </w:tcPr>
          <w:p w14:paraId="45BD1837" w14:textId="77777777" w:rsidR="0099185C" w:rsidRPr="005862B0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</w:p>
        </w:tc>
        <w:tc>
          <w:tcPr>
            <w:tcW w:w="1498" w:type="dxa"/>
          </w:tcPr>
          <w:p w14:paraId="0256CCE7" w14:textId="77777777" w:rsidR="0099185C" w:rsidRPr="005862B0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  <w:r w:rsidRPr="00AB1FCF">
              <w:rPr>
                <w:rStyle w:val="Emphasis"/>
                <w:i w:val="0"/>
                <w:sz w:val="22"/>
                <w:szCs w:val="22"/>
              </w:rPr>
              <w:t>Poremećaj pažnje</w:t>
            </w:r>
          </w:p>
        </w:tc>
      </w:tr>
      <w:tr w:rsidR="0099185C" w:rsidRPr="0099185C" w14:paraId="7079E1A7" w14:textId="77777777" w:rsidTr="00AB1FCF">
        <w:tc>
          <w:tcPr>
            <w:tcW w:w="1890" w:type="dxa"/>
          </w:tcPr>
          <w:p w14:paraId="1E5FA107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  <w:r w:rsidRPr="0099185C">
              <w:rPr>
                <w:rStyle w:val="Emphasis"/>
                <w:sz w:val="22"/>
                <w:szCs w:val="22"/>
              </w:rPr>
              <w:t>Poremećaji nervnog sistema</w:t>
            </w:r>
          </w:p>
        </w:tc>
        <w:tc>
          <w:tcPr>
            <w:tcW w:w="1980" w:type="dxa"/>
          </w:tcPr>
          <w:p w14:paraId="55B139CC" w14:textId="77777777" w:rsidR="0099185C" w:rsidRPr="0092755F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  <w:r w:rsidRPr="00AB1FCF">
              <w:rPr>
                <w:rStyle w:val="Emphasis"/>
                <w:i w:val="0"/>
                <w:sz w:val="22"/>
                <w:szCs w:val="22"/>
              </w:rPr>
              <w:t>Glavobolja, vrtoglavica</w:t>
            </w:r>
          </w:p>
        </w:tc>
        <w:tc>
          <w:tcPr>
            <w:tcW w:w="1620" w:type="dxa"/>
          </w:tcPr>
          <w:p w14:paraId="0B03200E" w14:textId="77777777" w:rsidR="0099185C" w:rsidRPr="005862B0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  <w:r w:rsidRPr="00AB1FCF">
              <w:rPr>
                <w:rStyle w:val="Emphasis"/>
                <w:i w:val="0"/>
                <w:sz w:val="22"/>
                <w:szCs w:val="22"/>
              </w:rPr>
              <w:t>Vertigo, parestezije, ageuzija, disgeuzija</w:t>
            </w:r>
          </w:p>
        </w:tc>
        <w:tc>
          <w:tcPr>
            <w:tcW w:w="1710" w:type="dxa"/>
          </w:tcPr>
          <w:p w14:paraId="11F15D81" w14:textId="77777777" w:rsidR="0099185C" w:rsidRPr="005862B0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  <w:r w:rsidRPr="00AB1FCF">
              <w:rPr>
                <w:rStyle w:val="Emphasis"/>
                <w:i w:val="0"/>
                <w:sz w:val="22"/>
                <w:szCs w:val="22"/>
              </w:rPr>
              <w:t>Tremor, poremećaj ravnoteže</w:t>
            </w:r>
          </w:p>
        </w:tc>
        <w:tc>
          <w:tcPr>
            <w:tcW w:w="1202" w:type="dxa"/>
          </w:tcPr>
          <w:p w14:paraId="739CDBFA" w14:textId="77777777" w:rsidR="0099185C" w:rsidRPr="005862B0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</w:p>
        </w:tc>
        <w:tc>
          <w:tcPr>
            <w:tcW w:w="1498" w:type="dxa"/>
          </w:tcPr>
          <w:p w14:paraId="63AFF5E9" w14:textId="01201889" w:rsidR="0099185C" w:rsidRPr="005862B0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  <w:r w:rsidRPr="00AB1FCF">
              <w:rPr>
                <w:rStyle w:val="Emphasis"/>
                <w:i w:val="0"/>
                <w:sz w:val="22"/>
                <w:szCs w:val="22"/>
              </w:rPr>
              <w:t>Cerebralna ishemija uključujući ishemijski insult i TIA (transient ischemic attack), oštećenje psihomotorne funkcije, os</w:t>
            </w:r>
            <w:r w:rsidR="00136F13" w:rsidRPr="00AB1FCF">
              <w:rPr>
                <w:rStyle w:val="Emphasis"/>
                <w:i w:val="0"/>
                <w:sz w:val="22"/>
                <w:szCs w:val="22"/>
              </w:rPr>
              <w:t>j</w:t>
            </w:r>
            <w:r w:rsidRPr="00AB1FCF">
              <w:rPr>
                <w:rStyle w:val="Emphasis"/>
                <w:i w:val="0"/>
                <w:sz w:val="22"/>
                <w:szCs w:val="22"/>
              </w:rPr>
              <w:t xml:space="preserve">ećaj </w:t>
            </w:r>
            <w:r w:rsidRPr="00AB1FCF">
              <w:rPr>
                <w:rStyle w:val="Emphasis"/>
                <w:i w:val="0"/>
                <w:sz w:val="22"/>
                <w:szCs w:val="22"/>
              </w:rPr>
              <w:lastRenderedPageBreak/>
              <w:t>peckanja, parosmija</w:t>
            </w:r>
          </w:p>
        </w:tc>
      </w:tr>
      <w:tr w:rsidR="0099185C" w:rsidRPr="0099185C" w14:paraId="11B1258E" w14:textId="77777777" w:rsidTr="00AB1FCF">
        <w:tc>
          <w:tcPr>
            <w:tcW w:w="1890" w:type="dxa"/>
          </w:tcPr>
          <w:p w14:paraId="0ED2C718" w14:textId="5CF86066" w:rsidR="0099185C" w:rsidRPr="0099185C" w:rsidRDefault="0099185C" w:rsidP="003C17A3">
            <w:pPr>
              <w:rPr>
                <w:rStyle w:val="Emphasis"/>
                <w:sz w:val="22"/>
                <w:szCs w:val="22"/>
              </w:rPr>
            </w:pPr>
            <w:r w:rsidRPr="0099185C">
              <w:rPr>
                <w:rStyle w:val="Emphasis"/>
                <w:sz w:val="22"/>
                <w:szCs w:val="22"/>
              </w:rPr>
              <w:lastRenderedPageBreak/>
              <w:t>Poremećaji oka</w:t>
            </w:r>
          </w:p>
        </w:tc>
        <w:tc>
          <w:tcPr>
            <w:tcW w:w="1980" w:type="dxa"/>
          </w:tcPr>
          <w:p w14:paraId="472CAE46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8268302" w14:textId="77777777" w:rsidR="0099185C" w:rsidRPr="005862B0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  <w:r w:rsidRPr="00AB1FCF">
              <w:rPr>
                <w:rStyle w:val="Emphasis"/>
                <w:i w:val="0"/>
                <w:sz w:val="22"/>
                <w:szCs w:val="22"/>
              </w:rPr>
              <w:t>Poremećaj vida uključujući zamućen vid</w:t>
            </w:r>
          </w:p>
        </w:tc>
        <w:tc>
          <w:tcPr>
            <w:tcW w:w="1710" w:type="dxa"/>
          </w:tcPr>
          <w:p w14:paraId="187C9375" w14:textId="77777777" w:rsidR="0099185C" w:rsidRPr="005862B0" w:rsidRDefault="0099185C" w:rsidP="003C17A3">
            <w:pPr>
              <w:jc w:val="center"/>
              <w:rPr>
                <w:rStyle w:val="Emphasis"/>
                <w:i w:val="0"/>
                <w:sz w:val="22"/>
                <w:szCs w:val="22"/>
              </w:rPr>
            </w:pPr>
            <w:r w:rsidRPr="00AB1FCF">
              <w:rPr>
                <w:rStyle w:val="Emphasis"/>
                <w:i w:val="0"/>
                <w:sz w:val="22"/>
                <w:szCs w:val="22"/>
              </w:rPr>
              <w:t>Konjunktivitis</w:t>
            </w:r>
          </w:p>
        </w:tc>
        <w:tc>
          <w:tcPr>
            <w:tcW w:w="1202" w:type="dxa"/>
          </w:tcPr>
          <w:p w14:paraId="7E31BE06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</w:p>
        </w:tc>
        <w:tc>
          <w:tcPr>
            <w:tcW w:w="1498" w:type="dxa"/>
          </w:tcPr>
          <w:p w14:paraId="5553FA2B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</w:p>
        </w:tc>
      </w:tr>
      <w:tr w:rsidR="0099185C" w:rsidRPr="0099185C" w14:paraId="412BF5C8" w14:textId="77777777" w:rsidTr="00AB1FCF">
        <w:tc>
          <w:tcPr>
            <w:tcW w:w="1890" w:type="dxa"/>
          </w:tcPr>
          <w:p w14:paraId="53FA7B92" w14:textId="77777777" w:rsidR="0099185C" w:rsidRPr="0099185C" w:rsidRDefault="0099185C" w:rsidP="003C17A3">
            <w:pPr>
              <w:rPr>
                <w:rStyle w:val="Emphasis"/>
                <w:sz w:val="22"/>
                <w:szCs w:val="22"/>
              </w:rPr>
            </w:pPr>
            <w:r w:rsidRPr="0099185C">
              <w:rPr>
                <w:i/>
                <w:sz w:val="22"/>
                <w:szCs w:val="22"/>
                <w:lang w:val="sr-Latn-CS"/>
              </w:rPr>
              <w:t>Poremećaji  uha i labirinta</w:t>
            </w:r>
            <w:r w:rsidRPr="0099185C">
              <w:rPr>
                <w:rStyle w:val="HeaderChar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</w:tcPr>
          <w:p w14:paraId="4B6378B7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21AD4CE" w14:textId="77777777" w:rsidR="0099185C" w:rsidRPr="005862B0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A62B1E3" w14:textId="77777777" w:rsidR="0099185C" w:rsidRPr="005862B0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  <w:r w:rsidRPr="00AB1FCF">
              <w:rPr>
                <w:rStyle w:val="Emphasis"/>
                <w:i w:val="0"/>
                <w:sz w:val="22"/>
                <w:szCs w:val="22"/>
              </w:rPr>
              <w:t>Oštećen sluh, tinitus</w:t>
            </w:r>
          </w:p>
        </w:tc>
        <w:tc>
          <w:tcPr>
            <w:tcW w:w="1202" w:type="dxa"/>
          </w:tcPr>
          <w:p w14:paraId="574F1D24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</w:p>
        </w:tc>
        <w:tc>
          <w:tcPr>
            <w:tcW w:w="1498" w:type="dxa"/>
          </w:tcPr>
          <w:p w14:paraId="111DD974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</w:p>
        </w:tc>
      </w:tr>
      <w:tr w:rsidR="0099185C" w:rsidRPr="0099185C" w14:paraId="0D10D3EA" w14:textId="77777777" w:rsidTr="00AB1FCF">
        <w:tc>
          <w:tcPr>
            <w:tcW w:w="1890" w:type="dxa"/>
          </w:tcPr>
          <w:p w14:paraId="4E80CDCD" w14:textId="77777777" w:rsidR="0099185C" w:rsidRPr="0099185C" w:rsidRDefault="0099185C" w:rsidP="003C17A3">
            <w:pPr>
              <w:rPr>
                <w:rStyle w:val="Emphasis"/>
                <w:sz w:val="22"/>
                <w:szCs w:val="22"/>
              </w:rPr>
            </w:pPr>
            <w:r w:rsidRPr="0099185C">
              <w:rPr>
                <w:i/>
                <w:sz w:val="22"/>
                <w:szCs w:val="22"/>
                <w:lang w:val="pl-PL"/>
              </w:rPr>
              <w:t>Kardiološki poremećaji</w:t>
            </w:r>
            <w:r w:rsidRPr="0099185C">
              <w:rPr>
                <w:rStyle w:val="HeaderChar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</w:tcPr>
          <w:p w14:paraId="3E640AA3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EF8EEE7" w14:textId="77777777" w:rsidR="0099185C" w:rsidRPr="005862B0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  <w:r w:rsidRPr="00AB1FCF">
              <w:rPr>
                <w:rStyle w:val="Emphasis"/>
                <w:i w:val="0"/>
                <w:sz w:val="22"/>
                <w:szCs w:val="22"/>
              </w:rPr>
              <w:t>Ishemija miokarda, uključujući anginu pektoris ili infarkt miokarda, tahikardija, aritmija, palpitacije, perifeni edem</w:t>
            </w:r>
          </w:p>
        </w:tc>
        <w:tc>
          <w:tcPr>
            <w:tcW w:w="1710" w:type="dxa"/>
          </w:tcPr>
          <w:p w14:paraId="4EF1C5AB" w14:textId="77777777" w:rsidR="0099185C" w:rsidRPr="00AB1FCF" w:rsidRDefault="0099185C" w:rsidP="003C17A3">
            <w:pPr>
              <w:rPr>
                <w:rStyle w:val="Emphasis"/>
                <w:sz w:val="22"/>
                <w:szCs w:val="22"/>
              </w:rPr>
            </w:pPr>
          </w:p>
        </w:tc>
        <w:tc>
          <w:tcPr>
            <w:tcW w:w="1202" w:type="dxa"/>
          </w:tcPr>
          <w:p w14:paraId="2C392257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</w:p>
        </w:tc>
        <w:tc>
          <w:tcPr>
            <w:tcW w:w="1498" w:type="dxa"/>
          </w:tcPr>
          <w:p w14:paraId="26E728B1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</w:p>
        </w:tc>
      </w:tr>
      <w:tr w:rsidR="0099185C" w:rsidRPr="0099185C" w14:paraId="4F6DF332" w14:textId="77777777" w:rsidTr="00AB1FCF">
        <w:tc>
          <w:tcPr>
            <w:tcW w:w="1890" w:type="dxa"/>
          </w:tcPr>
          <w:p w14:paraId="599E61AB" w14:textId="77777777" w:rsidR="0099185C" w:rsidRPr="0099185C" w:rsidRDefault="0099185C" w:rsidP="003C17A3">
            <w:pPr>
              <w:rPr>
                <w:rStyle w:val="Emphasis"/>
                <w:iCs w:val="0"/>
                <w:sz w:val="22"/>
                <w:szCs w:val="22"/>
              </w:rPr>
            </w:pPr>
            <w:r w:rsidRPr="0099185C">
              <w:rPr>
                <w:i/>
                <w:sz w:val="22"/>
                <w:szCs w:val="22"/>
              </w:rPr>
              <w:t>Vaskularni poremećaji</w:t>
            </w:r>
          </w:p>
        </w:tc>
        <w:tc>
          <w:tcPr>
            <w:tcW w:w="1980" w:type="dxa"/>
          </w:tcPr>
          <w:p w14:paraId="2C15B6A9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  <w:r w:rsidRPr="00AB1FCF">
              <w:rPr>
                <w:rStyle w:val="Emphasis"/>
                <w:i w:val="0"/>
                <w:sz w:val="22"/>
                <w:szCs w:val="22"/>
              </w:rPr>
              <w:t>Hipotenzija,</w:t>
            </w:r>
            <w:r w:rsidRPr="0099185C">
              <w:rPr>
                <w:rStyle w:val="Emphasis"/>
                <w:sz w:val="22"/>
                <w:szCs w:val="22"/>
              </w:rPr>
              <w:t xml:space="preserve"> </w:t>
            </w:r>
            <w:r w:rsidRPr="0099185C">
              <w:rPr>
                <w:sz w:val="22"/>
                <w:szCs w:val="22"/>
                <w:lang w:val="pl-PL"/>
              </w:rPr>
              <w:t>smanjen ortostatski krvni pritisak, sinkopa</w:t>
            </w:r>
            <w:r w:rsidRPr="0099185C">
              <w:rPr>
                <w:rStyle w:val="HeaderChar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</w:tcPr>
          <w:p w14:paraId="580D4D8E" w14:textId="6F303132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  <w:r w:rsidRPr="0099185C">
              <w:rPr>
                <w:sz w:val="22"/>
                <w:szCs w:val="22"/>
                <w:lang w:val="pl-PL"/>
              </w:rPr>
              <w:t>Crvenilo praćeno os</w:t>
            </w:r>
            <w:r w:rsidR="0092755F">
              <w:rPr>
                <w:sz w:val="22"/>
                <w:szCs w:val="22"/>
                <w:lang w:val="pl-PL"/>
              </w:rPr>
              <w:t>j</w:t>
            </w:r>
            <w:r w:rsidRPr="0099185C">
              <w:rPr>
                <w:sz w:val="22"/>
                <w:szCs w:val="22"/>
                <w:lang w:val="pl-PL"/>
              </w:rPr>
              <w:t>ećajem vrućine</w:t>
            </w:r>
            <w:r w:rsidRPr="0099185C">
              <w:rPr>
                <w:rStyle w:val="HeaderChar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14:paraId="11652A76" w14:textId="77777777" w:rsidR="0099185C" w:rsidRPr="005862B0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  <w:r w:rsidRPr="00AB1FCF">
              <w:rPr>
                <w:rStyle w:val="Emphasis"/>
                <w:i w:val="0"/>
                <w:sz w:val="22"/>
                <w:szCs w:val="22"/>
              </w:rPr>
              <w:t>Vaskularna stenoza, hipoperfuzija, vaskulitis</w:t>
            </w:r>
          </w:p>
        </w:tc>
        <w:tc>
          <w:tcPr>
            <w:tcW w:w="1202" w:type="dxa"/>
          </w:tcPr>
          <w:p w14:paraId="711ABD97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</w:p>
        </w:tc>
        <w:tc>
          <w:tcPr>
            <w:tcW w:w="1498" w:type="dxa"/>
          </w:tcPr>
          <w:p w14:paraId="29E84A0F" w14:textId="77777777" w:rsidR="0099185C" w:rsidRPr="005862B0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  <w:r w:rsidRPr="00AB1FCF">
              <w:rPr>
                <w:rStyle w:val="Emphasis"/>
                <w:i w:val="0"/>
                <w:sz w:val="22"/>
                <w:szCs w:val="22"/>
              </w:rPr>
              <w:t>Raynaud-ov fenomen</w:t>
            </w:r>
          </w:p>
        </w:tc>
      </w:tr>
      <w:tr w:rsidR="0099185C" w:rsidRPr="00AB1FCF" w14:paraId="249F58DE" w14:textId="77777777" w:rsidTr="00AB1FCF">
        <w:tc>
          <w:tcPr>
            <w:tcW w:w="1890" w:type="dxa"/>
          </w:tcPr>
          <w:p w14:paraId="4817A586" w14:textId="77777777" w:rsidR="0099185C" w:rsidRPr="0099185C" w:rsidRDefault="0099185C" w:rsidP="003C17A3">
            <w:pPr>
              <w:rPr>
                <w:rStyle w:val="Emphasis"/>
                <w:sz w:val="22"/>
                <w:szCs w:val="22"/>
                <w:lang w:val="it-IT"/>
              </w:rPr>
            </w:pPr>
            <w:r w:rsidRPr="0099185C">
              <w:rPr>
                <w:rStyle w:val="Emphasis"/>
                <w:sz w:val="22"/>
                <w:szCs w:val="22"/>
                <w:lang w:val="it-IT"/>
              </w:rPr>
              <w:t>Respiratorni, torakalni i medijastinalni poremećaji</w:t>
            </w:r>
          </w:p>
        </w:tc>
        <w:tc>
          <w:tcPr>
            <w:tcW w:w="1980" w:type="dxa"/>
          </w:tcPr>
          <w:p w14:paraId="4E35CFC9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  <w:lang w:val="it-IT"/>
              </w:rPr>
            </w:pPr>
            <w:r w:rsidRPr="0099185C">
              <w:rPr>
                <w:sz w:val="22"/>
                <w:szCs w:val="22"/>
                <w:lang w:val="it-IT"/>
              </w:rPr>
              <w:t>Neproduktivni nadražujući kašalj, bronhitis, sinusitis, dispnea</w:t>
            </w:r>
            <w:r w:rsidRPr="0099185C">
              <w:rPr>
                <w:rStyle w:val="HeaderChar"/>
                <w:i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1620" w:type="dxa"/>
          </w:tcPr>
          <w:p w14:paraId="01711E27" w14:textId="77777777" w:rsidR="0099185C" w:rsidRPr="005862B0" w:rsidRDefault="0099185C" w:rsidP="003C17A3">
            <w:pPr>
              <w:rPr>
                <w:rStyle w:val="Emphasis"/>
                <w:i w:val="0"/>
                <w:sz w:val="22"/>
                <w:szCs w:val="22"/>
                <w:lang w:val="it-IT"/>
              </w:rPr>
            </w:pPr>
            <w:r w:rsidRPr="00AB1FCF">
              <w:rPr>
                <w:rStyle w:val="Emphasis"/>
                <w:i w:val="0"/>
                <w:sz w:val="22"/>
                <w:szCs w:val="22"/>
                <w:lang w:val="it-IT"/>
              </w:rPr>
              <w:t>Bronhospazam uključujući pogoršanje astme, nazalna kongestija</w:t>
            </w:r>
          </w:p>
        </w:tc>
        <w:tc>
          <w:tcPr>
            <w:tcW w:w="1710" w:type="dxa"/>
          </w:tcPr>
          <w:p w14:paraId="6B9E6042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1202" w:type="dxa"/>
          </w:tcPr>
          <w:p w14:paraId="35DFB69E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1498" w:type="dxa"/>
          </w:tcPr>
          <w:p w14:paraId="626DAD54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  <w:lang w:val="it-IT"/>
              </w:rPr>
            </w:pPr>
          </w:p>
        </w:tc>
      </w:tr>
      <w:tr w:rsidR="0099185C" w:rsidRPr="0099185C" w14:paraId="74D119F3" w14:textId="77777777" w:rsidTr="00AB1FCF">
        <w:tc>
          <w:tcPr>
            <w:tcW w:w="1890" w:type="dxa"/>
          </w:tcPr>
          <w:p w14:paraId="1020FEF7" w14:textId="77777777" w:rsidR="0099185C" w:rsidRPr="0099185C" w:rsidRDefault="0099185C" w:rsidP="003C17A3">
            <w:pPr>
              <w:rPr>
                <w:rStyle w:val="Emphasis"/>
                <w:sz w:val="22"/>
                <w:szCs w:val="22"/>
              </w:rPr>
            </w:pPr>
            <w:r w:rsidRPr="0099185C">
              <w:rPr>
                <w:rStyle w:val="Emphasis"/>
                <w:sz w:val="22"/>
                <w:szCs w:val="22"/>
              </w:rPr>
              <w:t>Gastrointestinalni poremećaji</w:t>
            </w:r>
          </w:p>
        </w:tc>
        <w:tc>
          <w:tcPr>
            <w:tcW w:w="1980" w:type="dxa"/>
          </w:tcPr>
          <w:p w14:paraId="5CE1F3B0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  <w:r w:rsidRPr="0099185C">
              <w:rPr>
                <w:sz w:val="22"/>
                <w:szCs w:val="22"/>
              </w:rPr>
              <w:t>Zapaljenje na nivou gastrointestinalnog trakta, poremećaj varenja, nelagodnost u abdomenu, dispepsija, proliv, mučnina, povraćanje</w:t>
            </w:r>
            <w:r w:rsidRPr="0099185C">
              <w:rPr>
                <w:rStyle w:val="HeaderChar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</w:tcPr>
          <w:p w14:paraId="634E9C59" w14:textId="513F36A4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  <w:r w:rsidRPr="0099185C">
              <w:rPr>
                <w:sz w:val="22"/>
                <w:szCs w:val="22"/>
              </w:rPr>
              <w:t xml:space="preserve">Pankreatitis (izuzetno </w:t>
            </w:r>
            <w:r w:rsidR="00136F13">
              <w:rPr>
                <w:sz w:val="22"/>
                <w:szCs w:val="22"/>
              </w:rPr>
              <w:t>rijetko</w:t>
            </w:r>
            <w:r w:rsidRPr="0099185C">
              <w:rPr>
                <w:sz w:val="22"/>
                <w:szCs w:val="22"/>
              </w:rPr>
              <w:t xml:space="preserve"> prijavljeni su i smrtni ishodi, udruženi sa upotrebom ACE inhibitora), porast koncentracije  enzima pankreasa, angioedem tankog cr</w:t>
            </w:r>
            <w:r w:rsidR="00136F13">
              <w:rPr>
                <w:sz w:val="22"/>
                <w:szCs w:val="22"/>
              </w:rPr>
              <w:t>ij</w:t>
            </w:r>
            <w:r w:rsidRPr="0099185C">
              <w:rPr>
                <w:sz w:val="22"/>
                <w:szCs w:val="22"/>
              </w:rPr>
              <w:t>eva, bol u gornjem d</w:t>
            </w:r>
            <w:r w:rsidR="00136F13">
              <w:rPr>
                <w:sz w:val="22"/>
                <w:szCs w:val="22"/>
              </w:rPr>
              <w:t>ij</w:t>
            </w:r>
            <w:r w:rsidRPr="0099185C">
              <w:rPr>
                <w:sz w:val="22"/>
                <w:szCs w:val="22"/>
              </w:rPr>
              <w:t xml:space="preserve">elu abdomena uključujući gastritis, konstipaciju, suva </w:t>
            </w:r>
            <w:r w:rsidRPr="00AB1FCF">
              <w:rPr>
                <w:rStyle w:val="Emphasis"/>
                <w:i w:val="0"/>
                <w:sz w:val="22"/>
                <w:szCs w:val="22"/>
              </w:rPr>
              <w:t>usta</w:t>
            </w:r>
          </w:p>
        </w:tc>
        <w:tc>
          <w:tcPr>
            <w:tcW w:w="1710" w:type="dxa"/>
          </w:tcPr>
          <w:p w14:paraId="59D0F45F" w14:textId="77777777" w:rsidR="0099185C" w:rsidRPr="005862B0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  <w:r w:rsidRPr="00AB1FCF">
              <w:rPr>
                <w:rStyle w:val="Emphasis"/>
                <w:i w:val="0"/>
                <w:sz w:val="22"/>
                <w:szCs w:val="22"/>
              </w:rPr>
              <w:t>Glositis</w:t>
            </w:r>
          </w:p>
        </w:tc>
        <w:tc>
          <w:tcPr>
            <w:tcW w:w="1202" w:type="dxa"/>
          </w:tcPr>
          <w:p w14:paraId="403BCBE2" w14:textId="77777777" w:rsidR="0099185C" w:rsidRPr="005862B0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</w:p>
        </w:tc>
        <w:tc>
          <w:tcPr>
            <w:tcW w:w="1498" w:type="dxa"/>
          </w:tcPr>
          <w:p w14:paraId="5109821B" w14:textId="77777777" w:rsidR="0099185C" w:rsidRPr="005862B0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  <w:r w:rsidRPr="00AB1FCF">
              <w:rPr>
                <w:rStyle w:val="Emphasis"/>
                <w:i w:val="0"/>
                <w:sz w:val="22"/>
                <w:szCs w:val="22"/>
              </w:rPr>
              <w:t>Aftozni stomatitis</w:t>
            </w:r>
          </w:p>
        </w:tc>
      </w:tr>
      <w:tr w:rsidR="0099185C" w:rsidRPr="0099185C" w14:paraId="29012FAF" w14:textId="77777777" w:rsidTr="00AB1FCF">
        <w:tc>
          <w:tcPr>
            <w:tcW w:w="1890" w:type="dxa"/>
          </w:tcPr>
          <w:p w14:paraId="14DD7ECF" w14:textId="77777777" w:rsidR="0099185C" w:rsidRPr="0099185C" w:rsidRDefault="0099185C" w:rsidP="003C17A3">
            <w:pPr>
              <w:rPr>
                <w:rStyle w:val="Emphasis"/>
                <w:iCs w:val="0"/>
                <w:sz w:val="22"/>
                <w:szCs w:val="22"/>
              </w:rPr>
            </w:pPr>
            <w:r w:rsidRPr="0099185C">
              <w:rPr>
                <w:rStyle w:val="Emphasis"/>
                <w:sz w:val="22"/>
                <w:szCs w:val="22"/>
              </w:rPr>
              <w:t>Hepatobilijarni poremećaji</w:t>
            </w:r>
          </w:p>
        </w:tc>
        <w:tc>
          <w:tcPr>
            <w:tcW w:w="1980" w:type="dxa"/>
          </w:tcPr>
          <w:p w14:paraId="105684AC" w14:textId="77777777" w:rsidR="0099185C" w:rsidRPr="0099185C" w:rsidRDefault="0099185C" w:rsidP="003C17A3">
            <w:pPr>
              <w:jc w:val="center"/>
              <w:rPr>
                <w:rStyle w:val="Emphasis"/>
                <w:i w:val="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22C7A2C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  <w:r w:rsidRPr="0099185C">
              <w:rPr>
                <w:sz w:val="22"/>
                <w:szCs w:val="22"/>
                <w:lang w:val="pl-PL"/>
              </w:rPr>
              <w:t>Povećana koncentracija  enzima jetre i/ili konjugovanog bilirubina</w:t>
            </w:r>
            <w:r w:rsidRPr="0099185C">
              <w:rPr>
                <w:rStyle w:val="HeaderChar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14:paraId="5F57D2F5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  <w:r w:rsidRPr="0099185C">
              <w:rPr>
                <w:sz w:val="22"/>
                <w:szCs w:val="22"/>
                <w:lang w:val="pl-PL"/>
              </w:rPr>
              <w:t>Holestatska žutica, hepatocelularno oštećenje</w:t>
            </w:r>
            <w:r w:rsidRPr="0099185C">
              <w:rPr>
                <w:rStyle w:val="HeaderChar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202" w:type="dxa"/>
          </w:tcPr>
          <w:p w14:paraId="4744ED33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</w:p>
        </w:tc>
        <w:tc>
          <w:tcPr>
            <w:tcW w:w="1498" w:type="dxa"/>
          </w:tcPr>
          <w:p w14:paraId="3A4CA275" w14:textId="3F55CA36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  <w:r w:rsidRPr="0099185C">
              <w:rPr>
                <w:sz w:val="22"/>
                <w:szCs w:val="22"/>
                <w:lang w:val="pl-PL"/>
              </w:rPr>
              <w:t xml:space="preserve">Akutna insuficijencija jetre, holestatski ili citolitički hepatitis (izuzetno </w:t>
            </w:r>
            <w:r w:rsidR="00136F13">
              <w:rPr>
                <w:sz w:val="22"/>
                <w:szCs w:val="22"/>
                <w:lang w:val="pl-PL"/>
              </w:rPr>
              <w:t>rijetko</w:t>
            </w:r>
            <w:r w:rsidRPr="0099185C">
              <w:rPr>
                <w:sz w:val="22"/>
                <w:szCs w:val="22"/>
                <w:lang w:val="pl-PL"/>
              </w:rPr>
              <w:t xml:space="preserve"> sa </w:t>
            </w:r>
            <w:r w:rsidRPr="0099185C">
              <w:rPr>
                <w:sz w:val="22"/>
                <w:szCs w:val="22"/>
                <w:lang w:val="pl-PL"/>
              </w:rPr>
              <w:lastRenderedPageBreak/>
              <w:t>smrtnim ishodom)</w:t>
            </w:r>
          </w:p>
        </w:tc>
      </w:tr>
      <w:tr w:rsidR="0099185C" w:rsidRPr="0099185C" w14:paraId="4F50209F" w14:textId="77777777" w:rsidTr="00AB1FCF">
        <w:tc>
          <w:tcPr>
            <w:tcW w:w="1890" w:type="dxa"/>
          </w:tcPr>
          <w:p w14:paraId="2D8F0380" w14:textId="77777777" w:rsidR="0099185C" w:rsidRPr="0099185C" w:rsidRDefault="0099185C" w:rsidP="003C17A3">
            <w:pPr>
              <w:rPr>
                <w:rStyle w:val="Emphasis"/>
                <w:sz w:val="22"/>
                <w:szCs w:val="22"/>
              </w:rPr>
            </w:pPr>
            <w:r w:rsidRPr="0099185C">
              <w:rPr>
                <w:rStyle w:val="Emphasis"/>
                <w:sz w:val="22"/>
                <w:szCs w:val="22"/>
              </w:rPr>
              <w:lastRenderedPageBreak/>
              <w:t>Poremećaji kože i potkožnog tkiva</w:t>
            </w:r>
          </w:p>
        </w:tc>
        <w:tc>
          <w:tcPr>
            <w:tcW w:w="1980" w:type="dxa"/>
          </w:tcPr>
          <w:p w14:paraId="6285FE72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  <w:r w:rsidRPr="0099185C">
              <w:rPr>
                <w:sz w:val="22"/>
                <w:szCs w:val="22"/>
                <w:lang w:val="pl-PL"/>
              </w:rPr>
              <w:t>Osip, posebno makulopapularni</w:t>
            </w:r>
            <w:r w:rsidRPr="0099185C">
              <w:rPr>
                <w:rStyle w:val="HeaderChar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</w:tcPr>
          <w:p w14:paraId="497F370D" w14:textId="515CDF70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  <w:r w:rsidRPr="0099185C">
              <w:rPr>
                <w:sz w:val="22"/>
                <w:szCs w:val="22"/>
                <w:lang w:val="pl-PL"/>
              </w:rPr>
              <w:t xml:space="preserve">Angioedem, (izuzetno </w:t>
            </w:r>
            <w:r w:rsidR="00136F13">
              <w:rPr>
                <w:sz w:val="22"/>
                <w:szCs w:val="22"/>
                <w:lang w:val="pl-PL"/>
              </w:rPr>
              <w:t>rijetko</w:t>
            </w:r>
            <w:r w:rsidRPr="0099185C">
              <w:rPr>
                <w:sz w:val="22"/>
                <w:szCs w:val="22"/>
                <w:lang w:val="pl-PL"/>
              </w:rPr>
              <w:t xml:space="preserve"> opstrukcija disajnih puteva uzrokovana angioedemom može dovesti do smrtnog ishoda); pruritus, hiperhidroza</w:t>
            </w:r>
            <w:r w:rsidRPr="0099185C">
              <w:rPr>
                <w:rStyle w:val="HeaderChar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14:paraId="306FCD2F" w14:textId="77777777" w:rsidR="0099185C" w:rsidRPr="005862B0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  <w:r w:rsidRPr="00AB1FCF">
              <w:rPr>
                <w:rStyle w:val="Emphasis"/>
                <w:i w:val="0"/>
                <w:sz w:val="22"/>
                <w:szCs w:val="22"/>
              </w:rPr>
              <w:t>Eksfolijativni dermatitis, urtikarija, oniholiza</w:t>
            </w:r>
          </w:p>
        </w:tc>
        <w:tc>
          <w:tcPr>
            <w:tcW w:w="1202" w:type="dxa"/>
          </w:tcPr>
          <w:p w14:paraId="4C1F4749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  <w:r w:rsidRPr="0099185C">
              <w:rPr>
                <w:sz w:val="22"/>
                <w:szCs w:val="22"/>
                <w:lang w:val="pl-PL"/>
              </w:rPr>
              <w:t>Fotosenzitivne reakcije</w:t>
            </w:r>
            <w:r w:rsidRPr="0099185C" w:rsidDel="0057691B">
              <w:rPr>
                <w:rStyle w:val="HeaderChar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98" w:type="dxa"/>
          </w:tcPr>
          <w:p w14:paraId="66FE92BC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  <w:r w:rsidRPr="0099185C">
              <w:rPr>
                <w:sz w:val="22"/>
                <w:szCs w:val="22"/>
                <w:lang w:val="pl-PL"/>
              </w:rPr>
              <w:t xml:space="preserve">Toksična epidermalna nekroliza, </w:t>
            </w:r>
            <w:r w:rsidRPr="0099185C">
              <w:rPr>
                <w:i/>
                <w:sz w:val="22"/>
                <w:szCs w:val="22"/>
                <w:lang w:val="pl-PL"/>
              </w:rPr>
              <w:t>Stevens Johnson</w:t>
            </w:r>
            <w:r w:rsidRPr="0099185C">
              <w:rPr>
                <w:sz w:val="22"/>
                <w:szCs w:val="22"/>
                <w:lang w:val="pl-PL"/>
              </w:rPr>
              <w:t xml:space="preserve">-ov sindrom, </w:t>
            </w:r>
            <w:r w:rsidRPr="0099185C">
              <w:rPr>
                <w:i/>
                <w:sz w:val="22"/>
                <w:szCs w:val="22"/>
                <w:lang w:val="pl-PL"/>
              </w:rPr>
              <w:t>erythema multiforme</w:t>
            </w:r>
            <w:r w:rsidRPr="0099185C">
              <w:rPr>
                <w:sz w:val="22"/>
                <w:szCs w:val="22"/>
                <w:lang w:val="pl-PL"/>
              </w:rPr>
              <w:t>, pemfigus, pogoršanje psorijaze, psorijaziformni dermatitis, pemfigoidni ili lihenoidni egzantem ili enantem, alopecija</w:t>
            </w:r>
            <w:r w:rsidRPr="0099185C">
              <w:rPr>
                <w:rStyle w:val="HeaderChar"/>
                <w:i/>
                <w:sz w:val="22"/>
                <w:szCs w:val="22"/>
              </w:rPr>
              <w:t xml:space="preserve"> </w:t>
            </w:r>
          </w:p>
        </w:tc>
      </w:tr>
      <w:tr w:rsidR="0099185C" w:rsidRPr="0099185C" w14:paraId="3E74E85C" w14:textId="77777777" w:rsidTr="00AB1FCF">
        <w:tc>
          <w:tcPr>
            <w:tcW w:w="1890" w:type="dxa"/>
          </w:tcPr>
          <w:p w14:paraId="500043EF" w14:textId="45D506DF" w:rsidR="0099185C" w:rsidRPr="0099185C" w:rsidRDefault="0099185C" w:rsidP="003C17A3">
            <w:pPr>
              <w:rPr>
                <w:rStyle w:val="Emphasis"/>
                <w:sz w:val="22"/>
                <w:szCs w:val="22"/>
              </w:rPr>
            </w:pPr>
            <w:r w:rsidRPr="0099185C">
              <w:rPr>
                <w:rStyle w:val="Emphasis"/>
                <w:sz w:val="22"/>
                <w:szCs w:val="22"/>
              </w:rPr>
              <w:t>Poremećaji  mišićno-koštanog sistema i vezivnog tkiva</w:t>
            </w:r>
          </w:p>
        </w:tc>
        <w:tc>
          <w:tcPr>
            <w:tcW w:w="1980" w:type="dxa"/>
          </w:tcPr>
          <w:p w14:paraId="353B0F4D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  <w:r w:rsidRPr="0099185C">
              <w:rPr>
                <w:sz w:val="22"/>
                <w:szCs w:val="22"/>
                <w:lang w:val="pl-PL"/>
              </w:rPr>
              <w:t>Spazam mišića, mijalgija</w:t>
            </w:r>
            <w:r w:rsidRPr="0099185C">
              <w:rPr>
                <w:rStyle w:val="HeaderChar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</w:tcPr>
          <w:p w14:paraId="35C6D0E5" w14:textId="77777777" w:rsidR="0099185C" w:rsidRPr="0092755F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  <w:r w:rsidRPr="00AB1FCF">
              <w:rPr>
                <w:rStyle w:val="Emphasis"/>
                <w:i w:val="0"/>
                <w:sz w:val="22"/>
                <w:szCs w:val="22"/>
              </w:rPr>
              <w:t>Artralgija</w:t>
            </w:r>
          </w:p>
        </w:tc>
        <w:tc>
          <w:tcPr>
            <w:tcW w:w="1710" w:type="dxa"/>
          </w:tcPr>
          <w:p w14:paraId="2748A574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</w:p>
        </w:tc>
        <w:tc>
          <w:tcPr>
            <w:tcW w:w="1202" w:type="dxa"/>
          </w:tcPr>
          <w:p w14:paraId="290018D3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</w:p>
        </w:tc>
        <w:tc>
          <w:tcPr>
            <w:tcW w:w="1498" w:type="dxa"/>
          </w:tcPr>
          <w:p w14:paraId="03C52DA6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</w:p>
        </w:tc>
      </w:tr>
      <w:tr w:rsidR="0099185C" w:rsidRPr="00AB1FCF" w14:paraId="2DFC775A" w14:textId="77777777" w:rsidTr="00AB1FCF">
        <w:tc>
          <w:tcPr>
            <w:tcW w:w="1890" w:type="dxa"/>
          </w:tcPr>
          <w:p w14:paraId="2602EDF6" w14:textId="77777777" w:rsidR="0099185C" w:rsidRPr="0099185C" w:rsidRDefault="0099185C" w:rsidP="003C17A3">
            <w:pPr>
              <w:rPr>
                <w:rStyle w:val="Emphasis"/>
                <w:sz w:val="22"/>
                <w:szCs w:val="22"/>
                <w:lang w:val="it-IT"/>
              </w:rPr>
            </w:pPr>
            <w:r w:rsidRPr="0099185C">
              <w:rPr>
                <w:rStyle w:val="Emphasis"/>
                <w:sz w:val="22"/>
                <w:szCs w:val="22"/>
                <w:lang w:val="it-IT"/>
              </w:rPr>
              <w:t>Poremećaji bubrega i urinarnog sistema</w:t>
            </w:r>
          </w:p>
        </w:tc>
        <w:tc>
          <w:tcPr>
            <w:tcW w:w="1980" w:type="dxa"/>
          </w:tcPr>
          <w:p w14:paraId="596FB65B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1620" w:type="dxa"/>
          </w:tcPr>
          <w:p w14:paraId="2DB39F8B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  <w:lang w:val="it-IT"/>
              </w:rPr>
            </w:pPr>
            <w:r w:rsidRPr="0099185C">
              <w:rPr>
                <w:sz w:val="22"/>
                <w:szCs w:val="22"/>
                <w:lang w:val="pl-PL"/>
              </w:rPr>
              <w:t>Oslabljena funkcija bubrega, uključujući akutnu bubrežnu insuficijenciju, pojačano izlučivanje urina, pogoršanje već postojeće proteinurije, povećana koncentracija  uree i kreatinina u krvi</w:t>
            </w:r>
            <w:r w:rsidRPr="0099185C">
              <w:rPr>
                <w:rStyle w:val="HeaderChar"/>
                <w:i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1710" w:type="dxa"/>
          </w:tcPr>
          <w:p w14:paraId="5EFC7335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1202" w:type="dxa"/>
          </w:tcPr>
          <w:p w14:paraId="15DC9EAF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1498" w:type="dxa"/>
          </w:tcPr>
          <w:p w14:paraId="4BC05EAA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  <w:lang w:val="it-IT"/>
              </w:rPr>
            </w:pPr>
          </w:p>
        </w:tc>
      </w:tr>
      <w:tr w:rsidR="0099185C" w:rsidRPr="0099185C" w14:paraId="791C8427" w14:textId="77777777" w:rsidTr="00AB1FCF">
        <w:tc>
          <w:tcPr>
            <w:tcW w:w="1890" w:type="dxa"/>
          </w:tcPr>
          <w:p w14:paraId="497B7822" w14:textId="77777777" w:rsidR="0099185C" w:rsidRPr="0099185C" w:rsidRDefault="0099185C" w:rsidP="003C17A3">
            <w:pPr>
              <w:rPr>
                <w:rStyle w:val="Emphasis"/>
                <w:sz w:val="22"/>
                <w:szCs w:val="22"/>
              </w:rPr>
            </w:pPr>
            <w:r w:rsidRPr="0099185C">
              <w:rPr>
                <w:i/>
                <w:sz w:val="22"/>
                <w:szCs w:val="22"/>
              </w:rPr>
              <w:t>Poremećaji reproduktivnog sistema i dojki</w:t>
            </w:r>
          </w:p>
        </w:tc>
        <w:tc>
          <w:tcPr>
            <w:tcW w:w="1980" w:type="dxa"/>
          </w:tcPr>
          <w:p w14:paraId="20BC9249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D44BD81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  <w:lang w:val="es-ES"/>
              </w:rPr>
            </w:pPr>
            <w:r w:rsidRPr="0099185C">
              <w:rPr>
                <w:sz w:val="22"/>
                <w:szCs w:val="22"/>
                <w:lang w:val="es-ES_tradnl"/>
              </w:rPr>
              <w:t>Prolazna erektilna impotencija, smanjen libido</w:t>
            </w:r>
            <w:r w:rsidRPr="0099185C">
              <w:rPr>
                <w:rStyle w:val="HeaderChar"/>
                <w:i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710" w:type="dxa"/>
          </w:tcPr>
          <w:p w14:paraId="5126E68A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  <w:lang w:val="es-ES"/>
              </w:rPr>
            </w:pPr>
          </w:p>
        </w:tc>
        <w:tc>
          <w:tcPr>
            <w:tcW w:w="1202" w:type="dxa"/>
          </w:tcPr>
          <w:p w14:paraId="5C670C88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  <w:lang w:val="es-ES"/>
              </w:rPr>
            </w:pPr>
          </w:p>
        </w:tc>
        <w:tc>
          <w:tcPr>
            <w:tcW w:w="1498" w:type="dxa"/>
          </w:tcPr>
          <w:p w14:paraId="7858936C" w14:textId="77777777" w:rsidR="0099185C" w:rsidRPr="005862B0" w:rsidRDefault="0099185C" w:rsidP="003C17A3">
            <w:pPr>
              <w:jc w:val="center"/>
              <w:rPr>
                <w:rStyle w:val="Emphasis"/>
                <w:i w:val="0"/>
                <w:sz w:val="22"/>
                <w:szCs w:val="22"/>
              </w:rPr>
            </w:pPr>
            <w:r w:rsidRPr="00AB1FCF">
              <w:rPr>
                <w:rStyle w:val="Emphasis"/>
                <w:i w:val="0"/>
                <w:sz w:val="22"/>
                <w:szCs w:val="22"/>
              </w:rPr>
              <w:t>Ginekomastija</w:t>
            </w:r>
          </w:p>
        </w:tc>
      </w:tr>
      <w:tr w:rsidR="0099185C" w:rsidRPr="0099185C" w14:paraId="7C3F466A" w14:textId="77777777" w:rsidTr="00AB1FCF">
        <w:tc>
          <w:tcPr>
            <w:tcW w:w="1890" w:type="dxa"/>
          </w:tcPr>
          <w:p w14:paraId="5606B7FD" w14:textId="6530E659" w:rsidR="0099185C" w:rsidRPr="00136F13" w:rsidRDefault="0099185C" w:rsidP="003C17A3">
            <w:pPr>
              <w:rPr>
                <w:rStyle w:val="Emphasis"/>
                <w:sz w:val="22"/>
                <w:szCs w:val="22"/>
                <w:lang w:val="pt-PT"/>
              </w:rPr>
            </w:pPr>
            <w:r w:rsidRPr="00136F13">
              <w:rPr>
                <w:i/>
                <w:sz w:val="22"/>
                <w:szCs w:val="22"/>
                <w:lang w:val="pt-PT"/>
              </w:rPr>
              <w:t>Opšti poremećaji i reakcije na m</w:t>
            </w:r>
            <w:r w:rsidR="00136F13">
              <w:rPr>
                <w:i/>
                <w:sz w:val="22"/>
                <w:szCs w:val="22"/>
                <w:lang w:val="pt-PT"/>
              </w:rPr>
              <w:t>j</w:t>
            </w:r>
            <w:r w:rsidRPr="00136F13">
              <w:rPr>
                <w:i/>
                <w:sz w:val="22"/>
                <w:szCs w:val="22"/>
                <w:lang w:val="pt-PT"/>
              </w:rPr>
              <w:t xml:space="preserve">estu </w:t>
            </w:r>
            <w:r w:rsidR="00136F13" w:rsidRPr="00136F13">
              <w:rPr>
                <w:i/>
                <w:sz w:val="22"/>
                <w:szCs w:val="22"/>
                <w:lang w:val="pt-PT"/>
              </w:rPr>
              <w:t>primjene</w:t>
            </w:r>
          </w:p>
        </w:tc>
        <w:tc>
          <w:tcPr>
            <w:tcW w:w="1980" w:type="dxa"/>
          </w:tcPr>
          <w:p w14:paraId="5ACD4D6F" w14:textId="77777777" w:rsidR="0099185C" w:rsidRPr="005862B0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  <w:r w:rsidRPr="00AB1FCF">
              <w:rPr>
                <w:rStyle w:val="Emphasis"/>
                <w:i w:val="0"/>
                <w:sz w:val="22"/>
                <w:szCs w:val="22"/>
              </w:rPr>
              <w:t>Bol u grudima, zamor</w:t>
            </w:r>
          </w:p>
        </w:tc>
        <w:tc>
          <w:tcPr>
            <w:tcW w:w="1620" w:type="dxa"/>
          </w:tcPr>
          <w:p w14:paraId="11208414" w14:textId="77777777" w:rsidR="0099185C" w:rsidRPr="005862B0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  <w:r w:rsidRPr="00AB1FCF">
              <w:rPr>
                <w:rStyle w:val="Emphasis"/>
                <w:i w:val="0"/>
                <w:sz w:val="22"/>
                <w:szCs w:val="22"/>
              </w:rPr>
              <w:t>Pireksija</w:t>
            </w:r>
          </w:p>
        </w:tc>
        <w:tc>
          <w:tcPr>
            <w:tcW w:w="1710" w:type="dxa"/>
          </w:tcPr>
          <w:p w14:paraId="2777A432" w14:textId="77777777" w:rsidR="0099185C" w:rsidRPr="005862B0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  <w:r w:rsidRPr="00AB1FCF">
              <w:rPr>
                <w:rStyle w:val="Emphasis"/>
                <w:i w:val="0"/>
                <w:sz w:val="22"/>
                <w:szCs w:val="22"/>
              </w:rPr>
              <w:t>Astenija</w:t>
            </w:r>
          </w:p>
        </w:tc>
        <w:tc>
          <w:tcPr>
            <w:tcW w:w="1202" w:type="dxa"/>
          </w:tcPr>
          <w:p w14:paraId="33E2DD18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</w:p>
        </w:tc>
        <w:tc>
          <w:tcPr>
            <w:tcW w:w="1498" w:type="dxa"/>
          </w:tcPr>
          <w:p w14:paraId="2148ADC6" w14:textId="77777777" w:rsidR="0099185C" w:rsidRPr="0099185C" w:rsidRDefault="0099185C" w:rsidP="003C17A3">
            <w:pPr>
              <w:rPr>
                <w:rStyle w:val="Emphasis"/>
                <w:i w:val="0"/>
                <w:sz w:val="22"/>
                <w:szCs w:val="22"/>
              </w:rPr>
            </w:pPr>
          </w:p>
        </w:tc>
      </w:tr>
    </w:tbl>
    <w:p w14:paraId="227D4745" w14:textId="77777777" w:rsidR="0099185C" w:rsidRPr="0099185C" w:rsidRDefault="0099185C" w:rsidP="0099185C">
      <w:pPr>
        <w:rPr>
          <w:noProof/>
          <w:sz w:val="22"/>
          <w:szCs w:val="22"/>
          <w:u w:val="single"/>
          <w:lang w:val="hr-HR"/>
        </w:rPr>
      </w:pPr>
    </w:p>
    <w:p w14:paraId="3B23F829" w14:textId="77777777" w:rsidR="0099185C" w:rsidRPr="0099185C" w:rsidRDefault="0099185C" w:rsidP="003457B5">
      <w:pPr>
        <w:jc w:val="both"/>
        <w:rPr>
          <w:i/>
          <w:noProof/>
          <w:sz w:val="22"/>
          <w:szCs w:val="22"/>
          <w:u w:val="single"/>
          <w:lang w:val="hr-HR"/>
        </w:rPr>
      </w:pPr>
      <w:r w:rsidRPr="0099185C">
        <w:rPr>
          <w:i/>
          <w:noProof/>
          <w:sz w:val="22"/>
          <w:szCs w:val="22"/>
          <w:u w:val="single"/>
          <w:lang w:val="hr-HR"/>
        </w:rPr>
        <w:t>Pedijatrijska populacija</w:t>
      </w:r>
    </w:p>
    <w:p w14:paraId="6DF40B6B" w14:textId="73EA3AAF" w:rsidR="0099185C" w:rsidRPr="0099185C" w:rsidRDefault="0099185C" w:rsidP="003C17A3">
      <w:pPr>
        <w:spacing w:before="120"/>
        <w:jc w:val="both"/>
        <w:rPr>
          <w:sz w:val="22"/>
          <w:szCs w:val="22"/>
          <w:lang w:val="pl-PL"/>
        </w:rPr>
      </w:pPr>
      <w:r w:rsidRPr="0099185C">
        <w:rPr>
          <w:sz w:val="22"/>
          <w:szCs w:val="22"/>
          <w:lang w:val="pl-PL"/>
        </w:rPr>
        <w:t>Bezb</w:t>
      </w:r>
      <w:r w:rsidR="00136F13">
        <w:rPr>
          <w:sz w:val="22"/>
          <w:szCs w:val="22"/>
          <w:lang w:val="pl-PL"/>
        </w:rPr>
        <w:t>j</w:t>
      </w:r>
      <w:r w:rsidRPr="0099185C">
        <w:rPr>
          <w:sz w:val="22"/>
          <w:szCs w:val="22"/>
          <w:lang w:val="pl-PL"/>
        </w:rPr>
        <w:t xml:space="preserve">ednost </w:t>
      </w:r>
      <w:r w:rsidR="00136F13">
        <w:rPr>
          <w:sz w:val="22"/>
          <w:szCs w:val="22"/>
          <w:lang w:val="pl-PL"/>
        </w:rPr>
        <w:t>primjene</w:t>
      </w:r>
      <w:r w:rsidRPr="0099185C">
        <w:rPr>
          <w:sz w:val="22"/>
          <w:szCs w:val="22"/>
          <w:lang w:val="pl-PL"/>
        </w:rPr>
        <w:t xml:space="preserve"> ramiprila bila je praćena kod 325 d</w:t>
      </w:r>
      <w:r w:rsidR="003457B5">
        <w:rPr>
          <w:sz w:val="22"/>
          <w:szCs w:val="22"/>
          <w:lang w:val="pl-PL"/>
        </w:rPr>
        <w:t>j</w:t>
      </w:r>
      <w:r w:rsidRPr="0099185C">
        <w:rPr>
          <w:sz w:val="22"/>
          <w:szCs w:val="22"/>
          <w:lang w:val="pl-PL"/>
        </w:rPr>
        <w:t>ece i adolescenata od 2-16 godina, u dv</w:t>
      </w:r>
      <w:r w:rsidR="00136F13">
        <w:rPr>
          <w:sz w:val="22"/>
          <w:szCs w:val="22"/>
          <w:lang w:val="pl-PL"/>
        </w:rPr>
        <w:t>ij</w:t>
      </w:r>
      <w:r w:rsidRPr="0099185C">
        <w:rPr>
          <w:sz w:val="22"/>
          <w:szCs w:val="22"/>
          <w:lang w:val="pl-PL"/>
        </w:rPr>
        <w:t>e kliničke studije. Dok je priroda i ozbiljnost neželjenih događaja slična onima kod odraslih, učestalost sl</w:t>
      </w:r>
      <w:r w:rsidR="00C5706D">
        <w:rPr>
          <w:sz w:val="22"/>
          <w:szCs w:val="22"/>
          <w:lang w:val="pl-PL"/>
        </w:rPr>
        <w:t>j</w:t>
      </w:r>
      <w:r w:rsidRPr="0099185C">
        <w:rPr>
          <w:sz w:val="22"/>
          <w:szCs w:val="22"/>
          <w:lang w:val="pl-PL"/>
        </w:rPr>
        <w:t>edećih neželjenih događaja je veća kod d</w:t>
      </w:r>
      <w:r w:rsidR="00136F13">
        <w:rPr>
          <w:sz w:val="22"/>
          <w:szCs w:val="22"/>
          <w:lang w:val="pl-PL"/>
        </w:rPr>
        <w:t>j</w:t>
      </w:r>
      <w:r w:rsidRPr="0099185C">
        <w:rPr>
          <w:sz w:val="22"/>
          <w:szCs w:val="22"/>
          <w:lang w:val="pl-PL"/>
        </w:rPr>
        <w:t>ece:</w:t>
      </w:r>
    </w:p>
    <w:p w14:paraId="4666EF7F" w14:textId="58F45976" w:rsidR="0099185C" w:rsidRPr="0099185C" w:rsidRDefault="0099185C" w:rsidP="00D66A5B">
      <w:pPr>
        <w:spacing w:before="120"/>
        <w:jc w:val="both"/>
        <w:rPr>
          <w:sz w:val="22"/>
          <w:szCs w:val="22"/>
          <w:lang w:val="pl-PL"/>
        </w:rPr>
      </w:pPr>
      <w:r w:rsidRPr="0099185C">
        <w:rPr>
          <w:sz w:val="22"/>
          <w:szCs w:val="22"/>
          <w:lang w:val="pl-PL"/>
        </w:rPr>
        <w:t>Tahikardija, nazalna kongestija i rinitis, „često” (≥ 1/100 do &lt; 1/10) u pedijatrijskoj,</w:t>
      </w:r>
      <w:r>
        <w:rPr>
          <w:sz w:val="22"/>
          <w:szCs w:val="22"/>
          <w:lang w:val="pl-PL"/>
        </w:rPr>
        <w:t xml:space="preserve"> </w:t>
      </w:r>
      <w:r w:rsidRPr="0099185C">
        <w:rPr>
          <w:sz w:val="22"/>
          <w:szCs w:val="22"/>
          <w:lang w:val="pl-PL"/>
        </w:rPr>
        <w:t>”po</w:t>
      </w:r>
      <w:r w:rsidR="00136F13">
        <w:rPr>
          <w:sz w:val="22"/>
          <w:szCs w:val="22"/>
          <w:lang w:val="pl-PL"/>
        </w:rPr>
        <w:t>vreme</w:t>
      </w:r>
      <w:r w:rsidRPr="0099185C">
        <w:rPr>
          <w:sz w:val="22"/>
          <w:szCs w:val="22"/>
          <w:lang w:val="pl-PL"/>
        </w:rPr>
        <w:t>no” (≥ 1/1,000 do &lt; 1/100) kod odraslih.</w:t>
      </w:r>
    </w:p>
    <w:p w14:paraId="75FEBD11" w14:textId="5E3C4E60" w:rsidR="0099185C" w:rsidRPr="0099185C" w:rsidRDefault="0099185C" w:rsidP="00D66A5B">
      <w:pPr>
        <w:spacing w:before="120"/>
        <w:jc w:val="both"/>
        <w:rPr>
          <w:sz w:val="22"/>
          <w:szCs w:val="22"/>
          <w:lang w:val="pl-PL"/>
        </w:rPr>
      </w:pPr>
      <w:r w:rsidRPr="0099185C">
        <w:rPr>
          <w:sz w:val="22"/>
          <w:szCs w:val="22"/>
          <w:lang w:val="pl-PL"/>
        </w:rPr>
        <w:lastRenderedPageBreak/>
        <w:t>Konjunktivitis, „često” (≥ 1/100 do &lt; 1/10) u pedijatrijskoj populaciji “</w:t>
      </w:r>
      <w:r w:rsidR="00136F13">
        <w:rPr>
          <w:sz w:val="22"/>
          <w:szCs w:val="22"/>
          <w:lang w:val="pl-PL"/>
        </w:rPr>
        <w:t>rijetko</w:t>
      </w:r>
      <w:r w:rsidRPr="0099185C">
        <w:rPr>
          <w:sz w:val="22"/>
          <w:szCs w:val="22"/>
          <w:lang w:val="pl-PL"/>
        </w:rPr>
        <w:t>” (≥</w:t>
      </w:r>
      <w:r w:rsidR="00C5706D">
        <w:rPr>
          <w:sz w:val="22"/>
          <w:szCs w:val="22"/>
          <w:lang w:val="pl-PL"/>
        </w:rPr>
        <w:t xml:space="preserve"> </w:t>
      </w:r>
      <w:r w:rsidRPr="0099185C">
        <w:rPr>
          <w:sz w:val="22"/>
          <w:szCs w:val="22"/>
          <w:lang w:val="pl-PL"/>
        </w:rPr>
        <w:t>1/10</w:t>
      </w:r>
      <w:r w:rsidR="00C5706D">
        <w:rPr>
          <w:sz w:val="22"/>
          <w:szCs w:val="22"/>
          <w:lang w:val="pl-PL"/>
        </w:rPr>
        <w:t xml:space="preserve"> </w:t>
      </w:r>
      <w:r w:rsidRPr="0099185C">
        <w:rPr>
          <w:sz w:val="22"/>
          <w:szCs w:val="22"/>
          <w:lang w:val="pl-PL"/>
        </w:rPr>
        <w:t>000 do &lt;</w:t>
      </w:r>
      <w:r w:rsidR="00C5706D">
        <w:rPr>
          <w:sz w:val="22"/>
          <w:szCs w:val="22"/>
          <w:lang w:val="pl-PL"/>
        </w:rPr>
        <w:t xml:space="preserve"> </w:t>
      </w:r>
      <w:r w:rsidRPr="0099185C">
        <w:rPr>
          <w:sz w:val="22"/>
          <w:szCs w:val="22"/>
          <w:lang w:val="pl-PL"/>
        </w:rPr>
        <w:t>1/1000) kod odraslih.</w:t>
      </w:r>
    </w:p>
    <w:p w14:paraId="48A81E86" w14:textId="330C0749" w:rsidR="0099185C" w:rsidRDefault="0099185C" w:rsidP="00CC39D0">
      <w:pPr>
        <w:spacing w:before="120"/>
        <w:jc w:val="both"/>
        <w:rPr>
          <w:sz w:val="22"/>
          <w:szCs w:val="22"/>
          <w:lang w:val="pl-PL"/>
        </w:rPr>
      </w:pPr>
      <w:r w:rsidRPr="0099185C">
        <w:rPr>
          <w:sz w:val="22"/>
          <w:szCs w:val="22"/>
          <w:lang w:val="pl-PL"/>
        </w:rPr>
        <w:t>Tremor i urtikarija, ”po</w:t>
      </w:r>
      <w:r w:rsidR="00136F13">
        <w:rPr>
          <w:sz w:val="22"/>
          <w:szCs w:val="22"/>
          <w:lang w:val="pl-PL"/>
        </w:rPr>
        <w:t>vreme</w:t>
      </w:r>
      <w:r w:rsidRPr="0099185C">
        <w:rPr>
          <w:sz w:val="22"/>
          <w:szCs w:val="22"/>
          <w:lang w:val="pl-PL"/>
        </w:rPr>
        <w:t>no” (≥ 1/1000 do &lt; 1/100) u pedijatrijskoj populaciji “</w:t>
      </w:r>
      <w:r w:rsidR="00136F13">
        <w:rPr>
          <w:sz w:val="22"/>
          <w:szCs w:val="22"/>
          <w:lang w:val="pl-PL"/>
        </w:rPr>
        <w:t>rijetko</w:t>
      </w:r>
      <w:r w:rsidRPr="0099185C">
        <w:rPr>
          <w:sz w:val="22"/>
          <w:szCs w:val="22"/>
          <w:lang w:val="pl-PL"/>
        </w:rPr>
        <w:t>” (≥</w:t>
      </w:r>
      <w:r w:rsidR="00C5706D">
        <w:rPr>
          <w:sz w:val="22"/>
          <w:szCs w:val="22"/>
          <w:lang w:val="pl-PL"/>
        </w:rPr>
        <w:t xml:space="preserve"> </w:t>
      </w:r>
      <w:r w:rsidRPr="0099185C">
        <w:rPr>
          <w:sz w:val="22"/>
          <w:szCs w:val="22"/>
          <w:lang w:val="pl-PL"/>
        </w:rPr>
        <w:t>1/10000 do &lt;</w:t>
      </w:r>
      <w:r w:rsidR="00C5706D">
        <w:rPr>
          <w:sz w:val="22"/>
          <w:szCs w:val="22"/>
          <w:lang w:val="pl-PL"/>
        </w:rPr>
        <w:t xml:space="preserve"> </w:t>
      </w:r>
      <w:r w:rsidRPr="0099185C">
        <w:rPr>
          <w:sz w:val="22"/>
          <w:szCs w:val="22"/>
          <w:lang w:val="pl-PL"/>
        </w:rPr>
        <w:t>1/1000) kod odraslih.</w:t>
      </w:r>
    </w:p>
    <w:p w14:paraId="6EF4695B" w14:textId="77777777" w:rsidR="00E834FC" w:rsidRPr="0099185C" w:rsidRDefault="00E834FC" w:rsidP="00CC39D0">
      <w:pPr>
        <w:spacing w:before="120"/>
        <w:jc w:val="both"/>
        <w:rPr>
          <w:sz w:val="22"/>
          <w:szCs w:val="22"/>
          <w:lang w:val="pl-PL"/>
        </w:rPr>
      </w:pPr>
    </w:p>
    <w:p w14:paraId="74A7E380" w14:textId="212F43BD" w:rsidR="0099185C" w:rsidRPr="0099185C" w:rsidRDefault="0099185C" w:rsidP="00E834FC">
      <w:pPr>
        <w:jc w:val="both"/>
        <w:rPr>
          <w:sz w:val="22"/>
          <w:szCs w:val="22"/>
          <w:lang w:val="pl-PL"/>
        </w:rPr>
      </w:pPr>
      <w:r w:rsidRPr="0099185C">
        <w:rPr>
          <w:sz w:val="22"/>
          <w:szCs w:val="22"/>
          <w:lang w:val="pl-PL"/>
        </w:rPr>
        <w:t>Ukupan bezb</w:t>
      </w:r>
      <w:r w:rsidR="00136F13">
        <w:rPr>
          <w:sz w:val="22"/>
          <w:szCs w:val="22"/>
          <w:lang w:val="pl-PL"/>
        </w:rPr>
        <w:t>j</w:t>
      </w:r>
      <w:r w:rsidRPr="0099185C">
        <w:rPr>
          <w:sz w:val="22"/>
          <w:szCs w:val="22"/>
          <w:lang w:val="pl-PL"/>
        </w:rPr>
        <w:t>ednosni profil ramiprila u pedijatrijskoj populaciji ne razlikuje se značajno od bezb</w:t>
      </w:r>
      <w:r w:rsidR="00136F13">
        <w:rPr>
          <w:sz w:val="22"/>
          <w:szCs w:val="22"/>
          <w:lang w:val="pl-PL"/>
        </w:rPr>
        <w:t>j</w:t>
      </w:r>
      <w:r w:rsidRPr="0099185C">
        <w:rPr>
          <w:sz w:val="22"/>
          <w:szCs w:val="22"/>
          <w:lang w:val="pl-PL"/>
        </w:rPr>
        <w:t>ednosnog profila kod odraslih.</w:t>
      </w:r>
    </w:p>
    <w:p w14:paraId="773D56A2" w14:textId="77777777" w:rsidR="0099185C" w:rsidRPr="0099185C" w:rsidRDefault="0099185C" w:rsidP="003457B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</w:p>
    <w:p w14:paraId="2E2B780E" w14:textId="77777777" w:rsidR="005A23D2" w:rsidRPr="00786071" w:rsidRDefault="005A23D2" w:rsidP="003457B5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RS"/>
        </w:rPr>
      </w:pPr>
      <w:r w:rsidRPr="00786071">
        <w:rPr>
          <w:rFonts w:eastAsia="Calibri"/>
          <w:sz w:val="22"/>
          <w:szCs w:val="22"/>
          <w:u w:val="single"/>
          <w:lang w:val="sr-Latn-RS"/>
        </w:rPr>
        <w:t>Prijavljivanje sumnji na neželjena dejstva</w:t>
      </w:r>
    </w:p>
    <w:p w14:paraId="2E2B780F" w14:textId="77777777" w:rsidR="005A23D2" w:rsidRPr="00786071" w:rsidRDefault="005A23D2" w:rsidP="003C17A3">
      <w:pPr>
        <w:spacing w:after="200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Prijavljivanje neželjenih dejstava nakon dobijanja dozvole je od velikog značaja jer obezbjeđuje kont</w:t>
      </w:r>
      <w:r w:rsidR="00EA5765" w:rsidRPr="00786071">
        <w:rPr>
          <w:rFonts w:eastAsia="Calibri"/>
          <w:sz w:val="22"/>
          <w:szCs w:val="22"/>
          <w:lang w:val="sr-Latn-RS"/>
        </w:rPr>
        <w:t>inuirano praćenje odnosa korist</w:t>
      </w:r>
      <w:r w:rsidRPr="00786071">
        <w:rPr>
          <w:rFonts w:eastAsia="Calibri"/>
          <w:sz w:val="22"/>
          <w:szCs w:val="22"/>
          <w:lang w:val="sr-Latn-RS"/>
        </w:rPr>
        <w:t>/rizik primjene lijeka. Zdravstveni radnici treba da prijave svaku sumnju na neželjeno</w:t>
      </w:r>
      <w:r w:rsidR="009B062A" w:rsidRPr="00786071">
        <w:rPr>
          <w:rFonts w:eastAsia="Calibri"/>
          <w:sz w:val="22"/>
          <w:szCs w:val="22"/>
          <w:lang w:val="sr-Latn-RS"/>
        </w:rPr>
        <w:t xml:space="preserve"> </w:t>
      </w:r>
      <w:r w:rsidRPr="00786071">
        <w:rPr>
          <w:rFonts w:eastAsia="Calibri"/>
          <w:sz w:val="22"/>
          <w:szCs w:val="22"/>
          <w:lang w:val="sr-Latn-RS"/>
        </w:rPr>
        <w:t xml:space="preserve">dejstvo ovog lijeka </w:t>
      </w:r>
      <w:r w:rsidR="004E70AD">
        <w:rPr>
          <w:rFonts w:eastAsia="Calibri"/>
          <w:sz w:val="22"/>
          <w:szCs w:val="22"/>
          <w:lang w:val="sr-Latn-RS"/>
        </w:rPr>
        <w:t>Institutu</w:t>
      </w:r>
      <w:r w:rsidRPr="00786071">
        <w:rPr>
          <w:rFonts w:eastAsia="Calibri"/>
          <w:sz w:val="22"/>
          <w:szCs w:val="22"/>
          <w:lang w:val="sr-Latn-RS"/>
        </w:rPr>
        <w:t xml:space="preserve"> za ljekove i medicinska sredstva</w:t>
      </w:r>
      <w:r w:rsidR="004E70AD">
        <w:rPr>
          <w:rFonts w:eastAsia="Calibri"/>
          <w:sz w:val="22"/>
          <w:szCs w:val="22"/>
          <w:lang w:val="sr-Latn-RS"/>
        </w:rPr>
        <w:t xml:space="preserve"> </w:t>
      </w:r>
      <w:r w:rsidRPr="00786071">
        <w:rPr>
          <w:rFonts w:eastAsia="Calibri"/>
          <w:sz w:val="22"/>
          <w:szCs w:val="22"/>
          <w:lang w:val="sr-Latn-RS"/>
        </w:rPr>
        <w:t>(</w:t>
      </w:r>
      <w:r w:rsidR="004E70AD" w:rsidRPr="00786071">
        <w:rPr>
          <w:rFonts w:eastAsia="Calibri"/>
          <w:sz w:val="22"/>
          <w:szCs w:val="22"/>
          <w:lang w:val="sr-Latn-RS"/>
        </w:rPr>
        <w:t>C</w:t>
      </w:r>
      <w:r w:rsidR="004E70AD">
        <w:rPr>
          <w:rFonts w:eastAsia="Calibri"/>
          <w:sz w:val="22"/>
          <w:szCs w:val="22"/>
          <w:lang w:val="sr-Latn-RS"/>
        </w:rPr>
        <w:t>InMED</w:t>
      </w:r>
      <w:r w:rsidRPr="00786071">
        <w:rPr>
          <w:rFonts w:eastAsia="Calibri"/>
          <w:sz w:val="22"/>
          <w:szCs w:val="22"/>
          <w:lang w:val="sr-Latn-RS"/>
        </w:rPr>
        <w:t>):</w:t>
      </w:r>
    </w:p>
    <w:p w14:paraId="2E2B7810" w14:textId="77777777" w:rsidR="005A23D2" w:rsidRPr="00786071" w:rsidRDefault="004E70AD" w:rsidP="00D66A5B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Institut</w:t>
      </w:r>
      <w:r w:rsidRPr="00786071">
        <w:rPr>
          <w:rFonts w:eastAsia="Calibri"/>
          <w:sz w:val="22"/>
          <w:szCs w:val="22"/>
          <w:lang w:val="sr-Latn-RS"/>
        </w:rPr>
        <w:t xml:space="preserve"> </w:t>
      </w:r>
      <w:r w:rsidR="005A23D2" w:rsidRPr="00786071">
        <w:rPr>
          <w:rFonts w:eastAsia="Calibri"/>
          <w:sz w:val="22"/>
          <w:szCs w:val="22"/>
          <w:lang w:val="sr-Latn-RS"/>
        </w:rPr>
        <w:t xml:space="preserve">za ljekove i medicinska sredstva </w:t>
      </w:r>
    </w:p>
    <w:p w14:paraId="2E2B7811" w14:textId="77777777" w:rsidR="005A23D2" w:rsidRPr="00786071" w:rsidRDefault="005A23D2" w:rsidP="00D66A5B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Odjeljenje za farmakovigilancu</w:t>
      </w:r>
    </w:p>
    <w:p w14:paraId="2E2B7812" w14:textId="77777777" w:rsidR="00EA5765" w:rsidRPr="00786071" w:rsidRDefault="005A23D2" w:rsidP="00CC39D0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2E2B7813" w14:textId="77777777" w:rsidR="00EA5765" w:rsidRPr="00786071" w:rsidRDefault="00EA5765" w:rsidP="003457B5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2E2B7814" w14:textId="77777777" w:rsidR="005A23D2" w:rsidRPr="00786071" w:rsidRDefault="005A23D2" w:rsidP="003C17A3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tel: +382 (0) 20 310 280</w:t>
      </w:r>
    </w:p>
    <w:p w14:paraId="2E2B7815" w14:textId="77777777" w:rsidR="00EA5765" w:rsidRPr="00786071" w:rsidRDefault="005A23D2" w:rsidP="00D66A5B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fax:</w:t>
      </w:r>
      <w:r w:rsidR="00EA5765" w:rsidRPr="00786071">
        <w:rPr>
          <w:rFonts w:eastAsia="Calibri"/>
          <w:sz w:val="22"/>
          <w:szCs w:val="22"/>
          <w:lang w:val="sr-Latn-RS"/>
        </w:rPr>
        <w:t xml:space="preserve"> </w:t>
      </w:r>
      <w:r w:rsidRPr="00786071">
        <w:rPr>
          <w:rFonts w:eastAsia="Calibri"/>
          <w:sz w:val="22"/>
          <w:szCs w:val="22"/>
          <w:lang w:val="sr-Latn-RS"/>
        </w:rPr>
        <w:t>+382 (0) 20 310 581</w:t>
      </w:r>
      <w:r w:rsidR="00FF3EDF">
        <w:rPr>
          <w:rFonts w:eastAsia="Calibri"/>
          <w:sz w:val="22"/>
          <w:szCs w:val="22"/>
          <w:lang w:val="sr-Latn-RS"/>
        </w:rPr>
        <w:tab/>
      </w:r>
    </w:p>
    <w:p w14:paraId="2E2B7816" w14:textId="77777777" w:rsidR="005A23D2" w:rsidRPr="00786071" w:rsidRDefault="00226560" w:rsidP="00D66A5B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8" w:history="1">
        <w:r w:rsidR="004E70AD" w:rsidRPr="00B664A0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2E2B7817" w14:textId="77777777" w:rsidR="00EA5765" w:rsidRPr="00786071" w:rsidRDefault="00226560" w:rsidP="00CC39D0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9" w:history="1">
        <w:r w:rsidR="004E70AD" w:rsidRPr="00B664A0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2E2B7818" w14:textId="77777777" w:rsidR="005A23D2" w:rsidRDefault="005A23D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putem IS zdravstvene zaštite</w:t>
      </w:r>
    </w:p>
    <w:p w14:paraId="2E2B7819" w14:textId="77777777" w:rsidR="007E31E9" w:rsidRDefault="007E31E9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QR kod za online prijavu</w:t>
      </w:r>
      <w:r w:rsidR="00D74CD2">
        <w:rPr>
          <w:rFonts w:eastAsia="Calibri"/>
          <w:sz w:val="22"/>
          <w:szCs w:val="22"/>
          <w:lang w:val="sr-Latn-RS"/>
        </w:rPr>
        <w:t xml:space="preserve"> sumnje na neželjeno dejstvo lijeka</w:t>
      </w:r>
      <w:r>
        <w:rPr>
          <w:rFonts w:eastAsia="Calibri"/>
          <w:sz w:val="22"/>
          <w:szCs w:val="22"/>
          <w:lang w:val="sr-Latn-RS"/>
        </w:rPr>
        <w:t>:</w:t>
      </w:r>
    </w:p>
    <w:p w14:paraId="2E2B781A" w14:textId="77777777" w:rsidR="007E31E9" w:rsidRDefault="007E31E9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2E2B781B" w14:textId="77777777" w:rsidR="004F17E2" w:rsidRPr="00786071" w:rsidRDefault="007E31E9" w:rsidP="003457B5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noProof/>
        </w:rPr>
        <w:drawing>
          <wp:inline distT="0" distB="0" distL="0" distR="0" wp14:anchorId="2E2B7851" wp14:editId="2E2B7852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B781C" w14:textId="77777777" w:rsidR="00836B35" w:rsidRPr="00786071" w:rsidRDefault="00836B3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2E2B781D" w14:textId="77777777" w:rsidR="00CD6F02" w:rsidRPr="00786071" w:rsidRDefault="0072020E" w:rsidP="00A066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4.9.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Predoziranje</w:t>
      </w:r>
      <w:r w:rsidR="002846DB" w:rsidRPr="00786071">
        <w:rPr>
          <w:b/>
          <w:bCs/>
          <w:sz w:val="22"/>
          <w:szCs w:val="22"/>
        </w:rPr>
        <w:t xml:space="preserve"> </w:t>
      </w:r>
    </w:p>
    <w:p w14:paraId="2E2B781E" w14:textId="4481AB3F" w:rsidR="00CD6F02" w:rsidRDefault="00CD6F02" w:rsidP="00A066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03F3EC25" w14:textId="77777777" w:rsidR="00EF61EC" w:rsidRPr="00EF61EC" w:rsidRDefault="00EF61EC" w:rsidP="00AB1FCF">
      <w:pPr>
        <w:jc w:val="both"/>
        <w:rPr>
          <w:sz w:val="22"/>
          <w:szCs w:val="22"/>
          <w:u w:val="single"/>
          <w:lang w:val="hr-HR"/>
        </w:rPr>
      </w:pPr>
      <w:r w:rsidRPr="00EF61EC">
        <w:rPr>
          <w:sz w:val="22"/>
          <w:szCs w:val="22"/>
          <w:u w:val="single"/>
          <w:lang w:val="hr-HR"/>
        </w:rPr>
        <w:t>Simptomi</w:t>
      </w:r>
    </w:p>
    <w:p w14:paraId="3FB6F573" w14:textId="131B95DC" w:rsidR="00EF61EC" w:rsidRPr="00EF61EC" w:rsidRDefault="00EF61EC" w:rsidP="00AB1FCF">
      <w:pPr>
        <w:pStyle w:val="Header"/>
        <w:tabs>
          <w:tab w:val="left" w:pos="570"/>
        </w:tabs>
        <w:jc w:val="both"/>
        <w:rPr>
          <w:sz w:val="22"/>
          <w:szCs w:val="22"/>
          <w:lang w:val="sr-Latn-CS"/>
        </w:rPr>
      </w:pPr>
      <w:r w:rsidRPr="00EF61EC">
        <w:rPr>
          <w:sz w:val="22"/>
          <w:szCs w:val="22"/>
          <w:lang w:val="sr-Latn-CS"/>
        </w:rPr>
        <w:t>Simptomi povezani za predoziranje ACE inhibitorima, uključuju prekom</w:t>
      </w:r>
      <w:r w:rsidR="00A06662">
        <w:rPr>
          <w:sz w:val="22"/>
          <w:szCs w:val="22"/>
          <w:lang w:val="sr-Latn-CS"/>
        </w:rPr>
        <w:t>j</w:t>
      </w:r>
      <w:r w:rsidRPr="00EF61EC">
        <w:rPr>
          <w:sz w:val="22"/>
          <w:szCs w:val="22"/>
          <w:lang w:val="sr-Latn-CS"/>
        </w:rPr>
        <w:t>ernu perifernu vazodilataciju (sa izraženom hipotenzijom, šokom), bradikardiju, poremećaj e</w:t>
      </w:r>
      <w:r w:rsidR="00136F13">
        <w:rPr>
          <w:sz w:val="22"/>
          <w:szCs w:val="22"/>
          <w:lang w:val="sr-Latn-CS"/>
        </w:rPr>
        <w:t>lijek</w:t>
      </w:r>
      <w:r w:rsidRPr="00EF61EC">
        <w:rPr>
          <w:sz w:val="22"/>
          <w:szCs w:val="22"/>
          <w:lang w:val="sr-Latn-CS"/>
        </w:rPr>
        <w:t xml:space="preserve">trolita i bubrežnu insuficijenciju. </w:t>
      </w:r>
    </w:p>
    <w:p w14:paraId="51B262A2" w14:textId="77777777" w:rsidR="00A06662" w:rsidRDefault="00A06662" w:rsidP="00AB1FCF">
      <w:pPr>
        <w:jc w:val="both"/>
        <w:rPr>
          <w:sz w:val="22"/>
          <w:szCs w:val="22"/>
          <w:u w:val="single"/>
          <w:lang w:val="hr-HR"/>
        </w:rPr>
      </w:pPr>
    </w:p>
    <w:p w14:paraId="1571087C" w14:textId="01025638" w:rsidR="00A06662" w:rsidRPr="00EF61EC" w:rsidRDefault="00EF61EC" w:rsidP="00AB1FCF">
      <w:pPr>
        <w:jc w:val="both"/>
        <w:rPr>
          <w:sz w:val="22"/>
          <w:szCs w:val="22"/>
          <w:u w:val="single"/>
          <w:lang w:val="hr-HR"/>
        </w:rPr>
      </w:pPr>
      <w:r w:rsidRPr="00EF61EC">
        <w:rPr>
          <w:sz w:val="22"/>
          <w:szCs w:val="22"/>
          <w:u w:val="single"/>
          <w:lang w:val="hr-HR"/>
        </w:rPr>
        <w:t>Postupak kod predoziranja</w:t>
      </w:r>
    </w:p>
    <w:p w14:paraId="4DFFDC5E" w14:textId="0762A8D9" w:rsidR="00EF61EC" w:rsidRPr="00EF61EC" w:rsidRDefault="00EF61EC" w:rsidP="00A06662">
      <w:pPr>
        <w:jc w:val="both"/>
        <w:rPr>
          <w:sz w:val="22"/>
          <w:szCs w:val="22"/>
          <w:lang w:val="sr-Latn-CS"/>
        </w:rPr>
      </w:pPr>
      <w:r w:rsidRPr="00EF61EC">
        <w:rPr>
          <w:sz w:val="22"/>
          <w:szCs w:val="22"/>
          <w:lang w:val="sr-Latn-CS"/>
        </w:rPr>
        <w:t xml:space="preserve">Pacijente treba pažljivo pratiti, a </w:t>
      </w:r>
      <w:r w:rsidR="00136F13">
        <w:rPr>
          <w:sz w:val="22"/>
          <w:szCs w:val="22"/>
          <w:lang w:val="sr-Latn-CS"/>
        </w:rPr>
        <w:t>liječenje</w:t>
      </w:r>
      <w:r w:rsidRPr="00EF61EC">
        <w:rPr>
          <w:sz w:val="22"/>
          <w:szCs w:val="22"/>
          <w:lang w:val="sr-Latn-CS"/>
        </w:rPr>
        <w:t xml:space="preserve"> treba da bude simptomatsko i suportivno. Preporučene m</w:t>
      </w:r>
      <w:r w:rsidR="00A06662">
        <w:rPr>
          <w:sz w:val="22"/>
          <w:szCs w:val="22"/>
          <w:lang w:val="sr-Latn-CS"/>
        </w:rPr>
        <w:t>j</w:t>
      </w:r>
      <w:r w:rsidRPr="00EF61EC">
        <w:rPr>
          <w:sz w:val="22"/>
          <w:szCs w:val="22"/>
          <w:lang w:val="sr-Latn-CS"/>
        </w:rPr>
        <w:t xml:space="preserve">ere uključuju primarnu detoksikaciju (ispiranje želuca i </w:t>
      </w:r>
      <w:r w:rsidR="00136F13">
        <w:rPr>
          <w:sz w:val="22"/>
          <w:szCs w:val="22"/>
          <w:lang w:val="sr-Latn-CS"/>
        </w:rPr>
        <w:t>primjena</w:t>
      </w:r>
      <w:r w:rsidRPr="00EF61EC">
        <w:rPr>
          <w:sz w:val="22"/>
          <w:szCs w:val="22"/>
          <w:lang w:val="sr-Latn-CS"/>
        </w:rPr>
        <w:t xml:space="preserve"> adsorbensa) i m</w:t>
      </w:r>
      <w:r w:rsidR="00A06662">
        <w:rPr>
          <w:sz w:val="22"/>
          <w:szCs w:val="22"/>
          <w:lang w:val="sr-Latn-CS"/>
        </w:rPr>
        <w:t>j</w:t>
      </w:r>
      <w:r w:rsidRPr="00EF61EC">
        <w:rPr>
          <w:sz w:val="22"/>
          <w:szCs w:val="22"/>
          <w:lang w:val="sr-Latn-CS"/>
        </w:rPr>
        <w:t>ere za uspostavljanje hemodinamske stabilnosti, uključujući prim</w:t>
      </w:r>
      <w:r w:rsidR="00A06662">
        <w:rPr>
          <w:sz w:val="22"/>
          <w:szCs w:val="22"/>
          <w:lang w:val="sr-Latn-CS"/>
        </w:rPr>
        <w:t>j</w:t>
      </w:r>
      <w:r w:rsidRPr="00EF61EC">
        <w:rPr>
          <w:sz w:val="22"/>
          <w:szCs w:val="22"/>
          <w:lang w:val="sr-Latn-CS"/>
        </w:rPr>
        <w:t>enu alfa 1 adrenergičkih agonista ili angiotenzina II (angiotenzinamida). Ramiprilat, aktivni metabolit ramiprila, slabo se eliminiše iz cirkulacije hemodijalizom.</w:t>
      </w:r>
    </w:p>
    <w:p w14:paraId="3D936E39" w14:textId="77777777" w:rsidR="0099185C" w:rsidRPr="00EF61EC" w:rsidRDefault="0099185C" w:rsidP="00A066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</w:p>
    <w:p w14:paraId="2E2B781F" w14:textId="77777777" w:rsidR="00227BDB" w:rsidRPr="00EF61EC" w:rsidRDefault="00227BD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</w:p>
    <w:p w14:paraId="2E2B7820" w14:textId="52858BFA" w:rsidR="0072020E" w:rsidRPr="004F24BB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4F24BB">
        <w:rPr>
          <w:b/>
          <w:bCs/>
          <w:sz w:val="22"/>
          <w:szCs w:val="22"/>
          <w:lang w:val="sr-Latn-CS"/>
        </w:rPr>
        <w:t xml:space="preserve">5. </w:t>
      </w:r>
      <w:r w:rsidR="00480FB1" w:rsidRPr="004F24BB">
        <w:rPr>
          <w:b/>
          <w:bCs/>
          <w:sz w:val="22"/>
          <w:szCs w:val="22"/>
          <w:lang w:val="sr-Latn-CS"/>
        </w:rPr>
        <w:tab/>
      </w:r>
      <w:r w:rsidRPr="00786071">
        <w:rPr>
          <w:b/>
          <w:bCs/>
          <w:sz w:val="22"/>
          <w:szCs w:val="22"/>
        </w:rPr>
        <w:t>FARMAKOLO</w:t>
      </w:r>
      <w:r w:rsidRPr="004F24BB">
        <w:rPr>
          <w:b/>
          <w:bCs/>
          <w:sz w:val="22"/>
          <w:szCs w:val="22"/>
          <w:lang w:val="sr-Latn-CS"/>
        </w:rPr>
        <w:t>Š</w:t>
      </w:r>
      <w:r w:rsidRPr="00786071">
        <w:rPr>
          <w:b/>
          <w:bCs/>
          <w:sz w:val="22"/>
          <w:szCs w:val="22"/>
        </w:rPr>
        <w:t>K</w:t>
      </w:r>
      <w:r w:rsidR="000D425A" w:rsidRPr="00786071">
        <w:rPr>
          <w:b/>
          <w:bCs/>
          <w:sz w:val="22"/>
          <w:szCs w:val="22"/>
        </w:rPr>
        <w:t>I</w:t>
      </w:r>
      <w:r w:rsidRPr="004F24BB">
        <w:rPr>
          <w:b/>
          <w:bCs/>
          <w:sz w:val="22"/>
          <w:szCs w:val="22"/>
          <w:lang w:val="sr-Latn-CS"/>
        </w:rPr>
        <w:t xml:space="preserve"> </w:t>
      </w:r>
      <w:r w:rsidRPr="00786071">
        <w:rPr>
          <w:b/>
          <w:bCs/>
          <w:sz w:val="22"/>
          <w:szCs w:val="22"/>
        </w:rPr>
        <w:t>PODACI</w:t>
      </w:r>
    </w:p>
    <w:p w14:paraId="2E2B7821" w14:textId="77777777" w:rsidR="0072020E" w:rsidRPr="004F24BB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</w:p>
    <w:p w14:paraId="2E2B7822" w14:textId="77777777" w:rsidR="0072020E" w:rsidRPr="004F24BB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4F24BB">
        <w:rPr>
          <w:b/>
          <w:bCs/>
          <w:sz w:val="22"/>
          <w:szCs w:val="22"/>
          <w:lang w:val="sr-Latn-CS"/>
        </w:rPr>
        <w:t xml:space="preserve">5.1. </w:t>
      </w:r>
      <w:r w:rsidR="00480FB1" w:rsidRPr="004F24BB">
        <w:rPr>
          <w:b/>
          <w:bCs/>
          <w:sz w:val="22"/>
          <w:szCs w:val="22"/>
          <w:lang w:val="sr-Latn-CS"/>
        </w:rPr>
        <w:tab/>
      </w:r>
      <w:r w:rsidRPr="00786071">
        <w:rPr>
          <w:b/>
          <w:bCs/>
          <w:sz w:val="22"/>
          <w:szCs w:val="22"/>
        </w:rPr>
        <w:t>Farmakodinamski</w:t>
      </w:r>
      <w:r w:rsidRPr="004F24BB">
        <w:rPr>
          <w:b/>
          <w:bCs/>
          <w:sz w:val="22"/>
          <w:szCs w:val="22"/>
          <w:lang w:val="sr-Latn-CS"/>
        </w:rPr>
        <w:t xml:space="preserve"> </w:t>
      </w:r>
      <w:r w:rsidRPr="00786071">
        <w:rPr>
          <w:b/>
          <w:bCs/>
          <w:sz w:val="22"/>
          <w:szCs w:val="22"/>
        </w:rPr>
        <w:t>podaci</w:t>
      </w:r>
      <w:r w:rsidR="003A7059" w:rsidRPr="004F24BB">
        <w:rPr>
          <w:b/>
          <w:bCs/>
          <w:sz w:val="22"/>
          <w:szCs w:val="22"/>
          <w:lang w:val="sr-Latn-CS"/>
        </w:rPr>
        <w:t xml:space="preserve"> </w:t>
      </w:r>
    </w:p>
    <w:p w14:paraId="2E2B7823" w14:textId="77777777" w:rsidR="00F45F77" w:rsidRPr="004F24BB" w:rsidRDefault="00F45F7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</w:p>
    <w:p w14:paraId="2E2B7824" w14:textId="5D0C2856" w:rsidR="0072020E" w:rsidRPr="004F24BB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5B3553">
        <w:rPr>
          <w:bCs/>
          <w:sz w:val="22"/>
          <w:szCs w:val="22"/>
          <w:lang w:val="it-IT"/>
        </w:rPr>
        <w:t>Farmakoterapijska</w:t>
      </w:r>
      <w:r w:rsidRPr="004F24BB">
        <w:rPr>
          <w:bCs/>
          <w:sz w:val="22"/>
          <w:szCs w:val="22"/>
          <w:lang w:val="sr-Latn-CS"/>
        </w:rPr>
        <w:t xml:space="preserve"> </w:t>
      </w:r>
      <w:r w:rsidRPr="005B3553">
        <w:rPr>
          <w:bCs/>
          <w:sz w:val="22"/>
          <w:szCs w:val="22"/>
          <w:lang w:val="it-IT"/>
        </w:rPr>
        <w:t>grupa</w:t>
      </w:r>
      <w:r w:rsidRPr="004F24BB">
        <w:rPr>
          <w:bCs/>
          <w:sz w:val="22"/>
          <w:szCs w:val="22"/>
          <w:lang w:val="sr-Latn-CS"/>
        </w:rPr>
        <w:t>:</w:t>
      </w:r>
      <w:r w:rsidR="005B3553" w:rsidRPr="004F24BB">
        <w:rPr>
          <w:bCs/>
          <w:sz w:val="22"/>
          <w:szCs w:val="22"/>
          <w:lang w:val="sr-Latn-CS"/>
        </w:rPr>
        <w:t xml:space="preserve"> </w:t>
      </w:r>
      <w:r w:rsidR="005B3553" w:rsidRPr="005B3553">
        <w:rPr>
          <w:sz w:val="22"/>
          <w:szCs w:val="22"/>
          <w:lang w:val="sr-Latn-CS"/>
        </w:rPr>
        <w:t>ACE inhibitori, monokomponentni</w:t>
      </w:r>
    </w:p>
    <w:p w14:paraId="2E2B7825" w14:textId="77777777" w:rsidR="0072020E" w:rsidRPr="004F24BB" w:rsidRDefault="0072020E" w:rsidP="003457B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2E2B7826" w14:textId="2C51F0FC" w:rsidR="0072020E" w:rsidRDefault="0072020E" w:rsidP="003457B5">
      <w:pPr>
        <w:tabs>
          <w:tab w:val="left" w:pos="540"/>
          <w:tab w:val="left" w:pos="569"/>
        </w:tabs>
        <w:jc w:val="both"/>
        <w:rPr>
          <w:sz w:val="22"/>
          <w:szCs w:val="22"/>
          <w:lang w:val="sl-SI"/>
        </w:rPr>
      </w:pPr>
      <w:r w:rsidRPr="00786071">
        <w:rPr>
          <w:bCs/>
          <w:sz w:val="22"/>
          <w:szCs w:val="22"/>
        </w:rPr>
        <w:t>ATC</w:t>
      </w:r>
      <w:r w:rsidRPr="004F24BB">
        <w:rPr>
          <w:bCs/>
          <w:sz w:val="22"/>
          <w:szCs w:val="22"/>
          <w:lang w:val="sr-Latn-CS"/>
        </w:rPr>
        <w:t xml:space="preserve"> </w:t>
      </w:r>
      <w:r w:rsidRPr="00786071">
        <w:rPr>
          <w:bCs/>
          <w:sz w:val="22"/>
          <w:szCs w:val="22"/>
        </w:rPr>
        <w:t>kod</w:t>
      </w:r>
      <w:r w:rsidRPr="004F24BB">
        <w:rPr>
          <w:bCs/>
          <w:sz w:val="22"/>
          <w:szCs w:val="22"/>
          <w:lang w:val="sr-Latn-CS"/>
        </w:rPr>
        <w:t>:</w:t>
      </w:r>
      <w:r w:rsidR="00006BDF" w:rsidRPr="00006BDF">
        <w:rPr>
          <w:sz w:val="22"/>
          <w:szCs w:val="22"/>
          <w:lang w:val="sl-SI"/>
        </w:rPr>
        <w:t xml:space="preserve"> C09AA05</w:t>
      </w:r>
    </w:p>
    <w:p w14:paraId="5E96B808" w14:textId="7A364565" w:rsidR="00006BDF" w:rsidRPr="004F24BB" w:rsidRDefault="00006BDF" w:rsidP="003457B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05744CE4" w14:textId="77777777" w:rsidR="00972837" w:rsidRPr="00972837" w:rsidRDefault="00972837" w:rsidP="003C17A3">
      <w:pPr>
        <w:tabs>
          <w:tab w:val="left" w:pos="284"/>
        </w:tabs>
        <w:jc w:val="both"/>
        <w:rPr>
          <w:i/>
          <w:sz w:val="22"/>
          <w:szCs w:val="22"/>
          <w:u w:val="single"/>
          <w:lang w:val="pl-PL"/>
        </w:rPr>
      </w:pPr>
      <w:r w:rsidRPr="00972837">
        <w:rPr>
          <w:i/>
          <w:sz w:val="22"/>
          <w:szCs w:val="22"/>
          <w:u w:val="single"/>
          <w:lang w:val="pl-PL"/>
        </w:rPr>
        <w:t>Mehanizam dejstva</w:t>
      </w:r>
    </w:p>
    <w:p w14:paraId="3E5D4822" w14:textId="05A4AC0A" w:rsidR="00A06662" w:rsidRPr="00972837" w:rsidRDefault="00972837" w:rsidP="00AB1FCF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lang w:val="sr-Latn-CS"/>
        </w:rPr>
      </w:pPr>
      <w:r w:rsidRPr="00972837">
        <w:rPr>
          <w:sz w:val="22"/>
          <w:szCs w:val="22"/>
        </w:rPr>
        <w:lastRenderedPageBreak/>
        <w:t>Ramiprilat</w:t>
      </w:r>
      <w:r w:rsidRPr="00972837">
        <w:rPr>
          <w:sz w:val="22"/>
          <w:szCs w:val="22"/>
          <w:lang w:val="sr-Latn-CS"/>
        </w:rPr>
        <w:t xml:space="preserve">, </w:t>
      </w:r>
      <w:r w:rsidRPr="00972837">
        <w:rPr>
          <w:sz w:val="22"/>
          <w:szCs w:val="22"/>
        </w:rPr>
        <w:t>aktivni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metabolit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prekursora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ramiprila</w:t>
      </w:r>
      <w:r w:rsidRPr="00972837">
        <w:rPr>
          <w:sz w:val="22"/>
          <w:szCs w:val="22"/>
          <w:lang w:val="sr-Latn-CS"/>
        </w:rPr>
        <w:t xml:space="preserve">, </w:t>
      </w:r>
      <w:r w:rsidRPr="00972837">
        <w:rPr>
          <w:sz w:val="22"/>
          <w:szCs w:val="22"/>
        </w:rPr>
        <w:t>inhibira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enzim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dipeptidilkarboksipeptidazu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I</w:t>
      </w:r>
      <w:r w:rsidRPr="00972837">
        <w:rPr>
          <w:sz w:val="22"/>
          <w:szCs w:val="22"/>
          <w:lang w:val="sr-Latn-CS"/>
        </w:rPr>
        <w:t xml:space="preserve"> (</w:t>
      </w:r>
      <w:r w:rsidRPr="00972837">
        <w:rPr>
          <w:sz w:val="22"/>
          <w:szCs w:val="22"/>
        </w:rPr>
        <w:t>sinonimi</w:t>
      </w:r>
      <w:r w:rsidRPr="00972837">
        <w:rPr>
          <w:sz w:val="22"/>
          <w:szCs w:val="22"/>
          <w:lang w:val="sr-Latn-CS"/>
        </w:rPr>
        <w:t xml:space="preserve">: </w:t>
      </w:r>
      <w:r w:rsidRPr="00972837">
        <w:rPr>
          <w:sz w:val="22"/>
          <w:szCs w:val="22"/>
        </w:rPr>
        <w:t>angiotenzin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konvertuju</w:t>
      </w:r>
      <w:r w:rsidRPr="00972837">
        <w:rPr>
          <w:sz w:val="22"/>
          <w:szCs w:val="22"/>
          <w:lang w:val="sr-Latn-CS"/>
        </w:rPr>
        <w:t>ć</w:t>
      </w:r>
      <w:r w:rsidRPr="00972837">
        <w:rPr>
          <w:sz w:val="22"/>
          <w:szCs w:val="22"/>
        </w:rPr>
        <w:t>i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enzim</w:t>
      </w:r>
      <w:r w:rsidRPr="00972837">
        <w:rPr>
          <w:sz w:val="22"/>
          <w:szCs w:val="22"/>
          <w:lang w:val="sr-Latn-CS"/>
        </w:rPr>
        <w:t xml:space="preserve">; </w:t>
      </w:r>
      <w:r w:rsidRPr="00972837">
        <w:rPr>
          <w:sz w:val="22"/>
          <w:szCs w:val="22"/>
        </w:rPr>
        <w:t>kininaza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II</w:t>
      </w:r>
      <w:r w:rsidRPr="00972837">
        <w:rPr>
          <w:sz w:val="22"/>
          <w:szCs w:val="22"/>
          <w:lang w:val="sr-Latn-CS"/>
        </w:rPr>
        <w:t xml:space="preserve">). </w:t>
      </w:r>
      <w:r w:rsidRPr="00972837">
        <w:rPr>
          <w:sz w:val="22"/>
          <w:szCs w:val="22"/>
        </w:rPr>
        <w:t>U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plazmi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i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tkivu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ovaj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enzim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katalizuje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konverziju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angiotenzina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I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u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aktivnu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vazokonstriktornu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supstancu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angiotenzin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II</w:t>
      </w:r>
      <w:r w:rsidRPr="00972837">
        <w:rPr>
          <w:sz w:val="22"/>
          <w:szCs w:val="22"/>
          <w:lang w:val="sr-Latn-CS"/>
        </w:rPr>
        <w:t xml:space="preserve">, </w:t>
      </w:r>
      <w:r w:rsidRPr="00972837">
        <w:rPr>
          <w:sz w:val="22"/>
          <w:szCs w:val="22"/>
        </w:rPr>
        <w:t>kao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i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razgradnju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aktivnog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vazodilatatora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bradikinina</w:t>
      </w:r>
      <w:r w:rsidRPr="00972837">
        <w:rPr>
          <w:sz w:val="22"/>
          <w:szCs w:val="22"/>
          <w:lang w:val="sr-Latn-CS"/>
        </w:rPr>
        <w:t xml:space="preserve">. </w:t>
      </w:r>
      <w:r w:rsidRPr="00972837">
        <w:rPr>
          <w:sz w:val="22"/>
          <w:szCs w:val="22"/>
        </w:rPr>
        <w:t>Smanjenje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stvaranja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angiotenzina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II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i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inhibicija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razgradnje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bradikinina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dovode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do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vazodilatacije</w:t>
      </w:r>
      <w:r w:rsidRPr="00972837">
        <w:rPr>
          <w:sz w:val="22"/>
          <w:szCs w:val="22"/>
          <w:lang w:val="sr-Latn-CS"/>
        </w:rPr>
        <w:t>.</w:t>
      </w:r>
    </w:p>
    <w:p w14:paraId="4A2B20BD" w14:textId="1C35EE66" w:rsidR="00972837" w:rsidRPr="00972837" w:rsidRDefault="00972837" w:rsidP="00AB1FCF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lang w:val="sr-Latn-CS"/>
        </w:rPr>
      </w:pPr>
      <w:r w:rsidRPr="00972837">
        <w:rPr>
          <w:sz w:val="22"/>
          <w:szCs w:val="22"/>
        </w:rPr>
        <w:t>Po</w:t>
      </w:r>
      <w:r w:rsidRPr="00972837">
        <w:rPr>
          <w:sz w:val="22"/>
          <w:szCs w:val="22"/>
          <w:lang w:val="sr-Latn-CS"/>
        </w:rPr>
        <w:t>š</w:t>
      </w:r>
      <w:r w:rsidRPr="00972837">
        <w:rPr>
          <w:sz w:val="22"/>
          <w:szCs w:val="22"/>
        </w:rPr>
        <w:t>to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angiotenzin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II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tako</w:t>
      </w:r>
      <w:r w:rsidRPr="00972837">
        <w:rPr>
          <w:sz w:val="22"/>
          <w:szCs w:val="22"/>
          <w:lang w:val="sr-Latn-CS"/>
        </w:rPr>
        <w:t>đ</w:t>
      </w:r>
      <w:r w:rsidRPr="00972837">
        <w:rPr>
          <w:sz w:val="22"/>
          <w:szCs w:val="22"/>
        </w:rPr>
        <w:t>e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stimuli</w:t>
      </w:r>
      <w:r w:rsidRPr="00972837">
        <w:rPr>
          <w:sz w:val="22"/>
          <w:szCs w:val="22"/>
          <w:lang w:val="sr-Latn-CS"/>
        </w:rPr>
        <w:t>š</w:t>
      </w:r>
      <w:r w:rsidRPr="00972837">
        <w:rPr>
          <w:sz w:val="22"/>
          <w:szCs w:val="22"/>
        </w:rPr>
        <w:t>e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osloba</w:t>
      </w:r>
      <w:r w:rsidRPr="00972837">
        <w:rPr>
          <w:sz w:val="22"/>
          <w:szCs w:val="22"/>
          <w:lang w:val="sr-Latn-CS"/>
        </w:rPr>
        <w:t>đ</w:t>
      </w:r>
      <w:r w:rsidRPr="00972837">
        <w:rPr>
          <w:sz w:val="22"/>
          <w:szCs w:val="22"/>
        </w:rPr>
        <w:t>anje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aldosterona</w:t>
      </w:r>
      <w:r w:rsidRPr="00972837">
        <w:rPr>
          <w:sz w:val="22"/>
          <w:szCs w:val="22"/>
          <w:lang w:val="sr-Latn-CS"/>
        </w:rPr>
        <w:t xml:space="preserve">, </w:t>
      </w:r>
      <w:r w:rsidRPr="00972837">
        <w:rPr>
          <w:sz w:val="22"/>
          <w:szCs w:val="22"/>
        </w:rPr>
        <w:t>ramiprilat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izaziva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redukciju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sekrecije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aldosterona</w:t>
      </w:r>
      <w:r w:rsidRPr="00972837">
        <w:rPr>
          <w:sz w:val="22"/>
          <w:szCs w:val="22"/>
          <w:lang w:val="sr-Latn-CS"/>
        </w:rPr>
        <w:t xml:space="preserve">. </w:t>
      </w:r>
      <w:r w:rsidRPr="00972837">
        <w:rPr>
          <w:sz w:val="22"/>
          <w:szCs w:val="22"/>
        </w:rPr>
        <w:t>Pros</w:t>
      </w:r>
      <w:r w:rsidR="00136F13">
        <w:rPr>
          <w:sz w:val="22"/>
          <w:szCs w:val="22"/>
        </w:rPr>
        <w:t>j</w:t>
      </w:r>
      <w:r w:rsidRPr="00972837">
        <w:rPr>
          <w:sz w:val="22"/>
          <w:szCs w:val="22"/>
        </w:rPr>
        <w:t>e</w:t>
      </w:r>
      <w:r w:rsidRPr="00972837">
        <w:rPr>
          <w:sz w:val="22"/>
          <w:szCs w:val="22"/>
          <w:lang w:val="sr-Latn-CS"/>
        </w:rPr>
        <w:t>č</w:t>
      </w:r>
      <w:r w:rsidRPr="00972837">
        <w:rPr>
          <w:sz w:val="22"/>
          <w:szCs w:val="22"/>
        </w:rPr>
        <w:t>an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odgovor</w:t>
      </w:r>
      <w:r w:rsidRPr="00972837">
        <w:rPr>
          <w:sz w:val="22"/>
          <w:szCs w:val="22"/>
          <w:lang w:val="sr-Latn-CS"/>
        </w:rPr>
        <w:t xml:space="preserve"> </w:t>
      </w:r>
      <w:proofErr w:type="gramStart"/>
      <w:r w:rsidRPr="00972837">
        <w:rPr>
          <w:sz w:val="22"/>
          <w:szCs w:val="22"/>
        </w:rPr>
        <w:t>na</w:t>
      </w:r>
      <w:proofErr w:type="gramEnd"/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monoterapiju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ACE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inhibitorima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je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manji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kod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ljudi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crne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rase</w:t>
      </w:r>
      <w:r w:rsidRPr="00972837">
        <w:rPr>
          <w:sz w:val="22"/>
          <w:szCs w:val="22"/>
          <w:lang w:val="sr-Latn-CS"/>
        </w:rPr>
        <w:t xml:space="preserve"> (</w:t>
      </w:r>
      <w:r w:rsidRPr="00972837">
        <w:rPr>
          <w:sz w:val="22"/>
          <w:szCs w:val="22"/>
        </w:rPr>
        <w:t>afro</w:t>
      </w:r>
      <w:r w:rsidRPr="00972837">
        <w:rPr>
          <w:sz w:val="22"/>
          <w:szCs w:val="22"/>
          <w:lang w:val="sr-Latn-CS"/>
        </w:rPr>
        <w:t>-</w:t>
      </w:r>
      <w:r w:rsidRPr="00972837">
        <w:rPr>
          <w:sz w:val="22"/>
          <w:szCs w:val="22"/>
        </w:rPr>
        <w:t>karipskog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por</w:t>
      </w:r>
      <w:r w:rsidR="003457B5">
        <w:rPr>
          <w:sz w:val="22"/>
          <w:szCs w:val="22"/>
        </w:rPr>
        <w:t>ij</w:t>
      </w:r>
      <w:r w:rsidRPr="00972837">
        <w:rPr>
          <w:sz w:val="22"/>
          <w:szCs w:val="22"/>
        </w:rPr>
        <w:t>ekla</w:t>
      </w:r>
      <w:r w:rsidRPr="00972837">
        <w:rPr>
          <w:sz w:val="22"/>
          <w:szCs w:val="22"/>
          <w:lang w:val="sr-Latn-CS"/>
        </w:rPr>
        <w:t xml:space="preserve">) </w:t>
      </w:r>
      <w:r w:rsidRPr="00972837">
        <w:rPr>
          <w:sz w:val="22"/>
          <w:szCs w:val="22"/>
        </w:rPr>
        <w:t>sa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hipertenzijom</w:t>
      </w:r>
      <w:r w:rsidRPr="00972837">
        <w:rPr>
          <w:sz w:val="22"/>
          <w:szCs w:val="22"/>
          <w:lang w:val="sr-Latn-CS"/>
        </w:rPr>
        <w:t xml:space="preserve"> (</w:t>
      </w:r>
      <w:r w:rsidRPr="00972837">
        <w:rPr>
          <w:sz w:val="22"/>
          <w:szCs w:val="22"/>
        </w:rPr>
        <w:t>uglavnom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kod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pacijenata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sa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hipertenzijom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koji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imaju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nizak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nivo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renina</w:t>
      </w:r>
      <w:r w:rsidRPr="00972837">
        <w:rPr>
          <w:sz w:val="22"/>
          <w:szCs w:val="22"/>
          <w:lang w:val="sr-Latn-CS"/>
        </w:rPr>
        <w:t xml:space="preserve">) </w:t>
      </w:r>
      <w:r w:rsidRPr="00972837">
        <w:rPr>
          <w:sz w:val="22"/>
          <w:szCs w:val="22"/>
        </w:rPr>
        <w:t>nego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kod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ljudi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drugih</w:t>
      </w:r>
      <w:r w:rsidRPr="00972837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</w:rPr>
        <w:t>rasa</w:t>
      </w:r>
      <w:r w:rsidRPr="00972837">
        <w:rPr>
          <w:sz w:val="22"/>
          <w:szCs w:val="22"/>
          <w:lang w:val="sr-Latn-CS"/>
        </w:rPr>
        <w:t>.</w:t>
      </w:r>
    </w:p>
    <w:p w14:paraId="7393CBD2" w14:textId="77777777" w:rsidR="00972837" w:rsidRPr="00972837" w:rsidRDefault="00972837" w:rsidP="00A06662">
      <w:pPr>
        <w:tabs>
          <w:tab w:val="left" w:pos="284"/>
        </w:tabs>
        <w:jc w:val="both"/>
        <w:rPr>
          <w:sz w:val="22"/>
          <w:szCs w:val="22"/>
          <w:lang w:val="pl-PL"/>
        </w:rPr>
      </w:pPr>
    </w:p>
    <w:p w14:paraId="07FF3D57" w14:textId="313DD4E2" w:rsidR="00972837" w:rsidRPr="00AB1FCF" w:rsidRDefault="00972837" w:rsidP="00AB1FCF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u w:val="single"/>
          <w:lang w:val="sr-Latn-CS"/>
        </w:rPr>
      </w:pPr>
      <w:r w:rsidRPr="00AB1FCF">
        <w:rPr>
          <w:sz w:val="22"/>
          <w:szCs w:val="22"/>
          <w:u w:val="single"/>
          <w:lang w:val="sr-Latn-CS"/>
        </w:rPr>
        <w:t>Farmakodinamska dejstva</w:t>
      </w:r>
    </w:p>
    <w:p w14:paraId="2C1CB2EA" w14:textId="77777777" w:rsidR="00A06662" w:rsidRPr="00972837" w:rsidRDefault="00A06662" w:rsidP="00AB1FCF">
      <w:pPr>
        <w:tabs>
          <w:tab w:val="left" w:pos="570"/>
          <w:tab w:val="center" w:pos="4536"/>
          <w:tab w:val="right" w:pos="9072"/>
        </w:tabs>
        <w:jc w:val="both"/>
        <w:rPr>
          <w:i/>
          <w:sz w:val="22"/>
          <w:szCs w:val="22"/>
          <w:u w:val="single"/>
          <w:lang w:val="sr-Latn-CS"/>
        </w:rPr>
      </w:pPr>
    </w:p>
    <w:p w14:paraId="65E0E46E" w14:textId="77777777" w:rsidR="00972837" w:rsidRPr="00AB1FCF" w:rsidRDefault="00972837" w:rsidP="00AB1FCF">
      <w:pPr>
        <w:tabs>
          <w:tab w:val="left" w:pos="570"/>
          <w:tab w:val="center" w:pos="4536"/>
          <w:tab w:val="right" w:pos="9072"/>
        </w:tabs>
        <w:jc w:val="both"/>
        <w:rPr>
          <w:i/>
          <w:sz w:val="22"/>
          <w:szCs w:val="22"/>
          <w:lang w:val="sr-Latn-CS"/>
        </w:rPr>
      </w:pPr>
      <w:r w:rsidRPr="00AB1FCF">
        <w:rPr>
          <w:i/>
          <w:sz w:val="22"/>
          <w:szCs w:val="22"/>
          <w:lang w:val="sr-Latn-CS"/>
        </w:rPr>
        <w:t>Antihipertenzivna svojstva</w:t>
      </w:r>
    </w:p>
    <w:p w14:paraId="7FA84824" w14:textId="0397698A" w:rsidR="00972837" w:rsidRPr="00972837" w:rsidRDefault="00136F13" w:rsidP="00AB1FCF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Primjena</w:t>
      </w:r>
      <w:r w:rsidR="00972837" w:rsidRPr="00972837">
        <w:rPr>
          <w:sz w:val="22"/>
          <w:szCs w:val="22"/>
          <w:lang w:val="sr-Latn-CS"/>
        </w:rPr>
        <w:t xml:space="preserve"> ramiprila dovodi do izraženog smanjenja periferne arterijske rezistencije. Po pravilu,  nema značajne prom</w:t>
      </w:r>
      <w:r>
        <w:rPr>
          <w:sz w:val="22"/>
          <w:szCs w:val="22"/>
          <w:lang w:val="sr-Latn-CS"/>
        </w:rPr>
        <w:t>j</w:t>
      </w:r>
      <w:r w:rsidR="00972837" w:rsidRPr="00972837">
        <w:rPr>
          <w:sz w:val="22"/>
          <w:szCs w:val="22"/>
          <w:lang w:val="sr-Latn-CS"/>
        </w:rPr>
        <w:t xml:space="preserve">ene renalnog protoka plazme i brzine glomerularne filtracije. </w:t>
      </w:r>
      <w:r>
        <w:rPr>
          <w:sz w:val="22"/>
          <w:szCs w:val="22"/>
          <w:lang w:val="sr-Latn-CS"/>
        </w:rPr>
        <w:t>Primjena</w:t>
      </w:r>
      <w:r w:rsidR="00972837" w:rsidRPr="00972837">
        <w:rPr>
          <w:sz w:val="22"/>
          <w:szCs w:val="22"/>
          <w:lang w:val="sr-Latn-CS"/>
        </w:rPr>
        <w:t xml:space="preserve"> ramiprila kod pacijenata sa hipertenzijom dovodi do sniženja krvnog pritiska u ležećem i stojećem stavu, bez kompenzatornog ubrzavanja srčanog ritma.</w:t>
      </w:r>
    </w:p>
    <w:p w14:paraId="75E49AC4" w14:textId="187566A4" w:rsidR="00972837" w:rsidRPr="00972837" w:rsidRDefault="00972837" w:rsidP="00A06662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lang w:val="sr-Latn-CS"/>
        </w:rPr>
      </w:pPr>
      <w:r w:rsidRPr="00972837">
        <w:rPr>
          <w:sz w:val="22"/>
          <w:szCs w:val="22"/>
          <w:lang w:val="sr-Latn-CS"/>
        </w:rPr>
        <w:t>Kod većine pacijenata antihipertenzivno dejstvo nastupa za približno 1 do 2 sata nakon pojedinačne oralno prim</w:t>
      </w:r>
      <w:r w:rsidR="00136F13">
        <w:rPr>
          <w:sz w:val="22"/>
          <w:szCs w:val="22"/>
          <w:lang w:val="sr-Latn-CS"/>
        </w:rPr>
        <w:t>j</w:t>
      </w:r>
      <w:r w:rsidRPr="00972837">
        <w:rPr>
          <w:sz w:val="22"/>
          <w:szCs w:val="22"/>
          <w:lang w:val="sr-Latn-CS"/>
        </w:rPr>
        <w:t xml:space="preserve">enjene doze. Maksimalno dejstvo pojedinačne doze obično se dostiže za 3 do 6 sati nakon oralne </w:t>
      </w:r>
      <w:r w:rsidR="00136F13">
        <w:rPr>
          <w:sz w:val="22"/>
          <w:szCs w:val="22"/>
          <w:lang w:val="sr-Latn-CS"/>
        </w:rPr>
        <w:t>primjene</w:t>
      </w:r>
      <w:r w:rsidRPr="00972837">
        <w:rPr>
          <w:sz w:val="22"/>
          <w:szCs w:val="22"/>
          <w:lang w:val="sr-Latn-CS"/>
        </w:rPr>
        <w:t xml:space="preserve">. Antihipertenzivno dejstvo pojedinačne doze uobičajeno traje 24 časa. </w:t>
      </w:r>
    </w:p>
    <w:p w14:paraId="5E123D9F" w14:textId="6AEF6769" w:rsidR="00972837" w:rsidRPr="00972837" w:rsidRDefault="00972837" w:rsidP="00A06662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lang w:val="sr-Latn-CS"/>
        </w:rPr>
      </w:pPr>
      <w:r w:rsidRPr="00972837">
        <w:rPr>
          <w:sz w:val="22"/>
          <w:szCs w:val="22"/>
          <w:lang w:val="sr-Latn-CS"/>
        </w:rPr>
        <w:t xml:space="preserve">Maksimalno antihipertenzivno dejstvo kod kontinuirane </w:t>
      </w:r>
      <w:r w:rsidR="00136F13">
        <w:rPr>
          <w:sz w:val="22"/>
          <w:szCs w:val="22"/>
          <w:lang w:val="sr-Latn-CS"/>
        </w:rPr>
        <w:t>primjene</w:t>
      </w:r>
      <w:r w:rsidRPr="00972837">
        <w:rPr>
          <w:sz w:val="22"/>
          <w:szCs w:val="22"/>
          <w:lang w:val="sr-Latn-CS"/>
        </w:rPr>
        <w:t xml:space="preserve"> ramiprila se zapaža nakon 3 do 4 ned</w:t>
      </w:r>
      <w:r w:rsidR="00A06662">
        <w:rPr>
          <w:sz w:val="22"/>
          <w:szCs w:val="22"/>
          <w:lang w:val="sr-Latn-CS"/>
        </w:rPr>
        <w:t>j</w:t>
      </w:r>
      <w:r w:rsidRPr="00972837">
        <w:rPr>
          <w:sz w:val="22"/>
          <w:szCs w:val="22"/>
          <w:lang w:val="sr-Latn-CS"/>
        </w:rPr>
        <w:t xml:space="preserve">elje od početka </w:t>
      </w:r>
      <w:r w:rsidR="00136F13">
        <w:rPr>
          <w:sz w:val="22"/>
          <w:szCs w:val="22"/>
          <w:lang w:val="sr-Latn-CS"/>
        </w:rPr>
        <w:t>primjene</w:t>
      </w:r>
      <w:r w:rsidRPr="00972837">
        <w:rPr>
          <w:sz w:val="22"/>
          <w:szCs w:val="22"/>
          <w:lang w:val="sr-Latn-CS"/>
        </w:rPr>
        <w:t>. Pokazalo se da se antihipertenzivno dejstvo održava čak i tokom dugotrajne terapije  od 2 godine.</w:t>
      </w:r>
    </w:p>
    <w:p w14:paraId="7CD2F6AB" w14:textId="51B1C10C" w:rsidR="00972837" w:rsidRPr="00972837" w:rsidRDefault="00972837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lang w:val="sr-Latn-CS"/>
        </w:rPr>
      </w:pPr>
      <w:r w:rsidRPr="00972837">
        <w:rPr>
          <w:sz w:val="22"/>
          <w:szCs w:val="22"/>
          <w:lang w:val="sr-Latn-CS"/>
        </w:rPr>
        <w:t xml:space="preserve">Nagli prekid </w:t>
      </w:r>
      <w:r w:rsidR="00136F13">
        <w:rPr>
          <w:sz w:val="22"/>
          <w:szCs w:val="22"/>
          <w:lang w:val="sr-Latn-CS"/>
        </w:rPr>
        <w:t>primjene</w:t>
      </w:r>
      <w:r w:rsidRPr="00972837">
        <w:rPr>
          <w:sz w:val="22"/>
          <w:szCs w:val="22"/>
          <w:lang w:val="sr-Latn-CS"/>
        </w:rPr>
        <w:t xml:space="preserve"> ramiprila neće dovesti do brzog i preteranog skoka krvnog pritiska („rebound“ efekat).</w:t>
      </w:r>
    </w:p>
    <w:p w14:paraId="15B237FB" w14:textId="77777777" w:rsidR="00A06662" w:rsidRDefault="00A06662" w:rsidP="00AB1FCF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lang w:val="sr-Latn-CS"/>
        </w:rPr>
      </w:pPr>
    </w:p>
    <w:p w14:paraId="444DEC44" w14:textId="2A30301B" w:rsidR="00972837" w:rsidRPr="00AB1FCF" w:rsidRDefault="00972837" w:rsidP="00AB1FCF">
      <w:pPr>
        <w:tabs>
          <w:tab w:val="left" w:pos="570"/>
          <w:tab w:val="center" w:pos="4536"/>
          <w:tab w:val="right" w:pos="9072"/>
        </w:tabs>
        <w:jc w:val="both"/>
        <w:rPr>
          <w:i/>
          <w:sz w:val="22"/>
          <w:szCs w:val="22"/>
          <w:lang w:val="sr-Latn-CS"/>
        </w:rPr>
      </w:pPr>
      <w:r w:rsidRPr="00AB1FCF">
        <w:rPr>
          <w:i/>
          <w:sz w:val="22"/>
          <w:szCs w:val="22"/>
          <w:lang w:val="sr-Latn-CS"/>
        </w:rPr>
        <w:t>Srčana insuficijencija</w:t>
      </w:r>
    </w:p>
    <w:p w14:paraId="7C6DC723" w14:textId="5F445674" w:rsidR="00972837" w:rsidRDefault="00972837" w:rsidP="00AB1FCF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lang w:val="sr-Latn-CS"/>
        </w:rPr>
      </w:pPr>
      <w:r w:rsidRPr="00972837">
        <w:rPr>
          <w:sz w:val="22"/>
          <w:szCs w:val="22"/>
          <w:lang w:val="sr-Latn-CS"/>
        </w:rPr>
        <w:t xml:space="preserve">Pokazalo se da je ramipril efikasan kao dodatak konvencionalnoj terapiji diureticima i izabranim kardiotoničnim glikozidima kod pacijenata sa funkcionalnim klasama II-IV New York Heart Asocijacije (NYHA).  </w:t>
      </w:r>
      <w:r w:rsidR="00136F13">
        <w:rPr>
          <w:sz w:val="22"/>
          <w:szCs w:val="22"/>
          <w:lang w:val="sr-Latn-CS"/>
        </w:rPr>
        <w:t>Lijek</w:t>
      </w:r>
      <w:r w:rsidRPr="00972837">
        <w:rPr>
          <w:sz w:val="22"/>
          <w:szCs w:val="22"/>
          <w:lang w:val="sr-Latn-CS"/>
        </w:rPr>
        <w:t xml:space="preserve"> ima korisno dejstvo na hemodinamiku srca (smanjuje pritisak punjenja l</w:t>
      </w:r>
      <w:r w:rsidR="003457B5">
        <w:rPr>
          <w:sz w:val="22"/>
          <w:szCs w:val="22"/>
          <w:lang w:val="sr-Latn-CS"/>
        </w:rPr>
        <w:t>ij</w:t>
      </w:r>
      <w:r w:rsidRPr="00972837">
        <w:rPr>
          <w:sz w:val="22"/>
          <w:szCs w:val="22"/>
          <w:lang w:val="sr-Latn-CS"/>
        </w:rPr>
        <w:t xml:space="preserve">eve i desne srčane komore, smanjuje ukupni periferni vaskularni otpor, povećava srčani rad i poboljšava srčani indeks). Takođe, smanjuje neuroendokrinu aktivaciju. </w:t>
      </w:r>
    </w:p>
    <w:p w14:paraId="5BB5891D" w14:textId="77777777" w:rsidR="00A06662" w:rsidRPr="00972837" w:rsidRDefault="00A06662" w:rsidP="00AB1FCF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lang w:val="sr-Latn-CS"/>
        </w:rPr>
      </w:pPr>
    </w:p>
    <w:p w14:paraId="1A7D9323" w14:textId="2F2CFB0E" w:rsidR="00972837" w:rsidRDefault="00972837" w:rsidP="00AB1FCF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u w:val="single"/>
          <w:lang w:val="sr-Latn-CS"/>
        </w:rPr>
      </w:pPr>
      <w:r w:rsidRPr="00AB1FCF">
        <w:rPr>
          <w:sz w:val="22"/>
          <w:szCs w:val="22"/>
          <w:u w:val="single"/>
          <w:lang w:val="sr-Latn-CS"/>
        </w:rPr>
        <w:t>Klinička efikasnost i bezb</w:t>
      </w:r>
      <w:r w:rsidR="00136F13" w:rsidRPr="00AB1FCF">
        <w:rPr>
          <w:sz w:val="22"/>
          <w:szCs w:val="22"/>
          <w:u w:val="single"/>
          <w:lang w:val="sr-Latn-CS"/>
        </w:rPr>
        <w:t>j</w:t>
      </w:r>
      <w:r w:rsidRPr="00AB1FCF">
        <w:rPr>
          <w:sz w:val="22"/>
          <w:szCs w:val="22"/>
          <w:u w:val="single"/>
          <w:lang w:val="sr-Latn-CS"/>
        </w:rPr>
        <w:t xml:space="preserve">ednost </w:t>
      </w:r>
      <w:r w:rsidR="00136F13" w:rsidRPr="00AB1FCF">
        <w:rPr>
          <w:sz w:val="22"/>
          <w:szCs w:val="22"/>
          <w:u w:val="single"/>
          <w:lang w:val="sr-Latn-CS"/>
        </w:rPr>
        <w:t>primjene</w:t>
      </w:r>
    </w:p>
    <w:p w14:paraId="6BA81A21" w14:textId="77777777" w:rsidR="00A06662" w:rsidRPr="00AB1FCF" w:rsidRDefault="00A06662" w:rsidP="00AB1FCF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u w:val="single"/>
          <w:lang w:val="sr-Latn-CS"/>
        </w:rPr>
      </w:pPr>
    </w:p>
    <w:p w14:paraId="5E825E49" w14:textId="77777777" w:rsidR="00972837" w:rsidRPr="00972837" w:rsidRDefault="00972837" w:rsidP="00AB1FCF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u w:val="single"/>
          <w:lang w:val="sr-Latn-CS"/>
        </w:rPr>
      </w:pPr>
      <w:r w:rsidRPr="00972837">
        <w:rPr>
          <w:sz w:val="22"/>
          <w:szCs w:val="22"/>
          <w:u w:val="single"/>
          <w:lang w:val="sr-Latn-CS"/>
        </w:rPr>
        <w:t>Kardiovaskularna prevencija/ Nefroprotekcija</w:t>
      </w:r>
    </w:p>
    <w:p w14:paraId="4A67F5AE" w14:textId="7D5F0C12" w:rsidR="00972837" w:rsidRPr="00972837" w:rsidRDefault="00972837" w:rsidP="00AB1FCF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lang w:val="sr-Latn-CS"/>
        </w:rPr>
      </w:pPr>
      <w:r w:rsidRPr="00972837">
        <w:rPr>
          <w:sz w:val="22"/>
          <w:szCs w:val="22"/>
          <w:lang w:val="sr-Latn-CS"/>
        </w:rPr>
        <w:t>Sprovedena je preventivna placebo kontrolisana studija (HOPE studija) u kojoj je ramipril dodat standardnoj terapiji kod više 9200 pacijenata. U studiju su bili uključeni pacijenti sa povećanim rizikom od pojave kardiovaskularnih bolesti usl</w:t>
      </w:r>
      <w:r w:rsidR="00631109">
        <w:rPr>
          <w:sz w:val="22"/>
          <w:szCs w:val="22"/>
          <w:lang w:val="sr-Latn-CS"/>
        </w:rPr>
        <w:t>j</w:t>
      </w:r>
      <w:r w:rsidRPr="00972837">
        <w:rPr>
          <w:sz w:val="22"/>
          <w:szCs w:val="22"/>
          <w:lang w:val="sr-Latn-CS"/>
        </w:rPr>
        <w:t>ed aterotrombotičkih kardiovaskularnih poremećaja (koronarna bolest srca, moždani udar ili periferna arterijska bolest u anamnezi) ili zbog dijabetes mellitusa sa najmanje još jednim dodatnim faktorom rizika (zab</w:t>
      </w:r>
      <w:r w:rsidR="00631109">
        <w:rPr>
          <w:sz w:val="22"/>
          <w:szCs w:val="22"/>
          <w:lang w:val="sr-Latn-CS"/>
        </w:rPr>
        <w:t>i</w:t>
      </w:r>
      <w:r w:rsidRPr="00972837">
        <w:rPr>
          <w:sz w:val="22"/>
          <w:szCs w:val="22"/>
          <w:lang w:val="sr-Latn-CS"/>
        </w:rPr>
        <w:t>l</w:t>
      </w:r>
      <w:r w:rsidR="00631109">
        <w:rPr>
          <w:sz w:val="22"/>
          <w:szCs w:val="22"/>
          <w:lang w:val="sr-Latn-CS"/>
        </w:rPr>
        <w:t>j</w:t>
      </w:r>
      <w:r w:rsidRPr="00972837">
        <w:rPr>
          <w:sz w:val="22"/>
          <w:szCs w:val="22"/>
          <w:lang w:val="sr-Latn-CS"/>
        </w:rPr>
        <w:t xml:space="preserve">eženom mikroalbuminurijom, hipertenzijom, povišenim nivoom ukupnog holesterola, smanjenim nivoom HDL holesterola ili pušenjem). </w:t>
      </w:r>
    </w:p>
    <w:p w14:paraId="1148E1EA" w14:textId="3990E3CA" w:rsidR="00972837" w:rsidRPr="00972837" w:rsidRDefault="00972837" w:rsidP="00AB1FCF">
      <w:pPr>
        <w:tabs>
          <w:tab w:val="left" w:pos="570"/>
          <w:tab w:val="center" w:pos="4536"/>
          <w:tab w:val="right" w:pos="9072"/>
        </w:tabs>
        <w:jc w:val="both"/>
        <w:rPr>
          <w:i/>
          <w:sz w:val="22"/>
          <w:szCs w:val="22"/>
          <w:u w:val="single"/>
          <w:lang w:val="pl-PL"/>
        </w:rPr>
      </w:pPr>
      <w:r w:rsidRPr="00972837">
        <w:rPr>
          <w:sz w:val="22"/>
          <w:szCs w:val="22"/>
          <w:lang w:val="sr-Latn-CS"/>
        </w:rPr>
        <w:t>Ovo ispitivanje je pokazalo da ramipril statistički značajno smanjuje incidencu infarkta miokarda, smrti usl</w:t>
      </w:r>
      <w:r w:rsidR="00631109">
        <w:rPr>
          <w:sz w:val="22"/>
          <w:szCs w:val="22"/>
          <w:lang w:val="sr-Latn-CS"/>
        </w:rPr>
        <w:t>j</w:t>
      </w:r>
      <w:r w:rsidRPr="00972837">
        <w:rPr>
          <w:sz w:val="22"/>
          <w:szCs w:val="22"/>
          <w:lang w:val="sr-Latn-CS"/>
        </w:rPr>
        <w:t>ed kardiovaskularnih uzroka i moždanog udara, prim</w:t>
      </w:r>
      <w:r w:rsidR="00136F13">
        <w:rPr>
          <w:sz w:val="22"/>
          <w:szCs w:val="22"/>
          <w:lang w:val="sr-Latn-CS"/>
        </w:rPr>
        <w:t>j</w:t>
      </w:r>
      <w:r w:rsidRPr="00972837">
        <w:rPr>
          <w:sz w:val="22"/>
          <w:szCs w:val="22"/>
          <w:lang w:val="sr-Latn-CS"/>
        </w:rPr>
        <w:t>enjen sam ili u kombinaciji (primarno kombinovani događaji).</w:t>
      </w:r>
    </w:p>
    <w:p w14:paraId="340F8F59" w14:textId="77777777" w:rsidR="00972837" w:rsidRPr="00972837" w:rsidRDefault="00972837" w:rsidP="00972837">
      <w:pPr>
        <w:tabs>
          <w:tab w:val="left" w:pos="570"/>
          <w:tab w:val="center" w:pos="4536"/>
          <w:tab w:val="right" w:pos="9072"/>
        </w:tabs>
        <w:spacing w:before="120"/>
        <w:jc w:val="center"/>
        <w:rPr>
          <w:b/>
          <w:sz w:val="22"/>
          <w:szCs w:val="22"/>
          <w:lang w:val="sr-Latn-CS"/>
        </w:rPr>
      </w:pPr>
      <w:r w:rsidRPr="00972837">
        <w:rPr>
          <w:b/>
          <w:sz w:val="22"/>
          <w:szCs w:val="22"/>
          <w:lang w:val="sr-Latn-CS"/>
        </w:rPr>
        <w:t>HOPE studija: glavni rezultati</w:t>
      </w:r>
    </w:p>
    <w:tbl>
      <w:tblPr>
        <w:tblW w:w="9252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0"/>
        <w:gridCol w:w="1702"/>
        <w:gridCol w:w="1279"/>
        <w:gridCol w:w="1839"/>
        <w:gridCol w:w="1132"/>
      </w:tblGrid>
      <w:tr w:rsidR="00631109" w:rsidRPr="00972837" w14:paraId="61F649EE" w14:textId="77777777" w:rsidTr="00631109">
        <w:trPr>
          <w:trHeight w:val="503"/>
        </w:trPr>
        <w:tc>
          <w:tcPr>
            <w:tcW w:w="1783" w:type="pct"/>
            <w:vMerge w:val="restart"/>
            <w:shd w:val="clear" w:color="auto" w:fill="auto"/>
          </w:tcPr>
          <w:p w14:paraId="53FB0BCB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</w:p>
        </w:tc>
        <w:tc>
          <w:tcPr>
            <w:tcW w:w="919" w:type="pct"/>
            <w:shd w:val="clear" w:color="auto" w:fill="auto"/>
          </w:tcPr>
          <w:p w14:paraId="61004901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  <w:r w:rsidRPr="00972837">
              <w:rPr>
                <w:sz w:val="22"/>
                <w:szCs w:val="22"/>
                <w:lang w:val="sr-Latn-CS"/>
              </w:rPr>
              <w:t>Ramipril</w:t>
            </w:r>
          </w:p>
        </w:tc>
        <w:tc>
          <w:tcPr>
            <w:tcW w:w="691" w:type="pct"/>
            <w:shd w:val="clear" w:color="auto" w:fill="auto"/>
          </w:tcPr>
          <w:p w14:paraId="62FD9888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  <w:r w:rsidRPr="00972837">
              <w:rPr>
                <w:sz w:val="22"/>
                <w:szCs w:val="22"/>
                <w:lang w:val="sr-Latn-CS"/>
              </w:rPr>
              <w:t>Placebo</w:t>
            </w:r>
          </w:p>
        </w:tc>
        <w:tc>
          <w:tcPr>
            <w:tcW w:w="994" w:type="pct"/>
            <w:vMerge w:val="restart"/>
            <w:shd w:val="clear" w:color="auto" w:fill="auto"/>
          </w:tcPr>
          <w:p w14:paraId="35D18C33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  <w:r w:rsidRPr="00972837">
              <w:rPr>
                <w:sz w:val="22"/>
                <w:szCs w:val="22"/>
                <w:lang w:val="sr-Latn-CS"/>
              </w:rPr>
              <w:t>Relativni rizik (95% interval pouzdanosti)</w:t>
            </w:r>
          </w:p>
        </w:tc>
        <w:tc>
          <w:tcPr>
            <w:tcW w:w="612" w:type="pct"/>
            <w:vMerge w:val="restart"/>
            <w:shd w:val="clear" w:color="auto" w:fill="auto"/>
          </w:tcPr>
          <w:p w14:paraId="42FC3E7E" w14:textId="0408D612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  <w:r w:rsidRPr="00972837">
              <w:rPr>
                <w:sz w:val="22"/>
                <w:szCs w:val="22"/>
                <w:lang w:val="sr-Latn-CS"/>
              </w:rPr>
              <w:t>p-vr</w:t>
            </w:r>
            <w:r w:rsidR="00631109">
              <w:rPr>
                <w:sz w:val="22"/>
                <w:szCs w:val="22"/>
                <w:lang w:val="sr-Latn-CS"/>
              </w:rPr>
              <w:t>ij</w:t>
            </w:r>
            <w:r w:rsidRPr="00972837">
              <w:rPr>
                <w:sz w:val="22"/>
                <w:szCs w:val="22"/>
                <w:lang w:val="sr-Latn-CS"/>
              </w:rPr>
              <w:t>ednost</w:t>
            </w:r>
          </w:p>
        </w:tc>
      </w:tr>
      <w:tr w:rsidR="00631109" w:rsidRPr="00972837" w14:paraId="62BF68B9" w14:textId="77777777" w:rsidTr="00631109">
        <w:trPr>
          <w:trHeight w:val="183"/>
        </w:trPr>
        <w:tc>
          <w:tcPr>
            <w:tcW w:w="1783" w:type="pct"/>
            <w:vMerge/>
            <w:shd w:val="clear" w:color="auto" w:fill="auto"/>
          </w:tcPr>
          <w:p w14:paraId="407F075A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</w:p>
        </w:tc>
        <w:tc>
          <w:tcPr>
            <w:tcW w:w="919" w:type="pct"/>
            <w:shd w:val="clear" w:color="auto" w:fill="auto"/>
          </w:tcPr>
          <w:p w14:paraId="6449E401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  <w:r w:rsidRPr="00972837">
              <w:rPr>
                <w:sz w:val="22"/>
                <w:szCs w:val="22"/>
                <w:lang w:val="sr-Latn-CS"/>
              </w:rPr>
              <w:t>%</w:t>
            </w:r>
          </w:p>
        </w:tc>
        <w:tc>
          <w:tcPr>
            <w:tcW w:w="691" w:type="pct"/>
            <w:shd w:val="clear" w:color="auto" w:fill="auto"/>
          </w:tcPr>
          <w:p w14:paraId="01BCF22E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  <w:r w:rsidRPr="00972837">
              <w:rPr>
                <w:sz w:val="22"/>
                <w:szCs w:val="22"/>
                <w:lang w:val="sr-Latn-CS"/>
              </w:rPr>
              <w:t>%</w:t>
            </w:r>
          </w:p>
        </w:tc>
        <w:tc>
          <w:tcPr>
            <w:tcW w:w="994" w:type="pct"/>
            <w:vMerge/>
            <w:shd w:val="clear" w:color="auto" w:fill="auto"/>
          </w:tcPr>
          <w:p w14:paraId="48A36CD5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</w:p>
        </w:tc>
        <w:tc>
          <w:tcPr>
            <w:tcW w:w="612" w:type="pct"/>
            <w:vMerge/>
            <w:shd w:val="clear" w:color="auto" w:fill="auto"/>
          </w:tcPr>
          <w:p w14:paraId="409301F8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</w:p>
        </w:tc>
      </w:tr>
      <w:tr w:rsidR="00631109" w:rsidRPr="00972837" w14:paraId="1FDEBFCD" w14:textId="77777777" w:rsidTr="00631109">
        <w:trPr>
          <w:trHeight w:val="351"/>
        </w:trPr>
        <w:tc>
          <w:tcPr>
            <w:tcW w:w="1783" w:type="pct"/>
            <w:shd w:val="clear" w:color="auto" w:fill="auto"/>
          </w:tcPr>
          <w:p w14:paraId="6421750B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b/>
                <w:sz w:val="22"/>
                <w:szCs w:val="22"/>
                <w:lang w:val="sr-Latn-CS"/>
              </w:rPr>
            </w:pPr>
            <w:r w:rsidRPr="00972837">
              <w:rPr>
                <w:b/>
                <w:sz w:val="22"/>
                <w:szCs w:val="22"/>
                <w:lang w:val="sr-Latn-CS"/>
              </w:rPr>
              <w:t>Svi pacijenti</w:t>
            </w:r>
          </w:p>
        </w:tc>
        <w:tc>
          <w:tcPr>
            <w:tcW w:w="919" w:type="pct"/>
            <w:shd w:val="clear" w:color="auto" w:fill="auto"/>
          </w:tcPr>
          <w:p w14:paraId="72942027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b/>
                <w:sz w:val="22"/>
                <w:szCs w:val="22"/>
                <w:lang w:val="sr-Latn-CS"/>
              </w:rPr>
            </w:pPr>
            <w:r w:rsidRPr="00972837">
              <w:rPr>
                <w:b/>
                <w:sz w:val="22"/>
                <w:szCs w:val="22"/>
                <w:lang w:val="sr-Latn-CS"/>
              </w:rPr>
              <w:t>n=4,645</w:t>
            </w:r>
          </w:p>
        </w:tc>
        <w:tc>
          <w:tcPr>
            <w:tcW w:w="691" w:type="pct"/>
            <w:shd w:val="clear" w:color="auto" w:fill="auto"/>
          </w:tcPr>
          <w:p w14:paraId="37A26D5B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b/>
                <w:sz w:val="22"/>
                <w:szCs w:val="22"/>
                <w:lang w:val="sr-Latn-CS"/>
              </w:rPr>
            </w:pPr>
            <w:r w:rsidRPr="00972837">
              <w:rPr>
                <w:b/>
                <w:sz w:val="22"/>
                <w:szCs w:val="22"/>
                <w:lang w:val="sr-Latn-CS"/>
              </w:rPr>
              <w:t>N=4,652</w:t>
            </w:r>
          </w:p>
        </w:tc>
        <w:tc>
          <w:tcPr>
            <w:tcW w:w="994" w:type="pct"/>
            <w:shd w:val="clear" w:color="auto" w:fill="auto"/>
          </w:tcPr>
          <w:p w14:paraId="6D4A1931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</w:p>
        </w:tc>
        <w:tc>
          <w:tcPr>
            <w:tcW w:w="612" w:type="pct"/>
            <w:shd w:val="clear" w:color="auto" w:fill="auto"/>
          </w:tcPr>
          <w:p w14:paraId="4EB56489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</w:p>
        </w:tc>
      </w:tr>
      <w:tr w:rsidR="00631109" w:rsidRPr="00972837" w14:paraId="4933997C" w14:textId="77777777" w:rsidTr="00631109">
        <w:trPr>
          <w:trHeight w:val="366"/>
        </w:trPr>
        <w:tc>
          <w:tcPr>
            <w:tcW w:w="1783" w:type="pct"/>
            <w:shd w:val="clear" w:color="auto" w:fill="auto"/>
          </w:tcPr>
          <w:p w14:paraId="3F70E1C1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ind w:right="-289"/>
              <w:rPr>
                <w:b/>
                <w:sz w:val="22"/>
                <w:szCs w:val="22"/>
                <w:lang w:val="sr-Latn-CS"/>
              </w:rPr>
            </w:pPr>
            <w:r w:rsidRPr="00972837">
              <w:rPr>
                <w:b/>
                <w:sz w:val="22"/>
                <w:szCs w:val="22"/>
                <w:lang w:val="sr-Latn-CS"/>
              </w:rPr>
              <w:t>Primarno kombinovani događaji</w:t>
            </w:r>
          </w:p>
        </w:tc>
        <w:tc>
          <w:tcPr>
            <w:tcW w:w="919" w:type="pct"/>
            <w:shd w:val="clear" w:color="auto" w:fill="auto"/>
          </w:tcPr>
          <w:p w14:paraId="6891917C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b/>
                <w:sz w:val="22"/>
                <w:szCs w:val="22"/>
                <w:lang w:val="sr-Latn-CS"/>
              </w:rPr>
            </w:pPr>
            <w:r w:rsidRPr="00972837">
              <w:rPr>
                <w:b/>
                <w:sz w:val="22"/>
                <w:szCs w:val="22"/>
                <w:lang w:val="sr-Latn-CS"/>
              </w:rPr>
              <w:t>14,0</w:t>
            </w:r>
          </w:p>
        </w:tc>
        <w:tc>
          <w:tcPr>
            <w:tcW w:w="691" w:type="pct"/>
            <w:shd w:val="clear" w:color="auto" w:fill="auto"/>
          </w:tcPr>
          <w:p w14:paraId="33874339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b/>
                <w:sz w:val="22"/>
                <w:szCs w:val="22"/>
                <w:lang w:val="sr-Latn-CS"/>
              </w:rPr>
            </w:pPr>
            <w:r w:rsidRPr="00972837">
              <w:rPr>
                <w:b/>
                <w:sz w:val="22"/>
                <w:szCs w:val="22"/>
                <w:lang w:val="sr-Latn-CS"/>
              </w:rPr>
              <w:t>17,8</w:t>
            </w:r>
          </w:p>
        </w:tc>
        <w:tc>
          <w:tcPr>
            <w:tcW w:w="994" w:type="pct"/>
            <w:shd w:val="clear" w:color="auto" w:fill="auto"/>
          </w:tcPr>
          <w:p w14:paraId="672AC13D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b/>
                <w:sz w:val="22"/>
                <w:szCs w:val="22"/>
                <w:lang w:val="sr-Latn-CS"/>
              </w:rPr>
            </w:pPr>
            <w:r w:rsidRPr="00972837">
              <w:rPr>
                <w:b/>
                <w:sz w:val="22"/>
                <w:szCs w:val="22"/>
                <w:lang w:val="sr-Latn-CS"/>
              </w:rPr>
              <w:t>0,78 (0,70-0,86)</w:t>
            </w:r>
          </w:p>
        </w:tc>
        <w:tc>
          <w:tcPr>
            <w:tcW w:w="612" w:type="pct"/>
            <w:shd w:val="clear" w:color="auto" w:fill="auto"/>
          </w:tcPr>
          <w:p w14:paraId="6E4431B3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b/>
                <w:sz w:val="22"/>
                <w:szCs w:val="22"/>
                <w:lang w:val="sr-Latn-CS"/>
              </w:rPr>
            </w:pPr>
            <w:r w:rsidRPr="00972837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&lt;</w:t>
            </w:r>
            <w:r w:rsidRPr="00972837">
              <w:rPr>
                <w:b/>
                <w:sz w:val="22"/>
                <w:szCs w:val="22"/>
                <w:lang w:val="sr-Latn-CS"/>
              </w:rPr>
              <w:t>0,001</w:t>
            </w:r>
          </w:p>
        </w:tc>
      </w:tr>
      <w:tr w:rsidR="00631109" w:rsidRPr="00972837" w14:paraId="09CF5304" w14:textId="77777777" w:rsidTr="00631109">
        <w:trPr>
          <w:trHeight w:val="351"/>
        </w:trPr>
        <w:tc>
          <w:tcPr>
            <w:tcW w:w="1783" w:type="pct"/>
            <w:shd w:val="clear" w:color="auto" w:fill="auto"/>
          </w:tcPr>
          <w:p w14:paraId="5B9414D1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i/>
                <w:sz w:val="22"/>
                <w:szCs w:val="22"/>
                <w:lang w:val="sr-Latn-CS"/>
              </w:rPr>
            </w:pPr>
            <w:r w:rsidRPr="00972837">
              <w:rPr>
                <w:i/>
                <w:sz w:val="22"/>
                <w:szCs w:val="22"/>
                <w:lang w:val="sr-Latn-CS"/>
              </w:rPr>
              <w:t>Infarkt miokarda</w:t>
            </w:r>
          </w:p>
        </w:tc>
        <w:tc>
          <w:tcPr>
            <w:tcW w:w="919" w:type="pct"/>
            <w:shd w:val="clear" w:color="auto" w:fill="auto"/>
          </w:tcPr>
          <w:p w14:paraId="5AEF8FE8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  <w:r w:rsidRPr="00972837">
              <w:rPr>
                <w:sz w:val="22"/>
                <w:szCs w:val="22"/>
                <w:lang w:val="sr-Latn-CS"/>
              </w:rPr>
              <w:t>9,9</w:t>
            </w:r>
          </w:p>
        </w:tc>
        <w:tc>
          <w:tcPr>
            <w:tcW w:w="691" w:type="pct"/>
            <w:shd w:val="clear" w:color="auto" w:fill="auto"/>
          </w:tcPr>
          <w:p w14:paraId="3370AC65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  <w:r w:rsidRPr="00972837">
              <w:rPr>
                <w:sz w:val="22"/>
                <w:szCs w:val="22"/>
                <w:lang w:val="sr-Latn-CS"/>
              </w:rPr>
              <w:t>12,3</w:t>
            </w:r>
          </w:p>
        </w:tc>
        <w:tc>
          <w:tcPr>
            <w:tcW w:w="994" w:type="pct"/>
            <w:shd w:val="clear" w:color="auto" w:fill="auto"/>
          </w:tcPr>
          <w:p w14:paraId="049274DD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  <w:r w:rsidRPr="00972837">
              <w:rPr>
                <w:sz w:val="22"/>
                <w:szCs w:val="22"/>
                <w:lang w:val="sr-Latn-CS"/>
              </w:rPr>
              <w:t>0,80 (0,70-0,90)</w:t>
            </w:r>
          </w:p>
        </w:tc>
        <w:tc>
          <w:tcPr>
            <w:tcW w:w="612" w:type="pct"/>
            <w:shd w:val="clear" w:color="auto" w:fill="auto"/>
          </w:tcPr>
          <w:p w14:paraId="0199F16B" w14:textId="77777777" w:rsidR="00972837" w:rsidRPr="00972837" w:rsidRDefault="00972837" w:rsidP="00972837">
            <w:pPr>
              <w:spacing w:before="120"/>
              <w:rPr>
                <w:sz w:val="22"/>
                <w:szCs w:val="22"/>
                <w:lang w:val="sr-Latn-CS"/>
              </w:rPr>
            </w:pPr>
            <w:r w:rsidRPr="00972837">
              <w:rPr>
                <w:rFonts w:ascii="Arial" w:hAnsi="Arial" w:cs="Arial"/>
                <w:sz w:val="22"/>
                <w:szCs w:val="22"/>
                <w:lang w:val="sr-Latn-CS"/>
              </w:rPr>
              <w:t>&lt;</w:t>
            </w:r>
            <w:r w:rsidRPr="00972837">
              <w:rPr>
                <w:sz w:val="22"/>
                <w:szCs w:val="22"/>
                <w:lang w:val="sr-Latn-CS"/>
              </w:rPr>
              <w:t>0,001</w:t>
            </w:r>
            <w:r w:rsidRPr="00972837">
              <w:rPr>
                <w:sz w:val="22"/>
                <w:szCs w:val="22"/>
                <w:lang w:val="sr-Latn-CS"/>
              </w:rPr>
              <w:tab/>
            </w:r>
          </w:p>
        </w:tc>
      </w:tr>
      <w:tr w:rsidR="00631109" w:rsidRPr="00972837" w14:paraId="5472A11A" w14:textId="77777777" w:rsidTr="00631109">
        <w:trPr>
          <w:trHeight w:val="366"/>
        </w:trPr>
        <w:tc>
          <w:tcPr>
            <w:tcW w:w="1783" w:type="pct"/>
            <w:shd w:val="clear" w:color="auto" w:fill="auto"/>
          </w:tcPr>
          <w:p w14:paraId="71B07C52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i/>
                <w:sz w:val="22"/>
                <w:szCs w:val="22"/>
                <w:lang w:val="sr-Latn-CS"/>
              </w:rPr>
            </w:pPr>
            <w:r w:rsidRPr="00972837">
              <w:rPr>
                <w:i/>
                <w:sz w:val="22"/>
                <w:szCs w:val="22"/>
                <w:lang w:val="sr-Latn-CS"/>
              </w:rPr>
              <w:t>Smrt zbog kardiovaskularnih uzroka</w:t>
            </w:r>
          </w:p>
        </w:tc>
        <w:tc>
          <w:tcPr>
            <w:tcW w:w="919" w:type="pct"/>
            <w:shd w:val="clear" w:color="auto" w:fill="auto"/>
          </w:tcPr>
          <w:p w14:paraId="1A9E4027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  <w:r w:rsidRPr="00972837">
              <w:rPr>
                <w:sz w:val="22"/>
                <w:szCs w:val="22"/>
                <w:lang w:val="sr-Latn-CS"/>
              </w:rPr>
              <w:t>6,1</w:t>
            </w:r>
          </w:p>
        </w:tc>
        <w:tc>
          <w:tcPr>
            <w:tcW w:w="691" w:type="pct"/>
            <w:shd w:val="clear" w:color="auto" w:fill="auto"/>
          </w:tcPr>
          <w:p w14:paraId="440FD8AE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  <w:r w:rsidRPr="00972837">
              <w:rPr>
                <w:sz w:val="22"/>
                <w:szCs w:val="22"/>
                <w:lang w:val="sr-Latn-CS"/>
              </w:rPr>
              <w:t>8,1</w:t>
            </w:r>
          </w:p>
        </w:tc>
        <w:tc>
          <w:tcPr>
            <w:tcW w:w="994" w:type="pct"/>
            <w:shd w:val="clear" w:color="auto" w:fill="auto"/>
          </w:tcPr>
          <w:p w14:paraId="2EF8741D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  <w:r w:rsidRPr="00972837">
              <w:rPr>
                <w:sz w:val="22"/>
                <w:szCs w:val="22"/>
                <w:lang w:val="sr-Latn-CS"/>
              </w:rPr>
              <w:t>0,74 (0,64-0,87)</w:t>
            </w:r>
          </w:p>
        </w:tc>
        <w:tc>
          <w:tcPr>
            <w:tcW w:w="612" w:type="pct"/>
            <w:shd w:val="clear" w:color="auto" w:fill="auto"/>
          </w:tcPr>
          <w:p w14:paraId="0C8B3B67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  <w:r w:rsidRPr="00972837">
              <w:rPr>
                <w:rFonts w:ascii="Arial" w:hAnsi="Arial" w:cs="Arial"/>
                <w:sz w:val="22"/>
                <w:szCs w:val="22"/>
                <w:lang w:val="sr-Latn-CS"/>
              </w:rPr>
              <w:t>&lt;</w:t>
            </w:r>
            <w:r w:rsidRPr="00972837">
              <w:rPr>
                <w:sz w:val="22"/>
                <w:szCs w:val="22"/>
                <w:lang w:val="sr-Latn-CS"/>
              </w:rPr>
              <w:t>0,001</w:t>
            </w:r>
          </w:p>
        </w:tc>
      </w:tr>
      <w:tr w:rsidR="00631109" w:rsidRPr="00972837" w14:paraId="514120DB" w14:textId="77777777" w:rsidTr="00631109">
        <w:trPr>
          <w:trHeight w:val="366"/>
        </w:trPr>
        <w:tc>
          <w:tcPr>
            <w:tcW w:w="1783" w:type="pct"/>
            <w:shd w:val="clear" w:color="auto" w:fill="auto"/>
          </w:tcPr>
          <w:p w14:paraId="4C9B559C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i/>
                <w:sz w:val="22"/>
                <w:szCs w:val="22"/>
                <w:lang w:val="sr-Latn-CS"/>
              </w:rPr>
            </w:pPr>
            <w:r w:rsidRPr="00972837">
              <w:rPr>
                <w:i/>
                <w:sz w:val="22"/>
                <w:szCs w:val="22"/>
                <w:lang w:val="sr-Latn-CS"/>
              </w:rPr>
              <w:lastRenderedPageBreak/>
              <w:t>Moždani udar</w:t>
            </w:r>
          </w:p>
        </w:tc>
        <w:tc>
          <w:tcPr>
            <w:tcW w:w="919" w:type="pct"/>
            <w:shd w:val="clear" w:color="auto" w:fill="auto"/>
          </w:tcPr>
          <w:p w14:paraId="7E30227A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  <w:r w:rsidRPr="00972837">
              <w:rPr>
                <w:sz w:val="22"/>
                <w:szCs w:val="22"/>
                <w:lang w:val="sr-Latn-CS"/>
              </w:rPr>
              <w:t>3,4</w:t>
            </w:r>
          </w:p>
        </w:tc>
        <w:tc>
          <w:tcPr>
            <w:tcW w:w="691" w:type="pct"/>
            <w:shd w:val="clear" w:color="auto" w:fill="auto"/>
          </w:tcPr>
          <w:p w14:paraId="17A7963D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  <w:r w:rsidRPr="00972837">
              <w:rPr>
                <w:sz w:val="22"/>
                <w:szCs w:val="22"/>
                <w:lang w:val="sr-Latn-CS"/>
              </w:rPr>
              <w:t>4,9</w:t>
            </w:r>
          </w:p>
        </w:tc>
        <w:tc>
          <w:tcPr>
            <w:tcW w:w="994" w:type="pct"/>
            <w:shd w:val="clear" w:color="auto" w:fill="auto"/>
          </w:tcPr>
          <w:p w14:paraId="133B55A4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  <w:r w:rsidRPr="00972837">
              <w:rPr>
                <w:sz w:val="22"/>
                <w:szCs w:val="22"/>
                <w:lang w:val="sr-Latn-CS"/>
              </w:rPr>
              <w:t>0,68 (0,56-0,84)</w:t>
            </w:r>
          </w:p>
        </w:tc>
        <w:tc>
          <w:tcPr>
            <w:tcW w:w="612" w:type="pct"/>
            <w:shd w:val="clear" w:color="auto" w:fill="auto"/>
          </w:tcPr>
          <w:p w14:paraId="66511FE2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  <w:r w:rsidRPr="00972837">
              <w:rPr>
                <w:rFonts w:ascii="Arial" w:hAnsi="Arial" w:cs="Arial"/>
                <w:sz w:val="22"/>
                <w:szCs w:val="22"/>
                <w:lang w:val="sr-Latn-CS"/>
              </w:rPr>
              <w:t>&lt;</w:t>
            </w:r>
            <w:r w:rsidRPr="00972837">
              <w:rPr>
                <w:sz w:val="22"/>
                <w:szCs w:val="22"/>
                <w:lang w:val="sr-Latn-CS"/>
              </w:rPr>
              <w:t>0,001</w:t>
            </w:r>
          </w:p>
        </w:tc>
      </w:tr>
      <w:tr w:rsidR="00631109" w:rsidRPr="00972837" w14:paraId="1AFFF427" w14:textId="77777777" w:rsidTr="00631109">
        <w:trPr>
          <w:trHeight w:val="351"/>
        </w:trPr>
        <w:tc>
          <w:tcPr>
            <w:tcW w:w="1783" w:type="pct"/>
            <w:shd w:val="clear" w:color="auto" w:fill="auto"/>
          </w:tcPr>
          <w:p w14:paraId="4A963FC9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</w:p>
        </w:tc>
        <w:tc>
          <w:tcPr>
            <w:tcW w:w="919" w:type="pct"/>
            <w:shd w:val="clear" w:color="auto" w:fill="auto"/>
          </w:tcPr>
          <w:p w14:paraId="0119CDC7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</w:p>
        </w:tc>
        <w:tc>
          <w:tcPr>
            <w:tcW w:w="691" w:type="pct"/>
            <w:shd w:val="clear" w:color="auto" w:fill="auto"/>
          </w:tcPr>
          <w:p w14:paraId="55F7F0E8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</w:p>
        </w:tc>
        <w:tc>
          <w:tcPr>
            <w:tcW w:w="994" w:type="pct"/>
            <w:shd w:val="clear" w:color="auto" w:fill="auto"/>
          </w:tcPr>
          <w:p w14:paraId="23E1D52B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</w:p>
        </w:tc>
        <w:tc>
          <w:tcPr>
            <w:tcW w:w="612" w:type="pct"/>
            <w:shd w:val="clear" w:color="auto" w:fill="auto"/>
          </w:tcPr>
          <w:p w14:paraId="29BB8C3E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</w:p>
        </w:tc>
      </w:tr>
      <w:tr w:rsidR="00631109" w:rsidRPr="00972837" w14:paraId="3D394827" w14:textId="77777777" w:rsidTr="00631109">
        <w:trPr>
          <w:trHeight w:val="366"/>
        </w:trPr>
        <w:tc>
          <w:tcPr>
            <w:tcW w:w="1783" w:type="pct"/>
            <w:shd w:val="clear" w:color="auto" w:fill="auto"/>
          </w:tcPr>
          <w:p w14:paraId="68463689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b/>
                <w:sz w:val="22"/>
                <w:szCs w:val="22"/>
                <w:lang w:val="sr-Latn-CS"/>
              </w:rPr>
            </w:pPr>
            <w:r w:rsidRPr="00972837">
              <w:rPr>
                <w:b/>
                <w:sz w:val="22"/>
                <w:szCs w:val="22"/>
                <w:lang w:val="sr-Latn-CS"/>
              </w:rPr>
              <w:t>Sekundarni ishodi</w:t>
            </w:r>
          </w:p>
        </w:tc>
        <w:tc>
          <w:tcPr>
            <w:tcW w:w="919" w:type="pct"/>
            <w:shd w:val="clear" w:color="auto" w:fill="auto"/>
          </w:tcPr>
          <w:p w14:paraId="68A712B7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</w:p>
        </w:tc>
        <w:tc>
          <w:tcPr>
            <w:tcW w:w="691" w:type="pct"/>
            <w:shd w:val="clear" w:color="auto" w:fill="auto"/>
          </w:tcPr>
          <w:p w14:paraId="6C85D45D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</w:p>
        </w:tc>
        <w:tc>
          <w:tcPr>
            <w:tcW w:w="994" w:type="pct"/>
            <w:shd w:val="clear" w:color="auto" w:fill="auto"/>
          </w:tcPr>
          <w:p w14:paraId="6530E47A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</w:p>
        </w:tc>
        <w:tc>
          <w:tcPr>
            <w:tcW w:w="612" w:type="pct"/>
            <w:shd w:val="clear" w:color="auto" w:fill="auto"/>
          </w:tcPr>
          <w:p w14:paraId="1FB9FD5B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</w:p>
        </w:tc>
      </w:tr>
      <w:tr w:rsidR="00631109" w:rsidRPr="00972837" w14:paraId="2288DE64" w14:textId="77777777" w:rsidTr="00631109">
        <w:trPr>
          <w:trHeight w:val="351"/>
        </w:trPr>
        <w:tc>
          <w:tcPr>
            <w:tcW w:w="1783" w:type="pct"/>
            <w:shd w:val="clear" w:color="auto" w:fill="auto"/>
          </w:tcPr>
          <w:p w14:paraId="5991CD91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  <w:r w:rsidRPr="00972837">
              <w:rPr>
                <w:i/>
                <w:sz w:val="22"/>
                <w:szCs w:val="22"/>
                <w:lang w:val="sr-Latn-CS"/>
              </w:rPr>
              <w:t>Smrtni ishod (bez obzira na uzrok)</w:t>
            </w:r>
          </w:p>
        </w:tc>
        <w:tc>
          <w:tcPr>
            <w:tcW w:w="919" w:type="pct"/>
            <w:shd w:val="clear" w:color="auto" w:fill="auto"/>
          </w:tcPr>
          <w:p w14:paraId="498825DE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  <w:r w:rsidRPr="00972837">
              <w:rPr>
                <w:sz w:val="22"/>
                <w:szCs w:val="22"/>
                <w:lang w:val="sr-Latn-CS"/>
              </w:rPr>
              <w:t>10,4</w:t>
            </w:r>
          </w:p>
        </w:tc>
        <w:tc>
          <w:tcPr>
            <w:tcW w:w="691" w:type="pct"/>
            <w:shd w:val="clear" w:color="auto" w:fill="auto"/>
          </w:tcPr>
          <w:p w14:paraId="07218899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  <w:r w:rsidRPr="00972837">
              <w:rPr>
                <w:sz w:val="22"/>
                <w:szCs w:val="22"/>
                <w:lang w:val="sr-Latn-CS"/>
              </w:rPr>
              <w:t>12,2</w:t>
            </w:r>
          </w:p>
        </w:tc>
        <w:tc>
          <w:tcPr>
            <w:tcW w:w="994" w:type="pct"/>
            <w:shd w:val="clear" w:color="auto" w:fill="auto"/>
          </w:tcPr>
          <w:p w14:paraId="2C820BFB" w14:textId="77777777" w:rsidR="00972837" w:rsidRPr="00972837" w:rsidRDefault="00972837" w:rsidP="00972837">
            <w:pPr>
              <w:tabs>
                <w:tab w:val="left" w:pos="284"/>
              </w:tabs>
              <w:spacing w:before="120"/>
              <w:jc w:val="both"/>
              <w:rPr>
                <w:sz w:val="22"/>
                <w:szCs w:val="22"/>
                <w:lang w:val="sr-Latn-CS"/>
              </w:rPr>
            </w:pPr>
            <w:r w:rsidRPr="00972837">
              <w:rPr>
                <w:sz w:val="22"/>
                <w:szCs w:val="22"/>
                <w:lang w:val="sr-Latn-CS"/>
              </w:rPr>
              <w:t>0,84 (0,75-0,95)</w:t>
            </w:r>
          </w:p>
        </w:tc>
        <w:tc>
          <w:tcPr>
            <w:tcW w:w="612" w:type="pct"/>
            <w:shd w:val="clear" w:color="auto" w:fill="auto"/>
          </w:tcPr>
          <w:p w14:paraId="14127115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  <w:r w:rsidRPr="00972837">
              <w:rPr>
                <w:sz w:val="22"/>
                <w:szCs w:val="22"/>
                <w:lang w:val="sr-Latn-CS"/>
              </w:rPr>
              <w:t>0,005</w:t>
            </w:r>
          </w:p>
        </w:tc>
      </w:tr>
      <w:tr w:rsidR="00631109" w:rsidRPr="00972837" w14:paraId="576DC161" w14:textId="77777777" w:rsidTr="00631109">
        <w:trPr>
          <w:trHeight w:val="366"/>
        </w:trPr>
        <w:tc>
          <w:tcPr>
            <w:tcW w:w="1783" w:type="pct"/>
            <w:shd w:val="clear" w:color="auto" w:fill="auto"/>
          </w:tcPr>
          <w:p w14:paraId="77C858CC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i/>
                <w:sz w:val="22"/>
                <w:szCs w:val="22"/>
                <w:lang w:val="sr-Latn-CS"/>
              </w:rPr>
            </w:pPr>
            <w:r w:rsidRPr="00972837">
              <w:rPr>
                <w:i/>
                <w:sz w:val="22"/>
                <w:szCs w:val="22"/>
                <w:lang w:val="sr-Latn-CS"/>
              </w:rPr>
              <w:t>Potreba za revaskularizacijom</w:t>
            </w:r>
          </w:p>
        </w:tc>
        <w:tc>
          <w:tcPr>
            <w:tcW w:w="919" w:type="pct"/>
            <w:shd w:val="clear" w:color="auto" w:fill="auto"/>
          </w:tcPr>
          <w:p w14:paraId="5C038C55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  <w:r w:rsidRPr="00972837">
              <w:rPr>
                <w:sz w:val="22"/>
                <w:szCs w:val="22"/>
                <w:lang w:val="sr-Latn-CS"/>
              </w:rPr>
              <w:t>16,0</w:t>
            </w:r>
          </w:p>
        </w:tc>
        <w:tc>
          <w:tcPr>
            <w:tcW w:w="691" w:type="pct"/>
            <w:shd w:val="clear" w:color="auto" w:fill="auto"/>
          </w:tcPr>
          <w:p w14:paraId="0F2B8D65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  <w:r w:rsidRPr="00972837">
              <w:rPr>
                <w:sz w:val="22"/>
                <w:szCs w:val="22"/>
                <w:lang w:val="sr-Latn-CS"/>
              </w:rPr>
              <w:t>18,3</w:t>
            </w:r>
          </w:p>
        </w:tc>
        <w:tc>
          <w:tcPr>
            <w:tcW w:w="994" w:type="pct"/>
            <w:shd w:val="clear" w:color="auto" w:fill="auto"/>
          </w:tcPr>
          <w:p w14:paraId="14DC207B" w14:textId="77777777" w:rsidR="00972837" w:rsidRPr="00972837" w:rsidRDefault="00972837" w:rsidP="00972837">
            <w:pPr>
              <w:tabs>
                <w:tab w:val="left" w:pos="284"/>
              </w:tabs>
              <w:spacing w:before="120"/>
              <w:jc w:val="both"/>
              <w:rPr>
                <w:sz w:val="22"/>
                <w:szCs w:val="22"/>
                <w:lang w:val="sr-Latn-CS"/>
              </w:rPr>
            </w:pPr>
            <w:r w:rsidRPr="00972837">
              <w:rPr>
                <w:sz w:val="22"/>
                <w:szCs w:val="22"/>
                <w:lang w:val="sr-Latn-CS"/>
              </w:rPr>
              <w:t>0,85 (0,77-0,94)</w:t>
            </w:r>
          </w:p>
        </w:tc>
        <w:tc>
          <w:tcPr>
            <w:tcW w:w="612" w:type="pct"/>
            <w:shd w:val="clear" w:color="auto" w:fill="auto"/>
          </w:tcPr>
          <w:p w14:paraId="5BD6B86B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  <w:r w:rsidRPr="00972837">
              <w:rPr>
                <w:sz w:val="22"/>
                <w:szCs w:val="22"/>
                <w:lang w:val="sr-Latn-CS"/>
              </w:rPr>
              <w:t>0,002</w:t>
            </w:r>
          </w:p>
        </w:tc>
      </w:tr>
      <w:tr w:rsidR="00631109" w:rsidRPr="00972837" w14:paraId="3002F1C4" w14:textId="77777777" w:rsidTr="00631109">
        <w:trPr>
          <w:trHeight w:val="351"/>
        </w:trPr>
        <w:tc>
          <w:tcPr>
            <w:tcW w:w="1783" w:type="pct"/>
            <w:shd w:val="clear" w:color="auto" w:fill="auto"/>
          </w:tcPr>
          <w:p w14:paraId="28A07E48" w14:textId="77777777" w:rsidR="00972837" w:rsidRPr="00972837" w:rsidRDefault="00972837" w:rsidP="00972837">
            <w:pPr>
              <w:tabs>
                <w:tab w:val="left" w:pos="570"/>
                <w:tab w:val="left" w:pos="3343"/>
                <w:tab w:val="center" w:pos="4536"/>
                <w:tab w:val="right" w:pos="9072"/>
              </w:tabs>
              <w:spacing w:before="120"/>
              <w:rPr>
                <w:i/>
                <w:sz w:val="22"/>
                <w:szCs w:val="22"/>
                <w:lang w:val="sr-Latn-CS"/>
              </w:rPr>
            </w:pPr>
            <w:r w:rsidRPr="00972837">
              <w:rPr>
                <w:i/>
                <w:sz w:val="22"/>
                <w:szCs w:val="22"/>
                <w:lang w:val="sr-Latn-CS"/>
              </w:rPr>
              <w:t>Hospitalizacija zbog nestabilne angine pektoris</w:t>
            </w:r>
          </w:p>
        </w:tc>
        <w:tc>
          <w:tcPr>
            <w:tcW w:w="919" w:type="pct"/>
            <w:shd w:val="clear" w:color="auto" w:fill="auto"/>
          </w:tcPr>
          <w:p w14:paraId="3019540B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  <w:r w:rsidRPr="00972837">
              <w:rPr>
                <w:sz w:val="22"/>
                <w:szCs w:val="22"/>
                <w:lang w:val="sr-Latn-CS"/>
              </w:rPr>
              <w:t>12,1</w:t>
            </w:r>
          </w:p>
        </w:tc>
        <w:tc>
          <w:tcPr>
            <w:tcW w:w="691" w:type="pct"/>
            <w:shd w:val="clear" w:color="auto" w:fill="auto"/>
          </w:tcPr>
          <w:p w14:paraId="56B9F333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  <w:r w:rsidRPr="00972837">
              <w:rPr>
                <w:sz w:val="22"/>
                <w:szCs w:val="22"/>
                <w:lang w:val="sr-Latn-CS"/>
              </w:rPr>
              <w:t>12,3</w:t>
            </w:r>
          </w:p>
        </w:tc>
        <w:tc>
          <w:tcPr>
            <w:tcW w:w="994" w:type="pct"/>
            <w:shd w:val="clear" w:color="auto" w:fill="auto"/>
          </w:tcPr>
          <w:p w14:paraId="36B3D720" w14:textId="77777777" w:rsidR="00972837" w:rsidRPr="00972837" w:rsidRDefault="00972837" w:rsidP="00972837">
            <w:pPr>
              <w:tabs>
                <w:tab w:val="left" w:pos="284"/>
              </w:tabs>
              <w:spacing w:before="120"/>
              <w:jc w:val="both"/>
              <w:rPr>
                <w:sz w:val="22"/>
                <w:szCs w:val="22"/>
                <w:lang w:val="sr-Latn-CS"/>
              </w:rPr>
            </w:pPr>
            <w:r w:rsidRPr="00972837">
              <w:rPr>
                <w:sz w:val="22"/>
                <w:szCs w:val="22"/>
                <w:lang w:val="sr-Latn-CS"/>
              </w:rPr>
              <w:t>0,98 (0,87-1,10)</w:t>
            </w:r>
          </w:p>
        </w:tc>
        <w:tc>
          <w:tcPr>
            <w:tcW w:w="612" w:type="pct"/>
            <w:shd w:val="clear" w:color="auto" w:fill="auto"/>
          </w:tcPr>
          <w:p w14:paraId="2C50BA2C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  <w:r w:rsidRPr="00972837">
              <w:rPr>
                <w:sz w:val="22"/>
                <w:szCs w:val="22"/>
                <w:lang w:val="sr-Latn-CS"/>
              </w:rPr>
              <w:t>NS</w:t>
            </w:r>
          </w:p>
        </w:tc>
      </w:tr>
      <w:tr w:rsidR="00631109" w:rsidRPr="00972837" w14:paraId="7F965CAA" w14:textId="77777777" w:rsidTr="00631109">
        <w:trPr>
          <w:trHeight w:val="366"/>
        </w:trPr>
        <w:tc>
          <w:tcPr>
            <w:tcW w:w="1783" w:type="pct"/>
            <w:shd w:val="clear" w:color="auto" w:fill="auto"/>
          </w:tcPr>
          <w:p w14:paraId="7C01C67D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i/>
                <w:sz w:val="22"/>
                <w:szCs w:val="22"/>
                <w:lang w:val="sr-Latn-CS"/>
              </w:rPr>
            </w:pPr>
            <w:r w:rsidRPr="00972837">
              <w:rPr>
                <w:i/>
                <w:sz w:val="22"/>
                <w:szCs w:val="22"/>
                <w:lang w:val="sr-Latn-CS"/>
              </w:rPr>
              <w:t>Hospitalizacija zbog insuficijencije srca</w:t>
            </w:r>
          </w:p>
        </w:tc>
        <w:tc>
          <w:tcPr>
            <w:tcW w:w="919" w:type="pct"/>
            <w:shd w:val="clear" w:color="auto" w:fill="auto"/>
          </w:tcPr>
          <w:p w14:paraId="6B28A4E4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  <w:r w:rsidRPr="00972837">
              <w:rPr>
                <w:sz w:val="22"/>
                <w:szCs w:val="22"/>
                <w:lang w:val="sr-Latn-CS"/>
              </w:rPr>
              <w:t>3,2</w:t>
            </w:r>
          </w:p>
        </w:tc>
        <w:tc>
          <w:tcPr>
            <w:tcW w:w="691" w:type="pct"/>
            <w:shd w:val="clear" w:color="auto" w:fill="auto"/>
          </w:tcPr>
          <w:p w14:paraId="114AA5DC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  <w:r w:rsidRPr="00972837">
              <w:rPr>
                <w:sz w:val="22"/>
                <w:szCs w:val="22"/>
                <w:lang w:val="sr-Latn-CS"/>
              </w:rPr>
              <w:t>3,5</w:t>
            </w:r>
          </w:p>
        </w:tc>
        <w:tc>
          <w:tcPr>
            <w:tcW w:w="994" w:type="pct"/>
            <w:shd w:val="clear" w:color="auto" w:fill="auto"/>
          </w:tcPr>
          <w:p w14:paraId="77C9931A" w14:textId="77777777" w:rsidR="00972837" w:rsidRPr="00972837" w:rsidRDefault="00972837" w:rsidP="00972837">
            <w:pPr>
              <w:tabs>
                <w:tab w:val="left" w:pos="284"/>
              </w:tabs>
              <w:spacing w:before="120"/>
              <w:jc w:val="both"/>
              <w:rPr>
                <w:sz w:val="22"/>
                <w:szCs w:val="22"/>
                <w:lang w:val="sr-Latn-CS"/>
              </w:rPr>
            </w:pPr>
            <w:r w:rsidRPr="00972837">
              <w:rPr>
                <w:sz w:val="22"/>
                <w:szCs w:val="22"/>
                <w:lang w:val="sr-Latn-CS"/>
              </w:rPr>
              <w:t>0,88 (0,70-1,10)</w:t>
            </w:r>
          </w:p>
        </w:tc>
        <w:tc>
          <w:tcPr>
            <w:tcW w:w="612" w:type="pct"/>
            <w:shd w:val="clear" w:color="auto" w:fill="auto"/>
          </w:tcPr>
          <w:p w14:paraId="0B1D56C4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  <w:r w:rsidRPr="00972837">
              <w:rPr>
                <w:sz w:val="22"/>
                <w:szCs w:val="22"/>
                <w:lang w:val="sr-Latn-CS"/>
              </w:rPr>
              <w:t>0,25</w:t>
            </w:r>
          </w:p>
        </w:tc>
      </w:tr>
      <w:tr w:rsidR="00631109" w:rsidRPr="00972837" w14:paraId="51D8D7BB" w14:textId="77777777" w:rsidTr="00631109">
        <w:trPr>
          <w:trHeight w:val="366"/>
        </w:trPr>
        <w:tc>
          <w:tcPr>
            <w:tcW w:w="1783" w:type="pct"/>
            <w:shd w:val="clear" w:color="auto" w:fill="auto"/>
          </w:tcPr>
          <w:p w14:paraId="466DE031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i/>
                <w:sz w:val="22"/>
                <w:szCs w:val="22"/>
                <w:lang w:val="sr-Latn-CS"/>
              </w:rPr>
            </w:pPr>
            <w:r w:rsidRPr="00972837">
              <w:rPr>
                <w:i/>
                <w:sz w:val="22"/>
                <w:szCs w:val="22"/>
                <w:lang w:val="sr-Latn-CS"/>
              </w:rPr>
              <w:t>Komplikacije povezane sa dijabetesom</w:t>
            </w:r>
          </w:p>
        </w:tc>
        <w:tc>
          <w:tcPr>
            <w:tcW w:w="919" w:type="pct"/>
            <w:shd w:val="clear" w:color="auto" w:fill="auto"/>
          </w:tcPr>
          <w:p w14:paraId="003E8A27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  <w:r w:rsidRPr="00972837">
              <w:rPr>
                <w:sz w:val="22"/>
                <w:szCs w:val="22"/>
                <w:lang w:val="sr-Latn-CS"/>
              </w:rPr>
              <w:t>6,4</w:t>
            </w:r>
          </w:p>
        </w:tc>
        <w:tc>
          <w:tcPr>
            <w:tcW w:w="691" w:type="pct"/>
            <w:shd w:val="clear" w:color="auto" w:fill="auto"/>
          </w:tcPr>
          <w:p w14:paraId="7A469F2E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  <w:r w:rsidRPr="00972837">
              <w:rPr>
                <w:sz w:val="22"/>
                <w:szCs w:val="22"/>
                <w:lang w:val="sr-Latn-CS"/>
              </w:rPr>
              <w:t>7,6</w:t>
            </w:r>
          </w:p>
        </w:tc>
        <w:tc>
          <w:tcPr>
            <w:tcW w:w="994" w:type="pct"/>
            <w:shd w:val="clear" w:color="auto" w:fill="auto"/>
          </w:tcPr>
          <w:p w14:paraId="02559D94" w14:textId="77777777" w:rsidR="00972837" w:rsidRPr="00972837" w:rsidRDefault="00972837" w:rsidP="00972837">
            <w:pPr>
              <w:tabs>
                <w:tab w:val="left" w:pos="284"/>
              </w:tabs>
              <w:spacing w:before="120"/>
              <w:jc w:val="both"/>
              <w:rPr>
                <w:sz w:val="22"/>
                <w:szCs w:val="22"/>
                <w:lang w:val="sr-Latn-CS"/>
              </w:rPr>
            </w:pPr>
            <w:r w:rsidRPr="00972837">
              <w:rPr>
                <w:sz w:val="22"/>
                <w:szCs w:val="22"/>
                <w:lang w:val="sr-Latn-CS"/>
              </w:rPr>
              <w:t>0,84 (0,72-0,98)</w:t>
            </w:r>
          </w:p>
        </w:tc>
        <w:tc>
          <w:tcPr>
            <w:tcW w:w="612" w:type="pct"/>
            <w:shd w:val="clear" w:color="auto" w:fill="auto"/>
          </w:tcPr>
          <w:p w14:paraId="298AEDFD" w14:textId="77777777" w:rsidR="00972837" w:rsidRPr="00972837" w:rsidRDefault="00972837" w:rsidP="00972837">
            <w:pPr>
              <w:tabs>
                <w:tab w:val="left" w:pos="570"/>
                <w:tab w:val="center" w:pos="4536"/>
                <w:tab w:val="right" w:pos="9072"/>
              </w:tabs>
              <w:spacing w:before="120"/>
              <w:rPr>
                <w:sz w:val="22"/>
                <w:szCs w:val="22"/>
                <w:lang w:val="sr-Latn-CS"/>
              </w:rPr>
            </w:pPr>
            <w:r w:rsidRPr="00972837">
              <w:rPr>
                <w:sz w:val="22"/>
                <w:szCs w:val="22"/>
                <w:lang w:val="sr-Latn-CS"/>
              </w:rPr>
              <w:t>0,03</w:t>
            </w:r>
          </w:p>
        </w:tc>
      </w:tr>
    </w:tbl>
    <w:p w14:paraId="4E58613F" w14:textId="1D49D0E9" w:rsidR="00972837" w:rsidRPr="00972837" w:rsidRDefault="00972837" w:rsidP="00631109">
      <w:pPr>
        <w:tabs>
          <w:tab w:val="left" w:pos="570"/>
          <w:tab w:val="center" w:pos="4536"/>
          <w:tab w:val="right" w:pos="9072"/>
        </w:tabs>
        <w:spacing w:before="120"/>
        <w:ind w:left="-142"/>
        <w:jc w:val="both"/>
        <w:rPr>
          <w:sz w:val="22"/>
          <w:szCs w:val="22"/>
          <w:lang w:val="sr-Latn-CS"/>
        </w:rPr>
      </w:pPr>
      <w:r w:rsidRPr="00972837">
        <w:rPr>
          <w:sz w:val="22"/>
          <w:szCs w:val="22"/>
          <w:lang w:val="sr-Latn-CS"/>
        </w:rPr>
        <w:t>MICRO HOPE studija, predefinisana iz HOPE podstudije, ispitivala je efekte dodavanja ramiprila u dozi od 10 mg postojećem režimu l</w:t>
      </w:r>
      <w:r w:rsidR="003457B5">
        <w:rPr>
          <w:sz w:val="22"/>
          <w:szCs w:val="22"/>
          <w:lang w:val="sr-Latn-CS"/>
        </w:rPr>
        <w:t>ij</w:t>
      </w:r>
      <w:r w:rsidRPr="00972837">
        <w:rPr>
          <w:sz w:val="22"/>
          <w:szCs w:val="22"/>
          <w:lang w:val="sr-Latn-CS"/>
        </w:rPr>
        <w:t>ečenja u odnosu na placebo kod 3577 pacijenata starosti ≥</w:t>
      </w:r>
      <w:r w:rsidR="00631109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  <w:lang w:val="sr-Latn-CS"/>
        </w:rPr>
        <w:t>55 godina (bez gornje granice starosti), od kojih je većina imala dijabetes tip 2 (i najmanje još jedan KV faktor rizika), sa normalnim ili povišenim krvnim pritiskom.</w:t>
      </w:r>
      <w:r w:rsidR="00631109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  <w:lang w:val="sr-Latn-CS"/>
        </w:rPr>
        <w:t xml:space="preserve">Primarna analiza je pokazala da se kod 117 (6,5%)  pacijenata koji su primenjivali ramipril i 149 (8,4%) koji su bili na placebu razvila jasna nefropatija, što odgovara RRR 24%; 95% CI </w:t>
      </w:r>
      <w:r w:rsidRPr="00972837">
        <w:rPr>
          <w:rFonts w:ascii="Arial" w:hAnsi="Arial" w:cs="Arial"/>
          <w:sz w:val="22"/>
          <w:szCs w:val="22"/>
          <w:lang w:val="sr-Latn-CS"/>
        </w:rPr>
        <w:t>[</w:t>
      </w:r>
      <w:r w:rsidRPr="00972837">
        <w:rPr>
          <w:sz w:val="22"/>
          <w:szCs w:val="22"/>
          <w:lang w:val="sr-Latn-CS"/>
        </w:rPr>
        <w:t>3-40</w:t>
      </w:r>
      <w:r w:rsidRPr="00972837">
        <w:rPr>
          <w:rFonts w:ascii="Arial" w:hAnsi="Arial" w:cs="Arial"/>
          <w:sz w:val="22"/>
          <w:szCs w:val="22"/>
          <w:lang w:val="sr-Latn-CS"/>
        </w:rPr>
        <w:t>]</w:t>
      </w:r>
      <w:r w:rsidRPr="00972837">
        <w:rPr>
          <w:sz w:val="22"/>
          <w:szCs w:val="22"/>
          <w:lang w:val="sr-Latn-CS"/>
        </w:rPr>
        <w:t>, p=0,027.</w:t>
      </w:r>
    </w:p>
    <w:p w14:paraId="2F978A33" w14:textId="1C16A7FF" w:rsidR="00972837" w:rsidRPr="00972837" w:rsidRDefault="00972837" w:rsidP="00631109">
      <w:pPr>
        <w:tabs>
          <w:tab w:val="left" w:pos="570"/>
          <w:tab w:val="center" w:pos="4536"/>
          <w:tab w:val="right" w:pos="9072"/>
        </w:tabs>
        <w:spacing w:before="120"/>
        <w:ind w:left="-142"/>
        <w:jc w:val="both"/>
        <w:rPr>
          <w:sz w:val="22"/>
          <w:szCs w:val="22"/>
          <w:lang w:val="sr-Latn-CS"/>
        </w:rPr>
      </w:pPr>
      <w:r w:rsidRPr="00972837">
        <w:rPr>
          <w:sz w:val="22"/>
          <w:szCs w:val="22"/>
          <w:lang w:val="sr-Latn-CS"/>
        </w:rPr>
        <w:t>U multicentričnoj, randomizovanoj, dvostruko sl</w:t>
      </w:r>
      <w:r w:rsidR="00631109">
        <w:rPr>
          <w:sz w:val="22"/>
          <w:szCs w:val="22"/>
          <w:lang w:val="sr-Latn-CS"/>
        </w:rPr>
        <w:t>ij</w:t>
      </w:r>
      <w:r w:rsidRPr="00972837">
        <w:rPr>
          <w:sz w:val="22"/>
          <w:szCs w:val="22"/>
          <w:lang w:val="sr-Latn-CS"/>
        </w:rPr>
        <w:t xml:space="preserve">epoj,  placebom kontrolisanoj kliničkoj studiji </w:t>
      </w:r>
      <w:r w:rsidRPr="00972837">
        <w:rPr>
          <w:rFonts w:ascii="Arial" w:hAnsi="Arial" w:cs="Arial"/>
          <w:sz w:val="22"/>
          <w:szCs w:val="22"/>
          <w:lang w:val="sr-Latn-CS"/>
        </w:rPr>
        <w:t>"</w:t>
      </w:r>
      <w:r w:rsidRPr="00972837">
        <w:rPr>
          <w:sz w:val="22"/>
          <w:szCs w:val="22"/>
          <w:lang w:val="sr-Latn-CS"/>
        </w:rPr>
        <w:t>REIN</w:t>
      </w:r>
      <w:r w:rsidRPr="00972837">
        <w:rPr>
          <w:rFonts w:ascii="Arial" w:hAnsi="Arial" w:cs="Arial"/>
          <w:sz w:val="22"/>
          <w:szCs w:val="22"/>
          <w:lang w:val="sr-Latn-CS"/>
        </w:rPr>
        <w:t>"</w:t>
      </w:r>
      <w:r w:rsidRPr="00972837">
        <w:rPr>
          <w:sz w:val="22"/>
          <w:szCs w:val="22"/>
          <w:lang w:val="sr-Latn-CS"/>
        </w:rPr>
        <w:t>, na paralelnim grupama, imala je za cilj da proc</w:t>
      </w:r>
      <w:r w:rsidR="00136F13">
        <w:rPr>
          <w:sz w:val="22"/>
          <w:szCs w:val="22"/>
          <w:lang w:val="sr-Latn-CS"/>
        </w:rPr>
        <w:t>j</w:t>
      </w:r>
      <w:r w:rsidRPr="00972837">
        <w:rPr>
          <w:sz w:val="22"/>
          <w:szCs w:val="22"/>
          <w:lang w:val="sr-Latn-CS"/>
        </w:rPr>
        <w:t>eni dejstvo terapije ramiprilom na smanjenje brzine glomerularne funkcije (GFR) kod 352 pacijenta sa normalnim ili povišenim krvnim pritiskom (18-70 godina starosti) koji pate od blage (srednja vr</w:t>
      </w:r>
      <w:r w:rsidR="003457B5">
        <w:rPr>
          <w:sz w:val="22"/>
          <w:szCs w:val="22"/>
          <w:lang w:val="sr-Latn-CS"/>
        </w:rPr>
        <w:t>ij</w:t>
      </w:r>
      <w:r w:rsidRPr="00972837">
        <w:rPr>
          <w:sz w:val="22"/>
          <w:szCs w:val="22"/>
          <w:lang w:val="sr-Latn-CS"/>
        </w:rPr>
        <w:t>ednost urinarne ekskrecije proteina &gt;1 i &lt;</w:t>
      </w:r>
      <w:r w:rsidR="00631109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  <w:lang w:val="sr-Latn-CS"/>
        </w:rPr>
        <w:t>3 g/24 h) ili teške proteinurije (≥</w:t>
      </w:r>
      <w:r w:rsidR="00631109">
        <w:rPr>
          <w:sz w:val="22"/>
          <w:szCs w:val="22"/>
          <w:lang w:val="sr-Latn-CS"/>
        </w:rPr>
        <w:t xml:space="preserve"> </w:t>
      </w:r>
      <w:r w:rsidRPr="00972837">
        <w:rPr>
          <w:sz w:val="22"/>
          <w:szCs w:val="22"/>
          <w:lang w:val="sr-Latn-CS"/>
        </w:rPr>
        <w:t>3 g/24 h) zbog hronične nedijabetesne nefropatije. Ob</w:t>
      </w:r>
      <w:r w:rsidR="00631109">
        <w:rPr>
          <w:sz w:val="22"/>
          <w:szCs w:val="22"/>
          <w:lang w:val="sr-Latn-CS"/>
        </w:rPr>
        <w:t>j</w:t>
      </w:r>
      <w:r w:rsidRPr="00972837">
        <w:rPr>
          <w:sz w:val="22"/>
          <w:szCs w:val="22"/>
          <w:lang w:val="sr-Latn-CS"/>
        </w:rPr>
        <w:t>e subpopulacije bile su prospektivno stratifikovane.</w:t>
      </w:r>
    </w:p>
    <w:p w14:paraId="639D97F9" w14:textId="21B1FCC0" w:rsidR="00972837" w:rsidRPr="00972837" w:rsidRDefault="00972837" w:rsidP="00AB1FCF">
      <w:pPr>
        <w:tabs>
          <w:tab w:val="left" w:pos="570"/>
          <w:tab w:val="center" w:pos="4536"/>
          <w:tab w:val="right" w:pos="9072"/>
        </w:tabs>
        <w:ind w:left="-142"/>
        <w:jc w:val="both"/>
        <w:rPr>
          <w:sz w:val="22"/>
          <w:szCs w:val="22"/>
          <w:lang w:val="sr-Latn-CS"/>
        </w:rPr>
      </w:pPr>
      <w:r w:rsidRPr="00972837">
        <w:rPr>
          <w:sz w:val="22"/>
          <w:szCs w:val="22"/>
          <w:lang w:val="sr-Latn-CS"/>
        </w:rPr>
        <w:t>Glavna analiza pacijenata sa najtežom proteinurijom (d</w:t>
      </w:r>
      <w:r w:rsidR="00136F13">
        <w:rPr>
          <w:sz w:val="22"/>
          <w:szCs w:val="22"/>
          <w:lang w:val="sr-Latn-CS"/>
        </w:rPr>
        <w:t>i</w:t>
      </w:r>
      <w:r w:rsidRPr="00972837">
        <w:rPr>
          <w:sz w:val="22"/>
          <w:szCs w:val="22"/>
          <w:lang w:val="sr-Latn-CS"/>
        </w:rPr>
        <w:t>o pacijenata kod kojih je prerano prekinuto ispitivanje zbog boljih rezultata ramipril grupe) pokazala je da je pros</w:t>
      </w:r>
      <w:r w:rsidR="00136F13">
        <w:rPr>
          <w:sz w:val="22"/>
          <w:szCs w:val="22"/>
          <w:lang w:val="sr-Latn-CS"/>
        </w:rPr>
        <w:t>j</w:t>
      </w:r>
      <w:r w:rsidRPr="00972837">
        <w:rPr>
          <w:sz w:val="22"/>
          <w:szCs w:val="22"/>
          <w:lang w:val="sr-Latn-CS"/>
        </w:rPr>
        <w:t>ečno smanjenje brzine glomerularne fltracije (GFR) po m</w:t>
      </w:r>
      <w:r w:rsidR="003457B5">
        <w:rPr>
          <w:sz w:val="22"/>
          <w:szCs w:val="22"/>
          <w:lang w:val="sr-Latn-CS"/>
        </w:rPr>
        <w:t>j</w:t>
      </w:r>
      <w:r w:rsidRPr="00972837">
        <w:rPr>
          <w:sz w:val="22"/>
          <w:szCs w:val="22"/>
          <w:lang w:val="sr-Latn-CS"/>
        </w:rPr>
        <w:t xml:space="preserve">esecu bio manji kod </w:t>
      </w:r>
      <w:r w:rsidR="00136F13">
        <w:rPr>
          <w:sz w:val="22"/>
          <w:szCs w:val="22"/>
          <w:lang w:val="sr-Latn-CS"/>
        </w:rPr>
        <w:t>primjene</w:t>
      </w:r>
      <w:r w:rsidRPr="00972837">
        <w:rPr>
          <w:sz w:val="22"/>
          <w:szCs w:val="22"/>
          <w:lang w:val="sr-Latn-CS"/>
        </w:rPr>
        <w:t xml:space="preserve"> ramiprila u odnosu na prim</w:t>
      </w:r>
      <w:r w:rsidR="00136F13">
        <w:rPr>
          <w:sz w:val="22"/>
          <w:szCs w:val="22"/>
          <w:lang w:val="sr-Latn-CS"/>
        </w:rPr>
        <w:t>j</w:t>
      </w:r>
      <w:r w:rsidRPr="00972837">
        <w:rPr>
          <w:sz w:val="22"/>
          <w:szCs w:val="22"/>
          <w:lang w:val="sr-Latn-CS"/>
        </w:rPr>
        <w:t>enu placeba; -0,54 (0,66) prema -0,88 (1,03) m</w:t>
      </w:r>
      <w:r w:rsidR="00136F13">
        <w:rPr>
          <w:sz w:val="22"/>
          <w:szCs w:val="22"/>
          <w:lang w:val="sr-Latn-CS"/>
        </w:rPr>
        <w:t>l</w:t>
      </w:r>
      <w:r w:rsidRPr="00972837">
        <w:rPr>
          <w:sz w:val="22"/>
          <w:szCs w:val="22"/>
          <w:lang w:val="sr-Latn-CS"/>
        </w:rPr>
        <w:t>/min/m</w:t>
      </w:r>
      <w:r w:rsidR="00136F13">
        <w:rPr>
          <w:sz w:val="22"/>
          <w:szCs w:val="22"/>
          <w:lang w:val="sr-Latn-CS"/>
        </w:rPr>
        <w:t>j</w:t>
      </w:r>
      <w:r w:rsidRPr="00972837">
        <w:rPr>
          <w:sz w:val="22"/>
          <w:szCs w:val="22"/>
          <w:lang w:val="sr-Latn-CS"/>
        </w:rPr>
        <w:t>esec, p=0,038. Razlika između grupa je prema tome bila 0,34 (0,03-0,65) po m</w:t>
      </w:r>
      <w:r w:rsidR="00136F13">
        <w:rPr>
          <w:sz w:val="22"/>
          <w:szCs w:val="22"/>
          <w:lang w:val="sr-Latn-CS"/>
        </w:rPr>
        <w:t>j</w:t>
      </w:r>
      <w:r w:rsidRPr="00972837">
        <w:rPr>
          <w:sz w:val="22"/>
          <w:szCs w:val="22"/>
          <w:lang w:val="sr-Latn-CS"/>
        </w:rPr>
        <w:t>esecu, i oko 4 m</w:t>
      </w:r>
      <w:r w:rsidR="00136F13">
        <w:rPr>
          <w:sz w:val="22"/>
          <w:szCs w:val="22"/>
          <w:lang w:val="sr-Latn-CS"/>
        </w:rPr>
        <w:t>l</w:t>
      </w:r>
      <w:r w:rsidRPr="00972837">
        <w:rPr>
          <w:sz w:val="22"/>
          <w:szCs w:val="22"/>
          <w:lang w:val="sr-Latn-CS"/>
        </w:rPr>
        <w:t>/min po godini; 23,1% pacijenata u ramipril grupi dostiglo je kombinovani sekundarni ishod ispitivanja tj. dupliranje početnih vr</w:t>
      </w:r>
      <w:r w:rsidR="00136F13">
        <w:rPr>
          <w:sz w:val="22"/>
          <w:szCs w:val="22"/>
          <w:lang w:val="sr-Latn-CS"/>
        </w:rPr>
        <w:t>ij</w:t>
      </w:r>
      <w:r w:rsidRPr="00972837">
        <w:rPr>
          <w:sz w:val="22"/>
          <w:szCs w:val="22"/>
          <w:lang w:val="sr-Latn-CS"/>
        </w:rPr>
        <w:t xml:space="preserve">ednosti koncentracije kreatinina i/ili terminalni stadijum renalne bolesti (ESRD) (kada je potrebna dijaliza ili transplantacija), u odnosu na 45,5% u placebo grupi (p=0,02). </w:t>
      </w:r>
    </w:p>
    <w:p w14:paraId="2FDC164E" w14:textId="77777777" w:rsidR="00972837" w:rsidRPr="00972837" w:rsidRDefault="00972837" w:rsidP="00631109">
      <w:pPr>
        <w:tabs>
          <w:tab w:val="left" w:pos="284"/>
        </w:tabs>
        <w:jc w:val="both"/>
        <w:rPr>
          <w:i/>
          <w:sz w:val="22"/>
          <w:szCs w:val="22"/>
          <w:u w:val="single"/>
          <w:lang w:val="pl-PL"/>
        </w:rPr>
      </w:pPr>
    </w:p>
    <w:p w14:paraId="295088ED" w14:textId="77777777" w:rsidR="00972837" w:rsidRPr="00972837" w:rsidRDefault="00972837" w:rsidP="00AB1FCF">
      <w:pPr>
        <w:tabs>
          <w:tab w:val="left" w:pos="284"/>
        </w:tabs>
        <w:jc w:val="both"/>
        <w:rPr>
          <w:i/>
          <w:sz w:val="22"/>
          <w:szCs w:val="22"/>
          <w:lang w:val="it-IT"/>
        </w:rPr>
      </w:pPr>
      <w:r w:rsidRPr="00972837">
        <w:rPr>
          <w:i/>
          <w:sz w:val="22"/>
          <w:szCs w:val="22"/>
          <w:lang w:val="it-IT"/>
        </w:rPr>
        <w:t>Dvostruka blokada sistema renin-angiotenzin-aldosteron (RAAS)</w:t>
      </w:r>
    </w:p>
    <w:p w14:paraId="11A1B6BB" w14:textId="3F546B55" w:rsidR="00972837" w:rsidRDefault="00972837" w:rsidP="00AB1FCF">
      <w:pPr>
        <w:tabs>
          <w:tab w:val="left" w:pos="284"/>
        </w:tabs>
        <w:jc w:val="both"/>
        <w:rPr>
          <w:sz w:val="22"/>
          <w:szCs w:val="22"/>
          <w:lang w:val="it-IT"/>
        </w:rPr>
      </w:pPr>
      <w:r w:rsidRPr="00972837">
        <w:rPr>
          <w:sz w:val="22"/>
          <w:szCs w:val="22"/>
          <w:lang w:val="it-IT"/>
        </w:rPr>
        <w:t>U dv</w:t>
      </w:r>
      <w:r w:rsidR="00136F13">
        <w:rPr>
          <w:sz w:val="22"/>
          <w:szCs w:val="22"/>
          <w:lang w:val="it-IT"/>
        </w:rPr>
        <w:t>ij</w:t>
      </w:r>
      <w:r w:rsidRPr="00972837">
        <w:rPr>
          <w:sz w:val="22"/>
          <w:szCs w:val="22"/>
          <w:lang w:val="it-IT"/>
        </w:rPr>
        <w:t>e velike randomizovane, kontrolisane studije (ONTARGET (engl.</w:t>
      </w:r>
      <w:r w:rsidRPr="00972837">
        <w:rPr>
          <w:i/>
          <w:sz w:val="22"/>
          <w:szCs w:val="22"/>
          <w:lang w:val="it-IT"/>
        </w:rPr>
        <w:t>ONgoing Telmisartan Alone and in</w:t>
      </w:r>
      <w:r w:rsidRPr="00972837">
        <w:rPr>
          <w:sz w:val="22"/>
          <w:szCs w:val="22"/>
          <w:lang w:val="it-IT"/>
        </w:rPr>
        <w:t xml:space="preserve"> </w:t>
      </w:r>
      <w:r w:rsidRPr="00972837">
        <w:rPr>
          <w:i/>
          <w:sz w:val="22"/>
          <w:szCs w:val="22"/>
          <w:lang w:val="it-IT"/>
        </w:rPr>
        <w:t>combination with Ramipril Global Endpoint Trial</w:t>
      </w:r>
      <w:r w:rsidRPr="00972837">
        <w:rPr>
          <w:sz w:val="22"/>
          <w:szCs w:val="22"/>
          <w:lang w:val="it-IT"/>
        </w:rPr>
        <w:t>) i VA NEPHRON-D (engl.</w:t>
      </w:r>
      <w:r w:rsidRPr="00972837">
        <w:rPr>
          <w:i/>
          <w:sz w:val="22"/>
          <w:szCs w:val="22"/>
          <w:lang w:val="it-IT"/>
        </w:rPr>
        <w:t>The Veterans Affairs</w:t>
      </w:r>
      <w:r w:rsidRPr="00972837">
        <w:rPr>
          <w:sz w:val="22"/>
          <w:szCs w:val="22"/>
          <w:lang w:val="it-IT"/>
        </w:rPr>
        <w:t xml:space="preserve"> </w:t>
      </w:r>
      <w:r w:rsidRPr="00972837">
        <w:rPr>
          <w:i/>
          <w:sz w:val="22"/>
          <w:szCs w:val="22"/>
          <w:lang w:val="it-IT"/>
        </w:rPr>
        <w:t>Nephropathy in Diabetes</w:t>
      </w:r>
      <w:r w:rsidRPr="00972837">
        <w:rPr>
          <w:sz w:val="22"/>
          <w:szCs w:val="22"/>
          <w:lang w:val="it-IT"/>
        </w:rPr>
        <w:t>)) ispitivana je upotreba kombinacije ACE inhibitora sa blokatorom  angiotenzina II receptora.</w:t>
      </w:r>
    </w:p>
    <w:p w14:paraId="24A66A7B" w14:textId="77777777" w:rsidR="00631109" w:rsidRPr="00972837" w:rsidRDefault="00631109" w:rsidP="00AB1FCF">
      <w:pPr>
        <w:tabs>
          <w:tab w:val="left" w:pos="284"/>
        </w:tabs>
        <w:jc w:val="both"/>
        <w:rPr>
          <w:sz w:val="22"/>
          <w:szCs w:val="22"/>
          <w:lang w:val="it-IT"/>
        </w:rPr>
      </w:pPr>
    </w:p>
    <w:p w14:paraId="03EBD41E" w14:textId="77777777" w:rsidR="00972837" w:rsidRPr="00972837" w:rsidRDefault="00972837" w:rsidP="00AB1FCF">
      <w:pPr>
        <w:tabs>
          <w:tab w:val="left" w:pos="284"/>
        </w:tabs>
        <w:jc w:val="both"/>
        <w:rPr>
          <w:sz w:val="22"/>
          <w:szCs w:val="22"/>
          <w:lang w:val="it-IT"/>
        </w:rPr>
      </w:pPr>
      <w:r w:rsidRPr="00972837">
        <w:rPr>
          <w:sz w:val="22"/>
          <w:szCs w:val="22"/>
          <w:lang w:val="it-IT"/>
        </w:rPr>
        <w:t>ONTARGET je bila studija sprovedena kod pacijenata sa kardiovaskularnom ili cerebrovaskularnom bolešću u anamnezi ili sa dijabetes melitusom tipa 2 uz dokaze o oštećenju ciljnih organa. Studija VA NEPHRON-D je bila sprovedena kod pacijenata sa dijabetes melitusom tipa 2 i dijabetesnom nefropatijom.</w:t>
      </w:r>
    </w:p>
    <w:p w14:paraId="09352E83" w14:textId="3858BD23" w:rsidR="00972837" w:rsidRPr="00972837" w:rsidRDefault="00972837" w:rsidP="00AB1FCF">
      <w:pPr>
        <w:tabs>
          <w:tab w:val="left" w:pos="284"/>
        </w:tabs>
        <w:jc w:val="both"/>
        <w:rPr>
          <w:sz w:val="22"/>
          <w:szCs w:val="22"/>
          <w:lang w:val="it-IT"/>
        </w:rPr>
      </w:pPr>
      <w:r w:rsidRPr="00972837">
        <w:rPr>
          <w:sz w:val="22"/>
          <w:szCs w:val="22"/>
          <w:lang w:val="it-IT"/>
        </w:rPr>
        <w:t>Ove studije ni</w:t>
      </w:r>
      <w:r w:rsidR="00631109">
        <w:rPr>
          <w:sz w:val="22"/>
          <w:szCs w:val="22"/>
          <w:lang w:val="it-IT"/>
        </w:rPr>
        <w:t>je</w:t>
      </w:r>
      <w:r w:rsidRPr="00972837">
        <w:rPr>
          <w:sz w:val="22"/>
          <w:szCs w:val="22"/>
          <w:lang w:val="it-IT"/>
        </w:rPr>
        <w:t>su pokazale bilo kakvo značajno povoljno dejstvo na bubrežne i/ili kardiovaskularne ishode i mortalitet, a bio je uočen povećani rizik od hiperkal</w:t>
      </w:r>
      <w:r w:rsidR="00631109">
        <w:rPr>
          <w:sz w:val="22"/>
          <w:szCs w:val="22"/>
          <w:lang w:val="it-IT"/>
        </w:rPr>
        <w:t>ij</w:t>
      </w:r>
      <w:r w:rsidRPr="00972837">
        <w:rPr>
          <w:sz w:val="22"/>
          <w:szCs w:val="22"/>
          <w:lang w:val="it-IT"/>
        </w:rPr>
        <w:t>emije, akutne povrede bubrega i/ili hipotenzije u poređenju sa monoterapijom. Uzimajući u obzir njihova slična farmakodinamska svojstva, ovi rezultati su relevantni i za druge ACE inhibitore i blokatore angiotenzin II receptora.</w:t>
      </w:r>
    </w:p>
    <w:p w14:paraId="58460020" w14:textId="35AC29B3" w:rsidR="00972837" w:rsidRDefault="00972837" w:rsidP="00AB1FCF">
      <w:pPr>
        <w:tabs>
          <w:tab w:val="left" w:pos="284"/>
        </w:tabs>
        <w:jc w:val="both"/>
        <w:rPr>
          <w:sz w:val="22"/>
          <w:szCs w:val="22"/>
          <w:lang w:val="it-IT"/>
        </w:rPr>
      </w:pPr>
      <w:r w:rsidRPr="00972837">
        <w:rPr>
          <w:sz w:val="22"/>
          <w:szCs w:val="22"/>
          <w:lang w:val="it-IT"/>
        </w:rPr>
        <w:t>ACE inhibitore i blokatore angiotenzin II receptora, zato ne treba prim</w:t>
      </w:r>
      <w:r w:rsidR="003457B5">
        <w:rPr>
          <w:sz w:val="22"/>
          <w:szCs w:val="22"/>
          <w:lang w:val="it-IT"/>
        </w:rPr>
        <w:t>j</w:t>
      </w:r>
      <w:r w:rsidRPr="00972837">
        <w:rPr>
          <w:sz w:val="22"/>
          <w:szCs w:val="22"/>
          <w:lang w:val="it-IT"/>
        </w:rPr>
        <w:t xml:space="preserve">enjivati </w:t>
      </w:r>
      <w:r w:rsidR="00136F13">
        <w:rPr>
          <w:sz w:val="22"/>
          <w:szCs w:val="22"/>
          <w:lang w:val="it-IT"/>
        </w:rPr>
        <w:t>istovremeno</w:t>
      </w:r>
      <w:r w:rsidRPr="00972837">
        <w:rPr>
          <w:sz w:val="22"/>
          <w:szCs w:val="22"/>
          <w:lang w:val="it-IT"/>
        </w:rPr>
        <w:t xml:space="preserve"> kod pacijenata sa dijabetesnom nefropatijom.</w:t>
      </w:r>
    </w:p>
    <w:p w14:paraId="28C88222" w14:textId="77777777" w:rsidR="00631109" w:rsidRPr="00972837" w:rsidRDefault="00631109" w:rsidP="00AB1FCF">
      <w:pPr>
        <w:tabs>
          <w:tab w:val="left" w:pos="284"/>
        </w:tabs>
        <w:jc w:val="both"/>
        <w:rPr>
          <w:sz w:val="22"/>
          <w:szCs w:val="22"/>
          <w:lang w:val="it-IT"/>
        </w:rPr>
      </w:pPr>
    </w:p>
    <w:p w14:paraId="107FAFBC" w14:textId="129A3C10" w:rsidR="00972837" w:rsidRDefault="00972837" w:rsidP="00AB1FCF">
      <w:pPr>
        <w:tabs>
          <w:tab w:val="left" w:pos="284"/>
        </w:tabs>
        <w:jc w:val="both"/>
        <w:rPr>
          <w:sz w:val="22"/>
          <w:szCs w:val="22"/>
          <w:lang w:val="it-IT"/>
        </w:rPr>
      </w:pPr>
      <w:r w:rsidRPr="00972837">
        <w:rPr>
          <w:sz w:val="22"/>
          <w:szCs w:val="22"/>
          <w:lang w:val="it-IT"/>
        </w:rPr>
        <w:t>ALTITUDE studija (engl.</w:t>
      </w:r>
      <w:r w:rsidRPr="00972837">
        <w:rPr>
          <w:i/>
          <w:sz w:val="22"/>
          <w:szCs w:val="22"/>
          <w:lang w:val="it-IT"/>
        </w:rPr>
        <w:t>Aliskiren Trial in Type 2 Diabetes Using Cardiovascular and Renal Disease</w:t>
      </w:r>
      <w:r w:rsidRPr="00972837">
        <w:rPr>
          <w:sz w:val="22"/>
          <w:szCs w:val="22"/>
          <w:lang w:val="it-IT"/>
        </w:rPr>
        <w:t xml:space="preserve"> </w:t>
      </w:r>
      <w:r w:rsidRPr="00972837">
        <w:rPr>
          <w:i/>
          <w:sz w:val="22"/>
          <w:szCs w:val="22"/>
          <w:lang w:val="it-IT"/>
        </w:rPr>
        <w:t>Endpoints</w:t>
      </w:r>
      <w:r w:rsidRPr="00972837">
        <w:rPr>
          <w:sz w:val="22"/>
          <w:szCs w:val="22"/>
          <w:lang w:val="it-IT"/>
        </w:rPr>
        <w:t xml:space="preserve">) je bila studija dizajnirana za testiranje koristi od dodavanja aliskirena standardnoj terapiji ACE inhibitorom ili blokatorom angiotenzin II receptora kod pacijenata sa dijabetes melitusom tipa 2 i </w:t>
      </w:r>
      <w:r w:rsidRPr="00972837">
        <w:rPr>
          <w:sz w:val="22"/>
          <w:szCs w:val="22"/>
          <w:lang w:val="it-IT"/>
        </w:rPr>
        <w:lastRenderedPageBreak/>
        <w:t xml:space="preserve">hroničnom bolešću bubrega, kardiovaskularnom bolešću ili i jednom i drugom </w:t>
      </w:r>
      <w:r w:rsidR="00136F13">
        <w:rPr>
          <w:sz w:val="22"/>
          <w:szCs w:val="22"/>
          <w:lang w:val="it-IT"/>
        </w:rPr>
        <w:t>istovremeno</w:t>
      </w:r>
      <w:r w:rsidRPr="00972837">
        <w:rPr>
          <w:sz w:val="22"/>
          <w:szCs w:val="22"/>
          <w:lang w:val="it-IT"/>
        </w:rPr>
        <w:t>. Studija je bila prekinuta pr</w:t>
      </w:r>
      <w:r w:rsidR="00CA30AF">
        <w:rPr>
          <w:sz w:val="22"/>
          <w:szCs w:val="22"/>
          <w:lang w:val="it-IT"/>
        </w:rPr>
        <w:t>ij</w:t>
      </w:r>
      <w:r w:rsidRPr="00972837">
        <w:rPr>
          <w:sz w:val="22"/>
          <w:szCs w:val="22"/>
          <w:lang w:val="it-IT"/>
        </w:rPr>
        <w:t xml:space="preserve">e </w:t>
      </w:r>
      <w:r w:rsidR="00136F13">
        <w:rPr>
          <w:sz w:val="22"/>
          <w:szCs w:val="22"/>
          <w:lang w:val="it-IT"/>
        </w:rPr>
        <w:t>vreme</w:t>
      </w:r>
      <w:r w:rsidRPr="00972837">
        <w:rPr>
          <w:sz w:val="22"/>
          <w:szCs w:val="22"/>
          <w:lang w:val="it-IT"/>
        </w:rPr>
        <w:t>na zbog povećanog rizika od neželjenih ishoda. Kardiovaskularna smrt i moždani udar su brojčano bili učestaliji u grupi koja je primala aliskiren nego u grupi koja je primala placebo, a neželjeni događaji i ozbiljni neželjeni događaji od značaja (hiperkal</w:t>
      </w:r>
      <w:r w:rsidR="00631109">
        <w:rPr>
          <w:sz w:val="22"/>
          <w:szCs w:val="22"/>
          <w:lang w:val="it-IT"/>
        </w:rPr>
        <w:t>ij</w:t>
      </w:r>
      <w:r w:rsidRPr="00972837">
        <w:rPr>
          <w:sz w:val="22"/>
          <w:szCs w:val="22"/>
          <w:lang w:val="it-IT"/>
        </w:rPr>
        <w:t xml:space="preserve">emija, hipotenzija i bubrežna disfunkcija) bili su češće </w:t>
      </w:r>
      <w:r w:rsidR="00136F13">
        <w:rPr>
          <w:sz w:val="22"/>
          <w:szCs w:val="22"/>
          <w:lang w:val="it-IT"/>
        </w:rPr>
        <w:t>za</w:t>
      </w:r>
      <w:r w:rsidRPr="00972837">
        <w:rPr>
          <w:sz w:val="22"/>
          <w:szCs w:val="22"/>
          <w:lang w:val="it-IT"/>
        </w:rPr>
        <w:t>b</w:t>
      </w:r>
      <w:r w:rsidR="00136F13">
        <w:rPr>
          <w:sz w:val="22"/>
          <w:szCs w:val="22"/>
          <w:lang w:val="it-IT"/>
        </w:rPr>
        <w:t>i</w:t>
      </w:r>
      <w:r w:rsidRPr="00972837">
        <w:rPr>
          <w:sz w:val="22"/>
          <w:szCs w:val="22"/>
          <w:lang w:val="it-IT"/>
        </w:rPr>
        <w:t>l</w:t>
      </w:r>
      <w:r w:rsidR="00136F13">
        <w:rPr>
          <w:sz w:val="22"/>
          <w:szCs w:val="22"/>
          <w:lang w:val="it-IT"/>
        </w:rPr>
        <w:t>j</w:t>
      </w:r>
      <w:r w:rsidRPr="00972837">
        <w:rPr>
          <w:sz w:val="22"/>
          <w:szCs w:val="22"/>
          <w:lang w:val="it-IT"/>
        </w:rPr>
        <w:t xml:space="preserve">eženi u grupi koja je primala aliskiren nego u grupi koja je primala placebo. </w:t>
      </w:r>
    </w:p>
    <w:p w14:paraId="41FEF5D9" w14:textId="77777777" w:rsidR="00631109" w:rsidRPr="00972837" w:rsidRDefault="00631109" w:rsidP="00AB1FCF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0D856630" w14:textId="77777777" w:rsidR="00972837" w:rsidRPr="00972837" w:rsidRDefault="00972837" w:rsidP="00AB1FCF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u w:val="single"/>
          <w:lang w:val="sr-Latn-CS"/>
        </w:rPr>
      </w:pPr>
      <w:r w:rsidRPr="00972837">
        <w:rPr>
          <w:sz w:val="22"/>
          <w:szCs w:val="22"/>
          <w:u w:val="single"/>
          <w:lang w:val="sr-Latn-CS"/>
        </w:rPr>
        <w:t>Sekundarna prevencija nakon akutnog infarkta miokarda</w:t>
      </w:r>
    </w:p>
    <w:p w14:paraId="51ADFD54" w14:textId="64DA6BA6" w:rsidR="00972837" w:rsidRDefault="00972837" w:rsidP="00AB1FCF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lang w:val="sr-Latn-CS"/>
        </w:rPr>
      </w:pPr>
      <w:r w:rsidRPr="00972837">
        <w:rPr>
          <w:sz w:val="22"/>
          <w:szCs w:val="22"/>
          <w:lang w:val="sr-Latn-CS"/>
        </w:rPr>
        <w:t>Klinička studija AIRE obuhvatila je oko 2000 pacijenata sa prolaznim/postojanim kliničkim znacima srčane insuficijencije nakon zab</w:t>
      </w:r>
      <w:r w:rsidR="00631109">
        <w:rPr>
          <w:sz w:val="22"/>
          <w:szCs w:val="22"/>
          <w:lang w:val="sr-Latn-CS"/>
        </w:rPr>
        <w:t>i</w:t>
      </w:r>
      <w:r w:rsidRPr="00972837">
        <w:rPr>
          <w:sz w:val="22"/>
          <w:szCs w:val="22"/>
          <w:lang w:val="sr-Latn-CS"/>
        </w:rPr>
        <w:t>l</w:t>
      </w:r>
      <w:r w:rsidR="00631109">
        <w:rPr>
          <w:sz w:val="22"/>
          <w:szCs w:val="22"/>
          <w:lang w:val="sr-Latn-CS"/>
        </w:rPr>
        <w:t>j</w:t>
      </w:r>
      <w:r w:rsidRPr="00972837">
        <w:rPr>
          <w:sz w:val="22"/>
          <w:szCs w:val="22"/>
          <w:lang w:val="sr-Latn-CS"/>
        </w:rPr>
        <w:t xml:space="preserve">eženog infarkta miokarda. </w:t>
      </w:r>
      <w:r w:rsidR="00136F13">
        <w:rPr>
          <w:sz w:val="22"/>
          <w:szCs w:val="22"/>
          <w:lang w:val="sr-Latn-CS"/>
        </w:rPr>
        <w:t>Liječenje</w:t>
      </w:r>
      <w:r w:rsidRPr="00972837">
        <w:rPr>
          <w:sz w:val="22"/>
          <w:szCs w:val="22"/>
          <w:lang w:val="sr-Latn-CS"/>
        </w:rPr>
        <w:t xml:space="preserve"> ramiprilom je započeto 3 do 10 dana nakon akutnog infarkta miokarda. Studija je pokazala da je nakon pros</w:t>
      </w:r>
      <w:r w:rsidR="00136F13">
        <w:rPr>
          <w:sz w:val="22"/>
          <w:szCs w:val="22"/>
          <w:lang w:val="sr-Latn-CS"/>
        </w:rPr>
        <w:t>j</w:t>
      </w:r>
      <w:r w:rsidRPr="00972837">
        <w:rPr>
          <w:sz w:val="22"/>
          <w:szCs w:val="22"/>
          <w:lang w:val="sr-Latn-CS"/>
        </w:rPr>
        <w:t xml:space="preserve">ečnog </w:t>
      </w:r>
      <w:r w:rsidR="00136F13">
        <w:rPr>
          <w:sz w:val="22"/>
          <w:szCs w:val="22"/>
          <w:lang w:val="sr-Latn-CS"/>
        </w:rPr>
        <w:t>vreme</w:t>
      </w:r>
      <w:r w:rsidRPr="00972837">
        <w:rPr>
          <w:sz w:val="22"/>
          <w:szCs w:val="22"/>
          <w:lang w:val="sr-Latn-CS"/>
        </w:rPr>
        <w:t>na praćenja od 15 m</w:t>
      </w:r>
      <w:r w:rsidR="00136F13">
        <w:rPr>
          <w:sz w:val="22"/>
          <w:szCs w:val="22"/>
          <w:lang w:val="sr-Latn-CS"/>
        </w:rPr>
        <w:t>j</w:t>
      </w:r>
      <w:r w:rsidRPr="00972837">
        <w:rPr>
          <w:sz w:val="22"/>
          <w:szCs w:val="22"/>
          <w:lang w:val="sr-Latn-CS"/>
        </w:rPr>
        <w:t>eseci mortalitet kod pacijenata koji su prim</w:t>
      </w:r>
      <w:r w:rsidR="00631109">
        <w:rPr>
          <w:sz w:val="22"/>
          <w:szCs w:val="22"/>
          <w:lang w:val="sr-Latn-CS"/>
        </w:rPr>
        <w:t>j</w:t>
      </w:r>
      <w:r w:rsidRPr="00972837">
        <w:rPr>
          <w:sz w:val="22"/>
          <w:szCs w:val="22"/>
          <w:lang w:val="sr-Latn-CS"/>
        </w:rPr>
        <w:t>enjivali ramipril bio 16,9% a kod pacijenata koji su prim</w:t>
      </w:r>
      <w:r w:rsidR="00136F13">
        <w:rPr>
          <w:sz w:val="22"/>
          <w:szCs w:val="22"/>
          <w:lang w:val="sr-Latn-CS"/>
        </w:rPr>
        <w:t>j</w:t>
      </w:r>
      <w:r w:rsidRPr="00972837">
        <w:rPr>
          <w:sz w:val="22"/>
          <w:szCs w:val="22"/>
          <w:lang w:val="sr-Latn-CS"/>
        </w:rPr>
        <w:t>enjivali placebo 22,6%. Ovo znači da je apsolutni mortalitet smanjen za 5,7%, a relativni rizik za 27% (95% CI [11-40%]).</w:t>
      </w:r>
    </w:p>
    <w:p w14:paraId="1FE38F82" w14:textId="77777777" w:rsidR="00631109" w:rsidRPr="00972837" w:rsidRDefault="00631109" w:rsidP="00AB1FCF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lang w:val="sr-Latn-CS"/>
        </w:rPr>
      </w:pPr>
    </w:p>
    <w:p w14:paraId="1ADC5AB5" w14:textId="77777777" w:rsidR="00972837" w:rsidRPr="00972837" w:rsidRDefault="00972837" w:rsidP="00AB1FCF">
      <w:pPr>
        <w:tabs>
          <w:tab w:val="left" w:pos="570"/>
          <w:tab w:val="center" w:pos="4536"/>
          <w:tab w:val="right" w:pos="9072"/>
        </w:tabs>
        <w:jc w:val="both"/>
        <w:rPr>
          <w:i/>
          <w:sz w:val="22"/>
          <w:szCs w:val="22"/>
          <w:lang w:val="sr-Latn-CS"/>
        </w:rPr>
      </w:pPr>
      <w:r w:rsidRPr="00972837">
        <w:rPr>
          <w:i/>
          <w:sz w:val="22"/>
          <w:szCs w:val="22"/>
          <w:lang w:val="sr-Latn-CS"/>
        </w:rPr>
        <w:t>Pedijatrijska populacija</w:t>
      </w:r>
    </w:p>
    <w:p w14:paraId="12908768" w14:textId="3AFC1734" w:rsidR="00972837" w:rsidRPr="00972837" w:rsidRDefault="00972837" w:rsidP="00AB1FCF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lang w:val="sr-Latn-CS"/>
        </w:rPr>
      </w:pPr>
      <w:r w:rsidRPr="00972837">
        <w:rPr>
          <w:sz w:val="22"/>
          <w:szCs w:val="22"/>
          <w:lang w:val="sr-Latn-CS"/>
        </w:rPr>
        <w:t>U jednoj randomizovanoj, dvostruko sl</w:t>
      </w:r>
      <w:r w:rsidR="00136F13">
        <w:rPr>
          <w:sz w:val="22"/>
          <w:szCs w:val="22"/>
          <w:lang w:val="sr-Latn-CS"/>
        </w:rPr>
        <w:t>ij</w:t>
      </w:r>
      <w:r w:rsidRPr="00972837">
        <w:rPr>
          <w:sz w:val="22"/>
          <w:szCs w:val="22"/>
          <w:lang w:val="sr-Latn-CS"/>
        </w:rPr>
        <w:t>epoj, placebom kontrolisanoj kliničkoj studiji koja je obuhvatala 244 pedijatrijska pacijenta sa hipertenzijom (73% sa primarnom hipertenzijom), uzrasta 6 do 16 godina, pacijenti su primili malu, srednju ili veliku dozu ramiprila kako bi se postigle koncentracije ramiprilata u plazmi koje odgovaraju rasponu doza od 1,25 mg, 5 mg i 20 mg, kod odraslih na osnovu t</w:t>
      </w:r>
      <w:r w:rsidR="00136F13">
        <w:rPr>
          <w:sz w:val="22"/>
          <w:szCs w:val="22"/>
          <w:lang w:val="sr-Latn-CS"/>
        </w:rPr>
        <w:t>j</w:t>
      </w:r>
      <w:r w:rsidRPr="00972837">
        <w:rPr>
          <w:sz w:val="22"/>
          <w:szCs w:val="22"/>
          <w:lang w:val="sr-Latn-CS"/>
        </w:rPr>
        <w:t>elesne mase. Nakon 4 ned</w:t>
      </w:r>
      <w:r w:rsidR="00136F13">
        <w:rPr>
          <w:sz w:val="22"/>
          <w:szCs w:val="22"/>
          <w:lang w:val="sr-Latn-CS"/>
        </w:rPr>
        <w:t>j</w:t>
      </w:r>
      <w:r w:rsidRPr="00972837">
        <w:rPr>
          <w:sz w:val="22"/>
          <w:szCs w:val="22"/>
          <w:lang w:val="sr-Latn-CS"/>
        </w:rPr>
        <w:t xml:space="preserve">elje, ramipril nije pokazao efikasnost za parametar efikasnosti koji podrazumeva smanjenje sistolnog krvnog pritiska, ali je pri najvećoj dozi uticao na smanjenje dijastolnog krvnog pritiska. </w:t>
      </w:r>
      <w:r w:rsidR="00136F13">
        <w:rPr>
          <w:sz w:val="22"/>
          <w:szCs w:val="22"/>
          <w:lang w:val="sr-Latn-CS"/>
        </w:rPr>
        <w:t>Primjena</w:t>
      </w:r>
      <w:r w:rsidRPr="00972837">
        <w:rPr>
          <w:sz w:val="22"/>
          <w:szCs w:val="22"/>
          <w:lang w:val="sr-Latn-CS"/>
        </w:rPr>
        <w:t xml:space="preserve"> srednje i visoke doze ramiprila dovela je do značajnog sniženja kako sistolnog tako i dijastolnog krvnog pritiska kod d</w:t>
      </w:r>
      <w:r w:rsidR="00631109">
        <w:rPr>
          <w:sz w:val="22"/>
          <w:szCs w:val="22"/>
          <w:lang w:val="sr-Latn-CS"/>
        </w:rPr>
        <w:t>j</w:t>
      </w:r>
      <w:r w:rsidRPr="00972837">
        <w:rPr>
          <w:sz w:val="22"/>
          <w:szCs w:val="22"/>
          <w:lang w:val="sr-Latn-CS"/>
        </w:rPr>
        <w:t>ece sa potvrđenom hipertenzijom.</w:t>
      </w:r>
    </w:p>
    <w:p w14:paraId="4DA7565B" w14:textId="2A609A45" w:rsidR="00972837" w:rsidRPr="00972837" w:rsidRDefault="00972837" w:rsidP="00AB1FCF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lang w:val="sr-Latn-CS"/>
        </w:rPr>
      </w:pPr>
      <w:r w:rsidRPr="00972837">
        <w:rPr>
          <w:sz w:val="22"/>
          <w:szCs w:val="22"/>
          <w:lang w:val="sr-Latn-CS"/>
        </w:rPr>
        <w:t>Ovo dejstvo nije zab</w:t>
      </w:r>
      <w:r w:rsidR="00136F13">
        <w:rPr>
          <w:sz w:val="22"/>
          <w:szCs w:val="22"/>
          <w:lang w:val="sr-Latn-CS"/>
        </w:rPr>
        <w:t>i</w:t>
      </w:r>
      <w:r w:rsidRPr="00972837">
        <w:rPr>
          <w:sz w:val="22"/>
          <w:szCs w:val="22"/>
          <w:lang w:val="sr-Latn-CS"/>
        </w:rPr>
        <w:t>l</w:t>
      </w:r>
      <w:r w:rsidR="00136F13">
        <w:rPr>
          <w:sz w:val="22"/>
          <w:szCs w:val="22"/>
          <w:lang w:val="sr-Latn-CS"/>
        </w:rPr>
        <w:t>j</w:t>
      </w:r>
      <w:r w:rsidRPr="00972837">
        <w:rPr>
          <w:sz w:val="22"/>
          <w:szCs w:val="22"/>
          <w:lang w:val="sr-Latn-CS"/>
        </w:rPr>
        <w:t>eženo u randomizovanoj, dvostruko sl</w:t>
      </w:r>
      <w:r w:rsidR="00460220">
        <w:rPr>
          <w:sz w:val="22"/>
          <w:szCs w:val="22"/>
          <w:lang w:val="sr-Latn-CS"/>
        </w:rPr>
        <w:t>ij</w:t>
      </w:r>
      <w:r w:rsidRPr="00972837">
        <w:rPr>
          <w:sz w:val="22"/>
          <w:szCs w:val="22"/>
          <w:lang w:val="sr-Latn-CS"/>
        </w:rPr>
        <w:t>epoj studiji sa postupnim povećenjem doze i naknadnim randomizovanim ukidanjem terapije u trajanju od 4 ned</w:t>
      </w:r>
      <w:r w:rsidR="00136F13">
        <w:rPr>
          <w:sz w:val="22"/>
          <w:szCs w:val="22"/>
          <w:lang w:val="sr-Latn-CS"/>
        </w:rPr>
        <w:t>j</w:t>
      </w:r>
      <w:r w:rsidRPr="00972837">
        <w:rPr>
          <w:sz w:val="22"/>
          <w:szCs w:val="22"/>
          <w:lang w:val="sr-Latn-CS"/>
        </w:rPr>
        <w:t>elje, sprovedenoj na 218 pedijatrijskih pacijenata uzrasta 6 do 16 godina (75% sa primarnom hipertenzijom), u kojoj je zab</w:t>
      </w:r>
      <w:r w:rsidR="00AD79F0">
        <w:rPr>
          <w:sz w:val="22"/>
          <w:szCs w:val="22"/>
          <w:lang w:val="sr-Latn-CS"/>
        </w:rPr>
        <w:t>i</w:t>
      </w:r>
      <w:r w:rsidRPr="00972837">
        <w:rPr>
          <w:sz w:val="22"/>
          <w:szCs w:val="22"/>
          <w:lang w:val="sr-Latn-CS"/>
        </w:rPr>
        <w:t>l</w:t>
      </w:r>
      <w:r w:rsidR="00AD79F0">
        <w:rPr>
          <w:sz w:val="22"/>
          <w:szCs w:val="22"/>
          <w:lang w:val="sr-Latn-CS"/>
        </w:rPr>
        <w:t>j</w:t>
      </w:r>
      <w:r w:rsidRPr="00972837">
        <w:rPr>
          <w:sz w:val="22"/>
          <w:szCs w:val="22"/>
          <w:lang w:val="sr-Latn-CS"/>
        </w:rPr>
        <w:t>eženo um</w:t>
      </w:r>
      <w:r w:rsidR="00AD79F0">
        <w:rPr>
          <w:sz w:val="22"/>
          <w:szCs w:val="22"/>
          <w:lang w:val="sr-Latn-CS"/>
        </w:rPr>
        <w:t>j</w:t>
      </w:r>
      <w:r w:rsidRPr="00972837">
        <w:rPr>
          <w:sz w:val="22"/>
          <w:szCs w:val="22"/>
          <w:lang w:val="sr-Latn-CS"/>
        </w:rPr>
        <w:t>ereno vraćanje (</w:t>
      </w:r>
      <w:r w:rsidRPr="00972837">
        <w:rPr>
          <w:i/>
          <w:sz w:val="22"/>
          <w:szCs w:val="22"/>
          <w:lang w:val="sr-Latn-CS"/>
        </w:rPr>
        <w:t>rebound</w:t>
      </w:r>
      <w:r w:rsidRPr="00972837">
        <w:rPr>
          <w:sz w:val="22"/>
          <w:szCs w:val="22"/>
          <w:lang w:val="sr-Latn-CS"/>
        </w:rPr>
        <w:t>) i sistolnog i dijastolnog krvnog pritiska, ali ne i statistički značajno vraćanje na početne vr</w:t>
      </w:r>
      <w:r w:rsidR="00136F13">
        <w:rPr>
          <w:sz w:val="22"/>
          <w:szCs w:val="22"/>
          <w:lang w:val="sr-Latn-CS"/>
        </w:rPr>
        <w:t>ij</w:t>
      </w:r>
      <w:r w:rsidRPr="00972837">
        <w:rPr>
          <w:sz w:val="22"/>
          <w:szCs w:val="22"/>
          <w:lang w:val="sr-Latn-CS"/>
        </w:rPr>
        <w:t>ednosti, u sve tri ispitivane doze [niska doza (0,625 mg – 2,5 mg), srednja doza (2,5 mg – 10 mg) i visoka doza (5 mg – 20 mg)] ramiprila zasnovane na t</w:t>
      </w:r>
      <w:r w:rsidR="00136F13">
        <w:rPr>
          <w:sz w:val="22"/>
          <w:szCs w:val="22"/>
          <w:lang w:val="sr-Latn-CS"/>
        </w:rPr>
        <w:t>j</w:t>
      </w:r>
      <w:r w:rsidRPr="00972837">
        <w:rPr>
          <w:sz w:val="22"/>
          <w:szCs w:val="22"/>
          <w:lang w:val="sr-Latn-CS"/>
        </w:rPr>
        <w:t>elesnoj masi. Ramipril nije pokazao linearan terapijski odgovor na dozu u ispitivanoj pedijatrijskoj populaciji</w:t>
      </w:r>
      <w:r w:rsidR="00F36262">
        <w:rPr>
          <w:sz w:val="22"/>
          <w:szCs w:val="22"/>
          <w:lang w:val="sr-Latn-CS"/>
        </w:rPr>
        <w:t>.</w:t>
      </w:r>
    </w:p>
    <w:p w14:paraId="2E2B7827" w14:textId="77777777" w:rsidR="002E37A5" w:rsidRPr="00972837" w:rsidRDefault="002E37A5" w:rsidP="00AD79F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</w:p>
    <w:p w14:paraId="2E2B7828" w14:textId="77777777" w:rsidR="0072020E" w:rsidRPr="004F24BB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4F24BB">
        <w:rPr>
          <w:b/>
          <w:bCs/>
          <w:sz w:val="22"/>
          <w:szCs w:val="22"/>
          <w:lang w:val="sr-Latn-CS"/>
        </w:rPr>
        <w:t xml:space="preserve">5.2. </w:t>
      </w:r>
      <w:r w:rsidR="00480FB1" w:rsidRPr="004F24BB">
        <w:rPr>
          <w:b/>
          <w:bCs/>
          <w:sz w:val="22"/>
          <w:szCs w:val="22"/>
          <w:lang w:val="sr-Latn-CS"/>
        </w:rPr>
        <w:tab/>
      </w:r>
      <w:r w:rsidRPr="00786071">
        <w:rPr>
          <w:b/>
          <w:bCs/>
          <w:sz w:val="22"/>
          <w:szCs w:val="22"/>
        </w:rPr>
        <w:t>Farmakokineti</w:t>
      </w:r>
      <w:r w:rsidRPr="004F24BB">
        <w:rPr>
          <w:b/>
          <w:bCs/>
          <w:sz w:val="22"/>
          <w:szCs w:val="22"/>
          <w:lang w:val="sr-Latn-CS"/>
        </w:rPr>
        <w:t>č</w:t>
      </w:r>
      <w:r w:rsidRPr="00786071">
        <w:rPr>
          <w:b/>
          <w:bCs/>
          <w:sz w:val="22"/>
          <w:szCs w:val="22"/>
        </w:rPr>
        <w:t>ki</w:t>
      </w:r>
      <w:r w:rsidRPr="004F24BB">
        <w:rPr>
          <w:b/>
          <w:bCs/>
          <w:sz w:val="22"/>
          <w:szCs w:val="22"/>
          <w:lang w:val="sr-Latn-CS"/>
        </w:rPr>
        <w:t xml:space="preserve"> </w:t>
      </w:r>
      <w:r w:rsidRPr="00786071">
        <w:rPr>
          <w:b/>
          <w:bCs/>
          <w:sz w:val="22"/>
          <w:szCs w:val="22"/>
        </w:rPr>
        <w:t>podaci</w:t>
      </w:r>
      <w:r w:rsidR="003A7059" w:rsidRPr="004F24BB">
        <w:rPr>
          <w:b/>
          <w:bCs/>
          <w:sz w:val="22"/>
          <w:szCs w:val="22"/>
          <w:lang w:val="sr-Latn-CS"/>
        </w:rPr>
        <w:t xml:space="preserve"> </w:t>
      </w:r>
    </w:p>
    <w:p w14:paraId="2E2B7829" w14:textId="2C8F4206" w:rsidR="0072020E" w:rsidRPr="004F24BB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75F9CAC3" w14:textId="77777777" w:rsidR="00B80ED6" w:rsidRPr="00B80ED6" w:rsidRDefault="00B80ED6">
      <w:pPr>
        <w:tabs>
          <w:tab w:val="left" w:pos="284"/>
        </w:tabs>
        <w:jc w:val="both"/>
        <w:rPr>
          <w:i/>
          <w:iCs/>
          <w:sz w:val="22"/>
          <w:szCs w:val="22"/>
          <w:u w:val="single"/>
          <w:lang w:val="sr-Latn-CS"/>
        </w:rPr>
      </w:pPr>
      <w:r w:rsidRPr="00B80ED6">
        <w:rPr>
          <w:i/>
          <w:iCs/>
          <w:sz w:val="22"/>
          <w:szCs w:val="22"/>
          <w:u w:val="single"/>
        </w:rPr>
        <w:t>Farmakokinetika</w:t>
      </w:r>
      <w:r w:rsidRPr="00B80ED6">
        <w:rPr>
          <w:i/>
          <w:iCs/>
          <w:sz w:val="22"/>
          <w:szCs w:val="22"/>
          <w:u w:val="single"/>
          <w:lang w:val="sr-Latn-CS"/>
        </w:rPr>
        <w:t xml:space="preserve"> </w:t>
      </w:r>
      <w:r w:rsidRPr="00B80ED6">
        <w:rPr>
          <w:i/>
          <w:iCs/>
          <w:sz w:val="22"/>
          <w:szCs w:val="22"/>
          <w:u w:val="single"/>
        </w:rPr>
        <w:t>i</w:t>
      </w:r>
      <w:r w:rsidRPr="00B80ED6">
        <w:rPr>
          <w:i/>
          <w:iCs/>
          <w:sz w:val="22"/>
          <w:szCs w:val="22"/>
          <w:u w:val="single"/>
          <w:lang w:val="sr-Latn-CS"/>
        </w:rPr>
        <w:t xml:space="preserve"> </w:t>
      </w:r>
      <w:r w:rsidRPr="00B80ED6">
        <w:rPr>
          <w:i/>
          <w:iCs/>
          <w:sz w:val="22"/>
          <w:szCs w:val="22"/>
          <w:u w:val="single"/>
        </w:rPr>
        <w:t>metabolizam</w:t>
      </w:r>
    </w:p>
    <w:p w14:paraId="0AE49893" w14:textId="77777777" w:rsidR="00B80ED6" w:rsidRPr="00B80ED6" w:rsidRDefault="00B80ED6">
      <w:pPr>
        <w:tabs>
          <w:tab w:val="left" w:pos="284"/>
        </w:tabs>
        <w:jc w:val="both"/>
        <w:rPr>
          <w:i/>
          <w:iCs/>
          <w:sz w:val="22"/>
          <w:szCs w:val="22"/>
          <w:u w:val="single"/>
          <w:lang w:val="sr-Latn-CS"/>
        </w:rPr>
      </w:pPr>
    </w:p>
    <w:p w14:paraId="7EBDEB15" w14:textId="77777777" w:rsidR="00B80ED6" w:rsidRPr="00B80ED6" w:rsidRDefault="00B80ED6" w:rsidP="00AB1FCF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u w:val="single"/>
          <w:lang w:val="sr-Latn-CS"/>
        </w:rPr>
      </w:pPr>
      <w:r w:rsidRPr="00B80ED6">
        <w:rPr>
          <w:sz w:val="22"/>
          <w:szCs w:val="22"/>
          <w:u w:val="single"/>
          <w:lang w:val="sr-Latn-CS"/>
        </w:rPr>
        <w:t>Resorpcija</w:t>
      </w:r>
    </w:p>
    <w:p w14:paraId="56F080DC" w14:textId="23B73B1D" w:rsidR="00B80ED6" w:rsidRPr="00B80ED6" w:rsidRDefault="00B80ED6" w:rsidP="00AB1FCF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lang w:val="sr-Latn-CS"/>
        </w:rPr>
      </w:pPr>
      <w:r w:rsidRPr="00B80ED6">
        <w:rPr>
          <w:sz w:val="22"/>
          <w:szCs w:val="22"/>
          <w:lang w:val="sr-Latn-CS"/>
        </w:rPr>
        <w:t>Posl</w:t>
      </w:r>
      <w:r w:rsidR="002455BC">
        <w:rPr>
          <w:sz w:val="22"/>
          <w:szCs w:val="22"/>
          <w:lang w:val="sr-Latn-CS"/>
        </w:rPr>
        <w:t>ij</w:t>
      </w:r>
      <w:r w:rsidRPr="00B80ED6">
        <w:rPr>
          <w:sz w:val="22"/>
          <w:szCs w:val="22"/>
          <w:lang w:val="sr-Latn-CS"/>
        </w:rPr>
        <w:t xml:space="preserve">e oralne </w:t>
      </w:r>
      <w:r w:rsidR="00136F13">
        <w:rPr>
          <w:sz w:val="22"/>
          <w:szCs w:val="22"/>
          <w:lang w:val="sr-Latn-CS"/>
        </w:rPr>
        <w:t>primjene</w:t>
      </w:r>
      <w:r w:rsidRPr="00B80ED6">
        <w:rPr>
          <w:sz w:val="22"/>
          <w:szCs w:val="22"/>
          <w:lang w:val="sr-Latn-CS"/>
        </w:rPr>
        <w:t xml:space="preserve"> ramipril se brzo resorbuje iz digestivnog trakta: maksimalne  koncentracije ramiprila u plazmi se postižu u okviru jednog časa od </w:t>
      </w:r>
      <w:r w:rsidR="00136F13">
        <w:rPr>
          <w:sz w:val="22"/>
          <w:szCs w:val="22"/>
          <w:lang w:val="sr-Latn-CS"/>
        </w:rPr>
        <w:t>primjene</w:t>
      </w:r>
      <w:r w:rsidRPr="00B80ED6">
        <w:rPr>
          <w:sz w:val="22"/>
          <w:szCs w:val="22"/>
          <w:lang w:val="sr-Latn-CS"/>
        </w:rPr>
        <w:t>. Na osnovu urinarne ekskrecije može se zaključiti da je obim resorpcije najmanje 56% i da na nju značajno ne utiče prisustvo hrane u gastrointestinalnom traktu. Bioraspoloživost aktivnog metabolita ramiprilata posl</w:t>
      </w:r>
      <w:r w:rsidR="002455BC">
        <w:rPr>
          <w:sz w:val="22"/>
          <w:szCs w:val="22"/>
          <w:lang w:val="sr-Latn-CS"/>
        </w:rPr>
        <w:t>ij</w:t>
      </w:r>
      <w:r w:rsidRPr="00B80ED6">
        <w:rPr>
          <w:sz w:val="22"/>
          <w:szCs w:val="22"/>
          <w:lang w:val="sr-Latn-CS"/>
        </w:rPr>
        <w:t xml:space="preserve">e oralne </w:t>
      </w:r>
      <w:r w:rsidR="00136F13">
        <w:rPr>
          <w:sz w:val="22"/>
          <w:szCs w:val="22"/>
          <w:lang w:val="sr-Latn-CS"/>
        </w:rPr>
        <w:t>primjene</w:t>
      </w:r>
      <w:r w:rsidRPr="00B80ED6">
        <w:rPr>
          <w:sz w:val="22"/>
          <w:szCs w:val="22"/>
          <w:lang w:val="sr-Latn-CS"/>
        </w:rPr>
        <w:t xml:space="preserve"> 2,5 mg i 5 mg  je 45%.</w:t>
      </w:r>
    </w:p>
    <w:p w14:paraId="638C580E" w14:textId="7C773083" w:rsidR="00B80ED6" w:rsidRDefault="00B80ED6" w:rsidP="00AB1FCF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lang w:val="sr-Latn-CS"/>
        </w:rPr>
      </w:pPr>
      <w:r w:rsidRPr="00B80ED6">
        <w:rPr>
          <w:sz w:val="22"/>
          <w:szCs w:val="22"/>
          <w:lang w:val="sr-Latn-CS"/>
        </w:rPr>
        <w:t>Maksimalna  koncentracija ramiprilata, jedinog aktivnog metabolita ramiprila, u plazmi se postižu za 2-4 časa nakon unošenja ramiprila. Stanje dinamičke ravnoteže za koncentraciju ramiprilata u plazmi, nakon  doziranja uobičajenim dozama ramiprila jednom dnevno, postiže se oko četvrtog dana l</w:t>
      </w:r>
      <w:r w:rsidR="002455BC">
        <w:rPr>
          <w:sz w:val="22"/>
          <w:szCs w:val="22"/>
          <w:lang w:val="sr-Latn-CS"/>
        </w:rPr>
        <w:t>ij</w:t>
      </w:r>
      <w:r w:rsidRPr="00B80ED6">
        <w:rPr>
          <w:sz w:val="22"/>
          <w:szCs w:val="22"/>
          <w:lang w:val="sr-Latn-CS"/>
        </w:rPr>
        <w:t>ečenja.</w:t>
      </w:r>
    </w:p>
    <w:p w14:paraId="038D02F6" w14:textId="77777777" w:rsidR="002455BC" w:rsidRPr="00B80ED6" w:rsidRDefault="002455BC" w:rsidP="00AB1FCF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lang w:val="sr-Latn-CS"/>
        </w:rPr>
      </w:pPr>
    </w:p>
    <w:p w14:paraId="1A1AECA7" w14:textId="77777777" w:rsidR="00B80ED6" w:rsidRPr="00B80ED6" w:rsidRDefault="00B80ED6" w:rsidP="00AB1FCF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u w:val="single"/>
          <w:lang w:val="sr-Latn-CS"/>
        </w:rPr>
      </w:pPr>
      <w:r w:rsidRPr="00B80ED6">
        <w:rPr>
          <w:sz w:val="22"/>
          <w:szCs w:val="22"/>
          <w:u w:val="single"/>
          <w:lang w:val="sr-Latn-CS"/>
        </w:rPr>
        <w:t>Distribucija</w:t>
      </w:r>
    </w:p>
    <w:p w14:paraId="15F574CC" w14:textId="120A018A" w:rsidR="00B80ED6" w:rsidRDefault="00B80ED6" w:rsidP="00AB1FCF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lang w:val="sr-Latn-CS"/>
        </w:rPr>
      </w:pPr>
      <w:r w:rsidRPr="00B80ED6">
        <w:rPr>
          <w:sz w:val="22"/>
          <w:szCs w:val="22"/>
          <w:lang w:val="sr-Latn-CS"/>
        </w:rPr>
        <w:t>73% ramiprila se vezuje za proteine plazme od čega je 56%  u obliku ramiprilata.</w:t>
      </w:r>
    </w:p>
    <w:p w14:paraId="24E9CA00" w14:textId="77777777" w:rsidR="002455BC" w:rsidRPr="00B80ED6" w:rsidRDefault="002455BC" w:rsidP="00AB1FCF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lang w:val="sr-Latn-CS"/>
        </w:rPr>
      </w:pPr>
    </w:p>
    <w:p w14:paraId="048E7D72" w14:textId="77777777" w:rsidR="00B80ED6" w:rsidRPr="00B80ED6" w:rsidRDefault="00B80ED6" w:rsidP="00AB1FCF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u w:val="single"/>
          <w:lang w:val="sr-Latn-CS"/>
        </w:rPr>
      </w:pPr>
      <w:r w:rsidRPr="00B80ED6">
        <w:rPr>
          <w:sz w:val="22"/>
          <w:szCs w:val="22"/>
          <w:u w:val="single"/>
          <w:lang w:val="sr-Latn-CS"/>
        </w:rPr>
        <w:t>Biotransformacija</w:t>
      </w:r>
    </w:p>
    <w:p w14:paraId="696F2EE4" w14:textId="1C4C0968" w:rsidR="00B80ED6" w:rsidRDefault="00B80ED6" w:rsidP="00AB1FCF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lang w:val="sr-Latn-CS"/>
        </w:rPr>
      </w:pPr>
      <w:r w:rsidRPr="00B80ED6">
        <w:rPr>
          <w:sz w:val="22"/>
          <w:szCs w:val="22"/>
          <w:lang w:val="sr-Latn-CS"/>
        </w:rPr>
        <w:t>Ramipril se skoro u potpunosti metaboliše u ramiprilat, i u inaktivni diketopiperazin estar, diketopiperazinsku kiselinu i glukuronide ramiprila i ramiprilata.</w:t>
      </w:r>
    </w:p>
    <w:p w14:paraId="2C119B99" w14:textId="77777777" w:rsidR="002455BC" w:rsidRPr="00B80ED6" w:rsidRDefault="002455BC" w:rsidP="00AB1FCF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lang w:val="sr-Latn-CS"/>
        </w:rPr>
      </w:pPr>
    </w:p>
    <w:p w14:paraId="6966CEAC" w14:textId="77777777" w:rsidR="00B80ED6" w:rsidRPr="00B80ED6" w:rsidRDefault="00B80ED6" w:rsidP="00AB1FCF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u w:val="single"/>
          <w:lang w:val="sr-Latn-CS"/>
        </w:rPr>
      </w:pPr>
      <w:r w:rsidRPr="00B80ED6">
        <w:rPr>
          <w:sz w:val="22"/>
          <w:szCs w:val="22"/>
          <w:u w:val="single"/>
          <w:lang w:val="sr-Latn-CS"/>
        </w:rPr>
        <w:t>Eliminacija</w:t>
      </w:r>
    </w:p>
    <w:p w14:paraId="28138144" w14:textId="77777777" w:rsidR="00B80ED6" w:rsidRPr="00B80ED6" w:rsidRDefault="00B80ED6" w:rsidP="00AB1FCF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lang w:val="sr-Latn-CS"/>
        </w:rPr>
      </w:pPr>
      <w:r w:rsidRPr="00B80ED6">
        <w:rPr>
          <w:sz w:val="22"/>
          <w:szCs w:val="22"/>
          <w:lang w:val="sr-Latn-CS"/>
        </w:rPr>
        <w:t>Izlučivanje metabolita primarno se vrši putem bubrega.</w:t>
      </w:r>
    </w:p>
    <w:p w14:paraId="0F52CCF2" w14:textId="77777777" w:rsidR="00B80ED6" w:rsidRPr="00B80ED6" w:rsidRDefault="00B80ED6" w:rsidP="00AB1FCF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lang w:val="sr-Latn-CS"/>
        </w:rPr>
      </w:pPr>
      <w:r w:rsidRPr="00B80ED6">
        <w:rPr>
          <w:sz w:val="22"/>
          <w:szCs w:val="22"/>
          <w:lang w:val="sr-Latn-CS"/>
        </w:rPr>
        <w:lastRenderedPageBreak/>
        <w:t xml:space="preserve">Koncentracija ramiprilata u plazmi smanjuje se polifazno. Zbog njegovog snažnog saturabilnog vezivanja za angiotenzin konvertujući enzim (ACE) i zbog spore disocijacije sa enzima, ramiprilat pokazuje produženu fazu terminalne eliminacije pri veoma malim koncentracijama u plazmi. </w:t>
      </w:r>
    </w:p>
    <w:p w14:paraId="768D1F13" w14:textId="570B102C" w:rsidR="00B80ED6" w:rsidRPr="00B80ED6" w:rsidRDefault="00B80ED6" w:rsidP="00AB1FCF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lang w:val="sr-Latn-CS"/>
        </w:rPr>
      </w:pPr>
      <w:r w:rsidRPr="00B80ED6">
        <w:rPr>
          <w:sz w:val="22"/>
          <w:szCs w:val="22"/>
          <w:lang w:val="sr-Latn-CS"/>
        </w:rPr>
        <w:t xml:space="preserve">Nakon ponovljennih jednodnevnih doza ramiprila, efektivni </w:t>
      </w:r>
      <w:r w:rsidR="002455BC" w:rsidRPr="00B80ED6">
        <w:rPr>
          <w:sz w:val="22"/>
          <w:szCs w:val="22"/>
          <w:lang w:val="sr-Latn-CS"/>
        </w:rPr>
        <w:t>polu</w:t>
      </w:r>
      <w:r w:rsidR="002455BC">
        <w:rPr>
          <w:sz w:val="22"/>
          <w:szCs w:val="22"/>
          <w:lang w:val="sr-Latn-CS"/>
        </w:rPr>
        <w:t>vijek eliminacije</w:t>
      </w:r>
      <w:r w:rsidR="002455BC" w:rsidRPr="00B80ED6">
        <w:rPr>
          <w:sz w:val="22"/>
          <w:szCs w:val="22"/>
          <w:lang w:val="sr-Latn-CS"/>
        </w:rPr>
        <w:t xml:space="preserve"> </w:t>
      </w:r>
      <w:r w:rsidRPr="00B80ED6">
        <w:rPr>
          <w:sz w:val="22"/>
          <w:szCs w:val="22"/>
          <w:lang w:val="sr-Latn-CS"/>
        </w:rPr>
        <w:t xml:space="preserve">ramiprilata bio je 13 - 17 časova za doze 5 - 10 mg ramiprila i značajno duže pri </w:t>
      </w:r>
      <w:r w:rsidR="00136F13">
        <w:rPr>
          <w:sz w:val="22"/>
          <w:szCs w:val="22"/>
          <w:lang w:val="sr-Latn-CS"/>
        </w:rPr>
        <w:t>primjeni</w:t>
      </w:r>
      <w:r w:rsidRPr="00B80ED6">
        <w:rPr>
          <w:sz w:val="22"/>
          <w:szCs w:val="22"/>
          <w:lang w:val="sr-Latn-CS"/>
        </w:rPr>
        <w:t xml:space="preserve"> nižih doza od 1,25 - 2,5 mg ramiprila. Ova razlika je povezana sa saturabilnog kapaciteta enzima za vezivanje ramiprilata.</w:t>
      </w:r>
    </w:p>
    <w:p w14:paraId="1EEE20D4" w14:textId="58923417" w:rsidR="00B80ED6" w:rsidRPr="00B80ED6" w:rsidRDefault="00B80ED6" w:rsidP="00AB1FCF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lang w:val="sr-Latn-CS"/>
        </w:rPr>
      </w:pPr>
      <w:r w:rsidRPr="00B80ED6">
        <w:rPr>
          <w:sz w:val="22"/>
          <w:szCs w:val="22"/>
          <w:lang w:val="sr-Latn-CS"/>
        </w:rPr>
        <w:t>Posl</w:t>
      </w:r>
      <w:r w:rsidR="00136F13">
        <w:rPr>
          <w:sz w:val="22"/>
          <w:szCs w:val="22"/>
          <w:lang w:val="sr-Latn-CS"/>
        </w:rPr>
        <w:t>ij</w:t>
      </w:r>
      <w:r w:rsidRPr="00B80ED6">
        <w:rPr>
          <w:sz w:val="22"/>
          <w:szCs w:val="22"/>
          <w:lang w:val="sr-Latn-CS"/>
        </w:rPr>
        <w:t xml:space="preserve">e </w:t>
      </w:r>
      <w:r w:rsidR="00136F13">
        <w:rPr>
          <w:sz w:val="22"/>
          <w:szCs w:val="22"/>
          <w:lang w:val="sr-Latn-CS"/>
        </w:rPr>
        <w:t>primjene</w:t>
      </w:r>
      <w:r w:rsidRPr="00B80ED6">
        <w:rPr>
          <w:sz w:val="22"/>
          <w:szCs w:val="22"/>
          <w:lang w:val="sr-Latn-CS"/>
        </w:rPr>
        <w:t xml:space="preserve"> pojedinačne oralne doze, koncentracija ramiprila i njegovih metabolita u m</w:t>
      </w:r>
      <w:r w:rsidR="00136F13">
        <w:rPr>
          <w:sz w:val="22"/>
          <w:szCs w:val="22"/>
          <w:lang w:val="sr-Latn-CS"/>
        </w:rPr>
        <w:t>lijek</w:t>
      </w:r>
      <w:r w:rsidRPr="00B80ED6">
        <w:rPr>
          <w:sz w:val="22"/>
          <w:szCs w:val="22"/>
          <w:lang w:val="sr-Latn-CS"/>
        </w:rPr>
        <w:t>u je ispod nivoa detekcije. Međutim, efekat ponovljenih doza nije poznat.</w:t>
      </w:r>
    </w:p>
    <w:p w14:paraId="306E217C" w14:textId="5E785048" w:rsidR="00B80ED6" w:rsidRPr="00B80ED6" w:rsidRDefault="00B80ED6" w:rsidP="00AB1FCF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lang w:val="sr-Latn-CS"/>
        </w:rPr>
      </w:pPr>
      <w:r w:rsidRPr="00B80ED6">
        <w:rPr>
          <w:sz w:val="22"/>
          <w:szCs w:val="22"/>
          <w:lang w:val="sr-Latn-CS"/>
        </w:rPr>
        <w:t>Pacijenti sa oštećenom funkcijom bubrega (</w:t>
      </w:r>
      <w:r w:rsidR="002455BC">
        <w:rPr>
          <w:sz w:val="22"/>
          <w:szCs w:val="22"/>
          <w:lang w:val="sr-Latn-CS"/>
        </w:rPr>
        <w:t xml:space="preserve">vidjeti </w:t>
      </w:r>
      <w:r w:rsidR="00136F13">
        <w:rPr>
          <w:sz w:val="22"/>
          <w:szCs w:val="22"/>
          <w:lang w:val="sr-Latn-CS"/>
        </w:rPr>
        <w:t>dio</w:t>
      </w:r>
      <w:r w:rsidRPr="00B80ED6">
        <w:rPr>
          <w:sz w:val="22"/>
          <w:szCs w:val="22"/>
          <w:lang w:val="sr-Latn-CS"/>
        </w:rPr>
        <w:t xml:space="preserve"> 4.2)</w:t>
      </w:r>
    </w:p>
    <w:p w14:paraId="0C075BEE" w14:textId="6498F27F" w:rsidR="00B80ED6" w:rsidRDefault="00B80ED6" w:rsidP="00AD79F0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lang w:val="sr-Latn-CS"/>
        </w:rPr>
      </w:pPr>
      <w:r w:rsidRPr="00B80ED6">
        <w:rPr>
          <w:sz w:val="22"/>
          <w:szCs w:val="22"/>
          <w:lang w:val="sr-Latn-CS"/>
        </w:rPr>
        <w:t>Izlučivanje ramiprilata putem bubrega je smanjeno kod pacijenata sa oštećenom funkcijom bubrega, a renalni klirens ramiprilata je proporcionalan klirensu kreatinina. Posl</w:t>
      </w:r>
      <w:r w:rsidR="002455BC">
        <w:rPr>
          <w:sz w:val="22"/>
          <w:szCs w:val="22"/>
          <w:lang w:val="sr-Latn-CS"/>
        </w:rPr>
        <w:t>j</w:t>
      </w:r>
      <w:r w:rsidRPr="00B80ED6">
        <w:rPr>
          <w:sz w:val="22"/>
          <w:szCs w:val="22"/>
          <w:lang w:val="sr-Latn-CS"/>
        </w:rPr>
        <w:t>edica ovoga su povišene koncentracije ramiprilata u plazmi, koje opadaju sporije nego kod pacijenata sa normalnom renalnom funkcijom.</w:t>
      </w:r>
    </w:p>
    <w:p w14:paraId="0CEC383B" w14:textId="77777777" w:rsidR="002455BC" w:rsidRPr="00B80ED6" w:rsidRDefault="002455BC" w:rsidP="00AD79F0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lang w:val="sr-Latn-CS"/>
        </w:rPr>
      </w:pPr>
    </w:p>
    <w:p w14:paraId="115E70B0" w14:textId="48ACD45D" w:rsidR="00B80ED6" w:rsidRPr="00AB1FCF" w:rsidRDefault="00B80ED6" w:rsidP="00AB1FCF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u w:val="single"/>
          <w:lang w:val="sr-Latn-CS"/>
        </w:rPr>
      </w:pPr>
      <w:r w:rsidRPr="00AB1FCF">
        <w:rPr>
          <w:sz w:val="22"/>
          <w:szCs w:val="22"/>
          <w:u w:val="single"/>
          <w:lang w:val="sr-Latn-CS"/>
        </w:rPr>
        <w:t>Pacijenti sa oštećenom funkcijom jetre (</w:t>
      </w:r>
      <w:r w:rsidR="002455BC">
        <w:rPr>
          <w:sz w:val="22"/>
          <w:szCs w:val="22"/>
          <w:u w:val="single"/>
          <w:lang w:val="sr-Latn-CS"/>
        </w:rPr>
        <w:t xml:space="preserve">vidjeti </w:t>
      </w:r>
      <w:r w:rsidR="00136F13" w:rsidRPr="00AB1FCF">
        <w:rPr>
          <w:sz w:val="22"/>
          <w:szCs w:val="22"/>
          <w:u w:val="single"/>
          <w:lang w:val="sr-Latn-CS"/>
        </w:rPr>
        <w:t>dio</w:t>
      </w:r>
      <w:r w:rsidRPr="00AB1FCF">
        <w:rPr>
          <w:sz w:val="22"/>
          <w:szCs w:val="22"/>
          <w:u w:val="single"/>
          <w:lang w:val="sr-Latn-CS"/>
        </w:rPr>
        <w:t xml:space="preserve"> 4.2)</w:t>
      </w:r>
    </w:p>
    <w:p w14:paraId="6F15BE64" w14:textId="01546638" w:rsidR="00B80ED6" w:rsidRDefault="00B80ED6" w:rsidP="00AB1FCF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lang w:val="sr-Latn-CS"/>
        </w:rPr>
      </w:pPr>
      <w:r w:rsidRPr="00B80ED6">
        <w:rPr>
          <w:sz w:val="22"/>
          <w:szCs w:val="22"/>
          <w:lang w:val="sr-Latn-CS"/>
        </w:rPr>
        <w:t>Kod pacijenata sa oštećenom funkcijom jetre metabolizam ramiprila do ramiprilata je odložen usl</w:t>
      </w:r>
      <w:r w:rsidR="002455BC">
        <w:rPr>
          <w:sz w:val="22"/>
          <w:szCs w:val="22"/>
          <w:lang w:val="sr-Latn-CS"/>
        </w:rPr>
        <w:t>j</w:t>
      </w:r>
      <w:r w:rsidRPr="00B80ED6">
        <w:rPr>
          <w:sz w:val="22"/>
          <w:szCs w:val="22"/>
          <w:lang w:val="sr-Latn-CS"/>
        </w:rPr>
        <w:t>ed smanjene aktivnosti hepatičnih esteraza, pa je koncentracija ramiprila u plazmi kod ovih pacijenata povećana. Maksimalna koncentracija ramiprilata u krvi kod ovih pacijenata se, međutim, ne razlikuje od koncentracije kod pacijenata sa normalnom hepatičnom funkcijom.</w:t>
      </w:r>
    </w:p>
    <w:p w14:paraId="5DC264A5" w14:textId="77777777" w:rsidR="002455BC" w:rsidRPr="00B80ED6" w:rsidRDefault="002455BC" w:rsidP="00AB1FCF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lang w:val="sr-Latn-CS"/>
        </w:rPr>
      </w:pPr>
    </w:p>
    <w:p w14:paraId="3035F3D9" w14:textId="77777777" w:rsidR="00B80ED6" w:rsidRPr="00B80ED6" w:rsidRDefault="00B80ED6" w:rsidP="00AB1FCF">
      <w:pPr>
        <w:tabs>
          <w:tab w:val="left" w:pos="570"/>
          <w:tab w:val="center" w:pos="4536"/>
          <w:tab w:val="right" w:pos="9072"/>
        </w:tabs>
        <w:jc w:val="both"/>
        <w:rPr>
          <w:i/>
          <w:sz w:val="22"/>
          <w:szCs w:val="22"/>
          <w:u w:val="single"/>
          <w:lang w:val="sr-Latn-CS"/>
        </w:rPr>
      </w:pPr>
      <w:r w:rsidRPr="00B80ED6">
        <w:rPr>
          <w:i/>
          <w:sz w:val="22"/>
          <w:szCs w:val="22"/>
          <w:u w:val="single"/>
          <w:lang w:val="sr-Latn-CS"/>
        </w:rPr>
        <w:t>Dojenje</w:t>
      </w:r>
    </w:p>
    <w:p w14:paraId="20D88681" w14:textId="4DF7AE1D" w:rsidR="00B80ED6" w:rsidRDefault="00136F13" w:rsidP="00AB1FCF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Primjena</w:t>
      </w:r>
      <w:r w:rsidR="00B80ED6" w:rsidRPr="00B80ED6">
        <w:rPr>
          <w:sz w:val="22"/>
          <w:szCs w:val="22"/>
          <w:lang w:val="sr-Latn-CS"/>
        </w:rPr>
        <w:t xml:space="preserve"> pojedinačne oralne doze ramiprila, nije dovela do detektabilnog nivoa ramiprila i njegovih metabolita u majčinom m</w:t>
      </w:r>
      <w:r>
        <w:rPr>
          <w:sz w:val="22"/>
          <w:szCs w:val="22"/>
          <w:lang w:val="sr-Latn-CS"/>
        </w:rPr>
        <w:t>lijek</w:t>
      </w:r>
      <w:r w:rsidR="00B80ED6" w:rsidRPr="00B80ED6">
        <w:rPr>
          <w:sz w:val="22"/>
          <w:szCs w:val="22"/>
          <w:lang w:val="sr-Latn-CS"/>
        </w:rPr>
        <w:t>u.</w:t>
      </w:r>
      <w:r w:rsidR="002455BC">
        <w:rPr>
          <w:sz w:val="22"/>
          <w:szCs w:val="22"/>
          <w:lang w:val="sr-Latn-CS"/>
        </w:rPr>
        <w:t xml:space="preserve"> </w:t>
      </w:r>
      <w:r w:rsidR="00B80ED6" w:rsidRPr="00B80ED6">
        <w:rPr>
          <w:sz w:val="22"/>
          <w:szCs w:val="22"/>
          <w:lang w:val="sr-Latn-CS"/>
        </w:rPr>
        <w:t>Međutim, dejstvo višestrukih doza nije poznato.</w:t>
      </w:r>
    </w:p>
    <w:p w14:paraId="1FA8097B" w14:textId="77777777" w:rsidR="002455BC" w:rsidRPr="00B80ED6" w:rsidRDefault="002455BC" w:rsidP="00AB1FCF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lang w:val="sr-Latn-CS"/>
        </w:rPr>
      </w:pPr>
    </w:p>
    <w:p w14:paraId="2DACBEF5" w14:textId="77777777" w:rsidR="00B80ED6" w:rsidRPr="00B80ED6" w:rsidRDefault="00B80ED6" w:rsidP="00AB1FCF">
      <w:pPr>
        <w:tabs>
          <w:tab w:val="left" w:pos="570"/>
          <w:tab w:val="center" w:pos="4536"/>
          <w:tab w:val="right" w:pos="9072"/>
        </w:tabs>
        <w:jc w:val="both"/>
        <w:rPr>
          <w:i/>
          <w:sz w:val="22"/>
          <w:szCs w:val="22"/>
          <w:u w:val="single"/>
          <w:lang w:val="sr-Latn-CS"/>
        </w:rPr>
      </w:pPr>
      <w:r w:rsidRPr="00B80ED6">
        <w:rPr>
          <w:i/>
          <w:sz w:val="22"/>
          <w:szCs w:val="22"/>
          <w:u w:val="single"/>
          <w:lang w:val="sr-Latn-CS"/>
        </w:rPr>
        <w:t>Pedijatrijska populacija</w:t>
      </w:r>
    </w:p>
    <w:p w14:paraId="57268A67" w14:textId="7BE834B2" w:rsidR="00B80ED6" w:rsidRPr="00B80ED6" w:rsidRDefault="00B80ED6" w:rsidP="00AB1FCF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lang w:val="sr-Latn-CS"/>
        </w:rPr>
      </w:pPr>
      <w:r w:rsidRPr="00B80ED6">
        <w:rPr>
          <w:sz w:val="22"/>
          <w:szCs w:val="22"/>
          <w:lang w:val="sr-Latn-CS"/>
        </w:rPr>
        <w:t>Farmakokinetički profil ramiprila ispitivan je kod 30 pedijatrijskih pacijenata sa hipertenzijom, uzrasta 2 do 16 godina, t</w:t>
      </w:r>
      <w:r w:rsidR="002455BC">
        <w:rPr>
          <w:sz w:val="22"/>
          <w:szCs w:val="22"/>
          <w:lang w:val="sr-Latn-CS"/>
        </w:rPr>
        <w:t>j</w:t>
      </w:r>
      <w:r w:rsidRPr="00B80ED6">
        <w:rPr>
          <w:sz w:val="22"/>
          <w:szCs w:val="22"/>
          <w:lang w:val="sr-Latn-CS"/>
        </w:rPr>
        <w:t xml:space="preserve">elesne mase ≥ 10 kg. Nakon </w:t>
      </w:r>
      <w:r w:rsidR="00136F13">
        <w:rPr>
          <w:sz w:val="22"/>
          <w:szCs w:val="22"/>
          <w:lang w:val="sr-Latn-CS"/>
        </w:rPr>
        <w:t>primjene</w:t>
      </w:r>
      <w:r w:rsidRPr="00B80ED6">
        <w:rPr>
          <w:sz w:val="22"/>
          <w:szCs w:val="22"/>
          <w:lang w:val="sr-Latn-CS"/>
        </w:rPr>
        <w:t xml:space="preserve"> doza od 0,05 do 0,2 mg/kg ramipril se brzo i ekstenzivno metabolisao u ramiprilat. Maksimalne koncentracije ramiprilata u plazmi postignute su u roku od 2 – 3 sata. </w:t>
      </w:r>
    </w:p>
    <w:p w14:paraId="7C98839B" w14:textId="54E5862D" w:rsidR="00B80ED6" w:rsidRPr="00B80ED6" w:rsidRDefault="00B80ED6" w:rsidP="00AD79F0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B80ED6">
        <w:rPr>
          <w:sz w:val="22"/>
          <w:szCs w:val="22"/>
          <w:lang w:val="sr-Latn-CS"/>
        </w:rPr>
        <w:t>Klirens ramiprila bio je u visokoj korelaciji sa logaritmom t</w:t>
      </w:r>
      <w:r w:rsidR="00460220">
        <w:rPr>
          <w:sz w:val="22"/>
          <w:szCs w:val="22"/>
          <w:lang w:val="sr-Latn-CS"/>
        </w:rPr>
        <w:t>j</w:t>
      </w:r>
      <w:r w:rsidRPr="00B80ED6">
        <w:rPr>
          <w:sz w:val="22"/>
          <w:szCs w:val="22"/>
          <w:lang w:val="sr-Latn-CS"/>
        </w:rPr>
        <w:t>elesne mase (p&lt;0,01) kao i dozom (p&lt;</w:t>
      </w:r>
      <w:r w:rsidR="002455BC">
        <w:rPr>
          <w:sz w:val="22"/>
          <w:szCs w:val="22"/>
          <w:lang w:val="sr-Latn-CS"/>
        </w:rPr>
        <w:t xml:space="preserve"> </w:t>
      </w:r>
      <w:r w:rsidRPr="00B80ED6">
        <w:rPr>
          <w:sz w:val="22"/>
          <w:szCs w:val="22"/>
          <w:lang w:val="sr-Latn-CS"/>
        </w:rPr>
        <w:t>0,001). Vr</w:t>
      </w:r>
      <w:r w:rsidR="00136F13">
        <w:rPr>
          <w:sz w:val="22"/>
          <w:szCs w:val="22"/>
          <w:lang w:val="sr-Latn-CS"/>
        </w:rPr>
        <w:t>ij</w:t>
      </w:r>
      <w:r w:rsidRPr="00B80ED6">
        <w:rPr>
          <w:sz w:val="22"/>
          <w:szCs w:val="22"/>
          <w:lang w:val="sr-Latn-CS"/>
        </w:rPr>
        <w:t>ednost klirensa i volumen distribucije povećavali su se uzrastom d</w:t>
      </w:r>
      <w:r w:rsidR="00136F13">
        <w:rPr>
          <w:sz w:val="22"/>
          <w:szCs w:val="22"/>
          <w:lang w:val="sr-Latn-CS"/>
        </w:rPr>
        <w:t>j</w:t>
      </w:r>
      <w:r w:rsidRPr="00B80ED6">
        <w:rPr>
          <w:sz w:val="22"/>
          <w:szCs w:val="22"/>
          <w:lang w:val="sr-Latn-CS"/>
        </w:rPr>
        <w:t>ece za svaku doznu grupu. Doza od 0,05 mg/kg kod d</w:t>
      </w:r>
      <w:r w:rsidR="00136F13">
        <w:rPr>
          <w:sz w:val="22"/>
          <w:szCs w:val="22"/>
          <w:lang w:val="sr-Latn-CS"/>
        </w:rPr>
        <w:t>j</w:t>
      </w:r>
      <w:r w:rsidRPr="00B80ED6">
        <w:rPr>
          <w:sz w:val="22"/>
          <w:szCs w:val="22"/>
          <w:lang w:val="sr-Latn-CS"/>
        </w:rPr>
        <w:t>ece dostigla je nivoe izloženosti koji su bili komparabilni sa nivoima kod odraslih posl</w:t>
      </w:r>
      <w:r w:rsidR="00136F13">
        <w:rPr>
          <w:sz w:val="22"/>
          <w:szCs w:val="22"/>
          <w:lang w:val="sr-Latn-CS"/>
        </w:rPr>
        <w:t>ij</w:t>
      </w:r>
      <w:r w:rsidRPr="00B80ED6">
        <w:rPr>
          <w:sz w:val="22"/>
          <w:szCs w:val="22"/>
          <w:lang w:val="sr-Latn-CS"/>
        </w:rPr>
        <w:t xml:space="preserve">e </w:t>
      </w:r>
      <w:r w:rsidR="00136F13">
        <w:rPr>
          <w:sz w:val="22"/>
          <w:szCs w:val="22"/>
          <w:lang w:val="sr-Latn-CS"/>
        </w:rPr>
        <w:t>primjene</w:t>
      </w:r>
      <w:r w:rsidRPr="00B80ED6">
        <w:rPr>
          <w:sz w:val="22"/>
          <w:szCs w:val="22"/>
          <w:lang w:val="sr-Latn-CS"/>
        </w:rPr>
        <w:t xml:space="preserve"> ramiprila u dozi od 5 mg. </w:t>
      </w:r>
      <w:r w:rsidR="00136F13">
        <w:rPr>
          <w:sz w:val="22"/>
          <w:szCs w:val="22"/>
          <w:lang w:val="sr-Latn-CS"/>
        </w:rPr>
        <w:t>Primjena</w:t>
      </w:r>
      <w:r w:rsidRPr="00B80ED6">
        <w:rPr>
          <w:sz w:val="22"/>
          <w:szCs w:val="22"/>
          <w:lang w:val="sr-Latn-CS"/>
        </w:rPr>
        <w:t xml:space="preserve"> doze od 0,2 mg/kg je kod d</w:t>
      </w:r>
      <w:r w:rsidR="00136F13">
        <w:rPr>
          <w:sz w:val="22"/>
          <w:szCs w:val="22"/>
          <w:lang w:val="sr-Latn-CS"/>
        </w:rPr>
        <w:t>j</w:t>
      </w:r>
      <w:r w:rsidRPr="00B80ED6">
        <w:rPr>
          <w:sz w:val="22"/>
          <w:szCs w:val="22"/>
          <w:lang w:val="sr-Latn-CS"/>
        </w:rPr>
        <w:t>ece dovela do nivoa izloženosti koji su bili više od maksimalne preporučene doze od 10 mg dnevno za odrasle.</w:t>
      </w:r>
    </w:p>
    <w:p w14:paraId="0EE4AFAF" w14:textId="131E59B5" w:rsidR="00B80ED6" w:rsidRDefault="00B80ED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2E2B782A" w14:textId="77777777" w:rsidR="0072020E" w:rsidRPr="004F24BB" w:rsidRDefault="0072020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4F24BB">
        <w:rPr>
          <w:b/>
          <w:bCs/>
          <w:sz w:val="22"/>
          <w:szCs w:val="22"/>
          <w:lang w:val="sr-Latn-CS"/>
        </w:rPr>
        <w:t xml:space="preserve">5.3. </w:t>
      </w:r>
      <w:r w:rsidR="00480FB1" w:rsidRPr="004F24BB">
        <w:rPr>
          <w:b/>
          <w:bCs/>
          <w:sz w:val="22"/>
          <w:szCs w:val="22"/>
          <w:lang w:val="sr-Latn-CS"/>
        </w:rPr>
        <w:tab/>
      </w:r>
      <w:r w:rsidRPr="00786071">
        <w:rPr>
          <w:b/>
          <w:bCs/>
          <w:sz w:val="22"/>
          <w:szCs w:val="22"/>
        </w:rPr>
        <w:t>Pretklini</w:t>
      </w:r>
      <w:r w:rsidRPr="004F24BB">
        <w:rPr>
          <w:b/>
          <w:bCs/>
          <w:sz w:val="22"/>
          <w:szCs w:val="22"/>
          <w:lang w:val="sr-Latn-CS"/>
        </w:rPr>
        <w:t>č</w:t>
      </w:r>
      <w:r w:rsidRPr="00786071">
        <w:rPr>
          <w:b/>
          <w:bCs/>
          <w:sz w:val="22"/>
          <w:szCs w:val="22"/>
        </w:rPr>
        <w:t>ki</w:t>
      </w:r>
      <w:r w:rsidRPr="004F24BB">
        <w:rPr>
          <w:b/>
          <w:bCs/>
          <w:sz w:val="22"/>
          <w:szCs w:val="22"/>
          <w:lang w:val="sr-Latn-CS"/>
        </w:rPr>
        <w:t xml:space="preserve"> </w:t>
      </w:r>
      <w:r w:rsidRPr="00786071">
        <w:rPr>
          <w:b/>
          <w:bCs/>
          <w:sz w:val="22"/>
          <w:szCs w:val="22"/>
        </w:rPr>
        <w:t>podaci</w:t>
      </w:r>
      <w:r w:rsidRPr="004F24BB">
        <w:rPr>
          <w:b/>
          <w:bCs/>
          <w:sz w:val="22"/>
          <w:szCs w:val="22"/>
          <w:lang w:val="sr-Latn-CS"/>
        </w:rPr>
        <w:t xml:space="preserve"> </w:t>
      </w:r>
      <w:r w:rsidRPr="00786071">
        <w:rPr>
          <w:b/>
          <w:bCs/>
          <w:sz w:val="22"/>
          <w:szCs w:val="22"/>
        </w:rPr>
        <w:t>o</w:t>
      </w:r>
      <w:r w:rsidRPr="004F24BB">
        <w:rPr>
          <w:b/>
          <w:bCs/>
          <w:sz w:val="22"/>
          <w:szCs w:val="22"/>
          <w:lang w:val="sr-Latn-CS"/>
        </w:rPr>
        <w:t xml:space="preserve"> </w:t>
      </w:r>
      <w:r w:rsidRPr="00786071">
        <w:rPr>
          <w:b/>
          <w:bCs/>
          <w:sz w:val="22"/>
          <w:szCs w:val="22"/>
        </w:rPr>
        <w:t>bezbjednosti</w:t>
      </w:r>
      <w:r w:rsidRPr="004F24BB">
        <w:rPr>
          <w:b/>
          <w:bCs/>
          <w:sz w:val="22"/>
          <w:szCs w:val="22"/>
          <w:lang w:val="sr-Latn-CS"/>
        </w:rPr>
        <w:t xml:space="preserve"> </w:t>
      </w:r>
    </w:p>
    <w:p w14:paraId="2E2B782B" w14:textId="01B0DDAD" w:rsidR="00836B35" w:rsidRPr="004F24BB" w:rsidRDefault="00836B35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7F626BB2" w14:textId="6434EEEC" w:rsidR="00CF7FC5" w:rsidRPr="00CF7FC5" w:rsidRDefault="00CF7FC5" w:rsidP="00AB1FCF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lang w:val="pl-PL"/>
        </w:rPr>
      </w:pPr>
      <w:r w:rsidRPr="00CF7FC5">
        <w:rPr>
          <w:sz w:val="22"/>
          <w:szCs w:val="22"/>
          <w:lang w:val="pl-PL"/>
        </w:rPr>
        <w:t xml:space="preserve">Utvrđeno je da pri oralnoj </w:t>
      </w:r>
      <w:r w:rsidR="00136F13">
        <w:rPr>
          <w:sz w:val="22"/>
          <w:szCs w:val="22"/>
          <w:lang w:val="pl-PL"/>
        </w:rPr>
        <w:t>primjeni</w:t>
      </w:r>
      <w:r w:rsidRPr="00CF7FC5">
        <w:rPr>
          <w:sz w:val="22"/>
          <w:szCs w:val="22"/>
          <w:lang w:val="pl-PL"/>
        </w:rPr>
        <w:t xml:space="preserve"> ramipril ne izaziva akutnu toksičnost kod glodara i pasa. </w:t>
      </w:r>
    </w:p>
    <w:p w14:paraId="5ECC10BD" w14:textId="0E204F2E" w:rsidR="00CF7FC5" w:rsidRPr="00CF7FC5" w:rsidRDefault="00CF7FC5" w:rsidP="00AB1FCF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lang w:val="sr-Latn-CS"/>
        </w:rPr>
      </w:pPr>
      <w:r w:rsidRPr="00CF7FC5">
        <w:rPr>
          <w:sz w:val="22"/>
          <w:szCs w:val="22"/>
          <w:lang w:val="sr-Latn-CS"/>
        </w:rPr>
        <w:t xml:space="preserve">Sprovedene su studije hronične oralne </w:t>
      </w:r>
      <w:r w:rsidR="00136F13">
        <w:rPr>
          <w:sz w:val="22"/>
          <w:szCs w:val="22"/>
          <w:lang w:val="sr-Latn-CS"/>
        </w:rPr>
        <w:t>primjene</w:t>
      </w:r>
      <w:r w:rsidRPr="00CF7FC5">
        <w:rPr>
          <w:sz w:val="22"/>
          <w:szCs w:val="22"/>
          <w:lang w:val="sr-Latn-CS"/>
        </w:rPr>
        <w:t xml:space="preserve"> </w:t>
      </w:r>
      <w:r w:rsidR="00136F13">
        <w:rPr>
          <w:sz w:val="22"/>
          <w:szCs w:val="22"/>
          <w:lang w:val="sr-Latn-CS"/>
        </w:rPr>
        <w:t>lijek</w:t>
      </w:r>
      <w:r w:rsidRPr="00CF7FC5">
        <w:rPr>
          <w:sz w:val="22"/>
          <w:szCs w:val="22"/>
          <w:lang w:val="sr-Latn-CS"/>
        </w:rPr>
        <w:t>a na pacovima, psima i majmunima. Prom</w:t>
      </w:r>
      <w:r w:rsidR="00316717">
        <w:rPr>
          <w:sz w:val="22"/>
          <w:szCs w:val="22"/>
          <w:lang w:val="sr-Latn-CS"/>
        </w:rPr>
        <w:t>j</w:t>
      </w:r>
      <w:r w:rsidRPr="00CF7FC5">
        <w:rPr>
          <w:sz w:val="22"/>
          <w:szCs w:val="22"/>
          <w:lang w:val="sr-Latn-CS"/>
        </w:rPr>
        <w:t>ene nivoa e</w:t>
      </w:r>
      <w:r w:rsidR="00136F13">
        <w:rPr>
          <w:sz w:val="22"/>
          <w:szCs w:val="22"/>
          <w:lang w:val="sr-Latn-CS"/>
        </w:rPr>
        <w:t>lek</w:t>
      </w:r>
      <w:r w:rsidRPr="00CF7FC5">
        <w:rPr>
          <w:sz w:val="22"/>
          <w:szCs w:val="22"/>
          <w:lang w:val="sr-Latn-CS"/>
        </w:rPr>
        <w:t>trolita u plazmi i prom</w:t>
      </w:r>
      <w:r w:rsidR="00316717">
        <w:rPr>
          <w:sz w:val="22"/>
          <w:szCs w:val="22"/>
          <w:lang w:val="sr-Latn-CS"/>
        </w:rPr>
        <w:t>j</w:t>
      </w:r>
      <w:r w:rsidRPr="00CF7FC5">
        <w:rPr>
          <w:sz w:val="22"/>
          <w:szCs w:val="22"/>
          <w:lang w:val="sr-Latn-CS"/>
        </w:rPr>
        <w:t>ena krvne slike zab</w:t>
      </w:r>
      <w:r w:rsidR="002455BC">
        <w:rPr>
          <w:sz w:val="22"/>
          <w:szCs w:val="22"/>
          <w:lang w:val="sr-Latn-CS"/>
        </w:rPr>
        <w:t>i</w:t>
      </w:r>
      <w:r w:rsidRPr="00CF7FC5">
        <w:rPr>
          <w:sz w:val="22"/>
          <w:szCs w:val="22"/>
          <w:lang w:val="sr-Latn-CS"/>
        </w:rPr>
        <w:t>l</w:t>
      </w:r>
      <w:r w:rsidR="002455BC">
        <w:rPr>
          <w:sz w:val="22"/>
          <w:szCs w:val="22"/>
          <w:lang w:val="sr-Latn-CS"/>
        </w:rPr>
        <w:t>j</w:t>
      </w:r>
      <w:r w:rsidRPr="00CF7FC5">
        <w:rPr>
          <w:sz w:val="22"/>
          <w:szCs w:val="22"/>
          <w:lang w:val="sr-Latn-CS"/>
        </w:rPr>
        <w:t>ežene su kod 3 životinjske vrste.  Kao posl</w:t>
      </w:r>
      <w:r w:rsidR="002455BC">
        <w:rPr>
          <w:sz w:val="22"/>
          <w:szCs w:val="22"/>
          <w:lang w:val="sr-Latn-CS"/>
        </w:rPr>
        <w:t>j</w:t>
      </w:r>
      <w:r w:rsidRPr="00CF7FC5">
        <w:rPr>
          <w:sz w:val="22"/>
          <w:szCs w:val="22"/>
          <w:lang w:val="sr-Latn-CS"/>
        </w:rPr>
        <w:t>edica farmakodinamske aktivnosti ramiprila zab</w:t>
      </w:r>
      <w:r w:rsidR="00460220">
        <w:rPr>
          <w:sz w:val="22"/>
          <w:szCs w:val="22"/>
          <w:lang w:val="sr-Latn-CS"/>
        </w:rPr>
        <w:t>i</w:t>
      </w:r>
      <w:r w:rsidRPr="00CF7FC5">
        <w:rPr>
          <w:sz w:val="22"/>
          <w:szCs w:val="22"/>
          <w:lang w:val="sr-Latn-CS"/>
        </w:rPr>
        <w:t>l</w:t>
      </w:r>
      <w:r w:rsidR="00460220">
        <w:rPr>
          <w:sz w:val="22"/>
          <w:szCs w:val="22"/>
          <w:lang w:val="sr-Latn-CS"/>
        </w:rPr>
        <w:t>j</w:t>
      </w:r>
      <w:r w:rsidRPr="00CF7FC5">
        <w:rPr>
          <w:sz w:val="22"/>
          <w:szCs w:val="22"/>
          <w:lang w:val="sr-Latn-CS"/>
        </w:rPr>
        <w:t>eženo je izrazito uvećanj</w:t>
      </w:r>
      <w:r>
        <w:rPr>
          <w:sz w:val="22"/>
          <w:szCs w:val="22"/>
          <w:lang w:val="sr-Latn-CS"/>
        </w:rPr>
        <w:t>e</w:t>
      </w:r>
      <w:r w:rsidRPr="00CF7FC5">
        <w:rPr>
          <w:sz w:val="22"/>
          <w:szCs w:val="22"/>
          <w:lang w:val="sr-Latn-CS"/>
        </w:rPr>
        <w:t xml:space="preserve"> jukstaglomerularnog aparata kod pasa i majmuna pri dnevnim dozama od 250 mg/kg/dan. Pacovi, psi i majmuni tolerisali su dnevne doze od 2; 2,5 odnosno 8 mg/kg/dan, bez štetnih dejstava. </w:t>
      </w:r>
    </w:p>
    <w:p w14:paraId="55AB0830" w14:textId="28FA0A5A" w:rsidR="00CF7FC5" w:rsidRPr="00CF7FC5" w:rsidRDefault="00CF7FC5" w:rsidP="00AB1FCF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lang w:val="sr-Latn-CS"/>
        </w:rPr>
      </w:pPr>
      <w:r w:rsidRPr="00CF7FC5">
        <w:rPr>
          <w:sz w:val="22"/>
          <w:szCs w:val="22"/>
          <w:lang w:val="sr-Latn-CS"/>
        </w:rPr>
        <w:t>Ispitivanja reproduktivne toksičnosti ramiprila kod pacova, kunića i majmuna ni</w:t>
      </w:r>
      <w:r w:rsidR="002455BC">
        <w:rPr>
          <w:sz w:val="22"/>
          <w:szCs w:val="22"/>
          <w:lang w:val="sr-Latn-CS"/>
        </w:rPr>
        <w:t>je</w:t>
      </w:r>
      <w:r w:rsidRPr="00CF7FC5">
        <w:rPr>
          <w:sz w:val="22"/>
          <w:szCs w:val="22"/>
          <w:lang w:val="sr-Latn-CS"/>
        </w:rPr>
        <w:t xml:space="preserve">su utvrdila postojanje teratogenog dejstva </w:t>
      </w:r>
      <w:r w:rsidR="00136F13">
        <w:rPr>
          <w:sz w:val="22"/>
          <w:szCs w:val="22"/>
          <w:lang w:val="sr-Latn-CS"/>
        </w:rPr>
        <w:t>lijek</w:t>
      </w:r>
      <w:r w:rsidRPr="00CF7FC5">
        <w:rPr>
          <w:sz w:val="22"/>
          <w:szCs w:val="22"/>
          <w:lang w:val="sr-Latn-CS"/>
        </w:rPr>
        <w:t xml:space="preserve">a. </w:t>
      </w:r>
    </w:p>
    <w:p w14:paraId="1D65F800" w14:textId="77777777" w:rsidR="00CF7FC5" w:rsidRPr="00CF7FC5" w:rsidRDefault="00CF7FC5" w:rsidP="00AB1FCF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lang w:val="sr-Latn-CS"/>
        </w:rPr>
      </w:pPr>
      <w:r w:rsidRPr="00CF7FC5">
        <w:rPr>
          <w:sz w:val="22"/>
          <w:szCs w:val="22"/>
          <w:lang w:val="sr-Latn-CS"/>
        </w:rPr>
        <w:t>Plodnost nije bila oštećena ni kod mužjaka ni kod ženki pacova.</w:t>
      </w:r>
    </w:p>
    <w:p w14:paraId="6BE7D451" w14:textId="5D96EEC1" w:rsidR="00CF7FC5" w:rsidRPr="00CF7FC5" w:rsidRDefault="00136F13" w:rsidP="00AB1FCF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Primjena</w:t>
      </w:r>
      <w:r w:rsidR="00CF7FC5" w:rsidRPr="00CF7FC5">
        <w:rPr>
          <w:sz w:val="22"/>
          <w:szCs w:val="22"/>
          <w:lang w:val="sr-Latn-CS"/>
        </w:rPr>
        <w:t xml:space="preserve"> ramiprila kod ženki pacova tokom fetalnog perioda i tokom laktacije u dnevnim dozama od 50 mg/kg t</w:t>
      </w:r>
      <w:r w:rsidR="00316717">
        <w:rPr>
          <w:sz w:val="22"/>
          <w:szCs w:val="22"/>
          <w:lang w:val="sr-Latn-CS"/>
        </w:rPr>
        <w:t>j</w:t>
      </w:r>
      <w:r w:rsidR="00CF7FC5" w:rsidRPr="00CF7FC5">
        <w:rPr>
          <w:sz w:val="22"/>
          <w:szCs w:val="22"/>
          <w:lang w:val="sr-Latn-CS"/>
        </w:rPr>
        <w:t xml:space="preserve">elesne mase ili višim, dovodi do ireverzibilnog oštećenja bubrega (proširenje bubrežnih čašica) kod potomstva. </w:t>
      </w:r>
    </w:p>
    <w:p w14:paraId="37C909BC" w14:textId="77777777" w:rsidR="00CF7FC5" w:rsidRPr="00CF7FC5" w:rsidRDefault="00CF7FC5" w:rsidP="00AB1FCF">
      <w:pPr>
        <w:tabs>
          <w:tab w:val="left" w:pos="570"/>
          <w:tab w:val="center" w:pos="4536"/>
          <w:tab w:val="right" w:pos="9072"/>
        </w:tabs>
        <w:jc w:val="both"/>
        <w:rPr>
          <w:sz w:val="22"/>
          <w:szCs w:val="22"/>
          <w:lang w:val="sr-Latn-CS"/>
        </w:rPr>
      </w:pPr>
      <w:r w:rsidRPr="00CF7FC5">
        <w:rPr>
          <w:sz w:val="22"/>
          <w:szCs w:val="22"/>
          <w:lang w:val="sr-Latn-CS"/>
        </w:rPr>
        <w:t>Opsežno testiranje mutagenosti pomoću nekoliko sistema testiranja, nije pokazalo da ramipril ima mutagena i genotoksična svojstva.</w:t>
      </w:r>
    </w:p>
    <w:p w14:paraId="368730C3" w14:textId="77777777" w:rsidR="00CF7FC5" w:rsidRPr="00CF7FC5" w:rsidRDefault="00CF7FC5" w:rsidP="00AD79F0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7B667CE8" w14:textId="76AC927F" w:rsidR="00CF7FC5" w:rsidRPr="00CF7FC5" w:rsidRDefault="00CF7FC5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CF7FC5">
        <w:rPr>
          <w:sz w:val="22"/>
          <w:szCs w:val="22"/>
          <w:lang w:val="sr-Latn-CS"/>
        </w:rPr>
        <w:t>Ireverzibilno oš</w:t>
      </w:r>
      <w:r w:rsidRPr="00CF7FC5">
        <w:rPr>
          <w:sz w:val="22"/>
          <w:szCs w:val="22"/>
        </w:rPr>
        <w:t>te</w:t>
      </w:r>
      <w:r w:rsidRPr="00CF7FC5">
        <w:rPr>
          <w:sz w:val="22"/>
          <w:szCs w:val="22"/>
          <w:lang w:val="sr-Latn-CS"/>
        </w:rPr>
        <w:t>ć</w:t>
      </w:r>
      <w:r w:rsidRPr="00CF7FC5">
        <w:rPr>
          <w:sz w:val="22"/>
          <w:szCs w:val="22"/>
        </w:rPr>
        <w:t>enje</w:t>
      </w:r>
      <w:r w:rsidRPr="00CF7FC5">
        <w:rPr>
          <w:sz w:val="22"/>
          <w:szCs w:val="22"/>
          <w:lang w:val="sr-Latn-CS"/>
        </w:rPr>
        <w:t xml:space="preserve"> </w:t>
      </w:r>
      <w:r w:rsidRPr="00CF7FC5">
        <w:rPr>
          <w:sz w:val="22"/>
          <w:szCs w:val="22"/>
        </w:rPr>
        <w:t>bubrega</w:t>
      </w:r>
      <w:r w:rsidRPr="00CF7FC5">
        <w:rPr>
          <w:sz w:val="22"/>
          <w:szCs w:val="22"/>
          <w:lang w:val="sr-Latn-CS"/>
        </w:rPr>
        <w:t xml:space="preserve"> </w:t>
      </w:r>
      <w:r w:rsidRPr="00CF7FC5">
        <w:rPr>
          <w:sz w:val="22"/>
          <w:szCs w:val="22"/>
        </w:rPr>
        <w:t>je</w:t>
      </w:r>
      <w:r w:rsidRPr="00CF7FC5">
        <w:rPr>
          <w:sz w:val="22"/>
          <w:szCs w:val="22"/>
          <w:lang w:val="sr-Latn-CS"/>
        </w:rPr>
        <w:t xml:space="preserve"> </w:t>
      </w:r>
      <w:r w:rsidRPr="00CF7FC5">
        <w:rPr>
          <w:sz w:val="22"/>
          <w:szCs w:val="22"/>
        </w:rPr>
        <w:t>zab</w:t>
      </w:r>
      <w:r w:rsidR="00316717">
        <w:rPr>
          <w:sz w:val="22"/>
          <w:szCs w:val="22"/>
        </w:rPr>
        <w:t>i</w:t>
      </w:r>
      <w:r w:rsidRPr="00CF7FC5">
        <w:rPr>
          <w:sz w:val="22"/>
          <w:szCs w:val="22"/>
        </w:rPr>
        <w:t>l</w:t>
      </w:r>
      <w:r w:rsidR="00316717">
        <w:rPr>
          <w:sz w:val="22"/>
          <w:szCs w:val="22"/>
        </w:rPr>
        <w:t>j</w:t>
      </w:r>
      <w:r w:rsidRPr="00CF7FC5">
        <w:rPr>
          <w:sz w:val="22"/>
          <w:szCs w:val="22"/>
        </w:rPr>
        <w:t>e</w:t>
      </w:r>
      <w:r w:rsidRPr="00CF7FC5">
        <w:rPr>
          <w:sz w:val="22"/>
          <w:szCs w:val="22"/>
          <w:lang w:val="sr-Latn-CS"/>
        </w:rPr>
        <w:t>ž</w:t>
      </w:r>
      <w:r w:rsidRPr="00CF7FC5">
        <w:rPr>
          <w:sz w:val="22"/>
          <w:szCs w:val="22"/>
        </w:rPr>
        <w:t>eno</w:t>
      </w:r>
      <w:r w:rsidRPr="00CF7FC5">
        <w:rPr>
          <w:sz w:val="22"/>
          <w:szCs w:val="22"/>
          <w:lang w:val="sr-Latn-CS"/>
        </w:rPr>
        <w:t xml:space="preserve"> </w:t>
      </w:r>
      <w:r w:rsidRPr="00CF7FC5">
        <w:rPr>
          <w:sz w:val="22"/>
          <w:szCs w:val="22"/>
        </w:rPr>
        <w:t>kod</w:t>
      </w:r>
      <w:r w:rsidRPr="00CF7FC5">
        <w:rPr>
          <w:sz w:val="22"/>
          <w:szCs w:val="22"/>
          <w:lang w:val="sr-Latn-CS"/>
        </w:rPr>
        <w:t xml:space="preserve"> </w:t>
      </w:r>
      <w:r w:rsidRPr="00CF7FC5">
        <w:rPr>
          <w:sz w:val="22"/>
          <w:szCs w:val="22"/>
        </w:rPr>
        <w:t>veoma</w:t>
      </w:r>
      <w:r w:rsidRPr="00CF7FC5">
        <w:rPr>
          <w:sz w:val="22"/>
          <w:szCs w:val="22"/>
          <w:lang w:val="sr-Latn-CS"/>
        </w:rPr>
        <w:t xml:space="preserve"> </w:t>
      </w:r>
      <w:r w:rsidRPr="00CF7FC5">
        <w:rPr>
          <w:sz w:val="22"/>
          <w:szCs w:val="22"/>
        </w:rPr>
        <w:t>mladih</w:t>
      </w:r>
      <w:r w:rsidRPr="00CF7FC5">
        <w:rPr>
          <w:sz w:val="22"/>
          <w:szCs w:val="22"/>
          <w:lang w:val="sr-Latn-CS"/>
        </w:rPr>
        <w:t xml:space="preserve"> </w:t>
      </w:r>
      <w:r w:rsidRPr="00CF7FC5">
        <w:rPr>
          <w:sz w:val="22"/>
          <w:szCs w:val="22"/>
        </w:rPr>
        <w:t>pacova</w:t>
      </w:r>
      <w:r w:rsidRPr="00CF7FC5">
        <w:rPr>
          <w:sz w:val="22"/>
          <w:szCs w:val="22"/>
          <w:lang w:val="sr-Latn-CS"/>
        </w:rPr>
        <w:t xml:space="preserve"> </w:t>
      </w:r>
      <w:r w:rsidRPr="00CF7FC5">
        <w:rPr>
          <w:sz w:val="22"/>
          <w:szCs w:val="22"/>
        </w:rPr>
        <w:t>kojima</w:t>
      </w:r>
      <w:r w:rsidRPr="00CF7FC5">
        <w:rPr>
          <w:sz w:val="22"/>
          <w:szCs w:val="22"/>
          <w:lang w:val="sr-Latn-CS"/>
        </w:rPr>
        <w:t xml:space="preserve"> </w:t>
      </w:r>
      <w:r w:rsidRPr="00CF7FC5">
        <w:rPr>
          <w:sz w:val="22"/>
          <w:szCs w:val="22"/>
        </w:rPr>
        <w:t>je</w:t>
      </w:r>
      <w:r w:rsidRPr="00CF7FC5">
        <w:rPr>
          <w:sz w:val="22"/>
          <w:szCs w:val="22"/>
          <w:lang w:val="sr-Latn-CS"/>
        </w:rPr>
        <w:t xml:space="preserve"> </w:t>
      </w:r>
      <w:r w:rsidRPr="00CF7FC5">
        <w:rPr>
          <w:sz w:val="22"/>
          <w:szCs w:val="22"/>
        </w:rPr>
        <w:t>prim</w:t>
      </w:r>
      <w:r w:rsidR="00316717">
        <w:rPr>
          <w:sz w:val="22"/>
          <w:szCs w:val="22"/>
        </w:rPr>
        <w:t>j</w:t>
      </w:r>
      <w:r w:rsidRPr="00CF7FC5">
        <w:rPr>
          <w:sz w:val="22"/>
          <w:szCs w:val="22"/>
        </w:rPr>
        <w:t>enjena</w:t>
      </w:r>
      <w:r w:rsidRPr="00CF7FC5">
        <w:rPr>
          <w:sz w:val="22"/>
          <w:szCs w:val="22"/>
          <w:lang w:val="sr-Latn-CS"/>
        </w:rPr>
        <w:t xml:space="preserve"> </w:t>
      </w:r>
      <w:r w:rsidRPr="00CF7FC5">
        <w:rPr>
          <w:sz w:val="22"/>
          <w:szCs w:val="22"/>
        </w:rPr>
        <w:t>pojedina</w:t>
      </w:r>
      <w:r w:rsidRPr="00CF7FC5">
        <w:rPr>
          <w:sz w:val="22"/>
          <w:szCs w:val="22"/>
          <w:lang w:val="sr-Latn-CS"/>
        </w:rPr>
        <w:t>č</w:t>
      </w:r>
      <w:r w:rsidRPr="00CF7FC5">
        <w:rPr>
          <w:sz w:val="22"/>
          <w:szCs w:val="22"/>
        </w:rPr>
        <w:t>na</w:t>
      </w:r>
      <w:r w:rsidRPr="00CF7FC5">
        <w:rPr>
          <w:sz w:val="22"/>
          <w:szCs w:val="22"/>
          <w:lang w:val="sr-Latn-CS"/>
        </w:rPr>
        <w:t xml:space="preserve"> </w:t>
      </w:r>
      <w:r w:rsidRPr="00CF7FC5">
        <w:rPr>
          <w:sz w:val="22"/>
          <w:szCs w:val="22"/>
        </w:rPr>
        <w:t>doza</w:t>
      </w:r>
      <w:r w:rsidRPr="00CF7FC5">
        <w:rPr>
          <w:sz w:val="22"/>
          <w:szCs w:val="22"/>
          <w:lang w:val="sr-Latn-CS"/>
        </w:rPr>
        <w:t xml:space="preserve"> </w:t>
      </w:r>
      <w:r w:rsidRPr="00CF7FC5">
        <w:rPr>
          <w:sz w:val="22"/>
          <w:szCs w:val="22"/>
        </w:rPr>
        <w:t>ramiprila</w:t>
      </w:r>
      <w:r w:rsidRPr="00CF7FC5">
        <w:rPr>
          <w:sz w:val="22"/>
          <w:szCs w:val="22"/>
          <w:lang w:val="sr-Latn-CS"/>
        </w:rPr>
        <w:t>.</w:t>
      </w:r>
    </w:p>
    <w:p w14:paraId="25D2C8D8" w14:textId="77777777" w:rsidR="00CF7FC5" w:rsidRPr="00CF7FC5" w:rsidRDefault="00CF7FC5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2E2B782C" w14:textId="77777777" w:rsidR="00396DFD" w:rsidRPr="00CF7FC5" w:rsidRDefault="00396DF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14:paraId="2E2B782D" w14:textId="0D7AD23A" w:rsidR="0072020E" w:rsidRPr="004F24BB" w:rsidRDefault="0072020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4F24BB">
        <w:rPr>
          <w:b/>
          <w:bCs/>
          <w:sz w:val="22"/>
          <w:szCs w:val="22"/>
          <w:lang w:val="sr-Latn-CS"/>
        </w:rPr>
        <w:t xml:space="preserve">6. </w:t>
      </w:r>
      <w:r w:rsidR="00480FB1" w:rsidRPr="004F24BB">
        <w:rPr>
          <w:b/>
          <w:bCs/>
          <w:sz w:val="22"/>
          <w:szCs w:val="22"/>
          <w:lang w:val="sr-Latn-CS"/>
        </w:rPr>
        <w:tab/>
      </w:r>
      <w:r w:rsidRPr="00786071">
        <w:rPr>
          <w:b/>
          <w:bCs/>
          <w:sz w:val="22"/>
          <w:szCs w:val="22"/>
        </w:rPr>
        <w:t>FARMACEUTSKI</w:t>
      </w:r>
      <w:r w:rsidRPr="004F24BB">
        <w:rPr>
          <w:b/>
          <w:bCs/>
          <w:sz w:val="22"/>
          <w:szCs w:val="22"/>
          <w:lang w:val="sr-Latn-CS"/>
        </w:rPr>
        <w:t xml:space="preserve"> </w:t>
      </w:r>
      <w:r w:rsidRPr="00786071">
        <w:rPr>
          <w:b/>
          <w:bCs/>
          <w:sz w:val="22"/>
          <w:szCs w:val="22"/>
        </w:rPr>
        <w:t>PODACI</w:t>
      </w:r>
    </w:p>
    <w:p w14:paraId="3BDFC374" w14:textId="1259FE74" w:rsidR="00CF7FC5" w:rsidRPr="004F24BB" w:rsidRDefault="00CF7FC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14:paraId="2E2B782F" w14:textId="6B147615" w:rsidR="0072020E" w:rsidRPr="004F24B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4F24BB">
        <w:rPr>
          <w:b/>
          <w:bCs/>
          <w:sz w:val="22"/>
          <w:szCs w:val="22"/>
          <w:lang w:val="sr-Latn-CS"/>
        </w:rPr>
        <w:t xml:space="preserve">6.1. </w:t>
      </w:r>
      <w:r w:rsidR="00480FB1" w:rsidRPr="004F24BB">
        <w:rPr>
          <w:b/>
          <w:bCs/>
          <w:sz w:val="22"/>
          <w:szCs w:val="22"/>
          <w:lang w:val="sr-Latn-CS"/>
        </w:rPr>
        <w:tab/>
      </w:r>
      <w:r w:rsidRPr="00786071">
        <w:rPr>
          <w:b/>
          <w:bCs/>
          <w:sz w:val="22"/>
          <w:szCs w:val="22"/>
        </w:rPr>
        <w:t>Lista</w:t>
      </w:r>
      <w:r w:rsidRPr="004F24BB">
        <w:rPr>
          <w:b/>
          <w:bCs/>
          <w:sz w:val="22"/>
          <w:szCs w:val="22"/>
          <w:lang w:val="sr-Latn-CS"/>
        </w:rPr>
        <w:t xml:space="preserve"> </w:t>
      </w:r>
      <w:r w:rsidRPr="00786071">
        <w:rPr>
          <w:b/>
          <w:bCs/>
          <w:sz w:val="22"/>
          <w:szCs w:val="22"/>
        </w:rPr>
        <w:t>pomo</w:t>
      </w:r>
      <w:r w:rsidRPr="004F24BB">
        <w:rPr>
          <w:b/>
          <w:bCs/>
          <w:sz w:val="22"/>
          <w:szCs w:val="22"/>
          <w:lang w:val="sr-Latn-CS"/>
        </w:rPr>
        <w:t>ć</w:t>
      </w:r>
      <w:r w:rsidRPr="00786071">
        <w:rPr>
          <w:b/>
          <w:bCs/>
          <w:sz w:val="22"/>
          <w:szCs w:val="22"/>
        </w:rPr>
        <w:t>nih</w:t>
      </w:r>
      <w:r w:rsidRPr="004F24BB">
        <w:rPr>
          <w:b/>
          <w:bCs/>
          <w:sz w:val="22"/>
          <w:szCs w:val="22"/>
          <w:lang w:val="sr-Latn-CS"/>
        </w:rPr>
        <w:t xml:space="preserve"> </w:t>
      </w:r>
      <w:r w:rsidRPr="00786071">
        <w:rPr>
          <w:b/>
          <w:bCs/>
          <w:sz w:val="22"/>
          <w:szCs w:val="22"/>
        </w:rPr>
        <w:t>supstanci</w:t>
      </w:r>
      <w:r w:rsidR="002E0135" w:rsidRPr="004F24BB">
        <w:rPr>
          <w:b/>
          <w:bCs/>
          <w:sz w:val="22"/>
          <w:szCs w:val="22"/>
          <w:lang w:val="sr-Latn-CS"/>
        </w:rPr>
        <w:t xml:space="preserve"> (</w:t>
      </w:r>
      <w:r w:rsidR="002E0135" w:rsidRPr="00786071">
        <w:rPr>
          <w:b/>
          <w:bCs/>
          <w:sz w:val="22"/>
          <w:szCs w:val="22"/>
        </w:rPr>
        <w:t>ekscipijenasa</w:t>
      </w:r>
      <w:r w:rsidR="002E0135" w:rsidRPr="004F24BB">
        <w:rPr>
          <w:b/>
          <w:bCs/>
          <w:sz w:val="22"/>
          <w:szCs w:val="22"/>
          <w:lang w:val="sr-Latn-CS"/>
        </w:rPr>
        <w:t>)</w:t>
      </w:r>
    </w:p>
    <w:p w14:paraId="0B02E963" w14:textId="09C021DB" w:rsidR="002207C7" w:rsidRPr="004F24BB" w:rsidRDefault="002207C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14:paraId="2C6A4755" w14:textId="77777777" w:rsidR="002207C7" w:rsidRPr="002207C7" w:rsidRDefault="002207C7" w:rsidP="002207C7">
      <w:pPr>
        <w:tabs>
          <w:tab w:val="left" w:pos="284"/>
        </w:tabs>
        <w:jc w:val="both"/>
        <w:rPr>
          <w:i/>
          <w:sz w:val="22"/>
          <w:szCs w:val="22"/>
          <w:lang w:val="pl-PL"/>
        </w:rPr>
      </w:pPr>
      <w:r w:rsidRPr="003457B5">
        <w:rPr>
          <w:i/>
          <w:sz w:val="22"/>
          <w:szCs w:val="22"/>
          <w:u w:val="single"/>
          <w:lang w:val="pl-PL"/>
        </w:rPr>
        <w:t>Prilinda, 2,5 mg, tablete</w:t>
      </w:r>
      <w:r w:rsidRPr="002207C7">
        <w:rPr>
          <w:i/>
          <w:sz w:val="22"/>
          <w:szCs w:val="22"/>
          <w:lang w:val="pl-PL"/>
        </w:rPr>
        <w:t>:</w:t>
      </w:r>
    </w:p>
    <w:p w14:paraId="043F6099" w14:textId="77777777" w:rsidR="002207C7" w:rsidRPr="002207C7" w:rsidRDefault="002207C7" w:rsidP="002207C7">
      <w:pPr>
        <w:tabs>
          <w:tab w:val="left" w:pos="284"/>
        </w:tabs>
        <w:jc w:val="both"/>
        <w:rPr>
          <w:i/>
          <w:sz w:val="22"/>
          <w:szCs w:val="22"/>
          <w:lang w:val="pl-PL"/>
        </w:rPr>
      </w:pPr>
    </w:p>
    <w:p w14:paraId="0E698375" w14:textId="4D723848" w:rsidR="002207C7" w:rsidRPr="002207C7" w:rsidRDefault="002207C7" w:rsidP="002207C7">
      <w:pPr>
        <w:numPr>
          <w:ilvl w:val="0"/>
          <w:numId w:val="19"/>
        </w:numPr>
        <w:tabs>
          <w:tab w:val="left" w:pos="284"/>
        </w:tabs>
        <w:autoSpaceDE w:val="0"/>
        <w:autoSpaceDN w:val="0"/>
        <w:contextualSpacing/>
        <w:jc w:val="both"/>
        <w:rPr>
          <w:sz w:val="22"/>
          <w:szCs w:val="22"/>
          <w:lang w:val="en-GB"/>
        </w:rPr>
      </w:pPr>
      <w:r w:rsidRPr="002207C7">
        <w:rPr>
          <w:sz w:val="22"/>
          <w:szCs w:val="22"/>
          <w:lang w:val="en-GB"/>
        </w:rPr>
        <w:t>Natrijum</w:t>
      </w:r>
      <w:r w:rsidR="00316717">
        <w:rPr>
          <w:sz w:val="22"/>
          <w:szCs w:val="22"/>
          <w:lang w:val="en-GB"/>
        </w:rPr>
        <w:t xml:space="preserve"> </w:t>
      </w:r>
      <w:r w:rsidRPr="002207C7">
        <w:rPr>
          <w:sz w:val="22"/>
          <w:szCs w:val="22"/>
          <w:lang w:val="en-GB"/>
        </w:rPr>
        <w:t>hidrogenkarbonat</w:t>
      </w:r>
    </w:p>
    <w:p w14:paraId="00E4E9FD" w14:textId="77777777" w:rsidR="002207C7" w:rsidRPr="002207C7" w:rsidRDefault="002207C7" w:rsidP="002207C7">
      <w:pPr>
        <w:numPr>
          <w:ilvl w:val="0"/>
          <w:numId w:val="19"/>
        </w:numPr>
        <w:tabs>
          <w:tab w:val="left" w:pos="284"/>
        </w:tabs>
        <w:autoSpaceDE w:val="0"/>
        <w:autoSpaceDN w:val="0"/>
        <w:contextualSpacing/>
        <w:jc w:val="both"/>
        <w:rPr>
          <w:sz w:val="22"/>
          <w:szCs w:val="22"/>
          <w:lang w:val="en-GB"/>
        </w:rPr>
      </w:pPr>
      <w:r w:rsidRPr="002207C7">
        <w:rPr>
          <w:sz w:val="22"/>
          <w:szCs w:val="22"/>
          <w:lang w:val="en-GB"/>
        </w:rPr>
        <w:t>Laktoza, monohidrat</w:t>
      </w:r>
    </w:p>
    <w:p w14:paraId="68F13126" w14:textId="5F435455" w:rsidR="002207C7" w:rsidRPr="002207C7" w:rsidRDefault="002207C7" w:rsidP="002207C7">
      <w:pPr>
        <w:numPr>
          <w:ilvl w:val="0"/>
          <w:numId w:val="19"/>
        </w:numPr>
        <w:tabs>
          <w:tab w:val="left" w:pos="284"/>
        </w:tabs>
        <w:autoSpaceDE w:val="0"/>
        <w:autoSpaceDN w:val="0"/>
        <w:contextualSpacing/>
        <w:jc w:val="both"/>
        <w:rPr>
          <w:sz w:val="22"/>
          <w:szCs w:val="22"/>
          <w:lang w:val="en-GB"/>
        </w:rPr>
      </w:pPr>
      <w:r w:rsidRPr="002207C7">
        <w:rPr>
          <w:sz w:val="22"/>
          <w:szCs w:val="22"/>
          <w:lang w:val="en-GB"/>
        </w:rPr>
        <w:t>Kroskarmeloza</w:t>
      </w:r>
      <w:r w:rsidR="00316717">
        <w:rPr>
          <w:sz w:val="22"/>
          <w:szCs w:val="22"/>
          <w:lang w:val="en-GB"/>
        </w:rPr>
        <w:t xml:space="preserve"> </w:t>
      </w:r>
      <w:r w:rsidRPr="002207C7">
        <w:rPr>
          <w:sz w:val="22"/>
          <w:szCs w:val="22"/>
          <w:lang w:val="en-GB"/>
        </w:rPr>
        <w:t>natrijum</w:t>
      </w:r>
    </w:p>
    <w:p w14:paraId="07F77F63" w14:textId="77777777" w:rsidR="002207C7" w:rsidRPr="002207C7" w:rsidRDefault="002207C7" w:rsidP="002207C7">
      <w:pPr>
        <w:numPr>
          <w:ilvl w:val="0"/>
          <w:numId w:val="19"/>
        </w:numPr>
        <w:tabs>
          <w:tab w:val="left" w:pos="284"/>
        </w:tabs>
        <w:autoSpaceDE w:val="0"/>
        <w:autoSpaceDN w:val="0"/>
        <w:contextualSpacing/>
        <w:jc w:val="both"/>
        <w:rPr>
          <w:sz w:val="22"/>
          <w:szCs w:val="22"/>
          <w:lang w:val="en-GB"/>
        </w:rPr>
      </w:pPr>
      <w:r w:rsidRPr="002207C7">
        <w:rPr>
          <w:sz w:val="22"/>
          <w:szCs w:val="22"/>
          <w:lang w:val="en-GB"/>
        </w:rPr>
        <w:t>Skrob, preželatinizovan</w:t>
      </w:r>
    </w:p>
    <w:p w14:paraId="3CDEAC37" w14:textId="13CA3381" w:rsidR="002207C7" w:rsidRPr="002207C7" w:rsidRDefault="002207C7" w:rsidP="002207C7">
      <w:pPr>
        <w:numPr>
          <w:ilvl w:val="0"/>
          <w:numId w:val="19"/>
        </w:numPr>
        <w:tabs>
          <w:tab w:val="left" w:pos="284"/>
        </w:tabs>
        <w:autoSpaceDE w:val="0"/>
        <w:autoSpaceDN w:val="0"/>
        <w:contextualSpacing/>
        <w:jc w:val="both"/>
        <w:rPr>
          <w:sz w:val="22"/>
          <w:szCs w:val="22"/>
          <w:lang w:val="en-GB"/>
        </w:rPr>
      </w:pPr>
      <w:r w:rsidRPr="002207C7">
        <w:rPr>
          <w:sz w:val="22"/>
          <w:szCs w:val="22"/>
          <w:lang w:val="en-GB"/>
        </w:rPr>
        <w:t>Natrijum</w:t>
      </w:r>
      <w:r w:rsidR="00316717">
        <w:rPr>
          <w:sz w:val="22"/>
          <w:szCs w:val="22"/>
          <w:lang w:val="en-GB"/>
        </w:rPr>
        <w:t xml:space="preserve"> </w:t>
      </w:r>
      <w:r w:rsidRPr="002207C7">
        <w:rPr>
          <w:sz w:val="22"/>
          <w:szCs w:val="22"/>
          <w:lang w:val="en-GB"/>
        </w:rPr>
        <w:t>stearilfumarat</w:t>
      </w:r>
    </w:p>
    <w:p w14:paraId="45819D1C" w14:textId="77777777" w:rsidR="002207C7" w:rsidRPr="002207C7" w:rsidRDefault="002207C7" w:rsidP="002207C7">
      <w:pPr>
        <w:numPr>
          <w:ilvl w:val="0"/>
          <w:numId w:val="19"/>
        </w:numPr>
        <w:tabs>
          <w:tab w:val="left" w:pos="284"/>
        </w:tabs>
        <w:autoSpaceDE w:val="0"/>
        <w:autoSpaceDN w:val="0"/>
        <w:contextualSpacing/>
        <w:jc w:val="both"/>
        <w:rPr>
          <w:sz w:val="22"/>
          <w:szCs w:val="22"/>
          <w:lang w:val="en-GB"/>
        </w:rPr>
      </w:pPr>
      <w:r w:rsidRPr="002207C7">
        <w:rPr>
          <w:sz w:val="22"/>
          <w:szCs w:val="22"/>
          <w:lang w:val="en-GB"/>
        </w:rPr>
        <w:t>pigment blend PB 22960 Yellow (laktoza, monohidrat, gvožđe(III)-oksid, žuti)</w:t>
      </w:r>
    </w:p>
    <w:p w14:paraId="187520ED" w14:textId="77777777" w:rsidR="002207C7" w:rsidRPr="002207C7" w:rsidRDefault="002207C7" w:rsidP="002207C7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607CF132" w14:textId="77777777" w:rsidR="002207C7" w:rsidRPr="002207C7" w:rsidRDefault="002207C7" w:rsidP="002207C7">
      <w:pPr>
        <w:tabs>
          <w:tab w:val="left" w:pos="284"/>
        </w:tabs>
        <w:jc w:val="both"/>
        <w:rPr>
          <w:i/>
          <w:sz w:val="22"/>
          <w:szCs w:val="22"/>
          <w:lang w:val="pl-PL"/>
        </w:rPr>
      </w:pPr>
      <w:r w:rsidRPr="003457B5">
        <w:rPr>
          <w:i/>
          <w:sz w:val="22"/>
          <w:szCs w:val="22"/>
          <w:u w:val="single"/>
          <w:lang w:val="pl-PL"/>
        </w:rPr>
        <w:t>Prilinda, 5 mg, tablete</w:t>
      </w:r>
      <w:r w:rsidRPr="002207C7">
        <w:rPr>
          <w:i/>
          <w:sz w:val="22"/>
          <w:szCs w:val="22"/>
          <w:lang w:val="pl-PL"/>
        </w:rPr>
        <w:t>:</w:t>
      </w:r>
    </w:p>
    <w:p w14:paraId="343E07D9" w14:textId="77777777" w:rsidR="002207C7" w:rsidRPr="002207C7" w:rsidRDefault="002207C7" w:rsidP="002207C7">
      <w:pPr>
        <w:tabs>
          <w:tab w:val="left" w:pos="284"/>
        </w:tabs>
        <w:jc w:val="both"/>
        <w:rPr>
          <w:i/>
          <w:sz w:val="22"/>
          <w:szCs w:val="22"/>
          <w:lang w:val="pl-PL"/>
        </w:rPr>
      </w:pPr>
    </w:p>
    <w:p w14:paraId="4ABFCCE6" w14:textId="1952405F" w:rsidR="002207C7" w:rsidRPr="002207C7" w:rsidRDefault="002207C7" w:rsidP="002207C7">
      <w:pPr>
        <w:numPr>
          <w:ilvl w:val="0"/>
          <w:numId w:val="20"/>
        </w:numPr>
        <w:tabs>
          <w:tab w:val="left" w:pos="284"/>
        </w:tabs>
        <w:autoSpaceDE w:val="0"/>
        <w:autoSpaceDN w:val="0"/>
        <w:ind w:left="1080"/>
        <w:contextualSpacing/>
        <w:jc w:val="both"/>
        <w:rPr>
          <w:sz w:val="22"/>
          <w:szCs w:val="22"/>
          <w:lang w:val="en-GB"/>
        </w:rPr>
      </w:pPr>
      <w:r w:rsidRPr="002207C7">
        <w:rPr>
          <w:sz w:val="22"/>
          <w:szCs w:val="22"/>
          <w:lang w:val="en-GB"/>
        </w:rPr>
        <w:t>Natrijum</w:t>
      </w:r>
      <w:r w:rsidR="00316717">
        <w:rPr>
          <w:sz w:val="22"/>
          <w:szCs w:val="22"/>
          <w:lang w:val="en-GB"/>
        </w:rPr>
        <w:t xml:space="preserve"> </w:t>
      </w:r>
      <w:r w:rsidRPr="002207C7">
        <w:rPr>
          <w:sz w:val="22"/>
          <w:szCs w:val="22"/>
          <w:lang w:val="en-GB"/>
        </w:rPr>
        <w:t>hidrogenkarbonat</w:t>
      </w:r>
    </w:p>
    <w:p w14:paraId="3B246ED1" w14:textId="77777777" w:rsidR="002207C7" w:rsidRPr="002207C7" w:rsidRDefault="002207C7" w:rsidP="002207C7">
      <w:pPr>
        <w:numPr>
          <w:ilvl w:val="0"/>
          <w:numId w:val="20"/>
        </w:numPr>
        <w:tabs>
          <w:tab w:val="left" w:pos="284"/>
        </w:tabs>
        <w:autoSpaceDE w:val="0"/>
        <w:autoSpaceDN w:val="0"/>
        <w:ind w:left="1080"/>
        <w:contextualSpacing/>
        <w:jc w:val="both"/>
        <w:rPr>
          <w:sz w:val="22"/>
          <w:szCs w:val="22"/>
          <w:lang w:val="en-GB"/>
        </w:rPr>
      </w:pPr>
      <w:r w:rsidRPr="002207C7">
        <w:rPr>
          <w:sz w:val="22"/>
          <w:szCs w:val="22"/>
          <w:lang w:val="en-GB"/>
        </w:rPr>
        <w:t>Laktoza, monohidrat</w:t>
      </w:r>
    </w:p>
    <w:p w14:paraId="7FBC2AE7" w14:textId="77777777" w:rsidR="002207C7" w:rsidRPr="002207C7" w:rsidRDefault="002207C7" w:rsidP="002207C7">
      <w:pPr>
        <w:numPr>
          <w:ilvl w:val="0"/>
          <w:numId w:val="20"/>
        </w:numPr>
        <w:tabs>
          <w:tab w:val="left" w:pos="284"/>
        </w:tabs>
        <w:autoSpaceDE w:val="0"/>
        <w:autoSpaceDN w:val="0"/>
        <w:ind w:left="1080"/>
        <w:contextualSpacing/>
        <w:jc w:val="both"/>
        <w:rPr>
          <w:sz w:val="22"/>
          <w:szCs w:val="22"/>
          <w:lang w:val="en-GB"/>
        </w:rPr>
      </w:pPr>
      <w:r w:rsidRPr="002207C7">
        <w:rPr>
          <w:sz w:val="22"/>
          <w:szCs w:val="22"/>
          <w:lang w:val="en-GB"/>
        </w:rPr>
        <w:t>Kroskarmeloza-natrijum</w:t>
      </w:r>
    </w:p>
    <w:p w14:paraId="70C6DE18" w14:textId="77777777" w:rsidR="002207C7" w:rsidRPr="002207C7" w:rsidRDefault="002207C7" w:rsidP="002207C7">
      <w:pPr>
        <w:numPr>
          <w:ilvl w:val="0"/>
          <w:numId w:val="20"/>
        </w:numPr>
        <w:tabs>
          <w:tab w:val="left" w:pos="284"/>
        </w:tabs>
        <w:autoSpaceDE w:val="0"/>
        <w:autoSpaceDN w:val="0"/>
        <w:ind w:left="1080"/>
        <w:contextualSpacing/>
        <w:jc w:val="both"/>
        <w:rPr>
          <w:sz w:val="22"/>
          <w:szCs w:val="22"/>
          <w:lang w:val="en-GB"/>
        </w:rPr>
      </w:pPr>
      <w:r w:rsidRPr="002207C7">
        <w:rPr>
          <w:sz w:val="22"/>
          <w:szCs w:val="22"/>
          <w:lang w:val="en-GB"/>
        </w:rPr>
        <w:t>Skrob, preželatinizovan</w:t>
      </w:r>
    </w:p>
    <w:p w14:paraId="18433A6E" w14:textId="6F92943E" w:rsidR="002207C7" w:rsidRPr="002207C7" w:rsidRDefault="002207C7" w:rsidP="002207C7">
      <w:pPr>
        <w:numPr>
          <w:ilvl w:val="0"/>
          <w:numId w:val="20"/>
        </w:numPr>
        <w:tabs>
          <w:tab w:val="left" w:pos="284"/>
        </w:tabs>
        <w:autoSpaceDE w:val="0"/>
        <w:autoSpaceDN w:val="0"/>
        <w:ind w:left="1080"/>
        <w:contextualSpacing/>
        <w:jc w:val="both"/>
        <w:rPr>
          <w:sz w:val="22"/>
          <w:szCs w:val="22"/>
          <w:lang w:val="en-GB"/>
        </w:rPr>
      </w:pPr>
      <w:r w:rsidRPr="002207C7">
        <w:rPr>
          <w:sz w:val="22"/>
          <w:szCs w:val="22"/>
          <w:lang w:val="en-GB"/>
        </w:rPr>
        <w:t>Natrijum</w:t>
      </w:r>
      <w:r w:rsidR="00316717">
        <w:rPr>
          <w:sz w:val="22"/>
          <w:szCs w:val="22"/>
          <w:lang w:val="en-GB"/>
        </w:rPr>
        <w:t xml:space="preserve"> </w:t>
      </w:r>
      <w:r w:rsidRPr="002207C7">
        <w:rPr>
          <w:sz w:val="22"/>
          <w:szCs w:val="22"/>
          <w:lang w:val="en-GB"/>
        </w:rPr>
        <w:t>stearilfumarat</w:t>
      </w:r>
    </w:p>
    <w:p w14:paraId="66253D3D" w14:textId="77777777" w:rsidR="002207C7" w:rsidRPr="002207C7" w:rsidRDefault="002207C7" w:rsidP="002207C7">
      <w:pPr>
        <w:numPr>
          <w:ilvl w:val="0"/>
          <w:numId w:val="20"/>
        </w:numPr>
        <w:tabs>
          <w:tab w:val="left" w:pos="284"/>
        </w:tabs>
        <w:autoSpaceDE w:val="0"/>
        <w:autoSpaceDN w:val="0"/>
        <w:ind w:left="1080"/>
        <w:contextualSpacing/>
        <w:jc w:val="both"/>
        <w:rPr>
          <w:sz w:val="22"/>
          <w:szCs w:val="22"/>
          <w:lang w:val="en-GB"/>
        </w:rPr>
      </w:pPr>
      <w:r w:rsidRPr="002207C7">
        <w:rPr>
          <w:sz w:val="22"/>
          <w:szCs w:val="22"/>
          <w:lang w:val="en-GB"/>
        </w:rPr>
        <w:t>pigment blend PB 24877 Pink (laktoza, monohidrat, gvožđe(III)-oksid, crveni, gvožđe(III)-oksid, žuti)</w:t>
      </w:r>
    </w:p>
    <w:p w14:paraId="3DAB3E9A" w14:textId="77777777" w:rsidR="002207C7" w:rsidRPr="002207C7" w:rsidRDefault="002207C7" w:rsidP="002207C7">
      <w:pPr>
        <w:tabs>
          <w:tab w:val="left" w:pos="284"/>
        </w:tabs>
        <w:jc w:val="both"/>
        <w:rPr>
          <w:b/>
          <w:sz w:val="22"/>
          <w:szCs w:val="22"/>
          <w:lang w:val="sr-Latn-CS"/>
        </w:rPr>
      </w:pPr>
    </w:p>
    <w:p w14:paraId="6D8D73EF" w14:textId="77777777" w:rsidR="002207C7" w:rsidRPr="003457B5" w:rsidRDefault="002207C7" w:rsidP="002207C7">
      <w:pPr>
        <w:tabs>
          <w:tab w:val="left" w:pos="284"/>
        </w:tabs>
        <w:jc w:val="both"/>
        <w:rPr>
          <w:i/>
          <w:sz w:val="22"/>
          <w:szCs w:val="22"/>
          <w:u w:val="single"/>
          <w:lang w:val="pl-PL"/>
        </w:rPr>
      </w:pPr>
      <w:r w:rsidRPr="003457B5">
        <w:rPr>
          <w:i/>
          <w:sz w:val="22"/>
          <w:szCs w:val="22"/>
          <w:u w:val="single"/>
          <w:lang w:val="pl-PL"/>
        </w:rPr>
        <w:t>Prilinda, 10 mg, tablete:</w:t>
      </w:r>
    </w:p>
    <w:p w14:paraId="66A5776E" w14:textId="77777777" w:rsidR="002207C7" w:rsidRPr="002207C7" w:rsidRDefault="002207C7" w:rsidP="002207C7">
      <w:pPr>
        <w:tabs>
          <w:tab w:val="left" w:pos="284"/>
        </w:tabs>
        <w:jc w:val="both"/>
        <w:rPr>
          <w:i/>
          <w:sz w:val="22"/>
          <w:szCs w:val="22"/>
          <w:lang w:val="pl-PL"/>
        </w:rPr>
      </w:pPr>
    </w:p>
    <w:p w14:paraId="74E3AE78" w14:textId="2CCA88FB" w:rsidR="002207C7" w:rsidRPr="002207C7" w:rsidRDefault="002207C7" w:rsidP="002207C7">
      <w:pPr>
        <w:numPr>
          <w:ilvl w:val="0"/>
          <w:numId w:val="21"/>
        </w:numPr>
        <w:tabs>
          <w:tab w:val="left" w:pos="284"/>
        </w:tabs>
        <w:autoSpaceDE w:val="0"/>
        <w:autoSpaceDN w:val="0"/>
        <w:ind w:left="1080"/>
        <w:contextualSpacing/>
        <w:jc w:val="both"/>
        <w:rPr>
          <w:sz w:val="22"/>
          <w:szCs w:val="22"/>
          <w:lang w:val="en-GB"/>
        </w:rPr>
      </w:pPr>
      <w:r w:rsidRPr="002207C7">
        <w:rPr>
          <w:sz w:val="22"/>
          <w:szCs w:val="22"/>
          <w:lang w:val="en-GB"/>
        </w:rPr>
        <w:t>Natrijum</w:t>
      </w:r>
      <w:r w:rsidR="00847A8A">
        <w:rPr>
          <w:sz w:val="22"/>
          <w:szCs w:val="22"/>
          <w:lang w:val="en-GB"/>
        </w:rPr>
        <w:t xml:space="preserve"> </w:t>
      </w:r>
      <w:r w:rsidRPr="002207C7">
        <w:rPr>
          <w:sz w:val="22"/>
          <w:szCs w:val="22"/>
          <w:lang w:val="en-GB"/>
        </w:rPr>
        <w:t>hidrogenkarbonat</w:t>
      </w:r>
    </w:p>
    <w:p w14:paraId="5DA926EE" w14:textId="77777777" w:rsidR="002207C7" w:rsidRPr="002207C7" w:rsidRDefault="002207C7" w:rsidP="002207C7">
      <w:pPr>
        <w:numPr>
          <w:ilvl w:val="0"/>
          <w:numId w:val="21"/>
        </w:numPr>
        <w:tabs>
          <w:tab w:val="left" w:pos="284"/>
        </w:tabs>
        <w:autoSpaceDE w:val="0"/>
        <w:autoSpaceDN w:val="0"/>
        <w:ind w:left="1080"/>
        <w:contextualSpacing/>
        <w:jc w:val="both"/>
        <w:rPr>
          <w:sz w:val="22"/>
          <w:szCs w:val="22"/>
          <w:lang w:val="en-GB"/>
        </w:rPr>
      </w:pPr>
      <w:r w:rsidRPr="002207C7">
        <w:rPr>
          <w:sz w:val="22"/>
          <w:szCs w:val="22"/>
          <w:lang w:val="en-GB"/>
        </w:rPr>
        <w:t>Laktoza, monohidrat</w:t>
      </w:r>
    </w:p>
    <w:p w14:paraId="3D4763AF" w14:textId="7BD78713" w:rsidR="002207C7" w:rsidRPr="002207C7" w:rsidRDefault="002207C7" w:rsidP="002207C7">
      <w:pPr>
        <w:numPr>
          <w:ilvl w:val="0"/>
          <w:numId w:val="21"/>
        </w:numPr>
        <w:tabs>
          <w:tab w:val="left" w:pos="284"/>
        </w:tabs>
        <w:autoSpaceDE w:val="0"/>
        <w:autoSpaceDN w:val="0"/>
        <w:ind w:left="1080"/>
        <w:contextualSpacing/>
        <w:jc w:val="both"/>
        <w:rPr>
          <w:sz w:val="22"/>
          <w:szCs w:val="22"/>
          <w:lang w:val="en-GB"/>
        </w:rPr>
      </w:pPr>
      <w:r w:rsidRPr="002207C7">
        <w:rPr>
          <w:sz w:val="22"/>
          <w:szCs w:val="22"/>
          <w:lang w:val="en-GB"/>
        </w:rPr>
        <w:t>Kroskarmeloza</w:t>
      </w:r>
      <w:r w:rsidR="00316717">
        <w:rPr>
          <w:sz w:val="22"/>
          <w:szCs w:val="22"/>
          <w:lang w:val="en-GB"/>
        </w:rPr>
        <w:t xml:space="preserve"> </w:t>
      </w:r>
      <w:r w:rsidRPr="002207C7">
        <w:rPr>
          <w:sz w:val="22"/>
          <w:szCs w:val="22"/>
          <w:lang w:val="en-GB"/>
        </w:rPr>
        <w:t>natrijum</w:t>
      </w:r>
    </w:p>
    <w:p w14:paraId="76C807A3" w14:textId="77777777" w:rsidR="002207C7" w:rsidRPr="002207C7" w:rsidRDefault="002207C7" w:rsidP="002207C7">
      <w:pPr>
        <w:numPr>
          <w:ilvl w:val="0"/>
          <w:numId w:val="21"/>
        </w:numPr>
        <w:tabs>
          <w:tab w:val="left" w:pos="284"/>
        </w:tabs>
        <w:autoSpaceDE w:val="0"/>
        <w:autoSpaceDN w:val="0"/>
        <w:ind w:left="1080"/>
        <w:contextualSpacing/>
        <w:jc w:val="both"/>
        <w:rPr>
          <w:sz w:val="22"/>
          <w:szCs w:val="22"/>
          <w:lang w:val="en-GB"/>
        </w:rPr>
      </w:pPr>
      <w:r w:rsidRPr="002207C7">
        <w:rPr>
          <w:sz w:val="22"/>
          <w:szCs w:val="22"/>
          <w:lang w:val="en-GB"/>
        </w:rPr>
        <w:t>Skrob, preželatinizovan</w:t>
      </w:r>
    </w:p>
    <w:p w14:paraId="72D9FAF6" w14:textId="5C06E77C" w:rsidR="002207C7" w:rsidRPr="002207C7" w:rsidRDefault="002207C7" w:rsidP="002207C7">
      <w:pPr>
        <w:numPr>
          <w:ilvl w:val="0"/>
          <w:numId w:val="21"/>
        </w:numPr>
        <w:tabs>
          <w:tab w:val="left" w:pos="284"/>
        </w:tabs>
        <w:autoSpaceDE w:val="0"/>
        <w:autoSpaceDN w:val="0"/>
        <w:ind w:left="1080"/>
        <w:contextualSpacing/>
        <w:jc w:val="both"/>
        <w:rPr>
          <w:sz w:val="22"/>
          <w:szCs w:val="22"/>
          <w:lang w:val="en-GB"/>
        </w:rPr>
      </w:pPr>
      <w:r w:rsidRPr="002207C7">
        <w:rPr>
          <w:sz w:val="22"/>
          <w:szCs w:val="22"/>
          <w:lang w:val="en-GB"/>
        </w:rPr>
        <w:t>Natrijum</w:t>
      </w:r>
      <w:r w:rsidR="00316717">
        <w:rPr>
          <w:sz w:val="22"/>
          <w:szCs w:val="22"/>
          <w:lang w:val="en-GB"/>
        </w:rPr>
        <w:t xml:space="preserve"> </w:t>
      </w:r>
      <w:r w:rsidRPr="002207C7">
        <w:rPr>
          <w:sz w:val="22"/>
          <w:szCs w:val="22"/>
          <w:lang w:val="en-GB"/>
        </w:rPr>
        <w:t>stearilfumarat</w:t>
      </w:r>
    </w:p>
    <w:p w14:paraId="2ADF8C73" w14:textId="77777777" w:rsidR="002207C7" w:rsidRPr="00786071" w:rsidRDefault="002207C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2E2B7831" w14:textId="77777777" w:rsidR="0072020E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6.2.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Inkompatibilnost</w:t>
      </w:r>
      <w:r w:rsidR="002846DB" w:rsidRPr="00786071">
        <w:rPr>
          <w:b/>
          <w:bCs/>
          <w:sz w:val="22"/>
          <w:szCs w:val="22"/>
        </w:rPr>
        <w:t>i</w:t>
      </w:r>
    </w:p>
    <w:p w14:paraId="2E2B7832" w14:textId="396354F0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090E5A65" w14:textId="77777777" w:rsidR="002E1923" w:rsidRPr="002E1923" w:rsidRDefault="002E1923" w:rsidP="002E1923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2E1923">
        <w:rPr>
          <w:sz w:val="22"/>
          <w:szCs w:val="22"/>
          <w:lang w:val="pl-PL"/>
        </w:rPr>
        <w:t>Nema podataka o inkompatibilnosti.</w:t>
      </w:r>
    </w:p>
    <w:p w14:paraId="32BE57F3" w14:textId="77777777" w:rsidR="002207C7" w:rsidRPr="00786071" w:rsidRDefault="002207C7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2E2B7833" w14:textId="77777777" w:rsidR="0072020E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>6.3.</w:t>
      </w:r>
      <w:r w:rsidR="00C05DF8">
        <w:rPr>
          <w:b/>
          <w:bCs/>
          <w:sz w:val="22"/>
          <w:szCs w:val="22"/>
        </w:rPr>
        <w:t xml:space="preserve">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Rok upotrebe</w:t>
      </w:r>
    </w:p>
    <w:p w14:paraId="2E2B7834" w14:textId="1F3F90B9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0A78304C" w14:textId="77777777" w:rsidR="008D08EA" w:rsidRPr="008D08EA" w:rsidRDefault="008D08EA" w:rsidP="003457B5">
      <w:pPr>
        <w:jc w:val="both"/>
        <w:rPr>
          <w:sz w:val="22"/>
          <w:szCs w:val="22"/>
          <w:lang w:val="sl-SI"/>
        </w:rPr>
      </w:pPr>
      <w:r w:rsidRPr="008D08EA">
        <w:rPr>
          <w:sz w:val="22"/>
          <w:szCs w:val="22"/>
        </w:rPr>
        <w:t>3 godine</w:t>
      </w:r>
      <w:r w:rsidRPr="008D08EA">
        <w:rPr>
          <w:sz w:val="22"/>
          <w:szCs w:val="22"/>
          <w:lang w:val="sl-SI"/>
        </w:rPr>
        <w:t xml:space="preserve">. </w:t>
      </w:r>
    </w:p>
    <w:p w14:paraId="649FDABA" w14:textId="77777777" w:rsidR="002E1923" w:rsidRPr="00786071" w:rsidRDefault="002E1923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2E2B7835" w14:textId="0EA7FB6C" w:rsidR="0072020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6.4.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Posebne mjere upozorenja pri čuvanju</w:t>
      </w:r>
      <w:r w:rsidR="00F8570A" w:rsidRPr="00786071">
        <w:rPr>
          <w:b/>
          <w:bCs/>
          <w:sz w:val="22"/>
          <w:szCs w:val="22"/>
        </w:rPr>
        <w:t xml:space="preserve"> lijeka</w:t>
      </w:r>
    </w:p>
    <w:p w14:paraId="5D652929" w14:textId="77777777" w:rsidR="008D08EA" w:rsidRPr="00786071" w:rsidRDefault="008D08EA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776DE311" w14:textId="272B4913" w:rsidR="009F7DC3" w:rsidRPr="009F7DC3" w:rsidRDefault="00136F13" w:rsidP="009F7DC3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Lijek</w:t>
      </w:r>
      <w:r w:rsidR="009F7DC3" w:rsidRPr="009F7DC3">
        <w:rPr>
          <w:sz w:val="22"/>
          <w:szCs w:val="22"/>
          <w:lang w:val="sr-Latn-CS"/>
        </w:rPr>
        <w:t xml:space="preserve"> čuvati na temperaturi do 25ºC.</w:t>
      </w:r>
    </w:p>
    <w:p w14:paraId="2E2B7836" w14:textId="77777777" w:rsidR="00EC2532" w:rsidRPr="00786071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2E2B7837" w14:textId="77777777" w:rsidR="0072020E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6.5. </w:t>
      </w:r>
      <w:r w:rsidR="00480FB1" w:rsidRPr="00786071">
        <w:rPr>
          <w:b/>
          <w:bCs/>
          <w:sz w:val="22"/>
          <w:szCs w:val="22"/>
        </w:rPr>
        <w:tab/>
      </w:r>
      <w:r w:rsidR="002846DB" w:rsidRPr="00786071">
        <w:rPr>
          <w:b/>
          <w:bCs/>
          <w:sz w:val="22"/>
          <w:szCs w:val="22"/>
        </w:rPr>
        <w:t xml:space="preserve">Vrsta i sadržaj </w:t>
      </w:r>
      <w:r w:rsidR="00F8570A" w:rsidRPr="00786071">
        <w:rPr>
          <w:b/>
          <w:bCs/>
          <w:sz w:val="22"/>
          <w:szCs w:val="22"/>
        </w:rPr>
        <w:t>pakovanja</w:t>
      </w:r>
      <w:r w:rsidR="00C06864" w:rsidRPr="00786071">
        <w:rPr>
          <w:b/>
          <w:bCs/>
          <w:sz w:val="22"/>
          <w:szCs w:val="22"/>
        </w:rPr>
        <w:t xml:space="preserve"> </w:t>
      </w:r>
    </w:p>
    <w:p w14:paraId="2E2B7838" w14:textId="6F060A5C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33C762F0" w14:textId="77777777" w:rsidR="0041152F" w:rsidRPr="0041152F" w:rsidRDefault="0041152F">
      <w:pPr>
        <w:tabs>
          <w:tab w:val="left" w:pos="284"/>
        </w:tabs>
        <w:jc w:val="both"/>
        <w:rPr>
          <w:i/>
          <w:sz w:val="22"/>
          <w:szCs w:val="22"/>
          <w:lang w:val="pl-PL"/>
        </w:rPr>
      </w:pPr>
      <w:r w:rsidRPr="0041152F">
        <w:rPr>
          <w:i/>
          <w:sz w:val="22"/>
          <w:szCs w:val="22"/>
          <w:lang w:val="pl-PL"/>
        </w:rPr>
        <w:t>Prilinda, 2,5 mg, 5 mg, 10 mg, tablete:</w:t>
      </w:r>
    </w:p>
    <w:p w14:paraId="032B6902" w14:textId="77777777" w:rsidR="0041152F" w:rsidRPr="0041152F" w:rsidRDefault="0041152F">
      <w:pPr>
        <w:tabs>
          <w:tab w:val="left" w:pos="284"/>
        </w:tabs>
        <w:jc w:val="both"/>
        <w:rPr>
          <w:i/>
          <w:sz w:val="22"/>
          <w:szCs w:val="22"/>
          <w:lang w:val="pl-PL"/>
        </w:rPr>
      </w:pPr>
    </w:p>
    <w:p w14:paraId="336820B5" w14:textId="77777777" w:rsidR="0041152F" w:rsidRPr="0041152F" w:rsidRDefault="0041152F" w:rsidP="003457B5">
      <w:pPr>
        <w:jc w:val="both"/>
        <w:rPr>
          <w:sz w:val="22"/>
          <w:szCs w:val="22"/>
          <w:lang w:val="en-GB"/>
        </w:rPr>
      </w:pPr>
      <w:r w:rsidRPr="0041152F">
        <w:rPr>
          <w:sz w:val="22"/>
          <w:szCs w:val="22"/>
          <w:lang w:val="en-GB"/>
        </w:rPr>
        <w:t>Unutrašnje pakovanje je blister (oPA-Al-PVC/Al) u kome se nalazi 7 tableta.</w:t>
      </w:r>
    </w:p>
    <w:p w14:paraId="3CBB9553" w14:textId="7135C52D" w:rsidR="0041152F" w:rsidRPr="0041152F" w:rsidRDefault="0041152F">
      <w:pPr>
        <w:jc w:val="both"/>
        <w:rPr>
          <w:sz w:val="22"/>
          <w:szCs w:val="22"/>
          <w:lang w:val="en-GB"/>
        </w:rPr>
      </w:pPr>
      <w:r w:rsidRPr="0041152F">
        <w:rPr>
          <w:sz w:val="22"/>
          <w:szCs w:val="22"/>
          <w:lang w:val="en-GB"/>
        </w:rPr>
        <w:t xml:space="preserve">Spoljašnje pakovanje je složiva kartonska kutija u kojoj se nalazi 4 blistera </w:t>
      </w:r>
      <w:proofErr w:type="gramStart"/>
      <w:r w:rsidRPr="0041152F">
        <w:rPr>
          <w:sz w:val="22"/>
          <w:szCs w:val="22"/>
          <w:lang w:val="en-GB"/>
        </w:rPr>
        <w:t>sa</w:t>
      </w:r>
      <w:proofErr w:type="gramEnd"/>
      <w:r w:rsidRPr="0041152F">
        <w:rPr>
          <w:sz w:val="22"/>
          <w:szCs w:val="22"/>
          <w:lang w:val="en-GB"/>
        </w:rPr>
        <w:t xml:space="preserve"> po 7 tableta i Uputstvo za </w:t>
      </w:r>
      <w:r w:rsidR="00136F13">
        <w:rPr>
          <w:sz w:val="22"/>
          <w:szCs w:val="22"/>
          <w:lang w:val="en-GB"/>
        </w:rPr>
        <w:t>lijek</w:t>
      </w:r>
      <w:r w:rsidRPr="0041152F">
        <w:rPr>
          <w:sz w:val="22"/>
          <w:szCs w:val="22"/>
          <w:lang w:val="en-GB"/>
        </w:rPr>
        <w:t>.</w:t>
      </w:r>
    </w:p>
    <w:p w14:paraId="55C87118" w14:textId="77777777" w:rsidR="009F7DC3" w:rsidRPr="00786071" w:rsidRDefault="009F7DC3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2E2B7839" w14:textId="77777777" w:rsidR="002846D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6.6. </w:t>
      </w:r>
      <w:r w:rsidR="00480FB1" w:rsidRPr="00786071">
        <w:rPr>
          <w:b/>
          <w:bCs/>
          <w:sz w:val="22"/>
          <w:szCs w:val="22"/>
        </w:rPr>
        <w:tab/>
      </w:r>
      <w:r w:rsidRPr="00D47634">
        <w:rPr>
          <w:b/>
          <w:bCs/>
          <w:color w:val="000000"/>
          <w:sz w:val="22"/>
          <w:szCs w:val="22"/>
        </w:rPr>
        <w:t>Posebne mjere opreza pri odlaganju materijala koji treba odbaciti nakon primjene lijeka</w:t>
      </w:r>
      <w:r w:rsidRPr="00786071">
        <w:rPr>
          <w:b/>
          <w:bCs/>
          <w:sz w:val="22"/>
          <w:szCs w:val="22"/>
        </w:rPr>
        <w:t xml:space="preserve"> </w:t>
      </w:r>
      <w:r w:rsidR="00310F03">
        <w:rPr>
          <w:b/>
          <w:bCs/>
          <w:sz w:val="22"/>
          <w:szCs w:val="22"/>
        </w:rPr>
        <w:t>(i druga uputs</w:t>
      </w:r>
      <w:r w:rsidR="004109FA">
        <w:rPr>
          <w:b/>
          <w:bCs/>
          <w:sz w:val="22"/>
          <w:szCs w:val="22"/>
        </w:rPr>
        <w:t>t</w:t>
      </w:r>
      <w:r w:rsidR="00310F03">
        <w:rPr>
          <w:b/>
          <w:bCs/>
          <w:sz w:val="22"/>
          <w:szCs w:val="22"/>
        </w:rPr>
        <w:t xml:space="preserve">va za rukovanje lijekom) </w:t>
      </w:r>
    </w:p>
    <w:p w14:paraId="2E2B783A" w14:textId="5469EA9B" w:rsidR="00B66A70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50E753E9" w14:textId="6DA10332" w:rsidR="0098681A" w:rsidRPr="0098681A" w:rsidRDefault="0098681A" w:rsidP="0098681A">
      <w:pPr>
        <w:tabs>
          <w:tab w:val="left" w:pos="284"/>
        </w:tabs>
        <w:jc w:val="both"/>
        <w:rPr>
          <w:sz w:val="22"/>
          <w:szCs w:val="22"/>
        </w:rPr>
      </w:pPr>
      <w:r w:rsidRPr="0098681A">
        <w:rPr>
          <w:sz w:val="22"/>
          <w:szCs w:val="22"/>
        </w:rPr>
        <w:t xml:space="preserve">Svu neiskorišćenu količinu </w:t>
      </w:r>
      <w:r w:rsidR="00136F13">
        <w:rPr>
          <w:sz w:val="22"/>
          <w:szCs w:val="22"/>
        </w:rPr>
        <w:t>lijek</w:t>
      </w:r>
      <w:r w:rsidRPr="0098681A">
        <w:rPr>
          <w:sz w:val="22"/>
          <w:szCs w:val="22"/>
        </w:rPr>
        <w:t xml:space="preserve">a </w:t>
      </w:r>
      <w:proofErr w:type="gramStart"/>
      <w:r w:rsidRPr="0098681A">
        <w:rPr>
          <w:sz w:val="22"/>
          <w:szCs w:val="22"/>
        </w:rPr>
        <w:t>ili</w:t>
      </w:r>
      <w:proofErr w:type="gramEnd"/>
      <w:r w:rsidRPr="0098681A">
        <w:rPr>
          <w:sz w:val="22"/>
          <w:szCs w:val="22"/>
        </w:rPr>
        <w:t xml:space="preserve"> otpadnog materijala nakon njegove upotrebe treba ukloniti u skladu sa važećim propisima.</w:t>
      </w:r>
    </w:p>
    <w:p w14:paraId="7E5A11E0" w14:textId="77777777" w:rsidR="0041152F" w:rsidRDefault="0041152F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2E2B783B" w14:textId="77777777" w:rsidR="0072020E" w:rsidRPr="0078607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2E2B783C" w14:textId="77777777" w:rsidR="00F8570A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7.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NOSILAC DOZVOLE</w:t>
      </w:r>
      <w:r w:rsidR="00483928" w:rsidRPr="00786071">
        <w:rPr>
          <w:b/>
          <w:bCs/>
          <w:sz w:val="22"/>
          <w:szCs w:val="22"/>
        </w:rPr>
        <w:t xml:space="preserve"> </w:t>
      </w:r>
    </w:p>
    <w:p w14:paraId="2E2B783D" w14:textId="16562EF4" w:rsidR="00C61BE0" w:rsidRPr="004F3633" w:rsidRDefault="00C61BE0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7FD91677" w14:textId="77777777" w:rsidR="004F3633" w:rsidRPr="004F3633" w:rsidRDefault="004F3633" w:rsidP="003457B5">
      <w:pPr>
        <w:jc w:val="both"/>
        <w:rPr>
          <w:sz w:val="22"/>
          <w:szCs w:val="22"/>
          <w:lang w:val="sv-SE"/>
        </w:rPr>
      </w:pPr>
      <w:r w:rsidRPr="004F3633">
        <w:rPr>
          <w:sz w:val="22"/>
          <w:szCs w:val="22"/>
          <w:lang w:val="sv-SE"/>
        </w:rPr>
        <w:t>HEMOFARM AD VRŠAC PJ PODGORICA</w:t>
      </w:r>
    </w:p>
    <w:p w14:paraId="463FCDF7" w14:textId="319BB672" w:rsidR="004F3633" w:rsidRPr="004F3633" w:rsidRDefault="004F3633" w:rsidP="003457B5">
      <w:pPr>
        <w:jc w:val="both"/>
        <w:rPr>
          <w:sz w:val="22"/>
          <w:szCs w:val="22"/>
          <w:lang w:val="sv-SE"/>
        </w:rPr>
      </w:pPr>
      <w:r w:rsidRPr="004F3633">
        <w:rPr>
          <w:sz w:val="22"/>
          <w:szCs w:val="22"/>
          <w:lang w:val="sv-SE"/>
        </w:rPr>
        <w:t>8 marta 55A,Podgorica,</w:t>
      </w:r>
      <w:r w:rsidR="00847A8A">
        <w:rPr>
          <w:sz w:val="22"/>
          <w:szCs w:val="22"/>
          <w:lang w:val="sv-SE"/>
        </w:rPr>
        <w:t xml:space="preserve"> </w:t>
      </w:r>
      <w:r w:rsidRPr="004F3633">
        <w:rPr>
          <w:sz w:val="22"/>
          <w:szCs w:val="22"/>
          <w:lang w:val="sv-SE"/>
        </w:rPr>
        <w:t>Crna Gora</w:t>
      </w:r>
    </w:p>
    <w:p w14:paraId="035408CE" w14:textId="77777777" w:rsidR="0098681A" w:rsidRPr="00AB1FCF" w:rsidRDefault="0098681A" w:rsidP="00480FB1">
      <w:pPr>
        <w:tabs>
          <w:tab w:val="left" w:pos="540"/>
          <w:tab w:val="left" w:pos="569"/>
        </w:tabs>
        <w:rPr>
          <w:bCs/>
          <w:sz w:val="22"/>
          <w:szCs w:val="22"/>
          <w:lang w:val="pt-PT"/>
        </w:rPr>
      </w:pPr>
    </w:p>
    <w:p w14:paraId="2E2B783E" w14:textId="77777777" w:rsidR="00C37FD7" w:rsidRPr="00AB1FCF" w:rsidRDefault="00C37FD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pt-PT"/>
        </w:rPr>
      </w:pPr>
    </w:p>
    <w:p w14:paraId="2E2B783F" w14:textId="77777777" w:rsidR="0072020E" w:rsidRPr="00AB1FCF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pt-PT"/>
        </w:rPr>
      </w:pPr>
      <w:r w:rsidRPr="00AB1FCF">
        <w:rPr>
          <w:b/>
          <w:bCs/>
          <w:sz w:val="22"/>
          <w:szCs w:val="22"/>
          <w:lang w:val="pt-PT"/>
        </w:rPr>
        <w:t xml:space="preserve">8. </w:t>
      </w:r>
      <w:r w:rsidR="00480FB1" w:rsidRPr="00AB1FCF">
        <w:rPr>
          <w:b/>
          <w:bCs/>
          <w:sz w:val="22"/>
          <w:szCs w:val="22"/>
          <w:lang w:val="pt-PT"/>
        </w:rPr>
        <w:tab/>
      </w:r>
      <w:r w:rsidRPr="00AB1FCF">
        <w:rPr>
          <w:b/>
          <w:bCs/>
          <w:sz w:val="22"/>
          <w:szCs w:val="22"/>
          <w:lang w:val="pt-PT"/>
        </w:rPr>
        <w:t>BROJ DOZVOLE</w:t>
      </w:r>
      <w:r w:rsidR="008A6D43" w:rsidRPr="00AB1FCF">
        <w:rPr>
          <w:b/>
          <w:bCs/>
          <w:sz w:val="22"/>
          <w:szCs w:val="22"/>
          <w:lang w:val="pt-PT"/>
        </w:rPr>
        <w:t xml:space="preserve"> ZA STAVLJANJE LIJEKA U PROMET</w:t>
      </w:r>
    </w:p>
    <w:p w14:paraId="2E2B7840" w14:textId="77777777" w:rsidR="0072020E" w:rsidRPr="00AB1FCF" w:rsidRDefault="0072020E" w:rsidP="003457B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t-PT"/>
        </w:rPr>
      </w:pPr>
    </w:p>
    <w:p w14:paraId="02BBB4C9" w14:textId="6C6F7E80" w:rsidR="00847A8A" w:rsidRPr="00AB1FCF" w:rsidRDefault="00847A8A" w:rsidP="003457B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t-PT"/>
        </w:rPr>
      </w:pPr>
      <w:r w:rsidRPr="00AB1FCF">
        <w:rPr>
          <w:bCs/>
          <w:sz w:val="22"/>
          <w:szCs w:val="22"/>
          <w:lang w:val="pt-PT"/>
        </w:rPr>
        <w:t>Prilinda, tableta, 2,5mg, blister, 28 (4x7) tableta: 2030/18/446 - 6985</w:t>
      </w:r>
    </w:p>
    <w:p w14:paraId="76133D89" w14:textId="0C54F84D" w:rsidR="00847A8A" w:rsidRPr="00AB1FCF" w:rsidRDefault="00847A8A" w:rsidP="003457B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t-PT"/>
        </w:rPr>
      </w:pPr>
      <w:r w:rsidRPr="00AB1FCF">
        <w:rPr>
          <w:bCs/>
          <w:sz w:val="22"/>
          <w:szCs w:val="22"/>
          <w:lang w:val="pt-PT"/>
        </w:rPr>
        <w:t>Prilinda, tableta, 5mg, blister, 28 (4x7) tableta: 2030/18/444 - 6986</w:t>
      </w:r>
    </w:p>
    <w:p w14:paraId="2E2B7841" w14:textId="32C668EE" w:rsidR="00F45F77" w:rsidRPr="00AB1FCF" w:rsidRDefault="00847A8A" w:rsidP="003457B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t-PT"/>
        </w:rPr>
      </w:pPr>
      <w:r w:rsidRPr="00AB1FCF">
        <w:rPr>
          <w:bCs/>
          <w:sz w:val="22"/>
          <w:szCs w:val="22"/>
          <w:lang w:val="pt-PT"/>
        </w:rPr>
        <w:t>Prilinda, tableta, 10mg, blister, 28 (4x7) tableta: 2030/18/445 - 6987</w:t>
      </w:r>
    </w:p>
    <w:p w14:paraId="3A75E4DD" w14:textId="1E0905F0" w:rsidR="00847A8A" w:rsidRPr="00AB1FCF" w:rsidRDefault="00847A8A" w:rsidP="003457B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t-PT"/>
        </w:rPr>
      </w:pPr>
    </w:p>
    <w:p w14:paraId="5B3597E9" w14:textId="77777777" w:rsidR="00847A8A" w:rsidRPr="00AB1FCF" w:rsidRDefault="00847A8A" w:rsidP="003457B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t-PT"/>
        </w:rPr>
      </w:pPr>
    </w:p>
    <w:p w14:paraId="2E2B7842" w14:textId="77777777" w:rsidR="0072020E" w:rsidRPr="00AB1FCF" w:rsidRDefault="0072020E" w:rsidP="003457B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t-PT"/>
        </w:rPr>
      </w:pPr>
      <w:r w:rsidRPr="00AB1FCF">
        <w:rPr>
          <w:b/>
          <w:bCs/>
          <w:sz w:val="22"/>
          <w:szCs w:val="22"/>
          <w:lang w:val="pt-PT"/>
        </w:rPr>
        <w:t xml:space="preserve">9. </w:t>
      </w:r>
      <w:r w:rsidR="00480FB1" w:rsidRPr="00AB1FCF">
        <w:rPr>
          <w:b/>
          <w:bCs/>
          <w:sz w:val="22"/>
          <w:szCs w:val="22"/>
          <w:lang w:val="pt-PT"/>
        </w:rPr>
        <w:tab/>
      </w:r>
      <w:r w:rsidRPr="00AB1FCF">
        <w:rPr>
          <w:b/>
          <w:bCs/>
          <w:sz w:val="22"/>
          <w:szCs w:val="22"/>
          <w:lang w:val="pt-PT"/>
        </w:rPr>
        <w:t xml:space="preserve">DATUM </w:t>
      </w:r>
      <w:r w:rsidR="00C05DF8" w:rsidRPr="00AB1FCF">
        <w:rPr>
          <w:b/>
          <w:bCs/>
          <w:sz w:val="22"/>
          <w:szCs w:val="22"/>
          <w:lang w:val="pt-PT"/>
        </w:rPr>
        <w:t xml:space="preserve">PRVE </w:t>
      </w:r>
      <w:r w:rsidR="008A6D43" w:rsidRPr="00AB1FCF">
        <w:rPr>
          <w:b/>
          <w:bCs/>
          <w:sz w:val="22"/>
          <w:szCs w:val="22"/>
          <w:lang w:val="pt-PT"/>
        </w:rPr>
        <w:t>DOZVOLE</w:t>
      </w:r>
      <w:r w:rsidR="00C05DF8" w:rsidRPr="00AB1FCF">
        <w:rPr>
          <w:b/>
          <w:bCs/>
          <w:sz w:val="22"/>
          <w:szCs w:val="22"/>
          <w:lang w:val="pt-PT"/>
        </w:rPr>
        <w:t>/OBNOVE DOZVOLE</w:t>
      </w:r>
      <w:r w:rsidR="008A6D43" w:rsidRPr="00AB1FCF">
        <w:rPr>
          <w:b/>
          <w:bCs/>
          <w:sz w:val="22"/>
          <w:szCs w:val="22"/>
          <w:lang w:val="pt-PT"/>
        </w:rPr>
        <w:t xml:space="preserve"> ZA STAVLJANJE LIJEKA U PROMET</w:t>
      </w:r>
    </w:p>
    <w:p w14:paraId="2E2B7843" w14:textId="77777777" w:rsidR="0072020E" w:rsidRPr="00AB1FCF" w:rsidRDefault="0072020E" w:rsidP="003457B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t-PT"/>
        </w:rPr>
      </w:pPr>
    </w:p>
    <w:p w14:paraId="4F410342" w14:textId="42756FFB" w:rsidR="00847A8A" w:rsidRPr="00847A8A" w:rsidRDefault="00847A8A" w:rsidP="003457B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t-PT"/>
        </w:rPr>
      </w:pPr>
      <w:r w:rsidRPr="00847A8A">
        <w:rPr>
          <w:bCs/>
          <w:sz w:val="22"/>
          <w:szCs w:val="22"/>
          <w:lang w:val="pt-PT"/>
        </w:rPr>
        <w:t>Prilinda, tableta, 2,5mg, blister, 28 (4x7) tableta: 03.12.2018. godine</w:t>
      </w:r>
    </w:p>
    <w:p w14:paraId="0C26E4EE" w14:textId="2E55D33E" w:rsidR="00847A8A" w:rsidRPr="00847A8A" w:rsidRDefault="00847A8A" w:rsidP="003457B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t-PT"/>
        </w:rPr>
      </w:pPr>
      <w:r w:rsidRPr="00847A8A">
        <w:rPr>
          <w:bCs/>
          <w:sz w:val="22"/>
          <w:szCs w:val="22"/>
          <w:lang w:val="pt-PT"/>
        </w:rPr>
        <w:t>Prilinda, tableta, 5mg, blister, 28 (4x7) tableta: 03.12.2018. godine</w:t>
      </w:r>
    </w:p>
    <w:p w14:paraId="2E2B7844" w14:textId="0F4F06E5" w:rsidR="00836B35" w:rsidRDefault="00847A8A" w:rsidP="003457B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t-PT"/>
        </w:rPr>
      </w:pPr>
      <w:r w:rsidRPr="00847A8A">
        <w:rPr>
          <w:bCs/>
          <w:sz w:val="22"/>
          <w:szCs w:val="22"/>
          <w:lang w:val="pt-PT"/>
        </w:rPr>
        <w:t>Prilinda, tableta, 10mg, blister, 28 (4x7) tableta: 03.12.2018. godine</w:t>
      </w:r>
    </w:p>
    <w:p w14:paraId="65C839B5" w14:textId="4FBA2FFE" w:rsidR="00847A8A" w:rsidRDefault="00847A8A" w:rsidP="003457B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t-PT"/>
        </w:rPr>
      </w:pPr>
    </w:p>
    <w:p w14:paraId="34D004D5" w14:textId="77777777" w:rsidR="00847A8A" w:rsidRPr="004F24BB" w:rsidRDefault="00847A8A" w:rsidP="003457B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t-PT"/>
        </w:rPr>
      </w:pPr>
      <w:bookmarkStart w:id="11" w:name="_GoBack"/>
      <w:bookmarkEnd w:id="11"/>
    </w:p>
    <w:p w14:paraId="2E2B784E" w14:textId="14D4B5D6" w:rsidR="003F6A59" w:rsidRDefault="0072020E" w:rsidP="00316717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10. </w:t>
      </w:r>
      <w:r w:rsidR="00480FB1" w:rsidRPr="00786071">
        <w:rPr>
          <w:b/>
          <w:bCs/>
          <w:sz w:val="22"/>
          <w:szCs w:val="22"/>
        </w:rPr>
        <w:tab/>
      </w:r>
      <w:r w:rsidR="002846DB" w:rsidRPr="00786071">
        <w:rPr>
          <w:b/>
          <w:bCs/>
          <w:sz w:val="22"/>
          <w:szCs w:val="22"/>
        </w:rPr>
        <w:t>D</w:t>
      </w:r>
      <w:r w:rsidR="00EC2532" w:rsidRPr="00786071">
        <w:rPr>
          <w:b/>
          <w:bCs/>
          <w:sz w:val="22"/>
          <w:szCs w:val="22"/>
        </w:rPr>
        <w:t xml:space="preserve">ATUM REVIZIJE TEKSTA </w:t>
      </w:r>
    </w:p>
    <w:p w14:paraId="3F508F22" w14:textId="14E38755" w:rsidR="00847A8A" w:rsidRDefault="00847A8A" w:rsidP="00316717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</w:rPr>
      </w:pPr>
    </w:p>
    <w:p w14:paraId="77CB9368" w14:textId="1CC77D9B" w:rsidR="00847A8A" w:rsidRPr="00847A8A" w:rsidRDefault="00BD5C08" w:rsidP="00316717">
      <w:pPr>
        <w:tabs>
          <w:tab w:val="left" w:pos="540"/>
          <w:tab w:val="left" w:pos="569"/>
        </w:tabs>
        <w:ind w:left="540" w:hanging="540"/>
        <w:rPr>
          <w:sz w:val="22"/>
          <w:szCs w:val="22"/>
          <w:lang w:val="pl-PL"/>
        </w:rPr>
      </w:pPr>
      <w:r>
        <w:rPr>
          <w:bCs/>
          <w:sz w:val="22"/>
          <w:szCs w:val="22"/>
        </w:rPr>
        <w:t>Mart</w:t>
      </w:r>
      <w:r w:rsidR="00847A8A" w:rsidRPr="003457B5">
        <w:rPr>
          <w:bCs/>
          <w:sz w:val="22"/>
          <w:szCs w:val="22"/>
        </w:rPr>
        <w:t xml:space="preserve">, 2024. </w:t>
      </w:r>
      <w:proofErr w:type="gramStart"/>
      <w:r w:rsidR="00847A8A" w:rsidRPr="003457B5">
        <w:rPr>
          <w:bCs/>
          <w:sz w:val="22"/>
          <w:szCs w:val="22"/>
        </w:rPr>
        <w:t>godine</w:t>
      </w:r>
      <w:proofErr w:type="gramEnd"/>
    </w:p>
    <w:sectPr w:rsidR="00847A8A" w:rsidRPr="00847A8A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2A221" w14:textId="77777777" w:rsidR="00226560" w:rsidRDefault="00226560">
      <w:r>
        <w:separator/>
      </w:r>
    </w:p>
  </w:endnote>
  <w:endnote w:type="continuationSeparator" w:id="0">
    <w:p w14:paraId="05FD3A2C" w14:textId="77777777" w:rsidR="00226560" w:rsidRDefault="0022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B7857" w14:textId="602466A4" w:rsidR="009350FB" w:rsidRPr="00B23F69" w:rsidRDefault="009350FB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BD5C08">
      <w:rPr>
        <w:noProof/>
        <w:sz w:val="22"/>
        <w:szCs w:val="22"/>
      </w:rPr>
      <w:t>18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BD5C08">
      <w:rPr>
        <w:noProof/>
        <w:sz w:val="22"/>
        <w:szCs w:val="22"/>
      </w:rPr>
      <w:t>19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B5C09" w14:textId="77777777" w:rsidR="00226560" w:rsidRDefault="00226560">
      <w:r>
        <w:separator/>
      </w:r>
    </w:p>
  </w:footnote>
  <w:footnote w:type="continuationSeparator" w:id="0">
    <w:p w14:paraId="18642B6E" w14:textId="77777777" w:rsidR="00226560" w:rsidRDefault="00226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65pt;height:13.75pt;visibility:visible" o:bullet="t">
        <v:imagedata r:id="rId1" o:title="BT_1000x858px"/>
      </v:shape>
    </w:pict>
  </w:numPicBullet>
  <w:abstractNum w:abstractNumId="0" w15:restartNumberingAfterBreak="0">
    <w:nsid w:val="07CB2516"/>
    <w:multiLevelType w:val="hybridMultilevel"/>
    <w:tmpl w:val="E8B653FE"/>
    <w:lvl w:ilvl="0" w:tplc="04090001">
      <w:start w:val="1"/>
      <w:numFmt w:val="bullet"/>
      <w:lvlText w:val=""/>
      <w:lvlJc w:val="left"/>
      <w:pPr>
        <w:ind w:left="-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43" w:hanging="360"/>
      </w:pPr>
      <w:rPr>
        <w:rFonts w:ascii="Wingdings" w:hAnsi="Wingdings" w:hint="default"/>
      </w:rPr>
    </w:lvl>
  </w:abstractNum>
  <w:abstractNum w:abstractNumId="1" w15:restartNumberingAfterBreak="0">
    <w:nsid w:val="0A226B99"/>
    <w:multiLevelType w:val="hybridMultilevel"/>
    <w:tmpl w:val="1BF61E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2F14A3B"/>
    <w:multiLevelType w:val="hybridMultilevel"/>
    <w:tmpl w:val="1A9ADD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5610D5"/>
    <w:multiLevelType w:val="hybridMultilevel"/>
    <w:tmpl w:val="072C991E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44442"/>
    <w:multiLevelType w:val="hybridMultilevel"/>
    <w:tmpl w:val="DA94F960"/>
    <w:lvl w:ilvl="0" w:tplc="46661D32">
      <w:numFmt w:val="bullet"/>
      <w:lvlText w:val="–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258F2"/>
    <w:multiLevelType w:val="hybridMultilevel"/>
    <w:tmpl w:val="240C2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00B4993"/>
    <w:multiLevelType w:val="hybridMultilevel"/>
    <w:tmpl w:val="84DE9EA4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22E85"/>
    <w:multiLevelType w:val="hybridMultilevel"/>
    <w:tmpl w:val="A6848C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47722DC"/>
    <w:multiLevelType w:val="hybridMultilevel"/>
    <w:tmpl w:val="2C82C518"/>
    <w:lvl w:ilvl="0" w:tplc="2BB4FD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9257C6"/>
    <w:multiLevelType w:val="hybridMultilevel"/>
    <w:tmpl w:val="1CF8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2"/>
  </w:num>
  <w:num w:numId="4">
    <w:abstractNumId w:val="17"/>
  </w:num>
  <w:num w:numId="5">
    <w:abstractNumId w:val="9"/>
  </w:num>
  <w:num w:numId="6">
    <w:abstractNumId w:val="3"/>
  </w:num>
  <w:num w:numId="7">
    <w:abstractNumId w:val="15"/>
  </w:num>
  <w:num w:numId="8">
    <w:abstractNumId w:val="8"/>
  </w:num>
  <w:num w:numId="9">
    <w:abstractNumId w:val="12"/>
  </w:num>
  <w:num w:numId="10">
    <w:abstractNumId w:val="20"/>
  </w:num>
  <w:num w:numId="11">
    <w:abstractNumId w:val="10"/>
  </w:num>
  <w:num w:numId="12">
    <w:abstractNumId w:val="16"/>
  </w:num>
  <w:num w:numId="13">
    <w:abstractNumId w:val="19"/>
  </w:num>
  <w:num w:numId="14">
    <w:abstractNumId w:val="0"/>
  </w:num>
  <w:num w:numId="15">
    <w:abstractNumId w:val="11"/>
  </w:num>
  <w:num w:numId="16">
    <w:abstractNumId w:val="6"/>
  </w:num>
  <w:num w:numId="17">
    <w:abstractNumId w:val="5"/>
  </w:num>
  <w:num w:numId="18">
    <w:abstractNumId w:val="13"/>
  </w:num>
  <w:num w:numId="19">
    <w:abstractNumId w:val="4"/>
  </w:num>
  <w:num w:numId="20">
    <w:abstractNumId w:val="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ES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6BDF"/>
    <w:rsid w:val="000176CA"/>
    <w:rsid w:val="0002009F"/>
    <w:rsid w:val="00033469"/>
    <w:rsid w:val="00036FA0"/>
    <w:rsid w:val="0003793F"/>
    <w:rsid w:val="00045130"/>
    <w:rsid w:val="000474C8"/>
    <w:rsid w:val="00057E35"/>
    <w:rsid w:val="00070E81"/>
    <w:rsid w:val="000712DF"/>
    <w:rsid w:val="00075E28"/>
    <w:rsid w:val="00076726"/>
    <w:rsid w:val="00080303"/>
    <w:rsid w:val="00083D02"/>
    <w:rsid w:val="000A1526"/>
    <w:rsid w:val="000A3F58"/>
    <w:rsid w:val="000D2343"/>
    <w:rsid w:val="000D3449"/>
    <w:rsid w:val="000D425A"/>
    <w:rsid w:val="000D60CC"/>
    <w:rsid w:val="000E1584"/>
    <w:rsid w:val="000E2084"/>
    <w:rsid w:val="000E6F55"/>
    <w:rsid w:val="000F4D88"/>
    <w:rsid w:val="000F77FA"/>
    <w:rsid w:val="00107BF7"/>
    <w:rsid w:val="00110E22"/>
    <w:rsid w:val="00126F53"/>
    <w:rsid w:val="00136F13"/>
    <w:rsid w:val="0014766D"/>
    <w:rsid w:val="001536CC"/>
    <w:rsid w:val="001A3FBA"/>
    <w:rsid w:val="001A5518"/>
    <w:rsid w:val="001B0567"/>
    <w:rsid w:val="001B1C6A"/>
    <w:rsid w:val="001C1263"/>
    <w:rsid w:val="001C1417"/>
    <w:rsid w:val="001E390B"/>
    <w:rsid w:val="001F0650"/>
    <w:rsid w:val="001F42FB"/>
    <w:rsid w:val="001F719A"/>
    <w:rsid w:val="002031B3"/>
    <w:rsid w:val="00215931"/>
    <w:rsid w:val="002207C7"/>
    <w:rsid w:val="00224C91"/>
    <w:rsid w:val="00226560"/>
    <w:rsid w:val="00227BDB"/>
    <w:rsid w:val="00234CB1"/>
    <w:rsid w:val="002352F8"/>
    <w:rsid w:val="002455BC"/>
    <w:rsid w:val="002500DE"/>
    <w:rsid w:val="00250AD4"/>
    <w:rsid w:val="002510A5"/>
    <w:rsid w:val="00254A0A"/>
    <w:rsid w:val="00266046"/>
    <w:rsid w:val="002846DB"/>
    <w:rsid w:val="00284CCD"/>
    <w:rsid w:val="00293125"/>
    <w:rsid w:val="0029635F"/>
    <w:rsid w:val="002C6637"/>
    <w:rsid w:val="002E0135"/>
    <w:rsid w:val="002E1923"/>
    <w:rsid w:val="002E37A5"/>
    <w:rsid w:val="00307941"/>
    <w:rsid w:val="00310F03"/>
    <w:rsid w:val="00316717"/>
    <w:rsid w:val="003247D2"/>
    <w:rsid w:val="003445C1"/>
    <w:rsid w:val="003457B5"/>
    <w:rsid w:val="00355B61"/>
    <w:rsid w:val="00362686"/>
    <w:rsid w:val="00371510"/>
    <w:rsid w:val="00374224"/>
    <w:rsid w:val="00396DFD"/>
    <w:rsid w:val="003A7059"/>
    <w:rsid w:val="003B7A36"/>
    <w:rsid w:val="003C17A3"/>
    <w:rsid w:val="003C17AB"/>
    <w:rsid w:val="003C7823"/>
    <w:rsid w:val="003E06B0"/>
    <w:rsid w:val="003E1DCC"/>
    <w:rsid w:val="003F11A1"/>
    <w:rsid w:val="003F6484"/>
    <w:rsid w:val="003F6A59"/>
    <w:rsid w:val="004003D3"/>
    <w:rsid w:val="004065C8"/>
    <w:rsid w:val="00406D8C"/>
    <w:rsid w:val="004109FA"/>
    <w:rsid w:val="0041152F"/>
    <w:rsid w:val="00411B4B"/>
    <w:rsid w:val="00415BEE"/>
    <w:rsid w:val="004254E9"/>
    <w:rsid w:val="00427F85"/>
    <w:rsid w:val="00436F42"/>
    <w:rsid w:val="004378B4"/>
    <w:rsid w:val="00451314"/>
    <w:rsid w:val="00452E9D"/>
    <w:rsid w:val="004534C7"/>
    <w:rsid w:val="00460220"/>
    <w:rsid w:val="00461B63"/>
    <w:rsid w:val="004671AA"/>
    <w:rsid w:val="00471DF8"/>
    <w:rsid w:val="00480FB1"/>
    <w:rsid w:val="00483928"/>
    <w:rsid w:val="004C331F"/>
    <w:rsid w:val="004D6103"/>
    <w:rsid w:val="004E3BCE"/>
    <w:rsid w:val="004E70AD"/>
    <w:rsid w:val="004F0E97"/>
    <w:rsid w:val="004F17E2"/>
    <w:rsid w:val="004F24BB"/>
    <w:rsid w:val="004F3633"/>
    <w:rsid w:val="00501DD1"/>
    <w:rsid w:val="00515C21"/>
    <w:rsid w:val="00515CF5"/>
    <w:rsid w:val="00530BD7"/>
    <w:rsid w:val="00545CD2"/>
    <w:rsid w:val="005476F3"/>
    <w:rsid w:val="005525D1"/>
    <w:rsid w:val="00572527"/>
    <w:rsid w:val="00572BA1"/>
    <w:rsid w:val="00573E40"/>
    <w:rsid w:val="00576348"/>
    <w:rsid w:val="005862B0"/>
    <w:rsid w:val="005A0B2E"/>
    <w:rsid w:val="005A23D2"/>
    <w:rsid w:val="005A36CB"/>
    <w:rsid w:val="005B3553"/>
    <w:rsid w:val="005B49B8"/>
    <w:rsid w:val="005C0741"/>
    <w:rsid w:val="005C5EF4"/>
    <w:rsid w:val="005E2E0B"/>
    <w:rsid w:val="005E67AD"/>
    <w:rsid w:val="005E7A7D"/>
    <w:rsid w:val="00602457"/>
    <w:rsid w:val="00631109"/>
    <w:rsid w:val="00644FC3"/>
    <w:rsid w:val="00646BD1"/>
    <w:rsid w:val="0065058D"/>
    <w:rsid w:val="006561C2"/>
    <w:rsid w:val="00671CB3"/>
    <w:rsid w:val="00674BAF"/>
    <w:rsid w:val="00676D0B"/>
    <w:rsid w:val="00682200"/>
    <w:rsid w:val="006902B3"/>
    <w:rsid w:val="00692BF6"/>
    <w:rsid w:val="006A12C7"/>
    <w:rsid w:val="006A1351"/>
    <w:rsid w:val="006A1497"/>
    <w:rsid w:val="006A5407"/>
    <w:rsid w:val="006B0BD1"/>
    <w:rsid w:val="006B5404"/>
    <w:rsid w:val="006D17DA"/>
    <w:rsid w:val="006D20A5"/>
    <w:rsid w:val="006D37BF"/>
    <w:rsid w:val="00702E22"/>
    <w:rsid w:val="0072020E"/>
    <w:rsid w:val="007233C5"/>
    <w:rsid w:val="00723D55"/>
    <w:rsid w:val="00746030"/>
    <w:rsid w:val="007473AC"/>
    <w:rsid w:val="00754902"/>
    <w:rsid w:val="00786071"/>
    <w:rsid w:val="007A3ECB"/>
    <w:rsid w:val="007B0E11"/>
    <w:rsid w:val="007B662C"/>
    <w:rsid w:val="007D7BB3"/>
    <w:rsid w:val="007E0A84"/>
    <w:rsid w:val="007E31E9"/>
    <w:rsid w:val="00822AB8"/>
    <w:rsid w:val="00824AB9"/>
    <w:rsid w:val="00833A65"/>
    <w:rsid w:val="00836B35"/>
    <w:rsid w:val="00843BDE"/>
    <w:rsid w:val="00847A8A"/>
    <w:rsid w:val="0087588C"/>
    <w:rsid w:val="0089705C"/>
    <w:rsid w:val="008A6D43"/>
    <w:rsid w:val="008B491E"/>
    <w:rsid w:val="008C1A28"/>
    <w:rsid w:val="008C2E98"/>
    <w:rsid w:val="008D08EA"/>
    <w:rsid w:val="008E49BD"/>
    <w:rsid w:val="008E53E9"/>
    <w:rsid w:val="008E5771"/>
    <w:rsid w:val="008F4ACF"/>
    <w:rsid w:val="00914B67"/>
    <w:rsid w:val="00924166"/>
    <w:rsid w:val="0092755F"/>
    <w:rsid w:val="00931078"/>
    <w:rsid w:val="009350FB"/>
    <w:rsid w:val="00940B9B"/>
    <w:rsid w:val="00953573"/>
    <w:rsid w:val="0095676E"/>
    <w:rsid w:val="00956983"/>
    <w:rsid w:val="00963CF0"/>
    <w:rsid w:val="00964BB1"/>
    <w:rsid w:val="0096791E"/>
    <w:rsid w:val="00972837"/>
    <w:rsid w:val="009775D9"/>
    <w:rsid w:val="00984010"/>
    <w:rsid w:val="0098681A"/>
    <w:rsid w:val="0099185C"/>
    <w:rsid w:val="00997175"/>
    <w:rsid w:val="009A1847"/>
    <w:rsid w:val="009B062A"/>
    <w:rsid w:val="009E7C6F"/>
    <w:rsid w:val="009F1793"/>
    <w:rsid w:val="009F2D23"/>
    <w:rsid w:val="009F5507"/>
    <w:rsid w:val="009F7DC3"/>
    <w:rsid w:val="00A01D69"/>
    <w:rsid w:val="00A02335"/>
    <w:rsid w:val="00A06662"/>
    <w:rsid w:val="00A27241"/>
    <w:rsid w:val="00A46C9A"/>
    <w:rsid w:val="00A619F3"/>
    <w:rsid w:val="00A62A73"/>
    <w:rsid w:val="00A75117"/>
    <w:rsid w:val="00A85BA1"/>
    <w:rsid w:val="00A87FF6"/>
    <w:rsid w:val="00AA0A3B"/>
    <w:rsid w:val="00AA0C2D"/>
    <w:rsid w:val="00AA2763"/>
    <w:rsid w:val="00AA33B6"/>
    <w:rsid w:val="00AA6863"/>
    <w:rsid w:val="00AB1FCF"/>
    <w:rsid w:val="00AB50CA"/>
    <w:rsid w:val="00AB6D64"/>
    <w:rsid w:val="00AC53CE"/>
    <w:rsid w:val="00AD2193"/>
    <w:rsid w:val="00AD79F0"/>
    <w:rsid w:val="00AF19F4"/>
    <w:rsid w:val="00AF2AC7"/>
    <w:rsid w:val="00AF74CE"/>
    <w:rsid w:val="00B208DB"/>
    <w:rsid w:val="00B23F69"/>
    <w:rsid w:val="00B60619"/>
    <w:rsid w:val="00B66A70"/>
    <w:rsid w:val="00B67366"/>
    <w:rsid w:val="00B74C5E"/>
    <w:rsid w:val="00B80ED6"/>
    <w:rsid w:val="00B80EE1"/>
    <w:rsid w:val="00B81049"/>
    <w:rsid w:val="00B84135"/>
    <w:rsid w:val="00B85759"/>
    <w:rsid w:val="00B92D04"/>
    <w:rsid w:val="00BD5C08"/>
    <w:rsid w:val="00C04D34"/>
    <w:rsid w:val="00C05DF8"/>
    <w:rsid w:val="00C06864"/>
    <w:rsid w:val="00C068FC"/>
    <w:rsid w:val="00C10F54"/>
    <w:rsid w:val="00C23D8D"/>
    <w:rsid w:val="00C37AA3"/>
    <w:rsid w:val="00C37FD7"/>
    <w:rsid w:val="00C43419"/>
    <w:rsid w:val="00C44C61"/>
    <w:rsid w:val="00C44CF3"/>
    <w:rsid w:val="00C553F6"/>
    <w:rsid w:val="00C5706D"/>
    <w:rsid w:val="00C61BE0"/>
    <w:rsid w:val="00C6707E"/>
    <w:rsid w:val="00C70B0E"/>
    <w:rsid w:val="00C733CD"/>
    <w:rsid w:val="00C773CA"/>
    <w:rsid w:val="00C83785"/>
    <w:rsid w:val="00C94C0D"/>
    <w:rsid w:val="00CA190F"/>
    <w:rsid w:val="00CA1FEB"/>
    <w:rsid w:val="00CA30AF"/>
    <w:rsid w:val="00CC39D0"/>
    <w:rsid w:val="00CD4F85"/>
    <w:rsid w:val="00CD6F02"/>
    <w:rsid w:val="00CE246D"/>
    <w:rsid w:val="00CE2BBD"/>
    <w:rsid w:val="00CF032E"/>
    <w:rsid w:val="00CF07A0"/>
    <w:rsid w:val="00CF3E03"/>
    <w:rsid w:val="00CF7FC5"/>
    <w:rsid w:val="00D0082A"/>
    <w:rsid w:val="00D21455"/>
    <w:rsid w:val="00D47634"/>
    <w:rsid w:val="00D51F4F"/>
    <w:rsid w:val="00D66A5B"/>
    <w:rsid w:val="00D709B3"/>
    <w:rsid w:val="00D74CD2"/>
    <w:rsid w:val="00DA2ED6"/>
    <w:rsid w:val="00DB1D55"/>
    <w:rsid w:val="00DB51CD"/>
    <w:rsid w:val="00DB76B8"/>
    <w:rsid w:val="00DC001C"/>
    <w:rsid w:val="00DC2EA1"/>
    <w:rsid w:val="00DC44C4"/>
    <w:rsid w:val="00DD6AAF"/>
    <w:rsid w:val="00DE3F5C"/>
    <w:rsid w:val="00DF1D20"/>
    <w:rsid w:val="00E03944"/>
    <w:rsid w:val="00E21324"/>
    <w:rsid w:val="00E246B9"/>
    <w:rsid w:val="00E31FEA"/>
    <w:rsid w:val="00E45169"/>
    <w:rsid w:val="00E47011"/>
    <w:rsid w:val="00E47787"/>
    <w:rsid w:val="00E51C30"/>
    <w:rsid w:val="00E64180"/>
    <w:rsid w:val="00E7235D"/>
    <w:rsid w:val="00E74AEE"/>
    <w:rsid w:val="00E7674D"/>
    <w:rsid w:val="00E7734A"/>
    <w:rsid w:val="00E834FC"/>
    <w:rsid w:val="00E868E5"/>
    <w:rsid w:val="00E9237A"/>
    <w:rsid w:val="00E939FA"/>
    <w:rsid w:val="00EA5765"/>
    <w:rsid w:val="00EC2532"/>
    <w:rsid w:val="00ED7812"/>
    <w:rsid w:val="00EF3B86"/>
    <w:rsid w:val="00EF61EC"/>
    <w:rsid w:val="00F317E9"/>
    <w:rsid w:val="00F34554"/>
    <w:rsid w:val="00F35B68"/>
    <w:rsid w:val="00F36262"/>
    <w:rsid w:val="00F45F77"/>
    <w:rsid w:val="00F5167F"/>
    <w:rsid w:val="00F52258"/>
    <w:rsid w:val="00F8570A"/>
    <w:rsid w:val="00F91C7B"/>
    <w:rsid w:val="00FE731D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2B77D9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character" w:customStyle="1" w:styleId="HeaderChar">
    <w:name w:val="Header Char"/>
    <w:link w:val="Header"/>
    <w:uiPriority w:val="99"/>
    <w:rsid w:val="001B0567"/>
    <w:rPr>
      <w:sz w:val="24"/>
      <w:szCs w:val="24"/>
      <w:lang w:val="en-US" w:eastAsia="en-US"/>
    </w:rPr>
  </w:style>
  <w:style w:type="character" w:styleId="Emphasis">
    <w:name w:val="Emphasis"/>
    <w:qFormat/>
    <w:rsid w:val="00572BA1"/>
    <w:rPr>
      <w:i/>
      <w:iCs/>
    </w:rPr>
  </w:style>
  <w:style w:type="paragraph" w:styleId="Revision">
    <w:name w:val="Revision"/>
    <w:hidden/>
    <w:uiPriority w:val="99"/>
    <w:semiHidden/>
    <w:rsid w:val="003457B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BB78B-E2AB-40FB-9369-31C347354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7654</Words>
  <Characters>43630</Characters>
  <Application>Microsoft Office Word</Application>
  <DocSecurity>0</DocSecurity>
  <Lines>363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51182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Aleksandra Minić</cp:lastModifiedBy>
  <cp:revision>3</cp:revision>
  <cp:lastPrinted>2023-02-09T08:16:00Z</cp:lastPrinted>
  <dcterms:created xsi:type="dcterms:W3CDTF">2024-02-26T10:38:00Z</dcterms:created>
  <dcterms:modified xsi:type="dcterms:W3CDTF">2024-03-04T07:44:00Z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